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AC36B3" w14:paraId="7657F973" w14:textId="77777777" w:rsidTr="00882A6A">
        <w:trPr>
          <w:cantSplit/>
          <w:trHeight w:val="275"/>
        </w:trPr>
        <w:tc>
          <w:tcPr>
            <w:tcW w:w="1428" w:type="pct"/>
            <w:vMerge w:val="restart"/>
            <w:tcBorders>
              <w:bottom w:val="single" w:sz="4" w:space="0" w:color="auto"/>
            </w:tcBorders>
            <w:vAlign w:val="center"/>
          </w:tcPr>
          <w:p w14:paraId="399BDA58" w14:textId="77777777" w:rsidR="00AC36B3" w:rsidRDefault="00AC36B3"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r>
              <w:rPr>
                <w:b/>
                <w:noProof/>
                <w:sz w:val="16"/>
                <w:szCs w:val="16"/>
                <w:lang w:eastAsia="es-CO"/>
              </w:rPr>
              <w:drawing>
                <wp:anchor distT="0" distB="0" distL="114300" distR="114300" simplePos="0" relativeHeight="251659264" behindDoc="0" locked="0" layoutInCell="1" allowOverlap="1" wp14:anchorId="6D230B1B" wp14:editId="746E0E01">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2B1442A1" w14:textId="77777777" w:rsidR="00AC36B3" w:rsidRPr="00A45DDC" w:rsidRDefault="00AC36B3"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434CDA1A" w14:textId="77777777" w:rsidR="00AC36B3" w:rsidRPr="00C621C5" w:rsidRDefault="00AC36B3" w:rsidP="00882A6A">
            <w:pPr>
              <w:pStyle w:val="Encabezado"/>
              <w:ind w:right="-107"/>
              <w:jc w:val="center"/>
              <w:rPr>
                <w:b/>
                <w:sz w:val="20"/>
                <w:szCs w:val="20"/>
              </w:rPr>
            </w:pPr>
          </w:p>
        </w:tc>
      </w:tr>
      <w:tr w:rsidR="00AC36B3" w14:paraId="23D89095" w14:textId="77777777" w:rsidTr="00882A6A">
        <w:trPr>
          <w:cantSplit/>
          <w:trHeight w:val="137"/>
        </w:trPr>
        <w:tc>
          <w:tcPr>
            <w:tcW w:w="1428" w:type="pct"/>
            <w:vMerge/>
            <w:tcBorders>
              <w:bottom w:val="single" w:sz="4" w:space="0" w:color="auto"/>
            </w:tcBorders>
            <w:vAlign w:val="center"/>
          </w:tcPr>
          <w:p w14:paraId="2809A119" w14:textId="77777777" w:rsidR="00AC36B3" w:rsidRDefault="00AC36B3" w:rsidP="00882A6A">
            <w:pPr>
              <w:pStyle w:val="Encabezado"/>
              <w:jc w:val="center"/>
            </w:pPr>
          </w:p>
        </w:tc>
        <w:tc>
          <w:tcPr>
            <w:tcW w:w="2144" w:type="pct"/>
            <w:vMerge w:val="restart"/>
            <w:vAlign w:val="center"/>
          </w:tcPr>
          <w:p w14:paraId="1475FA5A" w14:textId="77777777" w:rsidR="00AC36B3" w:rsidRPr="00EC47A2" w:rsidRDefault="00AC36B3" w:rsidP="00882A6A">
            <w:pPr>
              <w:pStyle w:val="Encabezado"/>
              <w:jc w:val="center"/>
              <w:rPr>
                <w:rFonts w:cstheme="minorHAnsi"/>
                <w:b/>
              </w:rPr>
            </w:pPr>
            <w:r w:rsidRPr="00EC47A2">
              <w:rPr>
                <w:rFonts w:cstheme="minorHAnsi"/>
                <w:b/>
              </w:rPr>
              <w:t>Periodo Constitucional  2022 - 2026</w:t>
            </w:r>
          </w:p>
          <w:p w14:paraId="0D120000" w14:textId="77777777" w:rsidR="00AC36B3" w:rsidRPr="00D93A3A" w:rsidRDefault="00AC36B3" w:rsidP="00882A6A">
            <w:pPr>
              <w:pStyle w:val="Encabezado"/>
              <w:jc w:val="center"/>
              <w:rPr>
                <w:b/>
              </w:rPr>
            </w:pPr>
            <w:r w:rsidRPr="00EC47A2">
              <w:rPr>
                <w:rFonts w:cstheme="minorHAnsi"/>
                <w:b/>
              </w:rPr>
              <w:t>Legislatura 2025 - 2026</w:t>
            </w:r>
          </w:p>
        </w:tc>
        <w:tc>
          <w:tcPr>
            <w:tcW w:w="499" w:type="pct"/>
            <w:vAlign w:val="center"/>
          </w:tcPr>
          <w:p w14:paraId="0696C769" w14:textId="77777777" w:rsidR="00AC36B3" w:rsidRPr="00EC47A2" w:rsidRDefault="00AC36B3" w:rsidP="00882A6A">
            <w:pPr>
              <w:pStyle w:val="Encabezado"/>
              <w:spacing w:line="360" w:lineRule="auto"/>
              <w:jc w:val="center"/>
              <w:rPr>
                <w:sz w:val="16"/>
                <w:szCs w:val="16"/>
              </w:rPr>
            </w:pPr>
            <w:r w:rsidRPr="00EC47A2">
              <w:rPr>
                <w:sz w:val="16"/>
                <w:szCs w:val="16"/>
              </w:rPr>
              <w:t>CÓDIGO</w:t>
            </w:r>
          </w:p>
        </w:tc>
        <w:tc>
          <w:tcPr>
            <w:tcW w:w="929" w:type="pct"/>
            <w:vAlign w:val="center"/>
          </w:tcPr>
          <w:p w14:paraId="616CBE97" w14:textId="793BC419" w:rsidR="00AC36B3" w:rsidRPr="00EC47A2" w:rsidRDefault="00AC36B3"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9E18A5">
              <w:rPr>
                <w:sz w:val="16"/>
                <w:szCs w:val="16"/>
              </w:rPr>
              <w:t>27</w:t>
            </w:r>
            <w:r w:rsidRPr="00EC47A2">
              <w:rPr>
                <w:sz w:val="16"/>
                <w:szCs w:val="16"/>
              </w:rPr>
              <w:t xml:space="preserve"> - 25</w:t>
            </w:r>
          </w:p>
        </w:tc>
      </w:tr>
      <w:tr w:rsidR="00AC36B3" w14:paraId="2AF939F6" w14:textId="77777777" w:rsidTr="00882A6A">
        <w:trPr>
          <w:cantSplit/>
          <w:trHeight w:val="63"/>
        </w:trPr>
        <w:tc>
          <w:tcPr>
            <w:tcW w:w="1428" w:type="pct"/>
            <w:vMerge/>
            <w:tcBorders>
              <w:bottom w:val="single" w:sz="4" w:space="0" w:color="auto"/>
            </w:tcBorders>
            <w:vAlign w:val="center"/>
          </w:tcPr>
          <w:p w14:paraId="462F62EB" w14:textId="77777777" w:rsidR="00AC36B3" w:rsidRDefault="00AC36B3" w:rsidP="00882A6A">
            <w:pPr>
              <w:pStyle w:val="Encabezado"/>
              <w:jc w:val="center"/>
              <w:rPr>
                <w:b/>
                <w:sz w:val="28"/>
                <w:szCs w:val="28"/>
              </w:rPr>
            </w:pPr>
          </w:p>
        </w:tc>
        <w:tc>
          <w:tcPr>
            <w:tcW w:w="2144" w:type="pct"/>
            <w:vMerge/>
            <w:vAlign w:val="center"/>
          </w:tcPr>
          <w:p w14:paraId="22F2B374" w14:textId="77777777" w:rsidR="00AC36B3" w:rsidRPr="00D335DF" w:rsidRDefault="00AC36B3" w:rsidP="00882A6A">
            <w:pPr>
              <w:pStyle w:val="Encabezado"/>
              <w:jc w:val="center"/>
              <w:rPr>
                <w:b/>
                <w:sz w:val="28"/>
                <w:szCs w:val="28"/>
              </w:rPr>
            </w:pPr>
          </w:p>
        </w:tc>
        <w:tc>
          <w:tcPr>
            <w:tcW w:w="499" w:type="pct"/>
            <w:vAlign w:val="center"/>
          </w:tcPr>
          <w:p w14:paraId="53DB3A10" w14:textId="77777777" w:rsidR="00AC36B3" w:rsidRPr="00EC47A2" w:rsidRDefault="00AC36B3" w:rsidP="00882A6A">
            <w:pPr>
              <w:pStyle w:val="Encabezado"/>
              <w:spacing w:line="360" w:lineRule="auto"/>
              <w:jc w:val="center"/>
              <w:rPr>
                <w:sz w:val="16"/>
                <w:szCs w:val="16"/>
              </w:rPr>
            </w:pPr>
            <w:r w:rsidRPr="00EC47A2">
              <w:rPr>
                <w:sz w:val="16"/>
                <w:szCs w:val="16"/>
              </w:rPr>
              <w:t>VERSIÓN</w:t>
            </w:r>
          </w:p>
        </w:tc>
        <w:tc>
          <w:tcPr>
            <w:tcW w:w="929" w:type="pct"/>
            <w:vAlign w:val="center"/>
          </w:tcPr>
          <w:p w14:paraId="1C4F583F" w14:textId="77777777" w:rsidR="00AC36B3" w:rsidRPr="00EC47A2" w:rsidRDefault="00AC36B3" w:rsidP="00882A6A">
            <w:pPr>
              <w:pStyle w:val="Encabezado"/>
              <w:spacing w:line="360" w:lineRule="auto"/>
              <w:jc w:val="center"/>
              <w:rPr>
                <w:sz w:val="16"/>
                <w:szCs w:val="16"/>
              </w:rPr>
            </w:pPr>
            <w:r w:rsidRPr="00EC47A2">
              <w:rPr>
                <w:sz w:val="16"/>
                <w:szCs w:val="16"/>
              </w:rPr>
              <w:t>01-2016</w:t>
            </w:r>
          </w:p>
        </w:tc>
      </w:tr>
      <w:tr w:rsidR="00AC36B3" w14:paraId="30CEBF26" w14:textId="77777777" w:rsidTr="00882A6A">
        <w:trPr>
          <w:cantSplit/>
          <w:trHeight w:val="322"/>
        </w:trPr>
        <w:tc>
          <w:tcPr>
            <w:tcW w:w="1428" w:type="pct"/>
            <w:vMerge/>
            <w:tcBorders>
              <w:bottom w:val="single" w:sz="4" w:space="0" w:color="auto"/>
            </w:tcBorders>
            <w:vAlign w:val="center"/>
          </w:tcPr>
          <w:p w14:paraId="36315A60" w14:textId="77777777" w:rsidR="00AC36B3" w:rsidRDefault="00AC36B3" w:rsidP="00882A6A">
            <w:pPr>
              <w:pStyle w:val="Encabezado"/>
              <w:jc w:val="center"/>
              <w:rPr>
                <w:b/>
                <w:sz w:val="28"/>
                <w:szCs w:val="28"/>
              </w:rPr>
            </w:pPr>
          </w:p>
        </w:tc>
        <w:tc>
          <w:tcPr>
            <w:tcW w:w="2144" w:type="pct"/>
            <w:vMerge/>
            <w:vAlign w:val="center"/>
          </w:tcPr>
          <w:p w14:paraId="1E64DDB5" w14:textId="77777777" w:rsidR="00AC36B3" w:rsidRPr="00D335DF" w:rsidRDefault="00AC36B3" w:rsidP="00882A6A">
            <w:pPr>
              <w:pStyle w:val="Encabezado"/>
              <w:jc w:val="center"/>
              <w:rPr>
                <w:b/>
                <w:sz w:val="28"/>
                <w:szCs w:val="28"/>
              </w:rPr>
            </w:pPr>
          </w:p>
        </w:tc>
        <w:tc>
          <w:tcPr>
            <w:tcW w:w="499" w:type="pct"/>
            <w:vAlign w:val="center"/>
          </w:tcPr>
          <w:p w14:paraId="1E9A3183" w14:textId="77777777" w:rsidR="00AC36B3" w:rsidRPr="00EC47A2" w:rsidRDefault="00AC36B3" w:rsidP="00882A6A">
            <w:pPr>
              <w:pStyle w:val="Encabezado"/>
              <w:spacing w:line="360" w:lineRule="auto"/>
              <w:jc w:val="center"/>
              <w:rPr>
                <w:sz w:val="16"/>
                <w:szCs w:val="16"/>
              </w:rPr>
            </w:pPr>
            <w:r w:rsidRPr="00EC47A2">
              <w:rPr>
                <w:sz w:val="16"/>
                <w:szCs w:val="16"/>
              </w:rPr>
              <w:t>PÁGINA</w:t>
            </w:r>
          </w:p>
        </w:tc>
        <w:tc>
          <w:tcPr>
            <w:tcW w:w="929" w:type="pct"/>
            <w:vAlign w:val="center"/>
          </w:tcPr>
          <w:p w14:paraId="1C6A3061" w14:textId="77777777" w:rsidR="00AC36B3" w:rsidRPr="00EC47A2" w:rsidRDefault="00AC36B3" w:rsidP="00882A6A">
            <w:pPr>
              <w:pStyle w:val="Encabezado"/>
              <w:spacing w:line="360" w:lineRule="auto"/>
              <w:jc w:val="center"/>
              <w:rPr>
                <w:sz w:val="16"/>
                <w:szCs w:val="16"/>
              </w:rPr>
            </w:pPr>
            <w:r w:rsidRPr="00EC47A2">
              <w:rPr>
                <w:b/>
                <w:sz w:val="16"/>
                <w:szCs w:val="16"/>
              </w:rPr>
              <w:t>1</w:t>
            </w:r>
          </w:p>
        </w:tc>
      </w:tr>
    </w:tbl>
    <w:p w14:paraId="0687DA58" w14:textId="77777777" w:rsidR="00AC36B3" w:rsidRDefault="00AC36B3" w:rsidP="00AC36B3">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24D004AA" w14:textId="77777777" w:rsidR="00AC36B3" w:rsidRDefault="00AC36B3" w:rsidP="00AC36B3">
      <w:pPr>
        <w:jc w:val="both"/>
        <w:rPr>
          <w:bCs/>
          <w:sz w:val="28"/>
          <w:szCs w:val="28"/>
          <w:lang w:val="es-MX"/>
        </w:rPr>
      </w:pPr>
    </w:p>
    <w:p w14:paraId="5B4FA50E" w14:textId="77777777" w:rsidR="00AC36B3" w:rsidRDefault="00AC36B3" w:rsidP="00AC36B3">
      <w:pPr>
        <w:jc w:val="both"/>
        <w:rPr>
          <w:bCs/>
          <w:sz w:val="28"/>
          <w:szCs w:val="28"/>
          <w:lang w:val="es-MX"/>
        </w:rPr>
      </w:pPr>
    </w:p>
    <w:p w14:paraId="197BE5E0" w14:textId="77777777" w:rsidR="00AC36B3" w:rsidRPr="008518BC" w:rsidRDefault="00AC36B3" w:rsidP="008518BC">
      <w:pPr>
        <w:pStyle w:val="Prrafodelista"/>
        <w:ind w:left="0" w:right="49"/>
        <w:jc w:val="both"/>
        <w:rPr>
          <w:sz w:val="28"/>
          <w:szCs w:val="28"/>
        </w:rPr>
      </w:pPr>
    </w:p>
    <w:p w14:paraId="412E8968" w14:textId="77777777" w:rsidR="00AC36B3" w:rsidRPr="00DB63C7" w:rsidRDefault="00AC36B3" w:rsidP="00AC36B3">
      <w:pPr>
        <w:pStyle w:val="Prrafodelista"/>
        <w:ind w:left="0" w:right="49"/>
        <w:jc w:val="both"/>
        <w:rPr>
          <w:sz w:val="28"/>
          <w:szCs w:val="28"/>
        </w:rPr>
      </w:pPr>
      <w:r w:rsidRPr="00DB63C7">
        <w:rPr>
          <w:sz w:val="28"/>
          <w:szCs w:val="28"/>
        </w:rPr>
        <w:t>Doctor</w:t>
      </w:r>
    </w:p>
    <w:p w14:paraId="50D955A9" w14:textId="77777777" w:rsidR="009E18A5" w:rsidRPr="008518BC" w:rsidRDefault="009E18A5" w:rsidP="008518BC">
      <w:pPr>
        <w:pStyle w:val="Prrafodelista"/>
        <w:ind w:left="0" w:right="49"/>
        <w:jc w:val="both"/>
        <w:rPr>
          <w:b/>
          <w:bCs/>
          <w:sz w:val="28"/>
          <w:szCs w:val="28"/>
        </w:rPr>
      </w:pPr>
      <w:r w:rsidRPr="009E18A5">
        <w:rPr>
          <w:b/>
          <w:bCs/>
          <w:sz w:val="28"/>
          <w:szCs w:val="28"/>
        </w:rPr>
        <w:t>RANGEL GIOVANI YULE ZAPE</w:t>
      </w:r>
    </w:p>
    <w:p w14:paraId="6DC0FC80" w14:textId="021ADAC2" w:rsidR="00AC36B3" w:rsidRPr="00C73E3F" w:rsidRDefault="003928AA" w:rsidP="00AC36B3">
      <w:pPr>
        <w:pStyle w:val="Prrafodelista"/>
        <w:ind w:left="0" w:right="49"/>
        <w:jc w:val="both"/>
        <w:rPr>
          <w:sz w:val="28"/>
          <w:szCs w:val="28"/>
        </w:rPr>
      </w:pPr>
      <w:r>
        <w:rPr>
          <w:sz w:val="28"/>
          <w:szCs w:val="28"/>
        </w:rPr>
        <w:t>Gerente</w:t>
      </w:r>
    </w:p>
    <w:p w14:paraId="13454341" w14:textId="77777777" w:rsidR="003928AA" w:rsidRPr="008518BC" w:rsidRDefault="003928AA" w:rsidP="008518BC">
      <w:pPr>
        <w:pStyle w:val="Prrafodelista"/>
        <w:ind w:left="0" w:right="49"/>
        <w:jc w:val="both"/>
        <w:rPr>
          <w:sz w:val="28"/>
          <w:szCs w:val="28"/>
        </w:rPr>
      </w:pPr>
      <w:r w:rsidRPr="003928AA">
        <w:rPr>
          <w:sz w:val="28"/>
          <w:szCs w:val="28"/>
        </w:rPr>
        <w:t>U.A.E. de Gestión de Restitución de Tierras Despojadas</w:t>
      </w:r>
    </w:p>
    <w:p w14:paraId="746F7E84" w14:textId="0E1DF494" w:rsidR="005D002F" w:rsidRPr="008518BC" w:rsidRDefault="005D002F" w:rsidP="008518BC">
      <w:pPr>
        <w:pStyle w:val="Prrafodelista"/>
        <w:ind w:left="0" w:right="49"/>
        <w:jc w:val="both"/>
        <w:rPr>
          <w:sz w:val="28"/>
          <w:szCs w:val="28"/>
        </w:rPr>
      </w:pPr>
      <w:r w:rsidRPr="005D002F">
        <w:rPr>
          <w:sz w:val="28"/>
          <w:szCs w:val="28"/>
        </w:rPr>
        <w:t>C</w:t>
      </w:r>
      <w:r w:rsidRPr="008518BC">
        <w:rPr>
          <w:sz w:val="28"/>
          <w:szCs w:val="28"/>
        </w:rPr>
        <w:t>ra</w:t>
      </w:r>
      <w:r w:rsidRPr="005D002F">
        <w:rPr>
          <w:sz w:val="28"/>
          <w:szCs w:val="28"/>
        </w:rPr>
        <w:t xml:space="preserve"> 13A No.29-24, </w:t>
      </w:r>
      <w:r w:rsidR="006A3C03">
        <w:rPr>
          <w:sz w:val="28"/>
          <w:szCs w:val="28"/>
        </w:rPr>
        <w:t>E</w:t>
      </w:r>
      <w:r w:rsidRPr="005D002F">
        <w:rPr>
          <w:sz w:val="28"/>
          <w:szCs w:val="28"/>
        </w:rPr>
        <w:t>dificio Allianz, Piso 9</w:t>
      </w:r>
    </w:p>
    <w:p w14:paraId="185C3E48" w14:textId="77777777" w:rsidR="00AC36B3" w:rsidRPr="00DB63C7" w:rsidRDefault="00AC36B3" w:rsidP="00AC36B3">
      <w:pPr>
        <w:pStyle w:val="Prrafodelista"/>
        <w:ind w:left="0" w:right="49"/>
        <w:jc w:val="both"/>
        <w:rPr>
          <w:sz w:val="28"/>
          <w:szCs w:val="28"/>
        </w:rPr>
      </w:pPr>
      <w:r w:rsidRPr="00DB63C7">
        <w:rPr>
          <w:sz w:val="28"/>
          <w:szCs w:val="28"/>
        </w:rPr>
        <w:t xml:space="preserve">Bogotá, D.C. </w:t>
      </w:r>
    </w:p>
    <w:p w14:paraId="25CDFCBE" w14:textId="77777777" w:rsidR="00AC36B3" w:rsidRDefault="00AC36B3" w:rsidP="00AC36B3">
      <w:pPr>
        <w:rPr>
          <w:sz w:val="28"/>
          <w:szCs w:val="28"/>
        </w:rPr>
      </w:pPr>
    </w:p>
    <w:p w14:paraId="6A65BB6B" w14:textId="77777777" w:rsidR="00AC36B3" w:rsidRPr="00DB63C7" w:rsidRDefault="00AC36B3" w:rsidP="00AC36B3">
      <w:pPr>
        <w:rPr>
          <w:sz w:val="28"/>
          <w:szCs w:val="28"/>
        </w:rPr>
      </w:pPr>
    </w:p>
    <w:p w14:paraId="5BD3F320" w14:textId="5E31076D" w:rsidR="00AC36B3" w:rsidRDefault="00AC36B3" w:rsidP="00AC36B3">
      <w:pPr>
        <w:rPr>
          <w:sz w:val="28"/>
          <w:szCs w:val="28"/>
        </w:rPr>
      </w:pPr>
      <w:r w:rsidRPr="00DB63C7">
        <w:rPr>
          <w:sz w:val="28"/>
          <w:szCs w:val="28"/>
        </w:rPr>
        <w:t xml:space="preserve">Respetado Doctor </w:t>
      </w:r>
      <w:r w:rsidR="003928AA">
        <w:rPr>
          <w:sz w:val="28"/>
          <w:szCs w:val="28"/>
        </w:rPr>
        <w:t>Yule</w:t>
      </w:r>
      <w:r w:rsidRPr="00DB63C7">
        <w:rPr>
          <w:sz w:val="28"/>
          <w:szCs w:val="28"/>
        </w:rPr>
        <w:t>:</w:t>
      </w:r>
    </w:p>
    <w:bookmarkEnd w:id="0"/>
    <w:p w14:paraId="372A83FD" w14:textId="7B8B3A37" w:rsidR="00921BC5" w:rsidRDefault="00921BC5" w:rsidP="00921BC5">
      <w:pPr>
        <w:pStyle w:val="Prrafodelista"/>
        <w:ind w:left="0" w:right="-93"/>
        <w:jc w:val="both"/>
        <w:rPr>
          <w:sz w:val="28"/>
          <w:szCs w:val="28"/>
        </w:rPr>
      </w:pPr>
    </w:p>
    <w:p w14:paraId="27453DE7" w14:textId="77777777" w:rsidR="00923D3E" w:rsidRDefault="00923D3E" w:rsidP="00921BC5">
      <w:pPr>
        <w:pStyle w:val="Prrafodelista"/>
        <w:ind w:left="0" w:right="-93"/>
        <w:jc w:val="both"/>
        <w:rPr>
          <w:sz w:val="28"/>
          <w:szCs w:val="28"/>
        </w:rPr>
      </w:pPr>
    </w:p>
    <w:p w14:paraId="75164F0F" w14:textId="77777777" w:rsidR="00921BC5" w:rsidRPr="00ED6E5A" w:rsidRDefault="00921BC5" w:rsidP="007E3EDE">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73E3DD98" w14:textId="77777777" w:rsidR="00921BC5" w:rsidRPr="00ED6E5A" w:rsidRDefault="00921BC5" w:rsidP="007E3EDE">
      <w:pPr>
        <w:pStyle w:val="Prrafodelista"/>
        <w:ind w:left="0" w:right="49" w:hanging="284"/>
        <w:jc w:val="both"/>
        <w:rPr>
          <w:sz w:val="28"/>
          <w:szCs w:val="28"/>
        </w:rPr>
      </w:pPr>
    </w:p>
    <w:p w14:paraId="07B906D6" w14:textId="77777777" w:rsidR="00921BC5" w:rsidRDefault="00921BC5" w:rsidP="007E3EDE">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047E189" w14:textId="77777777" w:rsidR="00921BC5" w:rsidRDefault="00921BC5" w:rsidP="007E3EDE">
      <w:pPr>
        <w:pStyle w:val="Prrafodelista"/>
        <w:ind w:left="0" w:right="49"/>
        <w:jc w:val="both"/>
        <w:rPr>
          <w:sz w:val="28"/>
          <w:szCs w:val="28"/>
        </w:rPr>
      </w:pPr>
    </w:p>
    <w:p w14:paraId="40A41B89" w14:textId="77777777" w:rsidR="00921BC5" w:rsidRDefault="00921BC5" w:rsidP="007E3EDE">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w:t>
      </w:r>
      <w:r w:rsidRPr="00052991">
        <w:rPr>
          <w:b/>
          <w:bCs/>
          <w:sz w:val="28"/>
          <w:szCs w:val="28"/>
        </w:rPr>
        <w:lastRenderedPageBreak/>
        <w:t>corto plazo la razonabilidad debida en los informes financieros de su entidad.</w:t>
      </w:r>
    </w:p>
    <w:bookmarkEnd w:id="1"/>
    <w:p w14:paraId="72C13DA5" w14:textId="77777777" w:rsidR="00921BC5" w:rsidRDefault="00921BC5" w:rsidP="007E3EDE">
      <w:pPr>
        <w:pStyle w:val="Prrafodelista"/>
        <w:ind w:left="0" w:right="49"/>
        <w:jc w:val="both"/>
        <w:rPr>
          <w:sz w:val="28"/>
          <w:szCs w:val="28"/>
        </w:rPr>
      </w:pPr>
    </w:p>
    <w:p w14:paraId="7A66CBD6" w14:textId="2BD95E10" w:rsidR="00921BC5" w:rsidRDefault="00921BC5" w:rsidP="007E3EDE">
      <w:pPr>
        <w:pStyle w:val="Ttulo1"/>
        <w:ind w:left="0" w:right="49"/>
        <w:rPr>
          <w:sz w:val="28"/>
          <w:szCs w:val="28"/>
        </w:rPr>
      </w:pPr>
      <w:bookmarkStart w:id="5" w:name="_Hlk207872145"/>
      <w:bookmarkStart w:id="6" w:name="_Hlk207787968"/>
      <w:bookmarkStart w:id="7" w:name="_Hlk207874972"/>
      <w:bookmarkStart w:id="8" w:name="_Hlk207876602"/>
      <w:bookmarkEnd w:id="2"/>
      <w:bookmarkEnd w:id="3"/>
      <w:r w:rsidRPr="007C3032">
        <w:rPr>
          <w:sz w:val="28"/>
          <w:szCs w:val="28"/>
        </w:rPr>
        <w:t>1.- OPINIÓN</w:t>
      </w:r>
      <w:r w:rsidRPr="007C3032">
        <w:rPr>
          <w:spacing w:val="1"/>
          <w:sz w:val="28"/>
          <w:szCs w:val="28"/>
        </w:rPr>
        <w:t xml:space="preserve"> PRESUPUESTAL</w:t>
      </w:r>
      <w:r w:rsidRPr="007C3032">
        <w:rPr>
          <w:sz w:val="28"/>
          <w:szCs w:val="28"/>
        </w:rPr>
        <w:t>,</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2BA6C46E" w14:textId="427653D5" w:rsidR="00921BC5" w:rsidRDefault="00921BC5" w:rsidP="00921BC5">
      <w:pPr>
        <w:pStyle w:val="Ttulo1"/>
        <w:ind w:left="0" w:right="-234"/>
        <w:rPr>
          <w:sz w:val="28"/>
          <w:szCs w:val="28"/>
        </w:rPr>
      </w:pPr>
    </w:p>
    <w:tbl>
      <w:tblPr>
        <w:tblStyle w:val="Tablaconcuadrcula"/>
        <w:tblW w:w="9743" w:type="dxa"/>
        <w:jc w:val="center"/>
        <w:tblLook w:val="04A0" w:firstRow="1" w:lastRow="0" w:firstColumn="1" w:lastColumn="0" w:noHBand="0" w:noVBand="1"/>
      </w:tblPr>
      <w:tblGrid>
        <w:gridCol w:w="2795"/>
        <w:gridCol w:w="1868"/>
        <w:gridCol w:w="1568"/>
        <w:gridCol w:w="1672"/>
        <w:gridCol w:w="1840"/>
      </w:tblGrid>
      <w:tr w:rsidR="00921BC5" w:rsidRPr="00F15305" w14:paraId="280C4385" w14:textId="77777777" w:rsidTr="00D306E1">
        <w:trPr>
          <w:trHeight w:val="1741"/>
          <w:jc w:val="center"/>
        </w:trPr>
        <w:tc>
          <w:tcPr>
            <w:tcW w:w="2795" w:type="dxa"/>
          </w:tcPr>
          <w:p w14:paraId="7956AF78" w14:textId="77777777" w:rsidR="00921BC5" w:rsidRPr="00F15305" w:rsidRDefault="00921BC5"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0D967B05" w14:textId="77777777" w:rsidR="00921BC5" w:rsidRPr="00F15305" w:rsidRDefault="00921BC5"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60FA1BFF" w14:textId="77777777" w:rsidR="00921BC5" w:rsidRDefault="00921BC5" w:rsidP="00D306E1">
            <w:pPr>
              <w:pStyle w:val="Textoindependiente"/>
              <w:ind w:right="29"/>
              <w:jc w:val="center"/>
              <w:rPr>
                <w:b/>
                <w:sz w:val="20"/>
                <w:szCs w:val="20"/>
              </w:rPr>
            </w:pPr>
            <w:r w:rsidRPr="00F15305">
              <w:rPr>
                <w:b/>
                <w:sz w:val="20"/>
                <w:szCs w:val="20"/>
              </w:rPr>
              <w:t xml:space="preserve">0PINIÓN CONTABLE SEGÚN LA </w:t>
            </w:r>
          </w:p>
          <w:p w14:paraId="7610F3C7" w14:textId="77777777" w:rsidR="00921BC5" w:rsidRPr="00F15305" w:rsidRDefault="00921BC5" w:rsidP="00D306E1">
            <w:pPr>
              <w:pStyle w:val="Textoindependiente"/>
              <w:ind w:right="29"/>
              <w:jc w:val="center"/>
              <w:rPr>
                <w:b/>
                <w:sz w:val="20"/>
                <w:szCs w:val="20"/>
              </w:rPr>
            </w:pPr>
            <w:r w:rsidRPr="00F15305">
              <w:rPr>
                <w:b/>
                <w:sz w:val="20"/>
                <w:szCs w:val="20"/>
              </w:rPr>
              <w:t xml:space="preserve">CGR </w:t>
            </w:r>
          </w:p>
          <w:p w14:paraId="036519F3" w14:textId="77777777" w:rsidR="00921BC5" w:rsidRPr="00F15305" w:rsidRDefault="00921BC5" w:rsidP="00D306E1">
            <w:pPr>
              <w:pStyle w:val="Textoindependiente"/>
              <w:ind w:right="29"/>
              <w:jc w:val="center"/>
              <w:rPr>
                <w:b/>
                <w:sz w:val="20"/>
                <w:szCs w:val="20"/>
              </w:rPr>
            </w:pPr>
            <w:r w:rsidRPr="00F15305">
              <w:rPr>
                <w:b/>
                <w:sz w:val="20"/>
                <w:szCs w:val="20"/>
              </w:rPr>
              <w:t>2024</w:t>
            </w:r>
          </w:p>
        </w:tc>
        <w:tc>
          <w:tcPr>
            <w:tcW w:w="1672" w:type="dxa"/>
          </w:tcPr>
          <w:p w14:paraId="58A12E1B" w14:textId="77777777" w:rsidR="00921BC5" w:rsidRDefault="00921BC5" w:rsidP="00D306E1">
            <w:pPr>
              <w:pStyle w:val="Textoindependiente"/>
              <w:ind w:right="29"/>
              <w:jc w:val="center"/>
              <w:rPr>
                <w:b/>
                <w:sz w:val="20"/>
                <w:szCs w:val="20"/>
              </w:rPr>
            </w:pPr>
            <w:r w:rsidRPr="00F15305">
              <w:rPr>
                <w:b/>
                <w:sz w:val="20"/>
                <w:szCs w:val="20"/>
              </w:rPr>
              <w:t xml:space="preserve">EVALUACIÓN CONTROL INTERNO FINANCIERO SEGÚN LA </w:t>
            </w:r>
          </w:p>
          <w:p w14:paraId="3A72AFCE" w14:textId="77777777" w:rsidR="00921BC5" w:rsidRPr="00F15305" w:rsidRDefault="00921BC5" w:rsidP="00D306E1">
            <w:pPr>
              <w:pStyle w:val="Textoindependiente"/>
              <w:ind w:right="29"/>
              <w:jc w:val="center"/>
              <w:rPr>
                <w:b/>
                <w:sz w:val="20"/>
                <w:szCs w:val="20"/>
              </w:rPr>
            </w:pPr>
            <w:r w:rsidRPr="00F15305">
              <w:rPr>
                <w:b/>
                <w:sz w:val="20"/>
                <w:szCs w:val="20"/>
              </w:rPr>
              <w:t xml:space="preserve">CGR </w:t>
            </w:r>
          </w:p>
          <w:p w14:paraId="5CCF3E30" w14:textId="77777777" w:rsidR="00921BC5" w:rsidRPr="00F15305" w:rsidRDefault="00921BC5" w:rsidP="00D306E1">
            <w:pPr>
              <w:pStyle w:val="Textoindependiente"/>
              <w:ind w:right="29"/>
              <w:jc w:val="center"/>
              <w:rPr>
                <w:b/>
                <w:sz w:val="20"/>
                <w:szCs w:val="20"/>
              </w:rPr>
            </w:pPr>
            <w:r w:rsidRPr="00F15305">
              <w:rPr>
                <w:b/>
                <w:sz w:val="20"/>
                <w:szCs w:val="20"/>
              </w:rPr>
              <w:t>2024</w:t>
            </w:r>
          </w:p>
          <w:p w14:paraId="159194CD" w14:textId="77777777" w:rsidR="00921BC5" w:rsidRPr="00F15305" w:rsidRDefault="00921BC5" w:rsidP="00D306E1">
            <w:pPr>
              <w:pStyle w:val="Textoindependiente"/>
              <w:ind w:right="29"/>
              <w:jc w:val="center"/>
              <w:rPr>
                <w:b/>
                <w:sz w:val="20"/>
                <w:szCs w:val="20"/>
              </w:rPr>
            </w:pPr>
          </w:p>
        </w:tc>
        <w:tc>
          <w:tcPr>
            <w:tcW w:w="1840" w:type="dxa"/>
          </w:tcPr>
          <w:p w14:paraId="0D063C64" w14:textId="77777777" w:rsidR="00921BC5" w:rsidRPr="00F15305" w:rsidRDefault="00921BC5" w:rsidP="00D306E1">
            <w:pPr>
              <w:pStyle w:val="Textoindependiente"/>
              <w:ind w:right="29"/>
              <w:jc w:val="center"/>
              <w:rPr>
                <w:b/>
                <w:sz w:val="20"/>
                <w:szCs w:val="20"/>
              </w:rPr>
            </w:pPr>
            <w:r w:rsidRPr="00F15305">
              <w:rPr>
                <w:b/>
                <w:sz w:val="20"/>
                <w:szCs w:val="20"/>
              </w:rPr>
              <w:t xml:space="preserve">FENECIMIENTO DE LA CUENTA FISCAL POR PARTE DE LA CGR </w:t>
            </w:r>
          </w:p>
          <w:p w14:paraId="4347797B" w14:textId="77777777" w:rsidR="00921BC5" w:rsidRPr="00F15305" w:rsidRDefault="00921BC5" w:rsidP="00D306E1">
            <w:pPr>
              <w:pStyle w:val="Textoindependiente"/>
              <w:ind w:right="29"/>
              <w:jc w:val="center"/>
              <w:rPr>
                <w:b/>
                <w:sz w:val="20"/>
                <w:szCs w:val="20"/>
              </w:rPr>
            </w:pPr>
            <w:r w:rsidRPr="00F15305">
              <w:rPr>
                <w:b/>
                <w:sz w:val="20"/>
                <w:szCs w:val="20"/>
              </w:rPr>
              <w:t>2024</w:t>
            </w:r>
          </w:p>
        </w:tc>
      </w:tr>
      <w:tr w:rsidR="00921BC5" w:rsidRPr="00F15305" w14:paraId="4FA6954B" w14:textId="77777777" w:rsidTr="00D306E1">
        <w:trPr>
          <w:jc w:val="center"/>
        </w:trPr>
        <w:tc>
          <w:tcPr>
            <w:tcW w:w="2795" w:type="dxa"/>
          </w:tcPr>
          <w:p w14:paraId="79870501" w14:textId="77777777" w:rsidR="00921BC5" w:rsidRPr="00F15305" w:rsidRDefault="00921BC5" w:rsidP="00D306E1">
            <w:pPr>
              <w:pStyle w:val="Textoindependiente"/>
              <w:ind w:right="29"/>
              <w:jc w:val="both"/>
              <w:rPr>
                <w:b/>
                <w:sz w:val="20"/>
                <w:szCs w:val="20"/>
                <w:lang w:eastAsia="es-CO"/>
              </w:rPr>
            </w:pPr>
            <w:r w:rsidRPr="00F15305">
              <w:rPr>
                <w:b/>
                <w:sz w:val="20"/>
                <w:szCs w:val="20"/>
              </w:rPr>
              <w:t>U.A.E. DE GESTIÓN DE RESTITUCIÓN DE TIERRAS DESPOJADAS.</w:t>
            </w:r>
          </w:p>
        </w:tc>
        <w:tc>
          <w:tcPr>
            <w:tcW w:w="1868" w:type="dxa"/>
          </w:tcPr>
          <w:p w14:paraId="4BD7E056" w14:textId="77777777" w:rsidR="00921BC5" w:rsidRPr="00F15305" w:rsidRDefault="00921BC5" w:rsidP="00D306E1">
            <w:pPr>
              <w:pStyle w:val="Textoindependiente"/>
              <w:ind w:right="29"/>
              <w:jc w:val="center"/>
              <w:rPr>
                <w:b/>
                <w:sz w:val="20"/>
                <w:szCs w:val="20"/>
                <w:u w:val="single"/>
              </w:rPr>
            </w:pPr>
            <w:r w:rsidRPr="00F15305">
              <w:rPr>
                <w:b/>
                <w:sz w:val="20"/>
                <w:szCs w:val="20"/>
                <w:u w:val="single"/>
              </w:rPr>
              <w:t>NO</w:t>
            </w:r>
          </w:p>
          <w:p w14:paraId="33C62F84" w14:textId="77777777" w:rsidR="00921BC5" w:rsidRPr="00F15305" w:rsidRDefault="00921BC5" w:rsidP="00D306E1">
            <w:pPr>
              <w:pStyle w:val="Textoindependiente"/>
              <w:ind w:right="29"/>
              <w:jc w:val="center"/>
              <w:rPr>
                <w:b/>
                <w:sz w:val="20"/>
                <w:szCs w:val="20"/>
                <w:u w:val="single"/>
              </w:rPr>
            </w:pPr>
            <w:r w:rsidRPr="00F15305">
              <w:rPr>
                <w:b/>
                <w:sz w:val="20"/>
                <w:szCs w:val="20"/>
                <w:u w:val="single"/>
              </w:rPr>
              <w:t>RAZONABLE</w:t>
            </w:r>
          </w:p>
        </w:tc>
        <w:tc>
          <w:tcPr>
            <w:tcW w:w="1568" w:type="dxa"/>
          </w:tcPr>
          <w:p w14:paraId="5519A07C" w14:textId="77777777" w:rsidR="00921BC5" w:rsidRPr="00F15305" w:rsidRDefault="00921BC5" w:rsidP="00D306E1">
            <w:pPr>
              <w:pStyle w:val="Textoindependiente"/>
              <w:ind w:right="29"/>
              <w:jc w:val="center"/>
              <w:rPr>
                <w:b/>
                <w:bCs/>
                <w:sz w:val="20"/>
                <w:szCs w:val="20"/>
                <w:u w:val="single"/>
                <w:lang w:eastAsia="es-CO"/>
              </w:rPr>
            </w:pPr>
          </w:p>
        </w:tc>
        <w:tc>
          <w:tcPr>
            <w:tcW w:w="1672" w:type="dxa"/>
          </w:tcPr>
          <w:p w14:paraId="532EA477" w14:textId="77777777" w:rsidR="00921BC5" w:rsidRPr="00F15305" w:rsidRDefault="00921BC5" w:rsidP="00D306E1">
            <w:pPr>
              <w:pStyle w:val="Textoindependiente"/>
              <w:ind w:right="29"/>
              <w:jc w:val="center"/>
              <w:rPr>
                <w:b/>
                <w:bCs/>
                <w:sz w:val="20"/>
                <w:szCs w:val="20"/>
                <w:lang w:eastAsia="es-CO"/>
              </w:rPr>
            </w:pPr>
            <w:r w:rsidRPr="00F15305">
              <w:rPr>
                <w:b/>
                <w:bCs/>
                <w:sz w:val="20"/>
                <w:szCs w:val="20"/>
                <w:lang w:eastAsia="es-CO"/>
              </w:rPr>
              <w:t>CON</w:t>
            </w:r>
          </w:p>
          <w:p w14:paraId="3F6846E4" w14:textId="77777777" w:rsidR="00921BC5" w:rsidRPr="00F15305" w:rsidRDefault="00921BC5"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1E74749E" w14:textId="77777777" w:rsidR="00921BC5" w:rsidRPr="00F15305" w:rsidRDefault="00921BC5" w:rsidP="00D306E1">
            <w:pPr>
              <w:pStyle w:val="Textoindependiente"/>
              <w:ind w:right="29"/>
              <w:jc w:val="center"/>
              <w:rPr>
                <w:b/>
                <w:sz w:val="20"/>
                <w:szCs w:val="20"/>
              </w:rPr>
            </w:pPr>
            <w:r w:rsidRPr="00F15305">
              <w:rPr>
                <w:b/>
                <w:sz w:val="20"/>
                <w:szCs w:val="20"/>
              </w:rPr>
              <w:t>NO SE</w:t>
            </w:r>
          </w:p>
          <w:p w14:paraId="74AA986D" w14:textId="77777777" w:rsidR="00921BC5" w:rsidRPr="00F15305" w:rsidRDefault="00921BC5" w:rsidP="00D306E1">
            <w:pPr>
              <w:pStyle w:val="Textoindependiente"/>
              <w:ind w:right="29"/>
              <w:jc w:val="center"/>
              <w:rPr>
                <w:b/>
                <w:sz w:val="20"/>
                <w:szCs w:val="20"/>
              </w:rPr>
            </w:pPr>
            <w:r w:rsidRPr="00F15305">
              <w:rPr>
                <w:b/>
                <w:sz w:val="20"/>
                <w:szCs w:val="20"/>
              </w:rPr>
              <w:t>FENECE</w:t>
            </w:r>
          </w:p>
        </w:tc>
      </w:tr>
    </w:tbl>
    <w:p w14:paraId="507AE027" w14:textId="77777777" w:rsidR="00921BC5" w:rsidRPr="007C3032" w:rsidRDefault="00921BC5" w:rsidP="00921BC5">
      <w:pPr>
        <w:pStyle w:val="Ttulo1"/>
        <w:ind w:left="0" w:right="-234"/>
        <w:rPr>
          <w:b w:val="0"/>
          <w:bCs w:val="0"/>
          <w:sz w:val="28"/>
          <w:szCs w:val="28"/>
        </w:rPr>
      </w:pPr>
    </w:p>
    <w:p w14:paraId="205F9201" w14:textId="2A704DDD" w:rsidR="00921BC5" w:rsidRDefault="00921BC5" w:rsidP="00921BC5">
      <w:pPr>
        <w:pStyle w:val="Textoindependiente"/>
        <w:ind w:right="-234"/>
        <w:jc w:val="both"/>
        <w:rPr>
          <w:b/>
          <w:bCs/>
          <w:sz w:val="28"/>
          <w:szCs w:val="28"/>
        </w:rPr>
      </w:pPr>
      <w:bookmarkStart w:id="9" w:name="_Hlk207873847"/>
      <w:bookmarkStart w:id="10" w:name="_Hlk207875017"/>
      <w:bookmarkEnd w:id="5"/>
      <w:bookmarkEnd w:id="6"/>
      <w:bookmarkEnd w:id="7"/>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25AA2144" w14:textId="65F06AA4" w:rsidR="00921BC5" w:rsidRDefault="00921BC5" w:rsidP="00921BC5">
      <w:pPr>
        <w:pStyle w:val="Textoindependiente"/>
        <w:ind w:right="-234"/>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98"/>
      </w:tblGrid>
      <w:tr w:rsidR="00921BC5" w14:paraId="20C3E0BC" w14:textId="77777777" w:rsidTr="00D306E1">
        <w:trPr>
          <w:trHeight w:val="256"/>
          <w:jc w:val="center"/>
        </w:trPr>
        <w:tc>
          <w:tcPr>
            <w:tcW w:w="7694" w:type="dxa"/>
            <w:gridSpan w:val="5"/>
            <w:tcBorders>
              <w:bottom w:val="single" w:sz="2" w:space="0" w:color="231F20"/>
            </w:tcBorders>
            <w:shd w:val="clear" w:color="auto" w:fill="E8F1F0"/>
          </w:tcPr>
          <w:p w14:paraId="0E7B06E3" w14:textId="77777777" w:rsidR="00921BC5" w:rsidRPr="00AA7D8A" w:rsidRDefault="00921BC5" w:rsidP="00921BC5">
            <w:pPr>
              <w:pStyle w:val="TableParagraph"/>
              <w:spacing w:before="48"/>
              <w:ind w:left="80"/>
              <w:jc w:val="center"/>
              <w:rPr>
                <w:b/>
                <w:sz w:val="16"/>
                <w:szCs w:val="16"/>
              </w:rPr>
            </w:pPr>
            <w:r w:rsidRPr="00AA7D8A">
              <w:rPr>
                <w:b/>
                <w:color w:val="231F20"/>
                <w:sz w:val="16"/>
                <w:szCs w:val="16"/>
              </w:rPr>
              <w:t>UNIDAD</w:t>
            </w:r>
            <w:r w:rsidRPr="00AA7D8A">
              <w:rPr>
                <w:b/>
                <w:color w:val="231F20"/>
                <w:spacing w:val="-10"/>
                <w:sz w:val="16"/>
                <w:szCs w:val="16"/>
              </w:rPr>
              <w:t xml:space="preserve"> </w:t>
            </w:r>
            <w:r w:rsidRPr="00AA7D8A">
              <w:rPr>
                <w:b/>
                <w:color w:val="231F20"/>
                <w:sz w:val="16"/>
                <w:szCs w:val="16"/>
              </w:rPr>
              <w:t>EJECUTORA:</w:t>
            </w:r>
            <w:r w:rsidRPr="00AA7D8A">
              <w:rPr>
                <w:b/>
                <w:color w:val="231F20"/>
                <w:spacing w:val="20"/>
                <w:sz w:val="16"/>
                <w:szCs w:val="16"/>
              </w:rPr>
              <w:t xml:space="preserve"> </w:t>
            </w:r>
            <w:r w:rsidRPr="00AA7D8A">
              <w:rPr>
                <w:b/>
                <w:color w:val="231F20"/>
                <w:sz w:val="16"/>
                <w:szCs w:val="16"/>
              </w:rPr>
              <w:t>UNIDAD</w:t>
            </w:r>
            <w:r w:rsidRPr="00AA7D8A">
              <w:rPr>
                <w:b/>
                <w:color w:val="231F20"/>
                <w:spacing w:val="-10"/>
                <w:sz w:val="16"/>
                <w:szCs w:val="16"/>
              </w:rPr>
              <w:t xml:space="preserve"> </w:t>
            </w:r>
            <w:r w:rsidRPr="00AA7D8A">
              <w:rPr>
                <w:b/>
                <w:color w:val="231F20"/>
                <w:sz w:val="16"/>
                <w:szCs w:val="16"/>
              </w:rPr>
              <w:t>ADMINISTRATIVA</w:t>
            </w:r>
            <w:r w:rsidRPr="00AA7D8A">
              <w:rPr>
                <w:b/>
                <w:color w:val="231F20"/>
                <w:spacing w:val="-8"/>
                <w:sz w:val="16"/>
                <w:szCs w:val="16"/>
              </w:rPr>
              <w:t xml:space="preserve"> </w:t>
            </w:r>
            <w:r w:rsidRPr="00AA7D8A">
              <w:rPr>
                <w:b/>
                <w:color w:val="231F20"/>
                <w:sz w:val="16"/>
                <w:szCs w:val="16"/>
              </w:rPr>
              <w:t>ESPECIAL</w:t>
            </w:r>
            <w:r w:rsidRPr="00AA7D8A">
              <w:rPr>
                <w:b/>
                <w:color w:val="231F20"/>
                <w:spacing w:val="-8"/>
                <w:sz w:val="16"/>
                <w:szCs w:val="16"/>
              </w:rPr>
              <w:t xml:space="preserve"> </w:t>
            </w:r>
            <w:r w:rsidRPr="00AA7D8A">
              <w:rPr>
                <w:b/>
                <w:color w:val="231F20"/>
                <w:sz w:val="16"/>
                <w:szCs w:val="16"/>
              </w:rPr>
              <w:t>DE</w:t>
            </w:r>
            <w:r w:rsidRPr="00AA7D8A">
              <w:rPr>
                <w:b/>
                <w:color w:val="231F20"/>
                <w:spacing w:val="-7"/>
                <w:sz w:val="16"/>
                <w:szCs w:val="16"/>
              </w:rPr>
              <w:t xml:space="preserve"> </w:t>
            </w:r>
            <w:r w:rsidRPr="00AA7D8A">
              <w:rPr>
                <w:b/>
                <w:color w:val="231F20"/>
                <w:sz w:val="16"/>
                <w:szCs w:val="16"/>
              </w:rPr>
              <w:t>GESTION</w:t>
            </w:r>
            <w:r w:rsidRPr="00AA7D8A">
              <w:rPr>
                <w:b/>
                <w:color w:val="231F20"/>
                <w:spacing w:val="-8"/>
                <w:sz w:val="16"/>
                <w:szCs w:val="16"/>
              </w:rPr>
              <w:t xml:space="preserve"> </w:t>
            </w:r>
            <w:r w:rsidRPr="00AA7D8A">
              <w:rPr>
                <w:b/>
                <w:color w:val="231F20"/>
                <w:sz w:val="16"/>
                <w:szCs w:val="16"/>
              </w:rPr>
              <w:t>DE</w:t>
            </w:r>
            <w:r w:rsidRPr="00AA7D8A">
              <w:rPr>
                <w:b/>
                <w:color w:val="231F20"/>
                <w:spacing w:val="-8"/>
                <w:sz w:val="16"/>
                <w:szCs w:val="16"/>
              </w:rPr>
              <w:t xml:space="preserve"> </w:t>
            </w:r>
            <w:r w:rsidRPr="00AA7D8A">
              <w:rPr>
                <w:b/>
                <w:color w:val="231F20"/>
                <w:sz w:val="16"/>
                <w:szCs w:val="16"/>
              </w:rPr>
              <w:t>RESTITUCION</w:t>
            </w:r>
            <w:r w:rsidRPr="00AA7D8A">
              <w:rPr>
                <w:b/>
                <w:color w:val="231F20"/>
                <w:spacing w:val="-8"/>
                <w:sz w:val="16"/>
                <w:szCs w:val="16"/>
              </w:rPr>
              <w:t xml:space="preserve"> </w:t>
            </w:r>
            <w:r w:rsidRPr="00AA7D8A">
              <w:rPr>
                <w:b/>
                <w:color w:val="231F20"/>
                <w:sz w:val="16"/>
                <w:szCs w:val="16"/>
              </w:rPr>
              <w:t>DE</w:t>
            </w:r>
            <w:r w:rsidRPr="00AA7D8A">
              <w:rPr>
                <w:b/>
                <w:color w:val="231F20"/>
                <w:spacing w:val="-10"/>
                <w:sz w:val="16"/>
                <w:szCs w:val="16"/>
              </w:rPr>
              <w:t xml:space="preserve"> </w:t>
            </w:r>
            <w:r w:rsidRPr="00AA7D8A">
              <w:rPr>
                <w:b/>
                <w:color w:val="231F20"/>
                <w:sz w:val="16"/>
                <w:szCs w:val="16"/>
              </w:rPr>
              <w:t>TIERRAS</w:t>
            </w:r>
            <w:r w:rsidRPr="00AA7D8A">
              <w:rPr>
                <w:b/>
                <w:color w:val="231F20"/>
                <w:spacing w:val="-7"/>
                <w:sz w:val="16"/>
                <w:szCs w:val="16"/>
              </w:rPr>
              <w:t xml:space="preserve"> </w:t>
            </w:r>
            <w:r w:rsidRPr="00AA7D8A">
              <w:rPr>
                <w:b/>
                <w:color w:val="231F20"/>
                <w:spacing w:val="-2"/>
                <w:sz w:val="16"/>
                <w:szCs w:val="16"/>
              </w:rPr>
              <w:t>DESPOJADAS</w:t>
            </w:r>
          </w:p>
        </w:tc>
      </w:tr>
      <w:tr w:rsidR="00921BC5" w14:paraId="32103B37" w14:textId="77777777" w:rsidTr="00D306E1">
        <w:trPr>
          <w:trHeight w:val="276"/>
          <w:jc w:val="center"/>
        </w:trPr>
        <w:tc>
          <w:tcPr>
            <w:tcW w:w="3852" w:type="dxa"/>
            <w:gridSpan w:val="2"/>
            <w:tcBorders>
              <w:right w:val="single" w:sz="2" w:space="0" w:color="231F20"/>
            </w:tcBorders>
            <w:shd w:val="clear" w:color="auto" w:fill="E8F1F0"/>
          </w:tcPr>
          <w:p w14:paraId="15915937" w14:textId="77777777" w:rsidR="00921BC5" w:rsidRDefault="00921BC5" w:rsidP="00921BC5">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17-16-</w:t>
            </w:r>
            <w:r>
              <w:rPr>
                <w:color w:val="231F20"/>
                <w:spacing w:val="-5"/>
                <w:sz w:val="14"/>
              </w:rPr>
              <w:t>00</w:t>
            </w:r>
          </w:p>
        </w:tc>
        <w:tc>
          <w:tcPr>
            <w:tcW w:w="3842" w:type="dxa"/>
            <w:gridSpan w:val="3"/>
            <w:tcBorders>
              <w:top w:val="single" w:sz="2" w:space="0" w:color="231F20"/>
              <w:left w:val="single" w:sz="2" w:space="0" w:color="231F20"/>
              <w:right w:val="single" w:sz="2" w:space="0" w:color="231F20"/>
            </w:tcBorders>
            <w:shd w:val="clear" w:color="auto" w:fill="E8F1F0"/>
          </w:tcPr>
          <w:p w14:paraId="041844B3" w14:textId="77777777" w:rsidR="00921BC5" w:rsidRDefault="00921BC5" w:rsidP="00921BC5">
            <w:pPr>
              <w:pStyle w:val="TableParagraph"/>
              <w:spacing w:before="48"/>
              <w:ind w:left="80"/>
              <w:jc w:val="center"/>
              <w:rPr>
                <w:sz w:val="14"/>
              </w:rPr>
            </w:pPr>
            <w:r>
              <w:rPr>
                <w:b/>
                <w:color w:val="231F20"/>
                <w:sz w:val="14"/>
              </w:rPr>
              <w:t>Sector:</w:t>
            </w:r>
            <w:r>
              <w:rPr>
                <w:b/>
                <w:color w:val="231F20"/>
                <w:spacing w:val="10"/>
                <w:sz w:val="14"/>
              </w:rPr>
              <w:t xml:space="preserve"> </w:t>
            </w:r>
            <w:r>
              <w:rPr>
                <w:color w:val="231F20"/>
                <w:sz w:val="14"/>
              </w:rPr>
              <w:t>06</w:t>
            </w:r>
            <w:r>
              <w:rPr>
                <w:color w:val="231F20"/>
                <w:spacing w:val="13"/>
                <w:sz w:val="14"/>
              </w:rPr>
              <w:t xml:space="preserve"> </w:t>
            </w:r>
            <w:r>
              <w:rPr>
                <w:color w:val="231F20"/>
                <w:sz w:val="14"/>
              </w:rPr>
              <w:t>Agricultura</w:t>
            </w:r>
            <w:r>
              <w:rPr>
                <w:color w:val="231F20"/>
                <w:spacing w:val="12"/>
                <w:sz w:val="14"/>
              </w:rPr>
              <w:t xml:space="preserve"> </w:t>
            </w:r>
            <w:r>
              <w:rPr>
                <w:color w:val="231F20"/>
                <w:sz w:val="14"/>
              </w:rPr>
              <w:t>y</w:t>
            </w:r>
            <w:r>
              <w:rPr>
                <w:color w:val="231F20"/>
                <w:spacing w:val="12"/>
                <w:sz w:val="14"/>
              </w:rPr>
              <w:t xml:space="preserve"> </w:t>
            </w:r>
            <w:r>
              <w:rPr>
                <w:color w:val="231F20"/>
                <w:sz w:val="14"/>
              </w:rPr>
              <w:t>Desarrollo</w:t>
            </w:r>
            <w:r>
              <w:rPr>
                <w:color w:val="231F20"/>
                <w:spacing w:val="13"/>
                <w:sz w:val="14"/>
              </w:rPr>
              <w:t xml:space="preserve"> </w:t>
            </w:r>
            <w:r>
              <w:rPr>
                <w:color w:val="231F20"/>
                <w:spacing w:val="-2"/>
                <w:sz w:val="14"/>
              </w:rPr>
              <w:t>Rural</w:t>
            </w:r>
          </w:p>
        </w:tc>
      </w:tr>
      <w:tr w:rsidR="00921BC5" w14:paraId="21DB220C" w14:textId="77777777" w:rsidTr="00D306E1">
        <w:trPr>
          <w:trHeight w:val="256"/>
          <w:jc w:val="center"/>
        </w:trPr>
        <w:tc>
          <w:tcPr>
            <w:tcW w:w="3852" w:type="dxa"/>
            <w:gridSpan w:val="2"/>
            <w:tcBorders>
              <w:right w:val="single" w:sz="2" w:space="0" w:color="231F20"/>
            </w:tcBorders>
            <w:shd w:val="clear" w:color="auto" w:fill="E8F1F0"/>
          </w:tcPr>
          <w:p w14:paraId="33BC874F" w14:textId="77777777" w:rsidR="00921BC5" w:rsidRPr="00AA7D8A" w:rsidRDefault="00921BC5" w:rsidP="00921BC5">
            <w:pPr>
              <w:pStyle w:val="TableParagraph"/>
              <w:spacing w:before="48"/>
              <w:ind w:left="79"/>
              <w:jc w:val="center"/>
              <w:rPr>
                <w:b/>
                <w:sz w:val="16"/>
                <w:szCs w:val="16"/>
              </w:rPr>
            </w:pPr>
            <w:r w:rsidRPr="00AA7D8A">
              <w:rPr>
                <w:b/>
                <w:color w:val="231F20"/>
                <w:sz w:val="16"/>
                <w:szCs w:val="16"/>
              </w:rPr>
              <w:t>OPINIÓN</w:t>
            </w:r>
            <w:r w:rsidRPr="00AA7D8A">
              <w:rPr>
                <w:b/>
                <w:color w:val="231F20"/>
                <w:spacing w:val="-9"/>
                <w:sz w:val="16"/>
                <w:szCs w:val="16"/>
              </w:rPr>
              <w:t xml:space="preserve"> </w:t>
            </w:r>
            <w:r w:rsidRPr="00AA7D8A">
              <w:rPr>
                <w:b/>
                <w:color w:val="231F20"/>
                <w:sz w:val="16"/>
                <w:szCs w:val="16"/>
              </w:rPr>
              <w:t>PRESUPUESTAL:</w:t>
            </w:r>
            <w:r w:rsidRPr="00AA7D8A">
              <w:rPr>
                <w:b/>
                <w:color w:val="231F20"/>
                <w:spacing w:val="-8"/>
                <w:sz w:val="16"/>
                <w:szCs w:val="16"/>
              </w:rPr>
              <w:t xml:space="preserve"> </w:t>
            </w:r>
            <w:r w:rsidRPr="00AA7D8A">
              <w:rPr>
                <w:b/>
                <w:color w:val="231F20"/>
                <w:sz w:val="16"/>
                <w:szCs w:val="16"/>
              </w:rPr>
              <w:t>NO</w:t>
            </w:r>
            <w:r w:rsidRPr="00AA7D8A">
              <w:rPr>
                <w:b/>
                <w:color w:val="231F20"/>
                <w:spacing w:val="-8"/>
                <w:sz w:val="16"/>
                <w:szCs w:val="16"/>
              </w:rPr>
              <w:t xml:space="preserve"> </w:t>
            </w:r>
            <w:r w:rsidRPr="00AA7D8A">
              <w:rPr>
                <w:b/>
                <w:color w:val="231F20"/>
                <w:spacing w:val="-2"/>
                <w:sz w:val="16"/>
                <w:szCs w:val="16"/>
              </w:rPr>
              <w:t>RAZONABLE</w:t>
            </w:r>
          </w:p>
        </w:tc>
        <w:tc>
          <w:tcPr>
            <w:tcW w:w="3842" w:type="dxa"/>
            <w:gridSpan w:val="3"/>
            <w:tcBorders>
              <w:left w:val="single" w:sz="2" w:space="0" w:color="231F20"/>
              <w:bottom w:val="single" w:sz="2" w:space="0" w:color="231F20"/>
              <w:right w:val="single" w:sz="2" w:space="0" w:color="231F20"/>
            </w:tcBorders>
            <w:shd w:val="clear" w:color="auto" w:fill="E8F1F0"/>
          </w:tcPr>
          <w:p w14:paraId="629FA71E" w14:textId="77777777" w:rsidR="00921BC5" w:rsidRPr="00AA7D8A" w:rsidRDefault="00921BC5" w:rsidP="00921BC5">
            <w:pPr>
              <w:pStyle w:val="TableParagraph"/>
              <w:spacing w:before="48"/>
              <w:ind w:left="80"/>
              <w:jc w:val="center"/>
              <w:rPr>
                <w:b/>
                <w:sz w:val="16"/>
                <w:szCs w:val="16"/>
              </w:rPr>
            </w:pPr>
            <w:r w:rsidRPr="00AA7D8A">
              <w:rPr>
                <w:b/>
                <w:color w:val="231F20"/>
                <w:sz w:val="16"/>
                <w:szCs w:val="16"/>
              </w:rPr>
              <w:t>FENECE</w:t>
            </w:r>
            <w:r w:rsidRPr="00AA7D8A">
              <w:rPr>
                <w:b/>
                <w:color w:val="231F20"/>
                <w:spacing w:val="6"/>
                <w:sz w:val="16"/>
                <w:szCs w:val="16"/>
              </w:rPr>
              <w:t xml:space="preserve"> </w:t>
            </w:r>
            <w:r w:rsidRPr="00AA7D8A">
              <w:rPr>
                <w:b/>
                <w:color w:val="231F20"/>
                <w:sz w:val="16"/>
                <w:szCs w:val="16"/>
              </w:rPr>
              <w:t>LA</w:t>
            </w:r>
            <w:r w:rsidRPr="00AA7D8A">
              <w:rPr>
                <w:b/>
                <w:color w:val="231F20"/>
                <w:spacing w:val="9"/>
                <w:sz w:val="16"/>
                <w:szCs w:val="16"/>
              </w:rPr>
              <w:t xml:space="preserve"> </w:t>
            </w:r>
            <w:r w:rsidRPr="00AA7D8A">
              <w:rPr>
                <w:b/>
                <w:color w:val="231F20"/>
                <w:sz w:val="16"/>
                <w:szCs w:val="16"/>
              </w:rPr>
              <w:t>CUENTA</w:t>
            </w:r>
            <w:r w:rsidRPr="00AA7D8A">
              <w:rPr>
                <w:b/>
                <w:color w:val="231F20"/>
                <w:spacing w:val="9"/>
                <w:sz w:val="16"/>
                <w:szCs w:val="16"/>
              </w:rPr>
              <w:t xml:space="preserve"> </w:t>
            </w:r>
            <w:r w:rsidRPr="00AA7D8A">
              <w:rPr>
                <w:b/>
                <w:color w:val="231F20"/>
                <w:sz w:val="16"/>
                <w:szCs w:val="16"/>
              </w:rPr>
              <w:t>FISCAL:</w:t>
            </w:r>
            <w:r w:rsidRPr="00AA7D8A">
              <w:rPr>
                <w:b/>
                <w:color w:val="231F20"/>
                <w:spacing w:val="9"/>
                <w:sz w:val="16"/>
                <w:szCs w:val="16"/>
              </w:rPr>
              <w:t xml:space="preserve"> </w:t>
            </w:r>
            <w:r w:rsidRPr="00AA7D8A">
              <w:rPr>
                <w:b/>
                <w:color w:val="231F20"/>
                <w:spacing w:val="-5"/>
                <w:sz w:val="16"/>
                <w:szCs w:val="16"/>
              </w:rPr>
              <w:t>NO</w:t>
            </w:r>
          </w:p>
        </w:tc>
      </w:tr>
      <w:tr w:rsidR="00921BC5" w14:paraId="55D0E61B" w14:textId="77777777" w:rsidTr="00D306E1">
        <w:trPr>
          <w:trHeight w:val="256"/>
          <w:jc w:val="center"/>
        </w:trPr>
        <w:tc>
          <w:tcPr>
            <w:tcW w:w="7694" w:type="dxa"/>
            <w:gridSpan w:val="5"/>
            <w:tcBorders>
              <w:top w:val="single" w:sz="2" w:space="0" w:color="231F20"/>
            </w:tcBorders>
            <w:shd w:val="clear" w:color="auto" w:fill="E8F1F0"/>
          </w:tcPr>
          <w:p w14:paraId="6EB5F6FB" w14:textId="77777777" w:rsidR="00921BC5" w:rsidRDefault="00921BC5" w:rsidP="00921BC5">
            <w:pPr>
              <w:pStyle w:val="TableParagraph"/>
              <w:spacing w:before="48"/>
              <w:ind w:left="1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921BC5" w14:paraId="28446B87" w14:textId="77777777" w:rsidTr="00D306E1">
        <w:trPr>
          <w:trHeight w:val="278"/>
          <w:jc w:val="center"/>
        </w:trPr>
        <w:tc>
          <w:tcPr>
            <w:tcW w:w="7694" w:type="dxa"/>
            <w:gridSpan w:val="5"/>
            <w:tcBorders>
              <w:bottom w:val="double" w:sz="2" w:space="0" w:color="00A79D"/>
            </w:tcBorders>
            <w:shd w:val="clear" w:color="auto" w:fill="E8F1F0"/>
          </w:tcPr>
          <w:p w14:paraId="4A187B71" w14:textId="77777777" w:rsidR="00921BC5" w:rsidRDefault="00921BC5" w:rsidP="00921BC5">
            <w:pPr>
              <w:pStyle w:val="TableParagraph"/>
              <w:spacing w:before="48"/>
              <w:ind w:left="1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921BC5" w14:paraId="23D943AC" w14:textId="77777777" w:rsidTr="00D306E1">
        <w:trPr>
          <w:trHeight w:val="278"/>
          <w:jc w:val="center"/>
        </w:trPr>
        <w:tc>
          <w:tcPr>
            <w:tcW w:w="593" w:type="dxa"/>
            <w:tcBorders>
              <w:top w:val="double" w:sz="2" w:space="0" w:color="00A79D"/>
            </w:tcBorders>
            <w:shd w:val="clear" w:color="auto" w:fill="E8F1F0"/>
          </w:tcPr>
          <w:p w14:paraId="63DDECD6" w14:textId="77777777" w:rsidR="00921BC5" w:rsidRDefault="00921BC5" w:rsidP="00921BC5">
            <w:pPr>
              <w:pStyle w:val="TableParagraph"/>
              <w:spacing w:before="70"/>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53D3C2EE" w14:textId="77777777" w:rsidR="00921BC5" w:rsidRDefault="00921BC5" w:rsidP="00921BC5">
            <w:pPr>
              <w:pStyle w:val="TableParagraph"/>
              <w:spacing w:before="70"/>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7DEA0198" w14:textId="77777777" w:rsidR="00921BC5" w:rsidRDefault="00921BC5" w:rsidP="00921BC5">
            <w:pPr>
              <w:pStyle w:val="TableParagraph"/>
              <w:spacing w:before="70"/>
              <w:ind w:left="44" w:right="39"/>
              <w:jc w:val="center"/>
              <w:rPr>
                <w:b/>
                <w:sz w:val="14"/>
              </w:rPr>
            </w:pPr>
            <w:r>
              <w:rPr>
                <w:b/>
                <w:color w:val="231F20"/>
                <w:spacing w:val="-10"/>
                <w:sz w:val="14"/>
              </w:rPr>
              <w:t>$</w:t>
            </w:r>
          </w:p>
        </w:tc>
        <w:tc>
          <w:tcPr>
            <w:tcW w:w="1498" w:type="dxa"/>
            <w:tcBorders>
              <w:top w:val="double" w:sz="2" w:space="0" w:color="00A79D"/>
            </w:tcBorders>
            <w:shd w:val="clear" w:color="auto" w:fill="E8F1F0"/>
          </w:tcPr>
          <w:p w14:paraId="154C1BF5" w14:textId="77777777" w:rsidR="00921BC5" w:rsidRDefault="00921BC5" w:rsidP="00921BC5">
            <w:pPr>
              <w:pStyle w:val="TableParagraph"/>
              <w:spacing w:before="70"/>
              <w:ind w:left="3" w:right="5"/>
              <w:jc w:val="center"/>
              <w:rPr>
                <w:b/>
                <w:sz w:val="14"/>
              </w:rPr>
            </w:pPr>
            <w:r>
              <w:rPr>
                <w:b/>
                <w:color w:val="231F20"/>
                <w:spacing w:val="-5"/>
                <w:sz w:val="14"/>
              </w:rPr>
              <w:t>CON</w:t>
            </w:r>
          </w:p>
        </w:tc>
      </w:tr>
      <w:tr w:rsidR="00921BC5" w14:paraId="1444C74A" w14:textId="77777777" w:rsidTr="00D306E1">
        <w:trPr>
          <w:trHeight w:val="760"/>
          <w:jc w:val="center"/>
        </w:trPr>
        <w:tc>
          <w:tcPr>
            <w:tcW w:w="593" w:type="dxa"/>
            <w:shd w:val="clear" w:color="auto" w:fill="E8F1F0"/>
          </w:tcPr>
          <w:p w14:paraId="6105E3C4" w14:textId="77777777" w:rsidR="00921BC5" w:rsidRDefault="00921BC5" w:rsidP="00921BC5">
            <w:pPr>
              <w:pStyle w:val="TableParagraph"/>
              <w:spacing w:before="129"/>
              <w:jc w:val="center"/>
              <w:rPr>
                <w:rFonts w:ascii="Verdana"/>
                <w:b/>
                <w:sz w:val="14"/>
              </w:rPr>
            </w:pPr>
          </w:p>
          <w:p w14:paraId="39FFBE94" w14:textId="77777777" w:rsidR="00921BC5" w:rsidRDefault="00921BC5" w:rsidP="00921BC5">
            <w:pPr>
              <w:pStyle w:val="TableParagraph"/>
              <w:spacing w:before="1"/>
              <w:ind w:left="8" w:right="4"/>
              <w:jc w:val="center"/>
              <w:rPr>
                <w:sz w:val="14"/>
              </w:rPr>
            </w:pPr>
            <w:r>
              <w:rPr>
                <w:color w:val="231F20"/>
                <w:spacing w:val="-5"/>
                <w:sz w:val="14"/>
              </w:rPr>
              <w:t>136</w:t>
            </w:r>
          </w:p>
        </w:tc>
        <w:tc>
          <w:tcPr>
            <w:tcW w:w="3677" w:type="dxa"/>
            <w:gridSpan w:val="2"/>
            <w:shd w:val="clear" w:color="auto" w:fill="E8F1F0"/>
          </w:tcPr>
          <w:p w14:paraId="233F0E95" w14:textId="77777777" w:rsidR="00921BC5" w:rsidRDefault="00921BC5" w:rsidP="00D306E1">
            <w:pPr>
              <w:pStyle w:val="TableParagraph"/>
              <w:spacing w:before="48" w:line="249" w:lineRule="auto"/>
              <w:ind w:left="80" w:right="73"/>
              <w:jc w:val="both"/>
              <w:rPr>
                <w:sz w:val="14"/>
              </w:rPr>
            </w:pPr>
            <w:r>
              <w:rPr>
                <w:color w:val="231F20"/>
                <w:sz w:val="14"/>
              </w:rPr>
              <w:t>No</w:t>
            </w:r>
            <w:r>
              <w:rPr>
                <w:color w:val="231F20"/>
                <w:spacing w:val="-1"/>
                <w:sz w:val="14"/>
              </w:rPr>
              <w:t xml:space="preserve"> </w:t>
            </w:r>
            <w:r>
              <w:rPr>
                <w:color w:val="231F20"/>
                <w:sz w:val="14"/>
              </w:rPr>
              <w:t>se</w:t>
            </w:r>
            <w:r>
              <w:rPr>
                <w:color w:val="231F20"/>
                <w:spacing w:val="-1"/>
                <w:sz w:val="14"/>
              </w:rPr>
              <w:t xml:space="preserve"> </w:t>
            </w:r>
            <w:r>
              <w:rPr>
                <w:color w:val="231F20"/>
                <w:sz w:val="14"/>
              </w:rPr>
              <w:t>tuvo</w:t>
            </w:r>
            <w:r>
              <w:rPr>
                <w:color w:val="231F20"/>
                <w:spacing w:val="-1"/>
                <w:sz w:val="14"/>
              </w:rPr>
              <w:t xml:space="preserve"> </w:t>
            </w:r>
            <w:r>
              <w:rPr>
                <w:color w:val="231F20"/>
                <w:sz w:val="14"/>
              </w:rPr>
              <w:t>en</w:t>
            </w:r>
            <w:r>
              <w:rPr>
                <w:color w:val="231F20"/>
                <w:spacing w:val="-1"/>
                <w:sz w:val="14"/>
              </w:rPr>
              <w:t xml:space="preserve"> </w:t>
            </w:r>
            <w:r>
              <w:rPr>
                <w:color w:val="231F20"/>
                <w:sz w:val="14"/>
              </w:rPr>
              <w:t>cuenta</w:t>
            </w:r>
            <w:r>
              <w:rPr>
                <w:color w:val="231F20"/>
                <w:spacing w:val="-1"/>
                <w:sz w:val="14"/>
              </w:rPr>
              <w:t xml:space="preserve"> </w:t>
            </w:r>
            <w:r>
              <w:rPr>
                <w:color w:val="231F20"/>
                <w:sz w:val="14"/>
              </w:rPr>
              <w:t>el</w:t>
            </w:r>
            <w:r>
              <w:rPr>
                <w:color w:val="231F20"/>
                <w:spacing w:val="-1"/>
                <w:sz w:val="14"/>
              </w:rPr>
              <w:t xml:space="preserve"> </w:t>
            </w:r>
            <w:r>
              <w:rPr>
                <w:color w:val="231F20"/>
                <w:sz w:val="14"/>
              </w:rPr>
              <w:t>objeto</w:t>
            </w:r>
            <w:r>
              <w:rPr>
                <w:color w:val="231F20"/>
                <w:spacing w:val="-1"/>
                <w:sz w:val="14"/>
              </w:rPr>
              <w:t xml:space="preserve"> </w:t>
            </w:r>
            <w:r>
              <w:rPr>
                <w:color w:val="231F20"/>
                <w:sz w:val="14"/>
              </w:rPr>
              <w:t>del</w:t>
            </w:r>
            <w:r>
              <w:rPr>
                <w:color w:val="231F20"/>
                <w:spacing w:val="-1"/>
                <w:sz w:val="14"/>
              </w:rPr>
              <w:t xml:space="preserve"> </w:t>
            </w:r>
            <w:r>
              <w:rPr>
                <w:color w:val="231F20"/>
                <w:sz w:val="14"/>
              </w:rPr>
              <w:t>proyecto</w:t>
            </w:r>
            <w:r>
              <w:rPr>
                <w:color w:val="231F20"/>
                <w:spacing w:val="-1"/>
                <w:sz w:val="14"/>
              </w:rPr>
              <w:t xml:space="preserve"> </w:t>
            </w:r>
            <w:r>
              <w:rPr>
                <w:color w:val="231F20"/>
                <w:sz w:val="14"/>
              </w:rPr>
              <w:t>de</w:t>
            </w:r>
            <w:r>
              <w:rPr>
                <w:color w:val="231F20"/>
                <w:spacing w:val="-1"/>
                <w:sz w:val="14"/>
              </w:rPr>
              <w:t xml:space="preserve"> </w:t>
            </w:r>
            <w:r>
              <w:rPr>
                <w:color w:val="231F20"/>
                <w:sz w:val="14"/>
              </w:rPr>
              <w:t>inversión</w:t>
            </w:r>
            <w:r>
              <w:rPr>
                <w:color w:val="231F20"/>
                <w:spacing w:val="40"/>
                <w:sz w:val="14"/>
              </w:rPr>
              <w:t xml:space="preserve"> </w:t>
            </w:r>
            <w:r>
              <w:rPr>
                <w:color w:val="231F20"/>
                <w:sz w:val="14"/>
              </w:rPr>
              <w:t>y el objeto de las apropiaciones que determinan la</w:t>
            </w:r>
            <w:r>
              <w:rPr>
                <w:color w:val="231F20"/>
                <w:spacing w:val="40"/>
                <w:sz w:val="14"/>
              </w:rPr>
              <w:t xml:space="preserve"> </w:t>
            </w:r>
            <w:r>
              <w:rPr>
                <w:color w:val="231F20"/>
                <w:sz w:val="14"/>
              </w:rPr>
              <w:t>destinación de los recursos del Presupuesto General de</w:t>
            </w:r>
            <w:r>
              <w:rPr>
                <w:color w:val="231F20"/>
                <w:spacing w:val="40"/>
                <w:sz w:val="14"/>
              </w:rPr>
              <w:t xml:space="preserve"> </w:t>
            </w:r>
            <w:r>
              <w:rPr>
                <w:color w:val="231F20"/>
                <w:sz w:val="14"/>
              </w:rPr>
              <w:t>la</w:t>
            </w:r>
            <w:r>
              <w:rPr>
                <w:color w:val="231F20"/>
                <w:spacing w:val="-6"/>
                <w:sz w:val="14"/>
              </w:rPr>
              <w:t xml:space="preserve"> </w:t>
            </w:r>
            <w:r>
              <w:rPr>
                <w:color w:val="231F20"/>
                <w:sz w:val="14"/>
              </w:rPr>
              <w:t>Nación.</w:t>
            </w:r>
          </w:p>
        </w:tc>
        <w:tc>
          <w:tcPr>
            <w:tcW w:w="1926" w:type="dxa"/>
            <w:shd w:val="clear" w:color="auto" w:fill="E8F1F0"/>
          </w:tcPr>
          <w:p w14:paraId="451F234D" w14:textId="77777777" w:rsidR="00921BC5" w:rsidRDefault="00921BC5" w:rsidP="00921BC5">
            <w:pPr>
              <w:pStyle w:val="TableParagraph"/>
              <w:spacing w:before="129"/>
              <w:jc w:val="center"/>
              <w:rPr>
                <w:rFonts w:ascii="Verdana"/>
                <w:b/>
                <w:sz w:val="14"/>
              </w:rPr>
            </w:pPr>
          </w:p>
          <w:p w14:paraId="569A0B27" w14:textId="77777777" w:rsidR="00921BC5" w:rsidRDefault="00921BC5" w:rsidP="00921BC5">
            <w:pPr>
              <w:pStyle w:val="TableParagraph"/>
              <w:spacing w:before="1"/>
              <w:ind w:left="44" w:right="1"/>
              <w:jc w:val="center"/>
              <w:rPr>
                <w:sz w:val="14"/>
              </w:rPr>
            </w:pPr>
            <w:r>
              <w:rPr>
                <w:color w:val="231F20"/>
                <w:spacing w:val="-2"/>
                <w:sz w:val="14"/>
              </w:rPr>
              <w:t>24.431.194.757,00</w:t>
            </w:r>
          </w:p>
        </w:tc>
        <w:tc>
          <w:tcPr>
            <w:tcW w:w="1498" w:type="dxa"/>
            <w:shd w:val="clear" w:color="auto" w:fill="E8F1F0"/>
          </w:tcPr>
          <w:p w14:paraId="6EAAAA43" w14:textId="77777777" w:rsidR="00921BC5" w:rsidRDefault="00921BC5" w:rsidP="00921BC5">
            <w:pPr>
              <w:pStyle w:val="TableParagraph"/>
              <w:spacing w:before="129"/>
              <w:jc w:val="center"/>
              <w:rPr>
                <w:rFonts w:ascii="Verdana"/>
                <w:b/>
                <w:sz w:val="14"/>
              </w:rPr>
            </w:pPr>
          </w:p>
          <w:p w14:paraId="2452B70A" w14:textId="77777777" w:rsidR="00921BC5" w:rsidRDefault="00921BC5" w:rsidP="00921BC5">
            <w:pPr>
              <w:pStyle w:val="TableParagraph"/>
              <w:spacing w:before="1"/>
              <w:ind w:left="3" w:right="4"/>
              <w:jc w:val="center"/>
              <w:rPr>
                <w:sz w:val="14"/>
              </w:rPr>
            </w:pPr>
            <w:r>
              <w:rPr>
                <w:color w:val="231F20"/>
                <w:spacing w:val="-10"/>
                <w:sz w:val="14"/>
              </w:rPr>
              <w:t>D</w:t>
            </w:r>
          </w:p>
        </w:tc>
      </w:tr>
      <w:tr w:rsidR="00921BC5" w14:paraId="668591D0" w14:textId="77777777" w:rsidTr="00D306E1">
        <w:trPr>
          <w:trHeight w:val="928"/>
          <w:jc w:val="center"/>
        </w:trPr>
        <w:tc>
          <w:tcPr>
            <w:tcW w:w="593" w:type="dxa"/>
            <w:shd w:val="clear" w:color="auto" w:fill="E8F1F0"/>
          </w:tcPr>
          <w:p w14:paraId="2D9E0E64" w14:textId="77777777" w:rsidR="00921BC5" w:rsidRDefault="00921BC5" w:rsidP="00921BC5">
            <w:pPr>
              <w:pStyle w:val="TableParagraph"/>
              <w:jc w:val="center"/>
              <w:rPr>
                <w:rFonts w:ascii="Verdana"/>
                <w:b/>
                <w:sz w:val="14"/>
              </w:rPr>
            </w:pPr>
          </w:p>
          <w:p w14:paraId="239AE820" w14:textId="77777777" w:rsidR="00921BC5" w:rsidRDefault="00921BC5" w:rsidP="00921BC5">
            <w:pPr>
              <w:pStyle w:val="TableParagraph"/>
              <w:spacing w:before="43"/>
              <w:jc w:val="center"/>
              <w:rPr>
                <w:rFonts w:ascii="Verdana"/>
                <w:b/>
                <w:sz w:val="14"/>
              </w:rPr>
            </w:pPr>
          </w:p>
          <w:p w14:paraId="08C7C648" w14:textId="77777777" w:rsidR="00921BC5" w:rsidRDefault="00921BC5" w:rsidP="00921BC5">
            <w:pPr>
              <w:pStyle w:val="TableParagraph"/>
              <w:spacing w:before="1"/>
              <w:ind w:left="8" w:right="4"/>
              <w:jc w:val="center"/>
              <w:rPr>
                <w:sz w:val="14"/>
              </w:rPr>
            </w:pPr>
            <w:r>
              <w:rPr>
                <w:color w:val="231F20"/>
                <w:spacing w:val="-5"/>
                <w:sz w:val="14"/>
              </w:rPr>
              <w:t>137</w:t>
            </w:r>
          </w:p>
        </w:tc>
        <w:tc>
          <w:tcPr>
            <w:tcW w:w="3677" w:type="dxa"/>
            <w:gridSpan w:val="2"/>
            <w:shd w:val="clear" w:color="auto" w:fill="E8F1F0"/>
          </w:tcPr>
          <w:p w14:paraId="730E6389" w14:textId="77777777" w:rsidR="00921BC5" w:rsidRDefault="00921BC5" w:rsidP="00D306E1">
            <w:pPr>
              <w:pStyle w:val="TableParagraph"/>
              <w:spacing w:before="48" w:line="249" w:lineRule="auto"/>
              <w:ind w:left="80" w:right="72"/>
              <w:jc w:val="both"/>
              <w:rPr>
                <w:sz w:val="14"/>
              </w:rPr>
            </w:pPr>
            <w:r>
              <w:rPr>
                <w:color w:val="231F20"/>
                <w:sz w:val="14"/>
              </w:rPr>
              <w:t>El soporte para el pago de los eventos realizados es la</w:t>
            </w:r>
            <w:r>
              <w:rPr>
                <w:color w:val="231F20"/>
                <w:spacing w:val="40"/>
                <w:sz w:val="14"/>
              </w:rPr>
              <w:t xml:space="preserve"> </w:t>
            </w:r>
            <w:r>
              <w:rPr>
                <w:color w:val="231F20"/>
                <w:spacing w:val="-2"/>
                <w:sz w:val="14"/>
              </w:rPr>
              <w:t>factura</w:t>
            </w:r>
            <w:r>
              <w:rPr>
                <w:color w:val="231F20"/>
                <w:spacing w:val="-6"/>
                <w:sz w:val="14"/>
              </w:rPr>
              <w:t xml:space="preserve"> </w:t>
            </w:r>
            <w:r>
              <w:rPr>
                <w:color w:val="231F20"/>
                <w:spacing w:val="-2"/>
                <w:sz w:val="14"/>
              </w:rPr>
              <w:t>con</w:t>
            </w:r>
            <w:r>
              <w:rPr>
                <w:color w:val="231F20"/>
                <w:spacing w:val="-6"/>
                <w:sz w:val="14"/>
              </w:rPr>
              <w:t xml:space="preserve"> </w:t>
            </w:r>
            <w:r>
              <w:rPr>
                <w:color w:val="231F20"/>
                <w:spacing w:val="-2"/>
                <w:sz w:val="14"/>
              </w:rPr>
              <w:t>cobros</w:t>
            </w:r>
            <w:r>
              <w:rPr>
                <w:color w:val="231F20"/>
                <w:spacing w:val="-6"/>
                <w:sz w:val="14"/>
              </w:rPr>
              <w:t xml:space="preserve"> </w:t>
            </w:r>
            <w:r>
              <w:rPr>
                <w:color w:val="231F20"/>
                <w:spacing w:val="-2"/>
                <w:sz w:val="14"/>
              </w:rPr>
              <w:t>de</w:t>
            </w:r>
            <w:r>
              <w:rPr>
                <w:color w:val="231F20"/>
                <w:spacing w:val="-6"/>
                <w:sz w:val="14"/>
              </w:rPr>
              <w:t xml:space="preserve"> </w:t>
            </w:r>
            <w:r>
              <w:rPr>
                <w:color w:val="231F20"/>
                <w:spacing w:val="-2"/>
                <w:sz w:val="14"/>
              </w:rPr>
              <w:t>conceptos</w:t>
            </w:r>
            <w:r>
              <w:rPr>
                <w:color w:val="231F20"/>
                <w:spacing w:val="-6"/>
                <w:sz w:val="14"/>
              </w:rPr>
              <w:t xml:space="preserve"> </w:t>
            </w:r>
            <w:r>
              <w:rPr>
                <w:color w:val="231F20"/>
                <w:spacing w:val="-2"/>
                <w:sz w:val="14"/>
              </w:rPr>
              <w:t>globales</w:t>
            </w:r>
            <w:r>
              <w:rPr>
                <w:color w:val="231F20"/>
                <w:spacing w:val="-6"/>
                <w:sz w:val="14"/>
              </w:rPr>
              <w:t xml:space="preserve"> </w:t>
            </w:r>
            <w:r>
              <w:rPr>
                <w:color w:val="231F20"/>
                <w:spacing w:val="-2"/>
                <w:sz w:val="14"/>
              </w:rPr>
              <w:t>por</w:t>
            </w:r>
            <w:r>
              <w:rPr>
                <w:color w:val="231F20"/>
                <w:spacing w:val="-6"/>
                <w:sz w:val="14"/>
              </w:rPr>
              <w:t xml:space="preserve"> </w:t>
            </w:r>
            <w:r>
              <w:rPr>
                <w:color w:val="231F20"/>
                <w:spacing w:val="-2"/>
                <w:sz w:val="14"/>
              </w:rPr>
              <w:t>los</w:t>
            </w:r>
            <w:r>
              <w:rPr>
                <w:color w:val="231F20"/>
                <w:spacing w:val="-6"/>
                <w:sz w:val="14"/>
              </w:rPr>
              <w:t xml:space="preserve"> </w:t>
            </w:r>
            <w:r>
              <w:rPr>
                <w:color w:val="231F20"/>
                <w:spacing w:val="-2"/>
                <w:sz w:val="14"/>
              </w:rPr>
              <w:t>servicios</w:t>
            </w:r>
            <w:r>
              <w:rPr>
                <w:color w:val="231F20"/>
                <w:spacing w:val="40"/>
                <w:sz w:val="14"/>
              </w:rPr>
              <w:t xml:space="preserve"> </w:t>
            </w:r>
            <w:r>
              <w:rPr>
                <w:color w:val="231F20"/>
                <w:sz w:val="14"/>
              </w:rPr>
              <w:t>prestados como transporte, hoteles, alimentación, sin</w:t>
            </w:r>
            <w:r>
              <w:rPr>
                <w:color w:val="231F20"/>
                <w:spacing w:val="40"/>
                <w:sz w:val="14"/>
              </w:rPr>
              <w:t xml:space="preserve"> </w:t>
            </w:r>
            <w:r>
              <w:rPr>
                <w:color w:val="231F20"/>
                <w:sz w:val="14"/>
              </w:rPr>
              <w:t>más detalle que de cuenta de los gastos efectuados en</w:t>
            </w:r>
            <w:r>
              <w:rPr>
                <w:color w:val="231F20"/>
                <w:spacing w:val="40"/>
                <w:sz w:val="14"/>
              </w:rPr>
              <w:t xml:space="preserve"> </w:t>
            </w:r>
            <w:r>
              <w:rPr>
                <w:color w:val="231F20"/>
                <w:sz w:val="14"/>
              </w:rPr>
              <w:t>cada evento. Hallazgo Fiscal $2.711.019.421.</w:t>
            </w:r>
          </w:p>
        </w:tc>
        <w:tc>
          <w:tcPr>
            <w:tcW w:w="1926" w:type="dxa"/>
            <w:shd w:val="clear" w:color="auto" w:fill="E8F1F0"/>
          </w:tcPr>
          <w:p w14:paraId="0A0D857F" w14:textId="77777777" w:rsidR="00921BC5" w:rsidRDefault="00921BC5" w:rsidP="00921BC5">
            <w:pPr>
              <w:pStyle w:val="TableParagraph"/>
              <w:jc w:val="center"/>
              <w:rPr>
                <w:rFonts w:ascii="Verdana"/>
                <w:b/>
                <w:sz w:val="14"/>
              </w:rPr>
            </w:pPr>
          </w:p>
          <w:p w14:paraId="43C6FD07" w14:textId="77777777" w:rsidR="00921BC5" w:rsidRDefault="00921BC5" w:rsidP="00921BC5">
            <w:pPr>
              <w:pStyle w:val="TableParagraph"/>
              <w:spacing w:before="43"/>
              <w:jc w:val="center"/>
              <w:rPr>
                <w:rFonts w:ascii="Verdana"/>
                <w:b/>
                <w:sz w:val="14"/>
              </w:rPr>
            </w:pPr>
          </w:p>
          <w:p w14:paraId="43E5CF9B" w14:textId="77777777" w:rsidR="00921BC5" w:rsidRDefault="00921BC5" w:rsidP="00921BC5">
            <w:pPr>
              <w:pStyle w:val="TableParagraph"/>
              <w:spacing w:before="1"/>
              <w:ind w:left="44" w:right="1"/>
              <w:jc w:val="center"/>
              <w:rPr>
                <w:sz w:val="14"/>
              </w:rPr>
            </w:pPr>
            <w:r>
              <w:rPr>
                <w:color w:val="231F20"/>
                <w:spacing w:val="-2"/>
                <w:sz w:val="14"/>
              </w:rPr>
              <w:t>2.711.019.421,00</w:t>
            </w:r>
          </w:p>
        </w:tc>
        <w:tc>
          <w:tcPr>
            <w:tcW w:w="1498" w:type="dxa"/>
            <w:shd w:val="clear" w:color="auto" w:fill="E8F1F0"/>
          </w:tcPr>
          <w:p w14:paraId="625A53E2" w14:textId="77777777" w:rsidR="00921BC5" w:rsidRDefault="00921BC5" w:rsidP="00921BC5">
            <w:pPr>
              <w:pStyle w:val="TableParagraph"/>
              <w:jc w:val="center"/>
              <w:rPr>
                <w:rFonts w:ascii="Verdana"/>
                <w:b/>
                <w:sz w:val="14"/>
              </w:rPr>
            </w:pPr>
          </w:p>
          <w:p w14:paraId="3E50F87E" w14:textId="77777777" w:rsidR="00921BC5" w:rsidRDefault="00921BC5" w:rsidP="00921BC5">
            <w:pPr>
              <w:pStyle w:val="TableParagraph"/>
              <w:spacing w:before="43"/>
              <w:jc w:val="center"/>
              <w:rPr>
                <w:rFonts w:ascii="Verdana"/>
                <w:b/>
                <w:sz w:val="14"/>
              </w:rPr>
            </w:pPr>
          </w:p>
          <w:p w14:paraId="4359C91F" w14:textId="77777777" w:rsidR="00921BC5" w:rsidRDefault="00921BC5" w:rsidP="00921BC5">
            <w:pPr>
              <w:pStyle w:val="TableParagraph"/>
              <w:spacing w:before="1"/>
              <w:ind w:left="3" w:right="4"/>
              <w:jc w:val="center"/>
              <w:rPr>
                <w:sz w:val="14"/>
              </w:rPr>
            </w:pPr>
            <w:r>
              <w:rPr>
                <w:color w:val="231F20"/>
                <w:spacing w:val="-10"/>
                <w:sz w:val="14"/>
              </w:rPr>
              <w:t>F</w:t>
            </w:r>
          </w:p>
        </w:tc>
      </w:tr>
    </w:tbl>
    <w:p w14:paraId="5337F902" w14:textId="77777777" w:rsidR="00921BC5" w:rsidRPr="00513E12" w:rsidRDefault="00921BC5" w:rsidP="00921BC5">
      <w:pPr>
        <w:pStyle w:val="Textoindependiente"/>
        <w:ind w:right="-234"/>
        <w:jc w:val="both"/>
        <w:rPr>
          <w:b/>
          <w:bCs/>
          <w:sz w:val="28"/>
          <w:szCs w:val="28"/>
        </w:rPr>
      </w:pPr>
    </w:p>
    <w:p w14:paraId="3711AE31" w14:textId="2C4EF854" w:rsidR="00921BC5" w:rsidRPr="008B6B42" w:rsidRDefault="00921BC5" w:rsidP="007E3EDE">
      <w:pPr>
        <w:pStyle w:val="Ttulo1"/>
        <w:ind w:left="0" w:right="49"/>
        <w:rPr>
          <w:b w:val="0"/>
          <w:bCs w:val="0"/>
          <w:sz w:val="28"/>
          <w:szCs w:val="28"/>
        </w:rPr>
      </w:pPr>
      <w:bookmarkStart w:id="11" w:name="_Hlk207875598"/>
      <w:bookmarkStart w:id="12" w:name="_Hlk207873929"/>
      <w:bookmarkEnd w:id="9"/>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 xml:space="preserve">U.A.E. RESTITUCIÓN DE TIERRAS DESPOJADAS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8"/>
    <w:bookmarkEnd w:id="10"/>
    <w:bookmarkEnd w:id="11"/>
    <w:bookmarkEnd w:id="12"/>
    <w:p w14:paraId="50C3AFE2" w14:textId="77777777" w:rsidR="00921BC5" w:rsidRDefault="00921BC5" w:rsidP="00EB3C05">
      <w:pPr>
        <w:jc w:val="both"/>
        <w:rPr>
          <w:b/>
          <w:sz w:val="28"/>
          <w:szCs w:val="28"/>
          <w:lang w:val="es-MX"/>
        </w:rPr>
      </w:pPr>
    </w:p>
    <w:p w14:paraId="00E29180" w14:textId="6DCC46C4" w:rsidR="00EB3C05" w:rsidRPr="004B5948" w:rsidRDefault="00EB3C05" w:rsidP="00EB3C05">
      <w:pPr>
        <w:jc w:val="both"/>
        <w:rPr>
          <w:b/>
          <w:sz w:val="28"/>
          <w:szCs w:val="28"/>
          <w:lang w:val="es-MX"/>
        </w:rPr>
      </w:pPr>
      <w:r>
        <w:rPr>
          <w:b/>
          <w:sz w:val="28"/>
          <w:szCs w:val="28"/>
          <w:lang w:val="es-MX"/>
        </w:rPr>
        <w:t>314</w:t>
      </w:r>
      <w:r w:rsidRPr="00670B16">
        <w:rPr>
          <w:b/>
          <w:sz w:val="28"/>
          <w:szCs w:val="28"/>
          <w:lang w:val="es-MX"/>
        </w:rPr>
        <w:t xml:space="preserve">.- </w:t>
      </w:r>
      <w:r w:rsidRPr="004B5948">
        <w:rPr>
          <w:b/>
          <w:sz w:val="28"/>
          <w:szCs w:val="28"/>
          <w:lang w:val="es-CO"/>
        </w:rPr>
        <w:t>UNIDAD ADMINISTRATIVA ESPECIAL DE GESTIÓN DE RESTITUCIÓN DE TIERRAS DESPOJADAS.</w:t>
      </w:r>
    </w:p>
    <w:p w14:paraId="0EF49CB1" w14:textId="77777777" w:rsidR="00EB3C05" w:rsidRDefault="00EB3C05" w:rsidP="00EB3C05">
      <w:pPr>
        <w:pStyle w:val="Prrafodelista"/>
        <w:spacing w:before="92"/>
        <w:ind w:left="-142"/>
        <w:rPr>
          <w:b/>
          <w:sz w:val="24"/>
        </w:rPr>
      </w:pPr>
    </w:p>
    <w:p w14:paraId="592BE6D3" w14:textId="77777777" w:rsidR="00EB3C05" w:rsidRDefault="00EB3C05" w:rsidP="00EB3C05">
      <w:pPr>
        <w:pStyle w:val="Prrafodelista"/>
        <w:ind w:left="0"/>
        <w:rPr>
          <w:b/>
          <w:sz w:val="28"/>
          <w:szCs w:val="28"/>
        </w:rPr>
      </w:pPr>
      <w:r>
        <w:rPr>
          <w:b/>
          <w:sz w:val="28"/>
          <w:szCs w:val="28"/>
        </w:rPr>
        <w:lastRenderedPageBreak/>
        <w:t xml:space="preserve">A.- </w:t>
      </w:r>
      <w:r w:rsidRPr="00670B16">
        <w:rPr>
          <w:b/>
          <w:sz w:val="28"/>
          <w:szCs w:val="28"/>
        </w:rPr>
        <w:t>DE ORDEN PRESUPUESTAL</w:t>
      </w:r>
    </w:p>
    <w:p w14:paraId="04431EA9" w14:textId="77777777" w:rsidR="00EB3C05" w:rsidRPr="00670B16" w:rsidRDefault="00EB3C05" w:rsidP="00EB3C05">
      <w:pPr>
        <w:pStyle w:val="Prrafodelista"/>
        <w:ind w:left="0"/>
        <w:rPr>
          <w:b/>
          <w:sz w:val="28"/>
          <w:szCs w:val="28"/>
        </w:rPr>
      </w:pPr>
    </w:p>
    <w:p w14:paraId="1DFBE7B4" w14:textId="77777777" w:rsidR="00EB3C05" w:rsidRDefault="00EB3C05" w:rsidP="00EB3C05">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63F4A19B" w14:textId="77777777" w:rsidR="00EB3C05" w:rsidRDefault="00EB3C05" w:rsidP="00EB3C05">
      <w:pPr>
        <w:pStyle w:val="Prrafodelista"/>
        <w:ind w:left="0"/>
        <w:rPr>
          <w:sz w:val="24"/>
        </w:rPr>
      </w:pPr>
    </w:p>
    <w:tbl>
      <w:tblPr>
        <w:tblW w:w="9962" w:type="dxa"/>
        <w:tblCellMar>
          <w:left w:w="70" w:type="dxa"/>
          <w:right w:w="70" w:type="dxa"/>
        </w:tblCellMar>
        <w:tblLook w:val="04A0" w:firstRow="1" w:lastRow="0" w:firstColumn="1" w:lastColumn="0" w:noHBand="0" w:noVBand="1"/>
      </w:tblPr>
      <w:tblGrid>
        <w:gridCol w:w="1621"/>
        <w:gridCol w:w="1119"/>
        <w:gridCol w:w="1280"/>
        <w:gridCol w:w="1173"/>
        <w:gridCol w:w="1119"/>
        <w:gridCol w:w="1191"/>
        <w:gridCol w:w="1176"/>
        <w:gridCol w:w="1283"/>
      </w:tblGrid>
      <w:tr w:rsidR="00EB3C05" w:rsidRPr="00367968" w14:paraId="37E64C9F" w14:textId="77777777" w:rsidTr="00874B2D">
        <w:trPr>
          <w:trHeight w:val="648"/>
          <w:tblHeader/>
        </w:trPr>
        <w:tc>
          <w:tcPr>
            <w:tcW w:w="162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E8A082" w14:textId="77777777" w:rsidR="00EB3C05" w:rsidRPr="00367968" w:rsidRDefault="00EB3C05" w:rsidP="00874B2D">
            <w:pPr>
              <w:jc w:val="center"/>
              <w:rPr>
                <w:b/>
                <w:bCs/>
                <w:color w:val="000000"/>
                <w:sz w:val="16"/>
                <w:szCs w:val="16"/>
              </w:rPr>
            </w:pPr>
            <w:r w:rsidRPr="00367968">
              <w:rPr>
                <w:b/>
                <w:bCs/>
                <w:color w:val="000000"/>
                <w:sz w:val="16"/>
                <w:szCs w:val="16"/>
              </w:rPr>
              <w:t>CONCEPTO</w:t>
            </w:r>
          </w:p>
        </w:tc>
        <w:tc>
          <w:tcPr>
            <w:tcW w:w="1119" w:type="dxa"/>
            <w:tcBorders>
              <w:top w:val="single" w:sz="8" w:space="0" w:color="auto"/>
              <w:left w:val="nil"/>
              <w:bottom w:val="single" w:sz="4" w:space="0" w:color="auto"/>
              <w:right w:val="single" w:sz="4" w:space="0" w:color="auto"/>
            </w:tcBorders>
            <w:shd w:val="clear" w:color="auto" w:fill="auto"/>
            <w:vAlign w:val="center"/>
            <w:hideMark/>
          </w:tcPr>
          <w:p w14:paraId="096275F8" w14:textId="77777777" w:rsidR="00EB3C05" w:rsidRPr="00367968" w:rsidRDefault="00EB3C05" w:rsidP="00874B2D">
            <w:pPr>
              <w:jc w:val="center"/>
              <w:rPr>
                <w:b/>
                <w:bCs/>
                <w:color w:val="000000"/>
                <w:sz w:val="16"/>
                <w:szCs w:val="16"/>
              </w:rPr>
            </w:pPr>
            <w:r w:rsidRPr="00367968">
              <w:rPr>
                <w:b/>
                <w:bCs/>
                <w:color w:val="000000"/>
                <w:sz w:val="16"/>
                <w:szCs w:val="16"/>
              </w:rPr>
              <w:t>APROP. VIGENTE</w:t>
            </w:r>
            <w:r w:rsidRPr="00367968">
              <w:rPr>
                <w:b/>
                <w:bCs/>
                <w:color w:val="000000"/>
                <w:sz w:val="16"/>
                <w:szCs w:val="16"/>
              </w:rPr>
              <w:br/>
              <w:t>(1)</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21545D4C" w14:textId="77777777" w:rsidR="00EB3C05" w:rsidRPr="00367968" w:rsidRDefault="00EB3C05" w:rsidP="00874B2D">
            <w:pPr>
              <w:jc w:val="center"/>
              <w:rPr>
                <w:b/>
                <w:bCs/>
                <w:color w:val="000000"/>
                <w:sz w:val="16"/>
                <w:szCs w:val="16"/>
              </w:rPr>
            </w:pPr>
            <w:r w:rsidRPr="00367968">
              <w:rPr>
                <w:b/>
                <w:bCs/>
                <w:color w:val="000000"/>
                <w:sz w:val="16"/>
                <w:szCs w:val="16"/>
              </w:rPr>
              <w:t>COMPROMISO                           (2)</w:t>
            </w:r>
          </w:p>
        </w:tc>
        <w:tc>
          <w:tcPr>
            <w:tcW w:w="1173" w:type="dxa"/>
            <w:tcBorders>
              <w:top w:val="single" w:sz="8" w:space="0" w:color="auto"/>
              <w:left w:val="nil"/>
              <w:bottom w:val="single" w:sz="4" w:space="0" w:color="auto"/>
              <w:right w:val="single" w:sz="4" w:space="0" w:color="auto"/>
            </w:tcBorders>
            <w:shd w:val="clear" w:color="auto" w:fill="auto"/>
            <w:vAlign w:val="center"/>
            <w:hideMark/>
          </w:tcPr>
          <w:p w14:paraId="3C8BFAE9" w14:textId="77777777" w:rsidR="00EB3C05" w:rsidRPr="00367968" w:rsidRDefault="00EB3C05" w:rsidP="00874B2D">
            <w:pPr>
              <w:jc w:val="center"/>
              <w:rPr>
                <w:b/>
                <w:bCs/>
                <w:color w:val="000000"/>
                <w:sz w:val="16"/>
                <w:szCs w:val="16"/>
              </w:rPr>
            </w:pPr>
            <w:r w:rsidRPr="00367968">
              <w:rPr>
                <w:b/>
                <w:bCs/>
                <w:color w:val="000000"/>
                <w:sz w:val="16"/>
                <w:szCs w:val="16"/>
              </w:rPr>
              <w:t xml:space="preserve">OBLIGACIÓN          </w:t>
            </w:r>
            <w:r w:rsidRPr="00367968">
              <w:rPr>
                <w:b/>
                <w:bCs/>
                <w:color w:val="000000"/>
                <w:sz w:val="16"/>
                <w:szCs w:val="16"/>
              </w:rPr>
              <w:br/>
              <w:t>(3)</w:t>
            </w:r>
          </w:p>
        </w:tc>
        <w:tc>
          <w:tcPr>
            <w:tcW w:w="1119" w:type="dxa"/>
            <w:tcBorders>
              <w:top w:val="single" w:sz="8" w:space="0" w:color="auto"/>
              <w:left w:val="nil"/>
              <w:bottom w:val="single" w:sz="4" w:space="0" w:color="auto"/>
              <w:right w:val="single" w:sz="4" w:space="0" w:color="auto"/>
            </w:tcBorders>
            <w:shd w:val="clear" w:color="auto" w:fill="auto"/>
            <w:vAlign w:val="center"/>
            <w:hideMark/>
          </w:tcPr>
          <w:p w14:paraId="61258F5D" w14:textId="77777777" w:rsidR="00EB3C05" w:rsidRPr="00367968" w:rsidRDefault="00EB3C05" w:rsidP="00874B2D">
            <w:pPr>
              <w:jc w:val="center"/>
              <w:rPr>
                <w:b/>
                <w:bCs/>
                <w:color w:val="000000"/>
                <w:sz w:val="16"/>
                <w:szCs w:val="16"/>
              </w:rPr>
            </w:pPr>
            <w:r w:rsidRPr="00367968">
              <w:rPr>
                <w:b/>
                <w:bCs/>
                <w:color w:val="000000"/>
                <w:sz w:val="16"/>
                <w:szCs w:val="16"/>
              </w:rPr>
              <w:t xml:space="preserve">PAGOS   </w:t>
            </w:r>
            <w:r w:rsidRPr="00367968">
              <w:rPr>
                <w:b/>
                <w:bCs/>
                <w:color w:val="000000"/>
                <w:sz w:val="16"/>
                <w:szCs w:val="16"/>
              </w:rPr>
              <w:br/>
              <w:t>(4)</w:t>
            </w:r>
          </w:p>
        </w:tc>
        <w:tc>
          <w:tcPr>
            <w:tcW w:w="1191" w:type="dxa"/>
            <w:tcBorders>
              <w:top w:val="single" w:sz="8" w:space="0" w:color="auto"/>
              <w:left w:val="nil"/>
              <w:bottom w:val="single" w:sz="4" w:space="0" w:color="auto"/>
              <w:right w:val="single" w:sz="4" w:space="0" w:color="auto"/>
            </w:tcBorders>
            <w:shd w:val="clear" w:color="auto" w:fill="auto"/>
            <w:vAlign w:val="center"/>
            <w:hideMark/>
          </w:tcPr>
          <w:p w14:paraId="78F9D100" w14:textId="77777777" w:rsidR="00EB3C05" w:rsidRDefault="00EB3C05" w:rsidP="00874B2D">
            <w:pPr>
              <w:jc w:val="center"/>
              <w:rPr>
                <w:b/>
                <w:bCs/>
                <w:color w:val="000000"/>
                <w:sz w:val="16"/>
                <w:szCs w:val="16"/>
              </w:rPr>
            </w:pPr>
            <w:r w:rsidRPr="00367968">
              <w:rPr>
                <w:b/>
                <w:bCs/>
                <w:color w:val="000000"/>
                <w:sz w:val="16"/>
                <w:szCs w:val="16"/>
              </w:rPr>
              <w:t>% COMP/</w:t>
            </w:r>
          </w:p>
          <w:p w14:paraId="22D3F49F" w14:textId="77777777" w:rsidR="00EB3C05" w:rsidRPr="00367968" w:rsidRDefault="00EB3C05" w:rsidP="00874B2D">
            <w:pPr>
              <w:jc w:val="center"/>
              <w:rPr>
                <w:b/>
                <w:bCs/>
                <w:color w:val="000000"/>
                <w:sz w:val="16"/>
                <w:szCs w:val="16"/>
              </w:rPr>
            </w:pPr>
            <w:r w:rsidRPr="00367968">
              <w:rPr>
                <w:b/>
                <w:bCs/>
                <w:color w:val="000000"/>
                <w:sz w:val="16"/>
                <w:szCs w:val="16"/>
              </w:rPr>
              <w:t>APROP. VIGENTE</w:t>
            </w:r>
            <w:r w:rsidRPr="00367968">
              <w:rPr>
                <w:b/>
                <w:bCs/>
                <w:color w:val="000000"/>
                <w:sz w:val="16"/>
                <w:szCs w:val="16"/>
              </w:rPr>
              <w:br/>
              <w:t>5 = (2 / 1)</w:t>
            </w:r>
          </w:p>
        </w:tc>
        <w:tc>
          <w:tcPr>
            <w:tcW w:w="1176" w:type="dxa"/>
            <w:tcBorders>
              <w:top w:val="single" w:sz="8" w:space="0" w:color="auto"/>
              <w:left w:val="nil"/>
              <w:bottom w:val="single" w:sz="4" w:space="0" w:color="auto"/>
              <w:right w:val="single" w:sz="4" w:space="0" w:color="auto"/>
            </w:tcBorders>
            <w:shd w:val="clear" w:color="auto" w:fill="auto"/>
            <w:vAlign w:val="center"/>
            <w:hideMark/>
          </w:tcPr>
          <w:p w14:paraId="385C48E9" w14:textId="77777777" w:rsidR="00EB3C05" w:rsidRDefault="00EB3C05" w:rsidP="00874B2D">
            <w:pPr>
              <w:jc w:val="center"/>
              <w:rPr>
                <w:b/>
                <w:bCs/>
                <w:color w:val="000000"/>
                <w:sz w:val="16"/>
                <w:szCs w:val="16"/>
              </w:rPr>
            </w:pPr>
            <w:r w:rsidRPr="00367968">
              <w:rPr>
                <w:b/>
                <w:bCs/>
                <w:color w:val="000000"/>
                <w:sz w:val="16"/>
                <w:szCs w:val="16"/>
              </w:rPr>
              <w:t>% OBLIG/</w:t>
            </w:r>
          </w:p>
          <w:p w14:paraId="4765E19E" w14:textId="77777777" w:rsidR="00EB3C05" w:rsidRPr="00367968" w:rsidRDefault="00EB3C05" w:rsidP="00874B2D">
            <w:pPr>
              <w:jc w:val="center"/>
              <w:rPr>
                <w:b/>
                <w:bCs/>
                <w:color w:val="000000"/>
                <w:sz w:val="16"/>
                <w:szCs w:val="16"/>
              </w:rPr>
            </w:pPr>
            <w:r w:rsidRPr="00367968">
              <w:rPr>
                <w:b/>
                <w:bCs/>
                <w:color w:val="000000"/>
                <w:sz w:val="16"/>
                <w:szCs w:val="16"/>
              </w:rPr>
              <w:t xml:space="preserve">APROP VIGENTE        </w:t>
            </w:r>
            <w:r w:rsidRPr="00367968">
              <w:rPr>
                <w:b/>
                <w:bCs/>
                <w:color w:val="000000"/>
                <w:sz w:val="16"/>
                <w:szCs w:val="16"/>
              </w:rPr>
              <w:br/>
              <w:t xml:space="preserve"> 6 = (3 / 1)</w:t>
            </w:r>
          </w:p>
        </w:tc>
        <w:tc>
          <w:tcPr>
            <w:tcW w:w="1283" w:type="dxa"/>
            <w:tcBorders>
              <w:top w:val="single" w:sz="8" w:space="0" w:color="auto"/>
              <w:left w:val="nil"/>
              <w:bottom w:val="single" w:sz="4" w:space="0" w:color="auto"/>
              <w:right w:val="single" w:sz="8" w:space="0" w:color="auto"/>
            </w:tcBorders>
            <w:shd w:val="clear" w:color="auto" w:fill="auto"/>
            <w:vAlign w:val="center"/>
            <w:hideMark/>
          </w:tcPr>
          <w:p w14:paraId="2A8D5579" w14:textId="77777777" w:rsidR="00EB3C05" w:rsidRDefault="00EB3C05" w:rsidP="00874B2D">
            <w:pPr>
              <w:jc w:val="center"/>
              <w:rPr>
                <w:b/>
                <w:bCs/>
                <w:color w:val="000000"/>
                <w:sz w:val="16"/>
                <w:szCs w:val="16"/>
              </w:rPr>
            </w:pPr>
            <w:r w:rsidRPr="00367968">
              <w:rPr>
                <w:b/>
                <w:bCs/>
                <w:color w:val="000000"/>
                <w:sz w:val="16"/>
                <w:szCs w:val="16"/>
              </w:rPr>
              <w:t>% PAGOS/</w:t>
            </w:r>
          </w:p>
          <w:p w14:paraId="0B14CC17" w14:textId="77777777" w:rsidR="00EB3C05" w:rsidRPr="00367968" w:rsidRDefault="00EB3C05" w:rsidP="00874B2D">
            <w:pPr>
              <w:jc w:val="center"/>
              <w:rPr>
                <w:b/>
                <w:bCs/>
                <w:color w:val="000000"/>
                <w:sz w:val="16"/>
                <w:szCs w:val="16"/>
              </w:rPr>
            </w:pPr>
            <w:r w:rsidRPr="00367968">
              <w:rPr>
                <w:b/>
                <w:bCs/>
                <w:color w:val="000000"/>
                <w:sz w:val="16"/>
                <w:szCs w:val="16"/>
              </w:rPr>
              <w:t>APROP. VIGENTE</w:t>
            </w:r>
            <w:r w:rsidRPr="00367968">
              <w:rPr>
                <w:b/>
                <w:bCs/>
                <w:color w:val="000000"/>
                <w:sz w:val="16"/>
                <w:szCs w:val="16"/>
              </w:rPr>
              <w:br/>
              <w:t>7 = (4 / 1)</w:t>
            </w:r>
          </w:p>
        </w:tc>
      </w:tr>
      <w:tr w:rsidR="00EB3C05" w:rsidRPr="00367968" w14:paraId="7D2CF623" w14:textId="77777777" w:rsidTr="00874B2D">
        <w:trPr>
          <w:trHeight w:val="163"/>
        </w:trPr>
        <w:tc>
          <w:tcPr>
            <w:tcW w:w="1621" w:type="dxa"/>
            <w:tcBorders>
              <w:top w:val="nil"/>
              <w:left w:val="single" w:sz="8" w:space="0" w:color="auto"/>
              <w:bottom w:val="single" w:sz="4" w:space="0" w:color="auto"/>
              <w:right w:val="single" w:sz="4" w:space="0" w:color="auto"/>
            </w:tcBorders>
            <w:shd w:val="clear" w:color="auto" w:fill="auto"/>
            <w:vAlign w:val="center"/>
            <w:hideMark/>
          </w:tcPr>
          <w:p w14:paraId="1916476E" w14:textId="77777777" w:rsidR="00EB3C05" w:rsidRPr="00367968" w:rsidRDefault="00EB3C05" w:rsidP="00874B2D">
            <w:pPr>
              <w:rPr>
                <w:b/>
                <w:bCs/>
                <w:color w:val="000000"/>
                <w:sz w:val="16"/>
                <w:szCs w:val="16"/>
              </w:rPr>
            </w:pPr>
            <w:r w:rsidRPr="00367968">
              <w:rPr>
                <w:b/>
                <w:bCs/>
                <w:color w:val="000000"/>
                <w:sz w:val="16"/>
                <w:szCs w:val="16"/>
              </w:rPr>
              <w:t xml:space="preserve">FUNCIONAMIENTO </w:t>
            </w:r>
          </w:p>
        </w:tc>
        <w:tc>
          <w:tcPr>
            <w:tcW w:w="1119" w:type="dxa"/>
            <w:tcBorders>
              <w:top w:val="nil"/>
              <w:left w:val="nil"/>
              <w:bottom w:val="single" w:sz="4" w:space="0" w:color="auto"/>
              <w:right w:val="single" w:sz="4" w:space="0" w:color="auto"/>
            </w:tcBorders>
            <w:shd w:val="clear" w:color="auto" w:fill="auto"/>
            <w:noWrap/>
            <w:vAlign w:val="center"/>
            <w:hideMark/>
          </w:tcPr>
          <w:p w14:paraId="06BF0E5F" w14:textId="77777777" w:rsidR="00EB3C05" w:rsidRPr="00367968" w:rsidRDefault="00EB3C05" w:rsidP="00874B2D">
            <w:pPr>
              <w:jc w:val="right"/>
              <w:rPr>
                <w:b/>
                <w:bCs/>
                <w:sz w:val="16"/>
                <w:szCs w:val="16"/>
              </w:rPr>
            </w:pPr>
            <w:r w:rsidRPr="00367968">
              <w:rPr>
                <w:b/>
                <w:bCs/>
                <w:sz w:val="16"/>
                <w:szCs w:val="16"/>
              </w:rPr>
              <w:t>77.177.005</w:t>
            </w:r>
          </w:p>
        </w:tc>
        <w:tc>
          <w:tcPr>
            <w:tcW w:w="1280" w:type="dxa"/>
            <w:tcBorders>
              <w:top w:val="nil"/>
              <w:left w:val="nil"/>
              <w:bottom w:val="single" w:sz="4" w:space="0" w:color="auto"/>
              <w:right w:val="single" w:sz="4" w:space="0" w:color="auto"/>
            </w:tcBorders>
            <w:shd w:val="clear" w:color="auto" w:fill="auto"/>
            <w:noWrap/>
            <w:vAlign w:val="center"/>
            <w:hideMark/>
          </w:tcPr>
          <w:p w14:paraId="6A9709F5" w14:textId="77777777" w:rsidR="00EB3C05" w:rsidRPr="00367968" w:rsidRDefault="00EB3C05" w:rsidP="00874B2D">
            <w:pPr>
              <w:jc w:val="right"/>
              <w:rPr>
                <w:b/>
                <w:bCs/>
                <w:sz w:val="16"/>
                <w:szCs w:val="16"/>
              </w:rPr>
            </w:pPr>
            <w:r w:rsidRPr="00367968">
              <w:rPr>
                <w:b/>
                <w:bCs/>
                <w:sz w:val="16"/>
                <w:szCs w:val="16"/>
              </w:rPr>
              <w:t>74.616.664</w:t>
            </w:r>
          </w:p>
        </w:tc>
        <w:tc>
          <w:tcPr>
            <w:tcW w:w="1173" w:type="dxa"/>
            <w:tcBorders>
              <w:top w:val="nil"/>
              <w:left w:val="nil"/>
              <w:bottom w:val="single" w:sz="4" w:space="0" w:color="auto"/>
              <w:right w:val="single" w:sz="4" w:space="0" w:color="auto"/>
            </w:tcBorders>
            <w:shd w:val="clear" w:color="auto" w:fill="auto"/>
            <w:noWrap/>
            <w:vAlign w:val="center"/>
            <w:hideMark/>
          </w:tcPr>
          <w:p w14:paraId="3F65E5BA" w14:textId="77777777" w:rsidR="00EB3C05" w:rsidRPr="00367968" w:rsidRDefault="00EB3C05" w:rsidP="00874B2D">
            <w:pPr>
              <w:jc w:val="right"/>
              <w:rPr>
                <w:b/>
                <w:bCs/>
                <w:sz w:val="16"/>
                <w:szCs w:val="16"/>
              </w:rPr>
            </w:pPr>
            <w:r w:rsidRPr="00367968">
              <w:rPr>
                <w:b/>
                <w:bCs/>
                <w:sz w:val="16"/>
                <w:szCs w:val="16"/>
              </w:rPr>
              <w:t>74.552.887</w:t>
            </w:r>
          </w:p>
        </w:tc>
        <w:tc>
          <w:tcPr>
            <w:tcW w:w="1119" w:type="dxa"/>
            <w:tcBorders>
              <w:top w:val="nil"/>
              <w:left w:val="nil"/>
              <w:bottom w:val="single" w:sz="4" w:space="0" w:color="auto"/>
              <w:right w:val="single" w:sz="4" w:space="0" w:color="auto"/>
            </w:tcBorders>
            <w:shd w:val="clear" w:color="auto" w:fill="auto"/>
            <w:noWrap/>
            <w:vAlign w:val="center"/>
            <w:hideMark/>
          </w:tcPr>
          <w:p w14:paraId="432AF5B9" w14:textId="77777777" w:rsidR="00EB3C05" w:rsidRPr="00367968" w:rsidRDefault="00EB3C05" w:rsidP="00874B2D">
            <w:pPr>
              <w:jc w:val="right"/>
              <w:rPr>
                <w:b/>
                <w:bCs/>
                <w:sz w:val="16"/>
                <w:szCs w:val="16"/>
              </w:rPr>
            </w:pPr>
            <w:r w:rsidRPr="00367968">
              <w:rPr>
                <w:b/>
                <w:bCs/>
                <w:sz w:val="16"/>
                <w:szCs w:val="16"/>
              </w:rPr>
              <w:t>74.181.687</w:t>
            </w:r>
          </w:p>
        </w:tc>
        <w:tc>
          <w:tcPr>
            <w:tcW w:w="1191" w:type="dxa"/>
            <w:tcBorders>
              <w:top w:val="nil"/>
              <w:left w:val="nil"/>
              <w:bottom w:val="single" w:sz="4" w:space="0" w:color="auto"/>
              <w:right w:val="single" w:sz="4" w:space="0" w:color="auto"/>
            </w:tcBorders>
            <w:shd w:val="clear" w:color="auto" w:fill="auto"/>
            <w:noWrap/>
            <w:vAlign w:val="center"/>
            <w:hideMark/>
          </w:tcPr>
          <w:p w14:paraId="62219C49" w14:textId="77777777" w:rsidR="00EB3C05" w:rsidRPr="00367968" w:rsidRDefault="00EB3C05" w:rsidP="00874B2D">
            <w:pPr>
              <w:jc w:val="center"/>
              <w:rPr>
                <w:b/>
                <w:bCs/>
                <w:sz w:val="16"/>
                <w:szCs w:val="16"/>
              </w:rPr>
            </w:pPr>
            <w:r w:rsidRPr="00367968">
              <w:rPr>
                <w:b/>
                <w:bCs/>
                <w:sz w:val="16"/>
                <w:szCs w:val="16"/>
              </w:rPr>
              <w:t>96,68%</w:t>
            </w:r>
          </w:p>
        </w:tc>
        <w:tc>
          <w:tcPr>
            <w:tcW w:w="1176" w:type="dxa"/>
            <w:tcBorders>
              <w:top w:val="nil"/>
              <w:left w:val="nil"/>
              <w:bottom w:val="single" w:sz="4" w:space="0" w:color="auto"/>
              <w:right w:val="single" w:sz="4" w:space="0" w:color="auto"/>
            </w:tcBorders>
            <w:shd w:val="clear" w:color="auto" w:fill="auto"/>
            <w:noWrap/>
            <w:vAlign w:val="center"/>
            <w:hideMark/>
          </w:tcPr>
          <w:p w14:paraId="3E7593CE" w14:textId="77777777" w:rsidR="00EB3C05" w:rsidRPr="00367968" w:rsidRDefault="00EB3C05" w:rsidP="00874B2D">
            <w:pPr>
              <w:jc w:val="center"/>
              <w:rPr>
                <w:b/>
                <w:bCs/>
                <w:sz w:val="16"/>
                <w:szCs w:val="16"/>
              </w:rPr>
            </w:pPr>
            <w:r w:rsidRPr="00367968">
              <w:rPr>
                <w:b/>
                <w:bCs/>
                <w:sz w:val="16"/>
                <w:szCs w:val="16"/>
              </w:rPr>
              <w:t>96,60%</w:t>
            </w:r>
          </w:p>
        </w:tc>
        <w:tc>
          <w:tcPr>
            <w:tcW w:w="1283" w:type="dxa"/>
            <w:tcBorders>
              <w:top w:val="nil"/>
              <w:left w:val="nil"/>
              <w:bottom w:val="single" w:sz="4" w:space="0" w:color="auto"/>
              <w:right w:val="single" w:sz="8" w:space="0" w:color="auto"/>
            </w:tcBorders>
            <w:shd w:val="clear" w:color="auto" w:fill="auto"/>
            <w:noWrap/>
            <w:vAlign w:val="center"/>
            <w:hideMark/>
          </w:tcPr>
          <w:p w14:paraId="3FB42645" w14:textId="77777777" w:rsidR="00EB3C05" w:rsidRPr="00367968" w:rsidRDefault="00EB3C05" w:rsidP="00874B2D">
            <w:pPr>
              <w:jc w:val="center"/>
              <w:rPr>
                <w:b/>
                <w:bCs/>
                <w:sz w:val="16"/>
                <w:szCs w:val="16"/>
              </w:rPr>
            </w:pPr>
            <w:r w:rsidRPr="00367968">
              <w:rPr>
                <w:b/>
                <w:bCs/>
                <w:sz w:val="16"/>
                <w:szCs w:val="16"/>
              </w:rPr>
              <w:t>96,12%</w:t>
            </w:r>
          </w:p>
        </w:tc>
      </w:tr>
      <w:tr w:rsidR="00EB3C05" w:rsidRPr="00367968" w14:paraId="3603C542" w14:textId="77777777" w:rsidTr="00874B2D">
        <w:trPr>
          <w:trHeight w:val="294"/>
        </w:trPr>
        <w:tc>
          <w:tcPr>
            <w:tcW w:w="1621" w:type="dxa"/>
            <w:tcBorders>
              <w:top w:val="nil"/>
              <w:left w:val="single" w:sz="8" w:space="0" w:color="auto"/>
              <w:bottom w:val="single" w:sz="4" w:space="0" w:color="auto"/>
              <w:right w:val="single" w:sz="4" w:space="0" w:color="auto"/>
            </w:tcBorders>
            <w:shd w:val="clear" w:color="auto" w:fill="auto"/>
            <w:vAlign w:val="center"/>
            <w:hideMark/>
          </w:tcPr>
          <w:p w14:paraId="40EB8B16" w14:textId="77777777" w:rsidR="00EB3C05" w:rsidRPr="00367968" w:rsidRDefault="00EB3C05" w:rsidP="00874B2D">
            <w:pPr>
              <w:rPr>
                <w:color w:val="000000"/>
                <w:sz w:val="16"/>
                <w:szCs w:val="16"/>
              </w:rPr>
            </w:pPr>
            <w:r w:rsidRPr="00367968">
              <w:rPr>
                <w:color w:val="000000"/>
                <w:sz w:val="16"/>
                <w:szCs w:val="16"/>
              </w:rPr>
              <w:t>GASTOS DE PERSONAL</w:t>
            </w:r>
          </w:p>
        </w:tc>
        <w:tc>
          <w:tcPr>
            <w:tcW w:w="1119" w:type="dxa"/>
            <w:tcBorders>
              <w:top w:val="nil"/>
              <w:left w:val="nil"/>
              <w:bottom w:val="single" w:sz="4" w:space="0" w:color="auto"/>
              <w:right w:val="single" w:sz="4" w:space="0" w:color="auto"/>
            </w:tcBorders>
            <w:shd w:val="clear" w:color="auto" w:fill="auto"/>
            <w:noWrap/>
            <w:vAlign w:val="center"/>
            <w:hideMark/>
          </w:tcPr>
          <w:p w14:paraId="274393E6" w14:textId="77777777" w:rsidR="00EB3C05" w:rsidRPr="00367968" w:rsidRDefault="00EB3C05" w:rsidP="00874B2D">
            <w:pPr>
              <w:jc w:val="right"/>
              <w:rPr>
                <w:sz w:val="16"/>
                <w:szCs w:val="16"/>
              </w:rPr>
            </w:pPr>
            <w:r w:rsidRPr="00367968">
              <w:rPr>
                <w:sz w:val="16"/>
                <w:szCs w:val="16"/>
              </w:rPr>
              <w:t>54.778.638</w:t>
            </w:r>
          </w:p>
        </w:tc>
        <w:tc>
          <w:tcPr>
            <w:tcW w:w="1280" w:type="dxa"/>
            <w:tcBorders>
              <w:top w:val="nil"/>
              <w:left w:val="nil"/>
              <w:bottom w:val="single" w:sz="4" w:space="0" w:color="auto"/>
              <w:right w:val="single" w:sz="4" w:space="0" w:color="auto"/>
            </w:tcBorders>
            <w:shd w:val="clear" w:color="auto" w:fill="auto"/>
            <w:noWrap/>
            <w:vAlign w:val="center"/>
            <w:hideMark/>
          </w:tcPr>
          <w:p w14:paraId="668DAE47" w14:textId="77777777" w:rsidR="00EB3C05" w:rsidRPr="00367968" w:rsidRDefault="00EB3C05" w:rsidP="00874B2D">
            <w:pPr>
              <w:jc w:val="right"/>
              <w:rPr>
                <w:sz w:val="16"/>
                <w:szCs w:val="16"/>
              </w:rPr>
            </w:pPr>
            <w:r w:rsidRPr="00367968">
              <w:rPr>
                <w:sz w:val="16"/>
                <w:szCs w:val="16"/>
              </w:rPr>
              <w:t>53.938.093</w:t>
            </w:r>
          </w:p>
        </w:tc>
        <w:tc>
          <w:tcPr>
            <w:tcW w:w="1173" w:type="dxa"/>
            <w:tcBorders>
              <w:top w:val="nil"/>
              <w:left w:val="nil"/>
              <w:bottom w:val="single" w:sz="4" w:space="0" w:color="auto"/>
              <w:right w:val="single" w:sz="4" w:space="0" w:color="auto"/>
            </w:tcBorders>
            <w:shd w:val="clear" w:color="auto" w:fill="auto"/>
            <w:noWrap/>
            <w:vAlign w:val="center"/>
            <w:hideMark/>
          </w:tcPr>
          <w:p w14:paraId="6463BDD2" w14:textId="77777777" w:rsidR="00EB3C05" w:rsidRPr="00367968" w:rsidRDefault="00EB3C05" w:rsidP="00874B2D">
            <w:pPr>
              <w:jc w:val="right"/>
              <w:rPr>
                <w:sz w:val="16"/>
                <w:szCs w:val="16"/>
              </w:rPr>
            </w:pPr>
            <w:r w:rsidRPr="00367968">
              <w:rPr>
                <w:sz w:val="16"/>
                <w:szCs w:val="16"/>
              </w:rPr>
              <w:t>53.938.093</w:t>
            </w:r>
          </w:p>
        </w:tc>
        <w:tc>
          <w:tcPr>
            <w:tcW w:w="1119" w:type="dxa"/>
            <w:tcBorders>
              <w:top w:val="nil"/>
              <w:left w:val="nil"/>
              <w:bottom w:val="single" w:sz="4" w:space="0" w:color="auto"/>
              <w:right w:val="single" w:sz="4" w:space="0" w:color="auto"/>
            </w:tcBorders>
            <w:shd w:val="clear" w:color="auto" w:fill="auto"/>
            <w:noWrap/>
            <w:vAlign w:val="center"/>
            <w:hideMark/>
          </w:tcPr>
          <w:p w14:paraId="61760DEF" w14:textId="77777777" w:rsidR="00EB3C05" w:rsidRPr="00367968" w:rsidRDefault="00EB3C05" w:rsidP="00874B2D">
            <w:pPr>
              <w:jc w:val="right"/>
              <w:rPr>
                <w:sz w:val="16"/>
                <w:szCs w:val="16"/>
              </w:rPr>
            </w:pPr>
            <w:r w:rsidRPr="00367968">
              <w:rPr>
                <w:sz w:val="16"/>
                <w:szCs w:val="16"/>
              </w:rPr>
              <w:t>53.938.093</w:t>
            </w:r>
          </w:p>
        </w:tc>
        <w:tc>
          <w:tcPr>
            <w:tcW w:w="1191" w:type="dxa"/>
            <w:tcBorders>
              <w:top w:val="nil"/>
              <w:left w:val="nil"/>
              <w:bottom w:val="single" w:sz="4" w:space="0" w:color="auto"/>
              <w:right w:val="single" w:sz="4" w:space="0" w:color="auto"/>
            </w:tcBorders>
            <w:shd w:val="clear" w:color="auto" w:fill="auto"/>
            <w:noWrap/>
            <w:vAlign w:val="center"/>
            <w:hideMark/>
          </w:tcPr>
          <w:p w14:paraId="09017234" w14:textId="77777777" w:rsidR="00EB3C05" w:rsidRPr="00367968" w:rsidRDefault="00EB3C05" w:rsidP="00874B2D">
            <w:pPr>
              <w:jc w:val="center"/>
              <w:rPr>
                <w:b/>
                <w:bCs/>
                <w:sz w:val="16"/>
                <w:szCs w:val="16"/>
              </w:rPr>
            </w:pPr>
            <w:r w:rsidRPr="00367968">
              <w:rPr>
                <w:b/>
                <w:bCs/>
                <w:sz w:val="16"/>
                <w:szCs w:val="16"/>
              </w:rPr>
              <w:t>98,47%</w:t>
            </w:r>
          </w:p>
        </w:tc>
        <w:tc>
          <w:tcPr>
            <w:tcW w:w="1176" w:type="dxa"/>
            <w:tcBorders>
              <w:top w:val="nil"/>
              <w:left w:val="nil"/>
              <w:bottom w:val="single" w:sz="4" w:space="0" w:color="auto"/>
              <w:right w:val="single" w:sz="4" w:space="0" w:color="auto"/>
            </w:tcBorders>
            <w:shd w:val="clear" w:color="auto" w:fill="auto"/>
            <w:noWrap/>
            <w:vAlign w:val="center"/>
            <w:hideMark/>
          </w:tcPr>
          <w:p w14:paraId="1786E958" w14:textId="77777777" w:rsidR="00EB3C05" w:rsidRPr="00367968" w:rsidRDefault="00EB3C05" w:rsidP="00874B2D">
            <w:pPr>
              <w:jc w:val="center"/>
              <w:rPr>
                <w:b/>
                <w:bCs/>
                <w:sz w:val="16"/>
                <w:szCs w:val="16"/>
              </w:rPr>
            </w:pPr>
            <w:r w:rsidRPr="00367968">
              <w:rPr>
                <w:b/>
                <w:bCs/>
                <w:sz w:val="16"/>
                <w:szCs w:val="16"/>
              </w:rPr>
              <w:t>98,47%</w:t>
            </w:r>
          </w:p>
        </w:tc>
        <w:tc>
          <w:tcPr>
            <w:tcW w:w="1283" w:type="dxa"/>
            <w:tcBorders>
              <w:top w:val="nil"/>
              <w:left w:val="nil"/>
              <w:bottom w:val="single" w:sz="4" w:space="0" w:color="auto"/>
              <w:right w:val="single" w:sz="8" w:space="0" w:color="auto"/>
            </w:tcBorders>
            <w:shd w:val="clear" w:color="auto" w:fill="auto"/>
            <w:noWrap/>
            <w:vAlign w:val="center"/>
            <w:hideMark/>
          </w:tcPr>
          <w:p w14:paraId="2DB28E24" w14:textId="77777777" w:rsidR="00EB3C05" w:rsidRPr="00367968" w:rsidRDefault="00EB3C05" w:rsidP="00874B2D">
            <w:pPr>
              <w:jc w:val="center"/>
              <w:rPr>
                <w:b/>
                <w:bCs/>
                <w:sz w:val="16"/>
                <w:szCs w:val="16"/>
              </w:rPr>
            </w:pPr>
            <w:r w:rsidRPr="00367968">
              <w:rPr>
                <w:b/>
                <w:bCs/>
                <w:sz w:val="16"/>
                <w:szCs w:val="16"/>
              </w:rPr>
              <w:t>98,47%</w:t>
            </w:r>
          </w:p>
        </w:tc>
      </w:tr>
      <w:tr w:rsidR="00EB3C05" w:rsidRPr="00367968" w14:paraId="74953143" w14:textId="77777777" w:rsidTr="00874B2D">
        <w:trPr>
          <w:trHeight w:val="442"/>
        </w:trPr>
        <w:tc>
          <w:tcPr>
            <w:tcW w:w="1621" w:type="dxa"/>
            <w:tcBorders>
              <w:top w:val="nil"/>
              <w:left w:val="single" w:sz="8" w:space="0" w:color="auto"/>
              <w:bottom w:val="single" w:sz="4" w:space="0" w:color="auto"/>
              <w:right w:val="single" w:sz="4" w:space="0" w:color="auto"/>
            </w:tcBorders>
            <w:shd w:val="clear" w:color="auto" w:fill="auto"/>
            <w:vAlign w:val="center"/>
            <w:hideMark/>
          </w:tcPr>
          <w:p w14:paraId="49B34812" w14:textId="77777777" w:rsidR="00EB3C05" w:rsidRPr="00367968" w:rsidRDefault="00EB3C05" w:rsidP="00874B2D">
            <w:pPr>
              <w:rPr>
                <w:color w:val="000000"/>
                <w:sz w:val="16"/>
                <w:szCs w:val="16"/>
              </w:rPr>
            </w:pPr>
            <w:r w:rsidRPr="00367968">
              <w:rPr>
                <w:color w:val="000000"/>
                <w:sz w:val="16"/>
                <w:szCs w:val="16"/>
              </w:rPr>
              <w:t>ADQUISICIÓN DE BIENES Y SERVICIOS</w:t>
            </w:r>
          </w:p>
        </w:tc>
        <w:tc>
          <w:tcPr>
            <w:tcW w:w="1119" w:type="dxa"/>
            <w:tcBorders>
              <w:top w:val="nil"/>
              <w:left w:val="nil"/>
              <w:bottom w:val="single" w:sz="4" w:space="0" w:color="auto"/>
              <w:right w:val="single" w:sz="4" w:space="0" w:color="auto"/>
            </w:tcBorders>
            <w:shd w:val="clear" w:color="auto" w:fill="auto"/>
            <w:noWrap/>
            <w:vAlign w:val="center"/>
            <w:hideMark/>
          </w:tcPr>
          <w:p w14:paraId="7DE0C53C" w14:textId="77777777" w:rsidR="00EB3C05" w:rsidRPr="00367968" w:rsidRDefault="00EB3C05" w:rsidP="00874B2D">
            <w:pPr>
              <w:jc w:val="right"/>
              <w:rPr>
                <w:sz w:val="16"/>
                <w:szCs w:val="16"/>
              </w:rPr>
            </w:pPr>
            <w:r w:rsidRPr="00367968">
              <w:rPr>
                <w:sz w:val="16"/>
                <w:szCs w:val="16"/>
              </w:rPr>
              <w:t>21.049.238</w:t>
            </w:r>
          </w:p>
        </w:tc>
        <w:tc>
          <w:tcPr>
            <w:tcW w:w="1280" w:type="dxa"/>
            <w:tcBorders>
              <w:top w:val="nil"/>
              <w:left w:val="nil"/>
              <w:bottom w:val="single" w:sz="4" w:space="0" w:color="auto"/>
              <w:right w:val="single" w:sz="4" w:space="0" w:color="auto"/>
            </w:tcBorders>
            <w:shd w:val="clear" w:color="auto" w:fill="auto"/>
            <w:noWrap/>
            <w:vAlign w:val="center"/>
            <w:hideMark/>
          </w:tcPr>
          <w:p w14:paraId="32FB81D0" w14:textId="77777777" w:rsidR="00EB3C05" w:rsidRPr="00367968" w:rsidRDefault="00EB3C05" w:rsidP="00874B2D">
            <w:pPr>
              <w:jc w:val="right"/>
              <w:rPr>
                <w:sz w:val="16"/>
                <w:szCs w:val="16"/>
              </w:rPr>
            </w:pPr>
            <w:r w:rsidRPr="00367968">
              <w:rPr>
                <w:sz w:val="16"/>
                <w:szCs w:val="16"/>
              </w:rPr>
              <w:t>19.613.959</w:t>
            </w:r>
          </w:p>
        </w:tc>
        <w:tc>
          <w:tcPr>
            <w:tcW w:w="1173" w:type="dxa"/>
            <w:tcBorders>
              <w:top w:val="nil"/>
              <w:left w:val="nil"/>
              <w:bottom w:val="single" w:sz="4" w:space="0" w:color="auto"/>
              <w:right w:val="single" w:sz="4" w:space="0" w:color="auto"/>
            </w:tcBorders>
            <w:shd w:val="clear" w:color="auto" w:fill="auto"/>
            <w:noWrap/>
            <w:vAlign w:val="center"/>
            <w:hideMark/>
          </w:tcPr>
          <w:p w14:paraId="75AFDB81" w14:textId="77777777" w:rsidR="00EB3C05" w:rsidRPr="00367968" w:rsidRDefault="00EB3C05" w:rsidP="00874B2D">
            <w:pPr>
              <w:jc w:val="right"/>
              <w:rPr>
                <w:sz w:val="16"/>
                <w:szCs w:val="16"/>
              </w:rPr>
            </w:pPr>
            <w:r w:rsidRPr="00367968">
              <w:rPr>
                <w:sz w:val="16"/>
                <w:szCs w:val="16"/>
              </w:rPr>
              <w:t>19.550.182</w:t>
            </w:r>
          </w:p>
        </w:tc>
        <w:tc>
          <w:tcPr>
            <w:tcW w:w="1119" w:type="dxa"/>
            <w:tcBorders>
              <w:top w:val="nil"/>
              <w:left w:val="nil"/>
              <w:bottom w:val="single" w:sz="4" w:space="0" w:color="auto"/>
              <w:right w:val="single" w:sz="4" w:space="0" w:color="auto"/>
            </w:tcBorders>
            <w:shd w:val="clear" w:color="auto" w:fill="auto"/>
            <w:noWrap/>
            <w:vAlign w:val="center"/>
            <w:hideMark/>
          </w:tcPr>
          <w:p w14:paraId="7684E6FC" w14:textId="77777777" w:rsidR="00EB3C05" w:rsidRPr="00367968" w:rsidRDefault="00EB3C05" w:rsidP="00874B2D">
            <w:pPr>
              <w:jc w:val="right"/>
              <w:rPr>
                <w:sz w:val="16"/>
                <w:szCs w:val="16"/>
              </w:rPr>
            </w:pPr>
            <w:r w:rsidRPr="00367968">
              <w:rPr>
                <w:sz w:val="16"/>
                <w:szCs w:val="16"/>
              </w:rPr>
              <w:t>19.274.052</w:t>
            </w:r>
          </w:p>
        </w:tc>
        <w:tc>
          <w:tcPr>
            <w:tcW w:w="1191" w:type="dxa"/>
            <w:tcBorders>
              <w:top w:val="nil"/>
              <w:left w:val="nil"/>
              <w:bottom w:val="single" w:sz="4" w:space="0" w:color="auto"/>
              <w:right w:val="single" w:sz="4" w:space="0" w:color="auto"/>
            </w:tcBorders>
            <w:shd w:val="clear" w:color="auto" w:fill="auto"/>
            <w:noWrap/>
            <w:vAlign w:val="center"/>
            <w:hideMark/>
          </w:tcPr>
          <w:p w14:paraId="639E4CF4" w14:textId="77777777" w:rsidR="00EB3C05" w:rsidRPr="00367968" w:rsidRDefault="00EB3C05" w:rsidP="00874B2D">
            <w:pPr>
              <w:jc w:val="center"/>
              <w:rPr>
                <w:b/>
                <w:bCs/>
                <w:sz w:val="16"/>
                <w:szCs w:val="16"/>
              </w:rPr>
            </w:pPr>
            <w:r w:rsidRPr="00367968">
              <w:rPr>
                <w:b/>
                <w:bCs/>
                <w:sz w:val="16"/>
                <w:szCs w:val="16"/>
              </w:rPr>
              <w:t>93,18%</w:t>
            </w:r>
          </w:p>
        </w:tc>
        <w:tc>
          <w:tcPr>
            <w:tcW w:w="1176" w:type="dxa"/>
            <w:tcBorders>
              <w:top w:val="nil"/>
              <w:left w:val="nil"/>
              <w:bottom w:val="single" w:sz="4" w:space="0" w:color="auto"/>
              <w:right w:val="single" w:sz="4" w:space="0" w:color="auto"/>
            </w:tcBorders>
            <w:shd w:val="clear" w:color="auto" w:fill="auto"/>
            <w:noWrap/>
            <w:vAlign w:val="center"/>
            <w:hideMark/>
          </w:tcPr>
          <w:p w14:paraId="4AFB0CC6" w14:textId="77777777" w:rsidR="00EB3C05" w:rsidRPr="00367968" w:rsidRDefault="00EB3C05" w:rsidP="00874B2D">
            <w:pPr>
              <w:jc w:val="center"/>
              <w:rPr>
                <w:b/>
                <w:bCs/>
                <w:sz w:val="16"/>
                <w:szCs w:val="16"/>
              </w:rPr>
            </w:pPr>
            <w:r w:rsidRPr="00367968">
              <w:rPr>
                <w:b/>
                <w:bCs/>
                <w:sz w:val="16"/>
                <w:szCs w:val="16"/>
              </w:rPr>
              <w:t>92,88%</w:t>
            </w:r>
          </w:p>
        </w:tc>
        <w:tc>
          <w:tcPr>
            <w:tcW w:w="1283" w:type="dxa"/>
            <w:tcBorders>
              <w:top w:val="nil"/>
              <w:left w:val="nil"/>
              <w:bottom w:val="single" w:sz="4" w:space="0" w:color="auto"/>
              <w:right w:val="single" w:sz="8" w:space="0" w:color="auto"/>
            </w:tcBorders>
            <w:shd w:val="clear" w:color="auto" w:fill="auto"/>
            <w:noWrap/>
            <w:vAlign w:val="center"/>
            <w:hideMark/>
          </w:tcPr>
          <w:p w14:paraId="1C25E37F" w14:textId="77777777" w:rsidR="00EB3C05" w:rsidRPr="00367968" w:rsidRDefault="00EB3C05" w:rsidP="00874B2D">
            <w:pPr>
              <w:jc w:val="center"/>
              <w:rPr>
                <w:b/>
                <w:bCs/>
                <w:sz w:val="16"/>
                <w:szCs w:val="16"/>
              </w:rPr>
            </w:pPr>
            <w:r w:rsidRPr="00367968">
              <w:rPr>
                <w:b/>
                <w:bCs/>
                <w:sz w:val="16"/>
                <w:szCs w:val="16"/>
              </w:rPr>
              <w:t>91,57%</w:t>
            </w:r>
          </w:p>
        </w:tc>
      </w:tr>
      <w:tr w:rsidR="00EB3C05" w:rsidRPr="00367968" w14:paraId="430FE2C7" w14:textId="77777777" w:rsidTr="00874B2D">
        <w:trPr>
          <w:trHeight w:val="163"/>
        </w:trPr>
        <w:tc>
          <w:tcPr>
            <w:tcW w:w="1621" w:type="dxa"/>
            <w:tcBorders>
              <w:top w:val="nil"/>
              <w:left w:val="single" w:sz="8" w:space="0" w:color="auto"/>
              <w:bottom w:val="single" w:sz="4" w:space="0" w:color="auto"/>
              <w:right w:val="single" w:sz="4" w:space="0" w:color="auto"/>
            </w:tcBorders>
            <w:shd w:val="clear" w:color="auto" w:fill="auto"/>
            <w:vAlign w:val="center"/>
            <w:hideMark/>
          </w:tcPr>
          <w:p w14:paraId="1A8FC50A" w14:textId="77777777" w:rsidR="00EB3C05" w:rsidRPr="00367968" w:rsidRDefault="00EB3C05" w:rsidP="00874B2D">
            <w:pPr>
              <w:rPr>
                <w:color w:val="000000"/>
                <w:sz w:val="16"/>
                <w:szCs w:val="16"/>
              </w:rPr>
            </w:pPr>
            <w:r w:rsidRPr="00367968">
              <w:rPr>
                <w:color w:val="000000"/>
                <w:sz w:val="16"/>
                <w:szCs w:val="16"/>
              </w:rPr>
              <w:t>TRANSFERENCIAS</w:t>
            </w:r>
          </w:p>
        </w:tc>
        <w:tc>
          <w:tcPr>
            <w:tcW w:w="1119" w:type="dxa"/>
            <w:tcBorders>
              <w:top w:val="nil"/>
              <w:left w:val="nil"/>
              <w:bottom w:val="single" w:sz="4" w:space="0" w:color="auto"/>
              <w:right w:val="single" w:sz="4" w:space="0" w:color="auto"/>
            </w:tcBorders>
            <w:shd w:val="clear" w:color="auto" w:fill="auto"/>
            <w:noWrap/>
            <w:vAlign w:val="center"/>
            <w:hideMark/>
          </w:tcPr>
          <w:p w14:paraId="1886C11D" w14:textId="77777777" w:rsidR="00EB3C05" w:rsidRPr="00367968" w:rsidRDefault="00EB3C05" w:rsidP="00874B2D">
            <w:pPr>
              <w:jc w:val="right"/>
              <w:rPr>
                <w:sz w:val="16"/>
                <w:szCs w:val="16"/>
              </w:rPr>
            </w:pPr>
            <w:r w:rsidRPr="00367968">
              <w:rPr>
                <w:sz w:val="16"/>
                <w:szCs w:val="16"/>
              </w:rPr>
              <w:t>456.068</w:t>
            </w:r>
          </w:p>
        </w:tc>
        <w:tc>
          <w:tcPr>
            <w:tcW w:w="1280" w:type="dxa"/>
            <w:tcBorders>
              <w:top w:val="nil"/>
              <w:left w:val="nil"/>
              <w:bottom w:val="single" w:sz="4" w:space="0" w:color="auto"/>
              <w:right w:val="single" w:sz="4" w:space="0" w:color="auto"/>
            </w:tcBorders>
            <w:shd w:val="clear" w:color="auto" w:fill="auto"/>
            <w:noWrap/>
            <w:vAlign w:val="center"/>
            <w:hideMark/>
          </w:tcPr>
          <w:p w14:paraId="04AB3D05" w14:textId="77777777" w:rsidR="00EB3C05" w:rsidRPr="00367968" w:rsidRDefault="00EB3C05" w:rsidP="00874B2D">
            <w:pPr>
              <w:jc w:val="right"/>
              <w:rPr>
                <w:sz w:val="16"/>
                <w:szCs w:val="16"/>
              </w:rPr>
            </w:pPr>
            <w:r w:rsidRPr="00367968">
              <w:rPr>
                <w:sz w:val="16"/>
                <w:szCs w:val="16"/>
              </w:rPr>
              <w:t>176.544</w:t>
            </w:r>
          </w:p>
        </w:tc>
        <w:tc>
          <w:tcPr>
            <w:tcW w:w="1173" w:type="dxa"/>
            <w:tcBorders>
              <w:top w:val="nil"/>
              <w:left w:val="nil"/>
              <w:bottom w:val="single" w:sz="4" w:space="0" w:color="auto"/>
              <w:right w:val="single" w:sz="4" w:space="0" w:color="auto"/>
            </w:tcBorders>
            <w:shd w:val="clear" w:color="auto" w:fill="auto"/>
            <w:noWrap/>
            <w:vAlign w:val="center"/>
            <w:hideMark/>
          </w:tcPr>
          <w:p w14:paraId="3850A73C" w14:textId="77777777" w:rsidR="00EB3C05" w:rsidRPr="00367968" w:rsidRDefault="00EB3C05" w:rsidP="00874B2D">
            <w:pPr>
              <w:jc w:val="right"/>
              <w:rPr>
                <w:sz w:val="16"/>
                <w:szCs w:val="16"/>
              </w:rPr>
            </w:pPr>
            <w:r w:rsidRPr="00367968">
              <w:rPr>
                <w:sz w:val="16"/>
                <w:szCs w:val="16"/>
              </w:rPr>
              <w:t>176.544</w:t>
            </w:r>
          </w:p>
        </w:tc>
        <w:tc>
          <w:tcPr>
            <w:tcW w:w="1119" w:type="dxa"/>
            <w:tcBorders>
              <w:top w:val="nil"/>
              <w:left w:val="nil"/>
              <w:bottom w:val="single" w:sz="4" w:space="0" w:color="auto"/>
              <w:right w:val="single" w:sz="4" w:space="0" w:color="auto"/>
            </w:tcBorders>
            <w:shd w:val="clear" w:color="auto" w:fill="auto"/>
            <w:noWrap/>
            <w:vAlign w:val="center"/>
            <w:hideMark/>
          </w:tcPr>
          <w:p w14:paraId="092C680A" w14:textId="77777777" w:rsidR="00EB3C05" w:rsidRPr="00367968" w:rsidRDefault="00EB3C05" w:rsidP="00874B2D">
            <w:pPr>
              <w:jc w:val="right"/>
              <w:rPr>
                <w:sz w:val="16"/>
                <w:szCs w:val="16"/>
              </w:rPr>
            </w:pPr>
            <w:r w:rsidRPr="00367968">
              <w:rPr>
                <w:sz w:val="16"/>
                <w:szCs w:val="16"/>
              </w:rPr>
              <w:t>176.544</w:t>
            </w:r>
          </w:p>
        </w:tc>
        <w:tc>
          <w:tcPr>
            <w:tcW w:w="1191" w:type="dxa"/>
            <w:tcBorders>
              <w:top w:val="nil"/>
              <w:left w:val="nil"/>
              <w:bottom w:val="single" w:sz="4" w:space="0" w:color="auto"/>
              <w:right w:val="single" w:sz="4" w:space="0" w:color="auto"/>
            </w:tcBorders>
            <w:shd w:val="clear" w:color="auto" w:fill="auto"/>
            <w:noWrap/>
            <w:vAlign w:val="center"/>
            <w:hideMark/>
          </w:tcPr>
          <w:p w14:paraId="07A006CD" w14:textId="77777777" w:rsidR="00EB3C05" w:rsidRPr="00367968" w:rsidRDefault="00EB3C05" w:rsidP="00874B2D">
            <w:pPr>
              <w:jc w:val="center"/>
              <w:rPr>
                <w:b/>
                <w:bCs/>
                <w:sz w:val="16"/>
                <w:szCs w:val="16"/>
              </w:rPr>
            </w:pPr>
            <w:r w:rsidRPr="00367968">
              <w:rPr>
                <w:b/>
                <w:bCs/>
                <w:sz w:val="16"/>
                <w:szCs w:val="16"/>
              </w:rPr>
              <w:t>38,71%</w:t>
            </w:r>
          </w:p>
        </w:tc>
        <w:tc>
          <w:tcPr>
            <w:tcW w:w="1176" w:type="dxa"/>
            <w:tcBorders>
              <w:top w:val="nil"/>
              <w:left w:val="nil"/>
              <w:bottom w:val="single" w:sz="4" w:space="0" w:color="auto"/>
              <w:right w:val="single" w:sz="4" w:space="0" w:color="auto"/>
            </w:tcBorders>
            <w:shd w:val="clear" w:color="auto" w:fill="auto"/>
            <w:noWrap/>
            <w:vAlign w:val="center"/>
            <w:hideMark/>
          </w:tcPr>
          <w:p w14:paraId="21319EAC" w14:textId="77777777" w:rsidR="00EB3C05" w:rsidRPr="00367968" w:rsidRDefault="00EB3C05" w:rsidP="00874B2D">
            <w:pPr>
              <w:jc w:val="center"/>
              <w:rPr>
                <w:b/>
                <w:bCs/>
                <w:sz w:val="16"/>
                <w:szCs w:val="16"/>
              </w:rPr>
            </w:pPr>
            <w:r w:rsidRPr="00367968">
              <w:rPr>
                <w:b/>
                <w:bCs/>
                <w:sz w:val="16"/>
                <w:szCs w:val="16"/>
              </w:rPr>
              <w:t>38,71%</w:t>
            </w:r>
          </w:p>
        </w:tc>
        <w:tc>
          <w:tcPr>
            <w:tcW w:w="1283" w:type="dxa"/>
            <w:tcBorders>
              <w:top w:val="nil"/>
              <w:left w:val="nil"/>
              <w:bottom w:val="single" w:sz="4" w:space="0" w:color="auto"/>
              <w:right w:val="single" w:sz="8" w:space="0" w:color="auto"/>
            </w:tcBorders>
            <w:shd w:val="clear" w:color="auto" w:fill="auto"/>
            <w:noWrap/>
            <w:vAlign w:val="center"/>
            <w:hideMark/>
          </w:tcPr>
          <w:p w14:paraId="07A0E8CE" w14:textId="77777777" w:rsidR="00EB3C05" w:rsidRPr="00367968" w:rsidRDefault="00EB3C05" w:rsidP="00874B2D">
            <w:pPr>
              <w:jc w:val="center"/>
              <w:rPr>
                <w:b/>
                <w:bCs/>
                <w:sz w:val="16"/>
                <w:szCs w:val="16"/>
              </w:rPr>
            </w:pPr>
            <w:r w:rsidRPr="00367968">
              <w:rPr>
                <w:b/>
                <w:bCs/>
                <w:sz w:val="16"/>
                <w:szCs w:val="16"/>
              </w:rPr>
              <w:t>38,71%</w:t>
            </w:r>
          </w:p>
        </w:tc>
      </w:tr>
      <w:tr w:rsidR="00EB3C05" w:rsidRPr="00367968" w14:paraId="17F0AF76" w14:textId="77777777" w:rsidTr="00874B2D">
        <w:trPr>
          <w:trHeight w:val="885"/>
        </w:trPr>
        <w:tc>
          <w:tcPr>
            <w:tcW w:w="1621" w:type="dxa"/>
            <w:tcBorders>
              <w:top w:val="nil"/>
              <w:left w:val="single" w:sz="8" w:space="0" w:color="auto"/>
              <w:bottom w:val="single" w:sz="4" w:space="0" w:color="auto"/>
              <w:right w:val="single" w:sz="4" w:space="0" w:color="auto"/>
            </w:tcBorders>
            <w:shd w:val="clear" w:color="auto" w:fill="auto"/>
            <w:vAlign w:val="center"/>
            <w:hideMark/>
          </w:tcPr>
          <w:p w14:paraId="537BD21F" w14:textId="77777777" w:rsidR="00EB3C05" w:rsidRPr="00367968" w:rsidRDefault="00EB3C05" w:rsidP="00874B2D">
            <w:pPr>
              <w:rPr>
                <w:color w:val="000000"/>
                <w:sz w:val="16"/>
                <w:szCs w:val="16"/>
              </w:rPr>
            </w:pPr>
            <w:r w:rsidRPr="00367968">
              <w:rPr>
                <w:color w:val="000000"/>
                <w:sz w:val="16"/>
                <w:szCs w:val="16"/>
              </w:rPr>
              <w:t>GASTOS POR TRIBUTOS, MULTAS, SANCIONES E INTERESES DE MORA</w:t>
            </w:r>
          </w:p>
        </w:tc>
        <w:tc>
          <w:tcPr>
            <w:tcW w:w="1119" w:type="dxa"/>
            <w:tcBorders>
              <w:top w:val="nil"/>
              <w:left w:val="nil"/>
              <w:bottom w:val="single" w:sz="4" w:space="0" w:color="auto"/>
              <w:right w:val="single" w:sz="4" w:space="0" w:color="auto"/>
            </w:tcBorders>
            <w:shd w:val="clear" w:color="auto" w:fill="auto"/>
            <w:noWrap/>
            <w:vAlign w:val="center"/>
            <w:hideMark/>
          </w:tcPr>
          <w:p w14:paraId="5038C355" w14:textId="77777777" w:rsidR="00EB3C05" w:rsidRPr="00367968" w:rsidRDefault="00EB3C05" w:rsidP="00874B2D">
            <w:pPr>
              <w:jc w:val="right"/>
              <w:rPr>
                <w:sz w:val="16"/>
                <w:szCs w:val="16"/>
              </w:rPr>
            </w:pPr>
            <w:r w:rsidRPr="00367968">
              <w:rPr>
                <w:sz w:val="16"/>
                <w:szCs w:val="16"/>
              </w:rPr>
              <w:t>893.061</w:t>
            </w:r>
          </w:p>
        </w:tc>
        <w:tc>
          <w:tcPr>
            <w:tcW w:w="1280" w:type="dxa"/>
            <w:tcBorders>
              <w:top w:val="nil"/>
              <w:left w:val="nil"/>
              <w:bottom w:val="single" w:sz="4" w:space="0" w:color="auto"/>
              <w:right w:val="single" w:sz="4" w:space="0" w:color="auto"/>
            </w:tcBorders>
            <w:shd w:val="clear" w:color="auto" w:fill="auto"/>
            <w:noWrap/>
            <w:vAlign w:val="center"/>
            <w:hideMark/>
          </w:tcPr>
          <w:p w14:paraId="2CAA6614" w14:textId="77777777" w:rsidR="00EB3C05" w:rsidRPr="00367968" w:rsidRDefault="00EB3C05" w:rsidP="00874B2D">
            <w:pPr>
              <w:jc w:val="right"/>
              <w:rPr>
                <w:sz w:val="16"/>
                <w:szCs w:val="16"/>
              </w:rPr>
            </w:pPr>
            <w:r w:rsidRPr="00367968">
              <w:rPr>
                <w:sz w:val="16"/>
                <w:szCs w:val="16"/>
              </w:rPr>
              <w:t>888.068</w:t>
            </w:r>
          </w:p>
        </w:tc>
        <w:tc>
          <w:tcPr>
            <w:tcW w:w="1173" w:type="dxa"/>
            <w:tcBorders>
              <w:top w:val="nil"/>
              <w:left w:val="nil"/>
              <w:bottom w:val="single" w:sz="4" w:space="0" w:color="auto"/>
              <w:right w:val="single" w:sz="4" w:space="0" w:color="auto"/>
            </w:tcBorders>
            <w:shd w:val="clear" w:color="auto" w:fill="auto"/>
            <w:noWrap/>
            <w:vAlign w:val="center"/>
            <w:hideMark/>
          </w:tcPr>
          <w:p w14:paraId="201ACAB6" w14:textId="77777777" w:rsidR="00EB3C05" w:rsidRPr="00367968" w:rsidRDefault="00EB3C05" w:rsidP="00874B2D">
            <w:pPr>
              <w:jc w:val="right"/>
              <w:rPr>
                <w:sz w:val="16"/>
                <w:szCs w:val="16"/>
              </w:rPr>
            </w:pPr>
            <w:r w:rsidRPr="00367968">
              <w:rPr>
                <w:sz w:val="16"/>
                <w:szCs w:val="16"/>
              </w:rPr>
              <w:t>888.068</w:t>
            </w:r>
          </w:p>
        </w:tc>
        <w:tc>
          <w:tcPr>
            <w:tcW w:w="1119" w:type="dxa"/>
            <w:tcBorders>
              <w:top w:val="nil"/>
              <w:left w:val="nil"/>
              <w:bottom w:val="single" w:sz="4" w:space="0" w:color="auto"/>
              <w:right w:val="single" w:sz="4" w:space="0" w:color="auto"/>
            </w:tcBorders>
            <w:shd w:val="clear" w:color="auto" w:fill="auto"/>
            <w:noWrap/>
            <w:vAlign w:val="center"/>
            <w:hideMark/>
          </w:tcPr>
          <w:p w14:paraId="3EDF597F" w14:textId="77777777" w:rsidR="00EB3C05" w:rsidRPr="00367968" w:rsidRDefault="00EB3C05" w:rsidP="00874B2D">
            <w:pPr>
              <w:jc w:val="right"/>
              <w:rPr>
                <w:sz w:val="16"/>
                <w:szCs w:val="16"/>
              </w:rPr>
            </w:pPr>
            <w:r w:rsidRPr="00367968">
              <w:rPr>
                <w:sz w:val="16"/>
                <w:szCs w:val="16"/>
              </w:rPr>
              <w:t>792.999</w:t>
            </w:r>
          </w:p>
        </w:tc>
        <w:tc>
          <w:tcPr>
            <w:tcW w:w="1191" w:type="dxa"/>
            <w:tcBorders>
              <w:top w:val="nil"/>
              <w:left w:val="nil"/>
              <w:bottom w:val="single" w:sz="4" w:space="0" w:color="auto"/>
              <w:right w:val="single" w:sz="4" w:space="0" w:color="auto"/>
            </w:tcBorders>
            <w:shd w:val="clear" w:color="auto" w:fill="auto"/>
            <w:noWrap/>
            <w:vAlign w:val="center"/>
            <w:hideMark/>
          </w:tcPr>
          <w:p w14:paraId="19792B84" w14:textId="77777777" w:rsidR="00EB3C05" w:rsidRPr="00367968" w:rsidRDefault="00EB3C05" w:rsidP="00874B2D">
            <w:pPr>
              <w:jc w:val="center"/>
              <w:rPr>
                <w:b/>
                <w:bCs/>
                <w:sz w:val="16"/>
                <w:szCs w:val="16"/>
              </w:rPr>
            </w:pPr>
            <w:r w:rsidRPr="00367968">
              <w:rPr>
                <w:b/>
                <w:bCs/>
                <w:sz w:val="16"/>
                <w:szCs w:val="16"/>
              </w:rPr>
              <w:t>99,44%</w:t>
            </w:r>
          </w:p>
        </w:tc>
        <w:tc>
          <w:tcPr>
            <w:tcW w:w="1176" w:type="dxa"/>
            <w:tcBorders>
              <w:top w:val="nil"/>
              <w:left w:val="nil"/>
              <w:bottom w:val="single" w:sz="4" w:space="0" w:color="auto"/>
              <w:right w:val="single" w:sz="4" w:space="0" w:color="auto"/>
            </w:tcBorders>
            <w:shd w:val="clear" w:color="auto" w:fill="auto"/>
            <w:noWrap/>
            <w:vAlign w:val="center"/>
            <w:hideMark/>
          </w:tcPr>
          <w:p w14:paraId="58871A47" w14:textId="77777777" w:rsidR="00EB3C05" w:rsidRPr="00367968" w:rsidRDefault="00EB3C05" w:rsidP="00874B2D">
            <w:pPr>
              <w:jc w:val="center"/>
              <w:rPr>
                <w:b/>
                <w:bCs/>
                <w:sz w:val="16"/>
                <w:szCs w:val="16"/>
              </w:rPr>
            </w:pPr>
            <w:r w:rsidRPr="00367968">
              <w:rPr>
                <w:b/>
                <w:bCs/>
                <w:sz w:val="16"/>
                <w:szCs w:val="16"/>
              </w:rPr>
              <w:t>99,44%</w:t>
            </w:r>
          </w:p>
        </w:tc>
        <w:tc>
          <w:tcPr>
            <w:tcW w:w="1283" w:type="dxa"/>
            <w:tcBorders>
              <w:top w:val="nil"/>
              <w:left w:val="nil"/>
              <w:bottom w:val="single" w:sz="4" w:space="0" w:color="auto"/>
              <w:right w:val="single" w:sz="8" w:space="0" w:color="auto"/>
            </w:tcBorders>
            <w:shd w:val="clear" w:color="auto" w:fill="auto"/>
            <w:noWrap/>
            <w:vAlign w:val="center"/>
            <w:hideMark/>
          </w:tcPr>
          <w:p w14:paraId="5207FFE4" w14:textId="77777777" w:rsidR="00EB3C05" w:rsidRPr="00367968" w:rsidRDefault="00EB3C05" w:rsidP="00874B2D">
            <w:pPr>
              <w:jc w:val="center"/>
              <w:rPr>
                <w:b/>
                <w:bCs/>
                <w:sz w:val="16"/>
                <w:szCs w:val="16"/>
              </w:rPr>
            </w:pPr>
            <w:r w:rsidRPr="00367968">
              <w:rPr>
                <w:b/>
                <w:bCs/>
                <w:sz w:val="16"/>
                <w:szCs w:val="16"/>
              </w:rPr>
              <w:t>88,80%</w:t>
            </w:r>
          </w:p>
        </w:tc>
      </w:tr>
      <w:tr w:rsidR="00EB3C05" w:rsidRPr="00367968" w14:paraId="5B11CC9D" w14:textId="77777777" w:rsidTr="00874B2D">
        <w:trPr>
          <w:trHeight w:val="163"/>
        </w:trPr>
        <w:tc>
          <w:tcPr>
            <w:tcW w:w="1621" w:type="dxa"/>
            <w:tcBorders>
              <w:top w:val="nil"/>
              <w:left w:val="single" w:sz="8" w:space="0" w:color="auto"/>
              <w:bottom w:val="single" w:sz="4" w:space="0" w:color="auto"/>
              <w:right w:val="single" w:sz="4" w:space="0" w:color="auto"/>
            </w:tcBorders>
            <w:shd w:val="clear" w:color="auto" w:fill="auto"/>
            <w:vAlign w:val="center"/>
            <w:hideMark/>
          </w:tcPr>
          <w:p w14:paraId="07880F59" w14:textId="77777777" w:rsidR="00EB3C05" w:rsidRPr="00367968" w:rsidRDefault="00EB3C05" w:rsidP="00874B2D">
            <w:pPr>
              <w:rPr>
                <w:b/>
                <w:bCs/>
                <w:color w:val="000000"/>
                <w:sz w:val="16"/>
                <w:szCs w:val="16"/>
              </w:rPr>
            </w:pPr>
            <w:r w:rsidRPr="00367968">
              <w:rPr>
                <w:b/>
                <w:bCs/>
                <w:color w:val="000000"/>
                <w:sz w:val="16"/>
                <w:szCs w:val="16"/>
              </w:rPr>
              <w:t>INVERSION</w:t>
            </w:r>
          </w:p>
        </w:tc>
        <w:tc>
          <w:tcPr>
            <w:tcW w:w="1119" w:type="dxa"/>
            <w:tcBorders>
              <w:top w:val="nil"/>
              <w:left w:val="nil"/>
              <w:bottom w:val="single" w:sz="4" w:space="0" w:color="auto"/>
              <w:right w:val="single" w:sz="4" w:space="0" w:color="auto"/>
            </w:tcBorders>
            <w:shd w:val="clear" w:color="auto" w:fill="auto"/>
            <w:noWrap/>
            <w:vAlign w:val="center"/>
            <w:hideMark/>
          </w:tcPr>
          <w:p w14:paraId="09C175C5" w14:textId="77777777" w:rsidR="00EB3C05" w:rsidRPr="00367968" w:rsidRDefault="00EB3C05" w:rsidP="00874B2D">
            <w:pPr>
              <w:jc w:val="right"/>
              <w:rPr>
                <w:b/>
                <w:bCs/>
                <w:sz w:val="16"/>
                <w:szCs w:val="16"/>
              </w:rPr>
            </w:pPr>
            <w:r w:rsidRPr="00367968">
              <w:rPr>
                <w:b/>
                <w:bCs/>
                <w:sz w:val="16"/>
                <w:szCs w:val="16"/>
              </w:rPr>
              <w:t>364.170.313</w:t>
            </w:r>
          </w:p>
        </w:tc>
        <w:tc>
          <w:tcPr>
            <w:tcW w:w="1280" w:type="dxa"/>
            <w:tcBorders>
              <w:top w:val="nil"/>
              <w:left w:val="nil"/>
              <w:bottom w:val="single" w:sz="4" w:space="0" w:color="auto"/>
              <w:right w:val="single" w:sz="4" w:space="0" w:color="auto"/>
            </w:tcBorders>
            <w:shd w:val="clear" w:color="auto" w:fill="auto"/>
            <w:noWrap/>
            <w:vAlign w:val="center"/>
            <w:hideMark/>
          </w:tcPr>
          <w:p w14:paraId="5DCFAF07" w14:textId="77777777" w:rsidR="00EB3C05" w:rsidRPr="00367968" w:rsidRDefault="00EB3C05" w:rsidP="00874B2D">
            <w:pPr>
              <w:jc w:val="right"/>
              <w:rPr>
                <w:b/>
                <w:bCs/>
                <w:sz w:val="16"/>
                <w:szCs w:val="16"/>
              </w:rPr>
            </w:pPr>
            <w:r w:rsidRPr="00367968">
              <w:rPr>
                <w:b/>
                <w:bCs/>
                <w:sz w:val="16"/>
                <w:szCs w:val="16"/>
              </w:rPr>
              <w:t>347.360.650</w:t>
            </w:r>
          </w:p>
        </w:tc>
        <w:tc>
          <w:tcPr>
            <w:tcW w:w="1173" w:type="dxa"/>
            <w:tcBorders>
              <w:top w:val="nil"/>
              <w:left w:val="nil"/>
              <w:bottom w:val="single" w:sz="4" w:space="0" w:color="auto"/>
              <w:right w:val="single" w:sz="4" w:space="0" w:color="auto"/>
            </w:tcBorders>
            <w:shd w:val="clear" w:color="auto" w:fill="auto"/>
            <w:noWrap/>
            <w:vAlign w:val="center"/>
            <w:hideMark/>
          </w:tcPr>
          <w:p w14:paraId="037A7CAF" w14:textId="77777777" w:rsidR="00EB3C05" w:rsidRPr="00367968" w:rsidRDefault="00EB3C05" w:rsidP="00874B2D">
            <w:pPr>
              <w:jc w:val="right"/>
              <w:rPr>
                <w:b/>
                <w:bCs/>
                <w:sz w:val="16"/>
                <w:szCs w:val="16"/>
              </w:rPr>
            </w:pPr>
            <w:r w:rsidRPr="00367968">
              <w:rPr>
                <w:b/>
                <w:bCs/>
                <w:sz w:val="16"/>
                <w:szCs w:val="16"/>
              </w:rPr>
              <w:t>320.212.198</w:t>
            </w:r>
          </w:p>
        </w:tc>
        <w:tc>
          <w:tcPr>
            <w:tcW w:w="1119" w:type="dxa"/>
            <w:tcBorders>
              <w:top w:val="nil"/>
              <w:left w:val="nil"/>
              <w:bottom w:val="single" w:sz="4" w:space="0" w:color="auto"/>
              <w:right w:val="single" w:sz="4" w:space="0" w:color="auto"/>
            </w:tcBorders>
            <w:shd w:val="clear" w:color="auto" w:fill="auto"/>
            <w:noWrap/>
            <w:vAlign w:val="center"/>
            <w:hideMark/>
          </w:tcPr>
          <w:p w14:paraId="0D0DF096" w14:textId="77777777" w:rsidR="00EB3C05" w:rsidRPr="00367968" w:rsidRDefault="00EB3C05" w:rsidP="00874B2D">
            <w:pPr>
              <w:jc w:val="right"/>
              <w:rPr>
                <w:b/>
                <w:bCs/>
                <w:sz w:val="16"/>
                <w:szCs w:val="16"/>
              </w:rPr>
            </w:pPr>
            <w:r w:rsidRPr="00367968">
              <w:rPr>
                <w:b/>
                <w:bCs/>
                <w:sz w:val="16"/>
                <w:szCs w:val="16"/>
              </w:rPr>
              <w:t>319.774.890</w:t>
            </w:r>
          </w:p>
        </w:tc>
        <w:tc>
          <w:tcPr>
            <w:tcW w:w="1191" w:type="dxa"/>
            <w:tcBorders>
              <w:top w:val="nil"/>
              <w:left w:val="nil"/>
              <w:bottom w:val="single" w:sz="4" w:space="0" w:color="auto"/>
              <w:right w:val="single" w:sz="4" w:space="0" w:color="auto"/>
            </w:tcBorders>
            <w:shd w:val="clear" w:color="auto" w:fill="auto"/>
            <w:noWrap/>
            <w:vAlign w:val="center"/>
            <w:hideMark/>
          </w:tcPr>
          <w:p w14:paraId="6AD36802" w14:textId="77777777" w:rsidR="00EB3C05" w:rsidRPr="00367968" w:rsidRDefault="00EB3C05" w:rsidP="00874B2D">
            <w:pPr>
              <w:jc w:val="center"/>
              <w:rPr>
                <w:b/>
                <w:bCs/>
                <w:sz w:val="16"/>
                <w:szCs w:val="16"/>
              </w:rPr>
            </w:pPr>
            <w:r w:rsidRPr="00367968">
              <w:rPr>
                <w:b/>
                <w:bCs/>
                <w:sz w:val="16"/>
                <w:szCs w:val="16"/>
              </w:rPr>
              <w:t>95,38%</w:t>
            </w:r>
          </w:p>
        </w:tc>
        <w:tc>
          <w:tcPr>
            <w:tcW w:w="1176" w:type="dxa"/>
            <w:tcBorders>
              <w:top w:val="nil"/>
              <w:left w:val="nil"/>
              <w:bottom w:val="single" w:sz="4" w:space="0" w:color="auto"/>
              <w:right w:val="single" w:sz="4" w:space="0" w:color="auto"/>
            </w:tcBorders>
            <w:shd w:val="clear" w:color="auto" w:fill="auto"/>
            <w:noWrap/>
            <w:vAlign w:val="center"/>
            <w:hideMark/>
          </w:tcPr>
          <w:p w14:paraId="4B49F370" w14:textId="77777777" w:rsidR="00EB3C05" w:rsidRPr="00367968" w:rsidRDefault="00EB3C05" w:rsidP="00874B2D">
            <w:pPr>
              <w:jc w:val="center"/>
              <w:rPr>
                <w:b/>
                <w:bCs/>
                <w:sz w:val="16"/>
                <w:szCs w:val="16"/>
              </w:rPr>
            </w:pPr>
            <w:r w:rsidRPr="00367968">
              <w:rPr>
                <w:b/>
                <w:bCs/>
                <w:sz w:val="16"/>
                <w:szCs w:val="16"/>
              </w:rPr>
              <w:t>87,93%</w:t>
            </w:r>
          </w:p>
        </w:tc>
        <w:tc>
          <w:tcPr>
            <w:tcW w:w="1283" w:type="dxa"/>
            <w:tcBorders>
              <w:top w:val="nil"/>
              <w:left w:val="nil"/>
              <w:bottom w:val="single" w:sz="4" w:space="0" w:color="auto"/>
              <w:right w:val="single" w:sz="8" w:space="0" w:color="auto"/>
            </w:tcBorders>
            <w:shd w:val="clear" w:color="auto" w:fill="auto"/>
            <w:noWrap/>
            <w:vAlign w:val="center"/>
            <w:hideMark/>
          </w:tcPr>
          <w:p w14:paraId="6F0CD9F0" w14:textId="77777777" w:rsidR="00EB3C05" w:rsidRPr="00367968" w:rsidRDefault="00EB3C05" w:rsidP="00874B2D">
            <w:pPr>
              <w:jc w:val="center"/>
              <w:rPr>
                <w:b/>
                <w:bCs/>
                <w:sz w:val="16"/>
                <w:szCs w:val="16"/>
              </w:rPr>
            </w:pPr>
            <w:r w:rsidRPr="00367968">
              <w:rPr>
                <w:b/>
                <w:bCs/>
                <w:sz w:val="16"/>
                <w:szCs w:val="16"/>
              </w:rPr>
              <w:t>87,81%</w:t>
            </w:r>
          </w:p>
        </w:tc>
      </w:tr>
      <w:tr w:rsidR="00EB3C05" w:rsidRPr="00367968" w14:paraId="07508650" w14:textId="77777777" w:rsidTr="00874B2D">
        <w:trPr>
          <w:trHeight w:val="303"/>
        </w:trPr>
        <w:tc>
          <w:tcPr>
            <w:tcW w:w="1621" w:type="dxa"/>
            <w:tcBorders>
              <w:top w:val="nil"/>
              <w:left w:val="single" w:sz="8" w:space="0" w:color="auto"/>
              <w:bottom w:val="single" w:sz="8" w:space="0" w:color="auto"/>
              <w:right w:val="single" w:sz="4" w:space="0" w:color="auto"/>
            </w:tcBorders>
            <w:shd w:val="clear" w:color="auto" w:fill="auto"/>
            <w:vAlign w:val="center"/>
            <w:hideMark/>
          </w:tcPr>
          <w:p w14:paraId="54E389C3" w14:textId="77777777" w:rsidR="00EB3C05" w:rsidRPr="00367968" w:rsidRDefault="00EB3C05" w:rsidP="00874B2D">
            <w:pPr>
              <w:rPr>
                <w:b/>
                <w:bCs/>
                <w:color w:val="000000"/>
                <w:sz w:val="16"/>
                <w:szCs w:val="16"/>
              </w:rPr>
            </w:pPr>
            <w:r w:rsidRPr="00367968">
              <w:rPr>
                <w:b/>
                <w:bCs/>
                <w:color w:val="000000"/>
                <w:sz w:val="16"/>
                <w:szCs w:val="16"/>
              </w:rPr>
              <w:t>TOTAL, PRESUPUESTO</w:t>
            </w:r>
          </w:p>
        </w:tc>
        <w:tc>
          <w:tcPr>
            <w:tcW w:w="1119" w:type="dxa"/>
            <w:tcBorders>
              <w:top w:val="nil"/>
              <w:left w:val="nil"/>
              <w:bottom w:val="single" w:sz="8" w:space="0" w:color="auto"/>
              <w:right w:val="single" w:sz="4" w:space="0" w:color="auto"/>
            </w:tcBorders>
            <w:shd w:val="clear" w:color="auto" w:fill="auto"/>
            <w:noWrap/>
            <w:vAlign w:val="center"/>
            <w:hideMark/>
          </w:tcPr>
          <w:p w14:paraId="3828D8CE" w14:textId="77777777" w:rsidR="00EB3C05" w:rsidRPr="00367968" w:rsidRDefault="00EB3C05" w:rsidP="00874B2D">
            <w:pPr>
              <w:jc w:val="right"/>
              <w:rPr>
                <w:b/>
                <w:bCs/>
                <w:sz w:val="16"/>
                <w:szCs w:val="16"/>
              </w:rPr>
            </w:pPr>
            <w:r w:rsidRPr="00367968">
              <w:rPr>
                <w:b/>
                <w:bCs/>
                <w:sz w:val="16"/>
                <w:szCs w:val="16"/>
              </w:rPr>
              <w:t>441.347.318</w:t>
            </w:r>
          </w:p>
        </w:tc>
        <w:tc>
          <w:tcPr>
            <w:tcW w:w="1280" w:type="dxa"/>
            <w:tcBorders>
              <w:top w:val="nil"/>
              <w:left w:val="nil"/>
              <w:bottom w:val="single" w:sz="8" w:space="0" w:color="auto"/>
              <w:right w:val="single" w:sz="4" w:space="0" w:color="auto"/>
            </w:tcBorders>
            <w:shd w:val="clear" w:color="auto" w:fill="auto"/>
            <w:noWrap/>
            <w:vAlign w:val="center"/>
            <w:hideMark/>
          </w:tcPr>
          <w:p w14:paraId="12121DF2" w14:textId="77777777" w:rsidR="00EB3C05" w:rsidRPr="00367968" w:rsidRDefault="00EB3C05" w:rsidP="00874B2D">
            <w:pPr>
              <w:jc w:val="right"/>
              <w:rPr>
                <w:b/>
                <w:bCs/>
                <w:sz w:val="16"/>
                <w:szCs w:val="16"/>
              </w:rPr>
            </w:pPr>
            <w:r w:rsidRPr="00367968">
              <w:rPr>
                <w:b/>
                <w:bCs/>
                <w:sz w:val="16"/>
                <w:szCs w:val="16"/>
              </w:rPr>
              <w:t>421.977.314</w:t>
            </w:r>
          </w:p>
        </w:tc>
        <w:tc>
          <w:tcPr>
            <w:tcW w:w="1173" w:type="dxa"/>
            <w:tcBorders>
              <w:top w:val="nil"/>
              <w:left w:val="nil"/>
              <w:bottom w:val="single" w:sz="8" w:space="0" w:color="auto"/>
              <w:right w:val="single" w:sz="4" w:space="0" w:color="auto"/>
            </w:tcBorders>
            <w:shd w:val="clear" w:color="auto" w:fill="auto"/>
            <w:noWrap/>
            <w:vAlign w:val="center"/>
            <w:hideMark/>
          </w:tcPr>
          <w:p w14:paraId="5C138ED9" w14:textId="77777777" w:rsidR="00EB3C05" w:rsidRPr="00367968" w:rsidRDefault="00EB3C05" w:rsidP="00874B2D">
            <w:pPr>
              <w:jc w:val="right"/>
              <w:rPr>
                <w:b/>
                <w:bCs/>
                <w:sz w:val="16"/>
                <w:szCs w:val="16"/>
              </w:rPr>
            </w:pPr>
            <w:r w:rsidRPr="00367968">
              <w:rPr>
                <w:b/>
                <w:bCs/>
                <w:sz w:val="16"/>
                <w:szCs w:val="16"/>
              </w:rPr>
              <w:t>394.765.085</w:t>
            </w:r>
          </w:p>
        </w:tc>
        <w:tc>
          <w:tcPr>
            <w:tcW w:w="1119" w:type="dxa"/>
            <w:tcBorders>
              <w:top w:val="nil"/>
              <w:left w:val="nil"/>
              <w:bottom w:val="single" w:sz="8" w:space="0" w:color="auto"/>
              <w:right w:val="single" w:sz="4" w:space="0" w:color="auto"/>
            </w:tcBorders>
            <w:shd w:val="clear" w:color="auto" w:fill="auto"/>
            <w:noWrap/>
            <w:vAlign w:val="center"/>
            <w:hideMark/>
          </w:tcPr>
          <w:p w14:paraId="755C150A" w14:textId="77777777" w:rsidR="00EB3C05" w:rsidRPr="00367968" w:rsidRDefault="00EB3C05" w:rsidP="00874B2D">
            <w:pPr>
              <w:jc w:val="right"/>
              <w:rPr>
                <w:b/>
                <w:bCs/>
                <w:sz w:val="16"/>
                <w:szCs w:val="16"/>
              </w:rPr>
            </w:pPr>
            <w:r w:rsidRPr="00367968">
              <w:rPr>
                <w:b/>
                <w:bCs/>
                <w:sz w:val="16"/>
                <w:szCs w:val="16"/>
              </w:rPr>
              <w:t>393.956.578</w:t>
            </w:r>
          </w:p>
        </w:tc>
        <w:tc>
          <w:tcPr>
            <w:tcW w:w="1191" w:type="dxa"/>
            <w:tcBorders>
              <w:top w:val="nil"/>
              <w:left w:val="nil"/>
              <w:bottom w:val="single" w:sz="8" w:space="0" w:color="auto"/>
              <w:right w:val="single" w:sz="4" w:space="0" w:color="auto"/>
            </w:tcBorders>
            <w:shd w:val="clear" w:color="auto" w:fill="auto"/>
            <w:noWrap/>
            <w:vAlign w:val="center"/>
            <w:hideMark/>
          </w:tcPr>
          <w:p w14:paraId="68A00449" w14:textId="77777777" w:rsidR="00EB3C05" w:rsidRPr="00367968" w:rsidRDefault="00EB3C05" w:rsidP="00874B2D">
            <w:pPr>
              <w:jc w:val="center"/>
              <w:rPr>
                <w:b/>
                <w:bCs/>
                <w:sz w:val="16"/>
                <w:szCs w:val="16"/>
              </w:rPr>
            </w:pPr>
            <w:r w:rsidRPr="00367968">
              <w:rPr>
                <w:b/>
                <w:bCs/>
                <w:sz w:val="16"/>
                <w:szCs w:val="16"/>
              </w:rPr>
              <w:t>95,61%</w:t>
            </w:r>
          </w:p>
        </w:tc>
        <w:tc>
          <w:tcPr>
            <w:tcW w:w="1176" w:type="dxa"/>
            <w:tcBorders>
              <w:top w:val="nil"/>
              <w:left w:val="nil"/>
              <w:bottom w:val="single" w:sz="8" w:space="0" w:color="auto"/>
              <w:right w:val="single" w:sz="4" w:space="0" w:color="auto"/>
            </w:tcBorders>
            <w:shd w:val="clear" w:color="auto" w:fill="auto"/>
            <w:noWrap/>
            <w:vAlign w:val="center"/>
            <w:hideMark/>
          </w:tcPr>
          <w:p w14:paraId="5DD154D6" w14:textId="77777777" w:rsidR="00EB3C05" w:rsidRPr="00367968" w:rsidRDefault="00EB3C05" w:rsidP="00874B2D">
            <w:pPr>
              <w:jc w:val="center"/>
              <w:rPr>
                <w:b/>
                <w:bCs/>
                <w:sz w:val="16"/>
                <w:szCs w:val="16"/>
              </w:rPr>
            </w:pPr>
            <w:r w:rsidRPr="00367968">
              <w:rPr>
                <w:b/>
                <w:bCs/>
                <w:sz w:val="16"/>
                <w:szCs w:val="16"/>
              </w:rPr>
              <w:t>89,45%</w:t>
            </w:r>
          </w:p>
        </w:tc>
        <w:tc>
          <w:tcPr>
            <w:tcW w:w="1283" w:type="dxa"/>
            <w:tcBorders>
              <w:top w:val="nil"/>
              <w:left w:val="nil"/>
              <w:bottom w:val="single" w:sz="8" w:space="0" w:color="auto"/>
              <w:right w:val="single" w:sz="8" w:space="0" w:color="auto"/>
            </w:tcBorders>
            <w:shd w:val="clear" w:color="auto" w:fill="auto"/>
            <w:noWrap/>
            <w:vAlign w:val="center"/>
            <w:hideMark/>
          </w:tcPr>
          <w:p w14:paraId="42B07A4C" w14:textId="77777777" w:rsidR="00EB3C05" w:rsidRPr="00367968" w:rsidRDefault="00EB3C05" w:rsidP="00874B2D">
            <w:pPr>
              <w:jc w:val="center"/>
              <w:rPr>
                <w:b/>
                <w:bCs/>
                <w:sz w:val="16"/>
                <w:szCs w:val="16"/>
              </w:rPr>
            </w:pPr>
            <w:r w:rsidRPr="00367968">
              <w:rPr>
                <w:b/>
                <w:bCs/>
                <w:sz w:val="16"/>
                <w:szCs w:val="16"/>
              </w:rPr>
              <w:t>89,26%</w:t>
            </w:r>
          </w:p>
        </w:tc>
      </w:tr>
    </w:tbl>
    <w:p w14:paraId="373D503A" w14:textId="77777777" w:rsidR="00EB3C05" w:rsidRDefault="00EB3C05" w:rsidP="00EB3C05">
      <w:pPr>
        <w:pStyle w:val="Prrafodelista"/>
        <w:ind w:left="0"/>
        <w:rPr>
          <w:sz w:val="24"/>
        </w:rPr>
      </w:pPr>
    </w:p>
    <w:p w14:paraId="463B9E81" w14:textId="77777777" w:rsidR="00EB3C05" w:rsidRDefault="00EB3C05" w:rsidP="00EB3C05">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783CA81B" w14:textId="77777777" w:rsidR="00EB3C05" w:rsidRDefault="00EB3C05" w:rsidP="00EB3C05">
      <w:pPr>
        <w:pStyle w:val="Prrafodelista"/>
        <w:ind w:left="0"/>
        <w:rPr>
          <w:sz w:val="24"/>
        </w:rPr>
      </w:pPr>
    </w:p>
    <w:tbl>
      <w:tblPr>
        <w:tblW w:w="9983" w:type="dxa"/>
        <w:tblCellMar>
          <w:left w:w="70" w:type="dxa"/>
          <w:right w:w="70" w:type="dxa"/>
        </w:tblCellMar>
        <w:tblLook w:val="04A0" w:firstRow="1" w:lastRow="0" w:firstColumn="1" w:lastColumn="0" w:noHBand="0" w:noVBand="1"/>
      </w:tblPr>
      <w:tblGrid>
        <w:gridCol w:w="5093"/>
        <w:gridCol w:w="1560"/>
        <w:gridCol w:w="1665"/>
        <w:gridCol w:w="1665"/>
      </w:tblGrid>
      <w:tr w:rsidR="00EB3C05" w:rsidRPr="00F3258B" w14:paraId="33BFD09E" w14:textId="77777777" w:rsidTr="00874B2D">
        <w:trPr>
          <w:trHeight w:val="708"/>
        </w:trPr>
        <w:tc>
          <w:tcPr>
            <w:tcW w:w="509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0A0D91" w14:textId="77777777" w:rsidR="00EB3C05" w:rsidRPr="00F3258B" w:rsidRDefault="00EB3C05" w:rsidP="00874B2D">
            <w:pPr>
              <w:jc w:val="center"/>
              <w:rPr>
                <w:rFonts w:ascii="Arial Narrow" w:hAnsi="Arial Narrow" w:cs="Calibri"/>
                <w:b/>
                <w:bCs/>
                <w:color w:val="000000"/>
                <w:sz w:val="20"/>
                <w:szCs w:val="20"/>
              </w:rPr>
            </w:pPr>
            <w:r w:rsidRPr="00F3258B">
              <w:rPr>
                <w:rFonts w:ascii="Arial Narrow" w:hAnsi="Arial Narrow" w:cs="Calibri"/>
                <w:b/>
                <w:bCs/>
                <w:color w:val="000000"/>
                <w:sz w:val="20"/>
                <w:szCs w:val="20"/>
              </w:rPr>
              <w:t>CONCEPTO</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7EB753F5" w14:textId="77777777" w:rsidR="00EB3C05" w:rsidRPr="00F3258B" w:rsidRDefault="00EB3C05" w:rsidP="00874B2D">
            <w:pPr>
              <w:jc w:val="center"/>
              <w:rPr>
                <w:rFonts w:ascii="Arial Narrow" w:hAnsi="Arial Narrow" w:cs="Calibri"/>
                <w:b/>
                <w:bCs/>
                <w:color w:val="000000"/>
                <w:sz w:val="20"/>
                <w:szCs w:val="20"/>
              </w:rPr>
            </w:pPr>
            <w:r w:rsidRPr="00F3258B">
              <w:rPr>
                <w:rFonts w:ascii="Arial Narrow" w:hAnsi="Arial Narrow" w:cs="Calibri"/>
                <w:b/>
                <w:bCs/>
                <w:color w:val="000000"/>
                <w:sz w:val="20"/>
                <w:szCs w:val="20"/>
              </w:rPr>
              <w:t xml:space="preserve">APROPIACIÓN </w:t>
            </w:r>
            <w:r w:rsidRPr="00F3258B">
              <w:rPr>
                <w:rFonts w:ascii="Arial Narrow" w:hAnsi="Arial Narrow" w:cs="Calibri"/>
                <w:b/>
                <w:bCs/>
                <w:color w:val="000000"/>
                <w:sz w:val="20"/>
                <w:szCs w:val="20"/>
              </w:rPr>
              <w:br/>
              <w:t>DEFINITIVA</w:t>
            </w:r>
            <w:r w:rsidRPr="00F3258B">
              <w:rPr>
                <w:rFonts w:ascii="Arial Narrow" w:hAnsi="Arial Narrow" w:cs="Calibri"/>
                <w:b/>
                <w:bCs/>
                <w:color w:val="000000"/>
                <w:sz w:val="20"/>
                <w:szCs w:val="20"/>
              </w:rPr>
              <w:br/>
              <w:t>(1)</w:t>
            </w:r>
          </w:p>
        </w:tc>
        <w:tc>
          <w:tcPr>
            <w:tcW w:w="1665" w:type="dxa"/>
            <w:tcBorders>
              <w:top w:val="single" w:sz="8" w:space="0" w:color="auto"/>
              <w:left w:val="nil"/>
              <w:bottom w:val="single" w:sz="4" w:space="0" w:color="auto"/>
              <w:right w:val="single" w:sz="4" w:space="0" w:color="auto"/>
            </w:tcBorders>
            <w:shd w:val="clear" w:color="auto" w:fill="auto"/>
            <w:vAlign w:val="center"/>
            <w:hideMark/>
          </w:tcPr>
          <w:p w14:paraId="5A1CC780" w14:textId="77777777" w:rsidR="00EB3C05" w:rsidRPr="00F3258B" w:rsidRDefault="00EB3C05" w:rsidP="00874B2D">
            <w:pPr>
              <w:jc w:val="center"/>
              <w:rPr>
                <w:rFonts w:ascii="Arial Narrow" w:hAnsi="Arial Narrow" w:cs="Calibri"/>
                <w:b/>
                <w:bCs/>
                <w:color w:val="000000"/>
                <w:sz w:val="20"/>
                <w:szCs w:val="20"/>
              </w:rPr>
            </w:pPr>
            <w:r w:rsidRPr="00F3258B">
              <w:rPr>
                <w:rFonts w:ascii="Arial Narrow" w:hAnsi="Arial Narrow" w:cs="Calibri"/>
                <w:b/>
                <w:bCs/>
                <w:color w:val="000000"/>
                <w:sz w:val="20"/>
                <w:szCs w:val="20"/>
              </w:rPr>
              <w:t xml:space="preserve">EJECUCIÓN </w:t>
            </w:r>
            <w:r w:rsidRPr="00F3258B">
              <w:rPr>
                <w:rFonts w:ascii="Arial Narrow" w:hAnsi="Arial Narrow" w:cs="Calibri"/>
                <w:b/>
                <w:bCs/>
                <w:color w:val="000000"/>
                <w:sz w:val="20"/>
                <w:szCs w:val="20"/>
              </w:rPr>
              <w:br/>
              <w:t>COMPROMISOS</w:t>
            </w:r>
            <w:r w:rsidRPr="00F3258B">
              <w:rPr>
                <w:rFonts w:ascii="Arial Narrow" w:hAnsi="Arial Narrow" w:cs="Calibri"/>
                <w:b/>
                <w:bCs/>
                <w:color w:val="000000"/>
                <w:sz w:val="20"/>
                <w:szCs w:val="20"/>
              </w:rPr>
              <w:br/>
              <w:t>(2)</w:t>
            </w:r>
          </w:p>
        </w:tc>
        <w:tc>
          <w:tcPr>
            <w:tcW w:w="1665" w:type="dxa"/>
            <w:tcBorders>
              <w:top w:val="single" w:sz="8" w:space="0" w:color="auto"/>
              <w:left w:val="nil"/>
              <w:bottom w:val="single" w:sz="4" w:space="0" w:color="auto"/>
              <w:right w:val="single" w:sz="8" w:space="0" w:color="auto"/>
            </w:tcBorders>
            <w:shd w:val="clear" w:color="auto" w:fill="auto"/>
            <w:vAlign w:val="center"/>
            <w:hideMark/>
          </w:tcPr>
          <w:p w14:paraId="1D1E701D" w14:textId="77777777" w:rsidR="00EB3C05" w:rsidRPr="00F3258B" w:rsidRDefault="00EB3C05" w:rsidP="00874B2D">
            <w:pPr>
              <w:jc w:val="center"/>
              <w:rPr>
                <w:rFonts w:ascii="Arial Narrow" w:hAnsi="Arial Narrow" w:cs="Calibri"/>
                <w:b/>
                <w:bCs/>
                <w:color w:val="000000"/>
                <w:sz w:val="20"/>
                <w:szCs w:val="20"/>
              </w:rPr>
            </w:pPr>
            <w:r w:rsidRPr="00F3258B">
              <w:rPr>
                <w:rFonts w:ascii="Arial Narrow" w:hAnsi="Arial Narrow" w:cs="Calibri"/>
                <w:b/>
                <w:bCs/>
                <w:color w:val="000000"/>
                <w:sz w:val="20"/>
                <w:szCs w:val="20"/>
              </w:rPr>
              <w:t xml:space="preserve">PÉRDIDAS DE APROPIACIÓN </w:t>
            </w:r>
            <w:r w:rsidRPr="00F3258B">
              <w:rPr>
                <w:rFonts w:ascii="Arial Narrow" w:hAnsi="Arial Narrow" w:cs="Calibri"/>
                <w:b/>
                <w:bCs/>
                <w:color w:val="000000"/>
                <w:sz w:val="20"/>
                <w:szCs w:val="20"/>
              </w:rPr>
              <w:br/>
              <w:t>3 = (1 - 2)</w:t>
            </w:r>
          </w:p>
        </w:tc>
      </w:tr>
      <w:tr w:rsidR="00EB3C05" w:rsidRPr="00F3258B" w14:paraId="66D3170D" w14:textId="77777777" w:rsidTr="00874B2D">
        <w:trPr>
          <w:trHeight w:val="50"/>
        </w:trPr>
        <w:tc>
          <w:tcPr>
            <w:tcW w:w="5093" w:type="dxa"/>
            <w:tcBorders>
              <w:top w:val="nil"/>
              <w:left w:val="single" w:sz="8" w:space="0" w:color="auto"/>
              <w:bottom w:val="single" w:sz="4" w:space="0" w:color="auto"/>
              <w:right w:val="single" w:sz="4" w:space="0" w:color="auto"/>
            </w:tcBorders>
            <w:shd w:val="clear" w:color="auto" w:fill="auto"/>
            <w:vAlign w:val="center"/>
            <w:hideMark/>
          </w:tcPr>
          <w:p w14:paraId="60B30D32" w14:textId="77777777" w:rsidR="00EB3C05" w:rsidRPr="00F3258B" w:rsidRDefault="00EB3C05" w:rsidP="00874B2D">
            <w:pPr>
              <w:rPr>
                <w:rFonts w:ascii="Arial Narrow" w:hAnsi="Arial Narrow" w:cs="Calibri"/>
                <w:b/>
                <w:bCs/>
                <w:color w:val="000000"/>
                <w:sz w:val="20"/>
                <w:szCs w:val="20"/>
              </w:rPr>
            </w:pPr>
            <w:r w:rsidRPr="00F3258B">
              <w:rPr>
                <w:rFonts w:ascii="Arial Narrow" w:hAnsi="Arial Narrow" w:cs="Calibri"/>
                <w:b/>
                <w:bCs/>
                <w:color w:val="000000"/>
                <w:sz w:val="20"/>
                <w:szCs w:val="20"/>
              </w:rPr>
              <w:t xml:space="preserve">FUNCIONAMIENTO </w:t>
            </w:r>
          </w:p>
        </w:tc>
        <w:tc>
          <w:tcPr>
            <w:tcW w:w="1560" w:type="dxa"/>
            <w:tcBorders>
              <w:top w:val="nil"/>
              <w:left w:val="nil"/>
              <w:bottom w:val="single" w:sz="4" w:space="0" w:color="auto"/>
              <w:right w:val="single" w:sz="4" w:space="0" w:color="auto"/>
            </w:tcBorders>
            <w:shd w:val="clear" w:color="auto" w:fill="auto"/>
            <w:noWrap/>
            <w:vAlign w:val="bottom"/>
            <w:hideMark/>
          </w:tcPr>
          <w:p w14:paraId="500E2229" w14:textId="77777777" w:rsidR="00EB3C05" w:rsidRPr="00F3258B" w:rsidRDefault="00EB3C05" w:rsidP="00874B2D">
            <w:pPr>
              <w:jc w:val="right"/>
              <w:rPr>
                <w:rFonts w:ascii="Arial Narrow" w:hAnsi="Arial Narrow" w:cs="Calibri"/>
                <w:b/>
                <w:bCs/>
                <w:sz w:val="20"/>
                <w:szCs w:val="20"/>
              </w:rPr>
            </w:pPr>
            <w:r w:rsidRPr="00F3258B">
              <w:rPr>
                <w:rFonts w:ascii="Arial Narrow" w:hAnsi="Arial Narrow" w:cs="Calibri"/>
                <w:b/>
                <w:bCs/>
                <w:sz w:val="20"/>
                <w:szCs w:val="20"/>
              </w:rPr>
              <w:t>77.177.005</w:t>
            </w:r>
          </w:p>
        </w:tc>
        <w:tc>
          <w:tcPr>
            <w:tcW w:w="1665" w:type="dxa"/>
            <w:tcBorders>
              <w:top w:val="nil"/>
              <w:left w:val="nil"/>
              <w:bottom w:val="single" w:sz="4" w:space="0" w:color="auto"/>
              <w:right w:val="single" w:sz="4" w:space="0" w:color="auto"/>
            </w:tcBorders>
            <w:shd w:val="clear" w:color="auto" w:fill="auto"/>
            <w:noWrap/>
            <w:vAlign w:val="bottom"/>
            <w:hideMark/>
          </w:tcPr>
          <w:p w14:paraId="4941676B" w14:textId="77777777" w:rsidR="00EB3C05" w:rsidRPr="00F3258B" w:rsidRDefault="00EB3C05" w:rsidP="00874B2D">
            <w:pPr>
              <w:jc w:val="right"/>
              <w:rPr>
                <w:rFonts w:ascii="Arial Narrow" w:hAnsi="Arial Narrow" w:cs="Calibri"/>
                <w:b/>
                <w:bCs/>
                <w:sz w:val="20"/>
                <w:szCs w:val="20"/>
              </w:rPr>
            </w:pPr>
            <w:r w:rsidRPr="00F3258B">
              <w:rPr>
                <w:rFonts w:ascii="Arial Narrow" w:hAnsi="Arial Narrow" w:cs="Calibri"/>
                <w:b/>
                <w:bCs/>
                <w:sz w:val="20"/>
                <w:szCs w:val="20"/>
              </w:rPr>
              <w:t>74.616.664</w:t>
            </w:r>
          </w:p>
        </w:tc>
        <w:tc>
          <w:tcPr>
            <w:tcW w:w="1665" w:type="dxa"/>
            <w:tcBorders>
              <w:top w:val="nil"/>
              <w:left w:val="nil"/>
              <w:bottom w:val="single" w:sz="4" w:space="0" w:color="auto"/>
              <w:right w:val="single" w:sz="8" w:space="0" w:color="auto"/>
            </w:tcBorders>
            <w:shd w:val="clear" w:color="auto" w:fill="auto"/>
            <w:noWrap/>
            <w:vAlign w:val="bottom"/>
            <w:hideMark/>
          </w:tcPr>
          <w:p w14:paraId="6D295C9E" w14:textId="77777777" w:rsidR="00EB3C05" w:rsidRPr="00F3258B" w:rsidRDefault="00EB3C05" w:rsidP="00874B2D">
            <w:pPr>
              <w:jc w:val="right"/>
              <w:rPr>
                <w:rFonts w:ascii="Arial Narrow" w:hAnsi="Arial Narrow" w:cs="Calibri"/>
                <w:b/>
                <w:bCs/>
                <w:sz w:val="20"/>
                <w:szCs w:val="20"/>
              </w:rPr>
            </w:pPr>
            <w:r w:rsidRPr="00F3258B">
              <w:rPr>
                <w:rFonts w:ascii="Arial Narrow" w:hAnsi="Arial Narrow" w:cs="Calibri"/>
                <w:b/>
                <w:bCs/>
                <w:sz w:val="20"/>
                <w:szCs w:val="20"/>
              </w:rPr>
              <w:t>2.560.341</w:t>
            </w:r>
          </w:p>
        </w:tc>
      </w:tr>
      <w:tr w:rsidR="00EB3C05" w:rsidRPr="00F3258B" w14:paraId="7F4FB51F" w14:textId="77777777" w:rsidTr="00874B2D">
        <w:trPr>
          <w:trHeight w:val="146"/>
        </w:trPr>
        <w:tc>
          <w:tcPr>
            <w:tcW w:w="5093" w:type="dxa"/>
            <w:tcBorders>
              <w:top w:val="nil"/>
              <w:left w:val="single" w:sz="8" w:space="0" w:color="auto"/>
              <w:bottom w:val="single" w:sz="4" w:space="0" w:color="auto"/>
              <w:right w:val="single" w:sz="4" w:space="0" w:color="auto"/>
            </w:tcBorders>
            <w:shd w:val="clear" w:color="auto" w:fill="auto"/>
            <w:vAlign w:val="center"/>
            <w:hideMark/>
          </w:tcPr>
          <w:p w14:paraId="4B283F17" w14:textId="77777777" w:rsidR="00EB3C05" w:rsidRPr="00F3258B" w:rsidRDefault="00EB3C05" w:rsidP="00874B2D">
            <w:pPr>
              <w:rPr>
                <w:rFonts w:ascii="Arial Narrow" w:hAnsi="Arial Narrow" w:cs="Calibri"/>
                <w:color w:val="000000"/>
                <w:sz w:val="20"/>
                <w:szCs w:val="20"/>
              </w:rPr>
            </w:pPr>
            <w:r w:rsidRPr="00F3258B">
              <w:rPr>
                <w:rFonts w:ascii="Arial Narrow" w:hAnsi="Arial Narrow" w:cs="Calibri"/>
                <w:color w:val="000000"/>
                <w:sz w:val="20"/>
                <w:szCs w:val="20"/>
              </w:rPr>
              <w:t>GASTOS DE PERSONAL</w:t>
            </w:r>
          </w:p>
        </w:tc>
        <w:tc>
          <w:tcPr>
            <w:tcW w:w="1560" w:type="dxa"/>
            <w:tcBorders>
              <w:top w:val="nil"/>
              <w:left w:val="nil"/>
              <w:bottom w:val="single" w:sz="4" w:space="0" w:color="auto"/>
              <w:right w:val="single" w:sz="4" w:space="0" w:color="auto"/>
            </w:tcBorders>
            <w:shd w:val="clear" w:color="auto" w:fill="auto"/>
            <w:noWrap/>
            <w:vAlign w:val="bottom"/>
            <w:hideMark/>
          </w:tcPr>
          <w:p w14:paraId="62092860"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54.778.638</w:t>
            </w:r>
          </w:p>
        </w:tc>
        <w:tc>
          <w:tcPr>
            <w:tcW w:w="1665" w:type="dxa"/>
            <w:tcBorders>
              <w:top w:val="nil"/>
              <w:left w:val="nil"/>
              <w:bottom w:val="single" w:sz="4" w:space="0" w:color="auto"/>
              <w:right w:val="single" w:sz="4" w:space="0" w:color="auto"/>
            </w:tcBorders>
            <w:shd w:val="clear" w:color="auto" w:fill="auto"/>
            <w:noWrap/>
            <w:vAlign w:val="bottom"/>
            <w:hideMark/>
          </w:tcPr>
          <w:p w14:paraId="145ECE9C"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53.938.093</w:t>
            </w:r>
          </w:p>
        </w:tc>
        <w:tc>
          <w:tcPr>
            <w:tcW w:w="1665" w:type="dxa"/>
            <w:tcBorders>
              <w:top w:val="nil"/>
              <w:left w:val="nil"/>
              <w:bottom w:val="single" w:sz="4" w:space="0" w:color="auto"/>
              <w:right w:val="single" w:sz="8" w:space="0" w:color="auto"/>
            </w:tcBorders>
            <w:shd w:val="clear" w:color="auto" w:fill="auto"/>
            <w:noWrap/>
            <w:vAlign w:val="bottom"/>
            <w:hideMark/>
          </w:tcPr>
          <w:p w14:paraId="1428E116"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840.545</w:t>
            </w:r>
          </w:p>
        </w:tc>
      </w:tr>
      <w:tr w:rsidR="00EB3C05" w:rsidRPr="00F3258B" w14:paraId="22FFF345" w14:textId="77777777" w:rsidTr="00874B2D">
        <w:trPr>
          <w:trHeight w:val="159"/>
        </w:trPr>
        <w:tc>
          <w:tcPr>
            <w:tcW w:w="5093" w:type="dxa"/>
            <w:tcBorders>
              <w:top w:val="nil"/>
              <w:left w:val="single" w:sz="8" w:space="0" w:color="auto"/>
              <w:bottom w:val="single" w:sz="4" w:space="0" w:color="auto"/>
              <w:right w:val="single" w:sz="4" w:space="0" w:color="auto"/>
            </w:tcBorders>
            <w:shd w:val="clear" w:color="auto" w:fill="auto"/>
            <w:vAlign w:val="center"/>
            <w:hideMark/>
          </w:tcPr>
          <w:p w14:paraId="2FE465F1" w14:textId="77777777" w:rsidR="00EB3C05" w:rsidRPr="00F3258B" w:rsidRDefault="00EB3C05" w:rsidP="00874B2D">
            <w:pPr>
              <w:rPr>
                <w:rFonts w:ascii="Arial Narrow" w:hAnsi="Arial Narrow" w:cs="Calibri"/>
                <w:color w:val="000000"/>
                <w:sz w:val="20"/>
                <w:szCs w:val="20"/>
              </w:rPr>
            </w:pPr>
            <w:r w:rsidRPr="00F3258B">
              <w:rPr>
                <w:rFonts w:ascii="Arial Narrow" w:hAnsi="Arial Narrow" w:cs="Calibri"/>
                <w:color w:val="000000"/>
                <w:sz w:val="20"/>
                <w:szCs w:val="20"/>
              </w:rPr>
              <w:t>ADQUISICIÓN DE BIENES Y SERVICIOS</w:t>
            </w:r>
          </w:p>
        </w:tc>
        <w:tc>
          <w:tcPr>
            <w:tcW w:w="1560" w:type="dxa"/>
            <w:tcBorders>
              <w:top w:val="nil"/>
              <w:left w:val="nil"/>
              <w:bottom w:val="single" w:sz="4" w:space="0" w:color="auto"/>
              <w:right w:val="single" w:sz="4" w:space="0" w:color="auto"/>
            </w:tcBorders>
            <w:shd w:val="clear" w:color="auto" w:fill="auto"/>
            <w:noWrap/>
            <w:vAlign w:val="bottom"/>
            <w:hideMark/>
          </w:tcPr>
          <w:p w14:paraId="682795CE"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21.049.238</w:t>
            </w:r>
          </w:p>
        </w:tc>
        <w:tc>
          <w:tcPr>
            <w:tcW w:w="1665" w:type="dxa"/>
            <w:tcBorders>
              <w:top w:val="nil"/>
              <w:left w:val="nil"/>
              <w:bottom w:val="single" w:sz="4" w:space="0" w:color="auto"/>
              <w:right w:val="single" w:sz="4" w:space="0" w:color="auto"/>
            </w:tcBorders>
            <w:shd w:val="clear" w:color="auto" w:fill="auto"/>
            <w:noWrap/>
            <w:vAlign w:val="bottom"/>
            <w:hideMark/>
          </w:tcPr>
          <w:p w14:paraId="51AAF612"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19.613.959</w:t>
            </w:r>
          </w:p>
        </w:tc>
        <w:tc>
          <w:tcPr>
            <w:tcW w:w="1665" w:type="dxa"/>
            <w:tcBorders>
              <w:top w:val="nil"/>
              <w:left w:val="nil"/>
              <w:bottom w:val="single" w:sz="4" w:space="0" w:color="auto"/>
              <w:right w:val="single" w:sz="8" w:space="0" w:color="auto"/>
            </w:tcBorders>
            <w:shd w:val="clear" w:color="auto" w:fill="auto"/>
            <w:noWrap/>
            <w:vAlign w:val="bottom"/>
            <w:hideMark/>
          </w:tcPr>
          <w:p w14:paraId="26AF0282"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1.435.279</w:t>
            </w:r>
          </w:p>
        </w:tc>
      </w:tr>
      <w:tr w:rsidR="00EB3C05" w:rsidRPr="00F3258B" w14:paraId="71D56D74" w14:textId="77777777" w:rsidTr="00874B2D">
        <w:trPr>
          <w:trHeight w:val="250"/>
        </w:trPr>
        <w:tc>
          <w:tcPr>
            <w:tcW w:w="5093" w:type="dxa"/>
            <w:tcBorders>
              <w:top w:val="nil"/>
              <w:left w:val="single" w:sz="8" w:space="0" w:color="auto"/>
              <w:bottom w:val="single" w:sz="4" w:space="0" w:color="auto"/>
              <w:right w:val="single" w:sz="4" w:space="0" w:color="auto"/>
            </w:tcBorders>
            <w:shd w:val="clear" w:color="auto" w:fill="auto"/>
            <w:vAlign w:val="center"/>
            <w:hideMark/>
          </w:tcPr>
          <w:p w14:paraId="502460D4" w14:textId="77777777" w:rsidR="00EB3C05" w:rsidRPr="00F3258B" w:rsidRDefault="00EB3C05" w:rsidP="00874B2D">
            <w:pPr>
              <w:rPr>
                <w:rFonts w:ascii="Arial Narrow" w:hAnsi="Arial Narrow" w:cs="Calibri"/>
                <w:color w:val="000000"/>
                <w:sz w:val="20"/>
                <w:szCs w:val="20"/>
              </w:rPr>
            </w:pPr>
            <w:r w:rsidRPr="00F3258B">
              <w:rPr>
                <w:rFonts w:ascii="Arial Narrow" w:hAnsi="Arial Narrow" w:cs="Calibri"/>
                <w:color w:val="000000"/>
                <w:sz w:val="20"/>
                <w:szCs w:val="20"/>
              </w:rPr>
              <w:t>TRANSFERENCIAS</w:t>
            </w:r>
          </w:p>
        </w:tc>
        <w:tc>
          <w:tcPr>
            <w:tcW w:w="1560" w:type="dxa"/>
            <w:tcBorders>
              <w:top w:val="nil"/>
              <w:left w:val="nil"/>
              <w:bottom w:val="single" w:sz="4" w:space="0" w:color="auto"/>
              <w:right w:val="single" w:sz="4" w:space="0" w:color="auto"/>
            </w:tcBorders>
            <w:shd w:val="clear" w:color="auto" w:fill="auto"/>
            <w:noWrap/>
            <w:vAlign w:val="bottom"/>
            <w:hideMark/>
          </w:tcPr>
          <w:p w14:paraId="1EA378CA"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456.068</w:t>
            </w:r>
          </w:p>
        </w:tc>
        <w:tc>
          <w:tcPr>
            <w:tcW w:w="1665" w:type="dxa"/>
            <w:tcBorders>
              <w:top w:val="nil"/>
              <w:left w:val="nil"/>
              <w:bottom w:val="single" w:sz="4" w:space="0" w:color="auto"/>
              <w:right w:val="single" w:sz="4" w:space="0" w:color="auto"/>
            </w:tcBorders>
            <w:shd w:val="clear" w:color="auto" w:fill="auto"/>
            <w:noWrap/>
            <w:vAlign w:val="bottom"/>
            <w:hideMark/>
          </w:tcPr>
          <w:p w14:paraId="005D93B6"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176.544</w:t>
            </w:r>
          </w:p>
        </w:tc>
        <w:tc>
          <w:tcPr>
            <w:tcW w:w="1665" w:type="dxa"/>
            <w:tcBorders>
              <w:top w:val="nil"/>
              <w:left w:val="nil"/>
              <w:bottom w:val="single" w:sz="4" w:space="0" w:color="auto"/>
              <w:right w:val="single" w:sz="8" w:space="0" w:color="auto"/>
            </w:tcBorders>
            <w:shd w:val="clear" w:color="auto" w:fill="auto"/>
            <w:noWrap/>
            <w:vAlign w:val="bottom"/>
            <w:hideMark/>
          </w:tcPr>
          <w:p w14:paraId="20F854AE"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279.524</w:t>
            </w:r>
          </w:p>
        </w:tc>
      </w:tr>
      <w:tr w:rsidR="00EB3C05" w:rsidRPr="00F3258B" w14:paraId="0EDEC5C9" w14:textId="77777777" w:rsidTr="00874B2D">
        <w:trPr>
          <w:trHeight w:val="206"/>
        </w:trPr>
        <w:tc>
          <w:tcPr>
            <w:tcW w:w="5093" w:type="dxa"/>
            <w:tcBorders>
              <w:top w:val="nil"/>
              <w:left w:val="single" w:sz="8" w:space="0" w:color="auto"/>
              <w:bottom w:val="single" w:sz="4" w:space="0" w:color="auto"/>
              <w:right w:val="single" w:sz="4" w:space="0" w:color="auto"/>
            </w:tcBorders>
            <w:shd w:val="clear" w:color="auto" w:fill="auto"/>
            <w:vAlign w:val="center"/>
            <w:hideMark/>
          </w:tcPr>
          <w:p w14:paraId="23D4E5FE" w14:textId="77777777" w:rsidR="00EB3C05" w:rsidRPr="00F3258B" w:rsidRDefault="00EB3C05" w:rsidP="00874B2D">
            <w:pPr>
              <w:rPr>
                <w:rFonts w:ascii="Arial Narrow" w:hAnsi="Arial Narrow" w:cs="Calibri"/>
                <w:color w:val="000000"/>
                <w:sz w:val="20"/>
                <w:szCs w:val="20"/>
              </w:rPr>
            </w:pPr>
            <w:r w:rsidRPr="00F3258B">
              <w:rPr>
                <w:rFonts w:ascii="Arial Narrow" w:hAnsi="Arial Narrow" w:cs="Calibri"/>
                <w:color w:val="000000"/>
                <w:sz w:val="20"/>
                <w:szCs w:val="20"/>
              </w:rPr>
              <w:t>GASTOS POR TRIBUTOS, MULTAS, SANCIONES E INTERESES DE MORA</w:t>
            </w:r>
          </w:p>
        </w:tc>
        <w:tc>
          <w:tcPr>
            <w:tcW w:w="1560" w:type="dxa"/>
            <w:tcBorders>
              <w:top w:val="nil"/>
              <w:left w:val="nil"/>
              <w:bottom w:val="single" w:sz="4" w:space="0" w:color="auto"/>
              <w:right w:val="single" w:sz="4" w:space="0" w:color="auto"/>
            </w:tcBorders>
            <w:shd w:val="clear" w:color="auto" w:fill="auto"/>
            <w:noWrap/>
            <w:vAlign w:val="bottom"/>
            <w:hideMark/>
          </w:tcPr>
          <w:p w14:paraId="3987F5A6"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893.061</w:t>
            </w:r>
          </w:p>
        </w:tc>
        <w:tc>
          <w:tcPr>
            <w:tcW w:w="1665" w:type="dxa"/>
            <w:tcBorders>
              <w:top w:val="nil"/>
              <w:left w:val="nil"/>
              <w:bottom w:val="single" w:sz="4" w:space="0" w:color="auto"/>
              <w:right w:val="single" w:sz="4" w:space="0" w:color="auto"/>
            </w:tcBorders>
            <w:shd w:val="clear" w:color="auto" w:fill="auto"/>
            <w:noWrap/>
            <w:vAlign w:val="bottom"/>
            <w:hideMark/>
          </w:tcPr>
          <w:p w14:paraId="2FE7B9DF"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888.068</w:t>
            </w:r>
          </w:p>
        </w:tc>
        <w:tc>
          <w:tcPr>
            <w:tcW w:w="1665" w:type="dxa"/>
            <w:tcBorders>
              <w:top w:val="nil"/>
              <w:left w:val="nil"/>
              <w:bottom w:val="single" w:sz="4" w:space="0" w:color="auto"/>
              <w:right w:val="single" w:sz="8" w:space="0" w:color="auto"/>
            </w:tcBorders>
            <w:shd w:val="clear" w:color="auto" w:fill="auto"/>
            <w:noWrap/>
            <w:vAlign w:val="bottom"/>
            <w:hideMark/>
          </w:tcPr>
          <w:p w14:paraId="67D26E4F"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4.993</w:t>
            </w:r>
          </w:p>
        </w:tc>
      </w:tr>
      <w:tr w:rsidR="00EB3C05" w:rsidRPr="00F3258B" w14:paraId="4E2B569E" w14:textId="77777777" w:rsidTr="00874B2D">
        <w:trPr>
          <w:trHeight w:val="217"/>
        </w:trPr>
        <w:tc>
          <w:tcPr>
            <w:tcW w:w="5093" w:type="dxa"/>
            <w:tcBorders>
              <w:top w:val="nil"/>
              <w:left w:val="single" w:sz="8" w:space="0" w:color="auto"/>
              <w:bottom w:val="single" w:sz="4" w:space="0" w:color="auto"/>
              <w:right w:val="single" w:sz="4" w:space="0" w:color="auto"/>
            </w:tcBorders>
            <w:shd w:val="clear" w:color="auto" w:fill="auto"/>
            <w:vAlign w:val="center"/>
            <w:hideMark/>
          </w:tcPr>
          <w:p w14:paraId="135677E1" w14:textId="77777777" w:rsidR="00EB3C05" w:rsidRPr="00F3258B" w:rsidRDefault="00EB3C05" w:rsidP="00874B2D">
            <w:pPr>
              <w:rPr>
                <w:rFonts w:ascii="Arial Narrow" w:hAnsi="Arial Narrow" w:cs="Calibri"/>
                <w:b/>
                <w:bCs/>
                <w:color w:val="000000"/>
                <w:sz w:val="20"/>
                <w:szCs w:val="20"/>
              </w:rPr>
            </w:pPr>
            <w:r w:rsidRPr="00F3258B">
              <w:rPr>
                <w:rFonts w:ascii="Arial Narrow" w:hAnsi="Arial Narrow" w:cs="Calibri"/>
                <w:b/>
                <w:bCs/>
                <w:color w:val="000000"/>
                <w:sz w:val="20"/>
                <w:szCs w:val="20"/>
              </w:rPr>
              <w:t>INVERSION</w:t>
            </w:r>
          </w:p>
        </w:tc>
        <w:tc>
          <w:tcPr>
            <w:tcW w:w="1560" w:type="dxa"/>
            <w:tcBorders>
              <w:top w:val="nil"/>
              <w:left w:val="nil"/>
              <w:bottom w:val="single" w:sz="4" w:space="0" w:color="auto"/>
              <w:right w:val="single" w:sz="4" w:space="0" w:color="auto"/>
            </w:tcBorders>
            <w:shd w:val="clear" w:color="auto" w:fill="auto"/>
            <w:noWrap/>
            <w:vAlign w:val="bottom"/>
            <w:hideMark/>
          </w:tcPr>
          <w:p w14:paraId="7741ADA1"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364.170.313</w:t>
            </w:r>
          </w:p>
        </w:tc>
        <w:tc>
          <w:tcPr>
            <w:tcW w:w="1665" w:type="dxa"/>
            <w:tcBorders>
              <w:top w:val="nil"/>
              <w:left w:val="nil"/>
              <w:bottom w:val="single" w:sz="4" w:space="0" w:color="auto"/>
              <w:right w:val="single" w:sz="4" w:space="0" w:color="auto"/>
            </w:tcBorders>
            <w:shd w:val="clear" w:color="auto" w:fill="auto"/>
            <w:noWrap/>
            <w:vAlign w:val="bottom"/>
            <w:hideMark/>
          </w:tcPr>
          <w:p w14:paraId="2DAEF0DA" w14:textId="77777777" w:rsidR="00EB3C05" w:rsidRPr="00F3258B" w:rsidRDefault="00EB3C05" w:rsidP="00874B2D">
            <w:pPr>
              <w:jc w:val="right"/>
              <w:rPr>
                <w:rFonts w:ascii="Arial Narrow" w:hAnsi="Arial Narrow" w:cs="Calibri"/>
                <w:sz w:val="20"/>
                <w:szCs w:val="20"/>
              </w:rPr>
            </w:pPr>
            <w:r w:rsidRPr="00F3258B">
              <w:rPr>
                <w:rFonts w:ascii="Arial Narrow" w:hAnsi="Arial Narrow" w:cs="Calibri"/>
                <w:sz w:val="20"/>
                <w:szCs w:val="20"/>
              </w:rPr>
              <w:t>347.360.650</w:t>
            </w:r>
          </w:p>
        </w:tc>
        <w:tc>
          <w:tcPr>
            <w:tcW w:w="1665" w:type="dxa"/>
            <w:tcBorders>
              <w:top w:val="nil"/>
              <w:left w:val="nil"/>
              <w:bottom w:val="single" w:sz="4" w:space="0" w:color="auto"/>
              <w:right w:val="single" w:sz="8" w:space="0" w:color="auto"/>
            </w:tcBorders>
            <w:shd w:val="clear" w:color="auto" w:fill="auto"/>
            <w:noWrap/>
            <w:vAlign w:val="bottom"/>
            <w:hideMark/>
          </w:tcPr>
          <w:p w14:paraId="2B5A9C4F" w14:textId="77777777" w:rsidR="00EB3C05" w:rsidRPr="00F3258B" w:rsidRDefault="00EB3C05" w:rsidP="00874B2D">
            <w:pPr>
              <w:jc w:val="right"/>
              <w:rPr>
                <w:rFonts w:ascii="Arial Narrow" w:hAnsi="Arial Narrow" w:cs="Calibri"/>
                <w:b/>
                <w:bCs/>
                <w:sz w:val="20"/>
                <w:szCs w:val="20"/>
              </w:rPr>
            </w:pPr>
            <w:r w:rsidRPr="00F3258B">
              <w:rPr>
                <w:rFonts w:ascii="Arial Narrow" w:hAnsi="Arial Narrow" w:cs="Calibri"/>
                <w:b/>
                <w:bCs/>
                <w:sz w:val="20"/>
                <w:szCs w:val="20"/>
              </w:rPr>
              <w:t>16.809.663</w:t>
            </w:r>
          </w:p>
        </w:tc>
      </w:tr>
      <w:tr w:rsidR="00EB3C05" w:rsidRPr="00F3258B" w14:paraId="084306E2" w14:textId="77777777" w:rsidTr="00874B2D">
        <w:trPr>
          <w:trHeight w:val="50"/>
        </w:trPr>
        <w:tc>
          <w:tcPr>
            <w:tcW w:w="5093" w:type="dxa"/>
            <w:tcBorders>
              <w:top w:val="nil"/>
              <w:left w:val="single" w:sz="8" w:space="0" w:color="auto"/>
              <w:bottom w:val="single" w:sz="8" w:space="0" w:color="auto"/>
              <w:right w:val="single" w:sz="4" w:space="0" w:color="auto"/>
            </w:tcBorders>
            <w:shd w:val="clear" w:color="auto" w:fill="auto"/>
            <w:vAlign w:val="center"/>
            <w:hideMark/>
          </w:tcPr>
          <w:p w14:paraId="6FA6D605" w14:textId="77777777" w:rsidR="00EB3C05" w:rsidRPr="00F3258B" w:rsidRDefault="00EB3C05" w:rsidP="00874B2D">
            <w:pPr>
              <w:jc w:val="center"/>
              <w:rPr>
                <w:rFonts w:ascii="Arial Narrow" w:hAnsi="Arial Narrow" w:cs="Calibri"/>
                <w:b/>
                <w:bCs/>
                <w:color w:val="000000"/>
                <w:sz w:val="20"/>
                <w:szCs w:val="20"/>
              </w:rPr>
            </w:pPr>
            <w:r w:rsidRPr="00F3258B">
              <w:rPr>
                <w:rFonts w:ascii="Arial Narrow" w:hAnsi="Arial Narrow" w:cs="Calibri"/>
                <w:b/>
                <w:bCs/>
                <w:color w:val="000000"/>
                <w:sz w:val="20"/>
                <w:szCs w:val="20"/>
              </w:rPr>
              <w:t xml:space="preserve">TOTAL, PERDIDAS DE APROPIACIÓN </w:t>
            </w:r>
          </w:p>
        </w:tc>
        <w:tc>
          <w:tcPr>
            <w:tcW w:w="1560" w:type="dxa"/>
            <w:tcBorders>
              <w:top w:val="nil"/>
              <w:left w:val="nil"/>
              <w:bottom w:val="single" w:sz="8" w:space="0" w:color="auto"/>
              <w:right w:val="single" w:sz="4" w:space="0" w:color="auto"/>
            </w:tcBorders>
            <w:shd w:val="clear" w:color="auto" w:fill="auto"/>
            <w:noWrap/>
            <w:vAlign w:val="bottom"/>
            <w:hideMark/>
          </w:tcPr>
          <w:p w14:paraId="6E6D69DC" w14:textId="77777777" w:rsidR="00EB3C05" w:rsidRPr="00F3258B" w:rsidRDefault="00EB3C05" w:rsidP="00874B2D">
            <w:pPr>
              <w:jc w:val="right"/>
              <w:rPr>
                <w:rFonts w:ascii="Arial Narrow" w:hAnsi="Arial Narrow" w:cs="Calibri"/>
                <w:b/>
                <w:bCs/>
                <w:sz w:val="20"/>
                <w:szCs w:val="20"/>
              </w:rPr>
            </w:pPr>
            <w:r w:rsidRPr="00F3258B">
              <w:rPr>
                <w:rFonts w:ascii="Arial Narrow" w:hAnsi="Arial Narrow" w:cs="Calibri"/>
                <w:b/>
                <w:bCs/>
                <w:sz w:val="20"/>
                <w:szCs w:val="20"/>
              </w:rPr>
              <w:t>441.347.318</w:t>
            </w:r>
          </w:p>
        </w:tc>
        <w:tc>
          <w:tcPr>
            <w:tcW w:w="1665" w:type="dxa"/>
            <w:tcBorders>
              <w:top w:val="nil"/>
              <w:left w:val="nil"/>
              <w:bottom w:val="single" w:sz="8" w:space="0" w:color="auto"/>
              <w:right w:val="single" w:sz="4" w:space="0" w:color="auto"/>
            </w:tcBorders>
            <w:shd w:val="clear" w:color="auto" w:fill="auto"/>
            <w:noWrap/>
            <w:vAlign w:val="bottom"/>
            <w:hideMark/>
          </w:tcPr>
          <w:p w14:paraId="76831A6C" w14:textId="77777777" w:rsidR="00EB3C05" w:rsidRPr="00F3258B" w:rsidRDefault="00EB3C05" w:rsidP="00874B2D">
            <w:pPr>
              <w:jc w:val="right"/>
              <w:rPr>
                <w:rFonts w:ascii="Arial Narrow" w:hAnsi="Arial Narrow" w:cs="Calibri"/>
                <w:b/>
                <w:bCs/>
                <w:sz w:val="20"/>
                <w:szCs w:val="20"/>
              </w:rPr>
            </w:pPr>
            <w:r w:rsidRPr="00F3258B">
              <w:rPr>
                <w:rFonts w:ascii="Arial Narrow" w:hAnsi="Arial Narrow" w:cs="Calibri"/>
                <w:b/>
                <w:bCs/>
                <w:sz w:val="20"/>
                <w:szCs w:val="20"/>
              </w:rPr>
              <w:t>421.977.314</w:t>
            </w:r>
          </w:p>
        </w:tc>
        <w:tc>
          <w:tcPr>
            <w:tcW w:w="1665" w:type="dxa"/>
            <w:tcBorders>
              <w:top w:val="nil"/>
              <w:left w:val="nil"/>
              <w:bottom w:val="single" w:sz="8" w:space="0" w:color="auto"/>
              <w:right w:val="single" w:sz="8" w:space="0" w:color="auto"/>
            </w:tcBorders>
            <w:shd w:val="clear" w:color="auto" w:fill="auto"/>
            <w:noWrap/>
            <w:vAlign w:val="bottom"/>
            <w:hideMark/>
          </w:tcPr>
          <w:p w14:paraId="1E99AB08" w14:textId="77777777" w:rsidR="00EB3C05" w:rsidRPr="00F3258B" w:rsidRDefault="00EB3C05" w:rsidP="00874B2D">
            <w:pPr>
              <w:jc w:val="right"/>
              <w:rPr>
                <w:rFonts w:ascii="Arial Narrow" w:hAnsi="Arial Narrow" w:cs="Calibri"/>
                <w:b/>
                <w:bCs/>
                <w:sz w:val="20"/>
                <w:szCs w:val="20"/>
              </w:rPr>
            </w:pPr>
            <w:r w:rsidRPr="00F3258B">
              <w:rPr>
                <w:rFonts w:ascii="Arial Narrow" w:hAnsi="Arial Narrow" w:cs="Calibri"/>
                <w:b/>
                <w:bCs/>
                <w:sz w:val="20"/>
                <w:szCs w:val="20"/>
              </w:rPr>
              <w:t>19.370.004</w:t>
            </w:r>
          </w:p>
        </w:tc>
      </w:tr>
    </w:tbl>
    <w:p w14:paraId="0E6BCFB1" w14:textId="77777777" w:rsidR="00EB3C05" w:rsidRDefault="00EB3C05" w:rsidP="00EB3C05">
      <w:pPr>
        <w:pStyle w:val="Prrafodelista"/>
        <w:ind w:left="0"/>
        <w:rPr>
          <w:sz w:val="24"/>
        </w:rPr>
      </w:pPr>
    </w:p>
    <w:p w14:paraId="590B66A2" w14:textId="77777777" w:rsidR="00EB3C05" w:rsidRPr="00B54567" w:rsidRDefault="00EB3C05" w:rsidP="00EB3C05">
      <w:pPr>
        <w:tabs>
          <w:tab w:val="left" w:pos="875"/>
        </w:tabs>
        <w:spacing w:before="92"/>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256D2A92" w14:textId="77777777" w:rsidR="00EB3C05" w:rsidRPr="00B54567" w:rsidRDefault="00EB3C05" w:rsidP="00EB3C05">
      <w:pPr>
        <w:tabs>
          <w:tab w:val="left" w:pos="875"/>
        </w:tabs>
        <w:spacing w:before="92"/>
        <w:ind w:left="-142"/>
        <w:rPr>
          <w:sz w:val="24"/>
        </w:rPr>
      </w:pPr>
    </w:p>
    <w:tbl>
      <w:tblPr>
        <w:tblStyle w:val="Tablaconcuadrcula"/>
        <w:tblW w:w="9923" w:type="dxa"/>
        <w:tblInd w:w="-5" w:type="dxa"/>
        <w:tblLook w:val="04A0" w:firstRow="1" w:lastRow="0" w:firstColumn="1" w:lastColumn="0" w:noHBand="0" w:noVBand="1"/>
      </w:tblPr>
      <w:tblGrid>
        <w:gridCol w:w="8364"/>
        <w:gridCol w:w="1559"/>
      </w:tblGrid>
      <w:tr w:rsidR="00EB3C05" w:rsidRPr="00B54567" w14:paraId="704731E7" w14:textId="77777777" w:rsidTr="00874B2D">
        <w:tc>
          <w:tcPr>
            <w:tcW w:w="8364" w:type="dxa"/>
          </w:tcPr>
          <w:p w14:paraId="6806F515" w14:textId="77777777" w:rsidR="00EB3C05" w:rsidRPr="00B54567" w:rsidRDefault="00EB3C05" w:rsidP="00874B2D">
            <w:pPr>
              <w:tabs>
                <w:tab w:val="left" w:pos="875"/>
              </w:tabs>
              <w:rPr>
                <w:sz w:val="18"/>
                <w:szCs w:val="18"/>
              </w:rPr>
            </w:pPr>
            <w:r w:rsidRPr="00B54567">
              <w:rPr>
                <w:sz w:val="20"/>
                <w:szCs w:val="20"/>
                <w:lang w:val="es-ES_tradnl"/>
              </w:rPr>
              <w:t>Reservas presupuestales constituidas a 31 de diciembre de 2024</w:t>
            </w:r>
          </w:p>
        </w:tc>
        <w:tc>
          <w:tcPr>
            <w:tcW w:w="1559" w:type="dxa"/>
          </w:tcPr>
          <w:p w14:paraId="6DF522DC" w14:textId="77777777" w:rsidR="00EB3C05" w:rsidRPr="00B54567" w:rsidRDefault="00EB3C05" w:rsidP="00874B2D">
            <w:pPr>
              <w:tabs>
                <w:tab w:val="left" w:pos="875"/>
              </w:tabs>
              <w:jc w:val="right"/>
              <w:rPr>
                <w:sz w:val="18"/>
                <w:szCs w:val="18"/>
              </w:rPr>
            </w:pPr>
            <w:r>
              <w:rPr>
                <w:sz w:val="18"/>
                <w:szCs w:val="18"/>
              </w:rPr>
              <w:t>27.148.453</w:t>
            </w:r>
          </w:p>
        </w:tc>
      </w:tr>
      <w:tr w:rsidR="00EB3C05" w:rsidRPr="00B54567" w14:paraId="543568DF" w14:textId="77777777" w:rsidTr="00874B2D">
        <w:tc>
          <w:tcPr>
            <w:tcW w:w="8364" w:type="dxa"/>
          </w:tcPr>
          <w:p w14:paraId="76525EFB" w14:textId="77777777" w:rsidR="00EB3C05" w:rsidRPr="00B54567" w:rsidRDefault="00EB3C05" w:rsidP="00874B2D">
            <w:pPr>
              <w:tabs>
                <w:tab w:val="left" w:pos="875"/>
              </w:tabs>
              <w:rPr>
                <w:sz w:val="18"/>
                <w:szCs w:val="18"/>
              </w:rPr>
            </w:pPr>
            <w:r w:rsidRPr="00B54567">
              <w:rPr>
                <w:sz w:val="20"/>
                <w:szCs w:val="20"/>
                <w:lang w:val="es-ES_tradnl"/>
              </w:rPr>
              <w:t>Cuentas por pagar constituidas a 31 de diciembre de 2024</w:t>
            </w:r>
          </w:p>
        </w:tc>
        <w:tc>
          <w:tcPr>
            <w:tcW w:w="1559" w:type="dxa"/>
          </w:tcPr>
          <w:p w14:paraId="5112AAF5" w14:textId="77777777" w:rsidR="00EB3C05" w:rsidRPr="00B54567" w:rsidRDefault="00EB3C05" w:rsidP="00874B2D">
            <w:pPr>
              <w:tabs>
                <w:tab w:val="left" w:pos="875"/>
              </w:tabs>
              <w:jc w:val="right"/>
              <w:rPr>
                <w:sz w:val="18"/>
                <w:szCs w:val="18"/>
              </w:rPr>
            </w:pPr>
            <w:r>
              <w:rPr>
                <w:sz w:val="18"/>
                <w:szCs w:val="18"/>
              </w:rPr>
              <w:t>808.507</w:t>
            </w:r>
          </w:p>
        </w:tc>
      </w:tr>
      <w:tr w:rsidR="00EB3C05" w:rsidRPr="00B54567" w14:paraId="559CB56E" w14:textId="77777777" w:rsidTr="00874B2D">
        <w:tc>
          <w:tcPr>
            <w:tcW w:w="8364" w:type="dxa"/>
          </w:tcPr>
          <w:p w14:paraId="2005141F" w14:textId="77777777" w:rsidR="00EB3C05" w:rsidRPr="00B54567" w:rsidRDefault="00EB3C05" w:rsidP="00874B2D">
            <w:pPr>
              <w:tabs>
                <w:tab w:val="left" w:pos="875"/>
              </w:tabs>
              <w:rPr>
                <w:sz w:val="18"/>
                <w:szCs w:val="18"/>
              </w:rPr>
            </w:pPr>
            <w:r w:rsidRPr="00B54567">
              <w:rPr>
                <w:b/>
                <w:sz w:val="20"/>
                <w:szCs w:val="20"/>
                <w:lang w:val="es-ES_tradnl"/>
              </w:rPr>
              <w:t>TOTAL REZAGO PRESUPUESTAL CONSTITUIDO A 31 DE DICIEMBRE DE 2024</w:t>
            </w:r>
          </w:p>
        </w:tc>
        <w:tc>
          <w:tcPr>
            <w:tcW w:w="1559" w:type="dxa"/>
          </w:tcPr>
          <w:p w14:paraId="7DE1AC52" w14:textId="77777777" w:rsidR="00EB3C05" w:rsidRPr="00B54567" w:rsidRDefault="00EB3C05" w:rsidP="00874B2D">
            <w:pPr>
              <w:tabs>
                <w:tab w:val="left" w:pos="875"/>
              </w:tabs>
              <w:jc w:val="right"/>
              <w:rPr>
                <w:b/>
                <w:sz w:val="18"/>
                <w:szCs w:val="18"/>
                <w:u w:val="single"/>
              </w:rPr>
            </w:pPr>
            <w:r>
              <w:rPr>
                <w:b/>
                <w:sz w:val="18"/>
                <w:szCs w:val="18"/>
                <w:u w:val="single"/>
              </w:rPr>
              <w:t>27.956.960</w:t>
            </w:r>
          </w:p>
        </w:tc>
      </w:tr>
    </w:tbl>
    <w:p w14:paraId="77E92FAC" w14:textId="77777777" w:rsidR="00EB3C05" w:rsidRDefault="00EB3C05" w:rsidP="00EB3C05">
      <w:pPr>
        <w:pStyle w:val="Textoindependiente"/>
        <w:spacing w:before="3"/>
        <w:jc w:val="both"/>
        <w:rPr>
          <w:b/>
          <w:sz w:val="28"/>
          <w:szCs w:val="28"/>
        </w:rPr>
      </w:pPr>
    </w:p>
    <w:p w14:paraId="47D6DD35" w14:textId="77777777" w:rsidR="00EB3C05" w:rsidRDefault="00EB3C05" w:rsidP="00EB3C05">
      <w:pPr>
        <w:pStyle w:val="Textoindependiente"/>
        <w:jc w:val="both"/>
        <w:rPr>
          <w:b/>
          <w:sz w:val="28"/>
          <w:szCs w:val="28"/>
        </w:rPr>
      </w:pPr>
      <w:r>
        <w:rPr>
          <w:b/>
          <w:sz w:val="28"/>
          <w:szCs w:val="28"/>
        </w:rPr>
        <w:t xml:space="preserve">B.- </w:t>
      </w:r>
      <w:r w:rsidRPr="00D65F09">
        <w:rPr>
          <w:b/>
          <w:sz w:val="28"/>
          <w:szCs w:val="28"/>
        </w:rPr>
        <w:t>DE ORDEN CONTABLE</w:t>
      </w:r>
      <w:r>
        <w:rPr>
          <w:b/>
          <w:sz w:val="28"/>
          <w:szCs w:val="28"/>
        </w:rPr>
        <w:t>.</w:t>
      </w:r>
    </w:p>
    <w:p w14:paraId="18F120AF" w14:textId="77777777" w:rsidR="00EB3C05" w:rsidRDefault="00EB3C05" w:rsidP="00EB3C05">
      <w:pPr>
        <w:pStyle w:val="Textoindependiente"/>
        <w:ind w:left="218"/>
        <w:jc w:val="both"/>
        <w:rPr>
          <w:b/>
          <w:sz w:val="28"/>
          <w:szCs w:val="28"/>
        </w:rPr>
      </w:pPr>
    </w:p>
    <w:p w14:paraId="757F98A9" w14:textId="77777777" w:rsidR="00EB3C05" w:rsidRDefault="00EB3C05" w:rsidP="00EB3C05">
      <w:pPr>
        <w:pStyle w:val="Textoindependiente"/>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3B10895A" w14:textId="77777777" w:rsidR="00EB3C05" w:rsidRDefault="00EB3C05" w:rsidP="00EB3C05">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EB3C05" w:rsidRPr="00FF673A" w14:paraId="4A1E546B" w14:textId="77777777" w:rsidTr="00874B2D">
        <w:tc>
          <w:tcPr>
            <w:tcW w:w="1134" w:type="dxa"/>
          </w:tcPr>
          <w:p w14:paraId="04720236" w14:textId="77777777" w:rsidR="00EB3C05" w:rsidRPr="00FF673A" w:rsidRDefault="00EB3C05" w:rsidP="00874B2D">
            <w:pPr>
              <w:jc w:val="center"/>
              <w:rPr>
                <w:b/>
                <w:sz w:val="20"/>
                <w:szCs w:val="20"/>
                <w:lang w:val="es-ES_tradnl"/>
              </w:rPr>
            </w:pPr>
            <w:r w:rsidRPr="00FF673A">
              <w:rPr>
                <w:b/>
                <w:sz w:val="20"/>
                <w:szCs w:val="20"/>
                <w:lang w:val="es-ES_tradnl"/>
              </w:rPr>
              <w:t>CÓDIGO</w:t>
            </w:r>
          </w:p>
        </w:tc>
        <w:tc>
          <w:tcPr>
            <w:tcW w:w="6379" w:type="dxa"/>
          </w:tcPr>
          <w:p w14:paraId="24CB9428" w14:textId="77777777" w:rsidR="00EB3C05" w:rsidRPr="00FF673A" w:rsidRDefault="00EB3C05" w:rsidP="00874B2D">
            <w:pPr>
              <w:jc w:val="center"/>
              <w:rPr>
                <w:b/>
                <w:sz w:val="20"/>
                <w:szCs w:val="20"/>
                <w:lang w:val="es-ES_tradnl"/>
              </w:rPr>
            </w:pPr>
            <w:r w:rsidRPr="00FF673A">
              <w:rPr>
                <w:b/>
                <w:sz w:val="20"/>
                <w:szCs w:val="20"/>
                <w:lang w:val="es-ES_tradnl"/>
              </w:rPr>
              <w:t>NOMBRE CUENTA</w:t>
            </w:r>
          </w:p>
        </w:tc>
        <w:tc>
          <w:tcPr>
            <w:tcW w:w="2410" w:type="dxa"/>
          </w:tcPr>
          <w:p w14:paraId="30FF8166" w14:textId="77777777" w:rsidR="00EB3C05" w:rsidRPr="00FF673A" w:rsidRDefault="00EB3C05" w:rsidP="00874B2D">
            <w:pPr>
              <w:jc w:val="center"/>
              <w:rPr>
                <w:b/>
                <w:sz w:val="20"/>
                <w:szCs w:val="20"/>
                <w:lang w:val="es-ES_tradnl"/>
              </w:rPr>
            </w:pPr>
            <w:r w:rsidRPr="00FF673A">
              <w:rPr>
                <w:b/>
                <w:sz w:val="20"/>
                <w:szCs w:val="20"/>
                <w:lang w:val="es-ES_tradnl"/>
              </w:rPr>
              <w:t xml:space="preserve">SALDO A </w:t>
            </w:r>
          </w:p>
          <w:p w14:paraId="5513E8BD" w14:textId="77777777" w:rsidR="00EB3C05" w:rsidRPr="00FF673A" w:rsidRDefault="00EB3C05"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77D48DD2" w14:textId="77777777" w:rsidR="00EB3C05" w:rsidRDefault="00EB3C05" w:rsidP="00874B2D">
            <w:pPr>
              <w:jc w:val="center"/>
              <w:rPr>
                <w:b/>
                <w:sz w:val="20"/>
                <w:szCs w:val="20"/>
                <w:lang w:val="es-ES_tradnl"/>
              </w:rPr>
            </w:pPr>
            <w:r>
              <w:rPr>
                <w:b/>
                <w:sz w:val="20"/>
                <w:szCs w:val="20"/>
                <w:lang w:val="es-ES_tradnl"/>
              </w:rPr>
              <w:t>(Pesos)</w:t>
            </w:r>
          </w:p>
          <w:p w14:paraId="3051B876" w14:textId="77777777" w:rsidR="00EB3C05" w:rsidRPr="00FF673A" w:rsidRDefault="00EB3C05" w:rsidP="00874B2D">
            <w:pPr>
              <w:jc w:val="center"/>
              <w:rPr>
                <w:b/>
                <w:sz w:val="20"/>
                <w:szCs w:val="20"/>
                <w:lang w:val="es-ES_tradnl"/>
              </w:rPr>
            </w:pPr>
          </w:p>
        </w:tc>
      </w:tr>
      <w:tr w:rsidR="00EB3C05" w:rsidRPr="00FF673A" w14:paraId="06201CF5" w14:textId="77777777" w:rsidTr="00874B2D">
        <w:tc>
          <w:tcPr>
            <w:tcW w:w="1134" w:type="dxa"/>
          </w:tcPr>
          <w:p w14:paraId="089966A4" w14:textId="77777777" w:rsidR="00EB3C05" w:rsidRPr="00FF673A" w:rsidRDefault="00EB3C05" w:rsidP="00874B2D">
            <w:pPr>
              <w:jc w:val="center"/>
              <w:rPr>
                <w:b/>
                <w:sz w:val="20"/>
                <w:szCs w:val="20"/>
                <w:lang w:val="es-ES_tradnl"/>
              </w:rPr>
            </w:pPr>
          </w:p>
        </w:tc>
        <w:tc>
          <w:tcPr>
            <w:tcW w:w="6379" w:type="dxa"/>
          </w:tcPr>
          <w:p w14:paraId="000345EC" w14:textId="77777777" w:rsidR="00EB3C05" w:rsidRPr="005214F3" w:rsidRDefault="00EB3C05"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189E25E2" w14:textId="77777777" w:rsidR="00EB3C05" w:rsidRPr="00FF673A" w:rsidRDefault="00EB3C05" w:rsidP="00874B2D">
            <w:pPr>
              <w:jc w:val="right"/>
              <w:rPr>
                <w:b/>
                <w:sz w:val="20"/>
                <w:szCs w:val="20"/>
                <w:lang w:val="es-ES_tradnl"/>
              </w:rPr>
            </w:pPr>
            <w:r>
              <w:rPr>
                <w:b/>
                <w:sz w:val="20"/>
                <w:szCs w:val="20"/>
                <w:lang w:val="es-ES_tradnl"/>
              </w:rPr>
              <w:t>(13.932.736.532,64)</w:t>
            </w:r>
          </w:p>
        </w:tc>
      </w:tr>
      <w:tr w:rsidR="00EB3C05" w:rsidRPr="00FF673A" w14:paraId="3BA7E4DC" w14:textId="77777777" w:rsidTr="00874B2D">
        <w:tc>
          <w:tcPr>
            <w:tcW w:w="1134" w:type="dxa"/>
          </w:tcPr>
          <w:p w14:paraId="190399BE" w14:textId="77777777" w:rsidR="00EB3C05" w:rsidRPr="00FF673A" w:rsidRDefault="00EB3C05" w:rsidP="00874B2D">
            <w:pPr>
              <w:jc w:val="center"/>
              <w:rPr>
                <w:b/>
                <w:sz w:val="20"/>
                <w:szCs w:val="20"/>
                <w:lang w:val="es-ES_tradnl"/>
              </w:rPr>
            </w:pPr>
          </w:p>
        </w:tc>
        <w:tc>
          <w:tcPr>
            <w:tcW w:w="6379" w:type="dxa"/>
          </w:tcPr>
          <w:p w14:paraId="3A2DC8BB" w14:textId="77777777" w:rsidR="00EB3C05" w:rsidRPr="005214F3" w:rsidRDefault="00EB3C05" w:rsidP="00874B2D">
            <w:pPr>
              <w:rPr>
                <w:color w:val="000000" w:themeColor="text1"/>
                <w:sz w:val="20"/>
                <w:szCs w:val="20"/>
                <w:lang w:val="es-ES_tradnl"/>
              </w:rPr>
            </w:pPr>
            <w:r>
              <w:rPr>
                <w:color w:val="000000" w:themeColor="text1"/>
                <w:sz w:val="20"/>
                <w:szCs w:val="20"/>
                <w:lang w:val="es-ES_tradnl"/>
              </w:rPr>
              <w:t>Déficit operacional</w:t>
            </w:r>
          </w:p>
        </w:tc>
        <w:tc>
          <w:tcPr>
            <w:tcW w:w="2410" w:type="dxa"/>
          </w:tcPr>
          <w:p w14:paraId="097A80B2" w14:textId="77777777" w:rsidR="00EB3C05" w:rsidRDefault="00EB3C05" w:rsidP="00874B2D">
            <w:pPr>
              <w:jc w:val="right"/>
              <w:rPr>
                <w:b/>
                <w:sz w:val="20"/>
                <w:szCs w:val="20"/>
                <w:lang w:val="es-ES_tradnl"/>
              </w:rPr>
            </w:pPr>
            <w:r>
              <w:rPr>
                <w:b/>
                <w:sz w:val="20"/>
                <w:szCs w:val="20"/>
                <w:lang w:val="es-ES_tradnl"/>
              </w:rPr>
              <w:t>(18.481.731.076,33)</w:t>
            </w:r>
          </w:p>
        </w:tc>
      </w:tr>
      <w:tr w:rsidR="00EB3C05" w:rsidRPr="00FF673A" w14:paraId="77A5C855" w14:textId="77777777" w:rsidTr="00874B2D">
        <w:tc>
          <w:tcPr>
            <w:tcW w:w="1134" w:type="dxa"/>
          </w:tcPr>
          <w:p w14:paraId="3303AE9B" w14:textId="77777777" w:rsidR="00EB3C05" w:rsidRPr="00FF673A" w:rsidRDefault="00EB3C05" w:rsidP="00874B2D">
            <w:pPr>
              <w:jc w:val="center"/>
              <w:rPr>
                <w:b/>
                <w:sz w:val="20"/>
                <w:szCs w:val="20"/>
                <w:lang w:val="es-ES_tradnl"/>
              </w:rPr>
            </w:pPr>
            <w:r>
              <w:rPr>
                <w:b/>
                <w:sz w:val="20"/>
                <w:szCs w:val="20"/>
                <w:lang w:val="es-ES_tradnl"/>
              </w:rPr>
              <w:t>310900</w:t>
            </w:r>
          </w:p>
        </w:tc>
        <w:tc>
          <w:tcPr>
            <w:tcW w:w="6379" w:type="dxa"/>
          </w:tcPr>
          <w:p w14:paraId="2F4E2C41" w14:textId="77777777" w:rsidR="00EB3C05" w:rsidRPr="005214F3" w:rsidRDefault="00EB3C05" w:rsidP="00874B2D">
            <w:pPr>
              <w:rPr>
                <w:color w:val="000000" w:themeColor="text1"/>
                <w:sz w:val="20"/>
                <w:szCs w:val="20"/>
                <w:lang w:val="es-ES_tradnl"/>
              </w:rPr>
            </w:pPr>
            <w:r>
              <w:rPr>
                <w:color w:val="000000" w:themeColor="text1"/>
                <w:sz w:val="20"/>
                <w:szCs w:val="20"/>
                <w:lang w:val="es-ES_tradnl"/>
              </w:rPr>
              <w:t>Resultado de ejercicios anteriores</w:t>
            </w:r>
          </w:p>
        </w:tc>
        <w:tc>
          <w:tcPr>
            <w:tcW w:w="2410" w:type="dxa"/>
          </w:tcPr>
          <w:p w14:paraId="65047913" w14:textId="77777777" w:rsidR="00EB3C05" w:rsidRPr="00FF673A" w:rsidRDefault="00EB3C05" w:rsidP="00874B2D">
            <w:pPr>
              <w:jc w:val="right"/>
              <w:rPr>
                <w:b/>
                <w:sz w:val="20"/>
                <w:szCs w:val="20"/>
                <w:lang w:val="es-ES_tradnl"/>
              </w:rPr>
            </w:pPr>
            <w:r>
              <w:rPr>
                <w:b/>
                <w:sz w:val="20"/>
                <w:szCs w:val="20"/>
                <w:lang w:val="es-ES_tradnl"/>
              </w:rPr>
              <w:t>(27.844.200.061,73)</w:t>
            </w:r>
          </w:p>
        </w:tc>
      </w:tr>
      <w:tr w:rsidR="00EB3C05" w:rsidRPr="00FF673A" w14:paraId="4D641238" w14:textId="77777777" w:rsidTr="00874B2D">
        <w:tc>
          <w:tcPr>
            <w:tcW w:w="1134" w:type="dxa"/>
          </w:tcPr>
          <w:p w14:paraId="2E035D71" w14:textId="77777777" w:rsidR="00EB3C05" w:rsidRDefault="00EB3C05" w:rsidP="00874B2D">
            <w:pPr>
              <w:jc w:val="center"/>
              <w:rPr>
                <w:b/>
                <w:sz w:val="20"/>
                <w:szCs w:val="20"/>
                <w:lang w:val="es-ES_tradnl"/>
              </w:rPr>
            </w:pPr>
            <w:r>
              <w:rPr>
                <w:b/>
                <w:sz w:val="20"/>
                <w:szCs w:val="20"/>
                <w:lang w:val="es-ES_tradnl"/>
              </w:rPr>
              <w:t>311000</w:t>
            </w:r>
          </w:p>
        </w:tc>
        <w:tc>
          <w:tcPr>
            <w:tcW w:w="6379" w:type="dxa"/>
            <w:shd w:val="clear" w:color="auto" w:fill="auto"/>
          </w:tcPr>
          <w:p w14:paraId="52247591" w14:textId="77777777" w:rsidR="00EB3C05" w:rsidRPr="005214F3" w:rsidRDefault="00EB3C05"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5BBF1A62" w14:textId="77777777" w:rsidR="00EB3C05" w:rsidRPr="00FF673A" w:rsidRDefault="00EB3C05" w:rsidP="00874B2D">
            <w:pPr>
              <w:jc w:val="right"/>
              <w:rPr>
                <w:b/>
                <w:sz w:val="20"/>
                <w:szCs w:val="20"/>
                <w:lang w:val="es-ES_tradnl"/>
              </w:rPr>
            </w:pPr>
            <w:r>
              <w:rPr>
                <w:b/>
                <w:sz w:val="20"/>
                <w:szCs w:val="20"/>
                <w:lang w:val="es-ES_tradnl"/>
              </w:rPr>
              <w:t>(13.932.736.532,64)</w:t>
            </w:r>
          </w:p>
        </w:tc>
      </w:tr>
      <w:tr w:rsidR="00EB3C05" w:rsidRPr="00FF673A" w14:paraId="26BECD21" w14:textId="77777777" w:rsidTr="00874B2D">
        <w:tc>
          <w:tcPr>
            <w:tcW w:w="1134" w:type="dxa"/>
          </w:tcPr>
          <w:p w14:paraId="131BC869" w14:textId="77777777" w:rsidR="00EB3C05" w:rsidRPr="00FF673A" w:rsidRDefault="00EB3C05" w:rsidP="00874B2D">
            <w:pPr>
              <w:jc w:val="center"/>
              <w:rPr>
                <w:b/>
                <w:sz w:val="20"/>
                <w:szCs w:val="20"/>
                <w:lang w:val="es-ES_tradnl"/>
              </w:rPr>
            </w:pPr>
            <w:r>
              <w:rPr>
                <w:b/>
                <w:sz w:val="20"/>
                <w:szCs w:val="20"/>
                <w:lang w:val="es-ES_tradnl"/>
              </w:rPr>
              <w:t>310902</w:t>
            </w:r>
          </w:p>
        </w:tc>
        <w:tc>
          <w:tcPr>
            <w:tcW w:w="6379" w:type="dxa"/>
          </w:tcPr>
          <w:p w14:paraId="2BE4245C" w14:textId="77777777" w:rsidR="00EB3C05" w:rsidRPr="005214F3" w:rsidRDefault="00EB3C05"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6A53AA72" w14:textId="77777777" w:rsidR="00EB3C05" w:rsidRPr="00FF673A" w:rsidRDefault="00EB3C05" w:rsidP="00874B2D">
            <w:pPr>
              <w:jc w:val="right"/>
              <w:rPr>
                <w:b/>
                <w:sz w:val="20"/>
                <w:szCs w:val="20"/>
                <w:lang w:val="es-ES_tradnl"/>
              </w:rPr>
            </w:pPr>
            <w:r>
              <w:rPr>
                <w:b/>
                <w:sz w:val="20"/>
                <w:szCs w:val="20"/>
                <w:lang w:val="es-ES_tradnl"/>
              </w:rPr>
              <w:t>(37.998.960.523,01)</w:t>
            </w:r>
          </w:p>
        </w:tc>
      </w:tr>
      <w:tr w:rsidR="00EB3C05" w:rsidRPr="00FF673A" w14:paraId="7DAD2C7E" w14:textId="77777777" w:rsidTr="00874B2D">
        <w:tc>
          <w:tcPr>
            <w:tcW w:w="1134" w:type="dxa"/>
          </w:tcPr>
          <w:p w14:paraId="00D02C2E" w14:textId="77777777" w:rsidR="00EB3C05" w:rsidRPr="00542342" w:rsidRDefault="00EB3C05" w:rsidP="00874B2D">
            <w:pPr>
              <w:jc w:val="center"/>
              <w:rPr>
                <w:b/>
                <w:sz w:val="20"/>
                <w:szCs w:val="20"/>
                <w:lang w:val="es-ES_tradnl"/>
              </w:rPr>
            </w:pPr>
            <w:r>
              <w:rPr>
                <w:b/>
                <w:sz w:val="20"/>
                <w:szCs w:val="20"/>
                <w:lang w:val="es-ES_tradnl"/>
              </w:rPr>
              <w:t>138600</w:t>
            </w:r>
          </w:p>
        </w:tc>
        <w:tc>
          <w:tcPr>
            <w:tcW w:w="6379" w:type="dxa"/>
          </w:tcPr>
          <w:p w14:paraId="4D3B953C" w14:textId="77777777" w:rsidR="00EB3C05" w:rsidRPr="005214F3" w:rsidRDefault="00EB3C05"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01D9054E" w14:textId="77777777" w:rsidR="00EB3C05" w:rsidRPr="00FF673A" w:rsidRDefault="00EB3C05" w:rsidP="00874B2D">
            <w:pPr>
              <w:jc w:val="right"/>
              <w:rPr>
                <w:b/>
                <w:sz w:val="20"/>
                <w:szCs w:val="20"/>
                <w:lang w:val="es-ES_tradnl"/>
              </w:rPr>
            </w:pPr>
            <w:r>
              <w:rPr>
                <w:b/>
                <w:sz w:val="20"/>
                <w:szCs w:val="20"/>
                <w:lang w:val="es-ES_tradnl"/>
              </w:rPr>
              <w:t>(53.480.100,12)</w:t>
            </w:r>
          </w:p>
        </w:tc>
      </w:tr>
      <w:tr w:rsidR="00EB3C05" w:rsidRPr="00FF673A" w14:paraId="4BB296DB" w14:textId="77777777" w:rsidTr="00874B2D">
        <w:tc>
          <w:tcPr>
            <w:tcW w:w="1134" w:type="dxa"/>
          </w:tcPr>
          <w:p w14:paraId="7790CF97" w14:textId="77777777" w:rsidR="00EB3C05" w:rsidRPr="00542342" w:rsidRDefault="00EB3C05" w:rsidP="00874B2D">
            <w:pPr>
              <w:jc w:val="center"/>
              <w:rPr>
                <w:b/>
                <w:sz w:val="20"/>
                <w:szCs w:val="20"/>
                <w:lang w:val="es-ES_tradnl"/>
              </w:rPr>
            </w:pPr>
            <w:r>
              <w:rPr>
                <w:b/>
                <w:sz w:val="20"/>
                <w:szCs w:val="20"/>
                <w:lang w:val="es-ES_tradnl"/>
              </w:rPr>
              <w:t>163700</w:t>
            </w:r>
          </w:p>
        </w:tc>
        <w:tc>
          <w:tcPr>
            <w:tcW w:w="6379" w:type="dxa"/>
          </w:tcPr>
          <w:p w14:paraId="0978C154" w14:textId="77777777" w:rsidR="00EB3C05" w:rsidRPr="003135FB" w:rsidRDefault="00EB3C05"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789D7586" w14:textId="77777777" w:rsidR="00EB3C05" w:rsidRPr="00FF673A" w:rsidRDefault="00EB3C05" w:rsidP="00874B2D">
            <w:pPr>
              <w:jc w:val="right"/>
              <w:rPr>
                <w:b/>
                <w:sz w:val="20"/>
                <w:szCs w:val="20"/>
                <w:lang w:val="es-ES_tradnl"/>
              </w:rPr>
            </w:pPr>
            <w:r>
              <w:rPr>
                <w:b/>
                <w:sz w:val="20"/>
                <w:szCs w:val="20"/>
                <w:lang w:val="es-ES_tradnl"/>
              </w:rPr>
              <w:t>73.704.210,42</w:t>
            </w:r>
          </w:p>
        </w:tc>
      </w:tr>
      <w:tr w:rsidR="00EB3C05" w:rsidRPr="00FF673A" w14:paraId="7AD98A13" w14:textId="77777777" w:rsidTr="00874B2D">
        <w:tc>
          <w:tcPr>
            <w:tcW w:w="1134" w:type="dxa"/>
          </w:tcPr>
          <w:p w14:paraId="1D522F18" w14:textId="77777777" w:rsidR="00EB3C05" w:rsidRPr="00542342" w:rsidRDefault="00EB3C05" w:rsidP="00874B2D">
            <w:pPr>
              <w:jc w:val="center"/>
              <w:rPr>
                <w:b/>
                <w:sz w:val="20"/>
                <w:szCs w:val="20"/>
                <w:lang w:val="es-ES_tradnl"/>
              </w:rPr>
            </w:pPr>
            <w:r>
              <w:rPr>
                <w:b/>
                <w:sz w:val="20"/>
                <w:szCs w:val="20"/>
                <w:lang w:val="es-ES_tradnl"/>
              </w:rPr>
              <w:t>240720</w:t>
            </w:r>
          </w:p>
        </w:tc>
        <w:tc>
          <w:tcPr>
            <w:tcW w:w="6379" w:type="dxa"/>
          </w:tcPr>
          <w:p w14:paraId="74E575E5" w14:textId="77777777" w:rsidR="00EB3C05" w:rsidRPr="005214F3" w:rsidRDefault="00EB3C05"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21E8CBA7" w14:textId="77777777" w:rsidR="00EB3C05" w:rsidRPr="00FF673A" w:rsidRDefault="00EB3C05" w:rsidP="00874B2D">
            <w:pPr>
              <w:jc w:val="right"/>
              <w:rPr>
                <w:b/>
                <w:sz w:val="20"/>
                <w:szCs w:val="20"/>
                <w:lang w:val="es-ES_tradnl"/>
              </w:rPr>
            </w:pPr>
            <w:r>
              <w:rPr>
                <w:b/>
                <w:sz w:val="20"/>
                <w:szCs w:val="20"/>
                <w:lang w:val="es-ES_tradnl"/>
              </w:rPr>
              <w:t>2.512.380,00</w:t>
            </w:r>
          </w:p>
        </w:tc>
      </w:tr>
      <w:tr w:rsidR="00EB3C05" w:rsidRPr="00FF673A" w14:paraId="74BC3A4C" w14:textId="77777777" w:rsidTr="00874B2D">
        <w:tc>
          <w:tcPr>
            <w:tcW w:w="1134" w:type="dxa"/>
          </w:tcPr>
          <w:p w14:paraId="0692F4E4" w14:textId="77777777" w:rsidR="00EB3C05" w:rsidRPr="00542342" w:rsidRDefault="00EB3C05" w:rsidP="00874B2D">
            <w:pPr>
              <w:jc w:val="center"/>
              <w:rPr>
                <w:b/>
                <w:sz w:val="20"/>
                <w:szCs w:val="20"/>
                <w:lang w:val="es-ES_tradnl"/>
              </w:rPr>
            </w:pPr>
            <w:r>
              <w:rPr>
                <w:b/>
                <w:sz w:val="20"/>
                <w:szCs w:val="20"/>
                <w:lang w:val="es-ES_tradnl"/>
              </w:rPr>
              <w:t>242411</w:t>
            </w:r>
          </w:p>
        </w:tc>
        <w:tc>
          <w:tcPr>
            <w:tcW w:w="6379" w:type="dxa"/>
          </w:tcPr>
          <w:p w14:paraId="4EC97737" w14:textId="77777777" w:rsidR="00EB3C05" w:rsidRPr="005214F3" w:rsidRDefault="00EB3C05"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21EF4F26" w14:textId="77777777" w:rsidR="00EB3C05" w:rsidRPr="00FF673A" w:rsidRDefault="00EB3C05" w:rsidP="00874B2D">
            <w:pPr>
              <w:jc w:val="right"/>
              <w:rPr>
                <w:b/>
                <w:sz w:val="20"/>
                <w:szCs w:val="20"/>
                <w:lang w:val="es-ES_tradnl"/>
              </w:rPr>
            </w:pPr>
            <w:r>
              <w:rPr>
                <w:b/>
                <w:sz w:val="20"/>
                <w:szCs w:val="20"/>
                <w:lang w:val="es-ES_tradnl"/>
              </w:rPr>
              <w:t>10.217.511,00</w:t>
            </w:r>
          </w:p>
        </w:tc>
      </w:tr>
      <w:tr w:rsidR="00EB3C05" w:rsidRPr="00FF673A" w14:paraId="49E9EAF3" w14:textId="77777777" w:rsidTr="00874B2D">
        <w:tc>
          <w:tcPr>
            <w:tcW w:w="1134" w:type="dxa"/>
          </w:tcPr>
          <w:p w14:paraId="7415591C" w14:textId="77777777" w:rsidR="00EB3C05" w:rsidRDefault="00EB3C05" w:rsidP="00874B2D">
            <w:pPr>
              <w:jc w:val="center"/>
              <w:rPr>
                <w:b/>
                <w:sz w:val="20"/>
                <w:szCs w:val="20"/>
                <w:lang w:val="es-ES_tradnl"/>
              </w:rPr>
            </w:pPr>
            <w:r>
              <w:rPr>
                <w:b/>
                <w:sz w:val="20"/>
                <w:szCs w:val="20"/>
                <w:lang w:val="es-ES_tradnl"/>
              </w:rPr>
              <w:t>836100</w:t>
            </w:r>
          </w:p>
        </w:tc>
        <w:tc>
          <w:tcPr>
            <w:tcW w:w="6379" w:type="dxa"/>
          </w:tcPr>
          <w:p w14:paraId="72088FC3" w14:textId="77777777" w:rsidR="00EB3C05" w:rsidRPr="005214F3" w:rsidRDefault="00EB3C05"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4D803123" w14:textId="77777777" w:rsidR="00EB3C05" w:rsidRPr="00FF673A" w:rsidRDefault="00EB3C05" w:rsidP="00874B2D">
            <w:pPr>
              <w:jc w:val="right"/>
              <w:rPr>
                <w:b/>
                <w:sz w:val="20"/>
                <w:szCs w:val="20"/>
                <w:lang w:val="es-ES_tradnl"/>
              </w:rPr>
            </w:pPr>
            <w:r>
              <w:rPr>
                <w:b/>
                <w:sz w:val="20"/>
                <w:szCs w:val="20"/>
                <w:lang w:val="es-ES_tradnl"/>
              </w:rPr>
              <w:t>2.354.386,00</w:t>
            </w:r>
          </w:p>
        </w:tc>
      </w:tr>
      <w:tr w:rsidR="00EB3C05" w:rsidRPr="00FF673A" w14:paraId="39A16C32" w14:textId="77777777" w:rsidTr="00874B2D">
        <w:tc>
          <w:tcPr>
            <w:tcW w:w="1134" w:type="dxa"/>
          </w:tcPr>
          <w:p w14:paraId="2DE740F3" w14:textId="77777777" w:rsidR="00EB3C05" w:rsidRPr="00542342" w:rsidRDefault="00EB3C05" w:rsidP="00874B2D">
            <w:pPr>
              <w:jc w:val="center"/>
              <w:rPr>
                <w:b/>
                <w:sz w:val="20"/>
                <w:szCs w:val="20"/>
                <w:lang w:val="es-ES_tradnl"/>
              </w:rPr>
            </w:pPr>
            <w:r>
              <w:rPr>
                <w:b/>
                <w:sz w:val="20"/>
                <w:szCs w:val="20"/>
                <w:lang w:val="es-ES_tradnl"/>
              </w:rPr>
              <w:t>912000</w:t>
            </w:r>
          </w:p>
        </w:tc>
        <w:tc>
          <w:tcPr>
            <w:tcW w:w="6379" w:type="dxa"/>
          </w:tcPr>
          <w:p w14:paraId="1BB3677F" w14:textId="77777777" w:rsidR="00EB3C05" w:rsidRPr="005214F3" w:rsidRDefault="00EB3C05"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4C9635F9" w14:textId="77777777" w:rsidR="00EB3C05" w:rsidRPr="00FF673A" w:rsidRDefault="00EB3C05" w:rsidP="00874B2D">
            <w:pPr>
              <w:jc w:val="right"/>
              <w:rPr>
                <w:b/>
                <w:sz w:val="20"/>
                <w:szCs w:val="20"/>
                <w:lang w:val="es-ES_tradnl"/>
              </w:rPr>
            </w:pPr>
            <w:r>
              <w:rPr>
                <w:b/>
                <w:sz w:val="20"/>
                <w:szCs w:val="20"/>
                <w:lang w:val="es-ES_tradnl"/>
              </w:rPr>
              <w:t>370.602.319.779,00</w:t>
            </w:r>
          </w:p>
        </w:tc>
      </w:tr>
    </w:tbl>
    <w:p w14:paraId="00C092BC" w14:textId="77777777" w:rsidR="00EB3C05" w:rsidRDefault="00EB3C05" w:rsidP="00EB3C05">
      <w:pPr>
        <w:pStyle w:val="Textoindependiente"/>
        <w:jc w:val="both"/>
        <w:rPr>
          <w:b/>
          <w:sz w:val="28"/>
          <w:szCs w:val="28"/>
        </w:rPr>
      </w:pPr>
    </w:p>
    <w:p w14:paraId="76C9DE3B" w14:textId="77777777" w:rsidR="00EB3C05" w:rsidRDefault="00EB3C05" w:rsidP="00EB3C05">
      <w:pPr>
        <w:jc w:val="both"/>
        <w:rPr>
          <w:b/>
          <w:sz w:val="28"/>
          <w:szCs w:val="28"/>
          <w:lang w:val="es-MX"/>
        </w:rPr>
      </w:pPr>
      <w:r>
        <w:rPr>
          <w:b/>
          <w:sz w:val="28"/>
          <w:szCs w:val="28"/>
          <w:lang w:val="es-MX"/>
        </w:rPr>
        <w:t>- Saldos a 31 de diciembre de 2024 de la SUBCUENTA OTROS 000090:</w:t>
      </w:r>
    </w:p>
    <w:p w14:paraId="395F7685" w14:textId="77777777" w:rsidR="00EB3C05" w:rsidRDefault="00EB3C05" w:rsidP="00EB3C05">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EB3C05" w:rsidRPr="00FF673A" w14:paraId="22B534DF" w14:textId="77777777" w:rsidTr="00874B2D">
        <w:tc>
          <w:tcPr>
            <w:tcW w:w="1134" w:type="dxa"/>
          </w:tcPr>
          <w:p w14:paraId="1E529FB7" w14:textId="77777777" w:rsidR="00EB3C05" w:rsidRPr="00FF673A" w:rsidRDefault="00EB3C05" w:rsidP="00874B2D">
            <w:pPr>
              <w:jc w:val="center"/>
              <w:rPr>
                <w:b/>
                <w:sz w:val="20"/>
                <w:szCs w:val="20"/>
                <w:lang w:val="es-ES_tradnl"/>
              </w:rPr>
            </w:pPr>
            <w:r w:rsidRPr="00FF673A">
              <w:rPr>
                <w:b/>
                <w:sz w:val="20"/>
                <w:szCs w:val="20"/>
                <w:lang w:val="es-ES_tradnl"/>
              </w:rPr>
              <w:t>CÓDIGO</w:t>
            </w:r>
          </w:p>
        </w:tc>
        <w:tc>
          <w:tcPr>
            <w:tcW w:w="6379" w:type="dxa"/>
          </w:tcPr>
          <w:p w14:paraId="62C5E953" w14:textId="77777777" w:rsidR="00EB3C05" w:rsidRPr="00FF673A" w:rsidRDefault="00EB3C05" w:rsidP="00874B2D">
            <w:pPr>
              <w:jc w:val="center"/>
              <w:rPr>
                <w:b/>
                <w:sz w:val="20"/>
                <w:szCs w:val="20"/>
                <w:lang w:val="es-ES_tradnl"/>
              </w:rPr>
            </w:pPr>
            <w:r w:rsidRPr="00FF673A">
              <w:rPr>
                <w:b/>
                <w:sz w:val="20"/>
                <w:szCs w:val="20"/>
                <w:lang w:val="es-ES_tradnl"/>
              </w:rPr>
              <w:t>NOMBRE CUENTA</w:t>
            </w:r>
          </w:p>
        </w:tc>
        <w:tc>
          <w:tcPr>
            <w:tcW w:w="2410" w:type="dxa"/>
          </w:tcPr>
          <w:p w14:paraId="5D94F7AE" w14:textId="77777777" w:rsidR="00EB3C05" w:rsidRPr="00FF673A" w:rsidRDefault="00EB3C05" w:rsidP="00874B2D">
            <w:pPr>
              <w:jc w:val="center"/>
              <w:rPr>
                <w:b/>
                <w:sz w:val="20"/>
                <w:szCs w:val="20"/>
                <w:lang w:val="es-ES_tradnl"/>
              </w:rPr>
            </w:pPr>
            <w:r w:rsidRPr="00FF673A">
              <w:rPr>
                <w:b/>
                <w:sz w:val="20"/>
                <w:szCs w:val="20"/>
                <w:lang w:val="es-ES_tradnl"/>
              </w:rPr>
              <w:t xml:space="preserve">SALDO A </w:t>
            </w:r>
          </w:p>
          <w:p w14:paraId="36EEC8F2" w14:textId="77777777" w:rsidR="00EB3C05" w:rsidRPr="00FF673A" w:rsidRDefault="00EB3C05"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019FB3A0" w14:textId="77777777" w:rsidR="00EB3C05" w:rsidRDefault="00EB3C05" w:rsidP="00874B2D">
            <w:pPr>
              <w:jc w:val="center"/>
              <w:rPr>
                <w:b/>
                <w:sz w:val="20"/>
                <w:szCs w:val="20"/>
                <w:lang w:val="es-ES_tradnl"/>
              </w:rPr>
            </w:pPr>
            <w:r>
              <w:rPr>
                <w:b/>
                <w:sz w:val="20"/>
                <w:szCs w:val="20"/>
                <w:lang w:val="es-ES_tradnl"/>
              </w:rPr>
              <w:t>(Pesos)</w:t>
            </w:r>
          </w:p>
          <w:p w14:paraId="66BAAE14" w14:textId="77777777" w:rsidR="00EB3C05" w:rsidRPr="00FF673A" w:rsidRDefault="00EB3C05" w:rsidP="00874B2D">
            <w:pPr>
              <w:jc w:val="center"/>
              <w:rPr>
                <w:b/>
                <w:sz w:val="20"/>
                <w:szCs w:val="20"/>
                <w:lang w:val="es-ES_tradnl"/>
              </w:rPr>
            </w:pPr>
          </w:p>
        </w:tc>
      </w:tr>
      <w:tr w:rsidR="00EB3C05" w:rsidRPr="00FF673A" w14:paraId="4D5D71BD" w14:textId="77777777" w:rsidTr="00874B2D">
        <w:tc>
          <w:tcPr>
            <w:tcW w:w="1134" w:type="dxa"/>
          </w:tcPr>
          <w:p w14:paraId="1CBA1AC4" w14:textId="77777777" w:rsidR="00EB3C05" w:rsidRPr="00FF673A" w:rsidRDefault="00EB3C05" w:rsidP="00874B2D">
            <w:pPr>
              <w:jc w:val="center"/>
              <w:rPr>
                <w:b/>
                <w:sz w:val="20"/>
                <w:szCs w:val="20"/>
                <w:lang w:val="es-ES_tradnl"/>
              </w:rPr>
            </w:pPr>
            <w:r>
              <w:rPr>
                <w:b/>
                <w:sz w:val="20"/>
                <w:szCs w:val="20"/>
                <w:lang w:val="es-ES_tradnl"/>
              </w:rPr>
              <w:t>138690</w:t>
            </w:r>
          </w:p>
        </w:tc>
        <w:tc>
          <w:tcPr>
            <w:tcW w:w="6379" w:type="dxa"/>
          </w:tcPr>
          <w:p w14:paraId="2AA19D2F" w14:textId="77777777" w:rsidR="00EB3C05" w:rsidRPr="005E55B4" w:rsidRDefault="00EB3C05" w:rsidP="00874B2D">
            <w:pPr>
              <w:rPr>
                <w:sz w:val="20"/>
                <w:szCs w:val="20"/>
                <w:lang w:val="es-ES_tradnl"/>
              </w:rPr>
            </w:pPr>
            <w:r w:rsidRPr="008E60F7">
              <w:rPr>
                <w:sz w:val="20"/>
                <w:szCs w:val="20"/>
                <w:lang w:val="es-ES_tradnl"/>
              </w:rPr>
              <w:t>Otr</w:t>
            </w:r>
            <w:r>
              <w:rPr>
                <w:sz w:val="20"/>
                <w:szCs w:val="20"/>
                <w:lang w:val="es-ES_tradnl"/>
              </w:rPr>
              <w:t>as cuentas por pagar</w:t>
            </w:r>
          </w:p>
        </w:tc>
        <w:tc>
          <w:tcPr>
            <w:tcW w:w="2410" w:type="dxa"/>
          </w:tcPr>
          <w:p w14:paraId="1517CE99" w14:textId="77777777" w:rsidR="00EB3C05" w:rsidRPr="00FF673A" w:rsidRDefault="00EB3C05" w:rsidP="00874B2D">
            <w:pPr>
              <w:jc w:val="right"/>
              <w:rPr>
                <w:b/>
                <w:sz w:val="20"/>
                <w:szCs w:val="20"/>
                <w:lang w:val="es-ES_tradnl"/>
              </w:rPr>
            </w:pPr>
            <w:r>
              <w:rPr>
                <w:b/>
                <w:sz w:val="20"/>
                <w:szCs w:val="20"/>
                <w:lang w:val="es-ES_tradnl"/>
              </w:rPr>
              <w:t>(53.480.100,12)</w:t>
            </w:r>
          </w:p>
        </w:tc>
      </w:tr>
      <w:tr w:rsidR="00EB3C05" w:rsidRPr="00FF673A" w14:paraId="5F4DCFBE" w14:textId="77777777" w:rsidTr="00874B2D">
        <w:tc>
          <w:tcPr>
            <w:tcW w:w="1134" w:type="dxa"/>
          </w:tcPr>
          <w:p w14:paraId="14E1354E" w14:textId="77777777" w:rsidR="00EB3C05" w:rsidRPr="00FF673A" w:rsidRDefault="00EB3C05" w:rsidP="00874B2D">
            <w:pPr>
              <w:jc w:val="center"/>
              <w:rPr>
                <w:b/>
                <w:sz w:val="20"/>
                <w:szCs w:val="20"/>
                <w:lang w:val="es-ES_tradnl"/>
              </w:rPr>
            </w:pPr>
            <w:r>
              <w:rPr>
                <w:b/>
                <w:sz w:val="20"/>
                <w:szCs w:val="20"/>
                <w:lang w:val="es-ES_tradnl"/>
              </w:rPr>
              <w:t>240790</w:t>
            </w:r>
          </w:p>
        </w:tc>
        <w:tc>
          <w:tcPr>
            <w:tcW w:w="6379" w:type="dxa"/>
          </w:tcPr>
          <w:p w14:paraId="1EC6BC6B" w14:textId="77777777" w:rsidR="00EB3C05" w:rsidRPr="005E55B4" w:rsidRDefault="00EB3C05" w:rsidP="00874B2D">
            <w:pPr>
              <w:rPr>
                <w:sz w:val="20"/>
                <w:szCs w:val="20"/>
                <w:lang w:val="es-ES_tradnl"/>
              </w:rPr>
            </w:pPr>
            <w:r>
              <w:rPr>
                <w:sz w:val="20"/>
                <w:szCs w:val="20"/>
                <w:lang w:val="es-ES_tradnl"/>
              </w:rPr>
              <w:t>Otros recursos a favor de terceros</w:t>
            </w:r>
          </w:p>
        </w:tc>
        <w:tc>
          <w:tcPr>
            <w:tcW w:w="2410" w:type="dxa"/>
          </w:tcPr>
          <w:p w14:paraId="4937087F" w14:textId="77777777" w:rsidR="00EB3C05" w:rsidRPr="00FF673A" w:rsidRDefault="00EB3C05" w:rsidP="00874B2D">
            <w:pPr>
              <w:jc w:val="right"/>
              <w:rPr>
                <w:b/>
                <w:sz w:val="20"/>
                <w:szCs w:val="20"/>
                <w:lang w:val="es-ES_tradnl"/>
              </w:rPr>
            </w:pPr>
            <w:r>
              <w:rPr>
                <w:b/>
                <w:sz w:val="20"/>
                <w:szCs w:val="20"/>
                <w:lang w:val="es-ES_tradnl"/>
              </w:rPr>
              <w:t>1.400.450,00</w:t>
            </w:r>
          </w:p>
        </w:tc>
      </w:tr>
      <w:tr w:rsidR="00EB3C05" w:rsidRPr="00FF673A" w14:paraId="65BA9136" w14:textId="77777777" w:rsidTr="00874B2D">
        <w:tc>
          <w:tcPr>
            <w:tcW w:w="1134" w:type="dxa"/>
          </w:tcPr>
          <w:p w14:paraId="4727A389" w14:textId="77777777" w:rsidR="00EB3C05" w:rsidRPr="00FF673A" w:rsidRDefault="00EB3C05" w:rsidP="00874B2D">
            <w:pPr>
              <w:jc w:val="center"/>
              <w:rPr>
                <w:b/>
                <w:sz w:val="20"/>
                <w:szCs w:val="20"/>
                <w:lang w:val="es-ES_tradnl"/>
              </w:rPr>
            </w:pPr>
            <w:r>
              <w:rPr>
                <w:b/>
                <w:sz w:val="20"/>
                <w:szCs w:val="20"/>
                <w:lang w:val="es-ES_tradnl"/>
              </w:rPr>
              <w:t>243690</w:t>
            </w:r>
          </w:p>
        </w:tc>
        <w:tc>
          <w:tcPr>
            <w:tcW w:w="6379" w:type="dxa"/>
          </w:tcPr>
          <w:p w14:paraId="56B98DBE" w14:textId="77777777" w:rsidR="00EB3C05" w:rsidRPr="005E55B4" w:rsidRDefault="00EB3C05" w:rsidP="00874B2D">
            <w:pPr>
              <w:rPr>
                <w:sz w:val="20"/>
                <w:szCs w:val="20"/>
                <w:lang w:val="es-ES_tradnl"/>
              </w:rPr>
            </w:pPr>
            <w:r>
              <w:rPr>
                <w:sz w:val="20"/>
                <w:szCs w:val="20"/>
                <w:lang w:val="es-ES_tradnl"/>
              </w:rPr>
              <w:t xml:space="preserve">Otras retenciones </w:t>
            </w:r>
          </w:p>
        </w:tc>
        <w:tc>
          <w:tcPr>
            <w:tcW w:w="2410" w:type="dxa"/>
          </w:tcPr>
          <w:p w14:paraId="277F9D19" w14:textId="77777777" w:rsidR="00EB3C05" w:rsidRPr="00FF673A" w:rsidRDefault="00EB3C05" w:rsidP="00874B2D">
            <w:pPr>
              <w:jc w:val="right"/>
              <w:rPr>
                <w:b/>
                <w:sz w:val="20"/>
                <w:szCs w:val="20"/>
                <w:lang w:val="es-ES_tradnl"/>
              </w:rPr>
            </w:pPr>
            <w:r>
              <w:rPr>
                <w:b/>
                <w:sz w:val="20"/>
                <w:szCs w:val="20"/>
                <w:lang w:val="es-ES_tradnl"/>
              </w:rPr>
              <w:t>525.981,00</w:t>
            </w:r>
          </w:p>
        </w:tc>
      </w:tr>
      <w:tr w:rsidR="00EB3C05" w:rsidRPr="00FF673A" w14:paraId="523CD915" w14:textId="77777777" w:rsidTr="00874B2D">
        <w:tc>
          <w:tcPr>
            <w:tcW w:w="1134" w:type="dxa"/>
          </w:tcPr>
          <w:p w14:paraId="4161A93F" w14:textId="77777777" w:rsidR="00EB3C05" w:rsidRPr="00FF673A" w:rsidRDefault="00EB3C05" w:rsidP="00874B2D">
            <w:pPr>
              <w:jc w:val="center"/>
              <w:rPr>
                <w:b/>
                <w:sz w:val="20"/>
                <w:szCs w:val="20"/>
                <w:lang w:val="es-ES_tradnl"/>
              </w:rPr>
            </w:pPr>
            <w:r>
              <w:rPr>
                <w:b/>
                <w:sz w:val="20"/>
                <w:szCs w:val="20"/>
                <w:lang w:val="es-ES_tradnl"/>
              </w:rPr>
              <w:t>510790</w:t>
            </w:r>
          </w:p>
        </w:tc>
        <w:tc>
          <w:tcPr>
            <w:tcW w:w="6379" w:type="dxa"/>
          </w:tcPr>
          <w:p w14:paraId="5AA6AD8D" w14:textId="77777777" w:rsidR="00EB3C05" w:rsidRPr="005E55B4" w:rsidRDefault="00EB3C05" w:rsidP="00874B2D">
            <w:pPr>
              <w:rPr>
                <w:sz w:val="20"/>
                <w:szCs w:val="20"/>
                <w:lang w:val="es-ES_tradnl"/>
              </w:rPr>
            </w:pPr>
            <w:r>
              <w:rPr>
                <w:sz w:val="20"/>
                <w:szCs w:val="20"/>
                <w:lang w:val="es-ES_tradnl"/>
              </w:rPr>
              <w:t>Otras primas</w:t>
            </w:r>
          </w:p>
        </w:tc>
        <w:tc>
          <w:tcPr>
            <w:tcW w:w="2410" w:type="dxa"/>
          </w:tcPr>
          <w:p w14:paraId="475CE7FE" w14:textId="77777777" w:rsidR="00EB3C05" w:rsidRPr="00FF673A" w:rsidRDefault="00EB3C05" w:rsidP="00874B2D">
            <w:pPr>
              <w:jc w:val="right"/>
              <w:rPr>
                <w:b/>
                <w:sz w:val="20"/>
                <w:szCs w:val="20"/>
                <w:lang w:val="es-ES_tradnl"/>
              </w:rPr>
            </w:pPr>
            <w:r>
              <w:rPr>
                <w:b/>
                <w:sz w:val="20"/>
                <w:szCs w:val="20"/>
                <w:lang w:val="es-ES_tradnl"/>
              </w:rPr>
              <w:t>400.880.089,00</w:t>
            </w:r>
          </w:p>
        </w:tc>
      </w:tr>
      <w:tr w:rsidR="00EB3C05" w:rsidRPr="00FF673A" w14:paraId="07298CEF" w14:textId="77777777" w:rsidTr="00874B2D">
        <w:tc>
          <w:tcPr>
            <w:tcW w:w="1134" w:type="dxa"/>
          </w:tcPr>
          <w:p w14:paraId="0360E45B" w14:textId="77777777" w:rsidR="00EB3C05" w:rsidRPr="00FF673A" w:rsidRDefault="00EB3C05" w:rsidP="00874B2D">
            <w:pPr>
              <w:jc w:val="center"/>
              <w:rPr>
                <w:b/>
                <w:sz w:val="20"/>
                <w:szCs w:val="20"/>
                <w:lang w:val="es-ES_tradnl"/>
              </w:rPr>
            </w:pPr>
            <w:r>
              <w:rPr>
                <w:b/>
                <w:sz w:val="20"/>
                <w:szCs w:val="20"/>
                <w:lang w:val="es-ES_tradnl"/>
              </w:rPr>
              <w:t>511190</w:t>
            </w:r>
          </w:p>
        </w:tc>
        <w:tc>
          <w:tcPr>
            <w:tcW w:w="6379" w:type="dxa"/>
          </w:tcPr>
          <w:p w14:paraId="372535D9" w14:textId="77777777" w:rsidR="00EB3C05" w:rsidRPr="005E55B4" w:rsidRDefault="00EB3C05" w:rsidP="00874B2D">
            <w:pPr>
              <w:rPr>
                <w:sz w:val="20"/>
                <w:szCs w:val="20"/>
                <w:lang w:val="es-ES_tradnl"/>
              </w:rPr>
            </w:pPr>
            <w:r>
              <w:rPr>
                <w:sz w:val="20"/>
                <w:szCs w:val="20"/>
                <w:lang w:val="es-ES_tradnl"/>
              </w:rPr>
              <w:t>Otros gastos generales</w:t>
            </w:r>
          </w:p>
        </w:tc>
        <w:tc>
          <w:tcPr>
            <w:tcW w:w="2410" w:type="dxa"/>
          </w:tcPr>
          <w:p w14:paraId="298FA7EA" w14:textId="77777777" w:rsidR="00EB3C05" w:rsidRPr="00FF673A" w:rsidRDefault="00EB3C05" w:rsidP="00874B2D">
            <w:pPr>
              <w:jc w:val="right"/>
              <w:rPr>
                <w:b/>
                <w:sz w:val="20"/>
                <w:szCs w:val="20"/>
                <w:lang w:val="es-ES_tradnl"/>
              </w:rPr>
            </w:pPr>
            <w:r>
              <w:rPr>
                <w:b/>
                <w:sz w:val="20"/>
                <w:szCs w:val="20"/>
                <w:lang w:val="es-ES_tradnl"/>
              </w:rPr>
              <w:t>15.158.101,38</w:t>
            </w:r>
          </w:p>
        </w:tc>
      </w:tr>
      <w:tr w:rsidR="00EB3C05" w:rsidRPr="00FF673A" w14:paraId="1F6DD706" w14:textId="77777777" w:rsidTr="00874B2D">
        <w:tc>
          <w:tcPr>
            <w:tcW w:w="1134" w:type="dxa"/>
          </w:tcPr>
          <w:p w14:paraId="601066E4" w14:textId="77777777" w:rsidR="00EB3C05" w:rsidRPr="00FF673A" w:rsidRDefault="00EB3C05" w:rsidP="00874B2D">
            <w:pPr>
              <w:jc w:val="center"/>
              <w:rPr>
                <w:b/>
                <w:sz w:val="20"/>
                <w:szCs w:val="20"/>
                <w:lang w:val="es-ES_tradnl"/>
              </w:rPr>
            </w:pPr>
            <w:r>
              <w:rPr>
                <w:b/>
                <w:sz w:val="20"/>
                <w:szCs w:val="20"/>
                <w:lang w:val="es-ES_tradnl"/>
              </w:rPr>
              <w:t>534790</w:t>
            </w:r>
          </w:p>
        </w:tc>
        <w:tc>
          <w:tcPr>
            <w:tcW w:w="6379" w:type="dxa"/>
          </w:tcPr>
          <w:p w14:paraId="70483043" w14:textId="77777777" w:rsidR="00EB3C05" w:rsidRPr="005E55B4" w:rsidRDefault="00EB3C05" w:rsidP="00874B2D">
            <w:pPr>
              <w:rPr>
                <w:sz w:val="20"/>
                <w:szCs w:val="20"/>
                <w:lang w:val="es-ES_tradnl"/>
              </w:rPr>
            </w:pPr>
            <w:r>
              <w:rPr>
                <w:sz w:val="20"/>
                <w:szCs w:val="20"/>
                <w:lang w:val="es-ES_tradnl"/>
              </w:rPr>
              <w:t>Otras cuentas por cobrar</w:t>
            </w:r>
          </w:p>
        </w:tc>
        <w:tc>
          <w:tcPr>
            <w:tcW w:w="2410" w:type="dxa"/>
          </w:tcPr>
          <w:p w14:paraId="1C7068B6" w14:textId="77777777" w:rsidR="00EB3C05" w:rsidRPr="00FF673A" w:rsidRDefault="00EB3C05" w:rsidP="00874B2D">
            <w:pPr>
              <w:jc w:val="right"/>
              <w:rPr>
                <w:b/>
                <w:sz w:val="20"/>
                <w:szCs w:val="20"/>
                <w:lang w:val="es-ES_tradnl"/>
              </w:rPr>
            </w:pPr>
            <w:r>
              <w:rPr>
                <w:b/>
                <w:sz w:val="20"/>
                <w:szCs w:val="20"/>
                <w:lang w:val="es-ES_tradnl"/>
              </w:rPr>
              <w:t>11.415.419,06</w:t>
            </w:r>
          </w:p>
        </w:tc>
      </w:tr>
      <w:tr w:rsidR="00EB3C05" w:rsidRPr="00FF673A" w14:paraId="18841F54" w14:textId="77777777" w:rsidTr="00874B2D">
        <w:tc>
          <w:tcPr>
            <w:tcW w:w="1134" w:type="dxa"/>
          </w:tcPr>
          <w:p w14:paraId="53DED0E7" w14:textId="77777777" w:rsidR="00EB3C05" w:rsidRPr="00FF673A" w:rsidRDefault="00EB3C05" w:rsidP="00874B2D">
            <w:pPr>
              <w:jc w:val="center"/>
              <w:rPr>
                <w:b/>
                <w:sz w:val="20"/>
                <w:szCs w:val="20"/>
                <w:lang w:val="es-ES_tradnl"/>
              </w:rPr>
            </w:pPr>
            <w:r>
              <w:rPr>
                <w:b/>
                <w:sz w:val="20"/>
                <w:szCs w:val="20"/>
                <w:lang w:val="es-ES_tradnl"/>
              </w:rPr>
              <w:t>839090</w:t>
            </w:r>
          </w:p>
        </w:tc>
        <w:tc>
          <w:tcPr>
            <w:tcW w:w="6379" w:type="dxa"/>
          </w:tcPr>
          <w:p w14:paraId="260111F3" w14:textId="77777777" w:rsidR="00EB3C05" w:rsidRPr="005E55B4" w:rsidRDefault="00EB3C05" w:rsidP="00874B2D">
            <w:pPr>
              <w:rPr>
                <w:sz w:val="20"/>
                <w:szCs w:val="20"/>
                <w:lang w:val="es-ES_tradnl"/>
              </w:rPr>
            </w:pPr>
            <w:r>
              <w:rPr>
                <w:sz w:val="20"/>
                <w:szCs w:val="20"/>
                <w:lang w:val="es-ES_tradnl"/>
              </w:rPr>
              <w:t>Otras cuentas deudoras de control</w:t>
            </w:r>
          </w:p>
        </w:tc>
        <w:tc>
          <w:tcPr>
            <w:tcW w:w="2410" w:type="dxa"/>
          </w:tcPr>
          <w:p w14:paraId="121A5D90" w14:textId="77777777" w:rsidR="00EB3C05" w:rsidRPr="00FF673A" w:rsidRDefault="00EB3C05" w:rsidP="00874B2D">
            <w:pPr>
              <w:jc w:val="right"/>
              <w:rPr>
                <w:b/>
                <w:sz w:val="20"/>
                <w:szCs w:val="20"/>
                <w:lang w:val="es-ES_tradnl"/>
              </w:rPr>
            </w:pPr>
            <w:r>
              <w:rPr>
                <w:b/>
                <w:sz w:val="20"/>
                <w:szCs w:val="20"/>
                <w:lang w:val="es-ES_tradnl"/>
              </w:rPr>
              <w:t>11.322.716.934,03</w:t>
            </w:r>
          </w:p>
        </w:tc>
      </w:tr>
      <w:tr w:rsidR="00EB3C05" w:rsidRPr="00FF673A" w14:paraId="3B0A7F33" w14:textId="77777777" w:rsidTr="00874B2D">
        <w:tc>
          <w:tcPr>
            <w:tcW w:w="1134" w:type="dxa"/>
          </w:tcPr>
          <w:p w14:paraId="1FB28DF8" w14:textId="77777777" w:rsidR="00EB3C05" w:rsidRPr="00FF673A" w:rsidRDefault="00EB3C05" w:rsidP="00874B2D">
            <w:pPr>
              <w:jc w:val="center"/>
              <w:rPr>
                <w:b/>
                <w:sz w:val="20"/>
                <w:szCs w:val="20"/>
                <w:lang w:val="es-ES_tradnl"/>
              </w:rPr>
            </w:pPr>
            <w:r>
              <w:rPr>
                <w:b/>
                <w:sz w:val="20"/>
                <w:szCs w:val="20"/>
                <w:lang w:val="es-ES_tradnl"/>
              </w:rPr>
              <w:t>891590</w:t>
            </w:r>
          </w:p>
        </w:tc>
        <w:tc>
          <w:tcPr>
            <w:tcW w:w="6379" w:type="dxa"/>
          </w:tcPr>
          <w:p w14:paraId="1FFD1C44" w14:textId="77777777" w:rsidR="00EB3C05" w:rsidRPr="005E55B4" w:rsidRDefault="00EB3C05" w:rsidP="00874B2D">
            <w:pPr>
              <w:rPr>
                <w:sz w:val="20"/>
                <w:szCs w:val="20"/>
                <w:lang w:val="es-ES_tradnl"/>
              </w:rPr>
            </w:pPr>
            <w:r>
              <w:rPr>
                <w:sz w:val="20"/>
                <w:szCs w:val="20"/>
                <w:lang w:val="es-ES_tradnl"/>
              </w:rPr>
              <w:t>Otras cuentas deudoras de control por contra</w:t>
            </w:r>
          </w:p>
        </w:tc>
        <w:tc>
          <w:tcPr>
            <w:tcW w:w="2410" w:type="dxa"/>
          </w:tcPr>
          <w:p w14:paraId="4C3226E2" w14:textId="77777777" w:rsidR="00EB3C05" w:rsidRPr="00FF673A" w:rsidRDefault="00EB3C05" w:rsidP="00874B2D">
            <w:pPr>
              <w:jc w:val="right"/>
              <w:rPr>
                <w:b/>
                <w:sz w:val="20"/>
                <w:szCs w:val="20"/>
                <w:lang w:val="es-ES_tradnl"/>
              </w:rPr>
            </w:pPr>
            <w:r>
              <w:rPr>
                <w:b/>
                <w:sz w:val="20"/>
                <w:szCs w:val="20"/>
                <w:lang w:val="es-ES_tradnl"/>
              </w:rPr>
              <w:t>(11.322.716.934,03)</w:t>
            </w:r>
          </w:p>
        </w:tc>
      </w:tr>
    </w:tbl>
    <w:p w14:paraId="1CBE8BDD" w14:textId="77777777" w:rsidR="00EB3C05" w:rsidRDefault="00EB3C05" w:rsidP="00EB3C05">
      <w:pPr>
        <w:pStyle w:val="Textoindependiente"/>
        <w:jc w:val="both"/>
        <w:rPr>
          <w:bCs/>
        </w:rPr>
      </w:pPr>
    </w:p>
    <w:p w14:paraId="550869F0" w14:textId="77777777" w:rsidR="00EB3C05" w:rsidRPr="006E6FC2" w:rsidRDefault="00EB3C05" w:rsidP="00EB3C05">
      <w:pPr>
        <w:pStyle w:val="Textoindependiente"/>
        <w:jc w:val="both"/>
        <w:rPr>
          <w:b/>
        </w:rPr>
      </w:pPr>
      <w:r>
        <w:rPr>
          <w:b/>
        </w:rPr>
        <w:t>-</w:t>
      </w:r>
      <w:r w:rsidRPr="006E6FC2">
        <w:rPr>
          <w:b/>
        </w:rPr>
        <w:t>1.2 Declaración de cumplimiento del marco normativo y limitaciones</w:t>
      </w:r>
    </w:p>
    <w:p w14:paraId="3ED4EF0F" w14:textId="77777777" w:rsidR="00EB3C05" w:rsidRPr="006E6FC2" w:rsidRDefault="00EB3C05" w:rsidP="00EB3C05">
      <w:pPr>
        <w:pStyle w:val="Textoindependiente"/>
        <w:jc w:val="both"/>
        <w:rPr>
          <w:b/>
        </w:rPr>
      </w:pPr>
    </w:p>
    <w:p w14:paraId="09E3E83F" w14:textId="77777777" w:rsidR="00EB3C05" w:rsidRPr="006E6FC2" w:rsidRDefault="00EB3C05" w:rsidP="00EB3C05">
      <w:pPr>
        <w:pStyle w:val="Textoindependiente"/>
        <w:jc w:val="both"/>
        <w:rPr>
          <w:b/>
        </w:rPr>
      </w:pPr>
      <w:r w:rsidRPr="006E6FC2">
        <w:rPr>
          <w:b/>
        </w:rPr>
        <w:t xml:space="preserve">1.2.3 Limitaciones y deficiencias que tienen efectos en el Sistema Contable. </w:t>
      </w:r>
    </w:p>
    <w:p w14:paraId="07516B8B" w14:textId="77777777" w:rsidR="00EB3C05" w:rsidRDefault="00EB3C05" w:rsidP="00EB3C05">
      <w:pPr>
        <w:pStyle w:val="Textoindependiente"/>
        <w:jc w:val="both"/>
        <w:rPr>
          <w:bCs/>
        </w:rPr>
      </w:pPr>
    </w:p>
    <w:p w14:paraId="59975EE1" w14:textId="77777777" w:rsidR="00EB3C05" w:rsidRDefault="00EB3C05" w:rsidP="00EB3C05">
      <w:pPr>
        <w:pStyle w:val="Textoindependiente"/>
        <w:jc w:val="both"/>
        <w:rPr>
          <w:bCs/>
        </w:rPr>
      </w:pPr>
      <w:r w:rsidRPr="006E6FC2">
        <w:rPr>
          <w:bCs/>
        </w:rPr>
        <w:t>SIIF Nación presenta las siguientes limitaciones que pueden afectar la oportunidad en la gestión contable:</w:t>
      </w:r>
    </w:p>
    <w:p w14:paraId="1F1FBE19" w14:textId="77777777" w:rsidR="00EB3C05" w:rsidRDefault="00EB3C05" w:rsidP="00EB3C05">
      <w:pPr>
        <w:pStyle w:val="Textoindependiente"/>
        <w:jc w:val="both"/>
        <w:rPr>
          <w:bCs/>
        </w:rPr>
      </w:pPr>
    </w:p>
    <w:p w14:paraId="1FCC8F30" w14:textId="77777777" w:rsidR="00EB3C05" w:rsidRDefault="00EB3C05" w:rsidP="00EB3C05">
      <w:pPr>
        <w:pStyle w:val="Textoindependiente"/>
        <w:jc w:val="both"/>
        <w:rPr>
          <w:bCs/>
        </w:rPr>
      </w:pPr>
      <w:r w:rsidRPr="006E6FC2">
        <w:rPr>
          <w:bCs/>
        </w:rPr>
        <w:t xml:space="preserve"> - </w:t>
      </w:r>
      <w:r w:rsidRPr="006E6FC2">
        <w:rPr>
          <w:b/>
        </w:rPr>
        <w:t>Generación de reportes</w:t>
      </w:r>
      <w:r w:rsidRPr="006E6FC2">
        <w:rPr>
          <w:bCs/>
        </w:rPr>
        <w:t>: Al estar predefinidos los reportes existe una dificultad en la interpretación y análisis de la información contable.</w:t>
      </w:r>
    </w:p>
    <w:p w14:paraId="059DF092" w14:textId="77777777" w:rsidR="00EB3C05" w:rsidRDefault="00EB3C05" w:rsidP="00EB3C05">
      <w:pPr>
        <w:pStyle w:val="Textoindependiente"/>
        <w:jc w:val="both"/>
        <w:rPr>
          <w:bCs/>
        </w:rPr>
      </w:pPr>
    </w:p>
    <w:p w14:paraId="1722B322" w14:textId="77777777" w:rsidR="00EB3C05" w:rsidRDefault="00EB3C05" w:rsidP="00EB3C05">
      <w:pPr>
        <w:pStyle w:val="Textoindependiente"/>
        <w:jc w:val="both"/>
        <w:rPr>
          <w:bCs/>
        </w:rPr>
      </w:pPr>
      <w:r w:rsidRPr="006E6FC2">
        <w:rPr>
          <w:bCs/>
        </w:rPr>
        <w:t xml:space="preserve"> - </w:t>
      </w:r>
      <w:r w:rsidRPr="001C0409">
        <w:rPr>
          <w:b/>
        </w:rPr>
        <w:t>Visualización de las facturas electrónicas</w:t>
      </w:r>
      <w:r w:rsidRPr="006E6FC2">
        <w:rPr>
          <w:bCs/>
        </w:rPr>
        <w:t>: En la vigencia 2021, SIIF Nación implementó en su flujo de información la facturación electrónica según lineamientos de la Dirección de Impuesto y Aduana Nacionales - DIAN, las cuales son cargadas y aprobadas en internamente por el supervisor asignado.</w:t>
      </w:r>
    </w:p>
    <w:p w14:paraId="293EEBA1" w14:textId="77777777" w:rsidR="00EB3C05" w:rsidRDefault="00EB3C05" w:rsidP="00EB3C05">
      <w:pPr>
        <w:pStyle w:val="Textoindependiente"/>
        <w:jc w:val="both"/>
        <w:rPr>
          <w:bCs/>
        </w:rPr>
      </w:pPr>
    </w:p>
    <w:p w14:paraId="6DE255E1" w14:textId="77777777" w:rsidR="00EB3C05" w:rsidRDefault="00EB3C05" w:rsidP="00EB3C05">
      <w:pPr>
        <w:pStyle w:val="Textoindependiente"/>
        <w:jc w:val="both"/>
        <w:rPr>
          <w:bCs/>
        </w:rPr>
      </w:pPr>
      <w:r w:rsidRPr="001C0409">
        <w:rPr>
          <w:b/>
        </w:rPr>
        <w:t>- Tipificación de los asientos contables</w:t>
      </w:r>
      <w:r w:rsidRPr="006E6FC2">
        <w:rPr>
          <w:bCs/>
        </w:rPr>
        <w:t>: Registrados manualmente en el módulo contable. (nuevos códigos contables)</w:t>
      </w:r>
    </w:p>
    <w:p w14:paraId="1F058324" w14:textId="77777777" w:rsidR="00EB3C05" w:rsidRDefault="00EB3C05" w:rsidP="00EB3C05">
      <w:pPr>
        <w:pStyle w:val="Textoindependiente"/>
        <w:jc w:val="both"/>
        <w:rPr>
          <w:bCs/>
        </w:rPr>
      </w:pPr>
    </w:p>
    <w:p w14:paraId="3184ACDC" w14:textId="77777777" w:rsidR="00EB3C05" w:rsidRDefault="00EB3C05" w:rsidP="00EB3C05">
      <w:pPr>
        <w:pStyle w:val="Textoindependiente"/>
        <w:jc w:val="both"/>
        <w:rPr>
          <w:bCs/>
        </w:rPr>
      </w:pPr>
      <w:r w:rsidRPr="006E6FC2">
        <w:rPr>
          <w:bCs/>
        </w:rPr>
        <w:t xml:space="preserve">- </w:t>
      </w:r>
      <w:r w:rsidRPr="001C0409">
        <w:rPr>
          <w:b/>
        </w:rPr>
        <w:t>Nuevas funcionalidades de SIIF Nación</w:t>
      </w:r>
      <w:r w:rsidRPr="006E6FC2">
        <w:rPr>
          <w:bCs/>
        </w:rPr>
        <w:t>: Para elaborar y transmitir documentos soporte en adquisiciones efectuadas con sujetos no obligados a expedir factura de venta o documento equivalente según lo indicado en la Circular Externa No 22 del 16 julio del 2024, expedida por el Ministerio de Hacienda y Crédito Público, las cuales ha presentado dificultades, incidentes que afectan el flujo de información documental y financiero.</w:t>
      </w:r>
    </w:p>
    <w:p w14:paraId="49E830EA" w14:textId="77777777" w:rsidR="00EB3C05" w:rsidRDefault="00EB3C05" w:rsidP="00EB3C05">
      <w:pPr>
        <w:pStyle w:val="Textoindependiente"/>
        <w:jc w:val="both"/>
        <w:rPr>
          <w:bCs/>
        </w:rPr>
      </w:pPr>
    </w:p>
    <w:p w14:paraId="6BA9554D" w14:textId="77777777" w:rsidR="00EB3C05" w:rsidRPr="001C0409" w:rsidRDefault="00EB3C05" w:rsidP="00EB3C05">
      <w:pPr>
        <w:pStyle w:val="Textoindependiente"/>
        <w:jc w:val="both"/>
        <w:rPr>
          <w:b/>
        </w:rPr>
      </w:pPr>
      <w:r w:rsidRPr="001C0409">
        <w:rPr>
          <w:b/>
        </w:rPr>
        <w:lastRenderedPageBreak/>
        <w:t>1.2.4 Limitaciones Presupuestales:</w:t>
      </w:r>
    </w:p>
    <w:p w14:paraId="5A3A5213" w14:textId="77777777" w:rsidR="00EB3C05" w:rsidRDefault="00EB3C05" w:rsidP="00EB3C05">
      <w:pPr>
        <w:pStyle w:val="Textoindependiente"/>
        <w:jc w:val="both"/>
        <w:rPr>
          <w:bCs/>
        </w:rPr>
      </w:pPr>
    </w:p>
    <w:p w14:paraId="0A6B7A59" w14:textId="77777777" w:rsidR="00EB3C05" w:rsidRDefault="00EB3C05" w:rsidP="00EB3C05">
      <w:pPr>
        <w:pStyle w:val="Textoindependiente"/>
        <w:jc w:val="both"/>
        <w:rPr>
          <w:bCs/>
        </w:rPr>
      </w:pPr>
      <w:r w:rsidRPr="001C0409">
        <w:rPr>
          <w:bCs/>
        </w:rPr>
        <w:t xml:space="preserve">Los bienes y/o servicios recibidos a satisfacción que no sean obligados y registrados en el aplicativo SIIF Nación, por insuficiencia de PAC, se deberán registrar de forma manual contablemente para cumplir con el principio de causación o devengo. </w:t>
      </w:r>
    </w:p>
    <w:p w14:paraId="58415AD5" w14:textId="77777777" w:rsidR="00EB3C05" w:rsidRDefault="00EB3C05" w:rsidP="00EB3C05">
      <w:pPr>
        <w:pStyle w:val="Textoindependiente"/>
        <w:jc w:val="both"/>
        <w:rPr>
          <w:bCs/>
        </w:rPr>
      </w:pPr>
    </w:p>
    <w:p w14:paraId="5E46878D" w14:textId="77777777" w:rsidR="00EB3C05" w:rsidRDefault="00EB3C05" w:rsidP="00EB3C05">
      <w:pPr>
        <w:pStyle w:val="Textoindependiente"/>
        <w:jc w:val="both"/>
        <w:rPr>
          <w:bCs/>
        </w:rPr>
      </w:pPr>
      <w:r w:rsidRPr="001C0409">
        <w:rPr>
          <w:bCs/>
        </w:rPr>
        <w:t>Desde el año 2017, debido a la nueva normatividad presupuestal, existen limitaciones que pueden llegar a afectar el proceso contable, puesto que no es posible realizar obligaciones si no se cuenta con la asignación de los recursos por medio del Programa Anual Mensualizado de Caja - PAC de la vigencia.</w:t>
      </w:r>
    </w:p>
    <w:p w14:paraId="52CB14D2" w14:textId="77777777" w:rsidR="00EB3C05" w:rsidRDefault="00EB3C05" w:rsidP="00EB3C05">
      <w:pPr>
        <w:pStyle w:val="Textoindependiente"/>
        <w:jc w:val="both"/>
        <w:rPr>
          <w:bCs/>
        </w:rPr>
      </w:pPr>
    </w:p>
    <w:p w14:paraId="53EAAC02" w14:textId="77777777" w:rsidR="00EB3C05" w:rsidRDefault="00EB3C05" w:rsidP="00EB3C05">
      <w:pPr>
        <w:pStyle w:val="Textoindependiente"/>
        <w:jc w:val="both"/>
        <w:rPr>
          <w:bCs/>
        </w:rPr>
      </w:pPr>
      <w:r w:rsidRPr="001C0409">
        <w:rPr>
          <w:bCs/>
        </w:rPr>
        <w:t>Lo anterior genera que, para los cierres de vigencia, aquellos bienes y/o servicios recibidos a satisfacción que no alcanzaron a ser registrados en el SIIF Nación, por insuficiencia de PAC, se deban registrar de forma manual para cumplir con el principio de causación o devengo</w:t>
      </w:r>
    </w:p>
    <w:p w14:paraId="59CA91DB" w14:textId="77777777" w:rsidR="00EB3C05" w:rsidRPr="0004711E" w:rsidRDefault="00EB3C05" w:rsidP="00EB3C05">
      <w:pPr>
        <w:pStyle w:val="Textoindependiente"/>
        <w:jc w:val="both"/>
        <w:rPr>
          <w:b/>
        </w:rPr>
      </w:pPr>
      <w:r>
        <w:rPr>
          <w:b/>
        </w:rPr>
        <w:t>-</w:t>
      </w:r>
      <w:r w:rsidRPr="0004711E">
        <w:rPr>
          <w:b/>
        </w:rPr>
        <w:t>NOTA 5. EFECTIVO Y EQUIVALENTES AL EFECTIVO</w:t>
      </w:r>
      <w:r>
        <w:rPr>
          <w:b/>
        </w:rPr>
        <w:t>.</w:t>
      </w:r>
    </w:p>
    <w:p w14:paraId="4B4A6D87" w14:textId="77777777" w:rsidR="00EB3C05" w:rsidRDefault="00EB3C05" w:rsidP="00EB3C05">
      <w:pPr>
        <w:pStyle w:val="Textoindependiente"/>
        <w:jc w:val="both"/>
        <w:rPr>
          <w:bCs/>
        </w:rPr>
      </w:pPr>
    </w:p>
    <w:p w14:paraId="0158AE43" w14:textId="77777777" w:rsidR="00EB3C05" w:rsidRDefault="00EB3C05" w:rsidP="00EB3C05">
      <w:pPr>
        <w:pStyle w:val="Textoindependiente"/>
        <w:jc w:val="both"/>
        <w:rPr>
          <w:bCs/>
        </w:rPr>
      </w:pPr>
      <w:r w:rsidRPr="0004711E">
        <w:rPr>
          <w:bCs/>
        </w:rPr>
        <w:t>5.3 Efectivo de uso restringido Al 31 de diciembre de 2024 y 2023 la cuenta de efectivo de uso restringido tiene los siguientes saldos:</w:t>
      </w:r>
    </w:p>
    <w:p w14:paraId="4221E821" w14:textId="77777777" w:rsidR="00EB3C05" w:rsidRDefault="00EB3C05" w:rsidP="00EB3C05">
      <w:pPr>
        <w:pStyle w:val="Textoindependiente"/>
        <w:jc w:val="both"/>
        <w:rPr>
          <w:bCs/>
        </w:rPr>
      </w:pPr>
    </w:p>
    <w:p w14:paraId="29D2FEC6" w14:textId="77777777" w:rsidR="00EB3C05" w:rsidRDefault="00EB3C05" w:rsidP="00EB3C05">
      <w:pPr>
        <w:pStyle w:val="Textoindependiente"/>
        <w:jc w:val="both"/>
        <w:rPr>
          <w:bCs/>
        </w:rPr>
      </w:pPr>
      <w:r w:rsidRPr="0004711E">
        <w:rPr>
          <w:bCs/>
          <w:noProof/>
          <w:lang w:val="es-CO" w:eastAsia="es-CO"/>
        </w:rPr>
        <w:drawing>
          <wp:inline distT="0" distB="0" distL="0" distR="0" wp14:anchorId="4E262CC2" wp14:editId="298FF940">
            <wp:extent cx="6277851" cy="1667108"/>
            <wp:effectExtent l="0" t="0" r="0" b="9525"/>
            <wp:docPr id="2055712215" name="Imagen 205571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7851" cy="1667108"/>
                    </a:xfrm>
                    <a:prstGeom prst="rect">
                      <a:avLst/>
                    </a:prstGeom>
                  </pic:spPr>
                </pic:pic>
              </a:graphicData>
            </a:graphic>
          </wp:inline>
        </w:drawing>
      </w:r>
    </w:p>
    <w:p w14:paraId="1E84CD7F" w14:textId="77777777" w:rsidR="00EB3C05" w:rsidRDefault="00EB3C05" w:rsidP="00EB3C05">
      <w:pPr>
        <w:pStyle w:val="Textoindependiente"/>
        <w:jc w:val="both"/>
        <w:rPr>
          <w:bCs/>
        </w:rPr>
      </w:pPr>
    </w:p>
    <w:p w14:paraId="67CC3343" w14:textId="77777777" w:rsidR="00EB3C05" w:rsidRDefault="00EB3C05" w:rsidP="00EB3C05">
      <w:pPr>
        <w:pStyle w:val="Textoindependiente"/>
        <w:jc w:val="both"/>
        <w:rPr>
          <w:bCs/>
        </w:rPr>
      </w:pPr>
      <w:r w:rsidRPr="008B2C40">
        <w:rPr>
          <w:bCs/>
        </w:rPr>
        <w:t xml:space="preserve">Los recursos por $388.910.587,00 corresponden al embargo sobre la cuenta corriente 30070006426 del Banco Agrario, teniendo en cuenta la demanda ejecutiva del proceso judicial con el radicado número 20001-31-03-09-2019-00041-00 el cual correspondió por reparto al Juzgado Cuarto Civil del Circuito de Valledupar, autoridad que emitió mandamiento de pago el 21 de abril de 2019 por $259.273.725; dicha decisión fue notificada el 23 de mayo de 2019. </w:t>
      </w:r>
    </w:p>
    <w:p w14:paraId="1FD77F0A" w14:textId="77777777" w:rsidR="00EB3C05" w:rsidRDefault="00EB3C05" w:rsidP="00EB3C05">
      <w:pPr>
        <w:pStyle w:val="Textoindependiente"/>
        <w:jc w:val="both"/>
        <w:rPr>
          <w:bCs/>
        </w:rPr>
      </w:pPr>
    </w:p>
    <w:p w14:paraId="2931531D" w14:textId="77777777" w:rsidR="00EB3C05" w:rsidRDefault="00EB3C05" w:rsidP="00EB3C05">
      <w:pPr>
        <w:pStyle w:val="Textoindependiente"/>
        <w:jc w:val="both"/>
        <w:rPr>
          <w:bCs/>
        </w:rPr>
      </w:pPr>
      <w:r w:rsidRPr="008B2C40">
        <w:rPr>
          <w:bCs/>
        </w:rPr>
        <w:t xml:space="preserve">La UAEGRTD ha presentado las actuaciones en el proceso judicial, el 4 de mayo del 2023, agotadas las respectivas etapas procesales y en audiencia el juez dictó sentencia favorable a la UAEGRTD, accediendo a las excepciones formuladas por la UAEGRTD en el sentido de declarar probada la excepción de pago total de la obligación y ordenar el desembargo del dinero que resulta de la diferencia entre el valor ordenado en el mandamiento ejecutivo de $138.374.925 y el valor del título judicial que reposa en el Banco Agrario por $ 388.910.587; sin embargo el demandante presentó recurso de reposición ante el cual durante la vigencia 2024 se ha gestionado ante los juzgados las correspondientes acciones judiciales. </w:t>
      </w:r>
    </w:p>
    <w:p w14:paraId="644E4704" w14:textId="77777777" w:rsidR="00EB3C05" w:rsidRDefault="00EB3C05" w:rsidP="00EB3C05">
      <w:pPr>
        <w:pStyle w:val="Textoindependiente"/>
        <w:jc w:val="both"/>
        <w:rPr>
          <w:bCs/>
        </w:rPr>
      </w:pPr>
    </w:p>
    <w:p w14:paraId="2A07493C" w14:textId="77777777" w:rsidR="00EB3C05" w:rsidRDefault="00EB3C05" w:rsidP="00EB3C05">
      <w:pPr>
        <w:pStyle w:val="Textoindependiente"/>
        <w:jc w:val="both"/>
        <w:rPr>
          <w:bCs/>
        </w:rPr>
      </w:pPr>
      <w:r w:rsidRPr="008B2C40">
        <w:rPr>
          <w:bCs/>
        </w:rPr>
        <w:t>Actualmente, en el último trimestre del 2024 el proceso presenta las siguientes actuaciones:</w:t>
      </w:r>
    </w:p>
    <w:p w14:paraId="74914209" w14:textId="77777777" w:rsidR="00EB3C05" w:rsidRDefault="00EB3C05" w:rsidP="00EB3C05">
      <w:pPr>
        <w:pStyle w:val="Textoindependiente"/>
        <w:jc w:val="both"/>
        <w:rPr>
          <w:bCs/>
        </w:rPr>
      </w:pPr>
    </w:p>
    <w:p w14:paraId="039F38CD" w14:textId="77777777" w:rsidR="00EB3C05" w:rsidRDefault="00EB3C05" w:rsidP="00EB3C05">
      <w:pPr>
        <w:pStyle w:val="Textoindependiente"/>
        <w:jc w:val="both"/>
        <w:rPr>
          <w:bCs/>
        </w:rPr>
      </w:pPr>
      <w:r w:rsidRPr="008B2C40">
        <w:rPr>
          <w:bCs/>
        </w:rPr>
        <w:t xml:space="preserve"> • El 8 de octubre del 2024, su despacho resolvió el recurso de reposición presentado por el demandante, ordenando: “(…) Primero. DECLARAR desierto el recurso de apelación </w:t>
      </w:r>
      <w:r w:rsidRPr="008B2C40">
        <w:rPr>
          <w:bCs/>
        </w:rPr>
        <w:lastRenderedPageBreak/>
        <w:t xml:space="preserve">interpuesto por la parte demandante contra la sentencia proferida el 4 de mayo de 2023 por el Juzgado Cuarto Civil del Circuito de Valledupar, dentro del proceso que Elvis Alfonso Barbosa Pérez, adelanta contra la Unidad Administrativa Especial de Gestión de Restitución de Tierras Despojadas -URT-. Conforme lo expuesto en la parte motiva de esta providencia. Una vez cumplidos los trámites propios de esta instancia, devuélvase el expediente al juzgado de origen. Déjense las constancias del caso. (…)”. </w:t>
      </w:r>
    </w:p>
    <w:p w14:paraId="0E52C8BF" w14:textId="77777777" w:rsidR="00EB3C05" w:rsidRDefault="00EB3C05" w:rsidP="00EB3C05">
      <w:pPr>
        <w:pStyle w:val="Textoindependiente"/>
        <w:jc w:val="both"/>
        <w:rPr>
          <w:bCs/>
        </w:rPr>
      </w:pPr>
    </w:p>
    <w:p w14:paraId="18EC0AAD" w14:textId="77777777" w:rsidR="00EB3C05" w:rsidRDefault="00EB3C05" w:rsidP="00EB3C05">
      <w:pPr>
        <w:pStyle w:val="Textoindependiente"/>
        <w:jc w:val="both"/>
        <w:rPr>
          <w:bCs/>
        </w:rPr>
      </w:pPr>
      <w:r w:rsidRPr="008B2C40">
        <w:rPr>
          <w:bCs/>
        </w:rPr>
        <w:t>• El 18 de octubre del 2024, la Unidad se pronunció en relación del recurso de reposición presentado por la actora, en todo caso, solicitando mantener incólume el Auto del 8 de octubre del 2024, que declaró desierto el recurso de apelación interpuesto por la parte demandante contra la sentencia proferida el 4 de mayo de 2023 por el Juzgado Cuarto Civil del Circuito de Valledupar.</w:t>
      </w:r>
    </w:p>
    <w:p w14:paraId="326246AC" w14:textId="77777777" w:rsidR="00EB3C05" w:rsidRDefault="00EB3C05" w:rsidP="00EB3C05">
      <w:pPr>
        <w:pStyle w:val="Textoindependiente"/>
        <w:jc w:val="both"/>
        <w:rPr>
          <w:bCs/>
        </w:rPr>
      </w:pPr>
    </w:p>
    <w:p w14:paraId="7F3DF452" w14:textId="77777777" w:rsidR="00EB3C05" w:rsidRDefault="00EB3C05" w:rsidP="00EB3C05">
      <w:pPr>
        <w:pStyle w:val="Textoindependiente"/>
        <w:jc w:val="both"/>
        <w:rPr>
          <w:bCs/>
        </w:rPr>
      </w:pPr>
      <w:r w:rsidRPr="008B2C40">
        <w:rPr>
          <w:bCs/>
        </w:rPr>
        <w:t xml:space="preserve">• El 30 de octubre del 2024, la Sala Civil Familia Laboral del Tribunal Superior de Valledupar decidió no reponer el Auto del 8 de octubre del 2024. </w:t>
      </w:r>
    </w:p>
    <w:p w14:paraId="06D2E4B4" w14:textId="77777777" w:rsidR="00EB3C05" w:rsidRDefault="00EB3C05" w:rsidP="00EB3C05">
      <w:pPr>
        <w:pStyle w:val="Textoindependiente"/>
        <w:jc w:val="both"/>
        <w:rPr>
          <w:bCs/>
        </w:rPr>
      </w:pPr>
    </w:p>
    <w:p w14:paraId="639C8B0E" w14:textId="77777777" w:rsidR="00EB3C05" w:rsidRDefault="00EB3C05" w:rsidP="00EB3C05">
      <w:pPr>
        <w:pStyle w:val="Textoindependiente"/>
        <w:jc w:val="both"/>
        <w:rPr>
          <w:bCs/>
        </w:rPr>
      </w:pPr>
      <w:r w:rsidRPr="008B2C40">
        <w:rPr>
          <w:bCs/>
        </w:rPr>
        <w:t>• El 31 del mismo mes y año, la parte actora solicitó al despacho judicial la nulidad de todo lo actuado desde el 10 de diciembre del 2023, por considerar que han transcurrido el término de seis (6) meses previstos en el artículo 121 del CGP.</w:t>
      </w:r>
      <w:r>
        <w:rPr>
          <w:bCs/>
        </w:rPr>
        <w:t xml:space="preserve"> </w:t>
      </w:r>
      <w:r w:rsidRPr="008B2C40">
        <w:rPr>
          <w:bCs/>
        </w:rPr>
        <w:t>El 08 de noviembre del 2024, estando en la oportunidad legal, la Unidad se pronunció respecto de la solicitud de nulidad alegada por la actora, solicitando negar la misma por cuanto debió ser alegada antes de proferirse sentencia y/o auto que declaraba desierto el recurso de apelación presentado.</w:t>
      </w:r>
    </w:p>
    <w:p w14:paraId="078F84BC" w14:textId="77777777" w:rsidR="00EB3C05" w:rsidRDefault="00EB3C05" w:rsidP="00EB3C05">
      <w:pPr>
        <w:pStyle w:val="Textoindependiente"/>
        <w:jc w:val="both"/>
        <w:rPr>
          <w:bCs/>
        </w:rPr>
      </w:pPr>
    </w:p>
    <w:p w14:paraId="27E3E24F" w14:textId="77777777" w:rsidR="00EB3C05" w:rsidRDefault="00EB3C05" w:rsidP="00EB3C05">
      <w:pPr>
        <w:pStyle w:val="Textoindependiente"/>
        <w:jc w:val="both"/>
        <w:rPr>
          <w:bCs/>
        </w:rPr>
      </w:pPr>
      <w:r>
        <w:rPr>
          <w:bCs/>
        </w:rPr>
        <w:t>El 8 de noviembre del 2024, estando en la oportunidad legal, la Unidad se pronunció respecto de la solicitud de nulidad alegada por la actora, solicitando negar la misma por cuanto debió ser alegada antes de proferirse sentencia y/o auto que declaraba desierto el recurso de apelación presentado.</w:t>
      </w:r>
    </w:p>
    <w:p w14:paraId="6C6DCB83" w14:textId="77777777" w:rsidR="00EB3C05" w:rsidRDefault="00EB3C05" w:rsidP="00EB3C05">
      <w:pPr>
        <w:pStyle w:val="Textoindependiente"/>
        <w:jc w:val="both"/>
        <w:rPr>
          <w:bCs/>
        </w:rPr>
      </w:pPr>
    </w:p>
    <w:p w14:paraId="4B254020" w14:textId="77777777" w:rsidR="00EB3C05" w:rsidRDefault="00EB3C05" w:rsidP="00EB3C05">
      <w:pPr>
        <w:pStyle w:val="Textoindependiente"/>
        <w:jc w:val="both"/>
        <w:rPr>
          <w:bCs/>
        </w:rPr>
      </w:pPr>
      <w:r w:rsidRPr="008B2C40">
        <w:rPr>
          <w:bCs/>
        </w:rPr>
        <w:t xml:space="preserve">• 28 de noviembre del 2024: El Tribunal Superior del Distrito Judicial de Valledupar mediante resolvió abstenerse de resolver la nulidad alegada por la actora y ordenó la devolución del expediente al Juzgado 4 Civil Circuito de Valledupar. </w:t>
      </w:r>
    </w:p>
    <w:p w14:paraId="6F19D5E0" w14:textId="77777777" w:rsidR="00EB3C05" w:rsidRDefault="00EB3C05" w:rsidP="00EB3C05">
      <w:pPr>
        <w:pStyle w:val="Textoindependiente"/>
        <w:jc w:val="both"/>
        <w:rPr>
          <w:bCs/>
        </w:rPr>
      </w:pPr>
    </w:p>
    <w:p w14:paraId="4D2EF2CD" w14:textId="77777777" w:rsidR="00EB3C05" w:rsidRPr="008B2C40" w:rsidRDefault="00EB3C05" w:rsidP="00EB3C05">
      <w:pPr>
        <w:pStyle w:val="Textoindependiente"/>
        <w:jc w:val="both"/>
        <w:rPr>
          <w:b/>
        </w:rPr>
      </w:pPr>
      <w:r>
        <w:rPr>
          <w:b/>
        </w:rPr>
        <w:t>-</w:t>
      </w:r>
      <w:r w:rsidRPr="008B2C40">
        <w:rPr>
          <w:b/>
        </w:rPr>
        <w:t>NOTA 7. CUENTAS POR COBRAR.</w:t>
      </w:r>
    </w:p>
    <w:p w14:paraId="1D258934" w14:textId="77777777" w:rsidR="00EB3C05" w:rsidRDefault="00EB3C05" w:rsidP="00EB3C05">
      <w:pPr>
        <w:pStyle w:val="Textoindependiente"/>
        <w:jc w:val="both"/>
        <w:rPr>
          <w:bCs/>
        </w:rPr>
      </w:pPr>
    </w:p>
    <w:p w14:paraId="440D447E" w14:textId="77777777" w:rsidR="00EB3C05" w:rsidRDefault="00EB3C05" w:rsidP="00EB3C05">
      <w:pPr>
        <w:pStyle w:val="Textoindependiente"/>
        <w:jc w:val="center"/>
        <w:rPr>
          <w:bCs/>
        </w:rPr>
      </w:pPr>
      <w:r w:rsidRPr="00F73828">
        <w:rPr>
          <w:bCs/>
          <w:noProof/>
          <w:lang w:val="es-CO" w:eastAsia="es-CO"/>
        </w:rPr>
        <w:drawing>
          <wp:inline distT="0" distB="0" distL="0" distR="0" wp14:anchorId="1359DFDF" wp14:editId="79EE3CC2">
            <wp:extent cx="4991100" cy="1320025"/>
            <wp:effectExtent l="0" t="0" r="0" b="0"/>
            <wp:docPr id="2055712216" name="Imagen 205571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5564" cy="1334429"/>
                    </a:xfrm>
                    <a:prstGeom prst="rect">
                      <a:avLst/>
                    </a:prstGeom>
                  </pic:spPr>
                </pic:pic>
              </a:graphicData>
            </a:graphic>
          </wp:inline>
        </w:drawing>
      </w:r>
    </w:p>
    <w:p w14:paraId="4C095CE1" w14:textId="77777777" w:rsidR="00EB3C05" w:rsidRDefault="00EB3C05" w:rsidP="00EB3C05">
      <w:pPr>
        <w:pStyle w:val="Textoindependiente"/>
        <w:jc w:val="both"/>
        <w:rPr>
          <w:bCs/>
        </w:rPr>
      </w:pPr>
    </w:p>
    <w:p w14:paraId="1E3D0C0A" w14:textId="77777777" w:rsidR="00EB3C05" w:rsidRDefault="00EB3C05" w:rsidP="00EB3C05">
      <w:pPr>
        <w:pStyle w:val="Textoindependiente"/>
        <w:jc w:val="both"/>
        <w:rPr>
          <w:bCs/>
        </w:rPr>
      </w:pPr>
      <w:r w:rsidRPr="00F73828">
        <w:rPr>
          <w:bCs/>
        </w:rPr>
        <w:t>Las otras cuentas por cobrar representan los derechos adquiridos para el cobro de incapacidades ante las entidades promotoras de salud EPS junto con el reconocimiento del deterioro y los recursos de acreedores reintegrados a tesorería, así:</w:t>
      </w:r>
    </w:p>
    <w:p w14:paraId="2703AF7B" w14:textId="77777777" w:rsidR="00EB3C05" w:rsidRDefault="00EB3C05" w:rsidP="00EB3C05">
      <w:pPr>
        <w:pStyle w:val="Textoindependiente"/>
        <w:jc w:val="both"/>
        <w:rPr>
          <w:bCs/>
        </w:rPr>
      </w:pPr>
    </w:p>
    <w:p w14:paraId="536FBEF9" w14:textId="77777777" w:rsidR="00EB3C05" w:rsidRDefault="00EB3C05" w:rsidP="00EB3C05">
      <w:pPr>
        <w:pStyle w:val="Textoindependiente"/>
        <w:jc w:val="center"/>
        <w:rPr>
          <w:bCs/>
        </w:rPr>
      </w:pPr>
      <w:r w:rsidRPr="00F73828">
        <w:rPr>
          <w:bCs/>
          <w:noProof/>
          <w:lang w:val="es-CO" w:eastAsia="es-CO"/>
        </w:rPr>
        <w:lastRenderedPageBreak/>
        <w:drawing>
          <wp:inline distT="0" distB="0" distL="0" distR="0" wp14:anchorId="439DDB02" wp14:editId="19E7B15F">
            <wp:extent cx="4943475" cy="1565176"/>
            <wp:effectExtent l="0" t="0" r="0" b="0"/>
            <wp:docPr id="2055712217" name="Imagen 205571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7974" cy="1576099"/>
                    </a:xfrm>
                    <a:prstGeom prst="rect">
                      <a:avLst/>
                    </a:prstGeom>
                  </pic:spPr>
                </pic:pic>
              </a:graphicData>
            </a:graphic>
          </wp:inline>
        </w:drawing>
      </w:r>
    </w:p>
    <w:p w14:paraId="00FE46A1" w14:textId="77777777" w:rsidR="00EB3C05" w:rsidRDefault="00EB3C05" w:rsidP="00EB3C05">
      <w:pPr>
        <w:pStyle w:val="Textoindependiente"/>
        <w:jc w:val="both"/>
        <w:rPr>
          <w:bCs/>
        </w:rPr>
      </w:pPr>
    </w:p>
    <w:p w14:paraId="35E83EBE" w14:textId="77777777" w:rsidR="00EB3C05" w:rsidRDefault="00EB3C05" w:rsidP="00EB3C05">
      <w:pPr>
        <w:pStyle w:val="Textoindependiente"/>
        <w:jc w:val="both"/>
        <w:rPr>
          <w:bCs/>
        </w:rPr>
      </w:pPr>
      <w:r w:rsidRPr="00F73828">
        <w:rPr>
          <w:bCs/>
        </w:rPr>
        <w:t>Cuentas por cobrar Incapacidades – Deterioro de cuentas por cobrar Las cuentas por cobrar a las entidades promotoras de salud EPS al 31 de diciembre de 2024 y 2023 clasificadas por tipo de incapacidad son:</w:t>
      </w:r>
    </w:p>
    <w:p w14:paraId="29BBD7F7" w14:textId="77777777" w:rsidR="00EB3C05" w:rsidRDefault="00EB3C05" w:rsidP="00EB3C05">
      <w:pPr>
        <w:pStyle w:val="Textoindependiente"/>
        <w:jc w:val="both"/>
        <w:rPr>
          <w:bCs/>
        </w:rPr>
      </w:pPr>
    </w:p>
    <w:p w14:paraId="2658F4FA" w14:textId="77777777" w:rsidR="00EB3C05" w:rsidRDefault="00EB3C05" w:rsidP="00EB3C05">
      <w:pPr>
        <w:pStyle w:val="Textoindependiente"/>
        <w:jc w:val="center"/>
        <w:rPr>
          <w:bCs/>
        </w:rPr>
      </w:pPr>
      <w:r w:rsidRPr="00F73828">
        <w:rPr>
          <w:bCs/>
          <w:noProof/>
          <w:lang w:val="es-CO" w:eastAsia="es-CO"/>
        </w:rPr>
        <w:drawing>
          <wp:inline distT="0" distB="0" distL="0" distR="0" wp14:anchorId="688C5496" wp14:editId="6A95FED8">
            <wp:extent cx="4981575" cy="1276529"/>
            <wp:effectExtent l="0" t="0" r="0" b="0"/>
            <wp:docPr id="2055712218" name="Imagen 205571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9544" cy="1283696"/>
                    </a:xfrm>
                    <a:prstGeom prst="rect">
                      <a:avLst/>
                    </a:prstGeom>
                  </pic:spPr>
                </pic:pic>
              </a:graphicData>
            </a:graphic>
          </wp:inline>
        </w:drawing>
      </w:r>
    </w:p>
    <w:p w14:paraId="3DBAD0EB" w14:textId="77777777" w:rsidR="00EB3C05" w:rsidRDefault="00EB3C05" w:rsidP="00EB3C05">
      <w:pPr>
        <w:pStyle w:val="Textoindependiente"/>
        <w:jc w:val="both"/>
        <w:rPr>
          <w:bCs/>
        </w:rPr>
      </w:pPr>
    </w:p>
    <w:p w14:paraId="42EDA6C1" w14:textId="77777777" w:rsidR="00EB3C05" w:rsidRDefault="00EB3C05" w:rsidP="00EB3C05">
      <w:pPr>
        <w:pStyle w:val="Textoindependiente"/>
        <w:jc w:val="both"/>
        <w:rPr>
          <w:bCs/>
        </w:rPr>
      </w:pPr>
      <w:r w:rsidRPr="00F73828">
        <w:rPr>
          <w:bCs/>
        </w:rPr>
        <w:t xml:space="preserve">Esta cuenta al 31 de diciembre de 2024 presenta un incremento del 39.88% respecto al 31 de diciembre de 2023 dada por el aumento en las incapacidades de los funcionarios. </w:t>
      </w:r>
    </w:p>
    <w:p w14:paraId="32231CB8" w14:textId="77777777" w:rsidR="00EB3C05" w:rsidRDefault="00EB3C05" w:rsidP="00EB3C05">
      <w:pPr>
        <w:pStyle w:val="Textoindependiente"/>
        <w:jc w:val="both"/>
        <w:rPr>
          <w:bCs/>
        </w:rPr>
      </w:pPr>
    </w:p>
    <w:p w14:paraId="08119A2F" w14:textId="77777777" w:rsidR="00EB3C05" w:rsidRDefault="00EB3C05" w:rsidP="00EB3C05">
      <w:pPr>
        <w:pStyle w:val="Textoindependiente"/>
        <w:jc w:val="both"/>
        <w:rPr>
          <w:bCs/>
        </w:rPr>
      </w:pPr>
      <w:r w:rsidRPr="00F73828">
        <w:rPr>
          <w:bCs/>
        </w:rPr>
        <w:t xml:space="preserve">El deterioro de las cuentas por cobrar con las EPS por concepto de incapacidades laborales por enfermedad general y/o licencias de maternidad o paternidad y las incapacidades por enfermedad profesional y/o accidente laboral a cargo de las administradoras de Riesgos Laborales (ARL); refleja el reconocimiento del riesgo de incumplimiento de pago por parte de las mismas, el cual se calcula semestralmente según la altura de mora y porcentajes indicados en la política de cuentas por cobrar y manual de cartera. </w:t>
      </w:r>
    </w:p>
    <w:p w14:paraId="2654C0A9" w14:textId="77777777" w:rsidR="00EB3C05" w:rsidRDefault="00EB3C05" w:rsidP="00EB3C05">
      <w:pPr>
        <w:pStyle w:val="Textoindependiente"/>
        <w:jc w:val="both"/>
        <w:rPr>
          <w:bCs/>
        </w:rPr>
      </w:pPr>
    </w:p>
    <w:p w14:paraId="1C6FE718" w14:textId="77777777" w:rsidR="00EB3C05" w:rsidRDefault="00EB3C05" w:rsidP="00EB3C05">
      <w:pPr>
        <w:pStyle w:val="Textoindependiente"/>
        <w:jc w:val="both"/>
        <w:rPr>
          <w:bCs/>
        </w:rPr>
      </w:pPr>
      <w:r w:rsidRPr="00F73828">
        <w:rPr>
          <w:bCs/>
        </w:rPr>
        <w:t>La clasificación de las cuentas por cobrar con las EPS clasificadas por altura de mora junto con el reconocimiento del deterioro al 31 de diciembre de 2024 es el siguiente:</w:t>
      </w:r>
    </w:p>
    <w:p w14:paraId="0C013314" w14:textId="77777777" w:rsidR="00EB3C05" w:rsidRDefault="00EB3C05" w:rsidP="00EB3C05">
      <w:pPr>
        <w:pStyle w:val="Textoindependiente"/>
        <w:jc w:val="both"/>
        <w:rPr>
          <w:bCs/>
        </w:rPr>
      </w:pPr>
    </w:p>
    <w:p w14:paraId="251131F3" w14:textId="77777777" w:rsidR="00EB3C05" w:rsidRDefault="00EB3C05" w:rsidP="00EB3C05">
      <w:pPr>
        <w:pStyle w:val="Textoindependiente"/>
        <w:jc w:val="center"/>
        <w:rPr>
          <w:bCs/>
        </w:rPr>
      </w:pPr>
      <w:r w:rsidRPr="00F73828">
        <w:rPr>
          <w:bCs/>
          <w:noProof/>
          <w:lang w:val="es-CO" w:eastAsia="es-CO"/>
        </w:rPr>
        <w:drawing>
          <wp:inline distT="0" distB="0" distL="0" distR="0" wp14:anchorId="175E8414" wp14:editId="1FFDC46A">
            <wp:extent cx="5634958" cy="2095500"/>
            <wp:effectExtent l="0" t="0" r="4445" b="0"/>
            <wp:docPr id="2055712219" name="Imagen 205571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69498" cy="2108344"/>
                    </a:xfrm>
                    <a:prstGeom prst="rect">
                      <a:avLst/>
                    </a:prstGeom>
                  </pic:spPr>
                </pic:pic>
              </a:graphicData>
            </a:graphic>
          </wp:inline>
        </w:drawing>
      </w:r>
    </w:p>
    <w:p w14:paraId="1FB60D26" w14:textId="77777777" w:rsidR="00EB3C05" w:rsidRPr="0092409F" w:rsidRDefault="00EB3C05" w:rsidP="00EB3C05">
      <w:pPr>
        <w:pStyle w:val="Textoindependiente"/>
        <w:numPr>
          <w:ilvl w:val="0"/>
          <w:numId w:val="29"/>
        </w:numPr>
        <w:ind w:left="284" w:hanging="284"/>
        <w:jc w:val="both"/>
        <w:rPr>
          <w:bCs/>
          <w:sz w:val="16"/>
          <w:szCs w:val="16"/>
        </w:rPr>
      </w:pPr>
      <w:r w:rsidRPr="0092409F">
        <w:rPr>
          <w:bCs/>
          <w:sz w:val="16"/>
          <w:szCs w:val="16"/>
        </w:rPr>
        <w:t xml:space="preserve">Se calcula el deterioro de las cuentas por cobrar teniendo en cuenta la altura de mora y los porcentajes de deterioro establecidos en el manual de cartera y política contable. (*) Para el año 2016 no se presentan saldos en incapacidades. Fuente: UAEGRTD – GGEF </w:t>
      </w:r>
    </w:p>
    <w:p w14:paraId="2623246D" w14:textId="77777777" w:rsidR="00EB3C05" w:rsidRDefault="00EB3C05" w:rsidP="00EB3C05">
      <w:pPr>
        <w:pStyle w:val="Textoindependiente"/>
        <w:jc w:val="both"/>
        <w:rPr>
          <w:bCs/>
        </w:rPr>
      </w:pPr>
    </w:p>
    <w:p w14:paraId="2D39373A" w14:textId="77777777" w:rsidR="00EB3C05" w:rsidRDefault="00EB3C05" w:rsidP="00EB3C05">
      <w:pPr>
        <w:pStyle w:val="Textoindependiente"/>
        <w:jc w:val="both"/>
        <w:rPr>
          <w:bCs/>
        </w:rPr>
      </w:pPr>
      <w:r w:rsidRPr="00F73828">
        <w:rPr>
          <w:bCs/>
        </w:rPr>
        <w:t>Las siguientes cuatro entidades promotoras de salud EPS en liquidación adeudan a la UAEGRTD por concepto de cuentas por cobrar incapacidades la suma de $44.410.537,47 de las cuales se reconoce el riesgo de incumplimiento, representando el 83% del total de las incapacidades deterioradas al 31 de diciembre de 2024:</w:t>
      </w:r>
    </w:p>
    <w:p w14:paraId="07086671" w14:textId="77777777" w:rsidR="00EB3C05" w:rsidRDefault="00EB3C05" w:rsidP="00EB3C05">
      <w:pPr>
        <w:pStyle w:val="Textoindependiente"/>
        <w:jc w:val="both"/>
        <w:rPr>
          <w:bCs/>
        </w:rPr>
      </w:pPr>
    </w:p>
    <w:p w14:paraId="684EC3A2" w14:textId="77777777" w:rsidR="00EB3C05" w:rsidRDefault="00EB3C05" w:rsidP="00EB3C05">
      <w:pPr>
        <w:pStyle w:val="Textoindependiente"/>
        <w:jc w:val="center"/>
        <w:rPr>
          <w:bCs/>
        </w:rPr>
      </w:pPr>
      <w:r w:rsidRPr="00F73828">
        <w:rPr>
          <w:bCs/>
          <w:noProof/>
          <w:lang w:val="es-CO" w:eastAsia="es-CO"/>
        </w:rPr>
        <w:drawing>
          <wp:inline distT="0" distB="0" distL="0" distR="0" wp14:anchorId="6564E57B" wp14:editId="6AC48AC1">
            <wp:extent cx="3390900" cy="711793"/>
            <wp:effectExtent l="0" t="0" r="0" b="0"/>
            <wp:docPr id="2055712220" name="Imagen 205571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697" cy="717628"/>
                    </a:xfrm>
                    <a:prstGeom prst="rect">
                      <a:avLst/>
                    </a:prstGeom>
                  </pic:spPr>
                </pic:pic>
              </a:graphicData>
            </a:graphic>
          </wp:inline>
        </w:drawing>
      </w:r>
    </w:p>
    <w:p w14:paraId="30B3FBBD" w14:textId="77777777" w:rsidR="00EB3C05" w:rsidRDefault="00EB3C05" w:rsidP="00EB3C05">
      <w:pPr>
        <w:pStyle w:val="Textoindependiente"/>
        <w:jc w:val="both"/>
        <w:rPr>
          <w:bCs/>
        </w:rPr>
      </w:pPr>
    </w:p>
    <w:p w14:paraId="03CD4BFE" w14:textId="77777777" w:rsidR="00EB3C05" w:rsidRDefault="00EB3C05" w:rsidP="00EB3C05">
      <w:pPr>
        <w:pStyle w:val="Textoindependiente"/>
        <w:jc w:val="both"/>
        <w:rPr>
          <w:bCs/>
        </w:rPr>
      </w:pPr>
      <w:r w:rsidRPr="00775E61">
        <w:rPr>
          <w:b/>
          <w:u w:val="single"/>
        </w:rPr>
        <w:t>La UAEGRTD continúa realizando la gestión de cobranza para hacerse parte del grupo de acreedores</w:t>
      </w:r>
      <w:r w:rsidRPr="00F73828">
        <w:rPr>
          <w:bCs/>
        </w:rPr>
        <w:t xml:space="preserve">. </w:t>
      </w:r>
    </w:p>
    <w:p w14:paraId="75E909F0" w14:textId="77777777" w:rsidR="00EB3C05" w:rsidRDefault="00EB3C05" w:rsidP="00EB3C05">
      <w:pPr>
        <w:pStyle w:val="Textoindependiente"/>
        <w:jc w:val="both"/>
        <w:rPr>
          <w:bCs/>
        </w:rPr>
      </w:pPr>
    </w:p>
    <w:p w14:paraId="082F4503" w14:textId="77777777" w:rsidR="00EB3C05" w:rsidRDefault="00EB3C05" w:rsidP="00EB3C05">
      <w:pPr>
        <w:pStyle w:val="Textoindependiente"/>
        <w:jc w:val="both"/>
        <w:rPr>
          <w:bCs/>
        </w:rPr>
      </w:pPr>
      <w:r w:rsidRPr="00F73828">
        <w:rPr>
          <w:b/>
        </w:rPr>
        <w:t xml:space="preserve">Cuentas por cobrar </w:t>
      </w:r>
      <w:r>
        <w:rPr>
          <w:b/>
        </w:rPr>
        <w:t>–</w:t>
      </w:r>
      <w:r w:rsidRPr="00F73828">
        <w:rPr>
          <w:b/>
        </w:rPr>
        <w:t xml:space="preserve"> Proveedores</w:t>
      </w:r>
      <w:r>
        <w:rPr>
          <w:b/>
        </w:rPr>
        <w:t xml:space="preserve">. </w:t>
      </w:r>
      <w:r w:rsidRPr="00F73828">
        <w:rPr>
          <w:bCs/>
        </w:rPr>
        <w:t xml:space="preserve">Adicional a las cuentas por cobrar a las Entidades Promotoras de Salud, esta cuenta incluye las cuentas por cobrar por concepto de los recursos de acreedores reintegrados a tesorerías que corresponde a la contrapartida de la subcuenta pasiva saldos a favor de beneficiarios por $25.913.846,00; </w:t>
      </w:r>
      <w:r w:rsidRPr="00775E61">
        <w:rPr>
          <w:b/>
          <w:u w:val="single"/>
        </w:rPr>
        <w:t>dicha cuenta fue constituida con un saldo pendiente por reclamar por el proveedor Satphone Colombia SAS, de acuerdo con la Resolución 249 de 2023 de la UAEGRTD, como pasivo exigible – Vigencias Expiradas</w:t>
      </w:r>
      <w:r w:rsidRPr="00F73828">
        <w:rPr>
          <w:bCs/>
        </w:rPr>
        <w:t>.</w:t>
      </w:r>
    </w:p>
    <w:p w14:paraId="18772B48" w14:textId="77777777" w:rsidR="00EB3C05" w:rsidRDefault="00EB3C05" w:rsidP="00EB3C05">
      <w:pPr>
        <w:pStyle w:val="Textoindependiente"/>
        <w:jc w:val="both"/>
        <w:rPr>
          <w:bCs/>
        </w:rPr>
      </w:pPr>
    </w:p>
    <w:p w14:paraId="2EC41C8F" w14:textId="77777777" w:rsidR="00EB3C05" w:rsidRPr="00F73828" w:rsidRDefault="00EB3C05" w:rsidP="00EB3C05">
      <w:pPr>
        <w:pStyle w:val="Textoindependiente"/>
        <w:jc w:val="both"/>
        <w:rPr>
          <w:b/>
        </w:rPr>
      </w:pPr>
      <w:r>
        <w:rPr>
          <w:b/>
        </w:rPr>
        <w:t>-</w:t>
      </w:r>
      <w:r w:rsidRPr="00F73828">
        <w:rPr>
          <w:b/>
        </w:rPr>
        <w:t>NOTA 9. INVENTARIOS</w:t>
      </w:r>
      <w:r>
        <w:rPr>
          <w:b/>
        </w:rPr>
        <w:t>.</w:t>
      </w:r>
    </w:p>
    <w:p w14:paraId="348864A7" w14:textId="77777777" w:rsidR="00EB3C05" w:rsidRDefault="00EB3C05" w:rsidP="00EB3C05">
      <w:pPr>
        <w:pStyle w:val="Textoindependiente"/>
        <w:jc w:val="both"/>
        <w:rPr>
          <w:bCs/>
        </w:rPr>
      </w:pPr>
    </w:p>
    <w:p w14:paraId="6F8A382D" w14:textId="77777777" w:rsidR="00EB3C05" w:rsidRPr="0092409F" w:rsidRDefault="00EB3C05" w:rsidP="00EB3C05">
      <w:pPr>
        <w:pStyle w:val="Textoindependiente"/>
        <w:jc w:val="both"/>
        <w:rPr>
          <w:b/>
          <w:bCs/>
        </w:rPr>
      </w:pPr>
      <w:r w:rsidRPr="0092409F">
        <w:rPr>
          <w:b/>
          <w:bCs/>
        </w:rPr>
        <w:t>A. PREDIOS PENDIENTES POR TRANSFERIR</w:t>
      </w:r>
      <w:r>
        <w:rPr>
          <w:b/>
          <w:bCs/>
        </w:rPr>
        <w:t>.</w:t>
      </w:r>
    </w:p>
    <w:p w14:paraId="249A0A90" w14:textId="77777777" w:rsidR="00EB3C05" w:rsidRDefault="00EB3C05" w:rsidP="00EB3C05">
      <w:pPr>
        <w:pStyle w:val="Textoindependiente"/>
        <w:jc w:val="both"/>
        <w:rPr>
          <w:bCs/>
        </w:rPr>
      </w:pPr>
    </w:p>
    <w:p w14:paraId="449405A9" w14:textId="77777777" w:rsidR="00EB3C05" w:rsidRDefault="00EB3C05" w:rsidP="00EB3C05">
      <w:pPr>
        <w:pStyle w:val="Textoindependiente"/>
        <w:jc w:val="center"/>
        <w:rPr>
          <w:bCs/>
        </w:rPr>
      </w:pPr>
      <w:r w:rsidRPr="00F73828">
        <w:rPr>
          <w:bCs/>
          <w:noProof/>
          <w:lang w:val="es-CO" w:eastAsia="es-CO"/>
        </w:rPr>
        <w:lastRenderedPageBreak/>
        <w:drawing>
          <wp:inline distT="0" distB="0" distL="0" distR="0" wp14:anchorId="110BFD9C" wp14:editId="140D07F1">
            <wp:extent cx="6082208" cy="5514975"/>
            <wp:effectExtent l="0" t="0" r="0" b="0"/>
            <wp:docPr id="2055712221" name="Imagen 205571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00541" cy="5531598"/>
                    </a:xfrm>
                    <a:prstGeom prst="rect">
                      <a:avLst/>
                    </a:prstGeom>
                  </pic:spPr>
                </pic:pic>
              </a:graphicData>
            </a:graphic>
          </wp:inline>
        </w:drawing>
      </w:r>
    </w:p>
    <w:p w14:paraId="7DAA0BF1" w14:textId="77777777" w:rsidR="00EB3C05" w:rsidRPr="0092409F" w:rsidRDefault="00EB3C05" w:rsidP="00EB3C05">
      <w:pPr>
        <w:pStyle w:val="Textoindependiente"/>
        <w:jc w:val="both"/>
        <w:rPr>
          <w:bCs/>
          <w:sz w:val="16"/>
          <w:szCs w:val="16"/>
        </w:rPr>
      </w:pPr>
      <w:r w:rsidRPr="0092409F">
        <w:rPr>
          <w:sz w:val="16"/>
          <w:szCs w:val="16"/>
        </w:rPr>
        <w:t>Fuente: Informe de Predios Fondo de la Unidad – Informe de Gestión de la Fiducia a corte: 31 de diciembre de 2024 o Información validada por el Grupo Fondo de Restitución de Tierras y Territorios – GFRTT en calidad de supervisor del contrato fiduciario.</w:t>
      </w:r>
    </w:p>
    <w:p w14:paraId="7F991DCC" w14:textId="77777777" w:rsidR="00EB3C05" w:rsidRDefault="00EB3C05" w:rsidP="00EB3C05">
      <w:pPr>
        <w:pStyle w:val="Textoindependiente"/>
        <w:jc w:val="both"/>
        <w:rPr>
          <w:bCs/>
        </w:rPr>
      </w:pPr>
    </w:p>
    <w:p w14:paraId="3019280D" w14:textId="77777777" w:rsidR="00EB3C05" w:rsidRDefault="00EB3C05" w:rsidP="00EB3C05">
      <w:pPr>
        <w:pStyle w:val="Textoindependiente"/>
        <w:jc w:val="both"/>
        <w:rPr>
          <w:bCs/>
        </w:rPr>
      </w:pPr>
      <w:r w:rsidRPr="00D74D6E">
        <w:rPr>
          <w:bCs/>
        </w:rPr>
        <w:t>Dentro de los 282 predios pendientes por transferir al 31 de diciembre de 2024, existen 204 predios con las siguientes condiciones o estados especiales que dificultan el traslado efectivo a la fiducia, estos son:</w:t>
      </w:r>
    </w:p>
    <w:p w14:paraId="502247D3" w14:textId="77777777" w:rsidR="00EB3C05" w:rsidRDefault="00EB3C05" w:rsidP="00EB3C05">
      <w:pPr>
        <w:pStyle w:val="Textoindependiente"/>
        <w:jc w:val="both"/>
        <w:rPr>
          <w:bCs/>
        </w:rPr>
      </w:pPr>
    </w:p>
    <w:p w14:paraId="4E2A3FF8" w14:textId="77777777" w:rsidR="00EB3C05" w:rsidRDefault="00EB3C05" w:rsidP="00EB3C05">
      <w:pPr>
        <w:pStyle w:val="Textoindependiente"/>
        <w:jc w:val="center"/>
        <w:rPr>
          <w:bCs/>
        </w:rPr>
      </w:pPr>
      <w:r w:rsidRPr="00D74D6E">
        <w:rPr>
          <w:bCs/>
          <w:noProof/>
          <w:lang w:val="es-CO" w:eastAsia="es-CO"/>
        </w:rPr>
        <w:lastRenderedPageBreak/>
        <w:drawing>
          <wp:inline distT="0" distB="0" distL="0" distR="0" wp14:anchorId="52F659DA" wp14:editId="4FE1EDF7">
            <wp:extent cx="3448531" cy="2495898"/>
            <wp:effectExtent l="0" t="0" r="0" b="0"/>
            <wp:docPr id="2055712222" name="Imagen 205571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48531" cy="2495898"/>
                    </a:xfrm>
                    <a:prstGeom prst="rect">
                      <a:avLst/>
                    </a:prstGeom>
                  </pic:spPr>
                </pic:pic>
              </a:graphicData>
            </a:graphic>
          </wp:inline>
        </w:drawing>
      </w:r>
    </w:p>
    <w:p w14:paraId="45E4F086" w14:textId="77777777" w:rsidR="00EB3C05" w:rsidRDefault="00EB3C05" w:rsidP="00EB3C05">
      <w:pPr>
        <w:pStyle w:val="Textoindependiente"/>
        <w:jc w:val="center"/>
        <w:rPr>
          <w:bCs/>
          <w:sz w:val="16"/>
          <w:szCs w:val="16"/>
        </w:rPr>
      </w:pPr>
      <w:r w:rsidRPr="00D74D6E">
        <w:rPr>
          <w:bCs/>
          <w:sz w:val="16"/>
          <w:szCs w:val="16"/>
        </w:rPr>
        <w:t>Fuente: Información validada por el Grupo Fondo de Restitución de Tierras y</w:t>
      </w:r>
    </w:p>
    <w:p w14:paraId="7AEC1FF0" w14:textId="77777777" w:rsidR="00EB3C05" w:rsidRPr="00D74D6E" w:rsidRDefault="00EB3C05" w:rsidP="00EB3C05">
      <w:pPr>
        <w:pStyle w:val="Textoindependiente"/>
        <w:jc w:val="center"/>
        <w:rPr>
          <w:bCs/>
          <w:sz w:val="16"/>
          <w:szCs w:val="16"/>
        </w:rPr>
      </w:pPr>
      <w:r w:rsidRPr="00D74D6E">
        <w:rPr>
          <w:bCs/>
          <w:sz w:val="16"/>
          <w:szCs w:val="16"/>
        </w:rPr>
        <w:t>Territorios – GFRTT en calidad de supervisor del contrato fiduciario.</w:t>
      </w:r>
    </w:p>
    <w:p w14:paraId="4F924388" w14:textId="77777777" w:rsidR="00EB3C05" w:rsidRPr="00D74D6E" w:rsidRDefault="00EB3C05" w:rsidP="00EB3C05">
      <w:pPr>
        <w:pStyle w:val="Textoindependiente"/>
        <w:jc w:val="both"/>
        <w:rPr>
          <w:bCs/>
          <w:sz w:val="16"/>
          <w:szCs w:val="16"/>
        </w:rPr>
      </w:pPr>
    </w:p>
    <w:p w14:paraId="72B7222E" w14:textId="70BF7163" w:rsidR="00EB3C05" w:rsidRDefault="00EB3C05" w:rsidP="00EB3C05">
      <w:pPr>
        <w:pStyle w:val="Textoindependiente"/>
        <w:jc w:val="both"/>
        <w:rPr>
          <w:bCs/>
        </w:rPr>
      </w:pPr>
      <w:r w:rsidRPr="00D74D6E">
        <w:rPr>
          <w:bCs/>
        </w:rPr>
        <w:t xml:space="preserve">- Tres (3) predios en zona de alto riesgo “no mitigable y no urbanizable”, los cuales por su </w:t>
      </w:r>
      <w:r>
        <w:rPr>
          <w:bCs/>
        </w:rPr>
        <w:t xml:space="preserve">   </w:t>
      </w:r>
      <w:r w:rsidRPr="00D74D6E">
        <w:rPr>
          <w:bCs/>
        </w:rPr>
        <w:t xml:space="preserve">caracterización no resultan idóneos para atender compensaciones a víctimas, </w:t>
      </w:r>
      <w:r w:rsidR="00921BC5">
        <w:rPr>
          <w:bCs/>
        </w:rPr>
        <w:t>-</w:t>
      </w:r>
      <w:r w:rsidRPr="00D74D6E">
        <w:rPr>
          <w:bCs/>
        </w:rPr>
        <w:t xml:space="preserve">Cincuenta y tres (53) predios están en zona de Reserva Forestal - Ley 2ª de 1959 que trata “sobre economía forestal de la nación y conservación de recursos naturales renovables”; - Ciento cuarenta y ocho (148) predios en zona con afectación de orden público. </w:t>
      </w:r>
    </w:p>
    <w:p w14:paraId="76A7298E" w14:textId="77777777" w:rsidR="00EB3C05" w:rsidRDefault="00EB3C05" w:rsidP="00EB3C05">
      <w:pPr>
        <w:pStyle w:val="Textoindependiente"/>
        <w:jc w:val="both"/>
        <w:rPr>
          <w:bCs/>
        </w:rPr>
      </w:pPr>
    </w:p>
    <w:p w14:paraId="05F22DB1" w14:textId="77777777" w:rsidR="00EB3C05" w:rsidRDefault="00EB3C05" w:rsidP="00EB3C05">
      <w:pPr>
        <w:pStyle w:val="Textoindependiente"/>
        <w:jc w:val="both"/>
        <w:rPr>
          <w:bCs/>
        </w:rPr>
      </w:pPr>
      <w:r w:rsidRPr="00D74D6E">
        <w:rPr>
          <w:bCs/>
        </w:rPr>
        <w:t>La variación de los predios pendientes por transferir al 31 de diciembre de 2024 comparado al 31 de diciembre de 2023, en valor total y cantidad es el siguiente:</w:t>
      </w:r>
    </w:p>
    <w:p w14:paraId="36CF9194" w14:textId="77777777" w:rsidR="00EB3C05" w:rsidRDefault="00EB3C05" w:rsidP="00EB3C05">
      <w:pPr>
        <w:pStyle w:val="Textoindependiente"/>
        <w:jc w:val="both"/>
        <w:rPr>
          <w:bCs/>
        </w:rPr>
      </w:pPr>
    </w:p>
    <w:p w14:paraId="5410B008" w14:textId="77777777" w:rsidR="00EB3C05" w:rsidRDefault="00EB3C05" w:rsidP="00EB3C05">
      <w:pPr>
        <w:pStyle w:val="Textoindependiente"/>
        <w:jc w:val="center"/>
        <w:rPr>
          <w:bCs/>
        </w:rPr>
      </w:pPr>
      <w:r w:rsidRPr="00D74D6E">
        <w:rPr>
          <w:bCs/>
          <w:noProof/>
          <w:lang w:val="es-CO" w:eastAsia="es-CO"/>
        </w:rPr>
        <w:drawing>
          <wp:inline distT="0" distB="0" distL="0" distR="0" wp14:anchorId="2972FA8B" wp14:editId="3B0269DB">
            <wp:extent cx="6058746" cy="2267266"/>
            <wp:effectExtent l="0" t="0" r="0" b="0"/>
            <wp:docPr id="2055712223" name="Imagen 205571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8746" cy="2267266"/>
                    </a:xfrm>
                    <a:prstGeom prst="rect">
                      <a:avLst/>
                    </a:prstGeom>
                  </pic:spPr>
                </pic:pic>
              </a:graphicData>
            </a:graphic>
          </wp:inline>
        </w:drawing>
      </w:r>
    </w:p>
    <w:p w14:paraId="1F3E17DF" w14:textId="77777777" w:rsidR="00EB3C05" w:rsidRDefault="00EB3C05" w:rsidP="00EB3C05">
      <w:pPr>
        <w:pStyle w:val="Textoindependiente"/>
        <w:jc w:val="both"/>
        <w:rPr>
          <w:bCs/>
        </w:rPr>
      </w:pPr>
    </w:p>
    <w:p w14:paraId="2C268E3E" w14:textId="77777777" w:rsidR="00EB3C05" w:rsidRDefault="00EB3C05" w:rsidP="00EB3C05">
      <w:pPr>
        <w:pStyle w:val="Textoindependiente"/>
        <w:jc w:val="both"/>
        <w:rPr>
          <w:bCs/>
        </w:rPr>
      </w:pPr>
      <w:r w:rsidRPr="00D74D6E">
        <w:rPr>
          <w:bCs/>
        </w:rPr>
        <w:t>La disminución por $1.957.375.151,00 respecto al 31 de diciembre de 2023 que equivale al 9.23%, se origina principalmente por:</w:t>
      </w:r>
    </w:p>
    <w:p w14:paraId="5E2BBE42" w14:textId="77777777" w:rsidR="00EB3C05" w:rsidRDefault="00EB3C05" w:rsidP="00EB3C05">
      <w:pPr>
        <w:pStyle w:val="Textoindependiente"/>
        <w:jc w:val="both"/>
        <w:rPr>
          <w:bCs/>
        </w:rPr>
      </w:pPr>
    </w:p>
    <w:p w14:paraId="4F2ECCBB" w14:textId="77777777" w:rsidR="00EB3C05" w:rsidRDefault="00EB3C05" w:rsidP="00EB3C05">
      <w:pPr>
        <w:pStyle w:val="Textoindependiente"/>
        <w:jc w:val="both"/>
        <w:rPr>
          <w:bCs/>
        </w:rPr>
      </w:pPr>
      <w:r w:rsidRPr="00D74D6E">
        <w:rPr>
          <w:bCs/>
        </w:rPr>
        <w:t xml:space="preserve">- Actualización de avalúo de dieciséis (16) predios </w:t>
      </w:r>
    </w:p>
    <w:p w14:paraId="51710B35" w14:textId="77777777" w:rsidR="00EB3C05" w:rsidRDefault="00EB3C05" w:rsidP="00EB3C05">
      <w:pPr>
        <w:pStyle w:val="Textoindependiente"/>
        <w:jc w:val="both"/>
        <w:rPr>
          <w:bCs/>
        </w:rPr>
      </w:pPr>
      <w:r>
        <w:rPr>
          <w:bCs/>
        </w:rPr>
        <w:t>-</w:t>
      </w:r>
      <w:r w:rsidRPr="00D74D6E">
        <w:rPr>
          <w:bCs/>
        </w:rPr>
        <w:t xml:space="preserve"> Ingresos de ciento sesenta y cinco (175) predios por transferencias jurídicas al Fondo </w:t>
      </w:r>
    </w:p>
    <w:p w14:paraId="78C7D1F5" w14:textId="77777777" w:rsidR="00EB3C05" w:rsidRDefault="00EB3C05" w:rsidP="00EB3C05">
      <w:pPr>
        <w:pStyle w:val="Textoindependiente"/>
        <w:jc w:val="both"/>
        <w:rPr>
          <w:bCs/>
        </w:rPr>
      </w:pPr>
      <w:r w:rsidRPr="00D74D6E">
        <w:rPr>
          <w:bCs/>
        </w:rPr>
        <w:t xml:space="preserve">- Entrega de cuatro (4) predios a beneficiarios en compensación </w:t>
      </w:r>
    </w:p>
    <w:p w14:paraId="24CE9ED0" w14:textId="77777777" w:rsidR="00EB3C05" w:rsidRDefault="00EB3C05" w:rsidP="00EB3C05">
      <w:pPr>
        <w:pStyle w:val="Textoindependiente"/>
        <w:jc w:val="both"/>
        <w:rPr>
          <w:bCs/>
        </w:rPr>
      </w:pPr>
      <w:r w:rsidRPr="00D74D6E">
        <w:rPr>
          <w:bCs/>
        </w:rPr>
        <w:t>- Transferencias al patrimonio autónomo de setenta y seis (76) predios.</w:t>
      </w:r>
    </w:p>
    <w:p w14:paraId="25AF6050" w14:textId="77777777" w:rsidR="00EB3C05" w:rsidRDefault="00EB3C05" w:rsidP="00EB3C05">
      <w:pPr>
        <w:pStyle w:val="Textoindependiente"/>
        <w:jc w:val="both"/>
        <w:rPr>
          <w:bCs/>
        </w:rPr>
      </w:pPr>
    </w:p>
    <w:p w14:paraId="540EB33B" w14:textId="77777777" w:rsidR="00EB3C05" w:rsidRDefault="00EB3C05" w:rsidP="00EB3C05">
      <w:pPr>
        <w:pStyle w:val="Textoindependiente"/>
        <w:jc w:val="both"/>
        <w:rPr>
          <w:bCs/>
        </w:rPr>
      </w:pPr>
      <w:r w:rsidRPr="00D74D6E">
        <w:rPr>
          <w:bCs/>
        </w:rPr>
        <w:t>En la siguiente tabla se presenta la variación clasificada por departamento:</w:t>
      </w:r>
    </w:p>
    <w:p w14:paraId="52FEB3ED" w14:textId="77777777" w:rsidR="00EB3C05" w:rsidRDefault="00EB3C05" w:rsidP="00EB3C05">
      <w:pPr>
        <w:pStyle w:val="Textoindependiente"/>
        <w:jc w:val="both"/>
        <w:rPr>
          <w:bCs/>
        </w:rPr>
      </w:pPr>
    </w:p>
    <w:p w14:paraId="10496E9B" w14:textId="77777777" w:rsidR="00EB3C05" w:rsidRDefault="00EB3C05" w:rsidP="00EB3C05">
      <w:pPr>
        <w:pStyle w:val="Textoindependiente"/>
        <w:jc w:val="center"/>
        <w:rPr>
          <w:bCs/>
        </w:rPr>
      </w:pPr>
      <w:r w:rsidRPr="00D74D6E">
        <w:rPr>
          <w:bCs/>
          <w:noProof/>
          <w:lang w:val="es-CO" w:eastAsia="es-CO"/>
        </w:rPr>
        <w:drawing>
          <wp:inline distT="0" distB="0" distL="0" distR="0" wp14:anchorId="66A3DBB6" wp14:editId="3730B733">
            <wp:extent cx="6077798" cy="3686689"/>
            <wp:effectExtent l="0" t="0" r="0" b="9525"/>
            <wp:docPr id="2055712225" name="Imagen 205571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77798" cy="3686689"/>
                    </a:xfrm>
                    <a:prstGeom prst="rect">
                      <a:avLst/>
                    </a:prstGeom>
                  </pic:spPr>
                </pic:pic>
              </a:graphicData>
            </a:graphic>
          </wp:inline>
        </w:drawing>
      </w:r>
    </w:p>
    <w:p w14:paraId="6C24EC2D" w14:textId="77777777" w:rsidR="00EB3C05" w:rsidRPr="00D74D6E" w:rsidRDefault="00EB3C05" w:rsidP="00EB3C05">
      <w:pPr>
        <w:pStyle w:val="Textoindependiente"/>
        <w:jc w:val="both"/>
        <w:rPr>
          <w:bCs/>
          <w:sz w:val="16"/>
          <w:szCs w:val="16"/>
        </w:rPr>
      </w:pPr>
      <w:r w:rsidRPr="00D74D6E">
        <w:rPr>
          <w:bCs/>
          <w:sz w:val="16"/>
          <w:szCs w:val="16"/>
        </w:rPr>
        <w:t xml:space="preserve">Fuente: Informe de Predios Fondo de la Unidad – Informe de Gestión de la Fiducia (*) Por corresponder a actualización de avalúo no se indica cantidad en predios. </w:t>
      </w:r>
    </w:p>
    <w:p w14:paraId="5F855935" w14:textId="77777777" w:rsidR="00EB3C05" w:rsidRDefault="00EB3C05" w:rsidP="00EB3C05">
      <w:pPr>
        <w:pStyle w:val="Textoindependiente"/>
        <w:jc w:val="both"/>
        <w:rPr>
          <w:bCs/>
        </w:rPr>
      </w:pPr>
    </w:p>
    <w:p w14:paraId="19BC1E99" w14:textId="77777777" w:rsidR="00EB3C05" w:rsidRPr="00D74D6E" w:rsidRDefault="00EB3C05" w:rsidP="00EB3C05">
      <w:pPr>
        <w:pStyle w:val="Textoindependiente"/>
        <w:jc w:val="both"/>
        <w:rPr>
          <w:b/>
        </w:rPr>
      </w:pPr>
      <w:r w:rsidRPr="00D74D6E">
        <w:rPr>
          <w:b/>
        </w:rPr>
        <w:t>B. PREDIOS PARTIDAS CONCILIATORIAS FONDO VS FIDUCIARIA</w:t>
      </w:r>
      <w:r>
        <w:rPr>
          <w:b/>
        </w:rPr>
        <w:t>.</w:t>
      </w:r>
      <w:r w:rsidRPr="00D74D6E">
        <w:rPr>
          <w:b/>
        </w:rPr>
        <w:t xml:space="preserve"> </w:t>
      </w:r>
    </w:p>
    <w:p w14:paraId="60EE8CFA" w14:textId="77777777" w:rsidR="00EB3C05" w:rsidRDefault="00EB3C05" w:rsidP="00EB3C05">
      <w:pPr>
        <w:pStyle w:val="Textoindependiente"/>
        <w:jc w:val="both"/>
        <w:rPr>
          <w:bCs/>
        </w:rPr>
      </w:pPr>
    </w:p>
    <w:p w14:paraId="3AA331E8" w14:textId="77777777" w:rsidR="00EB3C05" w:rsidRDefault="00EB3C05" w:rsidP="00EB3C05">
      <w:pPr>
        <w:pStyle w:val="Textoindependiente"/>
        <w:jc w:val="both"/>
        <w:rPr>
          <w:bCs/>
        </w:rPr>
      </w:pPr>
      <w:r w:rsidRPr="00D74D6E">
        <w:rPr>
          <w:bCs/>
        </w:rPr>
        <w:t>A 31 de diciembre de 2024 en la conciliación efectuada a los informes de administración de bienes entre el saldo reportado en el Informe de Predios de Fondo de la Unidad y el saldo de los predios en el informe de gestión emitido por el Consorcio Unidad de Restitución de Tierras 2024 se refleja una diferencia por $ -174.000.040,00 cuyo detalle se muestra a continuación:</w:t>
      </w:r>
    </w:p>
    <w:p w14:paraId="21BE5804" w14:textId="77777777" w:rsidR="00EB3C05" w:rsidRDefault="00EB3C05" w:rsidP="00EB3C05">
      <w:pPr>
        <w:pStyle w:val="Textoindependiente"/>
        <w:jc w:val="both"/>
        <w:rPr>
          <w:bCs/>
        </w:rPr>
      </w:pPr>
    </w:p>
    <w:p w14:paraId="1E4356EA" w14:textId="77777777" w:rsidR="00EB3C05" w:rsidRDefault="00EB3C05" w:rsidP="00EB3C05">
      <w:pPr>
        <w:pStyle w:val="Textoindependiente"/>
        <w:jc w:val="center"/>
        <w:rPr>
          <w:bCs/>
        </w:rPr>
      </w:pPr>
      <w:r w:rsidRPr="00D74D6E">
        <w:rPr>
          <w:bCs/>
          <w:noProof/>
          <w:lang w:val="es-CO" w:eastAsia="es-CO"/>
        </w:rPr>
        <w:drawing>
          <wp:inline distT="0" distB="0" distL="0" distR="0" wp14:anchorId="62F0F073" wp14:editId="50454C36">
            <wp:extent cx="6096851" cy="1305107"/>
            <wp:effectExtent l="0" t="0" r="0" b="9525"/>
            <wp:docPr id="2055712226" name="Imagen 205571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6851" cy="1305107"/>
                    </a:xfrm>
                    <a:prstGeom prst="rect">
                      <a:avLst/>
                    </a:prstGeom>
                  </pic:spPr>
                </pic:pic>
              </a:graphicData>
            </a:graphic>
          </wp:inline>
        </w:drawing>
      </w:r>
    </w:p>
    <w:p w14:paraId="186A1119" w14:textId="77777777" w:rsidR="00EB3C05" w:rsidRPr="00D74D6E" w:rsidRDefault="00EB3C05" w:rsidP="00EB3C05">
      <w:pPr>
        <w:pStyle w:val="Textoindependiente"/>
        <w:jc w:val="both"/>
        <w:rPr>
          <w:bCs/>
          <w:sz w:val="18"/>
          <w:szCs w:val="18"/>
        </w:rPr>
      </w:pPr>
      <w:r>
        <w:rPr>
          <w:bCs/>
          <w:sz w:val="18"/>
          <w:szCs w:val="18"/>
        </w:rPr>
        <w:t xml:space="preserve">    </w:t>
      </w:r>
      <w:r w:rsidRPr="00D74D6E">
        <w:rPr>
          <w:bCs/>
          <w:sz w:val="18"/>
          <w:szCs w:val="18"/>
        </w:rPr>
        <w:t xml:space="preserve">Fuente: Informe de Predios Fondo de la Unidad – Informe de Gestión de la Fiducia </w:t>
      </w:r>
    </w:p>
    <w:p w14:paraId="381EA780" w14:textId="77777777" w:rsidR="00EB3C05" w:rsidRDefault="00EB3C05" w:rsidP="00EB3C05">
      <w:pPr>
        <w:pStyle w:val="Textoindependiente"/>
        <w:jc w:val="both"/>
        <w:rPr>
          <w:bCs/>
        </w:rPr>
      </w:pPr>
    </w:p>
    <w:p w14:paraId="0B0CB4EB" w14:textId="77777777" w:rsidR="00EB3C05" w:rsidRDefault="00EB3C05" w:rsidP="00EB3C05">
      <w:pPr>
        <w:pStyle w:val="Textoindependiente"/>
        <w:jc w:val="both"/>
        <w:rPr>
          <w:bCs/>
        </w:rPr>
      </w:pPr>
      <w:r w:rsidRPr="00D74D6E">
        <w:rPr>
          <w:bCs/>
        </w:rPr>
        <w:t>Los predios que se encuentran clasificados como partida conciliatoria en el Fondo de la Unidad obedecen a la ausencia de reconocimiento y registro por parte del patrimonio Autónomo, de acuerdo con la información suministrada por el Grupo Fondo de restitución de Tierras y Territorios y el Consorcio del patrimonio autónomo. Las partidas conciliatorias de predios en titularidad del patrimonio autónomo según informes de la fiduciaria para los contratos No. 1904 de 2022 y 047 de 2024 al 31 de diciembre de 2024 y 2023 es la siguiente:</w:t>
      </w:r>
    </w:p>
    <w:p w14:paraId="01853F91" w14:textId="77777777" w:rsidR="00EB3C05" w:rsidRDefault="00EB3C05" w:rsidP="00EB3C05">
      <w:pPr>
        <w:pStyle w:val="Textoindependiente"/>
        <w:jc w:val="both"/>
        <w:rPr>
          <w:bCs/>
        </w:rPr>
      </w:pPr>
    </w:p>
    <w:p w14:paraId="6FE446E2" w14:textId="77777777" w:rsidR="00EB3C05" w:rsidRDefault="00EB3C05" w:rsidP="00EB3C05">
      <w:pPr>
        <w:pStyle w:val="Textoindependiente"/>
        <w:jc w:val="center"/>
        <w:rPr>
          <w:bCs/>
        </w:rPr>
      </w:pPr>
      <w:r w:rsidRPr="00D74D6E">
        <w:rPr>
          <w:bCs/>
          <w:noProof/>
          <w:lang w:val="es-CO" w:eastAsia="es-CO"/>
        </w:rPr>
        <w:lastRenderedPageBreak/>
        <w:drawing>
          <wp:inline distT="0" distB="0" distL="0" distR="0" wp14:anchorId="0D8984B1" wp14:editId="6FB4424E">
            <wp:extent cx="6077798" cy="3629532"/>
            <wp:effectExtent l="0" t="0" r="0" b="9525"/>
            <wp:docPr id="2055712227" name="Imagen 205571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77798" cy="3629532"/>
                    </a:xfrm>
                    <a:prstGeom prst="rect">
                      <a:avLst/>
                    </a:prstGeom>
                  </pic:spPr>
                </pic:pic>
              </a:graphicData>
            </a:graphic>
          </wp:inline>
        </w:drawing>
      </w:r>
    </w:p>
    <w:p w14:paraId="23804890" w14:textId="77777777" w:rsidR="00EB3C05" w:rsidRDefault="00EB3C05" w:rsidP="00EB3C05">
      <w:pPr>
        <w:pStyle w:val="Textoindependiente"/>
        <w:jc w:val="both"/>
        <w:rPr>
          <w:bCs/>
        </w:rPr>
      </w:pPr>
    </w:p>
    <w:p w14:paraId="0B6C7017" w14:textId="77777777" w:rsidR="00EB3C05" w:rsidRDefault="00EB3C05" w:rsidP="00EB3C05">
      <w:pPr>
        <w:pStyle w:val="Textoindependiente"/>
        <w:jc w:val="both"/>
        <w:rPr>
          <w:bCs/>
        </w:rPr>
      </w:pPr>
      <w:r w:rsidRPr="00D74D6E">
        <w:rPr>
          <w:bCs/>
        </w:rPr>
        <w:t xml:space="preserve">Las partidas conciliatorias originadas por los valores conciliados con el Patrimonio Autónomo serán ajustadas, una vez la Fiduciaria culmine el proceso de Transferencia Jurídica y/o actualización de avalúos. </w:t>
      </w:r>
    </w:p>
    <w:p w14:paraId="5A14E989" w14:textId="77777777" w:rsidR="00EB3C05" w:rsidRDefault="00EB3C05" w:rsidP="00EB3C05">
      <w:pPr>
        <w:pStyle w:val="Textoindependiente"/>
        <w:jc w:val="both"/>
        <w:rPr>
          <w:bCs/>
        </w:rPr>
      </w:pPr>
    </w:p>
    <w:p w14:paraId="6F501C09" w14:textId="77777777" w:rsidR="00EB3C05" w:rsidRPr="006612C5" w:rsidRDefault="00EB3C05" w:rsidP="00EB3C05">
      <w:pPr>
        <w:pStyle w:val="Textoindependiente"/>
        <w:jc w:val="both"/>
        <w:rPr>
          <w:b/>
        </w:rPr>
      </w:pPr>
      <w:r w:rsidRPr="006612C5">
        <w:rPr>
          <w:b/>
        </w:rPr>
        <w:t>PREDIOS PENDIENTES DE AVALÚO</w:t>
      </w:r>
      <w:r>
        <w:rPr>
          <w:b/>
        </w:rPr>
        <w:t>.</w:t>
      </w:r>
      <w:r w:rsidRPr="006612C5">
        <w:rPr>
          <w:b/>
        </w:rPr>
        <w:t xml:space="preserve"> </w:t>
      </w:r>
    </w:p>
    <w:p w14:paraId="6F507B5B" w14:textId="77777777" w:rsidR="00EB3C05" w:rsidRDefault="00EB3C05" w:rsidP="00EB3C05">
      <w:pPr>
        <w:pStyle w:val="Textoindependiente"/>
        <w:jc w:val="both"/>
        <w:rPr>
          <w:bCs/>
        </w:rPr>
      </w:pPr>
    </w:p>
    <w:p w14:paraId="7D993616" w14:textId="77777777" w:rsidR="00EB3C05" w:rsidRDefault="00EB3C05" w:rsidP="00EB3C05">
      <w:pPr>
        <w:pStyle w:val="Textoindependiente"/>
        <w:jc w:val="both"/>
        <w:rPr>
          <w:bCs/>
        </w:rPr>
      </w:pPr>
      <w:r w:rsidRPr="00D74D6E">
        <w:rPr>
          <w:bCs/>
        </w:rPr>
        <w:t>Al 31 de diciembre de 2024, veintiséis (26) predios no reportan avalúo que permita el registro del valor en los estados financieros de la UAEGRTD, sin embargo, se registran en cero pesos teniendo en cuenta el control administrativo y operativo, estos corresponden a:</w:t>
      </w:r>
    </w:p>
    <w:p w14:paraId="79BCD6B6" w14:textId="77777777" w:rsidR="00EB3C05" w:rsidRDefault="00EB3C05" w:rsidP="00EB3C05">
      <w:pPr>
        <w:pStyle w:val="Textoindependiente"/>
        <w:jc w:val="both"/>
        <w:rPr>
          <w:bCs/>
        </w:rPr>
      </w:pPr>
    </w:p>
    <w:p w14:paraId="5C85F389" w14:textId="77777777" w:rsidR="00EB3C05" w:rsidRDefault="00EB3C05" w:rsidP="00EB3C05">
      <w:pPr>
        <w:pStyle w:val="Textoindependiente"/>
        <w:numPr>
          <w:ilvl w:val="0"/>
          <w:numId w:val="30"/>
        </w:numPr>
        <w:jc w:val="both"/>
        <w:rPr>
          <w:bCs/>
        </w:rPr>
      </w:pPr>
      <w:r w:rsidRPr="00D74D6E">
        <w:rPr>
          <w:bCs/>
        </w:rPr>
        <w:t xml:space="preserve">Diez (10) predios pendientes de entrega material, lo cual es mandatorio para proceder con la solicitud de avalúo y, </w:t>
      </w:r>
    </w:p>
    <w:p w14:paraId="19DCAC82" w14:textId="77777777" w:rsidR="00EB3C05" w:rsidRDefault="00EB3C05" w:rsidP="00EB3C05">
      <w:pPr>
        <w:pStyle w:val="Textoindependiente"/>
        <w:numPr>
          <w:ilvl w:val="0"/>
          <w:numId w:val="30"/>
        </w:numPr>
        <w:jc w:val="both"/>
        <w:rPr>
          <w:bCs/>
        </w:rPr>
      </w:pPr>
      <w:r w:rsidRPr="00D74D6E">
        <w:rPr>
          <w:bCs/>
        </w:rPr>
        <w:t xml:space="preserve">Dieciséis (16) predios pendientes de solicitud de avalúo teniendo en cuenta la priorización y titularidad del bien a nombre del Patrimonio Autónomo. </w:t>
      </w:r>
    </w:p>
    <w:p w14:paraId="41D2B39E" w14:textId="77777777" w:rsidR="00EB3C05" w:rsidRDefault="00EB3C05" w:rsidP="00EB3C05">
      <w:pPr>
        <w:pStyle w:val="Textoindependiente"/>
        <w:jc w:val="both"/>
        <w:rPr>
          <w:bCs/>
        </w:rPr>
      </w:pPr>
    </w:p>
    <w:p w14:paraId="4B419DAC" w14:textId="77777777" w:rsidR="00EB3C05" w:rsidRDefault="00EB3C05" w:rsidP="00EB3C05">
      <w:pPr>
        <w:pStyle w:val="Textoindependiente"/>
        <w:jc w:val="both"/>
        <w:rPr>
          <w:bCs/>
        </w:rPr>
      </w:pPr>
      <w:r w:rsidRPr="00D74D6E">
        <w:rPr>
          <w:bCs/>
        </w:rPr>
        <w:t>Los avalúos son realizados por el IGAC por previa solicitud o requerimiento de los despachos judiciales, la realización de estos está condicionada al número de predios que por sus características tienen un criterio de prioridad y la asignación presupuestal establecida para cada vigencia.</w:t>
      </w:r>
    </w:p>
    <w:p w14:paraId="2F4AB131" w14:textId="77777777" w:rsidR="00EB3C05" w:rsidRDefault="00EB3C05" w:rsidP="00EB3C05">
      <w:pPr>
        <w:pStyle w:val="Textoindependiente"/>
        <w:jc w:val="both"/>
        <w:rPr>
          <w:bCs/>
        </w:rPr>
      </w:pPr>
    </w:p>
    <w:p w14:paraId="5F7C793E" w14:textId="77777777" w:rsidR="00EB3C05" w:rsidRDefault="00EB3C05" w:rsidP="00EB3C05">
      <w:pPr>
        <w:pStyle w:val="Textoindependiente"/>
        <w:jc w:val="both"/>
        <w:rPr>
          <w:bCs/>
        </w:rPr>
      </w:pPr>
      <w:r w:rsidRPr="006838D9">
        <w:rPr>
          <w:bCs/>
        </w:rPr>
        <w:t>Los predios pendientes de avalúo al 31 de diciembre de 2024 son:</w:t>
      </w:r>
    </w:p>
    <w:p w14:paraId="45443490" w14:textId="77777777" w:rsidR="00EB3C05" w:rsidRDefault="00EB3C05" w:rsidP="00EB3C05">
      <w:pPr>
        <w:pStyle w:val="Textoindependiente"/>
        <w:jc w:val="both"/>
        <w:rPr>
          <w:bCs/>
        </w:rPr>
      </w:pPr>
    </w:p>
    <w:p w14:paraId="64A14783" w14:textId="77777777" w:rsidR="00EB3C05" w:rsidRDefault="00EB3C05" w:rsidP="00EB3C05">
      <w:pPr>
        <w:pStyle w:val="Textoindependiente"/>
        <w:jc w:val="center"/>
        <w:rPr>
          <w:bCs/>
        </w:rPr>
      </w:pPr>
      <w:r w:rsidRPr="006838D9">
        <w:rPr>
          <w:bCs/>
          <w:noProof/>
          <w:lang w:val="es-CO" w:eastAsia="es-CO"/>
        </w:rPr>
        <w:lastRenderedPageBreak/>
        <w:drawing>
          <wp:inline distT="0" distB="0" distL="0" distR="0" wp14:anchorId="71609987" wp14:editId="21EEBF2A">
            <wp:extent cx="5744377" cy="3953427"/>
            <wp:effectExtent l="0" t="0" r="8890" b="9525"/>
            <wp:docPr id="2055712228" name="Imagen 205571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44377" cy="3953427"/>
                    </a:xfrm>
                    <a:prstGeom prst="rect">
                      <a:avLst/>
                    </a:prstGeom>
                  </pic:spPr>
                </pic:pic>
              </a:graphicData>
            </a:graphic>
          </wp:inline>
        </w:drawing>
      </w:r>
    </w:p>
    <w:p w14:paraId="1A414635" w14:textId="77777777" w:rsidR="00EB3C05" w:rsidRDefault="00EB3C05" w:rsidP="00EB3C05">
      <w:pPr>
        <w:pStyle w:val="Textoindependiente"/>
        <w:jc w:val="both"/>
        <w:rPr>
          <w:bCs/>
        </w:rPr>
      </w:pPr>
    </w:p>
    <w:p w14:paraId="552F1C05" w14:textId="77777777" w:rsidR="00EB3C05" w:rsidRPr="00BE5C27" w:rsidRDefault="00EB3C05" w:rsidP="00EB3C05">
      <w:pPr>
        <w:pStyle w:val="Textoindependiente"/>
        <w:jc w:val="both"/>
        <w:rPr>
          <w:b/>
        </w:rPr>
      </w:pPr>
      <w:r>
        <w:rPr>
          <w:b/>
        </w:rPr>
        <w:t>-</w:t>
      </w:r>
      <w:r w:rsidRPr="00BE5C27">
        <w:rPr>
          <w:b/>
        </w:rPr>
        <w:t>NOTA 23. PROVISIONES</w:t>
      </w:r>
      <w:r>
        <w:rPr>
          <w:b/>
        </w:rPr>
        <w:t>.</w:t>
      </w:r>
    </w:p>
    <w:p w14:paraId="0B52D193" w14:textId="77777777" w:rsidR="00EB3C05" w:rsidRDefault="00EB3C05" w:rsidP="00EB3C05">
      <w:pPr>
        <w:pStyle w:val="Textoindependiente"/>
        <w:jc w:val="both"/>
        <w:rPr>
          <w:bCs/>
        </w:rPr>
      </w:pPr>
    </w:p>
    <w:p w14:paraId="033E9B25" w14:textId="77777777" w:rsidR="00EB3C05" w:rsidRDefault="00EB3C05" w:rsidP="00EB3C05">
      <w:pPr>
        <w:pStyle w:val="Textoindependiente"/>
        <w:jc w:val="center"/>
        <w:rPr>
          <w:bCs/>
        </w:rPr>
      </w:pPr>
      <w:r w:rsidRPr="008B2E0F">
        <w:rPr>
          <w:bCs/>
          <w:noProof/>
          <w:lang w:val="es-CO" w:eastAsia="es-CO"/>
        </w:rPr>
        <w:drawing>
          <wp:inline distT="0" distB="0" distL="0" distR="0" wp14:anchorId="5F28701E" wp14:editId="2D622224">
            <wp:extent cx="6068272" cy="1467055"/>
            <wp:effectExtent l="0" t="0" r="0" b="0"/>
            <wp:docPr id="2055712229" name="Imagen 205571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68272" cy="1467055"/>
                    </a:xfrm>
                    <a:prstGeom prst="rect">
                      <a:avLst/>
                    </a:prstGeom>
                  </pic:spPr>
                </pic:pic>
              </a:graphicData>
            </a:graphic>
          </wp:inline>
        </w:drawing>
      </w:r>
    </w:p>
    <w:p w14:paraId="13D28A66" w14:textId="77777777" w:rsidR="00EB3C05" w:rsidRDefault="00EB3C05" w:rsidP="00EB3C05">
      <w:pPr>
        <w:pStyle w:val="Textoindependiente"/>
        <w:jc w:val="both"/>
        <w:rPr>
          <w:bCs/>
        </w:rPr>
      </w:pPr>
    </w:p>
    <w:p w14:paraId="0F142820" w14:textId="77777777" w:rsidR="00EB3C05" w:rsidRDefault="00EB3C05" w:rsidP="00EB3C05">
      <w:pPr>
        <w:pStyle w:val="Textoindependiente"/>
        <w:jc w:val="both"/>
        <w:rPr>
          <w:bCs/>
        </w:rPr>
      </w:pPr>
      <w:r w:rsidRPr="008B2E0F">
        <w:rPr>
          <w:bCs/>
        </w:rPr>
        <w:t xml:space="preserve">De acuerdo con el cuadro de la composición de provisiones al de 2024, se observa una disminución en la provisión del $2,529.200.558,00 que representa el -31,21% con relación al saldo registrado al mismo corte de la vigencia anterior, que está dado principalmente por la terminación de procesos, de conformidad con el reporte Ekogui remitido por el área técnica encargada de la valoración de los procesos judiciales. </w:t>
      </w:r>
    </w:p>
    <w:p w14:paraId="13541F88" w14:textId="77777777" w:rsidR="00EB3C05" w:rsidRDefault="00EB3C05" w:rsidP="00EB3C05">
      <w:pPr>
        <w:pStyle w:val="Textoindependiente"/>
        <w:jc w:val="both"/>
        <w:rPr>
          <w:bCs/>
        </w:rPr>
      </w:pPr>
    </w:p>
    <w:p w14:paraId="1D4A57F6" w14:textId="77777777" w:rsidR="00EB3C05" w:rsidRDefault="00EB3C05" w:rsidP="00EB3C05">
      <w:pPr>
        <w:pStyle w:val="Textoindependiente"/>
        <w:jc w:val="both"/>
        <w:rPr>
          <w:bCs/>
        </w:rPr>
      </w:pPr>
      <w:r w:rsidRPr="008B2E0F">
        <w:rPr>
          <w:bCs/>
        </w:rPr>
        <w:t xml:space="preserve">La variación es originada principalmente por el proceso 11001334306020220035100 actualizado a probabilidad de pérdidas a corte de diciembre de 2024 al 35% el cual presentaba una provisión por $2.471.210.546 millones en diciembre de 2023, esto debido a que, recibió sentencia de primera instancia favorable, de acuerdo con el informe de E-kogui al 31 de diciembre de 2024. </w:t>
      </w:r>
    </w:p>
    <w:p w14:paraId="481D2AA5" w14:textId="77777777" w:rsidR="00EB3C05" w:rsidRDefault="00EB3C05" w:rsidP="00EB3C05">
      <w:pPr>
        <w:pStyle w:val="Textoindependiente"/>
        <w:jc w:val="both"/>
        <w:rPr>
          <w:bCs/>
        </w:rPr>
      </w:pPr>
    </w:p>
    <w:p w14:paraId="21F9D136" w14:textId="77777777" w:rsidR="00EB3C05" w:rsidRDefault="00EB3C05" w:rsidP="00EB3C05">
      <w:pPr>
        <w:pStyle w:val="Textoindependiente"/>
        <w:jc w:val="both"/>
        <w:rPr>
          <w:bCs/>
        </w:rPr>
      </w:pPr>
      <w:r w:rsidRPr="008B2E0F">
        <w:rPr>
          <w:bCs/>
        </w:rPr>
        <w:t xml:space="preserve">Al 31 de diciembre de 2024, se reportan 333 procesos judiciales en contra de la UAEGRTD </w:t>
      </w:r>
      <w:r w:rsidRPr="008B2E0F">
        <w:rPr>
          <w:bCs/>
        </w:rPr>
        <w:lastRenderedPageBreak/>
        <w:t>con estado activo, de los cuales 27 presenta probabilidad de pérdida superior al 50% y 26 fueron registrados con provisión contable.</w:t>
      </w:r>
    </w:p>
    <w:p w14:paraId="07DBD339" w14:textId="77777777" w:rsidR="00EB3C05" w:rsidRDefault="00EB3C05" w:rsidP="00EB3C05">
      <w:pPr>
        <w:pStyle w:val="Textoindependiente"/>
        <w:jc w:val="both"/>
        <w:rPr>
          <w:bCs/>
        </w:rPr>
      </w:pPr>
    </w:p>
    <w:p w14:paraId="1742D394" w14:textId="77777777" w:rsidR="00EB3C05" w:rsidRDefault="00EB3C05" w:rsidP="00EB3C05">
      <w:pPr>
        <w:pStyle w:val="Textoindependiente"/>
        <w:jc w:val="center"/>
        <w:rPr>
          <w:bCs/>
        </w:rPr>
      </w:pPr>
      <w:r w:rsidRPr="008B2E0F">
        <w:rPr>
          <w:bCs/>
          <w:noProof/>
          <w:lang w:val="es-CO" w:eastAsia="es-CO"/>
        </w:rPr>
        <w:drawing>
          <wp:inline distT="0" distB="0" distL="0" distR="0" wp14:anchorId="28C4807E" wp14:editId="15822B35">
            <wp:extent cx="3867690" cy="1333686"/>
            <wp:effectExtent l="0" t="0" r="0" b="0"/>
            <wp:docPr id="2055712230" name="Imagen 205571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67690" cy="1333686"/>
                    </a:xfrm>
                    <a:prstGeom prst="rect">
                      <a:avLst/>
                    </a:prstGeom>
                  </pic:spPr>
                </pic:pic>
              </a:graphicData>
            </a:graphic>
          </wp:inline>
        </w:drawing>
      </w:r>
    </w:p>
    <w:p w14:paraId="79BB8C22" w14:textId="77777777" w:rsidR="00EB3C05" w:rsidRDefault="00EB3C05" w:rsidP="00EB3C05">
      <w:pPr>
        <w:pStyle w:val="Textoindependiente"/>
        <w:jc w:val="both"/>
        <w:rPr>
          <w:b/>
          <w:bCs/>
        </w:rPr>
      </w:pPr>
    </w:p>
    <w:p w14:paraId="2AFBFD79" w14:textId="77777777" w:rsidR="00EB3C05" w:rsidRDefault="00EB3C05" w:rsidP="00EB3C05">
      <w:pPr>
        <w:pStyle w:val="Textoindependiente"/>
        <w:jc w:val="both"/>
        <w:rPr>
          <w:b/>
          <w:bCs/>
        </w:rPr>
      </w:pPr>
      <w:r w:rsidRPr="008B2E0F">
        <w:rPr>
          <w:b/>
          <w:bCs/>
        </w:rPr>
        <w:t>23.1. Litigios y demandas</w:t>
      </w:r>
      <w:r>
        <w:rPr>
          <w:b/>
          <w:bCs/>
        </w:rPr>
        <w:t>.</w:t>
      </w:r>
      <w:r w:rsidRPr="008B2E0F">
        <w:rPr>
          <w:b/>
          <w:bCs/>
        </w:rPr>
        <w:t xml:space="preserve"> </w:t>
      </w:r>
    </w:p>
    <w:p w14:paraId="2037CE05" w14:textId="77777777" w:rsidR="00EB3C05" w:rsidRPr="008B2E0F" w:rsidRDefault="00EB3C05" w:rsidP="00EB3C05">
      <w:pPr>
        <w:pStyle w:val="Textoindependiente"/>
        <w:jc w:val="both"/>
        <w:rPr>
          <w:b/>
          <w:bCs/>
        </w:rPr>
      </w:pPr>
    </w:p>
    <w:p w14:paraId="17E75F19" w14:textId="77777777" w:rsidR="00EB3C05" w:rsidRDefault="00EB3C05" w:rsidP="00EB3C05">
      <w:pPr>
        <w:pStyle w:val="Textoindependiente"/>
        <w:jc w:val="both"/>
        <w:rPr>
          <w:bCs/>
        </w:rPr>
      </w:pPr>
      <w:r>
        <w:t>Los saldos de la cuenta de litigios y demandas al 31 de diciembre de 2024 y 2023 son:</w:t>
      </w:r>
    </w:p>
    <w:p w14:paraId="22380E49" w14:textId="77777777" w:rsidR="00EB3C05" w:rsidRDefault="00EB3C05" w:rsidP="00EB3C05">
      <w:pPr>
        <w:pStyle w:val="Textoindependiente"/>
        <w:jc w:val="both"/>
        <w:rPr>
          <w:bCs/>
        </w:rPr>
      </w:pPr>
    </w:p>
    <w:p w14:paraId="5B88D5F1" w14:textId="77777777" w:rsidR="00EB3C05" w:rsidRDefault="00EB3C05" w:rsidP="00EB3C05">
      <w:pPr>
        <w:pStyle w:val="Textoindependiente"/>
        <w:jc w:val="center"/>
        <w:rPr>
          <w:bCs/>
        </w:rPr>
      </w:pPr>
      <w:r w:rsidRPr="008B2E0F">
        <w:rPr>
          <w:bCs/>
          <w:noProof/>
          <w:lang w:val="es-CO" w:eastAsia="es-CO"/>
        </w:rPr>
        <w:drawing>
          <wp:inline distT="0" distB="0" distL="0" distR="0" wp14:anchorId="3DC04408" wp14:editId="13FEAE17">
            <wp:extent cx="6077798" cy="866896"/>
            <wp:effectExtent l="0" t="0" r="0" b="9525"/>
            <wp:docPr id="2055712231" name="Imagen 205571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77798" cy="866896"/>
                    </a:xfrm>
                    <a:prstGeom prst="rect">
                      <a:avLst/>
                    </a:prstGeom>
                  </pic:spPr>
                </pic:pic>
              </a:graphicData>
            </a:graphic>
          </wp:inline>
        </w:drawing>
      </w:r>
    </w:p>
    <w:p w14:paraId="2B846D12" w14:textId="77777777" w:rsidR="00EB3C05" w:rsidRDefault="00EB3C05" w:rsidP="00EB3C05">
      <w:pPr>
        <w:pStyle w:val="Textoindependiente"/>
        <w:jc w:val="both"/>
        <w:rPr>
          <w:bCs/>
        </w:rPr>
      </w:pPr>
    </w:p>
    <w:p w14:paraId="1259224F" w14:textId="77777777" w:rsidR="00EB3C05" w:rsidRDefault="00EB3C05" w:rsidP="00EB3C05">
      <w:pPr>
        <w:pStyle w:val="Textoindependiente"/>
        <w:jc w:val="both"/>
        <w:rPr>
          <w:bCs/>
        </w:rPr>
      </w:pPr>
      <w:r w:rsidRPr="008B2E0F">
        <w:rPr>
          <w:bCs/>
        </w:rPr>
        <w:t>De conformidad con lo establecido en la política contable, la provisión de los procesos en contra de la UAEGRTD se actualiza en los meses de junio y diciembre de cada vigencia.</w:t>
      </w:r>
    </w:p>
    <w:p w14:paraId="0085F137" w14:textId="77777777" w:rsidR="00EB3C05" w:rsidRPr="00C866A8" w:rsidRDefault="00EB3C05" w:rsidP="00EB3C05">
      <w:pPr>
        <w:pStyle w:val="Textoindependiente"/>
        <w:jc w:val="both"/>
        <w:rPr>
          <w:bCs/>
        </w:rPr>
      </w:pPr>
    </w:p>
    <w:p w14:paraId="2D838D85" w14:textId="77777777" w:rsidR="00EB3C05" w:rsidRDefault="00EB3C05" w:rsidP="00EB3C05">
      <w:pPr>
        <w:pStyle w:val="Textoindependiente"/>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AD8E62F" w14:textId="77777777" w:rsidR="00EB3C05" w:rsidRDefault="00EB3C05" w:rsidP="00EB3C05">
      <w:pPr>
        <w:pStyle w:val="Textoindependiente"/>
        <w:jc w:val="both"/>
        <w:rPr>
          <w:b/>
          <w:sz w:val="28"/>
          <w:szCs w:val="28"/>
        </w:rPr>
      </w:pPr>
    </w:p>
    <w:p w14:paraId="5E036743" w14:textId="77777777" w:rsidR="00EB3C05" w:rsidRPr="009B2CA9" w:rsidRDefault="00EB3C05" w:rsidP="00EB3C05">
      <w:pPr>
        <w:pStyle w:val="Textoindependiente"/>
        <w:ind w:left="-142"/>
        <w:jc w:val="center"/>
        <w:rPr>
          <w:b/>
        </w:rPr>
      </w:pPr>
      <w:r w:rsidRPr="009B2CA9">
        <w:rPr>
          <w:b/>
        </w:rPr>
        <w:t>Deudores Morosos del Estado del Nivel Nacional</w:t>
      </w:r>
    </w:p>
    <w:p w14:paraId="439D50CA" w14:textId="77777777" w:rsidR="00EB3C05" w:rsidRPr="009B2CA9" w:rsidRDefault="00EB3C05" w:rsidP="00EB3C05">
      <w:pPr>
        <w:pStyle w:val="Textoindependiente"/>
        <w:ind w:left="-142"/>
        <w:jc w:val="center"/>
        <w:rPr>
          <w:b/>
        </w:rPr>
      </w:pPr>
      <w:r w:rsidRPr="009B2CA9">
        <w:rPr>
          <w:b/>
        </w:rPr>
        <w:t>Noviembre 30 de 202</w:t>
      </w:r>
      <w:r>
        <w:rPr>
          <w:b/>
        </w:rPr>
        <w:t>4</w:t>
      </w:r>
    </w:p>
    <w:p w14:paraId="053136A5" w14:textId="77777777" w:rsidR="00EB3C05" w:rsidRDefault="00EB3C05" w:rsidP="00EB3C05">
      <w:pPr>
        <w:pStyle w:val="Textoindependiente"/>
        <w:ind w:left="-142"/>
        <w:jc w:val="center"/>
        <w:rPr>
          <w:b/>
        </w:rPr>
      </w:pPr>
      <w:r w:rsidRPr="009B2CA9">
        <w:rPr>
          <w:b/>
        </w:rPr>
        <w:t>Cifras en miles de millones de pesos</w:t>
      </w:r>
    </w:p>
    <w:p w14:paraId="4C0A0293" w14:textId="77777777" w:rsidR="00EB3C05" w:rsidRDefault="00EB3C05" w:rsidP="00EB3C05">
      <w:pPr>
        <w:pStyle w:val="Textoindependiente"/>
        <w:ind w:left="-142"/>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2600"/>
        <w:gridCol w:w="3046"/>
      </w:tblGrid>
      <w:tr w:rsidR="00EB3C05" w:rsidRPr="00E20EF9" w14:paraId="6C5F4E92" w14:textId="77777777" w:rsidTr="00874B2D">
        <w:trPr>
          <w:trHeight w:val="562"/>
        </w:trPr>
        <w:tc>
          <w:tcPr>
            <w:tcW w:w="4264" w:type="dxa"/>
            <w:shd w:val="clear" w:color="auto" w:fill="auto"/>
            <w:vAlign w:val="center"/>
          </w:tcPr>
          <w:p w14:paraId="3711A8CE" w14:textId="77777777" w:rsidR="00EB3C05" w:rsidRDefault="00EB3C05" w:rsidP="00874B2D">
            <w:pPr>
              <w:jc w:val="center"/>
              <w:rPr>
                <w:rFonts w:eastAsia="Arial MT"/>
                <w:b/>
                <w:sz w:val="18"/>
                <w:szCs w:val="18"/>
              </w:rPr>
            </w:pPr>
            <w:r w:rsidRPr="00E20EF9">
              <w:rPr>
                <w:rFonts w:eastAsia="Arial MT"/>
                <w:b/>
                <w:sz w:val="18"/>
                <w:szCs w:val="18"/>
              </w:rPr>
              <w:t xml:space="preserve">DEUDORES MOROSOS DEL ESTADO </w:t>
            </w:r>
          </w:p>
          <w:p w14:paraId="3B85B3CA" w14:textId="77777777" w:rsidR="00EB3C05" w:rsidRPr="00E20EF9" w:rsidRDefault="00EB3C05" w:rsidP="00874B2D">
            <w:pPr>
              <w:jc w:val="center"/>
              <w:rPr>
                <w:rFonts w:eastAsia="Arial MT"/>
                <w:b/>
                <w:sz w:val="18"/>
                <w:szCs w:val="18"/>
              </w:rPr>
            </w:pPr>
            <w:r w:rsidRPr="00E20EF9">
              <w:rPr>
                <w:rFonts w:eastAsia="Arial MT"/>
                <w:b/>
                <w:sz w:val="18"/>
                <w:szCs w:val="18"/>
              </w:rPr>
              <w:t>POR TIPO DE PERSONA</w:t>
            </w:r>
          </w:p>
          <w:p w14:paraId="134F14C4" w14:textId="77777777" w:rsidR="00EB3C05" w:rsidRPr="00E20EF9" w:rsidRDefault="00EB3C05" w:rsidP="00874B2D">
            <w:pPr>
              <w:jc w:val="center"/>
              <w:rPr>
                <w:rFonts w:eastAsia="Arial MT"/>
                <w:b/>
                <w:sz w:val="18"/>
                <w:szCs w:val="18"/>
              </w:rPr>
            </w:pPr>
            <w:r w:rsidRPr="00E20EF9">
              <w:rPr>
                <w:rFonts w:eastAsia="Arial MT"/>
                <w:b/>
                <w:sz w:val="18"/>
                <w:szCs w:val="18"/>
              </w:rPr>
              <w:t>NIVEL NACIONAL</w:t>
            </w:r>
          </w:p>
          <w:p w14:paraId="5BDC6883" w14:textId="77777777" w:rsidR="00EB3C05" w:rsidRPr="00E20EF9" w:rsidRDefault="00EB3C05" w:rsidP="00874B2D">
            <w:pPr>
              <w:jc w:val="center"/>
              <w:rPr>
                <w:rFonts w:eastAsia="Arial MT"/>
                <w:b/>
                <w:sz w:val="18"/>
                <w:szCs w:val="18"/>
              </w:rPr>
            </w:pPr>
          </w:p>
        </w:tc>
        <w:tc>
          <w:tcPr>
            <w:tcW w:w="2600" w:type="dxa"/>
            <w:shd w:val="clear" w:color="auto" w:fill="auto"/>
            <w:vAlign w:val="center"/>
          </w:tcPr>
          <w:p w14:paraId="31A2441B" w14:textId="77777777" w:rsidR="00EB3C05" w:rsidRPr="00E20EF9" w:rsidRDefault="00EB3C05" w:rsidP="00874B2D">
            <w:pPr>
              <w:jc w:val="center"/>
              <w:rPr>
                <w:rFonts w:eastAsia="Arial MT"/>
                <w:b/>
                <w:sz w:val="18"/>
                <w:szCs w:val="18"/>
              </w:rPr>
            </w:pPr>
            <w:r w:rsidRPr="00E20EF9">
              <w:rPr>
                <w:rFonts w:eastAsia="Arial MT"/>
                <w:b/>
                <w:sz w:val="18"/>
                <w:szCs w:val="18"/>
              </w:rPr>
              <w:t>No. DE PERSONAS</w:t>
            </w:r>
          </w:p>
        </w:tc>
        <w:tc>
          <w:tcPr>
            <w:tcW w:w="3046" w:type="dxa"/>
            <w:shd w:val="clear" w:color="auto" w:fill="auto"/>
            <w:vAlign w:val="center"/>
          </w:tcPr>
          <w:p w14:paraId="391B8378" w14:textId="77777777" w:rsidR="00EB3C05" w:rsidRPr="00E20EF9" w:rsidRDefault="00EB3C05" w:rsidP="00874B2D">
            <w:pPr>
              <w:jc w:val="center"/>
              <w:rPr>
                <w:rFonts w:eastAsia="Arial MT"/>
                <w:b/>
                <w:sz w:val="18"/>
                <w:szCs w:val="18"/>
              </w:rPr>
            </w:pPr>
            <w:r w:rsidRPr="00E20EF9">
              <w:rPr>
                <w:rFonts w:eastAsia="Arial MT"/>
                <w:b/>
                <w:sz w:val="18"/>
                <w:szCs w:val="18"/>
              </w:rPr>
              <w:t>VALOR TOTAL POR TIPO DE PERSONA, DEUDORES MOROSOS DEL ESTADO</w:t>
            </w:r>
          </w:p>
          <w:p w14:paraId="6F8F6D41" w14:textId="77777777" w:rsidR="00EB3C05" w:rsidRPr="00E20EF9" w:rsidRDefault="00EB3C05" w:rsidP="00874B2D">
            <w:pPr>
              <w:jc w:val="center"/>
              <w:rPr>
                <w:rFonts w:eastAsia="Arial MT"/>
                <w:b/>
                <w:sz w:val="18"/>
                <w:szCs w:val="18"/>
              </w:rPr>
            </w:pPr>
            <w:r w:rsidRPr="00E20EF9">
              <w:rPr>
                <w:rFonts w:eastAsia="Arial MT"/>
                <w:b/>
                <w:sz w:val="18"/>
                <w:szCs w:val="18"/>
              </w:rPr>
              <w:t>NIVEL NACIONAL</w:t>
            </w:r>
          </w:p>
        </w:tc>
      </w:tr>
      <w:tr w:rsidR="00EB3C05" w:rsidRPr="00E20EF9" w14:paraId="692E75D4" w14:textId="77777777" w:rsidTr="00874B2D">
        <w:trPr>
          <w:trHeight w:val="296"/>
        </w:trPr>
        <w:tc>
          <w:tcPr>
            <w:tcW w:w="4264" w:type="dxa"/>
            <w:vAlign w:val="center"/>
          </w:tcPr>
          <w:p w14:paraId="1F562FE7" w14:textId="77777777" w:rsidR="00EB3C05" w:rsidRPr="00E20EF9" w:rsidRDefault="00EB3C05" w:rsidP="00874B2D">
            <w:pPr>
              <w:jc w:val="center"/>
              <w:rPr>
                <w:rFonts w:eastAsia="Arial MT"/>
                <w:b/>
                <w:sz w:val="18"/>
                <w:szCs w:val="18"/>
              </w:rPr>
            </w:pPr>
            <w:r w:rsidRPr="00E20EF9">
              <w:rPr>
                <w:rFonts w:eastAsia="Arial MT"/>
                <w:b/>
                <w:sz w:val="18"/>
                <w:szCs w:val="18"/>
              </w:rPr>
              <w:t>NATURALES</w:t>
            </w:r>
          </w:p>
        </w:tc>
        <w:tc>
          <w:tcPr>
            <w:tcW w:w="2600" w:type="dxa"/>
            <w:vAlign w:val="center"/>
          </w:tcPr>
          <w:p w14:paraId="487863F2" w14:textId="77777777" w:rsidR="00EB3C05" w:rsidRPr="00E20EF9" w:rsidRDefault="00EB3C05" w:rsidP="00874B2D">
            <w:pPr>
              <w:jc w:val="center"/>
              <w:rPr>
                <w:rFonts w:eastAsia="Arial MT"/>
                <w:sz w:val="18"/>
                <w:szCs w:val="18"/>
              </w:rPr>
            </w:pPr>
            <w:r>
              <w:rPr>
                <w:rFonts w:eastAsia="Arial MT"/>
                <w:sz w:val="18"/>
                <w:szCs w:val="18"/>
              </w:rPr>
              <w:t>0</w:t>
            </w:r>
          </w:p>
        </w:tc>
        <w:tc>
          <w:tcPr>
            <w:tcW w:w="3046" w:type="dxa"/>
            <w:vAlign w:val="center"/>
          </w:tcPr>
          <w:p w14:paraId="4D9F0924" w14:textId="77777777" w:rsidR="00EB3C05" w:rsidRPr="00E20EF9" w:rsidRDefault="00EB3C05" w:rsidP="00874B2D">
            <w:pPr>
              <w:jc w:val="right"/>
              <w:rPr>
                <w:rFonts w:eastAsia="Arial MT"/>
                <w:sz w:val="18"/>
                <w:szCs w:val="18"/>
              </w:rPr>
            </w:pPr>
            <w:r w:rsidRPr="00E20EF9">
              <w:rPr>
                <w:rFonts w:eastAsia="Arial MT"/>
                <w:sz w:val="18"/>
                <w:szCs w:val="18"/>
              </w:rPr>
              <w:t>$</w:t>
            </w:r>
            <w:r>
              <w:rPr>
                <w:rFonts w:eastAsia="Arial MT"/>
                <w:sz w:val="18"/>
                <w:szCs w:val="18"/>
              </w:rPr>
              <w:t>0.000</w:t>
            </w:r>
            <w:r w:rsidRPr="00E20EF9">
              <w:rPr>
                <w:rFonts w:eastAsia="Arial MT"/>
                <w:sz w:val="18"/>
                <w:szCs w:val="18"/>
              </w:rPr>
              <w:t xml:space="preserve"> </w:t>
            </w:r>
          </w:p>
        </w:tc>
      </w:tr>
      <w:tr w:rsidR="00EB3C05" w:rsidRPr="00E20EF9" w14:paraId="5323652E" w14:textId="77777777" w:rsidTr="00874B2D">
        <w:trPr>
          <w:trHeight w:val="254"/>
        </w:trPr>
        <w:tc>
          <w:tcPr>
            <w:tcW w:w="4264" w:type="dxa"/>
            <w:vAlign w:val="center"/>
          </w:tcPr>
          <w:p w14:paraId="366B385B" w14:textId="77777777" w:rsidR="00EB3C05" w:rsidRPr="00E20EF9" w:rsidRDefault="00EB3C05" w:rsidP="00874B2D">
            <w:pPr>
              <w:jc w:val="center"/>
              <w:rPr>
                <w:rFonts w:eastAsia="Arial MT"/>
                <w:b/>
                <w:sz w:val="18"/>
                <w:szCs w:val="18"/>
              </w:rPr>
            </w:pPr>
            <w:r w:rsidRPr="00E20EF9">
              <w:rPr>
                <w:rFonts w:eastAsia="Arial MT"/>
                <w:b/>
                <w:sz w:val="18"/>
                <w:szCs w:val="18"/>
              </w:rPr>
              <w:t>JURIDICAS</w:t>
            </w:r>
          </w:p>
        </w:tc>
        <w:tc>
          <w:tcPr>
            <w:tcW w:w="2600" w:type="dxa"/>
            <w:vAlign w:val="center"/>
          </w:tcPr>
          <w:p w14:paraId="4A5DDBF1" w14:textId="77777777" w:rsidR="00EB3C05" w:rsidRPr="00E20EF9" w:rsidRDefault="00EB3C05" w:rsidP="00874B2D">
            <w:pPr>
              <w:jc w:val="center"/>
              <w:rPr>
                <w:rFonts w:eastAsia="Arial MT"/>
                <w:sz w:val="18"/>
                <w:szCs w:val="18"/>
              </w:rPr>
            </w:pPr>
            <w:r>
              <w:rPr>
                <w:rFonts w:eastAsia="Arial MT"/>
                <w:sz w:val="18"/>
                <w:szCs w:val="18"/>
              </w:rPr>
              <w:t>2</w:t>
            </w:r>
          </w:p>
        </w:tc>
        <w:tc>
          <w:tcPr>
            <w:tcW w:w="3046" w:type="dxa"/>
            <w:vAlign w:val="center"/>
          </w:tcPr>
          <w:p w14:paraId="0DCB8113" w14:textId="77777777" w:rsidR="00EB3C05" w:rsidRPr="00E20EF9" w:rsidRDefault="00EB3C05" w:rsidP="00874B2D">
            <w:pPr>
              <w:jc w:val="right"/>
              <w:rPr>
                <w:rFonts w:eastAsia="Arial MT"/>
                <w:sz w:val="18"/>
                <w:szCs w:val="18"/>
              </w:rPr>
            </w:pPr>
            <w:r w:rsidRPr="00E20EF9">
              <w:rPr>
                <w:rFonts w:eastAsia="Arial MT"/>
                <w:sz w:val="18"/>
                <w:szCs w:val="18"/>
              </w:rPr>
              <w:t>$</w:t>
            </w:r>
            <w:r>
              <w:rPr>
                <w:rFonts w:eastAsia="Arial MT"/>
                <w:sz w:val="18"/>
                <w:szCs w:val="18"/>
              </w:rPr>
              <w:t>0.046</w:t>
            </w:r>
          </w:p>
        </w:tc>
      </w:tr>
      <w:tr w:rsidR="00EB3C05" w:rsidRPr="00E20EF9" w14:paraId="4114413A" w14:textId="77777777" w:rsidTr="00874B2D">
        <w:trPr>
          <w:trHeight w:val="392"/>
        </w:trPr>
        <w:tc>
          <w:tcPr>
            <w:tcW w:w="4264" w:type="dxa"/>
            <w:vAlign w:val="center"/>
          </w:tcPr>
          <w:p w14:paraId="0FED8728" w14:textId="77777777" w:rsidR="00EB3C05" w:rsidRPr="00E20EF9" w:rsidRDefault="00EB3C05" w:rsidP="00874B2D">
            <w:pPr>
              <w:jc w:val="center"/>
              <w:rPr>
                <w:rFonts w:eastAsia="Arial MT"/>
                <w:b/>
                <w:sz w:val="18"/>
                <w:szCs w:val="18"/>
              </w:rPr>
            </w:pPr>
            <w:r w:rsidRPr="00E20EF9">
              <w:rPr>
                <w:rFonts w:eastAsia="Arial MT"/>
                <w:b/>
                <w:sz w:val="18"/>
                <w:szCs w:val="18"/>
              </w:rPr>
              <w:t>TOTAL PERSONAS NATURALES MÁS JURÍDICAS</w:t>
            </w:r>
          </w:p>
        </w:tc>
        <w:tc>
          <w:tcPr>
            <w:tcW w:w="2600" w:type="dxa"/>
            <w:vAlign w:val="center"/>
          </w:tcPr>
          <w:p w14:paraId="2666BD29" w14:textId="77777777" w:rsidR="00EB3C05" w:rsidRPr="00E20EF9" w:rsidRDefault="00EB3C05" w:rsidP="00874B2D">
            <w:pPr>
              <w:jc w:val="center"/>
              <w:rPr>
                <w:rFonts w:eastAsia="Arial MT"/>
                <w:sz w:val="18"/>
                <w:szCs w:val="18"/>
                <w:u w:val="single"/>
              </w:rPr>
            </w:pPr>
            <w:r w:rsidRPr="00E20EF9">
              <w:rPr>
                <w:rFonts w:eastAsia="Arial MT"/>
                <w:sz w:val="18"/>
                <w:szCs w:val="18"/>
                <w:u w:val="single"/>
              </w:rPr>
              <w:t>No.</w:t>
            </w:r>
            <w:r>
              <w:rPr>
                <w:rFonts w:eastAsia="Arial MT"/>
                <w:sz w:val="18"/>
                <w:szCs w:val="18"/>
                <w:u w:val="single"/>
              </w:rPr>
              <w:t xml:space="preserve"> 2</w:t>
            </w:r>
            <w:r w:rsidRPr="00E20EF9">
              <w:rPr>
                <w:rFonts w:eastAsia="Arial MT"/>
                <w:sz w:val="18"/>
                <w:szCs w:val="18"/>
                <w:u w:val="single"/>
              </w:rPr>
              <w:t xml:space="preserve"> </w:t>
            </w:r>
          </w:p>
        </w:tc>
        <w:tc>
          <w:tcPr>
            <w:tcW w:w="3046" w:type="dxa"/>
            <w:vAlign w:val="center"/>
          </w:tcPr>
          <w:p w14:paraId="4E738724" w14:textId="77777777" w:rsidR="00EB3C05" w:rsidRPr="00E20EF9" w:rsidRDefault="00EB3C05" w:rsidP="00874B2D">
            <w:pPr>
              <w:jc w:val="right"/>
              <w:rPr>
                <w:rFonts w:eastAsia="Arial MT"/>
                <w:sz w:val="18"/>
                <w:szCs w:val="18"/>
              </w:rPr>
            </w:pPr>
            <w:r w:rsidRPr="00E20EF9">
              <w:rPr>
                <w:rFonts w:eastAsia="Arial MT"/>
                <w:sz w:val="18"/>
                <w:szCs w:val="18"/>
              </w:rPr>
              <w:t>$</w:t>
            </w:r>
            <w:r>
              <w:rPr>
                <w:rFonts w:eastAsia="Arial MT"/>
                <w:sz w:val="18"/>
                <w:szCs w:val="18"/>
              </w:rPr>
              <w:t>0.046</w:t>
            </w:r>
          </w:p>
        </w:tc>
      </w:tr>
      <w:tr w:rsidR="00EB3C05" w:rsidRPr="00E20EF9" w14:paraId="25A09DC0" w14:textId="77777777" w:rsidTr="00874B2D">
        <w:trPr>
          <w:trHeight w:val="431"/>
        </w:trPr>
        <w:tc>
          <w:tcPr>
            <w:tcW w:w="4264" w:type="dxa"/>
            <w:vAlign w:val="center"/>
          </w:tcPr>
          <w:p w14:paraId="41171D0C" w14:textId="77777777" w:rsidR="00EB3C05" w:rsidRPr="00E20EF9" w:rsidRDefault="00EB3C05" w:rsidP="00874B2D">
            <w:pPr>
              <w:jc w:val="center"/>
              <w:rPr>
                <w:rFonts w:eastAsia="Arial MT"/>
                <w:b/>
                <w:sz w:val="18"/>
                <w:szCs w:val="18"/>
              </w:rPr>
            </w:pPr>
            <w:r w:rsidRPr="00E20EF9">
              <w:rPr>
                <w:rFonts w:eastAsia="Arial MT"/>
                <w:b/>
                <w:sz w:val="18"/>
                <w:szCs w:val="18"/>
              </w:rPr>
              <w:t>GRAN TOTAL BDME PERSONAS NATURALES MÁS JURÍDICAS A</w:t>
            </w:r>
            <w:r w:rsidRPr="0010147B">
              <w:rPr>
                <w:b/>
                <w:sz w:val="18"/>
                <w:szCs w:val="18"/>
              </w:rPr>
              <w:t>30 DE NOVIEMBRE 2024</w:t>
            </w:r>
          </w:p>
        </w:tc>
        <w:tc>
          <w:tcPr>
            <w:tcW w:w="2600" w:type="dxa"/>
            <w:vAlign w:val="center"/>
          </w:tcPr>
          <w:p w14:paraId="2EC21A12" w14:textId="77777777" w:rsidR="00EB3C05" w:rsidRPr="00E20EF9" w:rsidRDefault="00EB3C05" w:rsidP="00874B2D">
            <w:pPr>
              <w:jc w:val="center"/>
              <w:rPr>
                <w:rFonts w:eastAsia="Arial MT"/>
                <w:b/>
                <w:sz w:val="18"/>
                <w:szCs w:val="18"/>
                <w:u w:val="single"/>
              </w:rPr>
            </w:pPr>
            <w:r>
              <w:rPr>
                <w:rFonts w:eastAsia="Arial MT"/>
                <w:b/>
                <w:sz w:val="18"/>
                <w:szCs w:val="18"/>
                <w:u w:val="single"/>
              </w:rPr>
              <w:t>2</w:t>
            </w:r>
          </w:p>
        </w:tc>
        <w:tc>
          <w:tcPr>
            <w:tcW w:w="3046" w:type="dxa"/>
            <w:vAlign w:val="center"/>
          </w:tcPr>
          <w:p w14:paraId="676EEDAB" w14:textId="77777777" w:rsidR="00EB3C05" w:rsidRPr="00E20EF9" w:rsidRDefault="00EB3C05" w:rsidP="00874B2D">
            <w:pPr>
              <w:jc w:val="right"/>
              <w:rPr>
                <w:rFonts w:eastAsia="Arial MT"/>
                <w:b/>
                <w:sz w:val="18"/>
                <w:szCs w:val="18"/>
                <w:u w:val="single"/>
              </w:rPr>
            </w:pPr>
            <w:r w:rsidRPr="00E20EF9">
              <w:rPr>
                <w:rFonts w:eastAsia="Arial MT"/>
                <w:b/>
                <w:sz w:val="18"/>
                <w:szCs w:val="18"/>
                <w:u w:val="single"/>
              </w:rPr>
              <w:t>$</w:t>
            </w:r>
            <w:r>
              <w:rPr>
                <w:rFonts w:eastAsia="Arial MT"/>
                <w:b/>
                <w:sz w:val="18"/>
                <w:szCs w:val="18"/>
                <w:u w:val="single"/>
              </w:rPr>
              <w:t>0.046</w:t>
            </w:r>
          </w:p>
        </w:tc>
      </w:tr>
    </w:tbl>
    <w:p w14:paraId="1DD0A66B" w14:textId="77777777" w:rsidR="00EB3C05" w:rsidRDefault="00EB3C05" w:rsidP="00EB3C05">
      <w:pPr>
        <w:pStyle w:val="Textoindependiente"/>
        <w:ind w:left="-142"/>
        <w:jc w:val="center"/>
        <w:rPr>
          <w:b/>
        </w:rPr>
      </w:pPr>
    </w:p>
    <w:p w14:paraId="688D1E47" w14:textId="77777777" w:rsidR="00EB3C05" w:rsidRPr="001D402D" w:rsidRDefault="00EB3C05" w:rsidP="00EB3C05">
      <w:pPr>
        <w:pStyle w:val="Textoindependiente"/>
        <w:jc w:val="both"/>
        <w:rPr>
          <w:b/>
          <w:bCs/>
          <w:sz w:val="28"/>
          <w:szCs w:val="28"/>
        </w:rPr>
      </w:pPr>
      <w:r>
        <w:rPr>
          <w:b/>
          <w:bCs/>
          <w:sz w:val="28"/>
          <w:szCs w:val="28"/>
        </w:rPr>
        <w:t>C</w:t>
      </w:r>
      <w:r w:rsidRPr="001D402D">
        <w:rPr>
          <w:b/>
          <w:bCs/>
          <w:sz w:val="28"/>
          <w:szCs w:val="28"/>
        </w:rPr>
        <w:t>.- INFORME DE LA AUTOCALIFICACIÓN DEL SISTEMA DE CONTROL INTERNO CONTABLE:</w:t>
      </w:r>
    </w:p>
    <w:p w14:paraId="08CF679B" w14:textId="77777777" w:rsidR="00EB3C05" w:rsidRDefault="00EB3C05" w:rsidP="00EB3C05">
      <w:pPr>
        <w:pStyle w:val="Textoindependiente"/>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EB3C05" w:rsidRPr="00E648AF" w14:paraId="6D635882" w14:textId="77777777" w:rsidTr="00874B2D">
        <w:tc>
          <w:tcPr>
            <w:tcW w:w="4981" w:type="dxa"/>
          </w:tcPr>
          <w:p w14:paraId="17C668AC" w14:textId="77777777" w:rsidR="00EB3C05" w:rsidRPr="00E648AF" w:rsidRDefault="00EB3C05" w:rsidP="00874B2D">
            <w:pPr>
              <w:jc w:val="center"/>
              <w:rPr>
                <w:b/>
                <w:sz w:val="24"/>
                <w:szCs w:val="24"/>
                <w:lang w:val="es-MX"/>
              </w:rPr>
            </w:pPr>
            <w:r w:rsidRPr="00E648AF">
              <w:rPr>
                <w:b/>
                <w:sz w:val="24"/>
                <w:szCs w:val="24"/>
                <w:lang w:val="es-MX"/>
              </w:rPr>
              <w:t>AUTOCALIFICACIÓN</w:t>
            </w:r>
          </w:p>
        </w:tc>
        <w:tc>
          <w:tcPr>
            <w:tcW w:w="4981" w:type="dxa"/>
          </w:tcPr>
          <w:p w14:paraId="31AA4D47" w14:textId="77777777" w:rsidR="00EB3C05" w:rsidRPr="00E648AF" w:rsidRDefault="00EB3C05" w:rsidP="00874B2D">
            <w:pPr>
              <w:jc w:val="center"/>
              <w:rPr>
                <w:b/>
                <w:sz w:val="24"/>
                <w:szCs w:val="24"/>
                <w:u w:val="single"/>
                <w:lang w:val="es-MX"/>
              </w:rPr>
            </w:pPr>
            <w:r>
              <w:rPr>
                <w:b/>
                <w:sz w:val="24"/>
                <w:szCs w:val="24"/>
                <w:u w:val="single"/>
                <w:lang w:val="es-MX"/>
              </w:rPr>
              <w:t>4.69</w:t>
            </w:r>
          </w:p>
        </w:tc>
      </w:tr>
    </w:tbl>
    <w:p w14:paraId="17476A84" w14:textId="77777777" w:rsidR="00EB3C05" w:rsidRDefault="00EB3C05" w:rsidP="00EB3C05">
      <w:pPr>
        <w:pStyle w:val="Textoindependiente"/>
        <w:jc w:val="both"/>
        <w:rPr>
          <w:b/>
          <w:bCs/>
          <w:sz w:val="28"/>
          <w:szCs w:val="28"/>
        </w:rPr>
      </w:pPr>
    </w:p>
    <w:p w14:paraId="29CE0406" w14:textId="510C976A" w:rsidR="00EB3C05" w:rsidRDefault="00EB3C05" w:rsidP="00EB3C05">
      <w:pPr>
        <w:pStyle w:val="Textoindependiente"/>
        <w:jc w:val="both"/>
        <w:rPr>
          <w:b/>
          <w:bCs/>
          <w:sz w:val="28"/>
          <w:szCs w:val="28"/>
        </w:rPr>
      </w:pPr>
      <w:r>
        <w:rPr>
          <w:b/>
          <w:bCs/>
          <w:sz w:val="28"/>
          <w:szCs w:val="28"/>
        </w:rPr>
        <w:lastRenderedPageBreak/>
        <w:t>Del informe enviado retomamos lo siguiente:</w:t>
      </w:r>
    </w:p>
    <w:p w14:paraId="6B199BB1" w14:textId="77777777" w:rsidR="007E3EDE" w:rsidRDefault="007E3EDE" w:rsidP="00EB3C05">
      <w:pPr>
        <w:pStyle w:val="Textoindependiente"/>
        <w:jc w:val="both"/>
        <w:rPr>
          <w:b/>
          <w:bCs/>
          <w:sz w:val="28"/>
          <w:szCs w:val="28"/>
        </w:rPr>
      </w:pPr>
    </w:p>
    <w:p w14:paraId="5F7D2B40" w14:textId="77777777" w:rsidR="00EB3C05" w:rsidRPr="00BD6BD8" w:rsidRDefault="00EB3C05" w:rsidP="00EB3C05">
      <w:pPr>
        <w:widowControl/>
        <w:numPr>
          <w:ilvl w:val="2"/>
          <w:numId w:val="27"/>
        </w:numPr>
        <w:autoSpaceDE/>
        <w:autoSpaceDN/>
        <w:ind w:left="0" w:firstLine="0"/>
        <w:contextualSpacing/>
        <w:jc w:val="both"/>
        <w:rPr>
          <w:rFonts w:eastAsia="Calibri"/>
          <w:b/>
          <w:bCs/>
          <w:noProof/>
          <w:sz w:val="24"/>
          <w:szCs w:val="24"/>
          <w:lang w:val="es-CO"/>
        </w:rPr>
      </w:pPr>
      <w:r w:rsidRPr="00BD6BD8">
        <w:rPr>
          <w:rFonts w:eastAsia="Calibri"/>
          <w:b/>
          <w:bCs/>
          <w:noProof/>
          <w:sz w:val="24"/>
          <w:szCs w:val="24"/>
          <w:lang w:val="es-CO"/>
        </w:rPr>
        <w:t>Debilidades y recomendaciones</w:t>
      </w:r>
    </w:p>
    <w:p w14:paraId="5FF1249E" w14:textId="77777777" w:rsidR="00EB3C05" w:rsidRPr="00BD6BD8" w:rsidRDefault="00EB3C05" w:rsidP="00EB3C05">
      <w:pPr>
        <w:widowControl/>
        <w:autoSpaceDE/>
        <w:autoSpaceDN/>
        <w:jc w:val="both"/>
        <w:rPr>
          <w:rFonts w:eastAsia="Calibri"/>
          <w:b/>
          <w:bCs/>
          <w:noProof/>
          <w:sz w:val="24"/>
          <w:szCs w:val="24"/>
          <w:lang w:val="es-CO"/>
        </w:rPr>
      </w:pPr>
    </w:p>
    <w:p w14:paraId="4116B098" w14:textId="77777777" w:rsidR="00EB3C05" w:rsidRPr="00BD6BD8" w:rsidRDefault="00EB3C05" w:rsidP="00EB3C05">
      <w:pPr>
        <w:widowControl/>
        <w:numPr>
          <w:ilvl w:val="0"/>
          <w:numId w:val="28"/>
        </w:numPr>
        <w:autoSpaceDE/>
        <w:autoSpaceDN/>
        <w:ind w:left="0" w:firstLine="0"/>
        <w:contextualSpacing/>
        <w:jc w:val="both"/>
        <w:rPr>
          <w:rFonts w:eastAsia="Calibri"/>
          <w:b/>
          <w:bCs/>
          <w:noProof/>
          <w:sz w:val="24"/>
          <w:szCs w:val="24"/>
          <w:lang w:val="es-CO"/>
        </w:rPr>
      </w:pPr>
      <w:r w:rsidRPr="00BD6BD8">
        <w:rPr>
          <w:rFonts w:eastAsia="Calibri"/>
          <w:b/>
          <w:bCs/>
          <w:noProof/>
          <w:sz w:val="24"/>
          <w:szCs w:val="24"/>
          <w:lang w:val="es-CO"/>
        </w:rPr>
        <w:t>No. 1 – Ausencia de los Estados Financieros en la última Audiencia de Rendición de Cuentas de la entidad</w:t>
      </w:r>
    </w:p>
    <w:p w14:paraId="1E817FFA" w14:textId="77777777" w:rsidR="00EB3C05" w:rsidRPr="00BD6BD8" w:rsidRDefault="00EB3C05" w:rsidP="00EB3C05">
      <w:pPr>
        <w:widowControl/>
        <w:autoSpaceDE/>
        <w:autoSpaceDN/>
        <w:jc w:val="both"/>
        <w:rPr>
          <w:rFonts w:eastAsia="Calibri"/>
          <w:b/>
          <w:bCs/>
          <w:noProof/>
          <w:sz w:val="24"/>
          <w:szCs w:val="24"/>
          <w:lang w:val="es-CO"/>
        </w:rPr>
      </w:pPr>
    </w:p>
    <w:p w14:paraId="69175B9B" w14:textId="77777777" w:rsidR="00EB3C05" w:rsidRPr="00BD6BD8" w:rsidRDefault="00EB3C05" w:rsidP="00EB3C05">
      <w:pPr>
        <w:widowControl/>
        <w:autoSpaceDE/>
        <w:autoSpaceDN/>
        <w:jc w:val="both"/>
        <w:rPr>
          <w:rFonts w:eastAsia="Calibri"/>
          <w:noProof/>
          <w:sz w:val="24"/>
          <w:szCs w:val="24"/>
          <w:lang w:val="es-CO"/>
        </w:rPr>
      </w:pPr>
      <w:r w:rsidRPr="00BD6BD8">
        <w:rPr>
          <w:rFonts w:eastAsia="Calibri"/>
          <w:noProof/>
          <w:sz w:val="24"/>
          <w:szCs w:val="24"/>
          <w:lang w:val="es-CO"/>
        </w:rPr>
        <w:t xml:space="preserve">La Oficina de Control Interno validó </w:t>
      </w:r>
      <w:r w:rsidRPr="00BD6BD8">
        <w:rPr>
          <w:rFonts w:eastAsia="Calibri"/>
          <w:i/>
          <w:iCs/>
          <w:noProof/>
          <w:sz w:val="24"/>
          <w:szCs w:val="24"/>
          <w:lang w:val="es-CO"/>
        </w:rPr>
        <w:t>“el informe Posterior a la Audiencia Pública de Rendición de Cuentas 2023”</w:t>
      </w:r>
      <w:r w:rsidRPr="00BD6BD8">
        <w:rPr>
          <w:rFonts w:eastAsia="Calibri"/>
          <w:noProof/>
          <w:sz w:val="24"/>
          <w:szCs w:val="24"/>
          <w:lang w:val="es-CO"/>
        </w:rPr>
        <w:t>, en el cual no se evidenció que los Estados Financieros fueran presentados en la Audiencia de Rendición de Cuentas del 06 de julio de 2024, llevada a cabo de forma presencial en el municipio San Onofre (Sucre).</w:t>
      </w:r>
    </w:p>
    <w:p w14:paraId="40223595" w14:textId="77777777" w:rsidR="00EB3C05" w:rsidRPr="00BD6BD8" w:rsidRDefault="00EB3C05" w:rsidP="00EB3C05">
      <w:pPr>
        <w:widowControl/>
        <w:autoSpaceDE/>
        <w:autoSpaceDN/>
        <w:jc w:val="both"/>
        <w:rPr>
          <w:rFonts w:eastAsia="Calibri"/>
          <w:noProof/>
          <w:sz w:val="24"/>
          <w:szCs w:val="24"/>
          <w:lang w:val="es-CO"/>
        </w:rPr>
      </w:pPr>
    </w:p>
    <w:p w14:paraId="7B6E5AA9" w14:textId="77777777" w:rsidR="00EB3C05" w:rsidRPr="00BD6BD8" w:rsidRDefault="00EB3C05" w:rsidP="00EB3C05">
      <w:pPr>
        <w:widowControl/>
        <w:autoSpaceDE/>
        <w:autoSpaceDN/>
        <w:jc w:val="both"/>
        <w:rPr>
          <w:rFonts w:eastAsia="Calibri"/>
          <w:b/>
          <w:bCs/>
          <w:noProof/>
          <w:sz w:val="24"/>
          <w:szCs w:val="24"/>
          <w:lang w:val="es-CO"/>
        </w:rPr>
      </w:pPr>
      <w:r w:rsidRPr="00BD6BD8">
        <w:rPr>
          <w:rFonts w:eastAsia="Calibri"/>
          <w:b/>
          <w:bCs/>
          <w:noProof/>
          <w:sz w:val="24"/>
          <w:szCs w:val="24"/>
          <w:lang w:val="es-CO"/>
        </w:rPr>
        <w:t>Recomendación</w:t>
      </w:r>
    </w:p>
    <w:p w14:paraId="5398F4D0" w14:textId="77777777" w:rsidR="00EB3C05" w:rsidRPr="00BD6BD8" w:rsidRDefault="00EB3C05" w:rsidP="00EB3C05">
      <w:pPr>
        <w:widowControl/>
        <w:autoSpaceDE/>
        <w:autoSpaceDN/>
        <w:jc w:val="both"/>
        <w:rPr>
          <w:rFonts w:eastAsia="Calibri"/>
          <w:b/>
          <w:bCs/>
          <w:noProof/>
          <w:sz w:val="24"/>
          <w:szCs w:val="24"/>
          <w:lang w:val="es-CO"/>
        </w:rPr>
      </w:pPr>
    </w:p>
    <w:p w14:paraId="2DF4AD4D" w14:textId="77777777" w:rsidR="00EB3C05" w:rsidRPr="00BD6BD8" w:rsidRDefault="00EB3C05" w:rsidP="00EB3C05">
      <w:pPr>
        <w:widowControl/>
        <w:autoSpaceDE/>
        <w:autoSpaceDN/>
        <w:jc w:val="both"/>
        <w:rPr>
          <w:rFonts w:eastAsia="Calibri"/>
          <w:noProof/>
          <w:sz w:val="24"/>
          <w:szCs w:val="24"/>
          <w:lang w:val="es-CO"/>
        </w:rPr>
      </w:pPr>
      <w:r w:rsidRPr="00BD6BD8">
        <w:rPr>
          <w:rFonts w:eastAsia="Calibri"/>
          <w:noProof/>
          <w:sz w:val="24"/>
          <w:szCs w:val="24"/>
          <w:lang w:val="es-CO"/>
        </w:rPr>
        <w:t>Extender solicitud al proceso o dependencia responsable de programar y ejecutar la audiencia pública de rendición de cuentas la necesidad de contar con un espacio en esta actividad para presentar la información financiera relevante de cada vigencia, con el fin de socializar a los interesados y la ciudadanía en general, datos importantes sobre la composición y manejo financiero de la entidad.</w:t>
      </w:r>
    </w:p>
    <w:p w14:paraId="1EA91F5E" w14:textId="77777777" w:rsidR="00EB3C05" w:rsidRPr="00BD6BD8" w:rsidRDefault="00EB3C05" w:rsidP="00EB3C05">
      <w:pPr>
        <w:widowControl/>
        <w:autoSpaceDE/>
        <w:autoSpaceDN/>
        <w:jc w:val="both"/>
        <w:rPr>
          <w:rFonts w:eastAsia="Calibri"/>
          <w:noProof/>
          <w:sz w:val="24"/>
          <w:szCs w:val="24"/>
          <w:lang w:val="es-CO"/>
        </w:rPr>
      </w:pPr>
    </w:p>
    <w:p w14:paraId="59251C0F" w14:textId="77777777" w:rsidR="00EB3C05" w:rsidRPr="00BD6BD8" w:rsidRDefault="00EB3C05" w:rsidP="00EB3C05">
      <w:pPr>
        <w:widowControl/>
        <w:numPr>
          <w:ilvl w:val="0"/>
          <w:numId w:val="28"/>
        </w:numPr>
        <w:autoSpaceDE/>
        <w:autoSpaceDN/>
        <w:ind w:left="0" w:firstLine="0"/>
        <w:contextualSpacing/>
        <w:jc w:val="both"/>
        <w:rPr>
          <w:rFonts w:eastAsia="Calibri"/>
          <w:b/>
          <w:bCs/>
          <w:noProof/>
          <w:sz w:val="24"/>
          <w:szCs w:val="24"/>
          <w:lang w:val="es-CO"/>
        </w:rPr>
      </w:pPr>
      <w:r w:rsidRPr="00BD6BD8">
        <w:rPr>
          <w:rFonts w:eastAsia="Calibri"/>
          <w:b/>
          <w:bCs/>
          <w:noProof/>
          <w:sz w:val="24"/>
          <w:szCs w:val="24"/>
          <w:lang w:val="es-CO"/>
        </w:rPr>
        <w:t>No. 2 – Ausencia de Indicadores que permitan analizar e interpretar la realidad financiera de la entidad</w:t>
      </w:r>
    </w:p>
    <w:p w14:paraId="7FB24D27" w14:textId="77777777" w:rsidR="00EB3C05" w:rsidRPr="00BD6BD8" w:rsidRDefault="00EB3C05" w:rsidP="00EB3C05">
      <w:pPr>
        <w:widowControl/>
        <w:autoSpaceDE/>
        <w:autoSpaceDN/>
        <w:jc w:val="both"/>
        <w:rPr>
          <w:rFonts w:eastAsia="Calibri"/>
          <w:b/>
          <w:bCs/>
          <w:noProof/>
          <w:sz w:val="24"/>
          <w:szCs w:val="24"/>
          <w:lang w:val="es-CO"/>
        </w:rPr>
      </w:pPr>
    </w:p>
    <w:p w14:paraId="7646CBF9" w14:textId="77777777" w:rsidR="00EB3C05" w:rsidRPr="00BD6BD8" w:rsidRDefault="00EB3C05" w:rsidP="00EB3C05">
      <w:pPr>
        <w:widowControl/>
        <w:autoSpaceDE/>
        <w:autoSpaceDN/>
        <w:jc w:val="both"/>
        <w:rPr>
          <w:rFonts w:eastAsia="Calibri"/>
          <w:noProof/>
          <w:sz w:val="24"/>
          <w:szCs w:val="24"/>
          <w:lang w:val="es-CO"/>
        </w:rPr>
      </w:pPr>
      <w:r w:rsidRPr="00BD6BD8">
        <w:rPr>
          <w:rFonts w:eastAsia="Calibri"/>
          <w:noProof/>
          <w:sz w:val="24"/>
          <w:szCs w:val="24"/>
          <w:lang w:val="es-CO"/>
        </w:rPr>
        <w:t>De acuerdo con la verificación realizada a la información financiera de la entidad, no se observó que se efectuara análisis de esta por medio de indicadores financieros de liquidez, endeudamiento, rotación de cartera que permitan evaluar su realidad económica.</w:t>
      </w:r>
    </w:p>
    <w:p w14:paraId="150C0493" w14:textId="77777777" w:rsidR="00EB3C05" w:rsidRPr="00BD6BD8" w:rsidRDefault="00EB3C05" w:rsidP="00EB3C05">
      <w:pPr>
        <w:widowControl/>
        <w:autoSpaceDE/>
        <w:autoSpaceDN/>
        <w:jc w:val="both"/>
        <w:rPr>
          <w:rFonts w:eastAsia="Calibri"/>
          <w:noProof/>
          <w:sz w:val="24"/>
          <w:szCs w:val="24"/>
          <w:lang w:val="es-CO"/>
        </w:rPr>
      </w:pPr>
    </w:p>
    <w:p w14:paraId="09182B49" w14:textId="77777777" w:rsidR="00EB3C05" w:rsidRPr="00BD6BD8" w:rsidRDefault="00EB3C05" w:rsidP="00EB3C05">
      <w:pPr>
        <w:widowControl/>
        <w:autoSpaceDE/>
        <w:autoSpaceDN/>
        <w:jc w:val="both"/>
        <w:rPr>
          <w:rFonts w:eastAsia="Calibri"/>
          <w:b/>
          <w:bCs/>
          <w:noProof/>
          <w:sz w:val="24"/>
          <w:szCs w:val="24"/>
          <w:lang w:val="es-CO"/>
        </w:rPr>
      </w:pPr>
      <w:r w:rsidRPr="00BD6BD8">
        <w:rPr>
          <w:rFonts w:eastAsia="Calibri"/>
          <w:b/>
          <w:bCs/>
          <w:noProof/>
          <w:sz w:val="24"/>
          <w:szCs w:val="24"/>
          <w:lang w:val="es-CO"/>
        </w:rPr>
        <w:t>Recomendación</w:t>
      </w:r>
    </w:p>
    <w:p w14:paraId="7F41459D" w14:textId="77777777" w:rsidR="00EB3C05" w:rsidRPr="00BD6BD8" w:rsidRDefault="00EB3C05" w:rsidP="00EB3C05">
      <w:pPr>
        <w:widowControl/>
        <w:autoSpaceDE/>
        <w:autoSpaceDN/>
        <w:jc w:val="both"/>
        <w:rPr>
          <w:rFonts w:eastAsia="Calibri"/>
          <w:b/>
          <w:bCs/>
          <w:noProof/>
          <w:sz w:val="24"/>
          <w:szCs w:val="24"/>
          <w:lang w:val="es-CO"/>
        </w:rPr>
      </w:pPr>
    </w:p>
    <w:p w14:paraId="06189DC9" w14:textId="77777777" w:rsidR="00EB3C05" w:rsidRPr="00BD6BD8" w:rsidRDefault="00EB3C05" w:rsidP="00EB3C05">
      <w:pPr>
        <w:widowControl/>
        <w:autoSpaceDE/>
        <w:autoSpaceDN/>
        <w:jc w:val="both"/>
        <w:rPr>
          <w:rFonts w:eastAsia="Calibri"/>
          <w:noProof/>
          <w:sz w:val="24"/>
          <w:szCs w:val="24"/>
          <w:lang w:val="es-CO"/>
        </w:rPr>
      </w:pPr>
      <w:r w:rsidRPr="00BD6BD8">
        <w:rPr>
          <w:rFonts w:eastAsia="Calibri"/>
          <w:noProof/>
          <w:sz w:val="24"/>
          <w:szCs w:val="24"/>
          <w:lang w:val="es-CO"/>
        </w:rPr>
        <w:t>Validar alternativas para establecer, analizar e interpretar la realidad financiera de la entidad por medio de indicadores que permitan medir la gestión económica, atendiendo la naturaleza de la Entidad. Para ello, y en caso de considerarse necesario, extender consultar a la Entidades externas correspondientes en busca de contar con directrices, lineamientos u orientaciones para ello.</w:t>
      </w:r>
    </w:p>
    <w:p w14:paraId="7969E455" w14:textId="77777777" w:rsidR="00EB3C05" w:rsidRPr="00BD6BD8" w:rsidRDefault="00EB3C05" w:rsidP="00EB3C05">
      <w:pPr>
        <w:widowControl/>
        <w:autoSpaceDE/>
        <w:autoSpaceDN/>
        <w:jc w:val="both"/>
        <w:rPr>
          <w:rFonts w:eastAsia="Calibri"/>
          <w:noProof/>
          <w:sz w:val="24"/>
          <w:szCs w:val="24"/>
          <w:lang w:val="es-CO"/>
        </w:rPr>
      </w:pPr>
    </w:p>
    <w:p w14:paraId="6E69998C" w14:textId="77777777" w:rsidR="00EB3C05" w:rsidRPr="00BD6BD8" w:rsidRDefault="00EB3C05" w:rsidP="00EB3C05">
      <w:pPr>
        <w:widowControl/>
        <w:numPr>
          <w:ilvl w:val="0"/>
          <w:numId w:val="28"/>
        </w:numPr>
        <w:autoSpaceDE/>
        <w:autoSpaceDN/>
        <w:ind w:left="0" w:firstLine="0"/>
        <w:contextualSpacing/>
        <w:jc w:val="both"/>
        <w:rPr>
          <w:rFonts w:eastAsia="Calibri"/>
          <w:b/>
          <w:bCs/>
          <w:noProof/>
          <w:sz w:val="24"/>
          <w:szCs w:val="24"/>
          <w:lang w:val="es-CO"/>
        </w:rPr>
      </w:pPr>
      <w:r w:rsidRPr="00BD6BD8">
        <w:rPr>
          <w:rFonts w:eastAsia="Calibri"/>
          <w:b/>
          <w:bCs/>
          <w:noProof/>
          <w:sz w:val="24"/>
          <w:szCs w:val="24"/>
          <w:lang w:val="es-CO"/>
        </w:rPr>
        <w:t>No. 3 – Soportes contables generados sin el flujo de revisión y aprobación</w:t>
      </w:r>
    </w:p>
    <w:p w14:paraId="643475AF" w14:textId="77777777" w:rsidR="00EB3C05" w:rsidRPr="00BD6BD8" w:rsidRDefault="00EB3C05" w:rsidP="00EB3C05">
      <w:pPr>
        <w:widowControl/>
        <w:autoSpaceDE/>
        <w:autoSpaceDN/>
        <w:jc w:val="both"/>
        <w:rPr>
          <w:rFonts w:eastAsia="Calibri"/>
          <w:b/>
          <w:bCs/>
          <w:noProof/>
          <w:sz w:val="24"/>
          <w:szCs w:val="24"/>
          <w:lang w:val="es-CO"/>
        </w:rPr>
      </w:pPr>
    </w:p>
    <w:p w14:paraId="4B93B515" w14:textId="77777777" w:rsidR="00EB3C05" w:rsidRPr="00BD6BD8" w:rsidRDefault="00EB3C05" w:rsidP="00EB3C05">
      <w:pPr>
        <w:widowControl/>
        <w:autoSpaceDE/>
        <w:autoSpaceDN/>
        <w:jc w:val="both"/>
        <w:rPr>
          <w:rFonts w:eastAsia="Calibri"/>
          <w:noProof/>
          <w:sz w:val="24"/>
          <w:szCs w:val="24"/>
          <w:lang w:val="es-CO"/>
        </w:rPr>
      </w:pPr>
      <w:r w:rsidRPr="00BD6BD8">
        <w:rPr>
          <w:rFonts w:eastAsia="Calibri"/>
          <w:noProof/>
          <w:sz w:val="24"/>
          <w:szCs w:val="24"/>
          <w:lang w:val="es-CO"/>
        </w:rPr>
        <w:t xml:space="preserve">La Oficina de Control Interno por medio de una muestra aleatoria, realizó la revisión de veinticuatro (24) comprobantes contables, con el fin de evaluar la segregación de funciones en el ciclo de revisión y aprobación de estos. Al respecto, se evidenció que en los campos de </w:t>
      </w:r>
      <w:r w:rsidRPr="00BD6BD8">
        <w:rPr>
          <w:rFonts w:eastAsia="Calibri"/>
          <w:i/>
          <w:iCs/>
          <w:noProof/>
          <w:sz w:val="24"/>
          <w:szCs w:val="24"/>
          <w:lang w:val="es-CO"/>
        </w:rPr>
        <w:t xml:space="preserve">“elaboró” </w:t>
      </w:r>
      <w:r w:rsidRPr="00BD6BD8">
        <w:rPr>
          <w:rFonts w:eastAsia="Calibri"/>
          <w:noProof/>
          <w:sz w:val="24"/>
          <w:szCs w:val="24"/>
          <w:lang w:val="es-CO"/>
        </w:rPr>
        <w:t xml:space="preserve">y </w:t>
      </w:r>
      <w:r w:rsidRPr="00BD6BD8">
        <w:rPr>
          <w:rFonts w:eastAsia="Calibri"/>
          <w:i/>
          <w:iCs/>
          <w:noProof/>
          <w:sz w:val="24"/>
          <w:szCs w:val="24"/>
          <w:lang w:val="es-CO"/>
        </w:rPr>
        <w:t>“aprobó”</w:t>
      </w:r>
      <w:r w:rsidRPr="00BD6BD8">
        <w:rPr>
          <w:rFonts w:eastAsia="Calibri"/>
          <w:noProof/>
          <w:sz w:val="24"/>
          <w:szCs w:val="24"/>
          <w:lang w:val="es-CO"/>
        </w:rPr>
        <w:t xml:space="preserve"> en la totalidad de los casos se registró el mismo usuario en estos ítems.</w:t>
      </w:r>
    </w:p>
    <w:p w14:paraId="7C96BFCA" w14:textId="77777777" w:rsidR="00EB3C05" w:rsidRPr="00BD6BD8" w:rsidRDefault="00EB3C05" w:rsidP="00EB3C05">
      <w:pPr>
        <w:widowControl/>
        <w:autoSpaceDE/>
        <w:autoSpaceDN/>
        <w:jc w:val="both"/>
        <w:rPr>
          <w:rFonts w:eastAsia="Calibri"/>
          <w:noProof/>
          <w:sz w:val="24"/>
          <w:szCs w:val="24"/>
          <w:lang w:val="es-CO"/>
        </w:rPr>
      </w:pPr>
    </w:p>
    <w:p w14:paraId="3E48AE6E" w14:textId="77777777" w:rsidR="00EB3C05" w:rsidRPr="00BD6BD8" w:rsidRDefault="00EB3C05" w:rsidP="00EB3C05">
      <w:pPr>
        <w:widowControl/>
        <w:autoSpaceDE/>
        <w:autoSpaceDN/>
        <w:jc w:val="both"/>
        <w:rPr>
          <w:rFonts w:eastAsia="Calibri"/>
          <w:noProof/>
          <w:sz w:val="24"/>
          <w:szCs w:val="24"/>
          <w:lang w:val="es-CO"/>
        </w:rPr>
      </w:pPr>
      <w:r w:rsidRPr="00BD6BD8">
        <w:rPr>
          <w:rFonts w:eastAsia="Calibri"/>
          <w:noProof/>
          <w:sz w:val="24"/>
          <w:szCs w:val="24"/>
          <w:lang w:val="es-CO"/>
        </w:rPr>
        <w:t xml:space="preserve">Esta situación difiere de lo establecido en el Procedimiento para la evaluación del control interno contable expedido por la Contaduría General de la Nación, numeral 3.3.1. Controles asociados al cumplimiento del marco normativo, a las etapas del proceso contable, a la rendición de cuentas y a la gestión del riesgo de índole contable, POLITICAS DE OPERACIÓN, la cual en su acción de control número 6, establece lo siguiente: </w:t>
      </w:r>
      <w:r w:rsidRPr="00BD6BD8">
        <w:rPr>
          <w:rFonts w:eastAsia="Calibri"/>
          <w:i/>
          <w:iCs/>
          <w:noProof/>
          <w:sz w:val="24"/>
          <w:szCs w:val="24"/>
          <w:lang w:val="es-CO"/>
        </w:rPr>
        <w:t xml:space="preserve">“Implementar procedimientos administrativos para establecer la responsabilidad de registrar los recaudos generados; la </w:t>
      </w:r>
      <w:r w:rsidRPr="00BD6BD8">
        <w:rPr>
          <w:rFonts w:eastAsia="Calibri"/>
          <w:i/>
          <w:iCs/>
          <w:noProof/>
          <w:sz w:val="24"/>
          <w:szCs w:val="24"/>
          <w:lang w:val="es-CO"/>
        </w:rPr>
        <w:lastRenderedPageBreak/>
        <w:t>autorización de los soportes realizada por funcionarios competentes; el manejo de cajas menores o fondos rotatorios y sus respectivos arqueos periódicos; el manejo de propiedades, planta y equipos, y los demás bienes de las entidades, así como la respectiva verificación de su aplicación adecuada”</w:t>
      </w:r>
      <w:r w:rsidRPr="00BD6BD8">
        <w:rPr>
          <w:rFonts w:eastAsia="Calibri"/>
          <w:noProof/>
          <w:sz w:val="24"/>
          <w:szCs w:val="24"/>
          <w:lang w:val="es-CO"/>
        </w:rPr>
        <w:t>.</w:t>
      </w:r>
    </w:p>
    <w:p w14:paraId="05588A28" w14:textId="77777777" w:rsidR="00EB3C05" w:rsidRDefault="00EB3C05" w:rsidP="00EB3C05">
      <w:pPr>
        <w:widowControl/>
        <w:autoSpaceDE/>
        <w:autoSpaceDN/>
        <w:jc w:val="both"/>
        <w:rPr>
          <w:rFonts w:eastAsia="Calibri"/>
          <w:b/>
          <w:bCs/>
          <w:noProof/>
          <w:sz w:val="24"/>
          <w:szCs w:val="24"/>
          <w:lang w:val="es-CO"/>
        </w:rPr>
      </w:pPr>
    </w:p>
    <w:p w14:paraId="30B8CBFE" w14:textId="77777777" w:rsidR="00EB3C05" w:rsidRPr="00BD6BD8" w:rsidRDefault="00EB3C05" w:rsidP="00EB3C05">
      <w:pPr>
        <w:widowControl/>
        <w:autoSpaceDE/>
        <w:autoSpaceDN/>
        <w:jc w:val="both"/>
        <w:rPr>
          <w:rFonts w:eastAsia="Calibri"/>
          <w:b/>
          <w:bCs/>
          <w:noProof/>
          <w:sz w:val="24"/>
          <w:szCs w:val="24"/>
          <w:lang w:val="es-CO"/>
        </w:rPr>
      </w:pPr>
      <w:r w:rsidRPr="00BD6BD8">
        <w:rPr>
          <w:rFonts w:eastAsia="Calibri"/>
          <w:b/>
          <w:bCs/>
          <w:noProof/>
          <w:sz w:val="24"/>
          <w:szCs w:val="24"/>
          <w:lang w:val="es-CO"/>
        </w:rPr>
        <w:t>Recomendación</w:t>
      </w:r>
    </w:p>
    <w:p w14:paraId="3C76903D" w14:textId="77777777" w:rsidR="00EB3C05" w:rsidRPr="00BD6BD8" w:rsidRDefault="00EB3C05" w:rsidP="00EB3C05">
      <w:pPr>
        <w:widowControl/>
        <w:autoSpaceDE/>
        <w:autoSpaceDN/>
        <w:jc w:val="both"/>
        <w:rPr>
          <w:rFonts w:eastAsia="Calibri"/>
          <w:b/>
          <w:bCs/>
          <w:noProof/>
          <w:sz w:val="24"/>
          <w:szCs w:val="24"/>
          <w:lang w:val="es-CO"/>
        </w:rPr>
      </w:pPr>
    </w:p>
    <w:p w14:paraId="2B883A25" w14:textId="77777777" w:rsidR="00EB3C05" w:rsidRPr="00BD6BD8" w:rsidRDefault="00EB3C05" w:rsidP="00EB3C05">
      <w:pPr>
        <w:widowControl/>
        <w:autoSpaceDE/>
        <w:autoSpaceDN/>
        <w:jc w:val="both"/>
        <w:rPr>
          <w:rFonts w:eastAsia="Calibri"/>
          <w:noProof/>
          <w:sz w:val="24"/>
          <w:szCs w:val="24"/>
          <w:lang w:val="es-CO"/>
        </w:rPr>
      </w:pPr>
      <w:r w:rsidRPr="00BD6BD8">
        <w:rPr>
          <w:rFonts w:eastAsia="Calibri"/>
          <w:noProof/>
          <w:sz w:val="24"/>
          <w:szCs w:val="24"/>
          <w:lang w:val="es-CO"/>
        </w:rPr>
        <w:t>Validar y ajustar (en caso de aplicar) en el aplicativo SIIF Nación los usuarios autorizados para aprobar los documentos que se generan al interior de la dependencia, así como corroborar la aplicación adecuada de las funciones asignadas a cada rol, con el fin de generar mayores controles o fortalecer los ya existentes, en procura de garantizar el adecuado funcionamiento del ciclo ordinario de la operación.</w:t>
      </w:r>
    </w:p>
    <w:p w14:paraId="242B69F2" w14:textId="77777777" w:rsidR="00EB3C05" w:rsidRPr="00BD6BD8" w:rsidRDefault="00EB3C05" w:rsidP="00EB3C05">
      <w:pPr>
        <w:pStyle w:val="Textoindependiente"/>
        <w:jc w:val="both"/>
        <w:rPr>
          <w:b/>
          <w:bCs/>
          <w:lang w:val="es-CO"/>
        </w:rPr>
      </w:pPr>
    </w:p>
    <w:p w14:paraId="308C2DD9" w14:textId="77777777" w:rsidR="00EB3C05" w:rsidRPr="0067097C" w:rsidRDefault="00EB3C05" w:rsidP="00EB3C05">
      <w:pPr>
        <w:jc w:val="both"/>
        <w:rPr>
          <w:b/>
          <w:bCs/>
          <w:sz w:val="24"/>
          <w:szCs w:val="24"/>
          <w:lang w:val="es-CO"/>
        </w:rPr>
      </w:pPr>
      <w:r w:rsidRPr="0067097C">
        <w:rPr>
          <w:b/>
          <w:bCs/>
          <w:sz w:val="24"/>
          <w:szCs w:val="24"/>
          <w:lang w:val="es-CO"/>
        </w:rPr>
        <w:t xml:space="preserve">NOTA: LA ENTIDAD ENVIA LA MATRIZ DE AUTOEVALUACIÓN DEL SISTEMA DE CONTROL INTERNO CONTABLE CON ACTIVIDADES DE CONTROL REALIZADAS </w:t>
      </w:r>
      <w:r w:rsidRPr="0067097C">
        <w:rPr>
          <w:b/>
          <w:bCs/>
          <w:sz w:val="24"/>
          <w:szCs w:val="24"/>
          <w:u w:val="single"/>
          <w:lang w:val="es-CO"/>
        </w:rPr>
        <w:t>EN FORMA PARCIAL Y OTRAS SIMPLEMENTE INFORMAN QUE NO SE REALIZARON</w:t>
      </w:r>
      <w:r w:rsidRPr="0067097C">
        <w:rPr>
          <w:b/>
          <w:bCs/>
          <w:sz w:val="24"/>
          <w:szCs w:val="24"/>
          <w:lang w:val="es-CO"/>
        </w:rPr>
        <w:t>.</w:t>
      </w:r>
    </w:p>
    <w:p w14:paraId="0CC7BBDF" w14:textId="77777777" w:rsidR="00EB3C05" w:rsidRPr="0067097C" w:rsidRDefault="00EB3C05" w:rsidP="00EB3C05">
      <w:pPr>
        <w:ind w:left="720" w:hanging="720"/>
        <w:jc w:val="both"/>
        <w:rPr>
          <w:b/>
          <w:bCs/>
          <w:sz w:val="24"/>
          <w:szCs w:val="24"/>
          <w:lang w:val="es-CO"/>
        </w:rPr>
      </w:pPr>
    </w:p>
    <w:p w14:paraId="657F0BE9" w14:textId="77777777" w:rsidR="00EB3C05" w:rsidRPr="002534FE" w:rsidRDefault="00EB3C05" w:rsidP="00EB3C05">
      <w:pPr>
        <w:pStyle w:val="Ttulo1"/>
        <w:spacing w:before="93"/>
        <w:ind w:left="0" w:right="0"/>
        <w:rPr>
          <w:sz w:val="28"/>
          <w:szCs w:val="28"/>
        </w:rPr>
      </w:pPr>
      <w:r>
        <w:rPr>
          <w:sz w:val="28"/>
          <w:szCs w:val="28"/>
        </w:rPr>
        <w:t xml:space="preserve">D.- </w:t>
      </w:r>
      <w:r w:rsidRPr="002534FE">
        <w:rPr>
          <w:sz w:val="28"/>
          <w:szCs w:val="28"/>
        </w:rPr>
        <w:t>SEGUIMIENTO AL PLAN O PLANES DE MEJORAMIENTO SUSCRITOS CON LA CGR A 31 DE DICIEMBRE DE 2024:</w:t>
      </w:r>
    </w:p>
    <w:p w14:paraId="55F8E8CC" w14:textId="77777777" w:rsidR="00EB3C05" w:rsidRPr="00B54567" w:rsidRDefault="00EB3C05" w:rsidP="00EB3C05">
      <w:pPr>
        <w:pStyle w:val="Ttulo1"/>
        <w:spacing w:before="93"/>
        <w:ind w:left="-142" w:right="0"/>
      </w:pPr>
    </w:p>
    <w:tbl>
      <w:tblPr>
        <w:tblStyle w:val="Tablaconcuadrcula"/>
        <w:tblW w:w="9923" w:type="dxa"/>
        <w:tblInd w:w="-5" w:type="dxa"/>
        <w:tblLook w:val="04A0" w:firstRow="1" w:lastRow="0" w:firstColumn="1" w:lastColumn="0" w:noHBand="0" w:noVBand="1"/>
      </w:tblPr>
      <w:tblGrid>
        <w:gridCol w:w="1674"/>
        <w:gridCol w:w="2486"/>
        <w:gridCol w:w="1936"/>
        <w:gridCol w:w="2030"/>
        <w:gridCol w:w="1797"/>
      </w:tblGrid>
      <w:tr w:rsidR="00EB3C05" w:rsidRPr="00B54567" w14:paraId="62209680" w14:textId="77777777" w:rsidTr="00874B2D">
        <w:tc>
          <w:tcPr>
            <w:tcW w:w="1674" w:type="dxa"/>
          </w:tcPr>
          <w:p w14:paraId="4907BD50" w14:textId="77777777" w:rsidR="00EB3C05" w:rsidRPr="00B54567" w:rsidRDefault="00EB3C05" w:rsidP="00874B2D">
            <w:pPr>
              <w:pStyle w:val="Ttulo1"/>
              <w:ind w:left="0" w:right="0"/>
              <w:jc w:val="center"/>
              <w:outlineLvl w:val="0"/>
              <w:rPr>
                <w:sz w:val="20"/>
                <w:szCs w:val="20"/>
              </w:rPr>
            </w:pPr>
            <w:r w:rsidRPr="00B54567">
              <w:rPr>
                <w:sz w:val="20"/>
                <w:szCs w:val="20"/>
              </w:rPr>
              <w:t xml:space="preserve">TOTAL, HALLAZGOS SEGÚN LA </w:t>
            </w:r>
          </w:p>
          <w:p w14:paraId="48F692C9" w14:textId="77777777" w:rsidR="00EB3C05" w:rsidRPr="00B54567" w:rsidRDefault="00EB3C05" w:rsidP="00874B2D">
            <w:pPr>
              <w:pStyle w:val="Ttulo1"/>
              <w:ind w:left="0" w:right="0"/>
              <w:jc w:val="center"/>
              <w:outlineLvl w:val="0"/>
              <w:rPr>
                <w:sz w:val="20"/>
                <w:szCs w:val="20"/>
              </w:rPr>
            </w:pPr>
            <w:r w:rsidRPr="00B54567">
              <w:rPr>
                <w:sz w:val="20"/>
                <w:szCs w:val="20"/>
              </w:rPr>
              <w:t>CGR</w:t>
            </w:r>
          </w:p>
          <w:p w14:paraId="3669F200" w14:textId="77777777" w:rsidR="00EB3C05" w:rsidRPr="00B54567" w:rsidRDefault="00EB3C05" w:rsidP="00874B2D">
            <w:pPr>
              <w:pStyle w:val="Ttulo1"/>
              <w:ind w:left="0" w:right="0"/>
              <w:jc w:val="center"/>
              <w:outlineLvl w:val="0"/>
              <w:rPr>
                <w:sz w:val="20"/>
                <w:szCs w:val="20"/>
              </w:rPr>
            </w:pPr>
          </w:p>
          <w:p w14:paraId="1975C0B2" w14:textId="77777777" w:rsidR="00EB3C05" w:rsidRPr="00B54567" w:rsidRDefault="00EB3C05" w:rsidP="00874B2D">
            <w:pPr>
              <w:pStyle w:val="Ttulo1"/>
              <w:ind w:left="0" w:right="0"/>
              <w:jc w:val="center"/>
              <w:outlineLvl w:val="0"/>
              <w:rPr>
                <w:sz w:val="20"/>
                <w:szCs w:val="20"/>
              </w:rPr>
            </w:pPr>
          </w:p>
        </w:tc>
        <w:tc>
          <w:tcPr>
            <w:tcW w:w="2486" w:type="dxa"/>
          </w:tcPr>
          <w:p w14:paraId="556E2635" w14:textId="77777777" w:rsidR="00EB3C05" w:rsidRPr="00B54567" w:rsidRDefault="00EB3C05" w:rsidP="00874B2D">
            <w:pPr>
              <w:pStyle w:val="Ttulo1"/>
              <w:ind w:left="0" w:right="0"/>
              <w:jc w:val="center"/>
              <w:outlineLvl w:val="0"/>
              <w:rPr>
                <w:sz w:val="20"/>
                <w:szCs w:val="20"/>
              </w:rPr>
            </w:pPr>
            <w:r w:rsidRPr="00B54567">
              <w:rPr>
                <w:sz w:val="20"/>
                <w:szCs w:val="20"/>
              </w:rPr>
              <w:t>TOTAL, DE METAS PROPUESTAS PARA SUBSANAR LOS HALLAZGOS FORMULADOS POR LA CGR</w:t>
            </w:r>
          </w:p>
          <w:p w14:paraId="7DBCAC45" w14:textId="77777777" w:rsidR="00EB3C05" w:rsidRPr="00B54567" w:rsidRDefault="00EB3C05" w:rsidP="00874B2D">
            <w:pPr>
              <w:pStyle w:val="Ttulo1"/>
              <w:ind w:left="0" w:right="0"/>
              <w:jc w:val="center"/>
              <w:outlineLvl w:val="0"/>
              <w:rPr>
                <w:sz w:val="20"/>
                <w:szCs w:val="20"/>
              </w:rPr>
            </w:pPr>
          </w:p>
        </w:tc>
        <w:tc>
          <w:tcPr>
            <w:tcW w:w="1936" w:type="dxa"/>
          </w:tcPr>
          <w:p w14:paraId="4A29DE48" w14:textId="77777777" w:rsidR="00EB3C05" w:rsidRPr="00B54567" w:rsidRDefault="00EB3C05" w:rsidP="00874B2D">
            <w:pPr>
              <w:pStyle w:val="Ttulo1"/>
              <w:ind w:left="0" w:right="0"/>
              <w:jc w:val="center"/>
              <w:outlineLvl w:val="0"/>
              <w:rPr>
                <w:sz w:val="20"/>
                <w:szCs w:val="20"/>
              </w:rPr>
            </w:pPr>
            <w:r w:rsidRPr="00B54567">
              <w:rPr>
                <w:sz w:val="20"/>
                <w:szCs w:val="20"/>
              </w:rPr>
              <w:t>TOTAL, DE METAS CUMPLIDAS</w:t>
            </w:r>
          </w:p>
          <w:p w14:paraId="43415CE1" w14:textId="77777777" w:rsidR="00EB3C05" w:rsidRPr="00B54567" w:rsidRDefault="00EB3C05" w:rsidP="00874B2D">
            <w:pPr>
              <w:pStyle w:val="Ttulo1"/>
              <w:ind w:left="0" w:right="0"/>
              <w:jc w:val="center"/>
              <w:outlineLvl w:val="0"/>
              <w:rPr>
                <w:sz w:val="20"/>
                <w:szCs w:val="20"/>
              </w:rPr>
            </w:pPr>
            <w:r w:rsidRPr="00B54567">
              <w:rPr>
                <w:sz w:val="20"/>
                <w:szCs w:val="20"/>
              </w:rPr>
              <w:t xml:space="preserve"> A 31/12/2024</w:t>
            </w:r>
          </w:p>
        </w:tc>
        <w:tc>
          <w:tcPr>
            <w:tcW w:w="2030" w:type="dxa"/>
          </w:tcPr>
          <w:p w14:paraId="3D94ECB8" w14:textId="77777777" w:rsidR="00EB3C05" w:rsidRPr="00B54567" w:rsidRDefault="00EB3C05" w:rsidP="00874B2D">
            <w:pPr>
              <w:pStyle w:val="Ttulo1"/>
              <w:ind w:left="0" w:right="0"/>
              <w:jc w:val="center"/>
              <w:outlineLvl w:val="0"/>
              <w:rPr>
                <w:sz w:val="20"/>
                <w:szCs w:val="20"/>
              </w:rPr>
            </w:pPr>
            <w:r w:rsidRPr="00B54567">
              <w:rPr>
                <w:sz w:val="20"/>
                <w:szCs w:val="20"/>
              </w:rPr>
              <w:t>CUMPLIMIENTO DEL PLAN EN %</w:t>
            </w:r>
          </w:p>
          <w:p w14:paraId="154A258A" w14:textId="77777777" w:rsidR="00EB3C05" w:rsidRPr="00B54567" w:rsidRDefault="00EB3C05" w:rsidP="00874B2D">
            <w:pPr>
              <w:pStyle w:val="Ttulo1"/>
              <w:ind w:left="0" w:right="0"/>
              <w:jc w:val="center"/>
              <w:outlineLvl w:val="0"/>
              <w:rPr>
                <w:sz w:val="20"/>
                <w:szCs w:val="20"/>
              </w:rPr>
            </w:pPr>
            <w:r w:rsidRPr="00B54567">
              <w:rPr>
                <w:sz w:val="20"/>
                <w:szCs w:val="20"/>
              </w:rPr>
              <w:t xml:space="preserve"> A 31/12/2024</w:t>
            </w:r>
          </w:p>
        </w:tc>
        <w:tc>
          <w:tcPr>
            <w:tcW w:w="1797" w:type="dxa"/>
          </w:tcPr>
          <w:p w14:paraId="588ED8AD" w14:textId="77777777" w:rsidR="00EB3C05" w:rsidRPr="00B54567" w:rsidRDefault="00EB3C05" w:rsidP="00874B2D">
            <w:pPr>
              <w:pStyle w:val="Ttulo1"/>
              <w:ind w:left="0" w:right="0"/>
              <w:jc w:val="center"/>
              <w:outlineLvl w:val="0"/>
              <w:rPr>
                <w:sz w:val="20"/>
                <w:szCs w:val="20"/>
              </w:rPr>
            </w:pPr>
            <w:r w:rsidRPr="00B54567">
              <w:rPr>
                <w:sz w:val="20"/>
                <w:szCs w:val="20"/>
              </w:rPr>
              <w:t xml:space="preserve">AVANCE DEL PLAN EN % </w:t>
            </w:r>
          </w:p>
          <w:p w14:paraId="7B1B51DD" w14:textId="77777777" w:rsidR="00EB3C05" w:rsidRPr="00B54567" w:rsidRDefault="00EB3C05" w:rsidP="00874B2D">
            <w:pPr>
              <w:pStyle w:val="Ttulo1"/>
              <w:ind w:left="0" w:right="0"/>
              <w:jc w:val="center"/>
              <w:outlineLvl w:val="0"/>
              <w:rPr>
                <w:sz w:val="20"/>
                <w:szCs w:val="20"/>
              </w:rPr>
            </w:pPr>
            <w:r w:rsidRPr="00B54567">
              <w:rPr>
                <w:sz w:val="20"/>
                <w:szCs w:val="20"/>
              </w:rPr>
              <w:t>A 31/12/2024</w:t>
            </w:r>
          </w:p>
        </w:tc>
      </w:tr>
      <w:tr w:rsidR="00EB3C05" w:rsidRPr="00B54567" w14:paraId="03FE13FA" w14:textId="77777777" w:rsidTr="00874B2D">
        <w:tc>
          <w:tcPr>
            <w:tcW w:w="1674" w:type="dxa"/>
          </w:tcPr>
          <w:p w14:paraId="173A9939" w14:textId="77777777" w:rsidR="00EB3C05" w:rsidRPr="00B54567" w:rsidRDefault="00EB3C05" w:rsidP="00874B2D">
            <w:pPr>
              <w:pStyle w:val="Ttulo1"/>
              <w:ind w:left="0" w:right="0"/>
              <w:jc w:val="center"/>
              <w:outlineLvl w:val="0"/>
              <w:rPr>
                <w:sz w:val="20"/>
                <w:szCs w:val="20"/>
              </w:rPr>
            </w:pPr>
            <w:r>
              <w:rPr>
                <w:sz w:val="20"/>
                <w:szCs w:val="20"/>
              </w:rPr>
              <w:t>25*</w:t>
            </w:r>
          </w:p>
        </w:tc>
        <w:tc>
          <w:tcPr>
            <w:tcW w:w="2486" w:type="dxa"/>
          </w:tcPr>
          <w:p w14:paraId="3E14E8B0" w14:textId="77777777" w:rsidR="00EB3C05" w:rsidRPr="00B54567" w:rsidRDefault="00EB3C05" w:rsidP="00874B2D">
            <w:pPr>
              <w:pStyle w:val="Ttulo1"/>
              <w:ind w:left="0" w:right="0"/>
              <w:jc w:val="center"/>
              <w:outlineLvl w:val="0"/>
              <w:rPr>
                <w:sz w:val="20"/>
                <w:szCs w:val="20"/>
              </w:rPr>
            </w:pPr>
            <w:r>
              <w:rPr>
                <w:sz w:val="20"/>
                <w:szCs w:val="20"/>
              </w:rPr>
              <w:t>70</w:t>
            </w:r>
          </w:p>
        </w:tc>
        <w:tc>
          <w:tcPr>
            <w:tcW w:w="1936" w:type="dxa"/>
          </w:tcPr>
          <w:p w14:paraId="432F7EA1" w14:textId="77777777" w:rsidR="00EB3C05" w:rsidRPr="00B54567" w:rsidRDefault="00EB3C05" w:rsidP="00874B2D">
            <w:pPr>
              <w:pStyle w:val="Ttulo1"/>
              <w:ind w:left="0" w:right="0"/>
              <w:jc w:val="center"/>
              <w:outlineLvl w:val="0"/>
              <w:rPr>
                <w:sz w:val="20"/>
                <w:szCs w:val="20"/>
              </w:rPr>
            </w:pPr>
            <w:r>
              <w:rPr>
                <w:sz w:val="20"/>
                <w:szCs w:val="20"/>
              </w:rPr>
              <w:t>56</w:t>
            </w:r>
          </w:p>
        </w:tc>
        <w:tc>
          <w:tcPr>
            <w:tcW w:w="2030" w:type="dxa"/>
          </w:tcPr>
          <w:p w14:paraId="1019C666" w14:textId="77777777" w:rsidR="00EB3C05" w:rsidRPr="00B54567" w:rsidRDefault="00EB3C05" w:rsidP="00874B2D">
            <w:pPr>
              <w:pStyle w:val="Ttulo1"/>
              <w:ind w:left="0" w:right="0"/>
              <w:jc w:val="center"/>
              <w:outlineLvl w:val="0"/>
              <w:rPr>
                <w:sz w:val="20"/>
                <w:szCs w:val="20"/>
                <w:u w:val="single"/>
              </w:rPr>
            </w:pPr>
            <w:r>
              <w:rPr>
                <w:sz w:val="20"/>
                <w:szCs w:val="20"/>
                <w:u w:val="single"/>
              </w:rPr>
              <w:t>80%**</w:t>
            </w:r>
          </w:p>
        </w:tc>
        <w:tc>
          <w:tcPr>
            <w:tcW w:w="1797" w:type="dxa"/>
          </w:tcPr>
          <w:p w14:paraId="47DCFDB6" w14:textId="77777777" w:rsidR="00EB3C05" w:rsidRPr="00B54567" w:rsidRDefault="00EB3C05" w:rsidP="00874B2D">
            <w:pPr>
              <w:pStyle w:val="Ttulo1"/>
              <w:ind w:left="0" w:right="0"/>
              <w:jc w:val="center"/>
              <w:outlineLvl w:val="0"/>
              <w:rPr>
                <w:sz w:val="20"/>
                <w:szCs w:val="20"/>
                <w:u w:val="single"/>
              </w:rPr>
            </w:pPr>
            <w:r>
              <w:rPr>
                <w:sz w:val="20"/>
                <w:szCs w:val="20"/>
                <w:u w:val="single"/>
              </w:rPr>
              <w:t>87%***</w:t>
            </w:r>
          </w:p>
        </w:tc>
      </w:tr>
    </w:tbl>
    <w:p w14:paraId="4550FDAA" w14:textId="77777777" w:rsidR="00EB3C05" w:rsidRDefault="00EB3C05" w:rsidP="00EB3C05">
      <w:pPr>
        <w:pStyle w:val="Ttulo1"/>
        <w:ind w:left="0" w:right="0"/>
      </w:pPr>
    </w:p>
    <w:p w14:paraId="4F20442A" w14:textId="77777777" w:rsidR="00EB3C05" w:rsidRDefault="00EB3C05" w:rsidP="00EB3C05">
      <w:pPr>
        <w:pStyle w:val="Ttulo1"/>
        <w:ind w:left="0" w:right="0"/>
        <w:rPr>
          <w:sz w:val="20"/>
          <w:szCs w:val="20"/>
        </w:rPr>
      </w:pPr>
      <w:r w:rsidRPr="007315E4">
        <w:rPr>
          <w:sz w:val="20"/>
          <w:szCs w:val="20"/>
        </w:rPr>
        <w:t>* Corresponde a la totalidad de hallazgos en gestión al 31 de diciembre de 2024.</w:t>
      </w:r>
    </w:p>
    <w:p w14:paraId="23E3DE32" w14:textId="77777777" w:rsidR="00EB3C05" w:rsidRDefault="00EB3C05" w:rsidP="00EB3C05">
      <w:pPr>
        <w:pStyle w:val="Ttulo1"/>
        <w:ind w:left="0" w:right="0"/>
        <w:rPr>
          <w:sz w:val="20"/>
          <w:szCs w:val="20"/>
        </w:rPr>
      </w:pPr>
      <w:r w:rsidRPr="007315E4">
        <w:rPr>
          <w:sz w:val="20"/>
          <w:szCs w:val="20"/>
        </w:rPr>
        <w:t>** Corresponde al porcentaje de acciones (metas) ejecutadas al 100% al 31 de diciembre de 2024.</w:t>
      </w:r>
    </w:p>
    <w:p w14:paraId="77CFDCF5" w14:textId="77777777" w:rsidR="00EB3C05" w:rsidRPr="007315E4" w:rsidRDefault="00EB3C05" w:rsidP="00EB3C05">
      <w:pPr>
        <w:pStyle w:val="Ttulo1"/>
        <w:ind w:left="0" w:right="0"/>
        <w:rPr>
          <w:sz w:val="20"/>
          <w:szCs w:val="20"/>
        </w:rPr>
      </w:pPr>
      <w:r w:rsidRPr="007315E4">
        <w:rPr>
          <w:sz w:val="20"/>
          <w:szCs w:val="20"/>
        </w:rPr>
        <w:t>*** Corresponde al promedio acumulado de avances en la ejecución de acciones al 31 de diciembre de 2024.</w:t>
      </w:r>
    </w:p>
    <w:p w14:paraId="7C5C9711" w14:textId="77777777" w:rsidR="00EB3C05" w:rsidRPr="00B54567" w:rsidRDefault="00EB3C05" w:rsidP="00EB3C05">
      <w:pPr>
        <w:pStyle w:val="Ttulo1"/>
        <w:ind w:left="0" w:right="0"/>
      </w:pPr>
    </w:p>
    <w:p w14:paraId="071C4EF5" w14:textId="77777777" w:rsidR="00EB3C05" w:rsidRDefault="00EB3C05" w:rsidP="00EB3C05">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640DB025" w14:textId="77777777" w:rsidR="00EB3C05" w:rsidRDefault="00EB3C05" w:rsidP="00EB3C05">
      <w:pPr>
        <w:jc w:val="both"/>
        <w:rPr>
          <w:sz w:val="24"/>
          <w:szCs w:val="24"/>
        </w:rPr>
      </w:pPr>
    </w:p>
    <w:p w14:paraId="7C2B5C8C" w14:textId="77777777" w:rsidR="00EB3C05" w:rsidRDefault="00EB3C05" w:rsidP="00EB3C05">
      <w:pPr>
        <w:jc w:val="both"/>
        <w:rPr>
          <w:sz w:val="24"/>
          <w:szCs w:val="24"/>
        </w:rPr>
      </w:pPr>
      <w:r w:rsidRPr="007315E4">
        <w:rPr>
          <w:sz w:val="24"/>
          <w:szCs w:val="24"/>
        </w:rPr>
        <w:t>▪ El plan de mejoramiento, previo a la actividad de seguimiento, se encontraba constituido por diecisiete (17) planes que contemplaban un total de ochenta y un (81) actividades formuladas para atender treinta y un (31) hallazgos derivados de auditorías practicadas a la Entidad en las vigencias 2022, 2023 y 2024</w:t>
      </w:r>
    </w:p>
    <w:p w14:paraId="268A5049" w14:textId="77777777" w:rsidR="00EB3C05" w:rsidRDefault="00EB3C05" w:rsidP="00EB3C05">
      <w:pPr>
        <w:jc w:val="both"/>
        <w:rPr>
          <w:sz w:val="24"/>
          <w:szCs w:val="24"/>
        </w:rPr>
      </w:pPr>
    </w:p>
    <w:p w14:paraId="2336C9E0" w14:textId="77777777" w:rsidR="00EB3C05" w:rsidRDefault="00EB3C05" w:rsidP="00EB3C05">
      <w:pPr>
        <w:jc w:val="both"/>
        <w:rPr>
          <w:sz w:val="24"/>
          <w:szCs w:val="24"/>
        </w:rPr>
      </w:pPr>
      <w:r w:rsidRPr="007315E4">
        <w:rPr>
          <w:sz w:val="24"/>
          <w:szCs w:val="24"/>
        </w:rPr>
        <w:t>▪ A partir de las actividades de seguimiento realizadas por la Oficina de Control Interno durante la vigencia 2024, se determinó viable el cierre de seis (6) planes que atendían seis (6) hallazgos, al observar el cumplimiento de las once (11) acciones propuestas y su efectividad frente a la causa del hallazgo, así:</w:t>
      </w:r>
    </w:p>
    <w:p w14:paraId="07EB698D" w14:textId="77777777" w:rsidR="00EB3C05" w:rsidRDefault="00EB3C05" w:rsidP="00EB3C05">
      <w:pPr>
        <w:jc w:val="both"/>
        <w:rPr>
          <w:sz w:val="24"/>
          <w:szCs w:val="24"/>
        </w:rPr>
      </w:pPr>
    </w:p>
    <w:p w14:paraId="6D3CEB29" w14:textId="77777777" w:rsidR="00EB3C05" w:rsidRDefault="00EB3C05" w:rsidP="00EB3C05">
      <w:pPr>
        <w:jc w:val="center"/>
        <w:rPr>
          <w:sz w:val="24"/>
          <w:szCs w:val="24"/>
        </w:rPr>
      </w:pPr>
      <w:r w:rsidRPr="007315E4">
        <w:rPr>
          <w:noProof/>
          <w:sz w:val="24"/>
          <w:szCs w:val="24"/>
          <w:lang w:val="es-CO" w:eastAsia="es-CO"/>
        </w:rPr>
        <w:lastRenderedPageBreak/>
        <w:drawing>
          <wp:inline distT="0" distB="0" distL="0" distR="0" wp14:anchorId="2C697143" wp14:editId="642AE710">
            <wp:extent cx="4476750" cy="990600"/>
            <wp:effectExtent l="0" t="0" r="0" b="0"/>
            <wp:docPr id="2055712232" name="Imagen 205571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76750" cy="990600"/>
                    </a:xfrm>
                    <a:prstGeom prst="rect">
                      <a:avLst/>
                    </a:prstGeom>
                  </pic:spPr>
                </pic:pic>
              </a:graphicData>
            </a:graphic>
          </wp:inline>
        </w:drawing>
      </w:r>
    </w:p>
    <w:p w14:paraId="551672CA" w14:textId="77777777" w:rsidR="00EB3C05" w:rsidRDefault="00EB3C05" w:rsidP="00EB3C05">
      <w:pPr>
        <w:jc w:val="both"/>
        <w:rPr>
          <w:sz w:val="24"/>
          <w:szCs w:val="24"/>
        </w:rPr>
      </w:pPr>
    </w:p>
    <w:p w14:paraId="593E82A0" w14:textId="77777777" w:rsidR="00EB3C05" w:rsidRPr="00C866A8" w:rsidRDefault="00EB3C05" w:rsidP="00EB3C05">
      <w:pPr>
        <w:jc w:val="both"/>
        <w:rPr>
          <w:sz w:val="24"/>
          <w:szCs w:val="24"/>
        </w:rPr>
      </w:pPr>
      <w:r>
        <w:rPr>
          <w:sz w:val="24"/>
          <w:szCs w:val="24"/>
        </w:rPr>
        <w:t>En cuanto al cumplimiento de acciones, de las setenta (70) que se encontraban en gestión luego del seguimiento (Excluyendo las asociadas a los hallazgos objeto de cierre), cincuenta y seis (56) de ellas (80%) presentaban un avance del 100%</w:t>
      </w:r>
    </w:p>
    <w:p w14:paraId="768DA562" w14:textId="1F9A7AD1" w:rsidR="009F68D9" w:rsidRDefault="009F68D9" w:rsidP="0039713A"/>
    <w:p w14:paraId="6DE51266" w14:textId="77777777" w:rsidR="00921BC5" w:rsidRDefault="00921BC5" w:rsidP="00921BC5">
      <w:pPr>
        <w:tabs>
          <w:tab w:val="left" w:pos="2265"/>
          <w:tab w:val="left" w:pos="5293"/>
          <w:tab w:val="left" w:pos="7458"/>
          <w:tab w:val="left" w:pos="9541"/>
        </w:tabs>
        <w:spacing w:before="92"/>
        <w:ind w:right="49"/>
        <w:jc w:val="both"/>
        <w:rPr>
          <w:b/>
          <w:sz w:val="28"/>
          <w:szCs w:val="28"/>
        </w:rPr>
      </w:pPr>
      <w:bookmarkStart w:id="13" w:name="_Hlk207876230"/>
      <w:bookmarkStart w:id="14"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07FFC181" w14:textId="77777777" w:rsidR="00921BC5" w:rsidRPr="00B54567" w:rsidRDefault="00921BC5" w:rsidP="00921BC5">
      <w:pPr>
        <w:tabs>
          <w:tab w:val="left" w:pos="2265"/>
          <w:tab w:val="left" w:pos="5293"/>
          <w:tab w:val="left" w:pos="7458"/>
          <w:tab w:val="left" w:pos="9541"/>
        </w:tabs>
        <w:spacing w:before="92"/>
        <w:ind w:right="49"/>
        <w:jc w:val="both"/>
        <w:rPr>
          <w:b/>
          <w:sz w:val="28"/>
          <w:szCs w:val="28"/>
        </w:rPr>
      </w:pPr>
    </w:p>
    <w:p w14:paraId="79AF1B72" w14:textId="5101684F" w:rsidR="00921BC5" w:rsidRPr="00B54567" w:rsidRDefault="00921BC5" w:rsidP="00921BC5">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25" w:history="1">
        <w:r w:rsidR="00AC36B3"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26" w:history="1">
        <w:r w:rsidRPr="00B54567">
          <w:rPr>
            <w:rStyle w:val="Hipervnculo"/>
            <w:b/>
            <w:sz w:val="28"/>
            <w:szCs w:val="28"/>
            <w:u w:val="thick" w:color="0000FF"/>
          </w:rPr>
          <w:t>fabian.trujillo@camara.gov.co</w:t>
        </w:r>
      </w:hyperlink>
    </w:p>
    <w:p w14:paraId="4DBCDD59" w14:textId="77777777" w:rsidR="00921BC5" w:rsidRPr="00B54567" w:rsidRDefault="00921BC5" w:rsidP="00921BC5">
      <w:pPr>
        <w:tabs>
          <w:tab w:val="left" w:pos="8985"/>
        </w:tabs>
        <w:ind w:right="49"/>
        <w:jc w:val="both"/>
        <w:rPr>
          <w:b/>
          <w:sz w:val="28"/>
          <w:szCs w:val="28"/>
        </w:rPr>
      </w:pPr>
    </w:p>
    <w:p w14:paraId="7A6A2752" w14:textId="77777777" w:rsidR="00923D3E" w:rsidRDefault="00923D3E" w:rsidP="00921BC5">
      <w:pPr>
        <w:tabs>
          <w:tab w:val="left" w:pos="834"/>
        </w:tabs>
        <w:spacing w:before="91"/>
        <w:ind w:right="49"/>
        <w:jc w:val="both"/>
        <w:rPr>
          <w:b/>
          <w:sz w:val="28"/>
          <w:szCs w:val="28"/>
        </w:rPr>
      </w:pPr>
    </w:p>
    <w:p w14:paraId="61847FC3" w14:textId="26648C61" w:rsidR="00921BC5" w:rsidRDefault="00921BC5" w:rsidP="00921BC5">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33265347" w14:textId="55737CEF" w:rsidR="00921BC5" w:rsidRDefault="00921BC5" w:rsidP="00921BC5">
      <w:pPr>
        <w:tabs>
          <w:tab w:val="left" w:pos="834"/>
        </w:tabs>
        <w:spacing w:before="91"/>
        <w:ind w:right="49"/>
        <w:jc w:val="both"/>
        <w:rPr>
          <w:b/>
          <w:spacing w:val="-15"/>
          <w:sz w:val="28"/>
          <w:szCs w:val="28"/>
        </w:rPr>
      </w:pPr>
    </w:p>
    <w:p w14:paraId="4A8CB850" w14:textId="1387A696" w:rsidR="00923D3E" w:rsidRDefault="00923D3E" w:rsidP="00921BC5">
      <w:pPr>
        <w:tabs>
          <w:tab w:val="left" w:pos="834"/>
        </w:tabs>
        <w:spacing w:before="91"/>
        <w:ind w:right="49"/>
        <w:jc w:val="both"/>
        <w:rPr>
          <w:b/>
          <w:spacing w:val="-15"/>
          <w:sz w:val="28"/>
          <w:szCs w:val="28"/>
        </w:rPr>
      </w:pPr>
    </w:p>
    <w:p w14:paraId="560E93F2" w14:textId="084E8163" w:rsidR="00923D3E" w:rsidRDefault="00923D3E" w:rsidP="00921BC5">
      <w:pPr>
        <w:tabs>
          <w:tab w:val="left" w:pos="834"/>
        </w:tabs>
        <w:spacing w:before="91"/>
        <w:ind w:right="49"/>
        <w:jc w:val="both"/>
        <w:rPr>
          <w:b/>
          <w:spacing w:val="-15"/>
          <w:sz w:val="28"/>
          <w:szCs w:val="28"/>
        </w:rPr>
      </w:pPr>
    </w:p>
    <w:p w14:paraId="46C6579B" w14:textId="421BA854" w:rsidR="00923D3E" w:rsidRDefault="00923D3E" w:rsidP="00921BC5">
      <w:pPr>
        <w:tabs>
          <w:tab w:val="left" w:pos="834"/>
        </w:tabs>
        <w:spacing w:before="91"/>
        <w:ind w:right="49"/>
        <w:jc w:val="both"/>
        <w:rPr>
          <w:b/>
          <w:spacing w:val="-15"/>
          <w:sz w:val="28"/>
          <w:szCs w:val="28"/>
        </w:rPr>
      </w:pPr>
    </w:p>
    <w:p w14:paraId="3A15823F" w14:textId="77777777" w:rsidR="00923D3E" w:rsidRDefault="00923D3E" w:rsidP="00921BC5">
      <w:pPr>
        <w:tabs>
          <w:tab w:val="left" w:pos="834"/>
        </w:tabs>
        <w:spacing w:before="91"/>
        <w:ind w:right="49"/>
        <w:jc w:val="both"/>
        <w:rPr>
          <w:b/>
          <w:spacing w:val="-15"/>
          <w:sz w:val="28"/>
          <w:szCs w:val="28"/>
        </w:rPr>
      </w:pPr>
    </w:p>
    <w:p w14:paraId="605592CC" w14:textId="77777777" w:rsidR="00921BC5" w:rsidRPr="009D3600" w:rsidRDefault="00921BC5" w:rsidP="00921BC5">
      <w:pPr>
        <w:pStyle w:val="Prrafodelista"/>
        <w:ind w:left="0" w:right="49"/>
        <w:jc w:val="both"/>
        <w:rPr>
          <w:b/>
          <w:iCs/>
          <w:sz w:val="28"/>
          <w:szCs w:val="28"/>
        </w:rPr>
      </w:pPr>
      <w:r w:rsidRPr="009D3600">
        <w:rPr>
          <w:b/>
          <w:iCs/>
          <w:sz w:val="28"/>
          <w:szCs w:val="28"/>
        </w:rPr>
        <w:lastRenderedPageBreak/>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DED8B4D" w14:textId="2B99E7DD" w:rsidR="00921BC5" w:rsidRDefault="00921BC5" w:rsidP="00921BC5">
      <w:pPr>
        <w:pStyle w:val="Textoindependiente"/>
        <w:ind w:right="49"/>
        <w:rPr>
          <w:sz w:val="28"/>
          <w:szCs w:val="28"/>
        </w:rPr>
      </w:pPr>
    </w:p>
    <w:p w14:paraId="4A60CAD9" w14:textId="77777777" w:rsidR="00225925" w:rsidRPr="00B54567" w:rsidRDefault="00225925" w:rsidP="00921BC5">
      <w:pPr>
        <w:pStyle w:val="Textoindependiente"/>
        <w:ind w:right="49"/>
        <w:rPr>
          <w:sz w:val="28"/>
          <w:szCs w:val="28"/>
        </w:rPr>
      </w:pPr>
    </w:p>
    <w:p w14:paraId="2D05F818" w14:textId="77777777" w:rsidR="00921BC5" w:rsidRDefault="00921BC5" w:rsidP="00921BC5">
      <w:pPr>
        <w:pStyle w:val="Textoindependiente"/>
        <w:ind w:right="49"/>
        <w:rPr>
          <w:sz w:val="28"/>
          <w:szCs w:val="28"/>
        </w:rPr>
      </w:pPr>
      <w:r w:rsidRPr="00B54567">
        <w:rPr>
          <w:sz w:val="28"/>
          <w:szCs w:val="28"/>
        </w:rPr>
        <w:t>Atentamente,</w:t>
      </w:r>
    </w:p>
    <w:p w14:paraId="590B7281" w14:textId="77777777" w:rsidR="00921BC5" w:rsidRDefault="00921BC5" w:rsidP="00921BC5">
      <w:pPr>
        <w:pStyle w:val="Textoindependiente"/>
        <w:ind w:right="49"/>
        <w:rPr>
          <w:sz w:val="28"/>
          <w:szCs w:val="28"/>
        </w:rPr>
      </w:pPr>
    </w:p>
    <w:p w14:paraId="2931E8FF" w14:textId="4E24E4F9" w:rsidR="00921BC5" w:rsidRDefault="00921BC5" w:rsidP="00921BC5">
      <w:pPr>
        <w:pStyle w:val="Textoindependiente"/>
        <w:rPr>
          <w:sz w:val="28"/>
          <w:szCs w:val="28"/>
        </w:rPr>
      </w:pPr>
    </w:p>
    <w:p w14:paraId="78711452" w14:textId="77777777" w:rsidR="00B87220" w:rsidRPr="00B54567" w:rsidRDefault="00B87220" w:rsidP="00921BC5">
      <w:pPr>
        <w:pStyle w:val="Textoindependiente"/>
        <w:rPr>
          <w:sz w:val="28"/>
          <w:szCs w:val="28"/>
        </w:rPr>
      </w:pPr>
    </w:p>
    <w:p w14:paraId="2AA7F809" w14:textId="77777777" w:rsidR="002308FA" w:rsidRDefault="002308FA" w:rsidP="002308FA">
      <w:pPr>
        <w:pStyle w:val="Textoindependiente"/>
        <w:jc w:val="center"/>
        <w:rPr>
          <w:i/>
          <w:iCs/>
        </w:rPr>
      </w:pPr>
      <w:r>
        <w:rPr>
          <w:i/>
          <w:iCs/>
        </w:rPr>
        <w:t>Original firmado</w:t>
      </w:r>
    </w:p>
    <w:p w14:paraId="7AC45A6C" w14:textId="77777777" w:rsidR="00921BC5" w:rsidRPr="00B54567" w:rsidRDefault="00921BC5" w:rsidP="00921BC5">
      <w:pPr>
        <w:ind w:left="-567"/>
        <w:jc w:val="center"/>
        <w:rPr>
          <w:b/>
          <w:sz w:val="24"/>
          <w:szCs w:val="24"/>
        </w:rPr>
      </w:pPr>
    </w:p>
    <w:p w14:paraId="59CDCEA1" w14:textId="77777777" w:rsidR="00921BC5" w:rsidRPr="00B54567" w:rsidRDefault="00921BC5" w:rsidP="00921BC5">
      <w:pPr>
        <w:ind w:left="-567"/>
        <w:jc w:val="center"/>
        <w:rPr>
          <w:b/>
          <w:sz w:val="24"/>
          <w:szCs w:val="24"/>
        </w:rPr>
      </w:pPr>
      <w:r w:rsidRPr="00B54567">
        <w:rPr>
          <w:b/>
          <w:sz w:val="24"/>
          <w:szCs w:val="24"/>
        </w:rPr>
        <w:t>VICTOR ANDRÉS TOVAR TRUJILLO</w:t>
      </w:r>
    </w:p>
    <w:p w14:paraId="477CD7D2" w14:textId="77777777" w:rsidR="00921BC5" w:rsidRPr="00B54567" w:rsidRDefault="00921BC5" w:rsidP="00921BC5">
      <w:pPr>
        <w:ind w:left="-567"/>
        <w:jc w:val="center"/>
        <w:rPr>
          <w:b/>
          <w:sz w:val="24"/>
        </w:rPr>
      </w:pPr>
      <w:r w:rsidRPr="00B54567">
        <w:rPr>
          <w:b/>
          <w:sz w:val="24"/>
          <w:szCs w:val="24"/>
        </w:rPr>
        <w:t>Secretario General</w:t>
      </w:r>
      <w:r w:rsidRPr="00B54567">
        <w:rPr>
          <w:b/>
          <w:sz w:val="24"/>
        </w:rPr>
        <w:t xml:space="preserve"> </w:t>
      </w:r>
    </w:p>
    <w:p w14:paraId="1B706B42" w14:textId="77777777" w:rsidR="00921BC5" w:rsidRPr="00B54567" w:rsidRDefault="00921BC5" w:rsidP="00921BC5">
      <w:pPr>
        <w:ind w:left="2268" w:right="2640"/>
        <w:jc w:val="center"/>
        <w:rPr>
          <w:b/>
          <w:sz w:val="24"/>
        </w:rPr>
      </w:pPr>
      <w:r w:rsidRPr="00B54567">
        <w:rPr>
          <w:b/>
          <w:sz w:val="24"/>
        </w:rPr>
        <w:t xml:space="preserve">Comisión Legal de Cuentas </w:t>
      </w:r>
    </w:p>
    <w:p w14:paraId="42CF7FE5" w14:textId="77777777" w:rsidR="00921BC5" w:rsidRPr="00B54567" w:rsidRDefault="00921BC5" w:rsidP="00921BC5">
      <w:pPr>
        <w:ind w:left="2268" w:right="2640"/>
        <w:jc w:val="center"/>
        <w:rPr>
          <w:b/>
          <w:sz w:val="24"/>
        </w:rPr>
      </w:pPr>
      <w:r w:rsidRPr="00B54567">
        <w:rPr>
          <w:b/>
          <w:sz w:val="24"/>
        </w:rPr>
        <w:t>Cámara de Representantes</w:t>
      </w:r>
    </w:p>
    <w:p w14:paraId="2D6A4185" w14:textId="77777777" w:rsidR="00921BC5" w:rsidRPr="00B54567" w:rsidRDefault="00921BC5" w:rsidP="00921BC5">
      <w:pPr>
        <w:ind w:left="1411" w:right="1900"/>
        <w:jc w:val="center"/>
        <w:rPr>
          <w:b/>
          <w:sz w:val="24"/>
        </w:rPr>
      </w:pPr>
      <w:r w:rsidRPr="00B54567">
        <w:rPr>
          <w:b/>
          <w:sz w:val="24"/>
        </w:rPr>
        <w:t>Carrera 7ª Nº 8 – 68 Edificio Nuevo del Congreso</w:t>
      </w:r>
    </w:p>
    <w:p w14:paraId="6060502D" w14:textId="77777777" w:rsidR="00921BC5" w:rsidRDefault="00921BC5" w:rsidP="00921BC5">
      <w:pPr>
        <w:ind w:left="1411" w:right="1900"/>
        <w:jc w:val="center"/>
        <w:rPr>
          <w:b/>
          <w:sz w:val="24"/>
        </w:rPr>
      </w:pPr>
      <w:r w:rsidRPr="00B54567">
        <w:rPr>
          <w:b/>
          <w:sz w:val="24"/>
        </w:rPr>
        <w:t>Bogotá D.C.</w:t>
      </w:r>
      <w:r>
        <w:rPr>
          <w:b/>
          <w:sz w:val="24"/>
        </w:rPr>
        <w:t xml:space="preserve"> </w:t>
      </w:r>
    </w:p>
    <w:p w14:paraId="69F0A569" w14:textId="77777777" w:rsidR="00921BC5" w:rsidRDefault="00921BC5" w:rsidP="00921BC5">
      <w:pPr>
        <w:ind w:left="1411" w:right="1900"/>
        <w:jc w:val="center"/>
        <w:rPr>
          <w:b/>
          <w:sz w:val="24"/>
        </w:rPr>
      </w:pPr>
    </w:p>
    <w:bookmarkEnd w:id="13"/>
    <w:p w14:paraId="5006AFE5" w14:textId="77777777" w:rsidR="00921BC5" w:rsidRDefault="00921BC5" w:rsidP="00921BC5">
      <w:pPr>
        <w:ind w:left="1411" w:right="1900"/>
        <w:jc w:val="center"/>
        <w:rPr>
          <w:b/>
          <w:sz w:val="24"/>
        </w:rPr>
      </w:pPr>
    </w:p>
    <w:bookmarkEnd w:id="14"/>
    <w:p w14:paraId="2B96BC9C" w14:textId="77777777" w:rsidR="00921BC5" w:rsidRPr="00F07556" w:rsidRDefault="00921BC5" w:rsidP="00921BC5">
      <w:pPr>
        <w:rPr>
          <w:b/>
          <w:bCs/>
          <w:sz w:val="24"/>
          <w:szCs w:val="24"/>
        </w:rPr>
      </w:pPr>
    </w:p>
    <w:p w14:paraId="046658E7" w14:textId="77777777" w:rsidR="00921BC5" w:rsidRPr="0039713A" w:rsidRDefault="00921BC5" w:rsidP="0039713A"/>
    <w:sectPr w:rsidR="00921BC5" w:rsidRPr="0039713A" w:rsidSect="00343CF3">
      <w:footerReference w:type="default" r:id="rId2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9BCB" w14:textId="77777777" w:rsidR="002C4FF3" w:rsidRDefault="002C4FF3" w:rsidP="00481F58">
      <w:r>
        <w:separator/>
      </w:r>
    </w:p>
  </w:endnote>
  <w:endnote w:type="continuationSeparator" w:id="0">
    <w:p w14:paraId="599B5481" w14:textId="77777777" w:rsidR="002C4FF3" w:rsidRDefault="002C4FF3"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13246"/>
      <w:docPartObj>
        <w:docPartGallery w:val="Page Numbers (Bottom of Page)"/>
        <w:docPartUnique/>
      </w:docPartObj>
    </w:sdtPr>
    <w:sdtEndPr/>
    <w:sdtContent>
      <w:p w14:paraId="3CD97134" w14:textId="201E84FF" w:rsidR="00EB3C05" w:rsidRDefault="00EB3C05">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BA5E" w14:textId="77777777" w:rsidR="002C4FF3" w:rsidRDefault="002C4FF3" w:rsidP="00481F58">
      <w:r>
        <w:separator/>
      </w:r>
    </w:p>
  </w:footnote>
  <w:footnote w:type="continuationSeparator" w:id="0">
    <w:p w14:paraId="706310E0" w14:textId="77777777" w:rsidR="002C4FF3" w:rsidRDefault="002C4FF3"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E651EA"/>
    <w:multiLevelType w:val="hybridMultilevel"/>
    <w:tmpl w:val="446401B0"/>
    <w:lvl w:ilvl="0" w:tplc="FFFFFFFF">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0541B0"/>
    <w:multiLevelType w:val="hybridMultilevel"/>
    <w:tmpl w:val="E10AE1AC"/>
    <w:lvl w:ilvl="0" w:tplc="55CCCAC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F561B5"/>
    <w:multiLevelType w:val="multilevel"/>
    <w:tmpl w:val="1C2C03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460C0477"/>
    <w:multiLevelType w:val="hybridMultilevel"/>
    <w:tmpl w:val="FA7AA9F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2"/>
  </w:num>
  <w:num w:numId="5">
    <w:abstractNumId w:val="27"/>
  </w:num>
  <w:num w:numId="6">
    <w:abstractNumId w:val="16"/>
  </w:num>
  <w:num w:numId="7">
    <w:abstractNumId w:val="5"/>
  </w:num>
  <w:num w:numId="8">
    <w:abstractNumId w:val="29"/>
  </w:num>
  <w:num w:numId="9">
    <w:abstractNumId w:val="8"/>
  </w:num>
  <w:num w:numId="10">
    <w:abstractNumId w:val="7"/>
  </w:num>
  <w:num w:numId="11">
    <w:abstractNumId w:val="14"/>
  </w:num>
  <w:num w:numId="12">
    <w:abstractNumId w:val="26"/>
  </w:num>
  <w:num w:numId="13">
    <w:abstractNumId w:val="10"/>
  </w:num>
  <w:num w:numId="14">
    <w:abstractNumId w:val="21"/>
  </w:num>
  <w:num w:numId="15">
    <w:abstractNumId w:val="23"/>
  </w:num>
  <w:num w:numId="16">
    <w:abstractNumId w:val="17"/>
  </w:num>
  <w:num w:numId="17">
    <w:abstractNumId w:val="0"/>
  </w:num>
  <w:num w:numId="18">
    <w:abstractNumId w:val="25"/>
  </w:num>
  <w:num w:numId="19">
    <w:abstractNumId w:val="22"/>
  </w:num>
  <w:num w:numId="20">
    <w:abstractNumId w:val="24"/>
  </w:num>
  <w:num w:numId="21">
    <w:abstractNumId w:val="9"/>
  </w:num>
  <w:num w:numId="22">
    <w:abstractNumId w:val="1"/>
  </w:num>
  <w:num w:numId="23">
    <w:abstractNumId w:val="3"/>
  </w:num>
  <w:num w:numId="24">
    <w:abstractNumId w:val="4"/>
  </w:num>
  <w:num w:numId="25">
    <w:abstractNumId w:val="18"/>
  </w:num>
  <w:num w:numId="26">
    <w:abstractNumId w:val="28"/>
  </w:num>
  <w:num w:numId="27">
    <w:abstractNumId w:val="19"/>
  </w:num>
  <w:num w:numId="28">
    <w:abstractNumId w:val="20"/>
  </w:num>
  <w:num w:numId="29">
    <w:abstractNumId w:val="13"/>
  </w:num>
  <w:num w:numId="3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225925"/>
    <w:rsid w:val="002308FA"/>
    <w:rsid w:val="002B5E0A"/>
    <w:rsid w:val="002C4FF3"/>
    <w:rsid w:val="00343CF3"/>
    <w:rsid w:val="003928AA"/>
    <w:rsid w:val="0039713A"/>
    <w:rsid w:val="00481F58"/>
    <w:rsid w:val="005D002F"/>
    <w:rsid w:val="005F6830"/>
    <w:rsid w:val="006A3C03"/>
    <w:rsid w:val="007A08F1"/>
    <w:rsid w:val="007A3ADE"/>
    <w:rsid w:val="007D09F5"/>
    <w:rsid w:val="007E3EDE"/>
    <w:rsid w:val="008518BC"/>
    <w:rsid w:val="008A6844"/>
    <w:rsid w:val="00921BC5"/>
    <w:rsid w:val="00923D3E"/>
    <w:rsid w:val="009E18A5"/>
    <w:rsid w:val="009F68D9"/>
    <w:rsid w:val="00AC36B3"/>
    <w:rsid w:val="00B55FCD"/>
    <w:rsid w:val="00B87220"/>
    <w:rsid w:val="00C34538"/>
    <w:rsid w:val="00C97D4D"/>
    <w:rsid w:val="00CF44C9"/>
    <w:rsid w:val="00E038C8"/>
    <w:rsid w:val="00E76114"/>
    <w:rsid w:val="00EB3C05"/>
    <w:rsid w:val="00F1170A"/>
    <w:rsid w:val="00F14E73"/>
    <w:rsid w:val="00FD3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C3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88513">
      <w:bodyDiv w:val="1"/>
      <w:marLeft w:val="0"/>
      <w:marRight w:val="0"/>
      <w:marTop w:val="0"/>
      <w:marBottom w:val="0"/>
      <w:divBdr>
        <w:top w:val="none" w:sz="0" w:space="0" w:color="auto"/>
        <w:left w:val="none" w:sz="0" w:space="0" w:color="auto"/>
        <w:bottom w:val="none" w:sz="0" w:space="0" w:color="auto"/>
        <w:right w:val="none" w:sz="0" w:space="0" w:color="auto"/>
      </w:divBdr>
    </w:div>
    <w:div w:id="1574045089">
      <w:bodyDiv w:val="1"/>
      <w:marLeft w:val="0"/>
      <w:marRight w:val="0"/>
      <w:marTop w:val="0"/>
      <w:marBottom w:val="0"/>
      <w:divBdr>
        <w:top w:val="none" w:sz="0" w:space="0" w:color="auto"/>
        <w:left w:val="none" w:sz="0" w:space="0" w:color="auto"/>
        <w:bottom w:val="none" w:sz="0" w:space="0" w:color="auto"/>
        <w:right w:val="none" w:sz="0" w:space="0" w:color="auto"/>
      </w:divBdr>
    </w:div>
    <w:div w:id="1764719828">
      <w:bodyDiv w:val="1"/>
      <w:marLeft w:val="0"/>
      <w:marRight w:val="0"/>
      <w:marTop w:val="0"/>
      <w:marBottom w:val="0"/>
      <w:divBdr>
        <w:top w:val="none" w:sz="0" w:space="0" w:color="auto"/>
        <w:left w:val="none" w:sz="0" w:space="0" w:color="auto"/>
        <w:bottom w:val="none" w:sz="0" w:space="0" w:color="auto"/>
        <w:right w:val="none" w:sz="0" w:space="0" w:color="auto"/>
      </w:divBdr>
    </w:div>
    <w:div w:id="20741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fabian.trujillo@camara.gov.co"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comision.lega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4475</Words>
  <Characters>24614</Characters>
  <Application>Microsoft Office Word</Application>
  <DocSecurity>0</DocSecurity>
  <Lines>205</Lines>
  <Paragraphs>58</Paragraphs>
  <ScaleCrop>false</ScaleCrop>
  <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16</cp:revision>
  <cp:lastPrinted>2025-09-09T19:47:00Z</cp:lastPrinted>
  <dcterms:created xsi:type="dcterms:W3CDTF">2025-09-02T19:46:00Z</dcterms:created>
  <dcterms:modified xsi:type="dcterms:W3CDTF">2025-09-09T20:59:00Z</dcterms:modified>
</cp:coreProperties>
</file>