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0878C2" w14:paraId="08BCAFE8" w14:textId="77777777" w:rsidTr="00882A6A">
        <w:trPr>
          <w:cantSplit/>
          <w:trHeight w:val="275"/>
        </w:trPr>
        <w:tc>
          <w:tcPr>
            <w:tcW w:w="1428" w:type="pct"/>
            <w:vMerge w:val="restart"/>
            <w:tcBorders>
              <w:bottom w:val="single" w:sz="4" w:space="0" w:color="auto"/>
            </w:tcBorders>
            <w:vAlign w:val="center"/>
          </w:tcPr>
          <w:p w14:paraId="687DE20A" w14:textId="77777777" w:rsidR="000878C2" w:rsidRDefault="000878C2" w:rsidP="00882A6A">
            <w:pPr>
              <w:pStyle w:val="Encabezado"/>
              <w:ind w:left="-567"/>
              <w:jc w:val="center"/>
              <w:rPr>
                <w:b/>
                <w:sz w:val="16"/>
                <w:szCs w:val="16"/>
              </w:rPr>
            </w:pPr>
            <w:bookmarkStart w:id="0" w:name="_Hlk208305068"/>
            <w:bookmarkStart w:id="1" w:name="_Hlk207871767"/>
            <w:r>
              <w:rPr>
                <w:b/>
                <w:noProof/>
                <w:sz w:val="16"/>
                <w:szCs w:val="16"/>
                <w:lang w:eastAsia="es-CO"/>
              </w:rPr>
              <w:drawing>
                <wp:anchor distT="0" distB="0" distL="114300" distR="114300" simplePos="0" relativeHeight="251659264" behindDoc="0" locked="0" layoutInCell="1" allowOverlap="1" wp14:anchorId="4ADF6C78" wp14:editId="78511AB9">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0558288" w14:textId="77777777" w:rsidR="000878C2" w:rsidRPr="00A45DDC" w:rsidRDefault="000878C2"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B7D80A3" w14:textId="77777777" w:rsidR="000878C2" w:rsidRPr="00C621C5" w:rsidRDefault="000878C2" w:rsidP="00882A6A">
            <w:pPr>
              <w:pStyle w:val="Encabezado"/>
              <w:ind w:right="-107"/>
              <w:jc w:val="center"/>
              <w:rPr>
                <w:b/>
                <w:sz w:val="20"/>
                <w:szCs w:val="20"/>
              </w:rPr>
            </w:pPr>
          </w:p>
        </w:tc>
      </w:tr>
      <w:tr w:rsidR="000878C2" w14:paraId="6A37E8F5" w14:textId="77777777" w:rsidTr="00882A6A">
        <w:trPr>
          <w:cantSplit/>
          <w:trHeight w:val="137"/>
        </w:trPr>
        <w:tc>
          <w:tcPr>
            <w:tcW w:w="1428" w:type="pct"/>
            <w:vMerge/>
            <w:tcBorders>
              <w:bottom w:val="single" w:sz="4" w:space="0" w:color="auto"/>
            </w:tcBorders>
            <w:vAlign w:val="center"/>
          </w:tcPr>
          <w:p w14:paraId="49B4FDB8" w14:textId="77777777" w:rsidR="000878C2" w:rsidRDefault="000878C2" w:rsidP="00882A6A">
            <w:pPr>
              <w:pStyle w:val="Encabezado"/>
              <w:jc w:val="center"/>
            </w:pPr>
          </w:p>
        </w:tc>
        <w:tc>
          <w:tcPr>
            <w:tcW w:w="2144" w:type="pct"/>
            <w:vMerge w:val="restart"/>
            <w:vAlign w:val="center"/>
          </w:tcPr>
          <w:p w14:paraId="3F765CA7" w14:textId="77777777" w:rsidR="000878C2" w:rsidRPr="00EC47A2" w:rsidRDefault="000878C2" w:rsidP="00882A6A">
            <w:pPr>
              <w:pStyle w:val="Encabezado"/>
              <w:jc w:val="center"/>
              <w:rPr>
                <w:rFonts w:cstheme="minorHAnsi"/>
                <w:b/>
              </w:rPr>
            </w:pPr>
            <w:r w:rsidRPr="00EC47A2">
              <w:rPr>
                <w:rFonts w:cstheme="minorHAnsi"/>
                <w:b/>
              </w:rPr>
              <w:t>Periodo Constitucional  2022 - 2026</w:t>
            </w:r>
          </w:p>
          <w:p w14:paraId="3ACD4038" w14:textId="77777777" w:rsidR="000878C2" w:rsidRPr="00D93A3A" w:rsidRDefault="000878C2" w:rsidP="00882A6A">
            <w:pPr>
              <w:pStyle w:val="Encabezado"/>
              <w:jc w:val="center"/>
              <w:rPr>
                <w:b/>
              </w:rPr>
            </w:pPr>
            <w:r w:rsidRPr="00EC47A2">
              <w:rPr>
                <w:rFonts w:cstheme="minorHAnsi"/>
                <w:b/>
              </w:rPr>
              <w:t>Legislatura 2025 - 2026</w:t>
            </w:r>
          </w:p>
        </w:tc>
        <w:tc>
          <w:tcPr>
            <w:tcW w:w="499" w:type="pct"/>
            <w:vAlign w:val="center"/>
          </w:tcPr>
          <w:p w14:paraId="6F257E1B" w14:textId="77777777" w:rsidR="000878C2" w:rsidRPr="00EC47A2" w:rsidRDefault="000878C2" w:rsidP="00882A6A">
            <w:pPr>
              <w:pStyle w:val="Encabezado"/>
              <w:spacing w:line="360" w:lineRule="auto"/>
              <w:jc w:val="center"/>
              <w:rPr>
                <w:sz w:val="16"/>
                <w:szCs w:val="16"/>
              </w:rPr>
            </w:pPr>
            <w:r w:rsidRPr="00EC47A2">
              <w:rPr>
                <w:sz w:val="16"/>
                <w:szCs w:val="16"/>
              </w:rPr>
              <w:t>CÓDIGO</w:t>
            </w:r>
          </w:p>
        </w:tc>
        <w:tc>
          <w:tcPr>
            <w:tcW w:w="929" w:type="pct"/>
            <w:vAlign w:val="center"/>
          </w:tcPr>
          <w:p w14:paraId="0C63C2E1" w14:textId="1CDA1E22" w:rsidR="000878C2" w:rsidRPr="00EC47A2" w:rsidRDefault="000878C2" w:rsidP="00882A6A">
            <w:pPr>
              <w:pStyle w:val="Encabezado"/>
              <w:spacing w:line="360" w:lineRule="auto"/>
              <w:ind w:right="-94" w:hanging="108"/>
              <w:jc w:val="center"/>
              <w:rPr>
                <w:sz w:val="16"/>
                <w:szCs w:val="16"/>
              </w:rPr>
            </w:pPr>
            <w:r w:rsidRPr="00EC47A2">
              <w:rPr>
                <w:sz w:val="16"/>
                <w:szCs w:val="16"/>
              </w:rPr>
              <w:t>CLC. 3.9   1</w:t>
            </w:r>
            <w:r>
              <w:rPr>
                <w:sz w:val="16"/>
                <w:szCs w:val="16"/>
              </w:rPr>
              <w:t>705</w:t>
            </w:r>
            <w:r w:rsidRPr="00EC47A2">
              <w:rPr>
                <w:sz w:val="16"/>
                <w:szCs w:val="16"/>
              </w:rPr>
              <w:t xml:space="preserve"> - 25</w:t>
            </w:r>
          </w:p>
        </w:tc>
      </w:tr>
      <w:tr w:rsidR="000878C2" w14:paraId="14110823" w14:textId="77777777" w:rsidTr="00882A6A">
        <w:trPr>
          <w:cantSplit/>
          <w:trHeight w:val="63"/>
        </w:trPr>
        <w:tc>
          <w:tcPr>
            <w:tcW w:w="1428" w:type="pct"/>
            <w:vMerge/>
            <w:tcBorders>
              <w:bottom w:val="single" w:sz="4" w:space="0" w:color="auto"/>
            </w:tcBorders>
            <w:vAlign w:val="center"/>
          </w:tcPr>
          <w:p w14:paraId="7DF0FA2F" w14:textId="77777777" w:rsidR="000878C2" w:rsidRDefault="000878C2" w:rsidP="00882A6A">
            <w:pPr>
              <w:pStyle w:val="Encabezado"/>
              <w:jc w:val="center"/>
              <w:rPr>
                <w:b/>
                <w:sz w:val="28"/>
                <w:szCs w:val="28"/>
              </w:rPr>
            </w:pPr>
          </w:p>
        </w:tc>
        <w:tc>
          <w:tcPr>
            <w:tcW w:w="2144" w:type="pct"/>
            <w:vMerge/>
            <w:vAlign w:val="center"/>
          </w:tcPr>
          <w:p w14:paraId="20BACE98" w14:textId="77777777" w:rsidR="000878C2" w:rsidRPr="00D335DF" w:rsidRDefault="000878C2" w:rsidP="00882A6A">
            <w:pPr>
              <w:pStyle w:val="Encabezado"/>
              <w:jc w:val="center"/>
              <w:rPr>
                <w:b/>
                <w:sz w:val="28"/>
                <w:szCs w:val="28"/>
              </w:rPr>
            </w:pPr>
          </w:p>
        </w:tc>
        <w:tc>
          <w:tcPr>
            <w:tcW w:w="499" w:type="pct"/>
            <w:vAlign w:val="center"/>
          </w:tcPr>
          <w:p w14:paraId="399457E3" w14:textId="77777777" w:rsidR="000878C2" w:rsidRPr="00EC47A2" w:rsidRDefault="000878C2" w:rsidP="00882A6A">
            <w:pPr>
              <w:pStyle w:val="Encabezado"/>
              <w:spacing w:line="360" w:lineRule="auto"/>
              <w:jc w:val="center"/>
              <w:rPr>
                <w:sz w:val="16"/>
                <w:szCs w:val="16"/>
              </w:rPr>
            </w:pPr>
            <w:r w:rsidRPr="00EC47A2">
              <w:rPr>
                <w:sz w:val="16"/>
                <w:szCs w:val="16"/>
              </w:rPr>
              <w:t>VERSIÓN</w:t>
            </w:r>
          </w:p>
        </w:tc>
        <w:tc>
          <w:tcPr>
            <w:tcW w:w="929" w:type="pct"/>
            <w:vAlign w:val="center"/>
          </w:tcPr>
          <w:p w14:paraId="0AFC81ED" w14:textId="77777777" w:rsidR="000878C2" w:rsidRPr="00EC47A2" w:rsidRDefault="000878C2" w:rsidP="00882A6A">
            <w:pPr>
              <w:pStyle w:val="Encabezado"/>
              <w:spacing w:line="360" w:lineRule="auto"/>
              <w:jc w:val="center"/>
              <w:rPr>
                <w:sz w:val="16"/>
                <w:szCs w:val="16"/>
              </w:rPr>
            </w:pPr>
            <w:r w:rsidRPr="00EC47A2">
              <w:rPr>
                <w:sz w:val="16"/>
                <w:szCs w:val="16"/>
              </w:rPr>
              <w:t>01-2016</w:t>
            </w:r>
          </w:p>
        </w:tc>
      </w:tr>
      <w:tr w:rsidR="000878C2" w14:paraId="4728FC84" w14:textId="77777777" w:rsidTr="00882A6A">
        <w:trPr>
          <w:cantSplit/>
          <w:trHeight w:val="322"/>
        </w:trPr>
        <w:tc>
          <w:tcPr>
            <w:tcW w:w="1428" w:type="pct"/>
            <w:vMerge/>
            <w:tcBorders>
              <w:bottom w:val="single" w:sz="4" w:space="0" w:color="auto"/>
            </w:tcBorders>
            <w:vAlign w:val="center"/>
          </w:tcPr>
          <w:p w14:paraId="6C71F28A" w14:textId="77777777" w:rsidR="000878C2" w:rsidRDefault="000878C2" w:rsidP="00882A6A">
            <w:pPr>
              <w:pStyle w:val="Encabezado"/>
              <w:jc w:val="center"/>
              <w:rPr>
                <w:b/>
                <w:sz w:val="28"/>
                <w:szCs w:val="28"/>
              </w:rPr>
            </w:pPr>
          </w:p>
        </w:tc>
        <w:tc>
          <w:tcPr>
            <w:tcW w:w="2144" w:type="pct"/>
            <w:vMerge/>
            <w:vAlign w:val="center"/>
          </w:tcPr>
          <w:p w14:paraId="6A729171" w14:textId="77777777" w:rsidR="000878C2" w:rsidRPr="00D335DF" w:rsidRDefault="000878C2" w:rsidP="00882A6A">
            <w:pPr>
              <w:pStyle w:val="Encabezado"/>
              <w:jc w:val="center"/>
              <w:rPr>
                <w:b/>
                <w:sz w:val="28"/>
                <w:szCs w:val="28"/>
              </w:rPr>
            </w:pPr>
          </w:p>
        </w:tc>
        <w:tc>
          <w:tcPr>
            <w:tcW w:w="499" w:type="pct"/>
            <w:vAlign w:val="center"/>
          </w:tcPr>
          <w:p w14:paraId="484278E3" w14:textId="77777777" w:rsidR="000878C2" w:rsidRPr="00EC47A2" w:rsidRDefault="000878C2" w:rsidP="00882A6A">
            <w:pPr>
              <w:pStyle w:val="Encabezado"/>
              <w:spacing w:line="360" w:lineRule="auto"/>
              <w:jc w:val="center"/>
              <w:rPr>
                <w:sz w:val="16"/>
                <w:szCs w:val="16"/>
              </w:rPr>
            </w:pPr>
            <w:r w:rsidRPr="00EC47A2">
              <w:rPr>
                <w:sz w:val="16"/>
                <w:szCs w:val="16"/>
              </w:rPr>
              <w:t>PÁGINA</w:t>
            </w:r>
          </w:p>
        </w:tc>
        <w:tc>
          <w:tcPr>
            <w:tcW w:w="929" w:type="pct"/>
            <w:vAlign w:val="center"/>
          </w:tcPr>
          <w:p w14:paraId="39247854" w14:textId="77777777" w:rsidR="000878C2" w:rsidRPr="00EC47A2" w:rsidRDefault="000878C2" w:rsidP="00882A6A">
            <w:pPr>
              <w:pStyle w:val="Encabezado"/>
              <w:spacing w:line="360" w:lineRule="auto"/>
              <w:jc w:val="center"/>
              <w:rPr>
                <w:sz w:val="16"/>
                <w:szCs w:val="16"/>
              </w:rPr>
            </w:pPr>
            <w:r w:rsidRPr="00EC47A2">
              <w:rPr>
                <w:b/>
                <w:sz w:val="16"/>
                <w:szCs w:val="16"/>
              </w:rPr>
              <w:t>1</w:t>
            </w:r>
          </w:p>
        </w:tc>
      </w:tr>
    </w:tbl>
    <w:p w14:paraId="0A6C312B" w14:textId="77777777" w:rsidR="000878C2" w:rsidRDefault="000878C2" w:rsidP="000878C2">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3A6F098" w14:textId="77777777" w:rsidR="000878C2" w:rsidRDefault="000878C2" w:rsidP="000878C2">
      <w:pPr>
        <w:jc w:val="both"/>
        <w:rPr>
          <w:bCs/>
          <w:sz w:val="28"/>
          <w:szCs w:val="28"/>
          <w:lang w:val="es-MX"/>
        </w:rPr>
      </w:pPr>
    </w:p>
    <w:p w14:paraId="64CBD1D6" w14:textId="77777777" w:rsidR="000878C2" w:rsidRPr="00EC47A2" w:rsidRDefault="000878C2" w:rsidP="000878C2">
      <w:pPr>
        <w:jc w:val="both"/>
        <w:rPr>
          <w:bCs/>
          <w:sz w:val="28"/>
          <w:szCs w:val="28"/>
          <w:lang w:val="es-MX"/>
        </w:rPr>
      </w:pPr>
    </w:p>
    <w:p w14:paraId="7A3DF9C5" w14:textId="0CF733EF" w:rsidR="000878C2" w:rsidRPr="00DB63C7" w:rsidRDefault="000878C2" w:rsidP="000878C2">
      <w:pPr>
        <w:pStyle w:val="Prrafodelista"/>
        <w:ind w:left="0" w:right="49"/>
        <w:jc w:val="both"/>
        <w:rPr>
          <w:sz w:val="28"/>
          <w:szCs w:val="28"/>
        </w:rPr>
      </w:pPr>
      <w:r w:rsidRPr="00DB63C7">
        <w:rPr>
          <w:sz w:val="28"/>
          <w:szCs w:val="28"/>
        </w:rPr>
        <w:t>Doctor</w:t>
      </w:r>
      <w:r w:rsidR="00E25BB4">
        <w:rPr>
          <w:sz w:val="28"/>
          <w:szCs w:val="28"/>
        </w:rPr>
        <w:t>a</w:t>
      </w:r>
    </w:p>
    <w:p w14:paraId="1382989A" w14:textId="6BC3727F" w:rsidR="00F93EE9" w:rsidRPr="00E25BB4" w:rsidRDefault="00E25BB4" w:rsidP="00E25BB4">
      <w:pPr>
        <w:pStyle w:val="Prrafodelista"/>
        <w:ind w:left="0" w:right="49"/>
        <w:jc w:val="both"/>
        <w:rPr>
          <w:b/>
          <w:bCs/>
          <w:sz w:val="28"/>
          <w:szCs w:val="28"/>
        </w:rPr>
      </w:pPr>
      <w:bookmarkStart w:id="2" w:name="_Hlk208306433"/>
      <w:r w:rsidRPr="00E25BB4">
        <w:rPr>
          <w:b/>
          <w:bCs/>
          <w:sz w:val="28"/>
          <w:szCs w:val="28"/>
        </w:rPr>
        <w:t>KATHERINE ROJAS MONTENEGRO</w:t>
      </w:r>
    </w:p>
    <w:p w14:paraId="4601255F" w14:textId="70F49D16" w:rsidR="00F93EE9" w:rsidRPr="00E25BB4" w:rsidRDefault="00F93EE9" w:rsidP="00E25BB4">
      <w:pPr>
        <w:pStyle w:val="Prrafodelista"/>
        <w:ind w:left="0" w:right="49"/>
        <w:jc w:val="both"/>
        <w:rPr>
          <w:sz w:val="28"/>
          <w:szCs w:val="28"/>
        </w:rPr>
      </w:pPr>
      <w:r w:rsidRPr="00E25BB4">
        <w:rPr>
          <w:sz w:val="28"/>
          <w:szCs w:val="28"/>
        </w:rPr>
        <w:t xml:space="preserve">Gerente </w:t>
      </w:r>
    </w:p>
    <w:p w14:paraId="733B5A5D" w14:textId="16F8EFE5" w:rsidR="00F93EE9" w:rsidRPr="00E25BB4" w:rsidRDefault="00F93EE9" w:rsidP="00E25BB4">
      <w:pPr>
        <w:pStyle w:val="Prrafodelista"/>
        <w:ind w:left="0" w:right="49"/>
        <w:jc w:val="both"/>
        <w:rPr>
          <w:sz w:val="28"/>
          <w:szCs w:val="28"/>
        </w:rPr>
      </w:pPr>
      <w:r w:rsidRPr="00E25BB4">
        <w:rPr>
          <w:sz w:val="28"/>
          <w:szCs w:val="28"/>
        </w:rPr>
        <w:t xml:space="preserve">Fondo de Adaptación </w:t>
      </w:r>
    </w:p>
    <w:bookmarkEnd w:id="2"/>
    <w:p w14:paraId="79D61892" w14:textId="77777777" w:rsidR="00F93EE9" w:rsidRPr="00E25BB4" w:rsidRDefault="00F93EE9" w:rsidP="00E25BB4">
      <w:pPr>
        <w:pStyle w:val="Prrafodelista"/>
        <w:ind w:left="0" w:right="49"/>
        <w:jc w:val="both"/>
        <w:rPr>
          <w:sz w:val="28"/>
          <w:szCs w:val="28"/>
        </w:rPr>
      </w:pPr>
      <w:r w:rsidRPr="00F93EE9">
        <w:rPr>
          <w:sz w:val="28"/>
          <w:szCs w:val="28"/>
        </w:rPr>
        <w:t>Calle 26 No.92-32 · Edificio Gold 9 · Piso 2</w:t>
      </w:r>
    </w:p>
    <w:p w14:paraId="3E778835" w14:textId="77777777" w:rsidR="000878C2" w:rsidRPr="00DB63C7" w:rsidRDefault="000878C2" w:rsidP="000878C2">
      <w:pPr>
        <w:pStyle w:val="Prrafodelista"/>
        <w:ind w:left="0" w:right="49"/>
        <w:jc w:val="both"/>
        <w:rPr>
          <w:sz w:val="28"/>
          <w:szCs w:val="28"/>
        </w:rPr>
      </w:pPr>
      <w:r w:rsidRPr="00DB63C7">
        <w:rPr>
          <w:sz w:val="28"/>
          <w:szCs w:val="28"/>
        </w:rPr>
        <w:t xml:space="preserve">Bogotá, D.C. </w:t>
      </w:r>
    </w:p>
    <w:p w14:paraId="0AB12DB4" w14:textId="77777777" w:rsidR="000878C2" w:rsidRDefault="000878C2" w:rsidP="000878C2">
      <w:pPr>
        <w:rPr>
          <w:sz w:val="28"/>
          <w:szCs w:val="28"/>
        </w:rPr>
      </w:pPr>
    </w:p>
    <w:p w14:paraId="4A32FAB4" w14:textId="77777777" w:rsidR="000878C2" w:rsidRPr="00DB63C7" w:rsidRDefault="000878C2" w:rsidP="000878C2">
      <w:pPr>
        <w:rPr>
          <w:sz w:val="28"/>
          <w:szCs w:val="28"/>
        </w:rPr>
      </w:pPr>
    </w:p>
    <w:p w14:paraId="20C89A98" w14:textId="1266C600" w:rsidR="000878C2" w:rsidRDefault="000878C2" w:rsidP="000878C2">
      <w:pPr>
        <w:rPr>
          <w:sz w:val="28"/>
          <w:szCs w:val="28"/>
        </w:rPr>
      </w:pPr>
      <w:r w:rsidRPr="00DB63C7">
        <w:rPr>
          <w:sz w:val="28"/>
          <w:szCs w:val="28"/>
        </w:rPr>
        <w:t>Respetad</w:t>
      </w:r>
      <w:r w:rsidR="00F93EE9">
        <w:rPr>
          <w:sz w:val="28"/>
          <w:szCs w:val="28"/>
        </w:rPr>
        <w:t>a</w:t>
      </w:r>
      <w:r w:rsidRPr="00DB63C7">
        <w:rPr>
          <w:sz w:val="28"/>
          <w:szCs w:val="28"/>
        </w:rPr>
        <w:t xml:space="preserve"> Doctor</w:t>
      </w:r>
      <w:r w:rsidR="00F93EE9">
        <w:rPr>
          <w:sz w:val="28"/>
          <w:szCs w:val="28"/>
        </w:rPr>
        <w:t>a</w:t>
      </w:r>
      <w:r w:rsidRPr="00DB63C7">
        <w:rPr>
          <w:sz w:val="28"/>
          <w:szCs w:val="28"/>
        </w:rPr>
        <w:t xml:space="preserve"> </w:t>
      </w:r>
      <w:r w:rsidR="00F93EE9">
        <w:rPr>
          <w:sz w:val="28"/>
          <w:szCs w:val="28"/>
        </w:rPr>
        <w:t>Montenegro</w:t>
      </w:r>
      <w:r w:rsidRPr="00DB63C7">
        <w:rPr>
          <w:sz w:val="28"/>
          <w:szCs w:val="28"/>
        </w:rPr>
        <w:t>:</w:t>
      </w:r>
    </w:p>
    <w:bookmarkEnd w:id="0"/>
    <w:p w14:paraId="614E5583" w14:textId="77777777" w:rsidR="00AE355A" w:rsidRDefault="00AE355A" w:rsidP="00AE355A">
      <w:pPr>
        <w:pStyle w:val="Prrafodelista"/>
        <w:ind w:left="0" w:right="-93"/>
        <w:jc w:val="both"/>
        <w:rPr>
          <w:sz w:val="28"/>
          <w:szCs w:val="28"/>
        </w:rPr>
      </w:pPr>
    </w:p>
    <w:p w14:paraId="15336A38" w14:textId="77777777" w:rsidR="00AE355A" w:rsidRPr="00ED6E5A" w:rsidRDefault="00AE355A" w:rsidP="00DC75AC">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707EA1D6" w14:textId="77777777" w:rsidR="00AE355A" w:rsidRPr="00ED6E5A" w:rsidRDefault="00AE355A" w:rsidP="00DC75AC">
      <w:pPr>
        <w:pStyle w:val="Prrafodelista"/>
        <w:ind w:left="0" w:right="49" w:hanging="284"/>
        <w:jc w:val="both"/>
        <w:rPr>
          <w:sz w:val="28"/>
          <w:szCs w:val="28"/>
        </w:rPr>
      </w:pPr>
    </w:p>
    <w:p w14:paraId="45137120" w14:textId="77777777" w:rsidR="00AE355A" w:rsidRDefault="00AE355A" w:rsidP="00DC75AC">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5E79F23" w14:textId="77777777" w:rsidR="00AE355A" w:rsidRDefault="00AE355A" w:rsidP="00DC75AC">
      <w:pPr>
        <w:pStyle w:val="Prrafodelista"/>
        <w:ind w:left="0" w:right="49"/>
        <w:jc w:val="both"/>
        <w:rPr>
          <w:sz w:val="28"/>
          <w:szCs w:val="28"/>
        </w:rPr>
      </w:pPr>
    </w:p>
    <w:p w14:paraId="71D0B244" w14:textId="77777777" w:rsidR="00AE355A" w:rsidRDefault="00AE355A" w:rsidP="00DC75AC">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bookmarkEnd w:id="1"/>
    <w:p w14:paraId="34155DF6" w14:textId="691CEBB3" w:rsidR="00AE355A" w:rsidRDefault="00AE355A" w:rsidP="00DC75AC">
      <w:pPr>
        <w:ind w:right="49"/>
        <w:jc w:val="both"/>
        <w:rPr>
          <w:b/>
          <w:sz w:val="28"/>
          <w:szCs w:val="28"/>
        </w:rPr>
      </w:pPr>
    </w:p>
    <w:p w14:paraId="6C5E1ED9" w14:textId="77777777" w:rsidR="00AE355A" w:rsidRPr="007C3032" w:rsidRDefault="00AE355A" w:rsidP="00DC75AC">
      <w:pPr>
        <w:pStyle w:val="Ttulo1"/>
        <w:ind w:left="0" w:right="49"/>
        <w:rPr>
          <w:b w:val="0"/>
          <w:bCs w:val="0"/>
          <w:sz w:val="28"/>
          <w:szCs w:val="28"/>
        </w:rPr>
      </w:pPr>
      <w:bookmarkStart w:id="3"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3"/>
    <w:p w14:paraId="158B2831" w14:textId="25BC2092" w:rsidR="00AE355A" w:rsidRDefault="00AE355A" w:rsidP="00AE355A">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AE355A" w:rsidRPr="00F15305" w14:paraId="6115BF74" w14:textId="77777777" w:rsidTr="00AE355A">
        <w:trPr>
          <w:trHeight w:val="1741"/>
          <w:jc w:val="center"/>
        </w:trPr>
        <w:tc>
          <w:tcPr>
            <w:tcW w:w="2942" w:type="dxa"/>
          </w:tcPr>
          <w:p w14:paraId="6C2EF56C" w14:textId="77777777" w:rsidR="00AE355A" w:rsidRPr="00F15305" w:rsidRDefault="00AE355A"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08A1A8E" w14:textId="77777777" w:rsidR="00AE355A" w:rsidRPr="00F15305" w:rsidRDefault="00AE355A"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2D29B033" w14:textId="77777777" w:rsidR="00AE355A" w:rsidRDefault="00AE355A" w:rsidP="00D306E1">
            <w:pPr>
              <w:pStyle w:val="Textoindependiente"/>
              <w:ind w:right="29"/>
              <w:jc w:val="center"/>
              <w:rPr>
                <w:b/>
                <w:sz w:val="20"/>
                <w:szCs w:val="20"/>
              </w:rPr>
            </w:pPr>
            <w:r w:rsidRPr="00F15305">
              <w:rPr>
                <w:b/>
                <w:sz w:val="20"/>
                <w:szCs w:val="20"/>
              </w:rPr>
              <w:t xml:space="preserve">0PINIÓN CONTABLE SEGÚN LA </w:t>
            </w:r>
          </w:p>
          <w:p w14:paraId="33595C9C" w14:textId="77777777" w:rsidR="00AE355A" w:rsidRPr="00F15305" w:rsidRDefault="00AE355A" w:rsidP="00D306E1">
            <w:pPr>
              <w:pStyle w:val="Textoindependiente"/>
              <w:ind w:right="29"/>
              <w:jc w:val="center"/>
              <w:rPr>
                <w:b/>
                <w:sz w:val="20"/>
                <w:szCs w:val="20"/>
              </w:rPr>
            </w:pPr>
            <w:r w:rsidRPr="00F15305">
              <w:rPr>
                <w:b/>
                <w:sz w:val="20"/>
                <w:szCs w:val="20"/>
              </w:rPr>
              <w:t xml:space="preserve">CGR </w:t>
            </w:r>
          </w:p>
          <w:p w14:paraId="06429C79" w14:textId="77777777" w:rsidR="00AE355A" w:rsidRPr="00F15305" w:rsidRDefault="00AE355A" w:rsidP="00D306E1">
            <w:pPr>
              <w:pStyle w:val="Textoindependiente"/>
              <w:ind w:right="29"/>
              <w:jc w:val="center"/>
              <w:rPr>
                <w:b/>
                <w:sz w:val="20"/>
                <w:szCs w:val="20"/>
              </w:rPr>
            </w:pPr>
            <w:r w:rsidRPr="00F15305">
              <w:rPr>
                <w:b/>
                <w:sz w:val="20"/>
                <w:szCs w:val="20"/>
              </w:rPr>
              <w:t>2024</w:t>
            </w:r>
          </w:p>
        </w:tc>
        <w:tc>
          <w:tcPr>
            <w:tcW w:w="1672" w:type="dxa"/>
          </w:tcPr>
          <w:p w14:paraId="44799297" w14:textId="77777777" w:rsidR="00AE355A" w:rsidRDefault="00AE355A" w:rsidP="00D306E1">
            <w:pPr>
              <w:pStyle w:val="Textoindependiente"/>
              <w:ind w:right="29"/>
              <w:jc w:val="center"/>
              <w:rPr>
                <w:b/>
                <w:sz w:val="20"/>
                <w:szCs w:val="20"/>
              </w:rPr>
            </w:pPr>
            <w:r w:rsidRPr="00F15305">
              <w:rPr>
                <w:b/>
                <w:sz w:val="20"/>
                <w:szCs w:val="20"/>
              </w:rPr>
              <w:t xml:space="preserve">EVALUACIÓN CONTROL INTERNO FINANCIERO SEGÚN LA </w:t>
            </w:r>
          </w:p>
          <w:p w14:paraId="06F99362" w14:textId="77777777" w:rsidR="00AE355A" w:rsidRPr="00F15305" w:rsidRDefault="00AE355A" w:rsidP="00D306E1">
            <w:pPr>
              <w:pStyle w:val="Textoindependiente"/>
              <w:ind w:right="29"/>
              <w:jc w:val="center"/>
              <w:rPr>
                <w:b/>
                <w:sz w:val="20"/>
                <w:szCs w:val="20"/>
              </w:rPr>
            </w:pPr>
            <w:r w:rsidRPr="00F15305">
              <w:rPr>
                <w:b/>
                <w:sz w:val="20"/>
                <w:szCs w:val="20"/>
              </w:rPr>
              <w:t xml:space="preserve">CGR </w:t>
            </w:r>
          </w:p>
          <w:p w14:paraId="2F97D8FD" w14:textId="77777777" w:rsidR="00AE355A" w:rsidRPr="00F15305" w:rsidRDefault="00AE355A" w:rsidP="00D306E1">
            <w:pPr>
              <w:pStyle w:val="Textoindependiente"/>
              <w:ind w:right="29"/>
              <w:jc w:val="center"/>
              <w:rPr>
                <w:b/>
                <w:sz w:val="20"/>
                <w:szCs w:val="20"/>
              </w:rPr>
            </w:pPr>
            <w:r w:rsidRPr="00F15305">
              <w:rPr>
                <w:b/>
                <w:sz w:val="20"/>
                <w:szCs w:val="20"/>
              </w:rPr>
              <w:t>2024</w:t>
            </w:r>
          </w:p>
          <w:p w14:paraId="6F6C3933" w14:textId="77777777" w:rsidR="00AE355A" w:rsidRPr="00F15305" w:rsidRDefault="00AE355A" w:rsidP="00D306E1">
            <w:pPr>
              <w:pStyle w:val="Textoindependiente"/>
              <w:ind w:right="29"/>
              <w:jc w:val="center"/>
              <w:rPr>
                <w:b/>
                <w:sz w:val="20"/>
                <w:szCs w:val="20"/>
              </w:rPr>
            </w:pPr>
          </w:p>
        </w:tc>
        <w:tc>
          <w:tcPr>
            <w:tcW w:w="1840" w:type="dxa"/>
          </w:tcPr>
          <w:p w14:paraId="25DB4AD2" w14:textId="77777777" w:rsidR="00AE355A" w:rsidRPr="00F15305" w:rsidRDefault="00AE355A" w:rsidP="00D306E1">
            <w:pPr>
              <w:pStyle w:val="Textoindependiente"/>
              <w:ind w:right="29"/>
              <w:jc w:val="center"/>
              <w:rPr>
                <w:b/>
                <w:sz w:val="20"/>
                <w:szCs w:val="20"/>
              </w:rPr>
            </w:pPr>
            <w:r w:rsidRPr="00F15305">
              <w:rPr>
                <w:b/>
                <w:sz w:val="20"/>
                <w:szCs w:val="20"/>
              </w:rPr>
              <w:t xml:space="preserve">FENECIMIENTO DE LA CUENTA FISCAL POR PARTE DE LA CGR </w:t>
            </w:r>
          </w:p>
          <w:p w14:paraId="68D22657" w14:textId="77777777" w:rsidR="00AE355A" w:rsidRPr="00F15305" w:rsidRDefault="00AE355A" w:rsidP="00D306E1">
            <w:pPr>
              <w:pStyle w:val="Textoindependiente"/>
              <w:ind w:right="29"/>
              <w:jc w:val="center"/>
              <w:rPr>
                <w:b/>
                <w:sz w:val="20"/>
                <w:szCs w:val="20"/>
              </w:rPr>
            </w:pPr>
            <w:r w:rsidRPr="00F15305">
              <w:rPr>
                <w:b/>
                <w:sz w:val="20"/>
                <w:szCs w:val="20"/>
              </w:rPr>
              <w:t>2024</w:t>
            </w:r>
          </w:p>
        </w:tc>
      </w:tr>
      <w:tr w:rsidR="00AE355A" w:rsidRPr="00F15305" w14:paraId="51ED3A60" w14:textId="77777777" w:rsidTr="00AE355A">
        <w:trPr>
          <w:jc w:val="center"/>
        </w:trPr>
        <w:tc>
          <w:tcPr>
            <w:tcW w:w="2942" w:type="dxa"/>
          </w:tcPr>
          <w:p w14:paraId="1A5EBBE8" w14:textId="77777777" w:rsidR="00AE355A" w:rsidRPr="00F15305" w:rsidRDefault="00AE355A" w:rsidP="00D306E1">
            <w:pPr>
              <w:pStyle w:val="Textoindependiente"/>
              <w:ind w:right="29"/>
              <w:jc w:val="both"/>
              <w:rPr>
                <w:b/>
                <w:sz w:val="20"/>
                <w:szCs w:val="20"/>
              </w:rPr>
            </w:pPr>
            <w:r w:rsidRPr="00F15305">
              <w:rPr>
                <w:b/>
                <w:sz w:val="20"/>
                <w:szCs w:val="20"/>
              </w:rPr>
              <w:t>FONDO ADAPTACIÓN</w:t>
            </w:r>
          </w:p>
        </w:tc>
        <w:tc>
          <w:tcPr>
            <w:tcW w:w="1868" w:type="dxa"/>
          </w:tcPr>
          <w:p w14:paraId="3F5B62F0" w14:textId="77777777" w:rsidR="00AE355A" w:rsidRPr="00F15305" w:rsidRDefault="00AE355A" w:rsidP="00D306E1">
            <w:pPr>
              <w:pStyle w:val="Textoindependiente"/>
              <w:ind w:right="29"/>
              <w:jc w:val="center"/>
              <w:rPr>
                <w:b/>
                <w:sz w:val="20"/>
                <w:szCs w:val="20"/>
              </w:rPr>
            </w:pPr>
          </w:p>
        </w:tc>
        <w:tc>
          <w:tcPr>
            <w:tcW w:w="1568" w:type="dxa"/>
          </w:tcPr>
          <w:p w14:paraId="2FEF58BF" w14:textId="77777777" w:rsidR="00AE355A" w:rsidRPr="00F15305" w:rsidRDefault="00AE355A"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0C2C5CC6" w14:textId="77777777" w:rsidR="00AE355A" w:rsidRPr="00F15305" w:rsidRDefault="00AE355A"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1CEFD30D" w14:textId="77777777" w:rsidR="00AE355A" w:rsidRPr="00F15305" w:rsidRDefault="00AE355A" w:rsidP="00D306E1">
            <w:pPr>
              <w:pStyle w:val="Textoindependiente"/>
              <w:ind w:right="29"/>
              <w:jc w:val="center"/>
              <w:rPr>
                <w:b/>
                <w:sz w:val="20"/>
                <w:szCs w:val="20"/>
              </w:rPr>
            </w:pPr>
            <w:r w:rsidRPr="00F15305">
              <w:rPr>
                <w:b/>
                <w:sz w:val="20"/>
                <w:szCs w:val="20"/>
              </w:rPr>
              <w:t>NO SE</w:t>
            </w:r>
          </w:p>
          <w:p w14:paraId="37805943" w14:textId="77777777" w:rsidR="00AE355A" w:rsidRPr="00F15305" w:rsidRDefault="00AE355A" w:rsidP="00D306E1">
            <w:pPr>
              <w:pStyle w:val="Textoindependiente"/>
              <w:ind w:right="29"/>
              <w:jc w:val="center"/>
              <w:rPr>
                <w:b/>
                <w:sz w:val="20"/>
                <w:szCs w:val="20"/>
              </w:rPr>
            </w:pPr>
            <w:r w:rsidRPr="00F15305">
              <w:rPr>
                <w:b/>
                <w:sz w:val="20"/>
                <w:szCs w:val="20"/>
              </w:rPr>
              <w:t xml:space="preserve">FENECE </w:t>
            </w:r>
          </w:p>
        </w:tc>
      </w:tr>
    </w:tbl>
    <w:p w14:paraId="46049E65" w14:textId="77777777" w:rsidR="00DC75AC" w:rsidRDefault="00DC75AC" w:rsidP="00AE355A">
      <w:pPr>
        <w:pStyle w:val="Textoindependiente"/>
        <w:ind w:right="-93"/>
        <w:jc w:val="both"/>
        <w:rPr>
          <w:b/>
          <w:bCs/>
          <w:sz w:val="28"/>
          <w:szCs w:val="28"/>
        </w:rPr>
      </w:pPr>
    </w:p>
    <w:p w14:paraId="4FC63E7C" w14:textId="327ED02A" w:rsidR="00AE355A" w:rsidRDefault="00AE355A" w:rsidP="00AE355A">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03580214" w14:textId="04F2F87B" w:rsidR="00AE355A" w:rsidRDefault="00AE355A" w:rsidP="00AE355A">
      <w:pPr>
        <w:ind w:right="-93"/>
        <w:jc w:val="both"/>
        <w:rPr>
          <w:b/>
          <w:sz w:val="28"/>
          <w:szCs w:val="28"/>
          <w:lang w:val="es-MX"/>
        </w:rPr>
      </w:pPr>
    </w:p>
    <w:p w14:paraId="2432479F" w14:textId="77777777" w:rsidR="00AE355A" w:rsidRPr="00866825" w:rsidRDefault="00AE355A" w:rsidP="00AE355A">
      <w:pPr>
        <w:pStyle w:val="Textoindependiente"/>
        <w:rPr>
          <w:b/>
          <w:color w:val="231F20"/>
          <w:spacing w:val="-2"/>
          <w:sz w:val="28"/>
          <w:szCs w:val="28"/>
        </w:rPr>
      </w:pPr>
      <w:r w:rsidRPr="00866825">
        <w:rPr>
          <w:b/>
          <w:color w:val="231F20"/>
          <w:sz w:val="28"/>
          <w:szCs w:val="28"/>
        </w:rPr>
        <w:t>FONDO</w:t>
      </w:r>
      <w:r w:rsidRPr="00866825">
        <w:rPr>
          <w:b/>
          <w:color w:val="231F20"/>
          <w:spacing w:val="-4"/>
          <w:sz w:val="28"/>
          <w:szCs w:val="28"/>
        </w:rPr>
        <w:t xml:space="preserve"> </w:t>
      </w:r>
      <w:r w:rsidRPr="00866825">
        <w:rPr>
          <w:b/>
          <w:color w:val="231F20"/>
          <w:spacing w:val="-2"/>
          <w:sz w:val="28"/>
          <w:szCs w:val="28"/>
        </w:rPr>
        <w:t>ADAPTACIÓN.</w:t>
      </w:r>
    </w:p>
    <w:p w14:paraId="37F25563" w14:textId="77777777" w:rsidR="00AE355A" w:rsidRPr="00866825" w:rsidRDefault="00AE355A" w:rsidP="00AE355A">
      <w:pPr>
        <w:pStyle w:val="Textoindependiente"/>
        <w:rPr>
          <w:b/>
          <w:color w:val="231F20"/>
          <w:spacing w:val="-2"/>
          <w:sz w:val="28"/>
          <w:szCs w:val="28"/>
        </w:rPr>
      </w:pPr>
    </w:p>
    <w:p w14:paraId="66C27A66" w14:textId="77777777" w:rsidR="00AE355A" w:rsidRDefault="00AE355A" w:rsidP="00AE355A">
      <w:pPr>
        <w:pStyle w:val="Textoindependiente"/>
        <w:rPr>
          <w:b/>
          <w:color w:val="231F20"/>
          <w:spacing w:val="-2"/>
          <w:sz w:val="28"/>
          <w:szCs w:val="28"/>
        </w:rPr>
      </w:pPr>
      <w:r w:rsidRPr="00866825">
        <w:rPr>
          <w:b/>
          <w:color w:val="231F20"/>
          <w:sz w:val="28"/>
          <w:szCs w:val="28"/>
        </w:rPr>
        <w:t>OPINIÓN</w:t>
      </w:r>
      <w:r w:rsidRPr="00866825">
        <w:rPr>
          <w:b/>
          <w:color w:val="231F20"/>
          <w:spacing w:val="-13"/>
          <w:sz w:val="28"/>
          <w:szCs w:val="28"/>
        </w:rPr>
        <w:t xml:space="preserve"> </w:t>
      </w:r>
      <w:r w:rsidRPr="00866825">
        <w:rPr>
          <w:b/>
          <w:color w:val="231F20"/>
          <w:sz w:val="28"/>
          <w:szCs w:val="28"/>
        </w:rPr>
        <w:t>CONTABLE:</w:t>
      </w:r>
      <w:r w:rsidRPr="00866825">
        <w:rPr>
          <w:b/>
          <w:color w:val="231F20"/>
          <w:spacing w:val="-13"/>
          <w:sz w:val="28"/>
          <w:szCs w:val="28"/>
        </w:rPr>
        <w:t xml:space="preserve"> </w:t>
      </w:r>
      <w:r w:rsidRPr="00866825">
        <w:rPr>
          <w:b/>
          <w:color w:val="231F20"/>
          <w:spacing w:val="-2"/>
          <w:sz w:val="28"/>
          <w:szCs w:val="28"/>
          <w:u w:val="single"/>
        </w:rPr>
        <w:t>NEGATIVA</w:t>
      </w:r>
      <w:r w:rsidRPr="00866825">
        <w:rPr>
          <w:b/>
          <w:color w:val="231F20"/>
          <w:spacing w:val="-2"/>
          <w:sz w:val="28"/>
          <w:szCs w:val="28"/>
        </w:rPr>
        <w:t>.</w:t>
      </w:r>
    </w:p>
    <w:p w14:paraId="4DDE872D" w14:textId="77777777" w:rsidR="00AE355A" w:rsidRDefault="00AE355A" w:rsidP="00AE355A">
      <w:pPr>
        <w:pStyle w:val="Textoindependiente"/>
        <w:rPr>
          <w:b/>
          <w:color w:val="231F20"/>
          <w:spacing w:val="-2"/>
          <w:sz w:val="28"/>
          <w:szCs w:val="28"/>
        </w:rPr>
      </w:pPr>
    </w:p>
    <w:p w14:paraId="6CF4A74E" w14:textId="77777777" w:rsidR="00AE355A" w:rsidRDefault="00AE355A" w:rsidP="00AE355A">
      <w:pPr>
        <w:pStyle w:val="Textoindependiente"/>
        <w:jc w:val="both"/>
        <w:rPr>
          <w:color w:val="231F20"/>
        </w:rPr>
      </w:pPr>
      <w:r w:rsidRPr="00AE355A">
        <w:rPr>
          <w:bCs/>
          <w:color w:val="231F20"/>
          <w:spacing w:val="-2"/>
          <w:sz w:val="28"/>
          <w:szCs w:val="28"/>
        </w:rPr>
        <w:t>-</w:t>
      </w:r>
      <w:r w:rsidRPr="00AE355A">
        <w:rPr>
          <w:bCs/>
          <w:color w:val="231F20"/>
        </w:rPr>
        <w:t>Incorrección</w:t>
      </w:r>
      <w:r w:rsidRPr="00697E23">
        <w:rPr>
          <w:color w:val="231F20"/>
        </w:rPr>
        <w:t xml:space="preserve"> de clasificación en gasto público social, debido a que la Entidad</w:t>
      </w:r>
      <w:r w:rsidRPr="00697E23">
        <w:rPr>
          <w:color w:val="231F20"/>
          <w:spacing w:val="-20"/>
        </w:rPr>
        <w:t xml:space="preserve"> </w:t>
      </w:r>
      <w:r w:rsidRPr="00697E23">
        <w:rPr>
          <w:color w:val="231F20"/>
        </w:rPr>
        <w:t>clasificó</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las</w:t>
      </w:r>
      <w:r w:rsidRPr="00697E23">
        <w:rPr>
          <w:color w:val="231F20"/>
          <w:spacing w:val="-20"/>
        </w:rPr>
        <w:t xml:space="preserve"> </w:t>
      </w:r>
      <w:r w:rsidRPr="00697E23">
        <w:rPr>
          <w:color w:val="231F20"/>
        </w:rPr>
        <w:t>subcuentas</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asignación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bienes</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servicios, gastos</w:t>
      </w:r>
      <w:r w:rsidRPr="00697E23">
        <w:rPr>
          <w:color w:val="231F20"/>
          <w:spacing w:val="-4"/>
        </w:rPr>
        <w:t xml:space="preserve"> </w:t>
      </w:r>
      <w:r w:rsidRPr="00697E23">
        <w:rPr>
          <w:color w:val="231F20"/>
        </w:rPr>
        <w:t>que</w:t>
      </w:r>
      <w:r w:rsidRPr="00697E23">
        <w:rPr>
          <w:color w:val="231F20"/>
          <w:spacing w:val="-4"/>
        </w:rPr>
        <w:t xml:space="preserve"> </w:t>
      </w:r>
      <w:r w:rsidRPr="00697E23">
        <w:rPr>
          <w:color w:val="231F20"/>
        </w:rPr>
        <w:t>no</w:t>
      </w:r>
      <w:r w:rsidRPr="00697E23">
        <w:rPr>
          <w:color w:val="231F20"/>
          <w:spacing w:val="-4"/>
        </w:rPr>
        <w:t xml:space="preserve"> </w:t>
      </w:r>
      <w:r w:rsidRPr="00697E23">
        <w:rPr>
          <w:color w:val="231F20"/>
        </w:rPr>
        <w:t>correspondían</w:t>
      </w:r>
      <w:r w:rsidRPr="00697E23">
        <w:rPr>
          <w:color w:val="231F20"/>
          <w:spacing w:val="-4"/>
        </w:rPr>
        <w:t xml:space="preserve"> </w:t>
      </w:r>
      <w:r w:rsidRPr="00697E23">
        <w:rPr>
          <w:color w:val="231F20"/>
        </w:rPr>
        <w:t>al</w:t>
      </w:r>
      <w:r w:rsidRPr="00697E23">
        <w:rPr>
          <w:color w:val="231F20"/>
          <w:spacing w:val="-4"/>
        </w:rPr>
        <w:t xml:space="preserve"> </w:t>
      </w:r>
      <w:r w:rsidRPr="00697E23">
        <w:rPr>
          <w:color w:val="231F20"/>
        </w:rPr>
        <w:t>valor</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los</w:t>
      </w:r>
      <w:r w:rsidRPr="00697E23">
        <w:rPr>
          <w:color w:val="231F20"/>
          <w:spacing w:val="-4"/>
        </w:rPr>
        <w:t xml:space="preserve"> </w:t>
      </w:r>
      <w:r w:rsidRPr="00697E23">
        <w:rPr>
          <w:color w:val="231F20"/>
        </w:rPr>
        <w:t>bienes</w:t>
      </w:r>
      <w:r w:rsidRPr="00697E23">
        <w:rPr>
          <w:color w:val="231F20"/>
          <w:spacing w:val="-4"/>
        </w:rPr>
        <w:t xml:space="preserve"> </w:t>
      </w:r>
      <w:r w:rsidRPr="00697E23">
        <w:rPr>
          <w:color w:val="231F20"/>
        </w:rPr>
        <w:t>que</w:t>
      </w:r>
      <w:r w:rsidRPr="00697E23">
        <w:rPr>
          <w:color w:val="231F20"/>
          <w:spacing w:val="-4"/>
        </w:rPr>
        <w:t xml:space="preserve"> </w:t>
      </w:r>
      <w:r w:rsidRPr="00697E23">
        <w:rPr>
          <w:color w:val="231F20"/>
        </w:rPr>
        <w:t>se</w:t>
      </w:r>
      <w:r w:rsidRPr="00697E23">
        <w:rPr>
          <w:color w:val="231F20"/>
          <w:spacing w:val="-4"/>
        </w:rPr>
        <w:t xml:space="preserve"> </w:t>
      </w:r>
      <w:r w:rsidRPr="00697E23">
        <w:rPr>
          <w:color w:val="231F20"/>
        </w:rPr>
        <w:t>produjeron o adquirieron para la asignación o entrega a la comunidad.</w:t>
      </w:r>
    </w:p>
    <w:p w14:paraId="00C35300" w14:textId="77777777" w:rsidR="00AE355A" w:rsidRDefault="00AE355A" w:rsidP="00AE355A">
      <w:pPr>
        <w:pStyle w:val="Textoindependiente"/>
        <w:jc w:val="both"/>
        <w:rPr>
          <w:color w:val="231F20"/>
        </w:rPr>
      </w:pPr>
    </w:p>
    <w:p w14:paraId="6053DD9F" w14:textId="77777777" w:rsidR="00AE355A" w:rsidRDefault="00AE355A" w:rsidP="00AE355A">
      <w:pPr>
        <w:pStyle w:val="Textoindependiente"/>
        <w:jc w:val="both"/>
        <w:rPr>
          <w:color w:val="231F20"/>
        </w:rPr>
      </w:pPr>
      <w:r w:rsidRPr="00697E23">
        <w:rPr>
          <w:color w:val="231F20"/>
          <w:spacing w:val="-2"/>
        </w:rPr>
        <w:t>De</w:t>
      </w:r>
      <w:r w:rsidRPr="00697E23">
        <w:rPr>
          <w:color w:val="231F20"/>
          <w:spacing w:val="-17"/>
        </w:rPr>
        <w:t xml:space="preserve"> </w:t>
      </w:r>
      <w:r w:rsidRPr="00697E23">
        <w:rPr>
          <w:color w:val="231F20"/>
          <w:spacing w:val="-2"/>
        </w:rPr>
        <w:t>igual</w:t>
      </w:r>
      <w:r w:rsidRPr="00697E23">
        <w:rPr>
          <w:color w:val="231F20"/>
          <w:spacing w:val="-17"/>
        </w:rPr>
        <w:t xml:space="preserve"> </w:t>
      </w:r>
      <w:r w:rsidRPr="00697E23">
        <w:rPr>
          <w:color w:val="231F20"/>
          <w:spacing w:val="-2"/>
        </w:rPr>
        <w:t>manera,</w:t>
      </w:r>
      <w:r w:rsidRPr="00697E23">
        <w:rPr>
          <w:color w:val="231F20"/>
          <w:spacing w:val="-17"/>
        </w:rPr>
        <w:t xml:space="preserve"> </w:t>
      </w:r>
      <w:r w:rsidRPr="00697E23">
        <w:rPr>
          <w:color w:val="231F20"/>
          <w:spacing w:val="-2"/>
        </w:rPr>
        <w:t>en</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subcuenta</w:t>
      </w:r>
      <w:r w:rsidRPr="00697E23">
        <w:rPr>
          <w:color w:val="231F20"/>
          <w:spacing w:val="-17"/>
        </w:rPr>
        <w:t xml:space="preserve"> </w:t>
      </w:r>
      <w:r w:rsidRPr="00697E23">
        <w:rPr>
          <w:color w:val="231F20"/>
          <w:spacing w:val="-2"/>
        </w:rPr>
        <w:t>asistencia</w:t>
      </w:r>
      <w:r w:rsidRPr="00697E23">
        <w:rPr>
          <w:color w:val="231F20"/>
          <w:spacing w:val="-17"/>
        </w:rPr>
        <w:t xml:space="preserve"> </w:t>
      </w:r>
      <w:r w:rsidRPr="00697E23">
        <w:rPr>
          <w:color w:val="231F20"/>
          <w:spacing w:val="-2"/>
        </w:rPr>
        <w:t>técnica,</w:t>
      </w:r>
      <w:r w:rsidRPr="00697E23">
        <w:rPr>
          <w:color w:val="231F20"/>
          <w:spacing w:val="-17"/>
        </w:rPr>
        <w:t xml:space="preserve"> </w:t>
      </w:r>
      <w:r w:rsidRPr="00697E23">
        <w:rPr>
          <w:color w:val="231F20"/>
          <w:spacing w:val="-2"/>
        </w:rPr>
        <w:t>registró</w:t>
      </w:r>
      <w:r w:rsidRPr="00697E23">
        <w:rPr>
          <w:color w:val="231F20"/>
          <w:spacing w:val="-17"/>
        </w:rPr>
        <w:t xml:space="preserve"> </w:t>
      </w:r>
      <w:r w:rsidRPr="00697E23">
        <w:rPr>
          <w:color w:val="231F20"/>
          <w:spacing w:val="-2"/>
        </w:rPr>
        <w:t>pagos</w:t>
      </w:r>
      <w:r w:rsidRPr="00697E23">
        <w:rPr>
          <w:color w:val="231F20"/>
          <w:spacing w:val="-17"/>
        </w:rPr>
        <w:t xml:space="preserve"> </w:t>
      </w:r>
      <w:r w:rsidRPr="00697E23">
        <w:rPr>
          <w:color w:val="231F20"/>
          <w:spacing w:val="-2"/>
        </w:rPr>
        <w:t xml:space="preserve">con </w:t>
      </w:r>
      <w:r w:rsidRPr="00697E23">
        <w:rPr>
          <w:color w:val="231F20"/>
        </w:rPr>
        <w:t>detalles generales, con conceptos que no hacen parte de la dinámica contable establecida por la Contaduría General de la Nación (CGN) para el reconocimiento, registro y revelación de esta cuenta.</w:t>
      </w:r>
    </w:p>
    <w:p w14:paraId="0C6A0691" w14:textId="77777777" w:rsidR="00AE355A" w:rsidRDefault="00AE355A" w:rsidP="00AE355A">
      <w:pPr>
        <w:pStyle w:val="Textoindependiente"/>
        <w:jc w:val="both"/>
        <w:rPr>
          <w:color w:val="231F20"/>
        </w:rPr>
      </w:pPr>
    </w:p>
    <w:p w14:paraId="5A8A9389" w14:textId="77777777" w:rsidR="00AE355A" w:rsidRDefault="00AE355A" w:rsidP="00AE355A">
      <w:pPr>
        <w:pStyle w:val="Textoindependiente"/>
        <w:jc w:val="both"/>
        <w:rPr>
          <w:color w:val="231F20"/>
        </w:rPr>
      </w:pPr>
      <w:r w:rsidRPr="00697E23">
        <w:rPr>
          <w:color w:val="231F20"/>
        </w:rPr>
        <w:t>Lo</w:t>
      </w:r>
      <w:r w:rsidRPr="00697E23">
        <w:rPr>
          <w:color w:val="231F20"/>
          <w:spacing w:val="-7"/>
        </w:rPr>
        <w:t xml:space="preserve"> </w:t>
      </w:r>
      <w:r w:rsidRPr="00697E23">
        <w:rPr>
          <w:color w:val="231F20"/>
        </w:rPr>
        <w:t>anterior,</w:t>
      </w:r>
      <w:r w:rsidRPr="00697E23">
        <w:rPr>
          <w:color w:val="231F20"/>
          <w:spacing w:val="-8"/>
        </w:rPr>
        <w:t xml:space="preserve"> </w:t>
      </w:r>
      <w:r w:rsidRPr="00697E23">
        <w:rPr>
          <w:color w:val="231F20"/>
        </w:rPr>
        <w:t>contravino</w:t>
      </w:r>
      <w:r w:rsidRPr="00697E23">
        <w:rPr>
          <w:color w:val="231F20"/>
          <w:spacing w:val="-7"/>
        </w:rPr>
        <w:t xml:space="preserve"> </w:t>
      </w:r>
      <w:r w:rsidRPr="00697E23">
        <w:rPr>
          <w:color w:val="231F20"/>
        </w:rPr>
        <w:t>lo</w:t>
      </w:r>
      <w:r w:rsidRPr="00697E23">
        <w:rPr>
          <w:color w:val="231F20"/>
          <w:spacing w:val="-8"/>
        </w:rPr>
        <w:t xml:space="preserve"> </w:t>
      </w:r>
      <w:r w:rsidRPr="00697E23">
        <w:rPr>
          <w:color w:val="231F20"/>
        </w:rPr>
        <w:t>establecido</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Plan</w:t>
      </w:r>
      <w:r w:rsidRPr="00697E23">
        <w:rPr>
          <w:color w:val="231F20"/>
          <w:spacing w:val="-8"/>
        </w:rPr>
        <w:t xml:space="preserve"> </w:t>
      </w:r>
      <w:r w:rsidRPr="00697E23">
        <w:rPr>
          <w:color w:val="231F20"/>
        </w:rPr>
        <w:t>General</w:t>
      </w:r>
      <w:r w:rsidRPr="00697E23">
        <w:rPr>
          <w:color w:val="231F20"/>
          <w:spacing w:val="-7"/>
        </w:rPr>
        <w:t xml:space="preserve"> </w:t>
      </w:r>
      <w:r w:rsidRPr="00697E23">
        <w:rPr>
          <w:color w:val="231F20"/>
        </w:rPr>
        <w:t>de</w:t>
      </w:r>
      <w:r w:rsidRPr="00697E23">
        <w:rPr>
          <w:color w:val="231F20"/>
          <w:spacing w:val="-8"/>
        </w:rPr>
        <w:t xml:space="preserve"> </w:t>
      </w:r>
      <w:r w:rsidRPr="00697E23">
        <w:rPr>
          <w:color w:val="231F20"/>
        </w:rPr>
        <w:t>Contabilidad Pública,</w:t>
      </w:r>
      <w:r w:rsidRPr="00697E23">
        <w:rPr>
          <w:color w:val="231F20"/>
          <w:spacing w:val="-7"/>
        </w:rPr>
        <w:t xml:space="preserve"> </w:t>
      </w:r>
      <w:r w:rsidRPr="00697E23">
        <w:rPr>
          <w:color w:val="231F20"/>
        </w:rPr>
        <w:t>numeral</w:t>
      </w:r>
      <w:r w:rsidRPr="00697E23">
        <w:rPr>
          <w:color w:val="231F20"/>
          <w:spacing w:val="-7"/>
        </w:rPr>
        <w:t xml:space="preserve"> </w:t>
      </w:r>
      <w:r w:rsidRPr="00697E23">
        <w:rPr>
          <w:color w:val="231F20"/>
        </w:rPr>
        <w:t>289</w:t>
      </w:r>
      <w:r w:rsidRPr="00697E23">
        <w:rPr>
          <w:color w:val="231F20"/>
          <w:spacing w:val="-7"/>
        </w:rPr>
        <w:t xml:space="preserve"> </w:t>
      </w:r>
      <w:r w:rsidRPr="00697E23">
        <w:rPr>
          <w:color w:val="231F20"/>
        </w:rPr>
        <w:t>objetivos</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contabilidad</w:t>
      </w:r>
      <w:r w:rsidRPr="00697E23">
        <w:rPr>
          <w:color w:val="231F20"/>
          <w:spacing w:val="-7"/>
        </w:rPr>
        <w:t xml:space="preserve"> </w:t>
      </w:r>
      <w:r w:rsidRPr="00697E23">
        <w:rPr>
          <w:color w:val="231F20"/>
        </w:rPr>
        <w:t>pública,</w:t>
      </w:r>
      <w:r w:rsidRPr="00697E23">
        <w:rPr>
          <w:color w:val="231F20"/>
          <w:spacing w:val="-7"/>
        </w:rPr>
        <w:t xml:space="preserve"> </w:t>
      </w:r>
      <w:r w:rsidRPr="00697E23">
        <w:rPr>
          <w:color w:val="231F20"/>
        </w:rPr>
        <w:t>numeral</w:t>
      </w:r>
      <w:r w:rsidRPr="00697E23">
        <w:rPr>
          <w:color w:val="231F20"/>
          <w:spacing w:val="-7"/>
        </w:rPr>
        <w:t xml:space="preserve"> </w:t>
      </w:r>
      <w:r w:rsidRPr="00697E23">
        <w:rPr>
          <w:color w:val="231F20"/>
        </w:rPr>
        <w:t>87 y el numeral 1, artículo 38, de la Ley 1952 de 2019 Deberes, lo cual generó que la información reportada en la cuenta no cumpliera con los criterios de utilidad como fuente de información a los usuarios internos y externos, para determinar la producción y distribución de los bienes y servicios de la entidad contable pública; no se permitió una</w:t>
      </w:r>
      <w:r w:rsidRPr="00697E23">
        <w:rPr>
          <w:color w:val="231F20"/>
          <w:spacing w:val="-7"/>
        </w:rPr>
        <w:t xml:space="preserve"> </w:t>
      </w:r>
      <w:r w:rsidRPr="00697E23">
        <w:rPr>
          <w:color w:val="231F20"/>
        </w:rPr>
        <w:t>óptima</w:t>
      </w:r>
      <w:r w:rsidRPr="00697E23">
        <w:rPr>
          <w:color w:val="231F20"/>
          <w:spacing w:val="-7"/>
        </w:rPr>
        <w:t xml:space="preserve"> </w:t>
      </w:r>
      <w:r w:rsidRPr="00697E23">
        <w:rPr>
          <w:color w:val="231F20"/>
        </w:rPr>
        <w:t>medición</w:t>
      </w:r>
      <w:r w:rsidRPr="00697E23">
        <w:rPr>
          <w:color w:val="231F20"/>
          <w:spacing w:val="-7"/>
        </w:rPr>
        <w:t xml:space="preserve"> </w:t>
      </w:r>
      <w:r w:rsidRPr="00697E23">
        <w:rPr>
          <w:color w:val="231F20"/>
        </w:rPr>
        <w:t>del</w:t>
      </w:r>
      <w:r w:rsidRPr="00697E23">
        <w:rPr>
          <w:color w:val="231F20"/>
          <w:spacing w:val="-7"/>
        </w:rPr>
        <w:t xml:space="preserve"> </w:t>
      </w:r>
      <w:r w:rsidRPr="00697E23">
        <w:rPr>
          <w:color w:val="231F20"/>
        </w:rPr>
        <w:t>cumplimiento</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indicadores</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objetivos.</w:t>
      </w:r>
    </w:p>
    <w:p w14:paraId="114AC4B7" w14:textId="77777777" w:rsidR="00AE355A" w:rsidRDefault="00AE355A" w:rsidP="00AE355A">
      <w:pPr>
        <w:pStyle w:val="Textoindependiente"/>
        <w:jc w:val="both"/>
        <w:rPr>
          <w:color w:val="231F20"/>
        </w:rPr>
      </w:pPr>
    </w:p>
    <w:p w14:paraId="7C696111" w14:textId="77777777" w:rsidR="00AE355A" w:rsidRDefault="00AE355A" w:rsidP="00AE355A">
      <w:pPr>
        <w:pStyle w:val="Textoindependiente"/>
        <w:jc w:val="both"/>
        <w:rPr>
          <w:color w:val="231F20"/>
        </w:rPr>
      </w:pPr>
      <w:r w:rsidRPr="00AE355A">
        <w:rPr>
          <w:b/>
          <w:bCs/>
          <w:color w:val="231F20"/>
          <w:sz w:val="28"/>
          <w:szCs w:val="28"/>
        </w:rPr>
        <w:t>-I</w:t>
      </w:r>
      <w:r w:rsidRPr="00AE355A">
        <w:rPr>
          <w:b/>
          <w:bCs/>
          <w:color w:val="231F20"/>
        </w:rPr>
        <w:t>ncorrección</w:t>
      </w:r>
      <w:r w:rsidRPr="00697E23">
        <w:rPr>
          <w:color w:val="231F20"/>
        </w:rPr>
        <w:t xml:space="preserve"> de cantidad en otros activos por $7.498,80 millones, debido a que la entidad no causó en esta cuenta las transacciones derivadas del convenio interadministrativo FV-CV-I-S-013-2024. Lo anterior, sin tener en cuenta que el procedimiento contable para el registro de los recursos entregados en administración y el Catálogo General</w:t>
      </w:r>
      <w:r w:rsidRPr="00697E23">
        <w:rPr>
          <w:color w:val="231F20"/>
          <w:spacing w:val="-17"/>
        </w:rPr>
        <w:t xml:space="preserve"> </w:t>
      </w:r>
      <w:r w:rsidRPr="00697E23">
        <w:rPr>
          <w:color w:val="231F20"/>
        </w:rPr>
        <w:t>de</w:t>
      </w:r>
      <w:r w:rsidRPr="00697E23">
        <w:rPr>
          <w:color w:val="231F20"/>
          <w:spacing w:val="-18"/>
        </w:rPr>
        <w:t xml:space="preserve"> </w:t>
      </w:r>
      <w:r w:rsidRPr="00697E23">
        <w:rPr>
          <w:color w:val="231F20"/>
        </w:rPr>
        <w:t>Cuentas,</w:t>
      </w:r>
      <w:r w:rsidRPr="00697E23">
        <w:rPr>
          <w:color w:val="231F20"/>
          <w:spacing w:val="-18"/>
        </w:rPr>
        <w:t xml:space="preserve"> </w:t>
      </w:r>
      <w:r w:rsidRPr="00697E23">
        <w:rPr>
          <w:color w:val="231F20"/>
        </w:rPr>
        <w:t>del</w:t>
      </w:r>
      <w:r w:rsidRPr="00697E23">
        <w:rPr>
          <w:color w:val="231F20"/>
          <w:spacing w:val="-17"/>
        </w:rPr>
        <w:t xml:space="preserve"> </w:t>
      </w:r>
      <w:r w:rsidRPr="00697E23">
        <w:rPr>
          <w:color w:val="231F20"/>
        </w:rPr>
        <w:t>Marco</w:t>
      </w:r>
      <w:r w:rsidRPr="00697E23">
        <w:rPr>
          <w:color w:val="231F20"/>
          <w:spacing w:val="-18"/>
        </w:rPr>
        <w:t xml:space="preserve"> </w:t>
      </w:r>
      <w:r w:rsidRPr="00697E23">
        <w:rPr>
          <w:color w:val="231F20"/>
        </w:rPr>
        <w:t>normativo</w:t>
      </w:r>
      <w:r w:rsidRPr="00697E23">
        <w:rPr>
          <w:color w:val="231F20"/>
          <w:spacing w:val="-18"/>
        </w:rPr>
        <w:t xml:space="preserve"> </w:t>
      </w:r>
      <w:r w:rsidRPr="00697E23">
        <w:rPr>
          <w:color w:val="231F20"/>
        </w:rPr>
        <w:t>para</w:t>
      </w:r>
      <w:r w:rsidRPr="00697E23">
        <w:rPr>
          <w:color w:val="231F20"/>
          <w:spacing w:val="-18"/>
        </w:rPr>
        <w:t xml:space="preserve"> </w:t>
      </w:r>
      <w:r w:rsidRPr="00697E23">
        <w:rPr>
          <w:color w:val="231F20"/>
        </w:rPr>
        <w:t>entidades</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 xml:space="preserve">Gobierno, establece que: (…) Cuando la entidad que controla los recursos los </w:t>
      </w:r>
      <w:r w:rsidRPr="00697E23">
        <w:rPr>
          <w:color w:val="231F20"/>
          <w:spacing w:val="-2"/>
        </w:rPr>
        <w:t>entregue</w:t>
      </w:r>
      <w:r w:rsidRPr="00697E23">
        <w:rPr>
          <w:color w:val="231F20"/>
          <w:spacing w:val="-14"/>
        </w:rPr>
        <w:t xml:space="preserve"> </w:t>
      </w:r>
      <w:r w:rsidRPr="00697E23">
        <w:rPr>
          <w:color w:val="231F20"/>
          <w:spacing w:val="-2"/>
        </w:rPr>
        <w:t>a</w:t>
      </w:r>
      <w:r w:rsidRPr="00697E23">
        <w:rPr>
          <w:color w:val="231F20"/>
          <w:spacing w:val="-14"/>
        </w:rPr>
        <w:t xml:space="preserve"> </w:t>
      </w:r>
      <w:r w:rsidRPr="00697E23">
        <w:rPr>
          <w:color w:val="231F20"/>
          <w:spacing w:val="-2"/>
        </w:rPr>
        <w:t>otra</w:t>
      </w:r>
      <w:r w:rsidRPr="00697E23">
        <w:rPr>
          <w:color w:val="231F20"/>
          <w:spacing w:val="-14"/>
        </w:rPr>
        <w:t xml:space="preserve"> </w:t>
      </w:r>
      <w:r w:rsidRPr="00697E23">
        <w:rPr>
          <w:color w:val="231F20"/>
          <w:spacing w:val="-2"/>
        </w:rPr>
        <w:t>entidad</w:t>
      </w:r>
      <w:r w:rsidRPr="00697E23">
        <w:rPr>
          <w:color w:val="231F20"/>
          <w:spacing w:val="-14"/>
        </w:rPr>
        <w:t xml:space="preserve"> </w:t>
      </w:r>
      <w:r w:rsidRPr="00697E23">
        <w:rPr>
          <w:color w:val="231F20"/>
          <w:spacing w:val="-2"/>
        </w:rPr>
        <w:t>para</w:t>
      </w:r>
      <w:r w:rsidRPr="00697E23">
        <w:rPr>
          <w:color w:val="231F20"/>
          <w:spacing w:val="-14"/>
        </w:rPr>
        <w:t xml:space="preserve"> </w:t>
      </w:r>
      <w:r w:rsidRPr="00697E23">
        <w:rPr>
          <w:color w:val="231F20"/>
          <w:spacing w:val="-2"/>
        </w:rPr>
        <w:t>que</w:t>
      </w:r>
      <w:r w:rsidRPr="00697E23">
        <w:rPr>
          <w:color w:val="231F20"/>
          <w:spacing w:val="-14"/>
        </w:rPr>
        <w:t xml:space="preserve"> </w:t>
      </w:r>
      <w:r w:rsidRPr="00697E23">
        <w:rPr>
          <w:color w:val="231F20"/>
          <w:spacing w:val="-2"/>
        </w:rPr>
        <w:t>los</w:t>
      </w:r>
      <w:r w:rsidRPr="00697E23">
        <w:rPr>
          <w:color w:val="231F20"/>
          <w:spacing w:val="-14"/>
        </w:rPr>
        <w:t xml:space="preserve"> </w:t>
      </w:r>
      <w:r w:rsidRPr="00697E23">
        <w:rPr>
          <w:color w:val="231F20"/>
          <w:spacing w:val="-2"/>
        </w:rPr>
        <w:t>administre</w:t>
      </w:r>
      <w:r w:rsidRPr="00697E23">
        <w:rPr>
          <w:color w:val="231F20"/>
          <w:spacing w:val="-14"/>
        </w:rPr>
        <w:t xml:space="preserve"> </w:t>
      </w:r>
      <w:r w:rsidRPr="00697E23">
        <w:rPr>
          <w:color w:val="231F20"/>
          <w:spacing w:val="-2"/>
        </w:rPr>
        <w:t>a</w:t>
      </w:r>
      <w:r w:rsidRPr="00697E23">
        <w:rPr>
          <w:color w:val="231F20"/>
          <w:spacing w:val="-14"/>
        </w:rPr>
        <w:t xml:space="preserve"> </w:t>
      </w:r>
      <w:r w:rsidRPr="00697E23">
        <w:rPr>
          <w:color w:val="231F20"/>
          <w:spacing w:val="-2"/>
        </w:rPr>
        <w:t>través</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un</w:t>
      </w:r>
      <w:r w:rsidRPr="00697E23">
        <w:rPr>
          <w:color w:val="231F20"/>
          <w:spacing w:val="-14"/>
        </w:rPr>
        <w:t xml:space="preserve"> </w:t>
      </w:r>
      <w:r w:rsidRPr="00697E23">
        <w:rPr>
          <w:color w:val="231F20"/>
          <w:spacing w:val="-2"/>
        </w:rPr>
        <w:t xml:space="preserve">encargo </w:t>
      </w:r>
      <w:r w:rsidRPr="00697E23">
        <w:rPr>
          <w:color w:val="231F20"/>
        </w:rPr>
        <w:t xml:space="preserve">fiduciario, la entidad que controla los recursos debitará la subcuenta administración de la cuenta recursos </w:t>
      </w:r>
      <w:r w:rsidRPr="00697E23">
        <w:rPr>
          <w:color w:val="231F20"/>
        </w:rPr>
        <w:lastRenderedPageBreak/>
        <w:t>entregados en administración y acreditará la subcuenta que corresponda (…).</w:t>
      </w:r>
    </w:p>
    <w:p w14:paraId="71BDB90B" w14:textId="77777777" w:rsidR="00AE355A" w:rsidRDefault="00AE355A" w:rsidP="00AE355A">
      <w:pPr>
        <w:pStyle w:val="Textoindependiente"/>
        <w:jc w:val="both"/>
        <w:rPr>
          <w:color w:val="231F20"/>
        </w:rPr>
      </w:pPr>
    </w:p>
    <w:p w14:paraId="1670BC2E" w14:textId="77777777" w:rsidR="00AE355A" w:rsidRDefault="00AE355A" w:rsidP="00AE355A">
      <w:pPr>
        <w:pStyle w:val="Textoindependiente"/>
        <w:jc w:val="both"/>
        <w:rPr>
          <w:color w:val="231F20"/>
        </w:rPr>
      </w:pPr>
      <w:r w:rsidRPr="00697E23">
        <w:rPr>
          <w:color w:val="231F20"/>
        </w:rPr>
        <w:t>Lo anterior, contravino lo establecido en la numeral 1.2.5. de la Resolución 090 del 8 de mayo 2020, artículo 38 de la Ley 1952 de 2019 Deberes, lo cual generó subestimación de la cuenta recursos entregados</w:t>
      </w:r>
      <w:r w:rsidRPr="00697E23">
        <w:rPr>
          <w:color w:val="231F20"/>
          <w:spacing w:val="-20"/>
        </w:rPr>
        <w:t xml:space="preserve"> </w:t>
      </w:r>
      <w:r w:rsidRPr="00697E23">
        <w:rPr>
          <w:color w:val="231F20"/>
        </w:rPr>
        <w:t>en</w:t>
      </w:r>
      <w:r w:rsidRPr="00697E23">
        <w:rPr>
          <w:color w:val="231F20"/>
          <w:spacing w:val="-19"/>
        </w:rPr>
        <w:t xml:space="preserve"> </w:t>
      </w:r>
      <w:r w:rsidRPr="00697E23">
        <w:rPr>
          <w:color w:val="231F20"/>
        </w:rPr>
        <w:t>administración</w:t>
      </w:r>
      <w:r w:rsidRPr="00697E23">
        <w:rPr>
          <w:color w:val="231F20"/>
          <w:spacing w:val="-19"/>
        </w:rPr>
        <w:t xml:space="preserve"> </w:t>
      </w:r>
      <w:r w:rsidRPr="00697E23">
        <w:rPr>
          <w:color w:val="231F20"/>
        </w:rPr>
        <w:t>y</w:t>
      </w:r>
      <w:r w:rsidRPr="00697E23">
        <w:rPr>
          <w:color w:val="231F20"/>
          <w:spacing w:val="-20"/>
        </w:rPr>
        <w:t xml:space="preserve"> </w:t>
      </w:r>
      <w:r w:rsidRPr="00697E23">
        <w:rPr>
          <w:color w:val="231F20"/>
        </w:rPr>
        <w:t>pérdida</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control</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entidad,</w:t>
      </w:r>
      <w:r w:rsidRPr="00697E23">
        <w:rPr>
          <w:color w:val="231F20"/>
          <w:spacing w:val="-19"/>
        </w:rPr>
        <w:t xml:space="preserve"> </w:t>
      </w:r>
      <w:r w:rsidRPr="00697E23">
        <w:rPr>
          <w:color w:val="231F20"/>
        </w:rPr>
        <w:t xml:space="preserve">sobre </w:t>
      </w:r>
      <w:r w:rsidRPr="00697E23">
        <w:rPr>
          <w:color w:val="231F20"/>
          <w:spacing w:val="-2"/>
        </w:rPr>
        <w:t>los</w:t>
      </w:r>
      <w:r w:rsidRPr="00697E23">
        <w:rPr>
          <w:color w:val="231F20"/>
          <w:spacing w:val="-13"/>
        </w:rPr>
        <w:t xml:space="preserve"> </w:t>
      </w:r>
      <w:r w:rsidRPr="00697E23">
        <w:rPr>
          <w:color w:val="231F20"/>
          <w:spacing w:val="-2"/>
        </w:rPr>
        <w:t>recursos</w:t>
      </w:r>
      <w:r w:rsidRPr="00697E23">
        <w:rPr>
          <w:color w:val="231F20"/>
          <w:spacing w:val="-13"/>
        </w:rPr>
        <w:t xml:space="preserve"> </w:t>
      </w:r>
      <w:r w:rsidRPr="00697E23">
        <w:rPr>
          <w:color w:val="231F20"/>
          <w:spacing w:val="-2"/>
        </w:rPr>
        <w:t>que</w:t>
      </w:r>
      <w:r w:rsidRPr="00697E23">
        <w:rPr>
          <w:color w:val="231F20"/>
          <w:spacing w:val="-13"/>
        </w:rPr>
        <w:t xml:space="preserve"> </w:t>
      </w:r>
      <w:r w:rsidRPr="00697E23">
        <w:rPr>
          <w:color w:val="231F20"/>
          <w:spacing w:val="-2"/>
        </w:rPr>
        <w:t>se</w:t>
      </w:r>
      <w:r w:rsidRPr="00697E23">
        <w:rPr>
          <w:color w:val="231F20"/>
          <w:spacing w:val="-13"/>
        </w:rPr>
        <w:t xml:space="preserve"> </w:t>
      </w:r>
      <w:r w:rsidRPr="00697E23">
        <w:rPr>
          <w:color w:val="231F20"/>
          <w:spacing w:val="-2"/>
        </w:rPr>
        <w:t>entregan</w:t>
      </w:r>
      <w:r w:rsidRPr="00697E23">
        <w:rPr>
          <w:color w:val="231F20"/>
          <w:spacing w:val="-13"/>
        </w:rPr>
        <w:t xml:space="preserve"> </w:t>
      </w:r>
      <w:r w:rsidRPr="00697E23">
        <w:rPr>
          <w:color w:val="231F20"/>
          <w:spacing w:val="-2"/>
        </w:rPr>
        <w:t>a</w:t>
      </w:r>
      <w:r w:rsidRPr="00697E23">
        <w:rPr>
          <w:color w:val="231F20"/>
          <w:spacing w:val="-13"/>
        </w:rPr>
        <w:t xml:space="preserve"> </w:t>
      </w:r>
      <w:r w:rsidRPr="00697E23">
        <w:rPr>
          <w:color w:val="231F20"/>
          <w:spacing w:val="-2"/>
        </w:rPr>
        <w:t>una</w:t>
      </w:r>
      <w:r w:rsidRPr="00697E23">
        <w:rPr>
          <w:color w:val="231F20"/>
          <w:spacing w:val="-13"/>
        </w:rPr>
        <w:t xml:space="preserve"> </w:t>
      </w:r>
      <w:r w:rsidRPr="00697E23">
        <w:rPr>
          <w:color w:val="231F20"/>
          <w:spacing w:val="-2"/>
        </w:rPr>
        <w:t>sociedad</w:t>
      </w:r>
      <w:r w:rsidRPr="00697E23">
        <w:rPr>
          <w:color w:val="231F20"/>
          <w:spacing w:val="-13"/>
        </w:rPr>
        <w:t xml:space="preserve"> </w:t>
      </w:r>
      <w:r w:rsidRPr="00697E23">
        <w:rPr>
          <w:color w:val="231F20"/>
          <w:spacing w:val="-2"/>
        </w:rPr>
        <w:t>fiduciaria</w:t>
      </w:r>
      <w:r w:rsidRPr="00697E23">
        <w:rPr>
          <w:color w:val="231F20"/>
          <w:spacing w:val="-13"/>
        </w:rPr>
        <w:t xml:space="preserve"> </w:t>
      </w:r>
      <w:r w:rsidRPr="00697E23">
        <w:rPr>
          <w:color w:val="231F20"/>
          <w:spacing w:val="-2"/>
        </w:rPr>
        <w:t>o</w:t>
      </w:r>
      <w:r w:rsidRPr="00697E23">
        <w:rPr>
          <w:color w:val="231F20"/>
          <w:spacing w:val="-13"/>
        </w:rPr>
        <w:t xml:space="preserve"> </w:t>
      </w:r>
      <w:r w:rsidRPr="00697E23">
        <w:rPr>
          <w:color w:val="231F20"/>
          <w:spacing w:val="-2"/>
        </w:rPr>
        <w:t>a</w:t>
      </w:r>
      <w:r w:rsidRPr="00697E23">
        <w:rPr>
          <w:color w:val="231F20"/>
          <w:spacing w:val="-13"/>
        </w:rPr>
        <w:t xml:space="preserve"> </w:t>
      </w:r>
      <w:r w:rsidRPr="00697E23">
        <w:rPr>
          <w:color w:val="231F20"/>
          <w:spacing w:val="-2"/>
        </w:rPr>
        <w:t>otra</w:t>
      </w:r>
      <w:r w:rsidRPr="00697E23">
        <w:rPr>
          <w:color w:val="231F20"/>
          <w:spacing w:val="-13"/>
        </w:rPr>
        <w:t xml:space="preserve"> </w:t>
      </w:r>
      <w:r w:rsidRPr="00697E23">
        <w:rPr>
          <w:color w:val="231F20"/>
          <w:spacing w:val="-2"/>
        </w:rPr>
        <w:t xml:space="preserve">entidad, </w:t>
      </w:r>
      <w:r w:rsidRPr="00697E23">
        <w:rPr>
          <w:color w:val="231F20"/>
        </w:rPr>
        <w:t>con el propósito de que esta cumpla una finalidad específica.</w:t>
      </w:r>
    </w:p>
    <w:p w14:paraId="7DEFFAD0" w14:textId="77777777" w:rsidR="00AE355A" w:rsidRDefault="00AE355A" w:rsidP="00AE355A">
      <w:pPr>
        <w:pStyle w:val="Textoindependiente"/>
        <w:jc w:val="both"/>
        <w:rPr>
          <w:color w:val="231F20"/>
        </w:rPr>
      </w:pPr>
    </w:p>
    <w:p w14:paraId="7A75F00D" w14:textId="77777777" w:rsidR="00AE355A" w:rsidRDefault="00AE355A" w:rsidP="00AE355A">
      <w:pPr>
        <w:pStyle w:val="Textoindependiente"/>
        <w:jc w:val="both"/>
        <w:rPr>
          <w:color w:val="231F20"/>
        </w:rPr>
      </w:pPr>
      <w:r w:rsidRPr="00AE355A">
        <w:rPr>
          <w:b/>
          <w:bCs/>
          <w:color w:val="231F20"/>
          <w:sz w:val="28"/>
          <w:szCs w:val="28"/>
        </w:rPr>
        <w:t>-</w:t>
      </w:r>
      <w:r w:rsidRPr="00AE355A">
        <w:rPr>
          <w:b/>
          <w:bCs/>
          <w:color w:val="231F20"/>
        </w:rPr>
        <w:t>Incorrección</w:t>
      </w:r>
      <w:r w:rsidRPr="00697E23">
        <w:rPr>
          <w:color w:val="231F20"/>
        </w:rPr>
        <w:t xml:space="preserve"> de cantidad en inventarios, por $10.716,58 millones, debido a que la cuenta construcciones presentó un saldo de bienes entregados a la comunidad, de los que ya no tenía el control, de acuerdo con el acta de liquidación suscrita el 18 en noviembre de 2020, por el interventor del contrato, el contratista y la Secretaría General del Fondo Adaptación, en la cual manifiestan y anexan las actas de entrega a los municipios.</w:t>
      </w:r>
    </w:p>
    <w:p w14:paraId="1987118B" w14:textId="77777777" w:rsidR="00AE355A" w:rsidRDefault="00AE355A" w:rsidP="00AE355A">
      <w:pPr>
        <w:pStyle w:val="Textoindependiente"/>
        <w:jc w:val="both"/>
        <w:rPr>
          <w:color w:val="231F20"/>
        </w:rPr>
      </w:pPr>
    </w:p>
    <w:p w14:paraId="6DB8CDD8" w14:textId="77777777" w:rsidR="00AE355A" w:rsidRDefault="00AE355A" w:rsidP="00AE355A">
      <w:pPr>
        <w:pStyle w:val="Textoindependiente"/>
        <w:jc w:val="both"/>
        <w:rPr>
          <w:color w:val="231F20"/>
        </w:rPr>
      </w:pPr>
      <w:r w:rsidRPr="00697E23">
        <w:rPr>
          <w:color w:val="231F20"/>
        </w:rPr>
        <w:t>Lo anterior, contravino lo establecido en el procedimiento contable, expedido por la Contaduría General de la Nación (CGN), política de inventarios suscrita por el FA, Resolución 193 de 2016: artículo 1. Incorpórese,</w:t>
      </w:r>
      <w:r w:rsidRPr="00697E23">
        <w:rPr>
          <w:color w:val="231F20"/>
          <w:spacing w:val="80"/>
        </w:rPr>
        <w:t xml:space="preserve"> </w:t>
      </w:r>
      <w:r w:rsidRPr="00697E23">
        <w:rPr>
          <w:color w:val="231F20"/>
        </w:rPr>
        <w:t>en</w:t>
      </w:r>
      <w:r w:rsidRPr="00697E23">
        <w:rPr>
          <w:color w:val="231F20"/>
          <w:spacing w:val="80"/>
        </w:rPr>
        <w:t xml:space="preserve"> </w:t>
      </w:r>
      <w:r w:rsidRPr="00697E23">
        <w:rPr>
          <w:color w:val="231F20"/>
        </w:rPr>
        <w:t>los</w:t>
      </w:r>
      <w:r w:rsidRPr="00697E23">
        <w:rPr>
          <w:color w:val="231F20"/>
          <w:spacing w:val="80"/>
        </w:rPr>
        <w:t xml:space="preserve"> </w:t>
      </w:r>
      <w:r w:rsidRPr="00697E23">
        <w:rPr>
          <w:color w:val="231F20"/>
        </w:rPr>
        <w:t>Procedimientos</w:t>
      </w:r>
      <w:r w:rsidRPr="00697E23">
        <w:rPr>
          <w:color w:val="231F20"/>
          <w:spacing w:val="80"/>
        </w:rPr>
        <w:t xml:space="preserve"> </w:t>
      </w:r>
      <w:r w:rsidRPr="00697E23">
        <w:rPr>
          <w:color w:val="231F20"/>
        </w:rPr>
        <w:t>Transversales</w:t>
      </w:r>
      <w:r w:rsidRPr="00697E23">
        <w:rPr>
          <w:color w:val="231F20"/>
          <w:spacing w:val="80"/>
        </w:rPr>
        <w:t xml:space="preserve"> </w:t>
      </w:r>
      <w:r w:rsidRPr="00697E23">
        <w:rPr>
          <w:color w:val="231F20"/>
        </w:rPr>
        <w:t>del</w:t>
      </w:r>
      <w:r w:rsidRPr="00697E23">
        <w:rPr>
          <w:color w:val="231F20"/>
          <w:spacing w:val="80"/>
        </w:rPr>
        <w:t xml:space="preserve"> </w:t>
      </w:r>
      <w:r w:rsidRPr="00697E23">
        <w:rPr>
          <w:color w:val="231F20"/>
        </w:rPr>
        <w:t>Régimen de Contabilidad Pública, el Procedimiento para la evaluación del control interno contable, lo cual generó sobrestimación en la cuenta Construcciones, debido a que la Entidad no tenía el control de los bienes ya pagados y entregados a los municipios.</w:t>
      </w:r>
    </w:p>
    <w:p w14:paraId="65BDDB31" w14:textId="77777777" w:rsidR="00AE355A" w:rsidRDefault="00AE355A" w:rsidP="00AE355A">
      <w:pPr>
        <w:pStyle w:val="Textoindependiente"/>
        <w:jc w:val="both"/>
        <w:rPr>
          <w:color w:val="231F20"/>
        </w:rPr>
      </w:pPr>
    </w:p>
    <w:p w14:paraId="3F8ECD3A" w14:textId="77777777" w:rsidR="00AE355A" w:rsidRPr="003A0DEF" w:rsidRDefault="00AE355A" w:rsidP="00AE355A">
      <w:pPr>
        <w:pStyle w:val="Textoindependiente"/>
        <w:jc w:val="both"/>
        <w:rPr>
          <w:b/>
          <w:color w:val="231F20"/>
          <w:spacing w:val="-2"/>
          <w:sz w:val="28"/>
          <w:szCs w:val="28"/>
        </w:rPr>
      </w:pPr>
      <w:r w:rsidRPr="003A0DEF">
        <w:rPr>
          <w:b/>
          <w:color w:val="231F20"/>
          <w:sz w:val="28"/>
          <w:szCs w:val="28"/>
        </w:rPr>
        <w:t>CONTROL</w:t>
      </w:r>
      <w:r w:rsidRPr="003A0DEF">
        <w:rPr>
          <w:b/>
          <w:color w:val="231F20"/>
          <w:spacing w:val="-9"/>
          <w:sz w:val="28"/>
          <w:szCs w:val="28"/>
        </w:rPr>
        <w:t xml:space="preserve"> </w:t>
      </w:r>
      <w:r w:rsidRPr="003A0DEF">
        <w:rPr>
          <w:b/>
          <w:color w:val="231F20"/>
          <w:sz w:val="28"/>
          <w:szCs w:val="28"/>
        </w:rPr>
        <w:t>INTERNO</w:t>
      </w:r>
      <w:r w:rsidRPr="003A0DEF">
        <w:rPr>
          <w:b/>
          <w:color w:val="231F20"/>
          <w:spacing w:val="-9"/>
          <w:sz w:val="28"/>
          <w:szCs w:val="28"/>
        </w:rPr>
        <w:t xml:space="preserve"> </w:t>
      </w:r>
      <w:r w:rsidRPr="003A0DEF">
        <w:rPr>
          <w:b/>
          <w:color w:val="231F20"/>
          <w:sz w:val="28"/>
          <w:szCs w:val="28"/>
        </w:rPr>
        <w:t>FINANCIERO:</w:t>
      </w:r>
      <w:r w:rsidRPr="003A0DEF">
        <w:rPr>
          <w:b/>
          <w:color w:val="231F20"/>
          <w:spacing w:val="-9"/>
          <w:sz w:val="28"/>
          <w:szCs w:val="28"/>
        </w:rPr>
        <w:t xml:space="preserve"> </w:t>
      </w:r>
      <w:r w:rsidRPr="003A0DEF">
        <w:rPr>
          <w:b/>
          <w:color w:val="231F20"/>
          <w:spacing w:val="-2"/>
          <w:sz w:val="28"/>
          <w:szCs w:val="28"/>
          <w:u w:val="single"/>
        </w:rPr>
        <w:t>INEFICIENTE</w:t>
      </w:r>
      <w:r w:rsidRPr="003A0DEF">
        <w:rPr>
          <w:b/>
          <w:color w:val="231F20"/>
          <w:spacing w:val="-2"/>
          <w:sz w:val="28"/>
          <w:szCs w:val="28"/>
        </w:rPr>
        <w:t>.</w:t>
      </w:r>
    </w:p>
    <w:p w14:paraId="64640F85" w14:textId="77777777" w:rsidR="00AE355A" w:rsidRDefault="00AE355A" w:rsidP="00AE355A">
      <w:pPr>
        <w:pStyle w:val="Textoindependiente"/>
        <w:jc w:val="both"/>
        <w:rPr>
          <w:color w:val="231F20"/>
          <w:spacing w:val="-2"/>
        </w:rPr>
      </w:pPr>
    </w:p>
    <w:p w14:paraId="6DB45F45" w14:textId="77777777" w:rsidR="00AE355A" w:rsidRDefault="00AE355A" w:rsidP="00AE355A">
      <w:pPr>
        <w:pStyle w:val="Textoindependiente"/>
        <w:jc w:val="both"/>
        <w:rPr>
          <w:color w:val="231F20"/>
        </w:rPr>
      </w:pPr>
      <w:r w:rsidRPr="003A0DEF">
        <w:rPr>
          <w:color w:val="231F20"/>
          <w:spacing w:val="-2"/>
          <w:sz w:val="28"/>
          <w:szCs w:val="28"/>
        </w:rPr>
        <w:t>-</w:t>
      </w:r>
      <w:r w:rsidRPr="00697E23">
        <w:rPr>
          <w:color w:val="231F20"/>
          <w:spacing w:val="-2"/>
        </w:rPr>
        <w:t>Deficiencias</w:t>
      </w:r>
      <w:r w:rsidRPr="00697E23">
        <w:rPr>
          <w:color w:val="231F20"/>
          <w:spacing w:val="-8"/>
        </w:rPr>
        <w:t xml:space="preserve"> </w:t>
      </w:r>
      <w:r w:rsidRPr="00697E23">
        <w:rPr>
          <w:color w:val="231F20"/>
          <w:spacing w:val="-2"/>
        </w:rPr>
        <w:t>en</w:t>
      </w:r>
      <w:r w:rsidRPr="00697E23">
        <w:rPr>
          <w:color w:val="231F20"/>
          <w:spacing w:val="-8"/>
        </w:rPr>
        <w:t xml:space="preserve"> </w:t>
      </w:r>
      <w:r w:rsidRPr="00697E23">
        <w:rPr>
          <w:color w:val="231F20"/>
          <w:spacing w:val="-2"/>
        </w:rPr>
        <w:t>la</w:t>
      </w:r>
      <w:r w:rsidRPr="00697E23">
        <w:rPr>
          <w:color w:val="231F20"/>
          <w:spacing w:val="-8"/>
        </w:rPr>
        <w:t xml:space="preserve"> </w:t>
      </w:r>
      <w:r w:rsidRPr="00697E23">
        <w:rPr>
          <w:color w:val="231F20"/>
          <w:spacing w:val="-2"/>
        </w:rPr>
        <w:t>clasificación,</w:t>
      </w:r>
      <w:r w:rsidRPr="00697E23">
        <w:rPr>
          <w:color w:val="231F20"/>
          <w:spacing w:val="-8"/>
        </w:rPr>
        <w:t xml:space="preserve"> </w:t>
      </w:r>
      <w:r w:rsidRPr="00697E23">
        <w:rPr>
          <w:color w:val="231F20"/>
          <w:spacing w:val="-2"/>
        </w:rPr>
        <w:t>registro</w:t>
      </w:r>
      <w:r w:rsidRPr="00697E23">
        <w:rPr>
          <w:color w:val="231F20"/>
          <w:spacing w:val="-8"/>
        </w:rPr>
        <w:t xml:space="preserve"> </w:t>
      </w:r>
      <w:r w:rsidRPr="00697E23">
        <w:rPr>
          <w:color w:val="231F20"/>
          <w:spacing w:val="-2"/>
        </w:rPr>
        <w:t>y</w:t>
      </w:r>
      <w:r w:rsidRPr="00697E23">
        <w:rPr>
          <w:color w:val="231F20"/>
          <w:spacing w:val="-8"/>
        </w:rPr>
        <w:t xml:space="preserve"> </w:t>
      </w:r>
      <w:r w:rsidRPr="00697E23">
        <w:rPr>
          <w:color w:val="231F20"/>
          <w:spacing w:val="-2"/>
        </w:rPr>
        <w:t>depuración</w:t>
      </w:r>
      <w:r w:rsidRPr="00697E23">
        <w:rPr>
          <w:color w:val="231F20"/>
          <w:spacing w:val="-8"/>
        </w:rPr>
        <w:t xml:space="preserve"> </w:t>
      </w:r>
      <w:r w:rsidRPr="00697E23">
        <w:rPr>
          <w:color w:val="231F20"/>
          <w:spacing w:val="-2"/>
        </w:rPr>
        <w:t>de</w:t>
      </w:r>
      <w:r w:rsidRPr="00697E23">
        <w:rPr>
          <w:color w:val="231F20"/>
          <w:spacing w:val="-8"/>
        </w:rPr>
        <w:t xml:space="preserve"> </w:t>
      </w:r>
      <w:r w:rsidRPr="00697E23">
        <w:rPr>
          <w:color w:val="231F20"/>
          <w:spacing w:val="-2"/>
        </w:rPr>
        <w:t xml:space="preserve">transacciones; </w:t>
      </w:r>
      <w:r w:rsidRPr="00697E23">
        <w:rPr>
          <w:color w:val="231F20"/>
        </w:rPr>
        <w:t>inoportunidad</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flujo</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información</w:t>
      </w:r>
      <w:r w:rsidRPr="00697E23">
        <w:rPr>
          <w:color w:val="231F20"/>
          <w:spacing w:val="-9"/>
        </w:rPr>
        <w:t xml:space="preserve"> </w:t>
      </w:r>
      <w:r w:rsidRPr="00697E23">
        <w:rPr>
          <w:color w:val="231F20"/>
        </w:rPr>
        <w:t>desde</w:t>
      </w:r>
      <w:r w:rsidRPr="00697E23">
        <w:rPr>
          <w:color w:val="231F20"/>
          <w:spacing w:val="-9"/>
        </w:rPr>
        <w:t xml:space="preserve"> </w:t>
      </w:r>
      <w:r w:rsidRPr="00697E23">
        <w:rPr>
          <w:color w:val="231F20"/>
        </w:rPr>
        <w:t>las</w:t>
      </w:r>
      <w:r w:rsidRPr="00697E23">
        <w:rPr>
          <w:color w:val="231F20"/>
          <w:spacing w:val="-9"/>
        </w:rPr>
        <w:t xml:space="preserve"> </w:t>
      </w:r>
      <w:r w:rsidRPr="00697E23">
        <w:rPr>
          <w:color w:val="231F20"/>
        </w:rPr>
        <w:t>áreas</w:t>
      </w:r>
      <w:r w:rsidRPr="00697E23">
        <w:rPr>
          <w:color w:val="231F20"/>
          <w:spacing w:val="-9"/>
        </w:rPr>
        <w:t xml:space="preserve"> </w:t>
      </w:r>
      <w:r w:rsidRPr="00697E23">
        <w:rPr>
          <w:color w:val="231F20"/>
        </w:rPr>
        <w:t>responsables de la información hacia contabilidad; correcciones superiores a la materialidad con impacto en el patrimonio y falta de definición de procedimientos efectivos para el registro de Inventarios.</w:t>
      </w:r>
    </w:p>
    <w:p w14:paraId="3BB7C0DE" w14:textId="77777777" w:rsidR="00AE355A" w:rsidRDefault="00AE355A" w:rsidP="00AE355A">
      <w:pPr>
        <w:pStyle w:val="Textoindependiente"/>
        <w:rPr>
          <w:b/>
          <w:color w:val="231F20"/>
          <w:sz w:val="28"/>
          <w:szCs w:val="28"/>
        </w:rPr>
      </w:pPr>
    </w:p>
    <w:p w14:paraId="62546360" w14:textId="4875D3BB" w:rsidR="00AE355A" w:rsidRPr="008B6B42" w:rsidRDefault="00AE355A" w:rsidP="00AE355A">
      <w:pPr>
        <w:pStyle w:val="Ttulo1"/>
        <w:ind w:left="0" w:right="-93"/>
        <w:rPr>
          <w:b w:val="0"/>
          <w:bCs w:val="0"/>
          <w:sz w:val="28"/>
          <w:szCs w:val="28"/>
        </w:rPr>
      </w:pPr>
      <w:bookmarkStart w:id="4" w:name="_Hlk207873929"/>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 xml:space="preserve">EL FONDO ADAPTACIÓN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p w14:paraId="3D3A3F4E" w14:textId="77777777" w:rsidR="00AE355A" w:rsidRPr="00AE355A" w:rsidRDefault="00AE355A" w:rsidP="00AE355A">
      <w:pPr>
        <w:jc w:val="both"/>
        <w:rPr>
          <w:b/>
          <w:sz w:val="28"/>
          <w:szCs w:val="28"/>
        </w:rPr>
      </w:pPr>
    </w:p>
    <w:p w14:paraId="67ABE0EC" w14:textId="40941603" w:rsidR="00907C81" w:rsidRPr="000F4454" w:rsidRDefault="00907C81" w:rsidP="00907C81">
      <w:pPr>
        <w:jc w:val="both"/>
        <w:rPr>
          <w:b/>
          <w:sz w:val="32"/>
          <w:szCs w:val="32"/>
        </w:rPr>
      </w:pPr>
      <w:r>
        <w:rPr>
          <w:b/>
          <w:sz w:val="28"/>
          <w:szCs w:val="28"/>
          <w:lang w:val="es-MX"/>
        </w:rPr>
        <w:t xml:space="preserve">133.- </w:t>
      </w:r>
      <w:r w:rsidRPr="007575F1">
        <w:rPr>
          <w:b/>
          <w:sz w:val="28"/>
          <w:szCs w:val="28"/>
          <w:lang w:val="es-MX"/>
        </w:rPr>
        <w:t>FONDO ADAPTACI</w:t>
      </w:r>
      <w:r>
        <w:rPr>
          <w:b/>
          <w:sz w:val="28"/>
          <w:szCs w:val="28"/>
          <w:lang w:val="es-MX"/>
        </w:rPr>
        <w:t>Ó</w:t>
      </w:r>
      <w:r w:rsidRPr="007575F1">
        <w:rPr>
          <w:b/>
          <w:sz w:val="28"/>
          <w:szCs w:val="28"/>
          <w:lang w:val="es-MX"/>
        </w:rPr>
        <w:t>N</w:t>
      </w:r>
      <w:r w:rsidRPr="002F6175">
        <w:rPr>
          <w:b/>
          <w:sz w:val="28"/>
          <w:szCs w:val="28"/>
          <w:lang w:val="es-MX"/>
        </w:rPr>
        <w:t>.</w:t>
      </w:r>
    </w:p>
    <w:p w14:paraId="47E0B6AB" w14:textId="77777777" w:rsidR="00907C81" w:rsidRDefault="00907C81" w:rsidP="00907C81">
      <w:pPr>
        <w:rPr>
          <w:b/>
          <w:sz w:val="28"/>
          <w:szCs w:val="28"/>
          <w:lang w:val="es-MX"/>
        </w:rPr>
      </w:pPr>
    </w:p>
    <w:p w14:paraId="12CC9E68" w14:textId="77777777" w:rsidR="00907C81" w:rsidRPr="00AB56A0" w:rsidRDefault="00907C81" w:rsidP="00907C81">
      <w:pPr>
        <w:rPr>
          <w:b/>
          <w:sz w:val="28"/>
          <w:szCs w:val="28"/>
        </w:rPr>
      </w:pPr>
      <w:r>
        <w:rPr>
          <w:b/>
          <w:sz w:val="28"/>
          <w:szCs w:val="28"/>
          <w:lang w:val="es-MX"/>
        </w:rPr>
        <w:t xml:space="preserve">A.- </w:t>
      </w:r>
      <w:r w:rsidRPr="00AB56A0">
        <w:rPr>
          <w:b/>
          <w:sz w:val="28"/>
          <w:szCs w:val="28"/>
        </w:rPr>
        <w:t>DE ORDEN PRESUPUESTAL</w:t>
      </w:r>
      <w:r>
        <w:rPr>
          <w:b/>
          <w:sz w:val="28"/>
          <w:szCs w:val="28"/>
        </w:rPr>
        <w:t>.</w:t>
      </w:r>
    </w:p>
    <w:p w14:paraId="4EE5BEEB" w14:textId="77777777" w:rsidR="00907C81" w:rsidRPr="005E77B8" w:rsidRDefault="00907C81" w:rsidP="00907C81">
      <w:pPr>
        <w:pStyle w:val="Prrafodelista"/>
        <w:ind w:left="218"/>
        <w:rPr>
          <w:b/>
          <w:sz w:val="24"/>
          <w:szCs w:val="24"/>
        </w:rPr>
      </w:pPr>
    </w:p>
    <w:p w14:paraId="5EDA0D9E" w14:textId="77777777" w:rsidR="00907C81" w:rsidRPr="00B54567" w:rsidRDefault="00907C81" w:rsidP="00907C81">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E4954D7" w14:textId="77777777" w:rsidR="00907C81" w:rsidRPr="00B54567" w:rsidRDefault="00907C81" w:rsidP="00907C81">
      <w:pPr>
        <w:pStyle w:val="Prrafodelista"/>
        <w:tabs>
          <w:tab w:val="left" w:pos="873"/>
          <w:tab w:val="left" w:pos="875"/>
        </w:tabs>
        <w:spacing w:before="92"/>
        <w:jc w:val="right"/>
        <w:rPr>
          <w:sz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106"/>
        <w:gridCol w:w="1493"/>
        <w:gridCol w:w="1347"/>
        <w:gridCol w:w="1038"/>
        <w:gridCol w:w="1034"/>
        <w:gridCol w:w="995"/>
        <w:gridCol w:w="919"/>
      </w:tblGrid>
      <w:tr w:rsidR="00907C81" w:rsidRPr="00B54567" w14:paraId="153C90A4" w14:textId="77777777" w:rsidTr="00DC75AC">
        <w:tc>
          <w:tcPr>
            <w:tcW w:w="2173" w:type="dxa"/>
            <w:shd w:val="clear" w:color="auto" w:fill="auto"/>
          </w:tcPr>
          <w:p w14:paraId="0E48B245"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CONCEPTO</w:t>
            </w:r>
          </w:p>
        </w:tc>
        <w:tc>
          <w:tcPr>
            <w:tcW w:w="1106" w:type="dxa"/>
            <w:shd w:val="clear" w:color="auto" w:fill="auto"/>
          </w:tcPr>
          <w:p w14:paraId="15EBC5C7"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APROP. VIGENTE</w:t>
            </w:r>
          </w:p>
          <w:p w14:paraId="110F2C6D" w14:textId="77777777" w:rsidR="00907C81" w:rsidRPr="00B54567" w:rsidRDefault="00907C81" w:rsidP="00874B2D">
            <w:pPr>
              <w:jc w:val="center"/>
              <w:rPr>
                <w:rFonts w:eastAsia="Calibri"/>
                <w:b/>
                <w:sz w:val="16"/>
                <w:szCs w:val="16"/>
                <w:lang w:val="es-CO"/>
              </w:rPr>
            </w:pPr>
          </w:p>
          <w:p w14:paraId="0E280FDE" w14:textId="77777777" w:rsidR="00907C81" w:rsidRPr="00B54567" w:rsidRDefault="00907C81" w:rsidP="00874B2D">
            <w:pPr>
              <w:jc w:val="center"/>
              <w:rPr>
                <w:rFonts w:eastAsia="Calibri"/>
                <w:b/>
                <w:sz w:val="16"/>
                <w:szCs w:val="16"/>
                <w:lang w:val="es-CO"/>
              </w:rPr>
            </w:pPr>
          </w:p>
          <w:p w14:paraId="31F568F4" w14:textId="77777777" w:rsidR="00907C81" w:rsidRPr="00B54567" w:rsidRDefault="00907C81" w:rsidP="00874B2D">
            <w:pPr>
              <w:jc w:val="center"/>
              <w:rPr>
                <w:rFonts w:eastAsia="Calibri"/>
                <w:b/>
                <w:sz w:val="16"/>
                <w:szCs w:val="16"/>
                <w:lang w:val="es-CO"/>
              </w:rPr>
            </w:pPr>
          </w:p>
          <w:p w14:paraId="2EC8200C"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(1)</w:t>
            </w:r>
          </w:p>
          <w:p w14:paraId="4E824A2B" w14:textId="77777777" w:rsidR="00907C81" w:rsidRPr="00B54567" w:rsidRDefault="00907C81" w:rsidP="00874B2D">
            <w:pPr>
              <w:jc w:val="center"/>
              <w:rPr>
                <w:rFonts w:eastAsia="Calibri"/>
                <w:b/>
                <w:sz w:val="16"/>
                <w:szCs w:val="16"/>
                <w:lang w:val="es-CO"/>
              </w:rPr>
            </w:pPr>
          </w:p>
        </w:tc>
        <w:tc>
          <w:tcPr>
            <w:tcW w:w="1507" w:type="dxa"/>
            <w:shd w:val="clear" w:color="auto" w:fill="auto"/>
          </w:tcPr>
          <w:p w14:paraId="77643D58"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COMPROMISO</w:t>
            </w:r>
          </w:p>
          <w:p w14:paraId="5B923E1F" w14:textId="77777777" w:rsidR="00907C81" w:rsidRPr="00B54567" w:rsidRDefault="00907C81" w:rsidP="00874B2D">
            <w:pPr>
              <w:jc w:val="center"/>
              <w:rPr>
                <w:rFonts w:eastAsia="Calibri"/>
                <w:b/>
                <w:sz w:val="16"/>
                <w:szCs w:val="16"/>
                <w:lang w:val="es-CO"/>
              </w:rPr>
            </w:pPr>
          </w:p>
          <w:p w14:paraId="14660D7F" w14:textId="77777777" w:rsidR="00907C81" w:rsidRPr="00B54567" w:rsidRDefault="00907C81" w:rsidP="00874B2D">
            <w:pPr>
              <w:jc w:val="center"/>
              <w:rPr>
                <w:rFonts w:eastAsia="Calibri"/>
                <w:b/>
                <w:sz w:val="16"/>
                <w:szCs w:val="16"/>
                <w:lang w:val="es-CO"/>
              </w:rPr>
            </w:pPr>
          </w:p>
          <w:p w14:paraId="2A2079A2" w14:textId="77777777" w:rsidR="00907C81" w:rsidRPr="00B54567" w:rsidRDefault="00907C81" w:rsidP="00874B2D">
            <w:pPr>
              <w:jc w:val="center"/>
              <w:rPr>
                <w:rFonts w:eastAsia="Calibri"/>
                <w:b/>
                <w:sz w:val="16"/>
                <w:szCs w:val="16"/>
                <w:lang w:val="es-CO"/>
              </w:rPr>
            </w:pPr>
          </w:p>
          <w:p w14:paraId="3AE7140B" w14:textId="77777777" w:rsidR="00907C81" w:rsidRPr="00B54567" w:rsidRDefault="00907C81" w:rsidP="00874B2D">
            <w:pPr>
              <w:jc w:val="center"/>
              <w:rPr>
                <w:rFonts w:eastAsia="Calibri"/>
                <w:b/>
                <w:sz w:val="16"/>
                <w:szCs w:val="16"/>
                <w:lang w:val="es-CO"/>
              </w:rPr>
            </w:pPr>
          </w:p>
          <w:p w14:paraId="4DF8BBD1"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(2)</w:t>
            </w:r>
          </w:p>
        </w:tc>
        <w:tc>
          <w:tcPr>
            <w:tcW w:w="1357" w:type="dxa"/>
            <w:shd w:val="clear" w:color="auto" w:fill="auto"/>
          </w:tcPr>
          <w:p w14:paraId="5A4A2840"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OBLIGACIÓN</w:t>
            </w:r>
          </w:p>
          <w:p w14:paraId="69F70B98" w14:textId="77777777" w:rsidR="00907C81" w:rsidRPr="00B54567" w:rsidRDefault="00907C81" w:rsidP="00874B2D">
            <w:pPr>
              <w:jc w:val="center"/>
              <w:rPr>
                <w:rFonts w:eastAsia="Calibri"/>
                <w:b/>
                <w:sz w:val="16"/>
                <w:szCs w:val="16"/>
                <w:lang w:val="es-CO"/>
              </w:rPr>
            </w:pPr>
          </w:p>
          <w:p w14:paraId="4584B915" w14:textId="77777777" w:rsidR="00907C81" w:rsidRPr="00B54567" w:rsidRDefault="00907C81" w:rsidP="00874B2D">
            <w:pPr>
              <w:jc w:val="center"/>
              <w:rPr>
                <w:rFonts w:eastAsia="Calibri"/>
                <w:b/>
                <w:sz w:val="16"/>
                <w:szCs w:val="16"/>
                <w:lang w:val="es-CO"/>
              </w:rPr>
            </w:pPr>
          </w:p>
          <w:p w14:paraId="0FBD45EE" w14:textId="77777777" w:rsidR="00907C81" w:rsidRPr="00B54567" w:rsidRDefault="00907C81" w:rsidP="00874B2D">
            <w:pPr>
              <w:jc w:val="center"/>
              <w:rPr>
                <w:rFonts w:eastAsia="Calibri"/>
                <w:b/>
                <w:sz w:val="16"/>
                <w:szCs w:val="16"/>
                <w:lang w:val="es-CO"/>
              </w:rPr>
            </w:pPr>
          </w:p>
          <w:p w14:paraId="6B307321" w14:textId="77777777" w:rsidR="00907C81" w:rsidRPr="00B54567" w:rsidRDefault="00907C81" w:rsidP="00874B2D">
            <w:pPr>
              <w:jc w:val="center"/>
              <w:rPr>
                <w:rFonts w:eastAsia="Calibri"/>
                <w:b/>
                <w:sz w:val="16"/>
                <w:szCs w:val="16"/>
                <w:lang w:val="es-CO"/>
              </w:rPr>
            </w:pPr>
          </w:p>
          <w:p w14:paraId="3CBDB79E"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(3)</w:t>
            </w:r>
          </w:p>
          <w:p w14:paraId="553A0156" w14:textId="77777777" w:rsidR="00907C81" w:rsidRPr="00B54567" w:rsidRDefault="00907C81" w:rsidP="00874B2D">
            <w:pPr>
              <w:jc w:val="center"/>
              <w:rPr>
                <w:rFonts w:eastAsia="Calibri"/>
                <w:b/>
                <w:sz w:val="16"/>
                <w:szCs w:val="16"/>
                <w:lang w:val="es-CO"/>
              </w:rPr>
            </w:pPr>
          </w:p>
        </w:tc>
        <w:tc>
          <w:tcPr>
            <w:tcW w:w="1040" w:type="dxa"/>
            <w:shd w:val="clear" w:color="auto" w:fill="auto"/>
          </w:tcPr>
          <w:p w14:paraId="2D523163"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PAGOS</w:t>
            </w:r>
          </w:p>
          <w:p w14:paraId="453D6115" w14:textId="77777777" w:rsidR="00907C81" w:rsidRPr="00B54567" w:rsidRDefault="00907C81" w:rsidP="00874B2D">
            <w:pPr>
              <w:jc w:val="center"/>
              <w:rPr>
                <w:rFonts w:eastAsia="Calibri"/>
                <w:b/>
                <w:sz w:val="16"/>
                <w:szCs w:val="16"/>
                <w:lang w:val="es-CO"/>
              </w:rPr>
            </w:pPr>
          </w:p>
          <w:p w14:paraId="5EC22C5B" w14:textId="77777777" w:rsidR="00907C81" w:rsidRPr="00B54567" w:rsidRDefault="00907C81" w:rsidP="00874B2D">
            <w:pPr>
              <w:jc w:val="center"/>
              <w:rPr>
                <w:rFonts w:eastAsia="Calibri"/>
                <w:b/>
                <w:sz w:val="16"/>
                <w:szCs w:val="16"/>
                <w:lang w:val="es-CO"/>
              </w:rPr>
            </w:pPr>
          </w:p>
          <w:p w14:paraId="5A2C9512" w14:textId="77777777" w:rsidR="00907C81" w:rsidRPr="00B54567" w:rsidRDefault="00907C81" w:rsidP="00874B2D">
            <w:pPr>
              <w:jc w:val="center"/>
              <w:rPr>
                <w:rFonts w:eastAsia="Calibri"/>
                <w:b/>
                <w:sz w:val="16"/>
                <w:szCs w:val="16"/>
                <w:lang w:val="es-CO"/>
              </w:rPr>
            </w:pPr>
          </w:p>
          <w:p w14:paraId="7B5FB099" w14:textId="77777777" w:rsidR="00907C81" w:rsidRPr="00B54567" w:rsidRDefault="00907C81" w:rsidP="00874B2D">
            <w:pPr>
              <w:jc w:val="center"/>
              <w:rPr>
                <w:rFonts w:eastAsia="Calibri"/>
                <w:b/>
                <w:sz w:val="16"/>
                <w:szCs w:val="16"/>
                <w:lang w:val="es-CO"/>
              </w:rPr>
            </w:pPr>
          </w:p>
          <w:p w14:paraId="2106CE5A"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(4)</w:t>
            </w:r>
          </w:p>
        </w:tc>
        <w:tc>
          <w:tcPr>
            <w:tcW w:w="1045" w:type="dxa"/>
            <w:shd w:val="clear" w:color="auto" w:fill="auto"/>
          </w:tcPr>
          <w:p w14:paraId="1D271469"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 xml:space="preserve">% </w:t>
            </w:r>
          </w:p>
          <w:p w14:paraId="7F46BF15"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COMP/</w:t>
            </w:r>
          </w:p>
          <w:p w14:paraId="581D78A5"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APROP. VIGENTE</w:t>
            </w:r>
          </w:p>
          <w:p w14:paraId="7DAA410E" w14:textId="77777777" w:rsidR="00907C81" w:rsidRPr="00B54567" w:rsidRDefault="00907C81" w:rsidP="00874B2D">
            <w:pPr>
              <w:jc w:val="center"/>
              <w:rPr>
                <w:rFonts w:eastAsia="Calibri"/>
                <w:b/>
                <w:sz w:val="16"/>
                <w:szCs w:val="16"/>
                <w:lang w:val="es-CO"/>
              </w:rPr>
            </w:pPr>
          </w:p>
          <w:p w14:paraId="078EC49A"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5 = (2 / 1)</w:t>
            </w:r>
          </w:p>
        </w:tc>
        <w:tc>
          <w:tcPr>
            <w:tcW w:w="1002" w:type="dxa"/>
            <w:shd w:val="clear" w:color="auto" w:fill="auto"/>
          </w:tcPr>
          <w:p w14:paraId="0B190E02"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 xml:space="preserve">% </w:t>
            </w:r>
          </w:p>
          <w:p w14:paraId="5B3B0FD5"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OBLIG/ APROP. VIGENTE</w:t>
            </w:r>
          </w:p>
          <w:p w14:paraId="03DB458F" w14:textId="77777777" w:rsidR="00907C81" w:rsidRPr="00B54567" w:rsidRDefault="00907C81" w:rsidP="00874B2D">
            <w:pPr>
              <w:jc w:val="center"/>
              <w:rPr>
                <w:rFonts w:eastAsia="Calibri"/>
                <w:b/>
                <w:sz w:val="16"/>
                <w:szCs w:val="16"/>
                <w:lang w:val="es-CO"/>
              </w:rPr>
            </w:pPr>
          </w:p>
          <w:p w14:paraId="0E083700"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6  = (3 / 1)</w:t>
            </w:r>
          </w:p>
        </w:tc>
        <w:tc>
          <w:tcPr>
            <w:tcW w:w="835" w:type="dxa"/>
            <w:shd w:val="clear" w:color="auto" w:fill="auto"/>
          </w:tcPr>
          <w:p w14:paraId="6C32A961"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 xml:space="preserve">% </w:t>
            </w:r>
          </w:p>
          <w:p w14:paraId="6E98D8C9"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PAGOS/</w:t>
            </w:r>
          </w:p>
          <w:p w14:paraId="78C17C3F"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APROP. VIGENTE</w:t>
            </w:r>
          </w:p>
          <w:p w14:paraId="31C86603" w14:textId="77777777" w:rsidR="00907C81" w:rsidRPr="00B54567" w:rsidRDefault="00907C81" w:rsidP="00874B2D">
            <w:pPr>
              <w:jc w:val="center"/>
              <w:rPr>
                <w:rFonts w:eastAsia="Calibri"/>
                <w:b/>
                <w:sz w:val="16"/>
                <w:szCs w:val="16"/>
                <w:lang w:val="es-CO"/>
              </w:rPr>
            </w:pPr>
          </w:p>
          <w:p w14:paraId="6FFE54EF"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7 = (4 / 1)</w:t>
            </w:r>
          </w:p>
          <w:p w14:paraId="0B0D387B" w14:textId="77777777" w:rsidR="00907C81" w:rsidRPr="00B54567" w:rsidRDefault="00907C81" w:rsidP="00874B2D">
            <w:pPr>
              <w:jc w:val="center"/>
              <w:rPr>
                <w:rFonts w:eastAsia="Calibri"/>
                <w:b/>
                <w:sz w:val="16"/>
                <w:szCs w:val="16"/>
                <w:lang w:val="es-CO"/>
              </w:rPr>
            </w:pPr>
          </w:p>
        </w:tc>
      </w:tr>
      <w:tr w:rsidR="00907C81" w:rsidRPr="00B54567" w14:paraId="00E5C8B1" w14:textId="77777777" w:rsidTr="00DC75AC">
        <w:tc>
          <w:tcPr>
            <w:tcW w:w="2173" w:type="dxa"/>
            <w:shd w:val="clear" w:color="auto" w:fill="auto"/>
          </w:tcPr>
          <w:p w14:paraId="4F85A1C5" w14:textId="77777777" w:rsidR="00907C81" w:rsidRPr="00B54567" w:rsidRDefault="00907C81" w:rsidP="00874B2D">
            <w:pPr>
              <w:rPr>
                <w:rFonts w:eastAsia="Calibri"/>
                <w:b/>
                <w:sz w:val="16"/>
                <w:szCs w:val="16"/>
                <w:lang w:val="es-CO"/>
              </w:rPr>
            </w:pPr>
            <w:r w:rsidRPr="00B54567">
              <w:rPr>
                <w:rFonts w:eastAsia="Calibri"/>
                <w:b/>
                <w:sz w:val="16"/>
                <w:szCs w:val="16"/>
                <w:lang w:val="es-CO"/>
              </w:rPr>
              <w:t>FUNCIONAMIENTO</w:t>
            </w:r>
          </w:p>
        </w:tc>
        <w:tc>
          <w:tcPr>
            <w:tcW w:w="1106" w:type="dxa"/>
            <w:shd w:val="clear" w:color="auto" w:fill="auto"/>
          </w:tcPr>
          <w:p w14:paraId="549BD343" w14:textId="77777777" w:rsidR="00907C81" w:rsidRPr="00872FEE" w:rsidRDefault="00907C81" w:rsidP="00874B2D">
            <w:pPr>
              <w:jc w:val="right"/>
              <w:rPr>
                <w:rFonts w:eastAsia="Calibri"/>
                <w:b/>
                <w:sz w:val="16"/>
                <w:szCs w:val="16"/>
                <w:lang w:val="es-CO"/>
              </w:rPr>
            </w:pPr>
            <w:r>
              <w:rPr>
                <w:rFonts w:eastAsia="Calibri"/>
                <w:b/>
                <w:sz w:val="16"/>
                <w:szCs w:val="16"/>
                <w:lang w:val="es-CO"/>
              </w:rPr>
              <w:t>37.404.455</w:t>
            </w:r>
          </w:p>
        </w:tc>
        <w:tc>
          <w:tcPr>
            <w:tcW w:w="1507" w:type="dxa"/>
            <w:shd w:val="clear" w:color="auto" w:fill="auto"/>
          </w:tcPr>
          <w:p w14:paraId="7904A33A" w14:textId="77777777" w:rsidR="00907C81" w:rsidRPr="00872FEE" w:rsidRDefault="00907C81" w:rsidP="00874B2D">
            <w:pPr>
              <w:jc w:val="right"/>
              <w:rPr>
                <w:rFonts w:eastAsia="Calibri"/>
                <w:b/>
                <w:sz w:val="16"/>
                <w:szCs w:val="16"/>
                <w:lang w:val="es-CO"/>
              </w:rPr>
            </w:pPr>
            <w:r>
              <w:rPr>
                <w:rFonts w:eastAsia="Calibri"/>
                <w:b/>
                <w:sz w:val="16"/>
                <w:szCs w:val="16"/>
                <w:lang w:val="es-CO"/>
              </w:rPr>
              <w:t>26.874.382</w:t>
            </w:r>
          </w:p>
        </w:tc>
        <w:tc>
          <w:tcPr>
            <w:tcW w:w="1357" w:type="dxa"/>
            <w:shd w:val="clear" w:color="auto" w:fill="auto"/>
          </w:tcPr>
          <w:p w14:paraId="41F6EBDF" w14:textId="77777777" w:rsidR="00907C81" w:rsidRPr="00872FEE" w:rsidRDefault="00907C81" w:rsidP="00874B2D">
            <w:pPr>
              <w:jc w:val="right"/>
              <w:rPr>
                <w:rFonts w:eastAsia="Calibri"/>
                <w:b/>
                <w:sz w:val="16"/>
                <w:szCs w:val="16"/>
                <w:lang w:val="es-CO"/>
              </w:rPr>
            </w:pPr>
            <w:r>
              <w:rPr>
                <w:rFonts w:eastAsia="Calibri"/>
                <w:b/>
                <w:sz w:val="16"/>
                <w:szCs w:val="16"/>
                <w:lang w:val="es-CO"/>
              </w:rPr>
              <w:t>26.817.988</w:t>
            </w:r>
          </w:p>
        </w:tc>
        <w:tc>
          <w:tcPr>
            <w:tcW w:w="1040" w:type="dxa"/>
            <w:shd w:val="clear" w:color="auto" w:fill="auto"/>
          </w:tcPr>
          <w:p w14:paraId="38C390F8" w14:textId="77777777" w:rsidR="00907C81" w:rsidRPr="00872FEE" w:rsidRDefault="00907C81" w:rsidP="00874B2D">
            <w:pPr>
              <w:jc w:val="right"/>
              <w:rPr>
                <w:rFonts w:eastAsia="Calibri"/>
                <w:b/>
                <w:sz w:val="16"/>
                <w:szCs w:val="16"/>
                <w:lang w:val="es-CO"/>
              </w:rPr>
            </w:pPr>
            <w:r>
              <w:rPr>
                <w:rFonts w:eastAsia="Calibri"/>
                <w:b/>
                <w:sz w:val="16"/>
                <w:szCs w:val="16"/>
                <w:lang w:val="es-CO"/>
              </w:rPr>
              <w:t>25.554.073</w:t>
            </w:r>
          </w:p>
        </w:tc>
        <w:tc>
          <w:tcPr>
            <w:tcW w:w="1045" w:type="dxa"/>
            <w:shd w:val="clear" w:color="auto" w:fill="auto"/>
          </w:tcPr>
          <w:p w14:paraId="419D5475" w14:textId="77777777" w:rsidR="00907C81" w:rsidRPr="00872FEE" w:rsidRDefault="00907C81" w:rsidP="00874B2D">
            <w:pPr>
              <w:jc w:val="center"/>
              <w:rPr>
                <w:rFonts w:eastAsia="Calibri"/>
                <w:b/>
                <w:sz w:val="16"/>
                <w:szCs w:val="16"/>
                <w:lang w:val="es-CO"/>
              </w:rPr>
            </w:pPr>
            <w:r>
              <w:rPr>
                <w:rFonts w:eastAsia="Calibri"/>
                <w:b/>
                <w:sz w:val="16"/>
                <w:szCs w:val="16"/>
                <w:lang w:val="es-CO"/>
              </w:rPr>
              <w:t>72%</w:t>
            </w:r>
          </w:p>
        </w:tc>
        <w:tc>
          <w:tcPr>
            <w:tcW w:w="1002" w:type="dxa"/>
            <w:shd w:val="clear" w:color="auto" w:fill="auto"/>
          </w:tcPr>
          <w:p w14:paraId="4BBDE897" w14:textId="77777777" w:rsidR="00907C81" w:rsidRPr="00872FEE" w:rsidRDefault="00907C81" w:rsidP="00874B2D">
            <w:pPr>
              <w:jc w:val="center"/>
              <w:rPr>
                <w:rFonts w:eastAsia="Calibri"/>
                <w:b/>
                <w:sz w:val="16"/>
                <w:szCs w:val="16"/>
                <w:lang w:val="es-CO"/>
              </w:rPr>
            </w:pPr>
            <w:r>
              <w:rPr>
                <w:rFonts w:eastAsia="Calibri"/>
                <w:b/>
                <w:sz w:val="16"/>
                <w:szCs w:val="16"/>
                <w:lang w:val="es-CO"/>
              </w:rPr>
              <w:t>72%</w:t>
            </w:r>
          </w:p>
        </w:tc>
        <w:tc>
          <w:tcPr>
            <w:tcW w:w="835" w:type="dxa"/>
            <w:shd w:val="clear" w:color="auto" w:fill="auto"/>
          </w:tcPr>
          <w:p w14:paraId="4F90CBC3" w14:textId="77777777" w:rsidR="00907C81" w:rsidRPr="00872FEE" w:rsidRDefault="00907C81" w:rsidP="00874B2D">
            <w:pPr>
              <w:jc w:val="center"/>
              <w:rPr>
                <w:rFonts w:eastAsia="Calibri"/>
                <w:b/>
                <w:sz w:val="16"/>
                <w:szCs w:val="16"/>
                <w:lang w:val="es-CO"/>
              </w:rPr>
            </w:pPr>
            <w:r>
              <w:rPr>
                <w:rFonts w:eastAsia="Calibri"/>
                <w:b/>
                <w:sz w:val="16"/>
                <w:szCs w:val="16"/>
                <w:lang w:val="es-CO"/>
              </w:rPr>
              <w:t>68%</w:t>
            </w:r>
          </w:p>
        </w:tc>
      </w:tr>
      <w:tr w:rsidR="00907C81" w:rsidRPr="00B54567" w14:paraId="6F8543D7" w14:textId="77777777" w:rsidTr="00DC75AC">
        <w:tc>
          <w:tcPr>
            <w:tcW w:w="2173" w:type="dxa"/>
            <w:shd w:val="clear" w:color="auto" w:fill="auto"/>
          </w:tcPr>
          <w:p w14:paraId="0A50E168" w14:textId="77777777" w:rsidR="00907C81" w:rsidRPr="00B54567" w:rsidRDefault="00907C81" w:rsidP="00874B2D">
            <w:pPr>
              <w:jc w:val="both"/>
              <w:rPr>
                <w:rFonts w:eastAsia="Calibri"/>
                <w:sz w:val="16"/>
                <w:szCs w:val="16"/>
                <w:lang w:val="es-CO"/>
              </w:rPr>
            </w:pPr>
            <w:r w:rsidRPr="00B54567">
              <w:rPr>
                <w:rFonts w:eastAsia="Calibri"/>
                <w:sz w:val="16"/>
                <w:szCs w:val="16"/>
                <w:lang w:val="es-CO"/>
              </w:rPr>
              <w:t>Gastos de personal</w:t>
            </w:r>
          </w:p>
        </w:tc>
        <w:tc>
          <w:tcPr>
            <w:tcW w:w="1106" w:type="dxa"/>
            <w:shd w:val="clear" w:color="auto" w:fill="auto"/>
          </w:tcPr>
          <w:p w14:paraId="5BE4019C" w14:textId="77777777" w:rsidR="00907C81" w:rsidRPr="00B54567" w:rsidRDefault="00907C81" w:rsidP="00874B2D">
            <w:pPr>
              <w:jc w:val="right"/>
              <w:rPr>
                <w:rFonts w:eastAsia="Calibri"/>
                <w:sz w:val="16"/>
                <w:szCs w:val="16"/>
                <w:lang w:val="es-CO"/>
              </w:rPr>
            </w:pPr>
            <w:r>
              <w:rPr>
                <w:rFonts w:eastAsia="Calibri"/>
                <w:sz w:val="16"/>
                <w:szCs w:val="16"/>
                <w:lang w:val="es-CO"/>
              </w:rPr>
              <w:t>22.008.651</w:t>
            </w:r>
          </w:p>
        </w:tc>
        <w:tc>
          <w:tcPr>
            <w:tcW w:w="1507" w:type="dxa"/>
            <w:shd w:val="clear" w:color="auto" w:fill="auto"/>
          </w:tcPr>
          <w:p w14:paraId="551EB72B" w14:textId="77777777" w:rsidR="00907C81" w:rsidRPr="00B54567" w:rsidRDefault="00907C81" w:rsidP="00874B2D">
            <w:pPr>
              <w:jc w:val="right"/>
              <w:rPr>
                <w:rFonts w:eastAsia="Calibri"/>
                <w:sz w:val="16"/>
                <w:szCs w:val="16"/>
                <w:lang w:val="es-CO"/>
              </w:rPr>
            </w:pPr>
            <w:r>
              <w:rPr>
                <w:rFonts w:eastAsia="Calibri"/>
                <w:sz w:val="16"/>
                <w:szCs w:val="16"/>
                <w:lang w:val="es-CO"/>
              </w:rPr>
              <w:t>17.134.870</w:t>
            </w:r>
          </w:p>
        </w:tc>
        <w:tc>
          <w:tcPr>
            <w:tcW w:w="1357" w:type="dxa"/>
            <w:shd w:val="clear" w:color="auto" w:fill="auto"/>
          </w:tcPr>
          <w:p w14:paraId="1665C796" w14:textId="77777777" w:rsidR="00907C81" w:rsidRPr="00B54567" w:rsidRDefault="00907C81" w:rsidP="00874B2D">
            <w:pPr>
              <w:jc w:val="right"/>
              <w:rPr>
                <w:rFonts w:eastAsia="Calibri"/>
                <w:sz w:val="16"/>
                <w:szCs w:val="16"/>
                <w:lang w:val="es-CO"/>
              </w:rPr>
            </w:pPr>
            <w:r>
              <w:rPr>
                <w:rFonts w:eastAsia="Calibri"/>
                <w:sz w:val="16"/>
                <w:szCs w:val="16"/>
                <w:lang w:val="es-CO"/>
              </w:rPr>
              <w:t>17.134.870</w:t>
            </w:r>
          </w:p>
        </w:tc>
        <w:tc>
          <w:tcPr>
            <w:tcW w:w="1040" w:type="dxa"/>
            <w:shd w:val="clear" w:color="auto" w:fill="auto"/>
          </w:tcPr>
          <w:p w14:paraId="59A68C99" w14:textId="77777777" w:rsidR="00907C81" w:rsidRPr="00B54567" w:rsidRDefault="00907C81" w:rsidP="00874B2D">
            <w:pPr>
              <w:jc w:val="right"/>
              <w:rPr>
                <w:rFonts w:eastAsia="Calibri"/>
                <w:sz w:val="16"/>
                <w:szCs w:val="16"/>
                <w:lang w:val="es-CO"/>
              </w:rPr>
            </w:pPr>
            <w:r>
              <w:rPr>
                <w:rFonts w:eastAsia="Calibri"/>
                <w:sz w:val="16"/>
                <w:szCs w:val="16"/>
                <w:lang w:val="es-CO"/>
              </w:rPr>
              <w:t>17.134.870</w:t>
            </w:r>
          </w:p>
        </w:tc>
        <w:tc>
          <w:tcPr>
            <w:tcW w:w="1045" w:type="dxa"/>
            <w:shd w:val="clear" w:color="auto" w:fill="auto"/>
          </w:tcPr>
          <w:p w14:paraId="656CB1E1" w14:textId="77777777" w:rsidR="00907C81" w:rsidRPr="00B54567" w:rsidRDefault="00907C81" w:rsidP="00874B2D">
            <w:pPr>
              <w:jc w:val="center"/>
              <w:rPr>
                <w:rFonts w:eastAsia="Calibri"/>
                <w:sz w:val="16"/>
                <w:szCs w:val="16"/>
                <w:lang w:val="es-CO"/>
              </w:rPr>
            </w:pPr>
            <w:r>
              <w:rPr>
                <w:rFonts w:eastAsia="Calibri"/>
                <w:sz w:val="16"/>
                <w:szCs w:val="16"/>
                <w:lang w:val="es-CO"/>
              </w:rPr>
              <w:t>78%</w:t>
            </w:r>
          </w:p>
        </w:tc>
        <w:tc>
          <w:tcPr>
            <w:tcW w:w="1002" w:type="dxa"/>
            <w:shd w:val="clear" w:color="auto" w:fill="auto"/>
          </w:tcPr>
          <w:p w14:paraId="15F0FEF3" w14:textId="77777777" w:rsidR="00907C81" w:rsidRPr="00B54567" w:rsidRDefault="00907C81" w:rsidP="00874B2D">
            <w:pPr>
              <w:jc w:val="center"/>
              <w:rPr>
                <w:rFonts w:eastAsia="Calibri"/>
                <w:sz w:val="16"/>
                <w:szCs w:val="16"/>
                <w:lang w:val="es-CO"/>
              </w:rPr>
            </w:pPr>
            <w:r>
              <w:rPr>
                <w:rFonts w:eastAsia="Calibri"/>
                <w:sz w:val="16"/>
                <w:szCs w:val="16"/>
                <w:lang w:val="es-CO"/>
              </w:rPr>
              <w:t>78%</w:t>
            </w:r>
          </w:p>
        </w:tc>
        <w:tc>
          <w:tcPr>
            <w:tcW w:w="835" w:type="dxa"/>
            <w:shd w:val="clear" w:color="auto" w:fill="auto"/>
          </w:tcPr>
          <w:p w14:paraId="59716D91" w14:textId="77777777" w:rsidR="00907C81" w:rsidRPr="00B54567" w:rsidRDefault="00907C81" w:rsidP="00874B2D">
            <w:pPr>
              <w:jc w:val="center"/>
              <w:rPr>
                <w:rFonts w:eastAsia="Calibri"/>
                <w:sz w:val="16"/>
                <w:szCs w:val="16"/>
                <w:lang w:val="es-CO"/>
              </w:rPr>
            </w:pPr>
            <w:r>
              <w:rPr>
                <w:rFonts w:eastAsia="Calibri"/>
                <w:sz w:val="16"/>
                <w:szCs w:val="16"/>
                <w:lang w:val="es-CO"/>
              </w:rPr>
              <w:t>78%</w:t>
            </w:r>
          </w:p>
        </w:tc>
      </w:tr>
      <w:tr w:rsidR="00907C81" w:rsidRPr="00B54567" w14:paraId="6EB3F3CC" w14:textId="77777777" w:rsidTr="00DC75AC">
        <w:tc>
          <w:tcPr>
            <w:tcW w:w="2173" w:type="dxa"/>
            <w:shd w:val="clear" w:color="auto" w:fill="auto"/>
          </w:tcPr>
          <w:p w14:paraId="66888C15" w14:textId="77777777" w:rsidR="00907C81" w:rsidRPr="00B54567" w:rsidRDefault="00907C81" w:rsidP="00874B2D">
            <w:pPr>
              <w:jc w:val="both"/>
              <w:rPr>
                <w:rFonts w:eastAsia="Calibri"/>
                <w:sz w:val="16"/>
                <w:szCs w:val="16"/>
                <w:lang w:val="es-CO"/>
              </w:rPr>
            </w:pPr>
            <w:r w:rsidRPr="00B54567">
              <w:rPr>
                <w:rFonts w:eastAsia="Calibri"/>
                <w:sz w:val="16"/>
                <w:szCs w:val="16"/>
                <w:lang w:val="es-CO"/>
              </w:rPr>
              <w:lastRenderedPageBreak/>
              <w:t>Adquisición de bienes y servicios</w:t>
            </w:r>
          </w:p>
        </w:tc>
        <w:tc>
          <w:tcPr>
            <w:tcW w:w="1106" w:type="dxa"/>
            <w:shd w:val="clear" w:color="auto" w:fill="auto"/>
          </w:tcPr>
          <w:p w14:paraId="1F7300EF" w14:textId="77777777" w:rsidR="00907C81" w:rsidRPr="00B54567" w:rsidRDefault="00907C81" w:rsidP="00874B2D">
            <w:pPr>
              <w:jc w:val="right"/>
              <w:rPr>
                <w:rFonts w:eastAsia="Calibri"/>
                <w:sz w:val="16"/>
                <w:szCs w:val="16"/>
                <w:lang w:val="es-CO"/>
              </w:rPr>
            </w:pPr>
            <w:r>
              <w:rPr>
                <w:rFonts w:eastAsia="Calibri"/>
                <w:sz w:val="16"/>
                <w:szCs w:val="16"/>
                <w:lang w:val="es-CO"/>
              </w:rPr>
              <w:t>9.764.061</w:t>
            </w:r>
          </w:p>
        </w:tc>
        <w:tc>
          <w:tcPr>
            <w:tcW w:w="1507" w:type="dxa"/>
            <w:shd w:val="clear" w:color="auto" w:fill="auto"/>
          </w:tcPr>
          <w:p w14:paraId="19F79B9B" w14:textId="77777777" w:rsidR="00907C81" w:rsidRPr="00B54567" w:rsidRDefault="00907C81" w:rsidP="00874B2D">
            <w:pPr>
              <w:jc w:val="right"/>
              <w:rPr>
                <w:rFonts w:eastAsia="Calibri"/>
                <w:sz w:val="16"/>
                <w:szCs w:val="16"/>
                <w:lang w:val="es-CO"/>
              </w:rPr>
            </w:pPr>
            <w:r>
              <w:rPr>
                <w:rFonts w:eastAsia="Calibri"/>
                <w:sz w:val="16"/>
                <w:szCs w:val="16"/>
                <w:lang w:val="es-CO"/>
              </w:rPr>
              <w:t>9.310.955</w:t>
            </w:r>
          </w:p>
        </w:tc>
        <w:tc>
          <w:tcPr>
            <w:tcW w:w="1357" w:type="dxa"/>
            <w:shd w:val="clear" w:color="auto" w:fill="auto"/>
          </w:tcPr>
          <w:p w14:paraId="4B19476C" w14:textId="77777777" w:rsidR="00907C81" w:rsidRPr="00B54567" w:rsidRDefault="00907C81" w:rsidP="00874B2D">
            <w:pPr>
              <w:jc w:val="right"/>
              <w:rPr>
                <w:rFonts w:eastAsia="Calibri"/>
                <w:sz w:val="16"/>
                <w:szCs w:val="16"/>
                <w:lang w:val="es-CO"/>
              </w:rPr>
            </w:pPr>
            <w:r>
              <w:rPr>
                <w:rFonts w:eastAsia="Calibri"/>
                <w:sz w:val="16"/>
                <w:szCs w:val="16"/>
                <w:lang w:val="es-CO"/>
              </w:rPr>
              <w:t>9.303.684</w:t>
            </w:r>
          </w:p>
        </w:tc>
        <w:tc>
          <w:tcPr>
            <w:tcW w:w="1040" w:type="dxa"/>
            <w:shd w:val="clear" w:color="auto" w:fill="auto"/>
          </w:tcPr>
          <w:p w14:paraId="23D5EA54" w14:textId="77777777" w:rsidR="00907C81" w:rsidRPr="00B54567" w:rsidRDefault="00907C81" w:rsidP="00874B2D">
            <w:pPr>
              <w:jc w:val="right"/>
              <w:rPr>
                <w:rFonts w:eastAsia="Calibri"/>
                <w:sz w:val="16"/>
                <w:szCs w:val="16"/>
                <w:lang w:val="es-CO"/>
              </w:rPr>
            </w:pPr>
            <w:r>
              <w:rPr>
                <w:rFonts w:eastAsia="Calibri"/>
                <w:sz w:val="16"/>
                <w:szCs w:val="16"/>
                <w:lang w:val="es-CO"/>
              </w:rPr>
              <w:t>8.039.769</w:t>
            </w:r>
          </w:p>
        </w:tc>
        <w:tc>
          <w:tcPr>
            <w:tcW w:w="1045" w:type="dxa"/>
            <w:shd w:val="clear" w:color="auto" w:fill="auto"/>
          </w:tcPr>
          <w:p w14:paraId="608B682A" w14:textId="77777777" w:rsidR="00907C81" w:rsidRPr="00B54567" w:rsidRDefault="00907C81" w:rsidP="00874B2D">
            <w:pPr>
              <w:jc w:val="center"/>
              <w:rPr>
                <w:rFonts w:eastAsia="Calibri"/>
                <w:sz w:val="16"/>
                <w:szCs w:val="16"/>
                <w:lang w:val="es-CO"/>
              </w:rPr>
            </w:pPr>
            <w:r>
              <w:rPr>
                <w:rFonts w:eastAsia="Calibri"/>
                <w:sz w:val="16"/>
                <w:szCs w:val="16"/>
                <w:lang w:val="es-CO"/>
              </w:rPr>
              <w:t>95%</w:t>
            </w:r>
          </w:p>
        </w:tc>
        <w:tc>
          <w:tcPr>
            <w:tcW w:w="1002" w:type="dxa"/>
            <w:shd w:val="clear" w:color="auto" w:fill="auto"/>
          </w:tcPr>
          <w:p w14:paraId="5F27F051" w14:textId="77777777" w:rsidR="00907C81" w:rsidRPr="00B54567" w:rsidRDefault="00907C81" w:rsidP="00874B2D">
            <w:pPr>
              <w:jc w:val="center"/>
              <w:rPr>
                <w:rFonts w:eastAsia="Calibri"/>
                <w:sz w:val="16"/>
                <w:szCs w:val="16"/>
                <w:lang w:val="es-CO"/>
              </w:rPr>
            </w:pPr>
            <w:r>
              <w:rPr>
                <w:rFonts w:eastAsia="Calibri"/>
                <w:sz w:val="16"/>
                <w:szCs w:val="16"/>
                <w:lang w:val="es-CO"/>
              </w:rPr>
              <w:t>95%</w:t>
            </w:r>
          </w:p>
        </w:tc>
        <w:tc>
          <w:tcPr>
            <w:tcW w:w="835" w:type="dxa"/>
            <w:shd w:val="clear" w:color="auto" w:fill="auto"/>
          </w:tcPr>
          <w:p w14:paraId="1A3B4432" w14:textId="77777777" w:rsidR="00907C81" w:rsidRPr="00B54567" w:rsidRDefault="00907C81" w:rsidP="00874B2D">
            <w:pPr>
              <w:jc w:val="center"/>
              <w:rPr>
                <w:rFonts w:eastAsia="Calibri"/>
                <w:sz w:val="16"/>
                <w:szCs w:val="16"/>
                <w:lang w:val="es-CO"/>
              </w:rPr>
            </w:pPr>
            <w:r>
              <w:rPr>
                <w:rFonts w:eastAsia="Calibri"/>
                <w:sz w:val="16"/>
                <w:szCs w:val="16"/>
                <w:lang w:val="es-CO"/>
              </w:rPr>
              <w:t>82%</w:t>
            </w:r>
          </w:p>
        </w:tc>
      </w:tr>
      <w:tr w:rsidR="00907C81" w:rsidRPr="00B54567" w14:paraId="74514FE5" w14:textId="77777777" w:rsidTr="00DC75AC">
        <w:tc>
          <w:tcPr>
            <w:tcW w:w="2173" w:type="dxa"/>
            <w:shd w:val="clear" w:color="auto" w:fill="auto"/>
          </w:tcPr>
          <w:p w14:paraId="089CDDD0" w14:textId="77777777" w:rsidR="00907C81" w:rsidRPr="00B54567" w:rsidRDefault="00907C81" w:rsidP="00874B2D">
            <w:pPr>
              <w:jc w:val="both"/>
              <w:rPr>
                <w:rFonts w:eastAsia="Calibri"/>
                <w:sz w:val="16"/>
                <w:szCs w:val="16"/>
                <w:lang w:val="es-CO"/>
              </w:rPr>
            </w:pPr>
            <w:r w:rsidRPr="00B54567">
              <w:rPr>
                <w:rFonts w:eastAsia="Calibri"/>
                <w:sz w:val="16"/>
                <w:szCs w:val="16"/>
                <w:lang w:val="es-CO"/>
              </w:rPr>
              <w:t>Transferencias</w:t>
            </w:r>
          </w:p>
        </w:tc>
        <w:tc>
          <w:tcPr>
            <w:tcW w:w="1106" w:type="dxa"/>
            <w:shd w:val="clear" w:color="auto" w:fill="auto"/>
          </w:tcPr>
          <w:p w14:paraId="04F61C0E" w14:textId="77777777" w:rsidR="00907C81" w:rsidRPr="00B54567" w:rsidRDefault="00907C81" w:rsidP="00874B2D">
            <w:pPr>
              <w:jc w:val="right"/>
              <w:rPr>
                <w:rFonts w:eastAsia="Calibri"/>
                <w:sz w:val="16"/>
                <w:szCs w:val="16"/>
                <w:lang w:val="es-CO"/>
              </w:rPr>
            </w:pPr>
            <w:r>
              <w:rPr>
                <w:rFonts w:eastAsia="Calibri"/>
                <w:sz w:val="16"/>
                <w:szCs w:val="16"/>
                <w:lang w:val="es-CO"/>
              </w:rPr>
              <w:t>129.911</w:t>
            </w:r>
          </w:p>
        </w:tc>
        <w:tc>
          <w:tcPr>
            <w:tcW w:w="1507" w:type="dxa"/>
            <w:shd w:val="clear" w:color="auto" w:fill="auto"/>
          </w:tcPr>
          <w:p w14:paraId="709EEDFF" w14:textId="77777777" w:rsidR="00907C81" w:rsidRPr="00B54567" w:rsidRDefault="00907C81" w:rsidP="00874B2D">
            <w:pPr>
              <w:jc w:val="right"/>
              <w:rPr>
                <w:rFonts w:eastAsia="Calibri"/>
                <w:sz w:val="16"/>
                <w:szCs w:val="16"/>
                <w:lang w:val="es-CO"/>
              </w:rPr>
            </w:pPr>
            <w:r>
              <w:rPr>
                <w:rFonts w:eastAsia="Calibri"/>
                <w:sz w:val="16"/>
                <w:szCs w:val="16"/>
                <w:lang w:val="es-CO"/>
              </w:rPr>
              <w:t>62.639</w:t>
            </w:r>
          </w:p>
        </w:tc>
        <w:tc>
          <w:tcPr>
            <w:tcW w:w="1357" w:type="dxa"/>
            <w:shd w:val="clear" w:color="auto" w:fill="auto"/>
          </w:tcPr>
          <w:p w14:paraId="1C1D3039" w14:textId="77777777" w:rsidR="00907C81" w:rsidRPr="00B54567" w:rsidRDefault="00907C81" w:rsidP="00874B2D">
            <w:pPr>
              <w:jc w:val="right"/>
              <w:rPr>
                <w:rFonts w:eastAsia="Calibri"/>
                <w:sz w:val="16"/>
                <w:szCs w:val="16"/>
                <w:lang w:val="es-CO"/>
              </w:rPr>
            </w:pPr>
            <w:r>
              <w:rPr>
                <w:rFonts w:eastAsia="Calibri"/>
                <w:sz w:val="16"/>
                <w:szCs w:val="16"/>
                <w:lang w:val="es-CO"/>
              </w:rPr>
              <w:t>13.516</w:t>
            </w:r>
          </w:p>
        </w:tc>
        <w:tc>
          <w:tcPr>
            <w:tcW w:w="1040" w:type="dxa"/>
            <w:shd w:val="clear" w:color="auto" w:fill="auto"/>
          </w:tcPr>
          <w:p w14:paraId="26CFB36E" w14:textId="77777777" w:rsidR="00907C81" w:rsidRPr="00B54567" w:rsidRDefault="00907C81" w:rsidP="00874B2D">
            <w:pPr>
              <w:jc w:val="right"/>
              <w:rPr>
                <w:rFonts w:eastAsia="Calibri"/>
                <w:sz w:val="16"/>
                <w:szCs w:val="16"/>
                <w:lang w:val="es-CO"/>
              </w:rPr>
            </w:pPr>
            <w:r>
              <w:rPr>
                <w:rFonts w:eastAsia="Calibri"/>
                <w:sz w:val="16"/>
                <w:szCs w:val="16"/>
                <w:lang w:val="es-CO"/>
              </w:rPr>
              <w:t>13.516</w:t>
            </w:r>
          </w:p>
        </w:tc>
        <w:tc>
          <w:tcPr>
            <w:tcW w:w="1045" w:type="dxa"/>
            <w:shd w:val="clear" w:color="auto" w:fill="auto"/>
          </w:tcPr>
          <w:p w14:paraId="092349B2" w14:textId="77777777" w:rsidR="00907C81" w:rsidRPr="00B54567" w:rsidRDefault="00907C81" w:rsidP="00874B2D">
            <w:pPr>
              <w:jc w:val="center"/>
              <w:rPr>
                <w:rFonts w:eastAsia="Calibri"/>
                <w:sz w:val="16"/>
                <w:szCs w:val="16"/>
                <w:lang w:val="es-CO"/>
              </w:rPr>
            </w:pPr>
            <w:r>
              <w:rPr>
                <w:rFonts w:eastAsia="Calibri"/>
                <w:sz w:val="16"/>
                <w:szCs w:val="16"/>
                <w:lang w:val="es-CO"/>
              </w:rPr>
              <w:t>48%</w:t>
            </w:r>
          </w:p>
        </w:tc>
        <w:tc>
          <w:tcPr>
            <w:tcW w:w="1002" w:type="dxa"/>
            <w:shd w:val="clear" w:color="auto" w:fill="auto"/>
          </w:tcPr>
          <w:p w14:paraId="29CEF720" w14:textId="77777777" w:rsidR="00907C81" w:rsidRPr="00B54567" w:rsidRDefault="00907C81" w:rsidP="00874B2D">
            <w:pPr>
              <w:jc w:val="center"/>
              <w:rPr>
                <w:rFonts w:eastAsia="Calibri"/>
                <w:sz w:val="16"/>
                <w:szCs w:val="16"/>
                <w:lang w:val="es-CO"/>
              </w:rPr>
            </w:pPr>
            <w:r>
              <w:rPr>
                <w:rFonts w:eastAsia="Calibri"/>
                <w:sz w:val="16"/>
                <w:szCs w:val="16"/>
                <w:lang w:val="es-CO"/>
              </w:rPr>
              <w:t>10%</w:t>
            </w:r>
          </w:p>
        </w:tc>
        <w:tc>
          <w:tcPr>
            <w:tcW w:w="835" w:type="dxa"/>
            <w:shd w:val="clear" w:color="auto" w:fill="auto"/>
          </w:tcPr>
          <w:p w14:paraId="03EB48B7" w14:textId="77777777" w:rsidR="00907C81" w:rsidRPr="00B54567" w:rsidRDefault="00907C81" w:rsidP="00874B2D">
            <w:pPr>
              <w:jc w:val="center"/>
              <w:rPr>
                <w:rFonts w:eastAsia="Calibri"/>
                <w:sz w:val="16"/>
                <w:szCs w:val="16"/>
                <w:lang w:val="es-CO"/>
              </w:rPr>
            </w:pPr>
            <w:r>
              <w:rPr>
                <w:rFonts w:eastAsia="Calibri"/>
                <w:sz w:val="16"/>
                <w:szCs w:val="16"/>
                <w:lang w:val="es-CO"/>
              </w:rPr>
              <w:t>10%</w:t>
            </w:r>
          </w:p>
        </w:tc>
      </w:tr>
      <w:tr w:rsidR="00907C81" w:rsidRPr="00B54567" w14:paraId="3B59D287" w14:textId="77777777" w:rsidTr="00DC75AC">
        <w:trPr>
          <w:trHeight w:val="355"/>
        </w:trPr>
        <w:tc>
          <w:tcPr>
            <w:tcW w:w="2173" w:type="dxa"/>
            <w:shd w:val="clear" w:color="auto" w:fill="auto"/>
          </w:tcPr>
          <w:p w14:paraId="6E7305F7" w14:textId="77777777" w:rsidR="00907C81" w:rsidRPr="00B54567" w:rsidRDefault="00907C81"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106" w:type="dxa"/>
            <w:shd w:val="clear" w:color="auto" w:fill="auto"/>
          </w:tcPr>
          <w:p w14:paraId="4DB8C5A6" w14:textId="77777777" w:rsidR="00907C81" w:rsidRDefault="00907C81" w:rsidP="00874B2D">
            <w:pPr>
              <w:jc w:val="right"/>
              <w:rPr>
                <w:rFonts w:eastAsia="Calibri"/>
                <w:sz w:val="16"/>
                <w:szCs w:val="16"/>
                <w:lang w:val="es-CO"/>
              </w:rPr>
            </w:pPr>
          </w:p>
          <w:p w14:paraId="448340F4" w14:textId="77777777" w:rsidR="00907C81" w:rsidRPr="00B54567" w:rsidRDefault="00907C81" w:rsidP="00874B2D">
            <w:pPr>
              <w:jc w:val="right"/>
              <w:rPr>
                <w:rFonts w:eastAsia="Calibri"/>
                <w:sz w:val="16"/>
                <w:szCs w:val="16"/>
                <w:lang w:val="es-CO"/>
              </w:rPr>
            </w:pPr>
            <w:r>
              <w:rPr>
                <w:rFonts w:eastAsia="Calibri"/>
                <w:sz w:val="16"/>
                <w:szCs w:val="16"/>
                <w:lang w:val="es-CO"/>
              </w:rPr>
              <w:t>5.501.832</w:t>
            </w:r>
          </w:p>
        </w:tc>
        <w:tc>
          <w:tcPr>
            <w:tcW w:w="1507" w:type="dxa"/>
            <w:shd w:val="clear" w:color="auto" w:fill="auto"/>
          </w:tcPr>
          <w:p w14:paraId="7A5FADB3" w14:textId="77777777" w:rsidR="00907C81" w:rsidRDefault="00907C81" w:rsidP="00874B2D">
            <w:pPr>
              <w:jc w:val="right"/>
              <w:rPr>
                <w:rFonts w:eastAsia="Calibri"/>
                <w:sz w:val="16"/>
                <w:szCs w:val="16"/>
                <w:lang w:val="es-CO"/>
              </w:rPr>
            </w:pPr>
          </w:p>
          <w:p w14:paraId="43979CCB" w14:textId="77777777" w:rsidR="00907C81" w:rsidRPr="00B54567" w:rsidRDefault="00907C81" w:rsidP="00874B2D">
            <w:pPr>
              <w:jc w:val="right"/>
              <w:rPr>
                <w:rFonts w:eastAsia="Calibri"/>
                <w:sz w:val="16"/>
                <w:szCs w:val="16"/>
                <w:lang w:val="es-CO"/>
              </w:rPr>
            </w:pPr>
            <w:r>
              <w:rPr>
                <w:rFonts w:eastAsia="Calibri"/>
                <w:sz w:val="16"/>
                <w:szCs w:val="16"/>
                <w:lang w:val="es-CO"/>
              </w:rPr>
              <w:t>365.918</w:t>
            </w:r>
          </w:p>
        </w:tc>
        <w:tc>
          <w:tcPr>
            <w:tcW w:w="1357" w:type="dxa"/>
            <w:shd w:val="clear" w:color="auto" w:fill="auto"/>
          </w:tcPr>
          <w:p w14:paraId="2A66FFD3" w14:textId="77777777" w:rsidR="00907C81" w:rsidRDefault="00907C81" w:rsidP="00874B2D">
            <w:pPr>
              <w:jc w:val="right"/>
              <w:rPr>
                <w:rFonts w:eastAsia="Calibri"/>
                <w:sz w:val="16"/>
                <w:szCs w:val="16"/>
                <w:lang w:val="es-CO"/>
              </w:rPr>
            </w:pPr>
          </w:p>
          <w:p w14:paraId="4C710097" w14:textId="77777777" w:rsidR="00907C81" w:rsidRPr="00B54567" w:rsidRDefault="00907C81" w:rsidP="00874B2D">
            <w:pPr>
              <w:jc w:val="right"/>
              <w:rPr>
                <w:rFonts w:eastAsia="Calibri"/>
                <w:sz w:val="16"/>
                <w:szCs w:val="16"/>
                <w:lang w:val="es-CO"/>
              </w:rPr>
            </w:pPr>
            <w:r>
              <w:rPr>
                <w:rFonts w:eastAsia="Calibri"/>
                <w:sz w:val="16"/>
                <w:szCs w:val="16"/>
                <w:lang w:val="es-CO"/>
              </w:rPr>
              <w:t>365.918</w:t>
            </w:r>
          </w:p>
        </w:tc>
        <w:tc>
          <w:tcPr>
            <w:tcW w:w="1040" w:type="dxa"/>
            <w:shd w:val="clear" w:color="auto" w:fill="auto"/>
          </w:tcPr>
          <w:p w14:paraId="263090E0" w14:textId="77777777" w:rsidR="00907C81" w:rsidRDefault="00907C81" w:rsidP="00874B2D">
            <w:pPr>
              <w:jc w:val="right"/>
              <w:rPr>
                <w:rFonts w:eastAsia="Calibri"/>
                <w:sz w:val="16"/>
                <w:szCs w:val="16"/>
                <w:lang w:val="es-CO"/>
              </w:rPr>
            </w:pPr>
          </w:p>
          <w:p w14:paraId="3032AA0F" w14:textId="77777777" w:rsidR="00907C81" w:rsidRPr="00B54567" w:rsidRDefault="00907C81" w:rsidP="00874B2D">
            <w:pPr>
              <w:jc w:val="right"/>
              <w:rPr>
                <w:rFonts w:eastAsia="Calibri"/>
                <w:sz w:val="16"/>
                <w:szCs w:val="16"/>
                <w:lang w:val="es-CO"/>
              </w:rPr>
            </w:pPr>
            <w:r>
              <w:rPr>
                <w:rFonts w:eastAsia="Calibri"/>
                <w:sz w:val="16"/>
                <w:szCs w:val="16"/>
                <w:lang w:val="es-CO"/>
              </w:rPr>
              <w:t>365.918</w:t>
            </w:r>
          </w:p>
        </w:tc>
        <w:tc>
          <w:tcPr>
            <w:tcW w:w="1045" w:type="dxa"/>
            <w:shd w:val="clear" w:color="auto" w:fill="auto"/>
          </w:tcPr>
          <w:p w14:paraId="22B2BC45" w14:textId="77777777" w:rsidR="00907C81" w:rsidRDefault="00907C81" w:rsidP="00874B2D">
            <w:pPr>
              <w:jc w:val="center"/>
              <w:rPr>
                <w:rFonts w:eastAsia="Calibri"/>
                <w:sz w:val="16"/>
                <w:szCs w:val="16"/>
                <w:lang w:val="es-CO"/>
              </w:rPr>
            </w:pPr>
          </w:p>
          <w:p w14:paraId="3DED6D19" w14:textId="77777777" w:rsidR="00907C81" w:rsidRPr="00B54567" w:rsidRDefault="00907C81" w:rsidP="00874B2D">
            <w:pPr>
              <w:jc w:val="center"/>
              <w:rPr>
                <w:rFonts w:eastAsia="Calibri"/>
                <w:sz w:val="16"/>
                <w:szCs w:val="16"/>
                <w:lang w:val="es-CO"/>
              </w:rPr>
            </w:pPr>
            <w:r>
              <w:rPr>
                <w:rFonts w:eastAsia="Calibri"/>
                <w:sz w:val="16"/>
                <w:szCs w:val="16"/>
                <w:lang w:val="es-CO"/>
              </w:rPr>
              <w:t>7%</w:t>
            </w:r>
          </w:p>
        </w:tc>
        <w:tc>
          <w:tcPr>
            <w:tcW w:w="1002" w:type="dxa"/>
            <w:shd w:val="clear" w:color="auto" w:fill="auto"/>
          </w:tcPr>
          <w:p w14:paraId="587F1D3D" w14:textId="77777777" w:rsidR="00907C81" w:rsidRDefault="00907C81" w:rsidP="00874B2D">
            <w:pPr>
              <w:jc w:val="center"/>
              <w:rPr>
                <w:rFonts w:eastAsia="Calibri"/>
                <w:sz w:val="16"/>
                <w:szCs w:val="16"/>
                <w:lang w:val="es-CO"/>
              </w:rPr>
            </w:pPr>
          </w:p>
          <w:p w14:paraId="1F91A01A" w14:textId="77777777" w:rsidR="00907C81" w:rsidRPr="00B54567" w:rsidRDefault="00907C81" w:rsidP="00874B2D">
            <w:pPr>
              <w:jc w:val="center"/>
              <w:rPr>
                <w:rFonts w:eastAsia="Calibri"/>
                <w:sz w:val="16"/>
                <w:szCs w:val="16"/>
                <w:lang w:val="es-CO"/>
              </w:rPr>
            </w:pPr>
            <w:r>
              <w:rPr>
                <w:rFonts w:eastAsia="Calibri"/>
                <w:sz w:val="16"/>
                <w:szCs w:val="16"/>
                <w:lang w:val="es-CO"/>
              </w:rPr>
              <w:t>7%</w:t>
            </w:r>
          </w:p>
        </w:tc>
        <w:tc>
          <w:tcPr>
            <w:tcW w:w="835" w:type="dxa"/>
            <w:shd w:val="clear" w:color="auto" w:fill="auto"/>
          </w:tcPr>
          <w:p w14:paraId="30B7D159" w14:textId="77777777" w:rsidR="00907C81" w:rsidRDefault="00907C81" w:rsidP="00874B2D">
            <w:pPr>
              <w:jc w:val="center"/>
              <w:rPr>
                <w:rFonts w:eastAsia="Calibri"/>
                <w:sz w:val="16"/>
                <w:szCs w:val="16"/>
                <w:lang w:val="es-CO"/>
              </w:rPr>
            </w:pPr>
          </w:p>
          <w:p w14:paraId="16E71D40" w14:textId="77777777" w:rsidR="00907C81" w:rsidRPr="00B54567" w:rsidRDefault="00907C81" w:rsidP="00874B2D">
            <w:pPr>
              <w:jc w:val="center"/>
              <w:rPr>
                <w:rFonts w:eastAsia="Calibri"/>
                <w:sz w:val="16"/>
                <w:szCs w:val="16"/>
                <w:lang w:val="es-CO"/>
              </w:rPr>
            </w:pPr>
            <w:r>
              <w:rPr>
                <w:rFonts w:eastAsia="Calibri"/>
                <w:sz w:val="16"/>
                <w:szCs w:val="16"/>
                <w:lang w:val="es-CO"/>
              </w:rPr>
              <w:t>7%</w:t>
            </w:r>
          </w:p>
        </w:tc>
      </w:tr>
      <w:tr w:rsidR="00907C81" w:rsidRPr="00B54567" w14:paraId="52F321C4" w14:textId="77777777" w:rsidTr="00DC75AC">
        <w:tc>
          <w:tcPr>
            <w:tcW w:w="2173" w:type="dxa"/>
            <w:shd w:val="clear" w:color="auto" w:fill="auto"/>
          </w:tcPr>
          <w:p w14:paraId="7FEE5A4F" w14:textId="77777777" w:rsidR="00907C81" w:rsidRPr="00B54567" w:rsidRDefault="00907C81" w:rsidP="00874B2D">
            <w:pPr>
              <w:rPr>
                <w:rFonts w:eastAsia="Calibri"/>
                <w:b/>
                <w:sz w:val="16"/>
                <w:szCs w:val="16"/>
                <w:lang w:val="es-CO"/>
              </w:rPr>
            </w:pPr>
            <w:r w:rsidRPr="00B54567">
              <w:rPr>
                <w:rFonts w:eastAsia="Calibri"/>
                <w:b/>
                <w:sz w:val="16"/>
                <w:szCs w:val="16"/>
                <w:lang w:val="es-CO"/>
              </w:rPr>
              <w:t>INVERSIÓN</w:t>
            </w:r>
          </w:p>
        </w:tc>
        <w:tc>
          <w:tcPr>
            <w:tcW w:w="1106" w:type="dxa"/>
            <w:shd w:val="clear" w:color="auto" w:fill="auto"/>
          </w:tcPr>
          <w:p w14:paraId="760B7DA9" w14:textId="77777777" w:rsidR="00907C81" w:rsidRPr="00872FEE" w:rsidRDefault="00907C81" w:rsidP="00874B2D">
            <w:pPr>
              <w:jc w:val="right"/>
              <w:rPr>
                <w:rFonts w:eastAsia="Calibri"/>
                <w:b/>
                <w:sz w:val="16"/>
                <w:szCs w:val="16"/>
                <w:lang w:val="es-CO"/>
              </w:rPr>
            </w:pPr>
            <w:r>
              <w:rPr>
                <w:rFonts w:eastAsia="Calibri"/>
                <w:b/>
                <w:sz w:val="16"/>
                <w:szCs w:val="16"/>
                <w:lang w:val="es-CO"/>
              </w:rPr>
              <w:t>148.648.237</w:t>
            </w:r>
          </w:p>
        </w:tc>
        <w:tc>
          <w:tcPr>
            <w:tcW w:w="1507" w:type="dxa"/>
            <w:shd w:val="clear" w:color="auto" w:fill="auto"/>
          </w:tcPr>
          <w:p w14:paraId="31E0AB11" w14:textId="77777777" w:rsidR="00907C81" w:rsidRPr="00872FEE" w:rsidRDefault="00907C81" w:rsidP="00874B2D">
            <w:pPr>
              <w:jc w:val="right"/>
              <w:rPr>
                <w:rFonts w:eastAsia="Calibri"/>
                <w:b/>
                <w:sz w:val="16"/>
                <w:szCs w:val="16"/>
                <w:lang w:val="es-CO"/>
              </w:rPr>
            </w:pPr>
            <w:r>
              <w:rPr>
                <w:rFonts w:eastAsia="Calibri"/>
                <w:b/>
                <w:sz w:val="16"/>
                <w:szCs w:val="16"/>
                <w:lang w:val="es-CO"/>
              </w:rPr>
              <w:t>148.648.237</w:t>
            </w:r>
          </w:p>
        </w:tc>
        <w:tc>
          <w:tcPr>
            <w:tcW w:w="1357" w:type="dxa"/>
            <w:shd w:val="clear" w:color="auto" w:fill="auto"/>
          </w:tcPr>
          <w:p w14:paraId="130F6998" w14:textId="77777777" w:rsidR="00907C81" w:rsidRPr="00872FEE" w:rsidRDefault="00907C81" w:rsidP="00874B2D">
            <w:pPr>
              <w:jc w:val="right"/>
              <w:rPr>
                <w:rFonts w:eastAsia="Calibri"/>
                <w:b/>
                <w:sz w:val="16"/>
                <w:szCs w:val="16"/>
                <w:lang w:val="es-CO"/>
              </w:rPr>
            </w:pPr>
            <w:r>
              <w:rPr>
                <w:rFonts w:eastAsia="Calibri"/>
                <w:b/>
                <w:sz w:val="16"/>
                <w:szCs w:val="16"/>
                <w:lang w:val="es-CO"/>
              </w:rPr>
              <w:t>20.332.105</w:t>
            </w:r>
          </w:p>
        </w:tc>
        <w:tc>
          <w:tcPr>
            <w:tcW w:w="1040" w:type="dxa"/>
            <w:shd w:val="clear" w:color="auto" w:fill="auto"/>
          </w:tcPr>
          <w:p w14:paraId="5152AB75" w14:textId="77777777" w:rsidR="00907C81" w:rsidRPr="00872FEE" w:rsidRDefault="00907C81" w:rsidP="00874B2D">
            <w:pPr>
              <w:jc w:val="right"/>
              <w:rPr>
                <w:rFonts w:eastAsia="Calibri"/>
                <w:b/>
                <w:sz w:val="16"/>
                <w:szCs w:val="16"/>
                <w:lang w:val="es-CO"/>
              </w:rPr>
            </w:pPr>
            <w:r>
              <w:rPr>
                <w:rFonts w:eastAsia="Calibri"/>
                <w:b/>
                <w:sz w:val="16"/>
                <w:szCs w:val="16"/>
                <w:lang w:val="es-CO"/>
              </w:rPr>
              <w:t>20.332.105</w:t>
            </w:r>
          </w:p>
        </w:tc>
        <w:tc>
          <w:tcPr>
            <w:tcW w:w="1045" w:type="dxa"/>
            <w:shd w:val="clear" w:color="auto" w:fill="auto"/>
          </w:tcPr>
          <w:p w14:paraId="6B888D08" w14:textId="77777777" w:rsidR="00907C81" w:rsidRPr="00872FEE" w:rsidRDefault="00907C81" w:rsidP="00874B2D">
            <w:pPr>
              <w:jc w:val="center"/>
              <w:rPr>
                <w:rFonts w:eastAsia="Calibri"/>
                <w:b/>
                <w:sz w:val="16"/>
                <w:szCs w:val="16"/>
                <w:lang w:val="es-CO"/>
              </w:rPr>
            </w:pPr>
            <w:r>
              <w:rPr>
                <w:rFonts w:eastAsia="Calibri"/>
                <w:b/>
                <w:sz w:val="16"/>
                <w:szCs w:val="16"/>
                <w:lang w:val="es-CO"/>
              </w:rPr>
              <w:t>100%</w:t>
            </w:r>
          </w:p>
        </w:tc>
        <w:tc>
          <w:tcPr>
            <w:tcW w:w="1002" w:type="dxa"/>
            <w:shd w:val="clear" w:color="auto" w:fill="auto"/>
          </w:tcPr>
          <w:p w14:paraId="70974A77" w14:textId="77777777" w:rsidR="00907C81" w:rsidRPr="00872FEE" w:rsidRDefault="00907C81" w:rsidP="00874B2D">
            <w:pPr>
              <w:jc w:val="center"/>
              <w:rPr>
                <w:rFonts w:eastAsia="Calibri"/>
                <w:b/>
                <w:sz w:val="16"/>
                <w:szCs w:val="16"/>
                <w:lang w:val="es-CO"/>
              </w:rPr>
            </w:pPr>
            <w:r>
              <w:rPr>
                <w:rFonts w:eastAsia="Calibri"/>
                <w:b/>
                <w:sz w:val="16"/>
                <w:szCs w:val="16"/>
                <w:lang w:val="es-CO"/>
              </w:rPr>
              <w:t>14%</w:t>
            </w:r>
          </w:p>
        </w:tc>
        <w:tc>
          <w:tcPr>
            <w:tcW w:w="835" w:type="dxa"/>
            <w:shd w:val="clear" w:color="auto" w:fill="auto"/>
          </w:tcPr>
          <w:p w14:paraId="77109A0F" w14:textId="77777777" w:rsidR="00907C81" w:rsidRPr="00872FEE" w:rsidRDefault="00907C81" w:rsidP="00874B2D">
            <w:pPr>
              <w:jc w:val="center"/>
              <w:rPr>
                <w:rFonts w:eastAsia="Calibri"/>
                <w:b/>
                <w:sz w:val="16"/>
                <w:szCs w:val="16"/>
                <w:lang w:val="es-CO"/>
              </w:rPr>
            </w:pPr>
            <w:r>
              <w:rPr>
                <w:rFonts w:eastAsia="Calibri"/>
                <w:b/>
                <w:sz w:val="16"/>
                <w:szCs w:val="16"/>
                <w:lang w:val="es-CO"/>
              </w:rPr>
              <w:t>14%</w:t>
            </w:r>
          </w:p>
        </w:tc>
      </w:tr>
      <w:tr w:rsidR="00907C81" w:rsidRPr="00B54567" w14:paraId="3FC9F907" w14:textId="77777777" w:rsidTr="00DC75AC">
        <w:tc>
          <w:tcPr>
            <w:tcW w:w="2173" w:type="dxa"/>
            <w:shd w:val="clear" w:color="auto" w:fill="auto"/>
          </w:tcPr>
          <w:p w14:paraId="546340D5" w14:textId="77777777" w:rsidR="00907C81" w:rsidRPr="00B54567" w:rsidRDefault="00907C81" w:rsidP="00874B2D">
            <w:pPr>
              <w:jc w:val="center"/>
              <w:rPr>
                <w:rFonts w:eastAsia="Calibri"/>
                <w:b/>
                <w:sz w:val="16"/>
                <w:szCs w:val="16"/>
                <w:lang w:val="es-CO"/>
              </w:rPr>
            </w:pPr>
            <w:r w:rsidRPr="00B54567">
              <w:rPr>
                <w:rFonts w:eastAsia="Calibri"/>
                <w:b/>
                <w:sz w:val="16"/>
                <w:szCs w:val="16"/>
                <w:lang w:val="es-CO"/>
              </w:rPr>
              <w:t>TOTAL PRESUPUESTO</w:t>
            </w:r>
          </w:p>
        </w:tc>
        <w:tc>
          <w:tcPr>
            <w:tcW w:w="1106" w:type="dxa"/>
            <w:shd w:val="clear" w:color="auto" w:fill="auto"/>
          </w:tcPr>
          <w:p w14:paraId="7EBB030B" w14:textId="77777777" w:rsidR="00907C81" w:rsidRPr="00872FEE" w:rsidRDefault="00907C81" w:rsidP="00874B2D">
            <w:pPr>
              <w:jc w:val="right"/>
              <w:rPr>
                <w:rFonts w:eastAsia="Calibri"/>
                <w:b/>
                <w:sz w:val="16"/>
                <w:szCs w:val="16"/>
                <w:lang w:val="es-CO"/>
              </w:rPr>
            </w:pPr>
            <w:r>
              <w:rPr>
                <w:rFonts w:eastAsia="Calibri"/>
                <w:b/>
                <w:sz w:val="16"/>
                <w:szCs w:val="16"/>
                <w:lang w:val="es-CO"/>
              </w:rPr>
              <w:t>186.052.692</w:t>
            </w:r>
          </w:p>
        </w:tc>
        <w:tc>
          <w:tcPr>
            <w:tcW w:w="1507" w:type="dxa"/>
            <w:shd w:val="clear" w:color="auto" w:fill="auto"/>
          </w:tcPr>
          <w:p w14:paraId="6770AAC4" w14:textId="77777777" w:rsidR="00907C81" w:rsidRPr="00872FEE" w:rsidRDefault="00907C81" w:rsidP="00874B2D">
            <w:pPr>
              <w:jc w:val="right"/>
              <w:rPr>
                <w:rFonts w:eastAsia="Calibri"/>
                <w:b/>
                <w:sz w:val="16"/>
                <w:szCs w:val="16"/>
                <w:lang w:val="es-CO"/>
              </w:rPr>
            </w:pPr>
            <w:r>
              <w:rPr>
                <w:rFonts w:eastAsia="Calibri"/>
                <w:b/>
                <w:sz w:val="16"/>
                <w:szCs w:val="16"/>
                <w:lang w:val="es-CO"/>
              </w:rPr>
              <w:t>175.522.619</w:t>
            </w:r>
          </w:p>
        </w:tc>
        <w:tc>
          <w:tcPr>
            <w:tcW w:w="1357" w:type="dxa"/>
            <w:shd w:val="clear" w:color="auto" w:fill="auto"/>
          </w:tcPr>
          <w:p w14:paraId="6853FF16" w14:textId="77777777" w:rsidR="00907C81" w:rsidRPr="00872FEE" w:rsidRDefault="00907C81" w:rsidP="00874B2D">
            <w:pPr>
              <w:jc w:val="right"/>
              <w:rPr>
                <w:rFonts w:eastAsia="Calibri"/>
                <w:b/>
                <w:sz w:val="16"/>
                <w:szCs w:val="16"/>
                <w:lang w:val="es-CO"/>
              </w:rPr>
            </w:pPr>
            <w:r>
              <w:rPr>
                <w:rFonts w:eastAsia="Calibri"/>
                <w:b/>
                <w:sz w:val="16"/>
                <w:szCs w:val="16"/>
                <w:lang w:val="es-CO"/>
              </w:rPr>
              <w:t>47.150.093</w:t>
            </w:r>
          </w:p>
        </w:tc>
        <w:tc>
          <w:tcPr>
            <w:tcW w:w="1040" w:type="dxa"/>
            <w:shd w:val="clear" w:color="auto" w:fill="auto"/>
          </w:tcPr>
          <w:p w14:paraId="796DDFAE" w14:textId="77777777" w:rsidR="00907C81" w:rsidRPr="00872FEE" w:rsidRDefault="00907C81" w:rsidP="00874B2D">
            <w:pPr>
              <w:jc w:val="right"/>
              <w:rPr>
                <w:rFonts w:eastAsia="Calibri"/>
                <w:b/>
                <w:sz w:val="16"/>
                <w:szCs w:val="16"/>
                <w:lang w:val="es-CO"/>
              </w:rPr>
            </w:pPr>
            <w:r>
              <w:rPr>
                <w:rFonts w:eastAsia="Calibri"/>
                <w:b/>
                <w:sz w:val="16"/>
                <w:szCs w:val="16"/>
                <w:lang w:val="es-CO"/>
              </w:rPr>
              <w:t>45.886.178</w:t>
            </w:r>
          </w:p>
        </w:tc>
        <w:tc>
          <w:tcPr>
            <w:tcW w:w="1045" w:type="dxa"/>
            <w:shd w:val="clear" w:color="auto" w:fill="auto"/>
          </w:tcPr>
          <w:p w14:paraId="072B1D9C" w14:textId="77777777" w:rsidR="00907C81" w:rsidRPr="00872FEE" w:rsidRDefault="00907C81" w:rsidP="00874B2D">
            <w:pPr>
              <w:jc w:val="center"/>
              <w:rPr>
                <w:rFonts w:eastAsia="Calibri"/>
                <w:b/>
                <w:sz w:val="16"/>
                <w:szCs w:val="16"/>
                <w:u w:val="single"/>
                <w:lang w:val="es-CO"/>
              </w:rPr>
            </w:pPr>
            <w:r>
              <w:rPr>
                <w:rFonts w:eastAsia="Calibri"/>
                <w:b/>
                <w:sz w:val="16"/>
                <w:szCs w:val="16"/>
                <w:u w:val="single"/>
                <w:lang w:val="es-CO"/>
              </w:rPr>
              <w:t>94</w:t>
            </w:r>
            <w:r w:rsidRPr="00872FEE">
              <w:rPr>
                <w:rFonts w:eastAsia="Calibri"/>
                <w:b/>
                <w:sz w:val="16"/>
                <w:szCs w:val="16"/>
                <w:u w:val="single"/>
                <w:lang w:val="es-CO"/>
              </w:rPr>
              <w:t>%</w:t>
            </w:r>
          </w:p>
        </w:tc>
        <w:tc>
          <w:tcPr>
            <w:tcW w:w="1002" w:type="dxa"/>
            <w:shd w:val="clear" w:color="auto" w:fill="auto"/>
          </w:tcPr>
          <w:p w14:paraId="1C1BA5D8" w14:textId="77777777" w:rsidR="00907C81" w:rsidRPr="00872FEE" w:rsidRDefault="00907C81" w:rsidP="00874B2D">
            <w:pPr>
              <w:jc w:val="center"/>
              <w:rPr>
                <w:rFonts w:eastAsia="Calibri"/>
                <w:b/>
                <w:sz w:val="16"/>
                <w:szCs w:val="16"/>
                <w:u w:val="single"/>
                <w:lang w:val="es-CO"/>
              </w:rPr>
            </w:pPr>
            <w:r>
              <w:rPr>
                <w:rFonts w:eastAsia="Calibri"/>
                <w:b/>
                <w:sz w:val="16"/>
                <w:szCs w:val="16"/>
                <w:u w:val="single"/>
                <w:lang w:val="es-CO"/>
              </w:rPr>
              <w:t>25</w:t>
            </w:r>
            <w:r w:rsidRPr="00872FEE">
              <w:rPr>
                <w:rFonts w:eastAsia="Calibri"/>
                <w:b/>
                <w:sz w:val="16"/>
                <w:szCs w:val="16"/>
                <w:u w:val="single"/>
                <w:lang w:val="es-CO"/>
              </w:rPr>
              <w:t>%</w:t>
            </w:r>
          </w:p>
        </w:tc>
        <w:tc>
          <w:tcPr>
            <w:tcW w:w="835" w:type="dxa"/>
            <w:shd w:val="clear" w:color="auto" w:fill="auto"/>
          </w:tcPr>
          <w:p w14:paraId="6BB5FD79" w14:textId="77777777" w:rsidR="00907C81" w:rsidRPr="00872FEE" w:rsidRDefault="00907C81" w:rsidP="00874B2D">
            <w:pPr>
              <w:jc w:val="center"/>
              <w:rPr>
                <w:rFonts w:eastAsia="Calibri"/>
                <w:b/>
                <w:sz w:val="16"/>
                <w:szCs w:val="16"/>
                <w:u w:val="single"/>
                <w:lang w:val="es-CO"/>
              </w:rPr>
            </w:pPr>
            <w:r>
              <w:rPr>
                <w:rFonts w:eastAsia="Calibri"/>
                <w:b/>
                <w:sz w:val="16"/>
                <w:szCs w:val="16"/>
                <w:u w:val="single"/>
                <w:lang w:val="es-CO"/>
              </w:rPr>
              <w:t>25</w:t>
            </w:r>
            <w:r w:rsidRPr="00872FEE">
              <w:rPr>
                <w:rFonts w:eastAsia="Calibri"/>
                <w:b/>
                <w:sz w:val="16"/>
                <w:szCs w:val="16"/>
                <w:u w:val="single"/>
                <w:lang w:val="es-CO"/>
              </w:rPr>
              <w:t>%</w:t>
            </w:r>
          </w:p>
        </w:tc>
      </w:tr>
    </w:tbl>
    <w:p w14:paraId="426354F0" w14:textId="77777777" w:rsidR="00907C81" w:rsidRPr="00B54567" w:rsidRDefault="00907C81" w:rsidP="00907C81">
      <w:pPr>
        <w:pStyle w:val="Prrafodelista"/>
        <w:ind w:left="-142"/>
        <w:rPr>
          <w:b/>
          <w:sz w:val="24"/>
        </w:rPr>
      </w:pPr>
    </w:p>
    <w:p w14:paraId="77BE5B64" w14:textId="77777777" w:rsidR="00907C81" w:rsidRPr="00B54567" w:rsidRDefault="00907C81" w:rsidP="00907C81">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5CC51438" w14:textId="77777777" w:rsidR="00907C81" w:rsidRPr="00B54567" w:rsidRDefault="00907C81" w:rsidP="00907C81">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907C81" w:rsidRPr="00B54567" w14:paraId="0E6CF4D2" w14:textId="77777777" w:rsidTr="00DC75AC">
        <w:tc>
          <w:tcPr>
            <w:tcW w:w="4111" w:type="dxa"/>
          </w:tcPr>
          <w:p w14:paraId="0FA5A328" w14:textId="77777777" w:rsidR="00907C81" w:rsidRPr="00B54567" w:rsidRDefault="00907C81" w:rsidP="00874B2D">
            <w:pPr>
              <w:ind w:left="1169" w:right="-1440"/>
              <w:rPr>
                <w:b/>
                <w:sz w:val="18"/>
                <w:szCs w:val="18"/>
                <w:lang w:val="es-ES_tradnl"/>
              </w:rPr>
            </w:pPr>
            <w:r w:rsidRPr="00B54567">
              <w:rPr>
                <w:b/>
                <w:sz w:val="18"/>
                <w:szCs w:val="18"/>
                <w:lang w:val="es-ES_tradnl"/>
              </w:rPr>
              <w:t>TIPO DE GASTO</w:t>
            </w:r>
          </w:p>
        </w:tc>
        <w:tc>
          <w:tcPr>
            <w:tcW w:w="1843" w:type="dxa"/>
          </w:tcPr>
          <w:p w14:paraId="6070DDD7" w14:textId="77777777" w:rsidR="00907C81" w:rsidRPr="00B54567" w:rsidRDefault="00907C81" w:rsidP="00874B2D">
            <w:pPr>
              <w:jc w:val="center"/>
              <w:rPr>
                <w:b/>
                <w:sz w:val="18"/>
                <w:szCs w:val="18"/>
                <w:lang w:val="es-ES_tradnl"/>
              </w:rPr>
            </w:pPr>
            <w:r w:rsidRPr="00B54567">
              <w:rPr>
                <w:b/>
                <w:sz w:val="18"/>
                <w:szCs w:val="18"/>
                <w:lang w:val="es-ES_tradnl"/>
              </w:rPr>
              <w:t>APROPIACIÓN</w:t>
            </w:r>
          </w:p>
          <w:p w14:paraId="64FB76AB" w14:textId="77777777" w:rsidR="00907C81" w:rsidRPr="00B54567" w:rsidRDefault="00907C81" w:rsidP="00874B2D">
            <w:pPr>
              <w:jc w:val="center"/>
              <w:rPr>
                <w:b/>
                <w:sz w:val="18"/>
                <w:szCs w:val="18"/>
                <w:lang w:val="es-ES_tradnl"/>
              </w:rPr>
            </w:pPr>
            <w:r w:rsidRPr="00B54567">
              <w:rPr>
                <w:b/>
                <w:sz w:val="18"/>
                <w:szCs w:val="18"/>
                <w:lang w:val="es-ES_tradnl"/>
              </w:rPr>
              <w:t>DEFINITIVA</w:t>
            </w:r>
          </w:p>
          <w:p w14:paraId="1E0457BD" w14:textId="77777777" w:rsidR="00907C81" w:rsidRPr="00B54567" w:rsidRDefault="00907C81" w:rsidP="00874B2D">
            <w:pPr>
              <w:jc w:val="center"/>
              <w:rPr>
                <w:b/>
                <w:sz w:val="18"/>
                <w:szCs w:val="18"/>
                <w:lang w:val="es-ES_tradnl"/>
              </w:rPr>
            </w:pPr>
            <w:r w:rsidRPr="00B54567">
              <w:rPr>
                <w:b/>
                <w:sz w:val="18"/>
                <w:szCs w:val="18"/>
                <w:lang w:val="es-ES_tradnl"/>
              </w:rPr>
              <w:t>(1)</w:t>
            </w:r>
          </w:p>
          <w:p w14:paraId="27A6AA6E" w14:textId="77777777" w:rsidR="00907C81" w:rsidRPr="00B54567" w:rsidRDefault="00907C81" w:rsidP="00874B2D">
            <w:pPr>
              <w:jc w:val="center"/>
              <w:rPr>
                <w:b/>
                <w:sz w:val="18"/>
                <w:szCs w:val="18"/>
                <w:lang w:val="es-ES_tradnl"/>
              </w:rPr>
            </w:pPr>
          </w:p>
        </w:tc>
        <w:tc>
          <w:tcPr>
            <w:tcW w:w="1984" w:type="dxa"/>
          </w:tcPr>
          <w:p w14:paraId="3FE4FD5A" w14:textId="77777777" w:rsidR="00907C81" w:rsidRPr="00B54567" w:rsidRDefault="00907C81" w:rsidP="00874B2D">
            <w:pPr>
              <w:ind w:left="145" w:right="184"/>
              <w:jc w:val="center"/>
              <w:rPr>
                <w:b/>
                <w:sz w:val="18"/>
                <w:szCs w:val="18"/>
                <w:lang w:val="es-ES_tradnl"/>
              </w:rPr>
            </w:pPr>
            <w:r w:rsidRPr="00B54567">
              <w:rPr>
                <w:b/>
                <w:sz w:val="18"/>
                <w:szCs w:val="18"/>
                <w:lang w:val="es-ES_tradnl"/>
              </w:rPr>
              <w:t>EJECUCIÓN</w:t>
            </w:r>
          </w:p>
          <w:p w14:paraId="4ED832CC" w14:textId="77777777" w:rsidR="00907C81" w:rsidRPr="00B54567" w:rsidRDefault="00907C81" w:rsidP="00874B2D">
            <w:pPr>
              <w:ind w:right="34"/>
              <w:jc w:val="center"/>
              <w:rPr>
                <w:b/>
                <w:sz w:val="18"/>
                <w:szCs w:val="18"/>
                <w:lang w:val="es-ES_tradnl"/>
              </w:rPr>
            </w:pPr>
            <w:r w:rsidRPr="00B54567">
              <w:rPr>
                <w:b/>
                <w:sz w:val="18"/>
                <w:szCs w:val="18"/>
                <w:lang w:val="es-ES_tradnl"/>
              </w:rPr>
              <w:t>COMPROMISOS</w:t>
            </w:r>
          </w:p>
          <w:p w14:paraId="5721926D" w14:textId="77777777" w:rsidR="00907C81" w:rsidRPr="00B54567" w:rsidRDefault="00907C81" w:rsidP="00874B2D">
            <w:pPr>
              <w:ind w:right="34"/>
              <w:jc w:val="center"/>
              <w:rPr>
                <w:b/>
                <w:sz w:val="18"/>
                <w:szCs w:val="18"/>
                <w:lang w:val="es-ES_tradnl"/>
              </w:rPr>
            </w:pPr>
            <w:r w:rsidRPr="00B54567">
              <w:rPr>
                <w:b/>
                <w:sz w:val="18"/>
                <w:szCs w:val="18"/>
                <w:lang w:val="es-ES_tradnl"/>
              </w:rPr>
              <w:t>(2)</w:t>
            </w:r>
          </w:p>
        </w:tc>
        <w:tc>
          <w:tcPr>
            <w:tcW w:w="1985" w:type="dxa"/>
          </w:tcPr>
          <w:p w14:paraId="3DFB4307" w14:textId="77777777" w:rsidR="00907C81" w:rsidRPr="00B54567" w:rsidRDefault="00907C81" w:rsidP="00874B2D">
            <w:pPr>
              <w:ind w:left="25" w:right="34"/>
              <w:jc w:val="center"/>
              <w:rPr>
                <w:b/>
                <w:sz w:val="18"/>
                <w:szCs w:val="18"/>
                <w:lang w:val="es-ES_tradnl"/>
              </w:rPr>
            </w:pPr>
            <w:r w:rsidRPr="00B54567">
              <w:rPr>
                <w:b/>
                <w:sz w:val="18"/>
                <w:szCs w:val="18"/>
                <w:lang w:val="es-ES_tradnl"/>
              </w:rPr>
              <w:t>PÉRDIDAS DE</w:t>
            </w:r>
          </w:p>
          <w:p w14:paraId="6B473ECE" w14:textId="77777777" w:rsidR="00907C81" w:rsidRPr="00B54567" w:rsidRDefault="00907C81" w:rsidP="00874B2D">
            <w:pPr>
              <w:ind w:right="34"/>
              <w:jc w:val="center"/>
              <w:rPr>
                <w:b/>
                <w:sz w:val="18"/>
                <w:szCs w:val="18"/>
                <w:lang w:val="es-ES_tradnl"/>
              </w:rPr>
            </w:pPr>
            <w:r w:rsidRPr="00B54567">
              <w:rPr>
                <w:b/>
                <w:sz w:val="18"/>
                <w:szCs w:val="18"/>
                <w:lang w:val="es-ES_tradnl"/>
              </w:rPr>
              <w:t>APROPIACIÓN</w:t>
            </w:r>
          </w:p>
          <w:p w14:paraId="274147D1" w14:textId="77777777" w:rsidR="00907C81" w:rsidRPr="00B54567" w:rsidRDefault="00907C81" w:rsidP="00874B2D">
            <w:pPr>
              <w:ind w:right="34"/>
              <w:jc w:val="center"/>
              <w:rPr>
                <w:b/>
                <w:sz w:val="18"/>
                <w:szCs w:val="18"/>
                <w:lang w:val="es-ES_tradnl"/>
              </w:rPr>
            </w:pPr>
            <w:r w:rsidRPr="00B54567">
              <w:rPr>
                <w:b/>
                <w:sz w:val="18"/>
                <w:szCs w:val="18"/>
                <w:lang w:val="es-ES_tradnl"/>
              </w:rPr>
              <w:t>3 = (1-2)</w:t>
            </w:r>
          </w:p>
        </w:tc>
      </w:tr>
      <w:tr w:rsidR="00907C81" w:rsidRPr="00B54567" w14:paraId="60498CF7" w14:textId="77777777" w:rsidTr="00DC75AC">
        <w:tc>
          <w:tcPr>
            <w:tcW w:w="4111" w:type="dxa"/>
          </w:tcPr>
          <w:p w14:paraId="04F8D23E" w14:textId="77777777" w:rsidR="00907C81" w:rsidRPr="00B54567" w:rsidRDefault="00907C81" w:rsidP="00874B2D">
            <w:pPr>
              <w:ind w:right="-1440"/>
              <w:jc w:val="both"/>
              <w:rPr>
                <w:b/>
                <w:sz w:val="16"/>
                <w:szCs w:val="16"/>
                <w:lang w:val="es-ES_tradnl"/>
              </w:rPr>
            </w:pPr>
            <w:r w:rsidRPr="00B54567">
              <w:rPr>
                <w:b/>
                <w:sz w:val="16"/>
                <w:szCs w:val="16"/>
                <w:lang w:val="es-ES_tradnl"/>
              </w:rPr>
              <w:t>FUNCIONAMIENTO</w:t>
            </w:r>
          </w:p>
        </w:tc>
        <w:tc>
          <w:tcPr>
            <w:tcW w:w="1843" w:type="dxa"/>
          </w:tcPr>
          <w:p w14:paraId="58A63F9B" w14:textId="77777777" w:rsidR="00907C81" w:rsidRPr="00B54567" w:rsidRDefault="00907C81" w:rsidP="00874B2D">
            <w:pPr>
              <w:pStyle w:val="Prrafodelista"/>
              <w:ind w:left="0"/>
              <w:jc w:val="right"/>
              <w:rPr>
                <w:b/>
                <w:sz w:val="16"/>
                <w:szCs w:val="16"/>
              </w:rPr>
            </w:pPr>
            <w:r>
              <w:rPr>
                <w:rFonts w:eastAsia="Calibri"/>
                <w:b/>
                <w:sz w:val="16"/>
                <w:szCs w:val="16"/>
                <w:lang w:val="es-CO"/>
              </w:rPr>
              <w:t>37.404.455</w:t>
            </w:r>
          </w:p>
        </w:tc>
        <w:tc>
          <w:tcPr>
            <w:tcW w:w="1984" w:type="dxa"/>
          </w:tcPr>
          <w:p w14:paraId="7CE30827" w14:textId="77777777" w:rsidR="00907C81" w:rsidRPr="00B54567" w:rsidRDefault="00907C81" w:rsidP="00874B2D">
            <w:pPr>
              <w:pStyle w:val="Prrafodelista"/>
              <w:ind w:left="0"/>
              <w:jc w:val="right"/>
              <w:rPr>
                <w:b/>
                <w:sz w:val="16"/>
                <w:szCs w:val="16"/>
              </w:rPr>
            </w:pPr>
            <w:r>
              <w:rPr>
                <w:rFonts w:eastAsia="Calibri"/>
                <w:b/>
                <w:sz w:val="16"/>
                <w:szCs w:val="16"/>
                <w:lang w:val="es-CO"/>
              </w:rPr>
              <w:t>26.874.382</w:t>
            </w:r>
          </w:p>
        </w:tc>
        <w:tc>
          <w:tcPr>
            <w:tcW w:w="1985" w:type="dxa"/>
          </w:tcPr>
          <w:p w14:paraId="2CBCC11F" w14:textId="77777777" w:rsidR="00907C81" w:rsidRPr="00B54567" w:rsidRDefault="00907C81" w:rsidP="00874B2D">
            <w:pPr>
              <w:pStyle w:val="Prrafodelista"/>
              <w:ind w:left="0"/>
              <w:jc w:val="right"/>
              <w:rPr>
                <w:b/>
                <w:sz w:val="16"/>
                <w:szCs w:val="16"/>
              </w:rPr>
            </w:pPr>
            <w:r>
              <w:rPr>
                <w:b/>
                <w:sz w:val="16"/>
                <w:szCs w:val="16"/>
              </w:rPr>
              <w:t>10.530.073</w:t>
            </w:r>
          </w:p>
        </w:tc>
      </w:tr>
      <w:tr w:rsidR="00907C81" w:rsidRPr="00B54567" w14:paraId="24D79231" w14:textId="77777777" w:rsidTr="00DC75AC">
        <w:tc>
          <w:tcPr>
            <w:tcW w:w="4111" w:type="dxa"/>
          </w:tcPr>
          <w:p w14:paraId="00B1BD3F" w14:textId="77777777" w:rsidR="00907C81" w:rsidRPr="00B54567" w:rsidRDefault="00907C81" w:rsidP="00874B2D">
            <w:pPr>
              <w:ind w:right="-1440"/>
              <w:jc w:val="both"/>
              <w:rPr>
                <w:sz w:val="16"/>
                <w:szCs w:val="16"/>
                <w:lang w:val="es-ES_tradnl"/>
              </w:rPr>
            </w:pPr>
            <w:r w:rsidRPr="00B54567">
              <w:rPr>
                <w:sz w:val="16"/>
                <w:szCs w:val="16"/>
                <w:lang w:val="es-ES_tradnl"/>
              </w:rPr>
              <w:t>Gastos de personal</w:t>
            </w:r>
          </w:p>
        </w:tc>
        <w:tc>
          <w:tcPr>
            <w:tcW w:w="1843" w:type="dxa"/>
          </w:tcPr>
          <w:p w14:paraId="3DB5C160" w14:textId="77777777" w:rsidR="00907C81" w:rsidRPr="00B54567" w:rsidRDefault="00907C81" w:rsidP="00874B2D">
            <w:pPr>
              <w:pStyle w:val="Prrafodelista"/>
              <w:ind w:left="0"/>
              <w:jc w:val="right"/>
              <w:rPr>
                <w:sz w:val="16"/>
                <w:szCs w:val="16"/>
              </w:rPr>
            </w:pPr>
            <w:r>
              <w:rPr>
                <w:rFonts w:eastAsia="Calibri"/>
                <w:sz w:val="16"/>
                <w:szCs w:val="16"/>
                <w:lang w:val="es-CO"/>
              </w:rPr>
              <w:t>22.008.651</w:t>
            </w:r>
          </w:p>
        </w:tc>
        <w:tc>
          <w:tcPr>
            <w:tcW w:w="1984" w:type="dxa"/>
          </w:tcPr>
          <w:p w14:paraId="00C84F28" w14:textId="77777777" w:rsidR="00907C81" w:rsidRPr="00B54567" w:rsidRDefault="00907C81" w:rsidP="00874B2D">
            <w:pPr>
              <w:pStyle w:val="Prrafodelista"/>
              <w:ind w:left="0"/>
              <w:jc w:val="right"/>
              <w:rPr>
                <w:sz w:val="16"/>
                <w:szCs w:val="16"/>
              </w:rPr>
            </w:pPr>
            <w:r>
              <w:rPr>
                <w:rFonts w:eastAsia="Calibri"/>
                <w:sz w:val="16"/>
                <w:szCs w:val="16"/>
                <w:lang w:val="es-CO"/>
              </w:rPr>
              <w:t>17.134.870</w:t>
            </w:r>
          </w:p>
        </w:tc>
        <w:tc>
          <w:tcPr>
            <w:tcW w:w="1985" w:type="dxa"/>
          </w:tcPr>
          <w:p w14:paraId="1F9150DB" w14:textId="77777777" w:rsidR="00907C81" w:rsidRPr="00B54567" w:rsidRDefault="00907C81" w:rsidP="00874B2D">
            <w:pPr>
              <w:pStyle w:val="Prrafodelista"/>
              <w:ind w:left="0"/>
              <w:jc w:val="right"/>
              <w:rPr>
                <w:sz w:val="16"/>
                <w:szCs w:val="16"/>
              </w:rPr>
            </w:pPr>
            <w:r>
              <w:rPr>
                <w:sz w:val="16"/>
                <w:szCs w:val="16"/>
              </w:rPr>
              <w:t>4.873.781</w:t>
            </w:r>
          </w:p>
        </w:tc>
      </w:tr>
      <w:tr w:rsidR="00907C81" w:rsidRPr="00B54567" w14:paraId="3F313DBD" w14:textId="77777777" w:rsidTr="00DC75AC">
        <w:tc>
          <w:tcPr>
            <w:tcW w:w="4111" w:type="dxa"/>
          </w:tcPr>
          <w:p w14:paraId="7D101C5B" w14:textId="77777777" w:rsidR="00907C81" w:rsidRPr="00B54567" w:rsidRDefault="00907C81"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Pr>
          <w:p w14:paraId="6E1CBA3E" w14:textId="77777777" w:rsidR="00907C81" w:rsidRPr="00B54567" w:rsidRDefault="00907C81" w:rsidP="00874B2D">
            <w:pPr>
              <w:pStyle w:val="Prrafodelista"/>
              <w:ind w:left="0"/>
              <w:jc w:val="right"/>
              <w:rPr>
                <w:sz w:val="16"/>
                <w:szCs w:val="16"/>
              </w:rPr>
            </w:pPr>
            <w:r>
              <w:rPr>
                <w:rFonts w:eastAsia="Calibri"/>
                <w:sz w:val="16"/>
                <w:szCs w:val="16"/>
                <w:lang w:val="es-CO"/>
              </w:rPr>
              <w:t>9.764.061</w:t>
            </w:r>
          </w:p>
        </w:tc>
        <w:tc>
          <w:tcPr>
            <w:tcW w:w="1984" w:type="dxa"/>
          </w:tcPr>
          <w:p w14:paraId="5F21C366" w14:textId="77777777" w:rsidR="00907C81" w:rsidRPr="00B54567" w:rsidRDefault="00907C81" w:rsidP="00874B2D">
            <w:pPr>
              <w:pStyle w:val="Prrafodelista"/>
              <w:ind w:left="0"/>
              <w:jc w:val="right"/>
              <w:rPr>
                <w:sz w:val="16"/>
                <w:szCs w:val="16"/>
              </w:rPr>
            </w:pPr>
            <w:r>
              <w:rPr>
                <w:rFonts w:eastAsia="Calibri"/>
                <w:sz w:val="16"/>
                <w:szCs w:val="16"/>
                <w:lang w:val="es-CO"/>
              </w:rPr>
              <w:t>9.310.955</w:t>
            </w:r>
          </w:p>
        </w:tc>
        <w:tc>
          <w:tcPr>
            <w:tcW w:w="1985" w:type="dxa"/>
          </w:tcPr>
          <w:p w14:paraId="2D520908" w14:textId="77777777" w:rsidR="00907C81" w:rsidRPr="00B54567" w:rsidRDefault="00907C81" w:rsidP="00874B2D">
            <w:pPr>
              <w:pStyle w:val="Prrafodelista"/>
              <w:ind w:left="0"/>
              <w:jc w:val="right"/>
              <w:rPr>
                <w:sz w:val="16"/>
                <w:szCs w:val="16"/>
              </w:rPr>
            </w:pPr>
            <w:r>
              <w:rPr>
                <w:sz w:val="16"/>
                <w:szCs w:val="16"/>
              </w:rPr>
              <w:t>453.106</w:t>
            </w:r>
          </w:p>
        </w:tc>
      </w:tr>
      <w:tr w:rsidR="00907C81" w:rsidRPr="00B54567" w14:paraId="22371ED0" w14:textId="77777777" w:rsidTr="00DC75AC">
        <w:tc>
          <w:tcPr>
            <w:tcW w:w="4111" w:type="dxa"/>
          </w:tcPr>
          <w:p w14:paraId="5F1A6096" w14:textId="77777777" w:rsidR="00907C81" w:rsidRPr="00B54567" w:rsidRDefault="00907C81" w:rsidP="00874B2D">
            <w:pPr>
              <w:ind w:right="-1440"/>
              <w:jc w:val="both"/>
              <w:rPr>
                <w:sz w:val="16"/>
                <w:szCs w:val="16"/>
                <w:lang w:val="es-ES_tradnl"/>
              </w:rPr>
            </w:pPr>
            <w:r w:rsidRPr="00B54567">
              <w:rPr>
                <w:sz w:val="16"/>
                <w:szCs w:val="16"/>
                <w:lang w:val="es-ES_tradnl"/>
              </w:rPr>
              <w:t>Transferencias</w:t>
            </w:r>
          </w:p>
        </w:tc>
        <w:tc>
          <w:tcPr>
            <w:tcW w:w="1843" w:type="dxa"/>
          </w:tcPr>
          <w:p w14:paraId="11F84E09" w14:textId="77777777" w:rsidR="00907C81" w:rsidRPr="00B54567" w:rsidRDefault="00907C81" w:rsidP="00874B2D">
            <w:pPr>
              <w:pStyle w:val="Prrafodelista"/>
              <w:ind w:left="0"/>
              <w:jc w:val="right"/>
              <w:rPr>
                <w:sz w:val="16"/>
                <w:szCs w:val="16"/>
              </w:rPr>
            </w:pPr>
            <w:r>
              <w:rPr>
                <w:rFonts w:eastAsia="Calibri"/>
                <w:sz w:val="16"/>
                <w:szCs w:val="16"/>
                <w:lang w:val="es-CO"/>
              </w:rPr>
              <w:t>129.911</w:t>
            </w:r>
          </w:p>
        </w:tc>
        <w:tc>
          <w:tcPr>
            <w:tcW w:w="1984" w:type="dxa"/>
          </w:tcPr>
          <w:p w14:paraId="7DD66630" w14:textId="77777777" w:rsidR="00907C81" w:rsidRPr="00B54567" w:rsidRDefault="00907C81" w:rsidP="00874B2D">
            <w:pPr>
              <w:pStyle w:val="Prrafodelista"/>
              <w:ind w:left="0"/>
              <w:jc w:val="right"/>
              <w:rPr>
                <w:sz w:val="16"/>
                <w:szCs w:val="16"/>
              </w:rPr>
            </w:pPr>
            <w:r>
              <w:rPr>
                <w:rFonts w:eastAsia="Calibri"/>
                <w:sz w:val="16"/>
                <w:szCs w:val="16"/>
                <w:lang w:val="es-CO"/>
              </w:rPr>
              <w:t>62.639</w:t>
            </w:r>
          </w:p>
        </w:tc>
        <w:tc>
          <w:tcPr>
            <w:tcW w:w="1985" w:type="dxa"/>
          </w:tcPr>
          <w:p w14:paraId="251B451D" w14:textId="77777777" w:rsidR="00907C81" w:rsidRPr="00B54567" w:rsidRDefault="00907C81" w:rsidP="00874B2D">
            <w:pPr>
              <w:pStyle w:val="Prrafodelista"/>
              <w:ind w:left="0"/>
              <w:jc w:val="right"/>
              <w:rPr>
                <w:sz w:val="16"/>
                <w:szCs w:val="16"/>
              </w:rPr>
            </w:pPr>
            <w:r>
              <w:rPr>
                <w:sz w:val="16"/>
                <w:szCs w:val="16"/>
              </w:rPr>
              <w:t>67.272</w:t>
            </w:r>
          </w:p>
        </w:tc>
      </w:tr>
      <w:tr w:rsidR="00907C81" w:rsidRPr="00B54567" w14:paraId="323B66AA" w14:textId="77777777" w:rsidTr="00DC75AC">
        <w:tc>
          <w:tcPr>
            <w:tcW w:w="4111" w:type="dxa"/>
          </w:tcPr>
          <w:p w14:paraId="37A5CAA9" w14:textId="77777777" w:rsidR="00907C81" w:rsidRPr="00B54567" w:rsidRDefault="00907C81" w:rsidP="00874B2D">
            <w:pPr>
              <w:jc w:val="both"/>
              <w:rPr>
                <w:sz w:val="16"/>
                <w:szCs w:val="16"/>
                <w:lang w:val="es-ES_tradnl"/>
              </w:rPr>
            </w:pPr>
            <w:r w:rsidRPr="00B54567">
              <w:rPr>
                <w:rFonts w:eastAsia="Calibri"/>
                <w:sz w:val="16"/>
                <w:szCs w:val="16"/>
              </w:rPr>
              <w:t>Gastos por tributos, multas, sanciones e intereses de mora</w:t>
            </w:r>
          </w:p>
        </w:tc>
        <w:tc>
          <w:tcPr>
            <w:tcW w:w="1843" w:type="dxa"/>
          </w:tcPr>
          <w:p w14:paraId="6E5C789A" w14:textId="77777777" w:rsidR="00907C81" w:rsidRDefault="00907C81" w:rsidP="00874B2D">
            <w:pPr>
              <w:jc w:val="right"/>
              <w:rPr>
                <w:rFonts w:eastAsia="Calibri"/>
                <w:sz w:val="16"/>
                <w:szCs w:val="16"/>
                <w:lang w:val="es-CO"/>
              </w:rPr>
            </w:pPr>
          </w:p>
          <w:p w14:paraId="6C8BA986" w14:textId="77777777" w:rsidR="00907C81" w:rsidRPr="00B54567" w:rsidRDefault="00907C81" w:rsidP="00874B2D">
            <w:pPr>
              <w:pStyle w:val="Prrafodelista"/>
              <w:ind w:left="0"/>
              <w:jc w:val="right"/>
              <w:rPr>
                <w:sz w:val="16"/>
                <w:szCs w:val="16"/>
              </w:rPr>
            </w:pPr>
            <w:r>
              <w:rPr>
                <w:rFonts w:eastAsia="Calibri"/>
                <w:sz w:val="16"/>
                <w:szCs w:val="16"/>
                <w:lang w:val="es-CO"/>
              </w:rPr>
              <w:t>5.501.832</w:t>
            </w:r>
          </w:p>
        </w:tc>
        <w:tc>
          <w:tcPr>
            <w:tcW w:w="1984" w:type="dxa"/>
          </w:tcPr>
          <w:p w14:paraId="44F36401" w14:textId="77777777" w:rsidR="00907C81" w:rsidRDefault="00907C81" w:rsidP="00874B2D">
            <w:pPr>
              <w:jc w:val="right"/>
              <w:rPr>
                <w:rFonts w:eastAsia="Calibri"/>
                <w:sz w:val="16"/>
                <w:szCs w:val="16"/>
                <w:lang w:val="es-CO"/>
              </w:rPr>
            </w:pPr>
          </w:p>
          <w:p w14:paraId="48504A9C" w14:textId="77777777" w:rsidR="00907C81" w:rsidRPr="00B54567" w:rsidRDefault="00907C81" w:rsidP="00874B2D">
            <w:pPr>
              <w:pStyle w:val="Prrafodelista"/>
              <w:ind w:left="0"/>
              <w:jc w:val="right"/>
              <w:rPr>
                <w:sz w:val="16"/>
                <w:szCs w:val="16"/>
              </w:rPr>
            </w:pPr>
            <w:r>
              <w:rPr>
                <w:rFonts w:eastAsia="Calibri"/>
                <w:sz w:val="16"/>
                <w:szCs w:val="16"/>
                <w:lang w:val="es-CO"/>
              </w:rPr>
              <w:t>365.918</w:t>
            </w:r>
          </w:p>
        </w:tc>
        <w:tc>
          <w:tcPr>
            <w:tcW w:w="1985" w:type="dxa"/>
          </w:tcPr>
          <w:p w14:paraId="4B4B311E" w14:textId="77777777" w:rsidR="00907C81" w:rsidRDefault="00907C81" w:rsidP="00874B2D">
            <w:pPr>
              <w:pStyle w:val="Prrafodelista"/>
              <w:ind w:left="0"/>
              <w:jc w:val="right"/>
              <w:rPr>
                <w:sz w:val="16"/>
                <w:szCs w:val="16"/>
              </w:rPr>
            </w:pPr>
          </w:p>
          <w:p w14:paraId="1EA81BB3" w14:textId="77777777" w:rsidR="00907C81" w:rsidRPr="00B54567" w:rsidRDefault="00907C81" w:rsidP="00874B2D">
            <w:pPr>
              <w:pStyle w:val="Prrafodelista"/>
              <w:ind w:left="0"/>
              <w:jc w:val="right"/>
              <w:rPr>
                <w:sz w:val="16"/>
                <w:szCs w:val="16"/>
              </w:rPr>
            </w:pPr>
            <w:r>
              <w:rPr>
                <w:sz w:val="16"/>
                <w:szCs w:val="16"/>
              </w:rPr>
              <w:t>5.135.914</w:t>
            </w:r>
          </w:p>
        </w:tc>
      </w:tr>
      <w:tr w:rsidR="00907C81" w:rsidRPr="00B54567" w14:paraId="133CB302" w14:textId="77777777" w:rsidTr="00DC75AC">
        <w:tc>
          <w:tcPr>
            <w:tcW w:w="4111" w:type="dxa"/>
          </w:tcPr>
          <w:p w14:paraId="2BDE49EC" w14:textId="77777777" w:rsidR="00907C81" w:rsidRPr="00B54567" w:rsidRDefault="00907C81" w:rsidP="00874B2D">
            <w:pPr>
              <w:ind w:right="-1440"/>
              <w:jc w:val="both"/>
              <w:rPr>
                <w:b/>
                <w:sz w:val="16"/>
                <w:szCs w:val="16"/>
                <w:lang w:val="es-ES_tradnl"/>
              </w:rPr>
            </w:pPr>
            <w:r w:rsidRPr="00B54567">
              <w:rPr>
                <w:b/>
                <w:sz w:val="16"/>
                <w:szCs w:val="16"/>
                <w:lang w:val="es-ES_tradnl"/>
              </w:rPr>
              <w:t>INVERSIÓN</w:t>
            </w:r>
          </w:p>
        </w:tc>
        <w:tc>
          <w:tcPr>
            <w:tcW w:w="1843" w:type="dxa"/>
          </w:tcPr>
          <w:p w14:paraId="09C6A520" w14:textId="77777777" w:rsidR="00907C81" w:rsidRPr="00B54567" w:rsidRDefault="00907C81" w:rsidP="00874B2D">
            <w:pPr>
              <w:pStyle w:val="Prrafodelista"/>
              <w:ind w:left="0"/>
              <w:jc w:val="right"/>
              <w:rPr>
                <w:b/>
                <w:sz w:val="16"/>
                <w:szCs w:val="16"/>
              </w:rPr>
            </w:pPr>
            <w:r>
              <w:rPr>
                <w:rFonts w:eastAsia="Calibri"/>
                <w:b/>
                <w:sz w:val="16"/>
                <w:szCs w:val="16"/>
                <w:lang w:val="es-CO"/>
              </w:rPr>
              <w:t>148.648.237</w:t>
            </w:r>
          </w:p>
        </w:tc>
        <w:tc>
          <w:tcPr>
            <w:tcW w:w="1984" w:type="dxa"/>
          </w:tcPr>
          <w:p w14:paraId="24B96D8E" w14:textId="77777777" w:rsidR="00907C81" w:rsidRPr="00B54567" w:rsidRDefault="00907C81" w:rsidP="00874B2D">
            <w:pPr>
              <w:pStyle w:val="Prrafodelista"/>
              <w:ind w:left="0"/>
              <w:jc w:val="right"/>
              <w:rPr>
                <w:b/>
                <w:sz w:val="16"/>
                <w:szCs w:val="16"/>
              </w:rPr>
            </w:pPr>
            <w:r>
              <w:rPr>
                <w:rFonts w:eastAsia="Calibri"/>
                <w:b/>
                <w:sz w:val="16"/>
                <w:szCs w:val="16"/>
                <w:lang w:val="es-CO"/>
              </w:rPr>
              <w:t>148.648.237</w:t>
            </w:r>
          </w:p>
        </w:tc>
        <w:tc>
          <w:tcPr>
            <w:tcW w:w="1985" w:type="dxa"/>
          </w:tcPr>
          <w:p w14:paraId="78ACAB83" w14:textId="77777777" w:rsidR="00907C81" w:rsidRPr="00B54567" w:rsidRDefault="00907C81" w:rsidP="00874B2D">
            <w:pPr>
              <w:pStyle w:val="Prrafodelista"/>
              <w:ind w:left="0"/>
              <w:jc w:val="right"/>
              <w:rPr>
                <w:b/>
                <w:sz w:val="16"/>
                <w:szCs w:val="16"/>
              </w:rPr>
            </w:pPr>
            <w:r>
              <w:rPr>
                <w:b/>
                <w:sz w:val="16"/>
                <w:szCs w:val="16"/>
              </w:rPr>
              <w:t>-</w:t>
            </w:r>
          </w:p>
        </w:tc>
      </w:tr>
      <w:tr w:rsidR="00907C81" w:rsidRPr="00B54567" w14:paraId="5C4A4585" w14:textId="77777777" w:rsidTr="00DC75AC">
        <w:tc>
          <w:tcPr>
            <w:tcW w:w="4111" w:type="dxa"/>
          </w:tcPr>
          <w:p w14:paraId="1AAC154B" w14:textId="77777777" w:rsidR="00907C81" w:rsidRPr="00B54567" w:rsidRDefault="00907C81"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Pr>
          <w:p w14:paraId="56B98F40" w14:textId="77777777" w:rsidR="00907C81" w:rsidRPr="00B54567" w:rsidRDefault="00907C81" w:rsidP="00874B2D">
            <w:pPr>
              <w:pStyle w:val="Prrafodelista"/>
              <w:ind w:left="0"/>
              <w:jc w:val="right"/>
              <w:rPr>
                <w:b/>
                <w:sz w:val="16"/>
                <w:szCs w:val="16"/>
              </w:rPr>
            </w:pPr>
            <w:r>
              <w:rPr>
                <w:rFonts w:eastAsia="Calibri"/>
                <w:b/>
                <w:sz w:val="16"/>
                <w:szCs w:val="16"/>
                <w:lang w:val="es-CO"/>
              </w:rPr>
              <w:t>186.052.692</w:t>
            </w:r>
          </w:p>
        </w:tc>
        <w:tc>
          <w:tcPr>
            <w:tcW w:w="1984" w:type="dxa"/>
          </w:tcPr>
          <w:p w14:paraId="27B95C26" w14:textId="77777777" w:rsidR="00907C81" w:rsidRPr="00B54567" w:rsidRDefault="00907C81" w:rsidP="00874B2D">
            <w:pPr>
              <w:pStyle w:val="Prrafodelista"/>
              <w:ind w:left="0"/>
              <w:jc w:val="right"/>
              <w:rPr>
                <w:b/>
                <w:sz w:val="16"/>
                <w:szCs w:val="16"/>
              </w:rPr>
            </w:pPr>
            <w:r>
              <w:rPr>
                <w:rFonts w:eastAsia="Calibri"/>
                <w:b/>
                <w:sz w:val="16"/>
                <w:szCs w:val="16"/>
                <w:lang w:val="es-CO"/>
              </w:rPr>
              <w:t>175.522.619</w:t>
            </w:r>
          </w:p>
        </w:tc>
        <w:tc>
          <w:tcPr>
            <w:tcW w:w="1985" w:type="dxa"/>
          </w:tcPr>
          <w:p w14:paraId="0D10E5BD" w14:textId="77777777" w:rsidR="00907C81" w:rsidRPr="00B54567" w:rsidRDefault="00907C81" w:rsidP="00874B2D">
            <w:pPr>
              <w:pStyle w:val="Prrafodelista"/>
              <w:ind w:left="0"/>
              <w:jc w:val="right"/>
              <w:rPr>
                <w:b/>
                <w:sz w:val="16"/>
                <w:szCs w:val="16"/>
                <w:u w:val="single"/>
              </w:rPr>
            </w:pPr>
            <w:r>
              <w:rPr>
                <w:b/>
                <w:sz w:val="16"/>
                <w:szCs w:val="16"/>
                <w:u w:val="single"/>
              </w:rPr>
              <w:t>10.530.073</w:t>
            </w:r>
          </w:p>
        </w:tc>
      </w:tr>
    </w:tbl>
    <w:p w14:paraId="5E89DDA1" w14:textId="77777777" w:rsidR="00DC75AC" w:rsidRDefault="00DC75AC" w:rsidP="00AE355A">
      <w:pPr>
        <w:pStyle w:val="Prrafodelista"/>
        <w:ind w:left="0" w:right="-234"/>
        <w:jc w:val="both"/>
        <w:rPr>
          <w:b/>
          <w:sz w:val="24"/>
        </w:rPr>
      </w:pPr>
    </w:p>
    <w:p w14:paraId="1DBB195D" w14:textId="3A3D58F1" w:rsidR="00907C81" w:rsidRDefault="00907C81" w:rsidP="00DC75AC">
      <w:pPr>
        <w:pStyle w:val="Prrafodelista"/>
        <w:ind w:left="0" w:right="49"/>
        <w:jc w:val="both"/>
        <w:rPr>
          <w:rFonts w:eastAsia="Verdana"/>
          <w:color w:val="000000"/>
          <w:sz w:val="24"/>
          <w:szCs w:val="24"/>
        </w:rPr>
      </w:pPr>
      <w:r>
        <w:rPr>
          <w:b/>
          <w:sz w:val="24"/>
        </w:rPr>
        <w:t xml:space="preserve">-La entidad informa: </w:t>
      </w:r>
      <w:r w:rsidRPr="00C610CC">
        <w:rPr>
          <w:rFonts w:eastAsia="Verdana"/>
          <w:color w:val="000000"/>
          <w:sz w:val="24"/>
          <w:szCs w:val="24"/>
        </w:rPr>
        <w:t>De las partidas relacionadas en el cuadro anterior, se tiene que el 28,15% de los recursos apropiados a la cuenta de Funcionamiento, se relacionan como pérdida de apropiación; sin embargo, el 13,73% corresponden a los recursos apropiados para cubrir la Cuota de Auditaje a la Contraloría General de la República y le sigue el 13,03% de Gastos de Personal</w:t>
      </w:r>
      <w:r>
        <w:rPr>
          <w:rFonts w:eastAsia="Verdana"/>
          <w:color w:val="000000"/>
          <w:sz w:val="24"/>
          <w:szCs w:val="24"/>
        </w:rPr>
        <w:t xml:space="preserve">. </w:t>
      </w:r>
      <w:r w:rsidRPr="00C610CC">
        <w:rPr>
          <w:rFonts w:eastAsia="Verdana"/>
          <w:color w:val="000000"/>
          <w:sz w:val="24"/>
          <w:szCs w:val="24"/>
        </w:rPr>
        <w:t xml:space="preserve"> </w:t>
      </w:r>
    </w:p>
    <w:p w14:paraId="2DC8CE37" w14:textId="77777777" w:rsidR="00907C81" w:rsidRDefault="00907C81" w:rsidP="00DC75AC">
      <w:pPr>
        <w:pStyle w:val="Prrafodelista"/>
        <w:ind w:left="0" w:right="49"/>
        <w:jc w:val="both"/>
        <w:rPr>
          <w:rFonts w:eastAsia="Verdana"/>
          <w:color w:val="000000"/>
          <w:sz w:val="24"/>
          <w:szCs w:val="24"/>
        </w:rPr>
      </w:pPr>
    </w:p>
    <w:p w14:paraId="0B9BEE1F" w14:textId="77777777" w:rsidR="00907C81" w:rsidRDefault="00907C81" w:rsidP="00DC75AC">
      <w:pPr>
        <w:pStyle w:val="Prrafodelista"/>
        <w:ind w:left="0" w:right="49"/>
        <w:jc w:val="both"/>
        <w:rPr>
          <w:rFonts w:eastAsia="Verdana"/>
          <w:color w:val="000000"/>
          <w:sz w:val="24"/>
          <w:szCs w:val="24"/>
        </w:rPr>
      </w:pPr>
      <w:r w:rsidRPr="00860E7D">
        <w:rPr>
          <w:rFonts w:eastAsia="Verdana"/>
          <w:b/>
          <w:bCs/>
          <w:color w:val="000000"/>
          <w:sz w:val="24"/>
          <w:szCs w:val="24"/>
        </w:rPr>
        <w:t>Gastos de Personal:</w:t>
      </w:r>
      <w:r>
        <w:rPr>
          <w:rFonts w:eastAsia="Verdana"/>
          <w:b/>
          <w:bCs/>
          <w:color w:val="000000"/>
          <w:sz w:val="24"/>
          <w:szCs w:val="24"/>
        </w:rPr>
        <w:t xml:space="preserve"> </w:t>
      </w:r>
      <w:r w:rsidRPr="00860E7D">
        <w:rPr>
          <w:rFonts w:eastAsia="Verdana"/>
          <w:color w:val="000000"/>
          <w:sz w:val="24"/>
          <w:szCs w:val="24"/>
        </w:rPr>
        <w:t xml:space="preserve">Para la vigencia 2024, se presentaron recursos no ejecutados, debido a que la planta de personal del Fondo Adaptación no estuvo ocupada al 100%, es decir los 87 empleos. A corte 31 de diciembre de 2024, la entidad presentó un total de 36 cargos en vacancia definitiva, y 51 cargos ocupados. </w:t>
      </w:r>
      <w:r>
        <w:rPr>
          <w:rFonts w:eastAsia="Verdana"/>
          <w:color w:val="000000"/>
          <w:sz w:val="24"/>
          <w:szCs w:val="24"/>
        </w:rPr>
        <w:t xml:space="preserve"> </w:t>
      </w:r>
    </w:p>
    <w:p w14:paraId="780AE271" w14:textId="77777777" w:rsidR="00907C81" w:rsidRDefault="00907C81" w:rsidP="00DC75AC">
      <w:pPr>
        <w:pStyle w:val="Prrafodelista"/>
        <w:ind w:left="0" w:right="49"/>
        <w:jc w:val="both"/>
        <w:rPr>
          <w:rFonts w:eastAsia="Verdana"/>
          <w:color w:val="000000"/>
          <w:sz w:val="24"/>
          <w:szCs w:val="24"/>
        </w:rPr>
      </w:pPr>
    </w:p>
    <w:p w14:paraId="549DF852" w14:textId="77777777" w:rsidR="00907C81" w:rsidRDefault="00907C81" w:rsidP="00DC75AC">
      <w:pPr>
        <w:pStyle w:val="Prrafodelista"/>
        <w:ind w:left="0" w:right="49"/>
        <w:jc w:val="both"/>
        <w:rPr>
          <w:rFonts w:eastAsia="Verdana"/>
          <w:color w:val="000000"/>
          <w:sz w:val="24"/>
          <w:szCs w:val="24"/>
        </w:rPr>
      </w:pPr>
      <w:r w:rsidRPr="00860E7D">
        <w:rPr>
          <w:rFonts w:eastAsia="Verdana"/>
          <w:b/>
          <w:bCs/>
          <w:color w:val="000000"/>
          <w:sz w:val="24"/>
          <w:szCs w:val="24"/>
        </w:rPr>
        <w:t>Adquisición de Bienes y Servicios:</w:t>
      </w:r>
      <w:r>
        <w:rPr>
          <w:rFonts w:eastAsia="Verdana"/>
          <w:b/>
          <w:bCs/>
          <w:color w:val="000000"/>
          <w:sz w:val="24"/>
          <w:szCs w:val="24"/>
        </w:rPr>
        <w:t xml:space="preserve"> </w:t>
      </w:r>
      <w:r w:rsidRPr="00860E7D">
        <w:rPr>
          <w:rFonts w:eastAsia="Verdana"/>
          <w:color w:val="000000"/>
          <w:sz w:val="24"/>
          <w:szCs w:val="24"/>
        </w:rPr>
        <w:t>De acuerdo con el E.T. Gestión de Servicios Administrativos y Gestión Documental, se presentó no ejecución de la totalidad de los recursos de este rubro debido a:</w:t>
      </w:r>
    </w:p>
    <w:p w14:paraId="4B4C3196" w14:textId="77777777" w:rsidR="00907C81" w:rsidRDefault="00907C81" w:rsidP="00AE355A">
      <w:pPr>
        <w:pStyle w:val="Prrafodelista"/>
        <w:ind w:left="0" w:right="-376"/>
        <w:jc w:val="both"/>
        <w:rPr>
          <w:rFonts w:eastAsia="Verdana"/>
          <w:color w:val="000000"/>
          <w:sz w:val="24"/>
          <w:szCs w:val="24"/>
        </w:rPr>
      </w:pPr>
    </w:p>
    <w:p w14:paraId="4517327D"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El valor $4.139.077 corresponde a valor no ejecutado del contrato F-CD-F-S-253-2022, suscrito con Servicios Postales 4-72. Es importante precisar que el contrato se estableció bajo los parámetros de la proyección de cantidades estimadas para los servicios en la</w:t>
      </w:r>
      <w:r>
        <w:rPr>
          <w:rFonts w:eastAsia="Verdana"/>
          <w:color w:val="000000"/>
          <w:sz w:val="24"/>
          <w:szCs w:val="24"/>
        </w:rPr>
        <w:t xml:space="preserve"> </w:t>
      </w:r>
      <w:r w:rsidRPr="00077CCA">
        <w:rPr>
          <w:rFonts w:eastAsia="Verdana"/>
          <w:color w:val="000000"/>
          <w:sz w:val="24"/>
          <w:szCs w:val="24"/>
        </w:rPr>
        <w:t xml:space="preserve">vigencia 2024, es decir que se configuraron por demanda de la gestión documental. En consecuencia, las necesidades de servicio efectivamente prestado evidenciaron una disminución comparada con lo proyectado, toda vez que, a partir de abril de 2024, se implementaron estrategias para optimizar los recursos asignados, dando cumplimiento a las metas institucionales. </w:t>
      </w:r>
    </w:p>
    <w:p w14:paraId="25F8CDF0" w14:textId="77777777" w:rsidR="00907C81" w:rsidRPr="00077CCA" w:rsidRDefault="00907C81" w:rsidP="00AE355A">
      <w:pPr>
        <w:pStyle w:val="Prrafodelista"/>
        <w:ind w:left="0"/>
        <w:jc w:val="both"/>
        <w:rPr>
          <w:rFonts w:eastAsia="Verdana"/>
          <w:color w:val="000000"/>
          <w:sz w:val="24"/>
          <w:szCs w:val="24"/>
        </w:rPr>
      </w:pPr>
    </w:p>
    <w:p w14:paraId="55013293"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 xml:space="preserve">Respecto al valor $2.377.842,32 de la orden de compra No.1222825 de 2023, no se ejecutó en razón a que no se utilizó el vehículo de la Entidad en el periodo comprendido entre el 6 de noviembre de 2024 al 31 de diciembre de 2024 por fallas mecánicas y, por lo cual el vehículo ingresó al taller para su revisión, sin obtener solución; situación que a propósito suscitó el trámite administrativo de un presunto incumplimiento del Contrato FA-MC-F-S-291-2024. En consecuencia, el vehículo no tuvo ningún recorrido a fin de prevenir la posible materialización de riesgos por las mencionadas fallas mecánicas, y por ende no se presentó consumo de </w:t>
      </w:r>
      <w:r w:rsidRPr="00077CCA">
        <w:rPr>
          <w:rFonts w:eastAsia="Verdana"/>
          <w:color w:val="000000"/>
          <w:sz w:val="24"/>
          <w:szCs w:val="24"/>
        </w:rPr>
        <w:lastRenderedPageBreak/>
        <w:t>combustible al finalizar la vigencia 2024.</w:t>
      </w:r>
    </w:p>
    <w:p w14:paraId="29FE08B2" w14:textId="77777777" w:rsidR="00907C81" w:rsidRPr="00077CCA" w:rsidRDefault="00907C81" w:rsidP="00AE355A">
      <w:pPr>
        <w:pStyle w:val="Prrafodelista"/>
        <w:ind w:left="0"/>
        <w:jc w:val="both"/>
        <w:rPr>
          <w:rFonts w:eastAsia="Verdana"/>
          <w:color w:val="000000"/>
          <w:sz w:val="24"/>
          <w:szCs w:val="24"/>
        </w:rPr>
      </w:pPr>
    </w:p>
    <w:p w14:paraId="11A05F98"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El monto de TRESCIENTOS CUARENTA Y OCHO MIL SEISCIENTOS CUARENTA Y SIETE PESOS M/TE ($348.647) corresponde a los recursos que se deben liberar del contrato FA-CD-F-S-097-2024 con el contratista HEINSOHN HUMAN GLOBAL SOLUTIONS S.A.S. debido a que el servicio de Hosting, fue inferior al monto originalmente proyectado para la vigencia 2024.</w:t>
      </w:r>
    </w:p>
    <w:p w14:paraId="50801645" w14:textId="77777777" w:rsidR="00907C81" w:rsidRPr="00077CCA" w:rsidRDefault="00907C81" w:rsidP="00AE355A">
      <w:pPr>
        <w:pStyle w:val="Prrafodelista"/>
        <w:ind w:left="0"/>
        <w:jc w:val="both"/>
        <w:rPr>
          <w:rFonts w:eastAsia="Verdana"/>
          <w:color w:val="000000"/>
          <w:sz w:val="24"/>
          <w:szCs w:val="24"/>
        </w:rPr>
      </w:pPr>
    </w:p>
    <w:p w14:paraId="5CE33CEA" w14:textId="77777777" w:rsidR="00907C81" w:rsidRDefault="00907C81" w:rsidP="00AE355A">
      <w:pPr>
        <w:pStyle w:val="Prrafodelista"/>
        <w:ind w:left="0"/>
        <w:jc w:val="both"/>
        <w:rPr>
          <w:rFonts w:eastAsia="Verdana"/>
          <w:color w:val="000000"/>
          <w:sz w:val="24"/>
          <w:szCs w:val="24"/>
        </w:rPr>
      </w:pPr>
      <w:r w:rsidRPr="00077CCA">
        <w:rPr>
          <w:rFonts w:eastAsia="Verdana"/>
          <w:color w:val="000000"/>
          <w:sz w:val="24"/>
          <w:szCs w:val="24"/>
        </w:rPr>
        <w:t xml:space="preserve">Por otro lado, la suma de $67.687.466 corresponde al saldo por ejecutar del contrato con Servicios Postales Nacionales 472 FA-CD-F-S-281-2024; al respecto se le ha requerido mediante comunicaciones al contratista E-2024-005140/E-2024-005263/E-2024-005334 para que genere la correspondiente factura por los servicios prestados hasta agosto de 2024, fecha en la que finalizó el contrato. No obstante, no se ha recibido facturación hasta el momento. </w:t>
      </w:r>
    </w:p>
    <w:p w14:paraId="14A4D3C6" w14:textId="77777777" w:rsidR="00907C81" w:rsidRDefault="00907C81" w:rsidP="00AE355A">
      <w:pPr>
        <w:pStyle w:val="Prrafodelista"/>
        <w:ind w:left="0"/>
        <w:jc w:val="both"/>
        <w:rPr>
          <w:rFonts w:eastAsia="Verdana"/>
          <w:color w:val="000000"/>
          <w:sz w:val="24"/>
          <w:szCs w:val="24"/>
        </w:rPr>
      </w:pPr>
    </w:p>
    <w:p w14:paraId="125D0296" w14:textId="77777777" w:rsidR="00907C81" w:rsidRDefault="00907C81" w:rsidP="00AE355A">
      <w:pPr>
        <w:pStyle w:val="Prrafodelista"/>
        <w:ind w:left="0"/>
        <w:jc w:val="both"/>
        <w:rPr>
          <w:rFonts w:eastAsia="Verdana"/>
          <w:color w:val="000000"/>
          <w:sz w:val="24"/>
          <w:szCs w:val="24"/>
        </w:rPr>
      </w:pPr>
      <w:r>
        <w:rPr>
          <w:rFonts w:eastAsia="Verdana"/>
          <w:color w:val="000000"/>
          <w:sz w:val="24"/>
          <w:szCs w:val="24"/>
        </w:rPr>
        <w:t>El valor de $4.558.224 corresponde a valor no ejecutado del contrato de aplicación de la batería de riesgo psicosocial y actualmente se encuentra en proceso de liquidación.</w:t>
      </w:r>
    </w:p>
    <w:p w14:paraId="1538FC0D" w14:textId="77777777" w:rsidR="00907C81" w:rsidRDefault="00907C81" w:rsidP="00AE355A">
      <w:pPr>
        <w:pStyle w:val="Prrafodelista"/>
        <w:ind w:left="0"/>
        <w:jc w:val="both"/>
        <w:rPr>
          <w:rFonts w:eastAsia="Verdana"/>
          <w:color w:val="000000"/>
          <w:sz w:val="24"/>
          <w:szCs w:val="24"/>
        </w:rPr>
      </w:pPr>
    </w:p>
    <w:p w14:paraId="462A441B" w14:textId="77777777" w:rsidR="00907C81" w:rsidRDefault="00907C81" w:rsidP="00AE355A">
      <w:pPr>
        <w:pStyle w:val="Prrafodelista"/>
        <w:ind w:left="0"/>
        <w:jc w:val="both"/>
        <w:rPr>
          <w:rFonts w:eastAsia="Verdana"/>
          <w:color w:val="000000"/>
          <w:sz w:val="24"/>
          <w:szCs w:val="24"/>
        </w:rPr>
      </w:pPr>
      <w:r>
        <w:rPr>
          <w:rFonts w:eastAsia="Verdana"/>
          <w:color w:val="000000"/>
          <w:sz w:val="24"/>
          <w:szCs w:val="24"/>
        </w:rPr>
        <w:t>Del contrato FA-MC-F-S-291-2024 con Centro Car 19 Ltda. se presentó un saldo sin ejecutar de $19.374.514 teniendo en cuenta que el contratista no se allanó al cumplimiento de las obligaciones contractuales, por lo cual se encuentra en trámite de un presunto incumplimiento (memorando I-2024-009268 del 31/12/2024).</w:t>
      </w:r>
    </w:p>
    <w:p w14:paraId="5E83A14A" w14:textId="77777777" w:rsidR="00907C81" w:rsidRDefault="00907C81" w:rsidP="00AE355A">
      <w:pPr>
        <w:pStyle w:val="Prrafodelista"/>
        <w:ind w:left="0"/>
        <w:jc w:val="both"/>
        <w:rPr>
          <w:rFonts w:eastAsia="Verdana"/>
          <w:color w:val="000000"/>
          <w:sz w:val="24"/>
          <w:szCs w:val="24"/>
        </w:rPr>
      </w:pPr>
    </w:p>
    <w:p w14:paraId="7ACF79C8" w14:textId="77777777" w:rsidR="00907C81" w:rsidRPr="00077CCA" w:rsidRDefault="00907C81" w:rsidP="00AE355A">
      <w:pPr>
        <w:pStyle w:val="Prrafodelista"/>
        <w:ind w:left="0"/>
        <w:jc w:val="both"/>
        <w:rPr>
          <w:rFonts w:eastAsia="Verdana"/>
          <w:color w:val="000000"/>
          <w:sz w:val="24"/>
          <w:szCs w:val="24"/>
        </w:rPr>
      </w:pPr>
      <w:r>
        <w:rPr>
          <w:rFonts w:eastAsia="Verdana"/>
          <w:color w:val="000000"/>
          <w:sz w:val="24"/>
          <w:szCs w:val="24"/>
        </w:rPr>
        <w:t>El monto de $6.877.514 corresponde al valor no ejecutado del contrato FA-CI-F-S-301-2024 suscrito con Servicios Postales 4-72, el cual finalizó el 31 de diciembre de 2024. Este saldo se explica porque algunos de los servicios contratados incluían ítems variables, cuya ejecución dependía de la demanda efectiva del servicio. Sin embargo, dicha demanda fue menor a la volumetría inicialmente estimada, lo que afectó principalmente los servicios de correo certificado y correo electrónico certificado.</w:t>
      </w:r>
    </w:p>
    <w:p w14:paraId="047FEF10" w14:textId="77777777" w:rsidR="00907C81" w:rsidRPr="00077CCA" w:rsidRDefault="00907C81" w:rsidP="00AE355A">
      <w:pPr>
        <w:pStyle w:val="Prrafodelista"/>
        <w:ind w:left="0"/>
        <w:jc w:val="both"/>
        <w:rPr>
          <w:rFonts w:eastAsia="Verdana"/>
          <w:color w:val="000000"/>
          <w:sz w:val="24"/>
          <w:szCs w:val="24"/>
        </w:rPr>
      </w:pPr>
    </w:p>
    <w:p w14:paraId="3B02E09A"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 xml:space="preserve">El valor de $4.558.224 corresponde a valor no ejecutado del contrato de aplicación de la Batería de Riesgo Psicosocial y, actualmente, se encuentra en proceso de liquidación.  </w:t>
      </w:r>
    </w:p>
    <w:p w14:paraId="786F38BA" w14:textId="77777777" w:rsidR="00907C81" w:rsidRPr="00077CCA" w:rsidRDefault="00907C81" w:rsidP="00AE355A">
      <w:pPr>
        <w:pStyle w:val="Prrafodelista"/>
        <w:ind w:left="0"/>
        <w:jc w:val="both"/>
        <w:rPr>
          <w:rFonts w:eastAsia="Verdana"/>
          <w:color w:val="000000"/>
          <w:sz w:val="24"/>
          <w:szCs w:val="24"/>
        </w:rPr>
      </w:pPr>
    </w:p>
    <w:p w14:paraId="5DE02E08"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Del contrato FA-MC-F- S-291-2024 con Centro Car 19 LTDA se presentó un saldo sin ejecutar de $19.374.514 teniendo en cuenta que el contratista no se allanó al cumplimiento de las obligaciones contractuales, por lo cual se encuentra en trámite de un presunto incumplimiento (Memorando I-2024-009268 del 31/12/2024).</w:t>
      </w:r>
    </w:p>
    <w:p w14:paraId="7C52C97C" w14:textId="77777777" w:rsidR="00907C81" w:rsidRPr="00077CCA" w:rsidRDefault="00907C81" w:rsidP="00AE355A">
      <w:pPr>
        <w:pStyle w:val="Prrafodelista"/>
        <w:ind w:left="0"/>
        <w:jc w:val="both"/>
        <w:rPr>
          <w:rFonts w:eastAsia="Verdana"/>
          <w:color w:val="000000"/>
          <w:sz w:val="24"/>
          <w:szCs w:val="24"/>
        </w:rPr>
      </w:pPr>
    </w:p>
    <w:p w14:paraId="0F089F6C"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 xml:space="preserve">El monto de $6.877.514 corresponde al valor no ejecutado del contrato FA-CI-F-S-301-2024 suscrito con Servicios Postales 4-72, el cual finalizó el 31 de diciembre de 2024. Este saldo se explica porque algunos de los servicios contratados incluían ítems variables, cuya ejecución dependía de la demanda efectiva del servicio. Sin embargo, dicha demanda fue menor a la volumetría inicialmente estimada, lo que afectó principalmente los servicios de correo certificado y correo electrónico certificado. </w:t>
      </w:r>
    </w:p>
    <w:p w14:paraId="58D8B1FF" w14:textId="77777777" w:rsidR="00907C81" w:rsidRPr="00077CCA" w:rsidRDefault="00907C81" w:rsidP="00AE355A">
      <w:pPr>
        <w:pStyle w:val="Prrafodelista"/>
        <w:ind w:left="0"/>
        <w:jc w:val="both"/>
        <w:rPr>
          <w:rFonts w:eastAsia="Verdana"/>
          <w:color w:val="000000"/>
          <w:sz w:val="24"/>
          <w:szCs w:val="24"/>
        </w:rPr>
      </w:pPr>
    </w:p>
    <w:p w14:paraId="0C317395"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El valor de siete centavos se debe a las aproximaciones decimales en el cálculo del IVA, el contratista por lo tanto cobro siete centavos menos en el periodo facturado.</w:t>
      </w:r>
    </w:p>
    <w:p w14:paraId="602BDCD7" w14:textId="77777777" w:rsidR="00907C81" w:rsidRPr="00077CCA" w:rsidRDefault="00907C81" w:rsidP="00AE355A">
      <w:pPr>
        <w:pStyle w:val="Prrafodelista"/>
        <w:ind w:left="0"/>
        <w:jc w:val="both"/>
        <w:rPr>
          <w:rFonts w:eastAsia="Verdana"/>
          <w:color w:val="000000"/>
          <w:sz w:val="24"/>
          <w:szCs w:val="24"/>
        </w:rPr>
      </w:pPr>
    </w:p>
    <w:p w14:paraId="0DC40969"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El contratista, pese a ser requerido en diferentes ocasiones, no presentó la factura incluyendo los 0,25 centavos, en consecuencia, se deberá liberar este saldo.</w:t>
      </w:r>
    </w:p>
    <w:p w14:paraId="34A9CACD" w14:textId="77777777" w:rsidR="00907C81" w:rsidRPr="00077CCA" w:rsidRDefault="00907C81" w:rsidP="00AE355A">
      <w:pPr>
        <w:pStyle w:val="Prrafodelista"/>
        <w:ind w:left="0"/>
        <w:jc w:val="both"/>
        <w:rPr>
          <w:rFonts w:eastAsia="Verdana"/>
          <w:color w:val="000000"/>
          <w:sz w:val="24"/>
          <w:szCs w:val="24"/>
        </w:rPr>
      </w:pPr>
    </w:p>
    <w:p w14:paraId="70D5E327" w14:textId="77777777" w:rsidR="00907C81" w:rsidRPr="00077CCA" w:rsidRDefault="00907C81" w:rsidP="00AE355A">
      <w:pPr>
        <w:pStyle w:val="Prrafodelista"/>
        <w:ind w:left="0"/>
        <w:jc w:val="both"/>
        <w:rPr>
          <w:rFonts w:eastAsia="Verdana"/>
          <w:color w:val="000000"/>
          <w:sz w:val="24"/>
          <w:szCs w:val="24"/>
        </w:rPr>
      </w:pPr>
      <w:r w:rsidRPr="00077CCA">
        <w:rPr>
          <w:rFonts w:eastAsia="Verdana"/>
          <w:color w:val="000000"/>
          <w:sz w:val="24"/>
          <w:szCs w:val="24"/>
        </w:rPr>
        <w:t>Respecto al contrato FA-MC-F-S-355-2024 quedó un saldo sin ejecutar de $4.433.499 debido a que el contratista no dio cumplimiento a las obligaciones contractuales, por lo cual se encuentra en trámite de un presunto incumplimiento (</w:t>
      </w:r>
      <w:r>
        <w:rPr>
          <w:rFonts w:eastAsia="Verdana"/>
          <w:color w:val="000000"/>
          <w:sz w:val="24"/>
          <w:szCs w:val="24"/>
        </w:rPr>
        <w:t>O</w:t>
      </w:r>
      <w:r w:rsidRPr="00077CCA">
        <w:rPr>
          <w:rFonts w:eastAsia="Verdana"/>
          <w:color w:val="000000"/>
          <w:sz w:val="24"/>
          <w:szCs w:val="24"/>
        </w:rPr>
        <w:t>ficio E-2024-005312 del 27/12/2024 - Requerimiento cumplimiento obligaciones contractuales Contrato FA-MC-F-S-355-2024).</w:t>
      </w:r>
    </w:p>
    <w:p w14:paraId="58783059" w14:textId="77777777" w:rsidR="00907C81" w:rsidRPr="00077CCA" w:rsidRDefault="00907C81" w:rsidP="00AE355A">
      <w:pPr>
        <w:pStyle w:val="Prrafodelista"/>
        <w:ind w:left="0"/>
        <w:jc w:val="both"/>
        <w:rPr>
          <w:rFonts w:eastAsia="Verdana"/>
          <w:color w:val="000000"/>
          <w:sz w:val="24"/>
          <w:szCs w:val="24"/>
        </w:rPr>
      </w:pPr>
    </w:p>
    <w:p w14:paraId="15E3B6CD" w14:textId="77777777" w:rsidR="00907C81" w:rsidRDefault="00907C81" w:rsidP="00AE355A">
      <w:pPr>
        <w:pStyle w:val="Prrafodelista"/>
        <w:ind w:left="0"/>
        <w:jc w:val="both"/>
        <w:rPr>
          <w:rFonts w:eastAsia="Verdana"/>
          <w:color w:val="000000"/>
          <w:sz w:val="24"/>
          <w:szCs w:val="24"/>
        </w:rPr>
      </w:pPr>
      <w:r w:rsidRPr="00077CCA">
        <w:rPr>
          <w:rFonts w:eastAsia="Verdana"/>
          <w:color w:val="000000"/>
          <w:sz w:val="24"/>
          <w:szCs w:val="24"/>
        </w:rPr>
        <w:t>El monto de $2.027.346,64 corresponde al valor no ejecutado del contrato, debido a que en los pliegos del proceso de contratación FA-SAMC-F-S-003-2024, se dejó la suma de (i) $2,024.407 para futuras inclusiones, y no se recibió solicitud alguna de nueva inclusión. Así mismo, en dichos pliegos se estipuló un valor de $8,829,838 para seguro de vehículo nuevo, el cual finalmente tuvo un costo menor $8,826,900,40.</w:t>
      </w:r>
    </w:p>
    <w:p w14:paraId="5BE8A299" w14:textId="77777777" w:rsidR="00907C81" w:rsidRDefault="00907C81" w:rsidP="00AE355A">
      <w:pPr>
        <w:pStyle w:val="Prrafodelista"/>
        <w:ind w:left="0"/>
        <w:jc w:val="both"/>
        <w:rPr>
          <w:rFonts w:eastAsia="Verdana"/>
          <w:color w:val="000000"/>
          <w:sz w:val="24"/>
          <w:szCs w:val="24"/>
        </w:rPr>
      </w:pPr>
    </w:p>
    <w:p w14:paraId="06B2B668" w14:textId="77777777" w:rsidR="00907C81" w:rsidRPr="00043348" w:rsidRDefault="00907C81" w:rsidP="00AE355A">
      <w:pPr>
        <w:pStyle w:val="Prrafodelista"/>
        <w:ind w:left="0"/>
        <w:jc w:val="both"/>
        <w:rPr>
          <w:rFonts w:eastAsia="Verdana"/>
          <w:color w:val="000000"/>
          <w:sz w:val="24"/>
          <w:szCs w:val="24"/>
        </w:rPr>
      </w:pPr>
      <w:r w:rsidRPr="00043348">
        <w:rPr>
          <w:rFonts w:eastAsia="Verdana"/>
          <w:b/>
          <w:bCs/>
          <w:sz w:val="24"/>
          <w:szCs w:val="24"/>
        </w:rPr>
        <w:t>Transferencias:</w:t>
      </w:r>
      <w:r>
        <w:rPr>
          <w:rFonts w:eastAsia="Verdana"/>
          <w:b/>
          <w:bCs/>
          <w:sz w:val="24"/>
          <w:szCs w:val="24"/>
        </w:rPr>
        <w:t xml:space="preserve"> </w:t>
      </w:r>
      <w:r w:rsidRPr="00043348">
        <w:rPr>
          <w:rFonts w:eastAsia="Verdana"/>
          <w:color w:val="000000"/>
          <w:sz w:val="24"/>
          <w:szCs w:val="24"/>
        </w:rPr>
        <w:t>Incapacidades $66.484.398: Corresponde al pago de incapacidades por parte de las Entidades Promotoras de Salud - EPS.</w:t>
      </w:r>
    </w:p>
    <w:p w14:paraId="110C59B3" w14:textId="77777777" w:rsidR="00907C81" w:rsidRPr="00043348" w:rsidRDefault="00907C81" w:rsidP="00AE355A">
      <w:pPr>
        <w:pStyle w:val="Prrafodelista"/>
        <w:ind w:left="0"/>
        <w:jc w:val="both"/>
        <w:rPr>
          <w:rFonts w:eastAsia="Verdana"/>
          <w:color w:val="000000"/>
          <w:sz w:val="24"/>
          <w:szCs w:val="24"/>
        </w:rPr>
      </w:pPr>
    </w:p>
    <w:p w14:paraId="21D9D80F" w14:textId="77777777" w:rsidR="00907C81" w:rsidRPr="00043348" w:rsidRDefault="00907C81" w:rsidP="00AE355A">
      <w:pPr>
        <w:pStyle w:val="Prrafodelista"/>
        <w:ind w:left="0"/>
        <w:jc w:val="both"/>
        <w:rPr>
          <w:rFonts w:eastAsia="Verdana"/>
          <w:color w:val="000000"/>
          <w:sz w:val="24"/>
          <w:szCs w:val="24"/>
        </w:rPr>
      </w:pPr>
      <w:r w:rsidRPr="00043348">
        <w:rPr>
          <w:rFonts w:eastAsia="Verdana"/>
          <w:color w:val="000000"/>
          <w:sz w:val="24"/>
          <w:szCs w:val="24"/>
        </w:rPr>
        <w:t>De conformidad con la dinámica de estos conceptos, el cual corresponde pagar por parte de la Entidad Licencias e Incapacidades, las cuales son cobrados posteriormente a las EPS respectivas; durante la vigencia 2024 los pagos por estos conceptos fueron reintegrados por parte de estas Empresas, quedando el saldo de $66.484.398 por devolver y corresponden a las partidas pagadas en el último bimestre.</w:t>
      </w:r>
    </w:p>
    <w:p w14:paraId="3D427B7C" w14:textId="77777777" w:rsidR="00907C81" w:rsidRPr="00043348" w:rsidRDefault="00907C81" w:rsidP="00AE355A">
      <w:pPr>
        <w:pStyle w:val="Prrafodelista"/>
        <w:ind w:left="0"/>
        <w:jc w:val="both"/>
        <w:rPr>
          <w:rFonts w:eastAsia="Verdana"/>
          <w:color w:val="000000"/>
          <w:sz w:val="24"/>
          <w:szCs w:val="24"/>
        </w:rPr>
      </w:pPr>
    </w:p>
    <w:p w14:paraId="3A881B30" w14:textId="77777777" w:rsidR="00907C81" w:rsidRPr="00043348" w:rsidRDefault="00907C81" w:rsidP="00AE355A">
      <w:pPr>
        <w:pStyle w:val="Prrafodelista"/>
        <w:ind w:left="0"/>
        <w:jc w:val="both"/>
        <w:rPr>
          <w:rFonts w:eastAsia="Verdana"/>
          <w:color w:val="000000"/>
          <w:sz w:val="24"/>
          <w:szCs w:val="24"/>
        </w:rPr>
      </w:pPr>
      <w:r w:rsidRPr="00043348">
        <w:rPr>
          <w:rFonts w:eastAsia="Verdana"/>
          <w:color w:val="000000"/>
          <w:sz w:val="24"/>
          <w:szCs w:val="24"/>
        </w:rPr>
        <w:t>Por lo anterior, no se considera pérdida de apropiación, sino utilización efectiva de los recursos.</w:t>
      </w:r>
    </w:p>
    <w:p w14:paraId="1287E3CC" w14:textId="77777777" w:rsidR="00907C81" w:rsidRPr="00043348" w:rsidRDefault="00907C81" w:rsidP="00AE355A">
      <w:pPr>
        <w:pStyle w:val="Prrafodelista"/>
        <w:ind w:left="0"/>
        <w:jc w:val="both"/>
        <w:rPr>
          <w:rFonts w:eastAsia="Verdana"/>
          <w:color w:val="000000"/>
          <w:sz w:val="24"/>
          <w:szCs w:val="24"/>
        </w:rPr>
      </w:pPr>
    </w:p>
    <w:p w14:paraId="023AB70B" w14:textId="77777777" w:rsidR="00907C81" w:rsidRPr="00043348" w:rsidRDefault="00907C81" w:rsidP="00AE355A">
      <w:pPr>
        <w:pStyle w:val="Prrafodelista"/>
        <w:ind w:left="0"/>
        <w:jc w:val="both"/>
        <w:rPr>
          <w:rFonts w:eastAsia="Verdana"/>
          <w:color w:val="000000"/>
          <w:sz w:val="24"/>
          <w:szCs w:val="24"/>
        </w:rPr>
      </w:pPr>
      <w:r w:rsidRPr="00043348">
        <w:rPr>
          <w:rFonts w:eastAsia="Verdana"/>
          <w:b/>
          <w:bCs/>
          <w:color w:val="000000"/>
          <w:sz w:val="24"/>
          <w:szCs w:val="24"/>
        </w:rPr>
        <w:t>Sentencias y Conciliaciones</w:t>
      </w:r>
      <w:r>
        <w:rPr>
          <w:rFonts w:eastAsia="Verdana"/>
          <w:b/>
          <w:bCs/>
          <w:color w:val="000000"/>
          <w:sz w:val="24"/>
          <w:szCs w:val="24"/>
        </w:rPr>
        <w:t>.</w:t>
      </w:r>
      <w:r w:rsidRPr="00043348">
        <w:rPr>
          <w:rFonts w:eastAsia="Verdana"/>
          <w:color w:val="000000"/>
          <w:sz w:val="24"/>
          <w:szCs w:val="24"/>
        </w:rPr>
        <w:t xml:space="preserve"> Para la suma de $787.925,52,  la Entidad para la solicitud del traslado presupuestal calculó los intereses moratorios en el aplicativo suministrado por la Agencia Nacional de Defensa Jurídica del Estado, el cual arroja una diferencia de $787,925,52 frente al cálculo realizado en la Entidad, el cual se realiza de acuerdo con lo establecido en el numeral 4 del artículo 195 del Código de Procedimiento Administrativo y de lo Contencioso Administrativo, así como lo dispuesto en el artículo 2.8.6.6.2. del Decreto 1068 de 2015.</w:t>
      </w:r>
    </w:p>
    <w:p w14:paraId="218CE1BC" w14:textId="77777777" w:rsidR="00907C81" w:rsidRPr="00043348" w:rsidRDefault="00907C81" w:rsidP="00AE355A">
      <w:pPr>
        <w:pStyle w:val="Prrafodelista"/>
        <w:ind w:left="0"/>
        <w:jc w:val="both"/>
        <w:rPr>
          <w:rFonts w:eastAsia="Verdana"/>
          <w:color w:val="000000"/>
          <w:sz w:val="24"/>
          <w:szCs w:val="24"/>
        </w:rPr>
      </w:pPr>
    </w:p>
    <w:p w14:paraId="34BCC0BE" w14:textId="77777777" w:rsidR="00907C81" w:rsidRPr="00043348" w:rsidRDefault="00907C81" w:rsidP="00AE355A">
      <w:pPr>
        <w:pStyle w:val="Prrafodelista"/>
        <w:ind w:left="0"/>
        <w:jc w:val="both"/>
        <w:rPr>
          <w:rFonts w:eastAsia="Verdana"/>
          <w:color w:val="000000"/>
          <w:sz w:val="24"/>
          <w:szCs w:val="24"/>
        </w:rPr>
      </w:pPr>
      <w:r w:rsidRPr="00043348">
        <w:rPr>
          <w:rFonts w:eastAsia="Verdana"/>
          <w:b/>
          <w:bCs/>
          <w:color w:val="000000"/>
          <w:sz w:val="24"/>
          <w:szCs w:val="24"/>
        </w:rPr>
        <w:t>Gastos por Tributos, Multas, Sanciones e Intereses de Mora:</w:t>
      </w:r>
      <w:r>
        <w:rPr>
          <w:rFonts w:eastAsia="Verdana"/>
          <w:b/>
          <w:bCs/>
          <w:color w:val="000000"/>
          <w:sz w:val="24"/>
          <w:szCs w:val="24"/>
        </w:rPr>
        <w:t xml:space="preserve"> </w:t>
      </w:r>
      <w:r w:rsidRPr="00043348">
        <w:rPr>
          <w:rFonts w:eastAsia="Verdana"/>
          <w:color w:val="000000"/>
          <w:sz w:val="24"/>
          <w:szCs w:val="24"/>
        </w:rPr>
        <w:t>Cuota de Fiscalización y Auditaje $5.135.914.055: Recursos apropiados Sin Situación de Fondos - SSF para cubrir la Cuota de Fiscalización y Auditaje de la Contraloría General de la República. Valor que se relaciona en el Anteproyecto de la vigencia 2024 el cual se calcula por promedio, toda vez que este cálculo es realizado por la Contraloría durante la vigencia en curso y depende de variables que no se encuentran en el Fondo Adaptación.</w:t>
      </w:r>
    </w:p>
    <w:p w14:paraId="483B0287" w14:textId="77777777" w:rsidR="00907C81" w:rsidRPr="00043348" w:rsidRDefault="00907C81" w:rsidP="00AE355A">
      <w:pPr>
        <w:pStyle w:val="Prrafodelista"/>
        <w:ind w:left="0"/>
        <w:jc w:val="both"/>
        <w:rPr>
          <w:rFonts w:eastAsia="Verdana"/>
          <w:color w:val="000000"/>
          <w:sz w:val="24"/>
          <w:szCs w:val="24"/>
        </w:rPr>
      </w:pPr>
    </w:p>
    <w:p w14:paraId="1ADCD627" w14:textId="77777777" w:rsidR="00907C81" w:rsidRPr="00043348" w:rsidRDefault="00907C81" w:rsidP="00AE355A">
      <w:pPr>
        <w:pStyle w:val="Prrafodelista"/>
        <w:ind w:left="0"/>
        <w:jc w:val="both"/>
        <w:rPr>
          <w:rFonts w:eastAsia="Verdana"/>
          <w:color w:val="000000"/>
          <w:sz w:val="24"/>
          <w:szCs w:val="24"/>
        </w:rPr>
      </w:pPr>
      <w:r w:rsidRPr="00043348">
        <w:rPr>
          <w:rFonts w:eastAsia="Verdana"/>
          <w:color w:val="000000"/>
          <w:sz w:val="24"/>
          <w:szCs w:val="24"/>
        </w:rPr>
        <w:t>En el Anteproyecto de la vigencia 2024, se presentaron necesidades por valor total de $2.377.587.263.103, pero solo se apropiaron recursos por valor total de $194.190.236.982.</w:t>
      </w:r>
    </w:p>
    <w:p w14:paraId="2510593B" w14:textId="77777777" w:rsidR="00907C81" w:rsidRPr="00043348" w:rsidRDefault="00907C81" w:rsidP="00AE355A">
      <w:pPr>
        <w:pStyle w:val="Prrafodelista"/>
        <w:ind w:left="0"/>
        <w:jc w:val="both"/>
        <w:rPr>
          <w:rFonts w:eastAsia="Verdana"/>
          <w:color w:val="000000"/>
          <w:sz w:val="24"/>
          <w:szCs w:val="24"/>
        </w:rPr>
      </w:pPr>
    </w:p>
    <w:p w14:paraId="7F3BF5B6" w14:textId="77777777" w:rsidR="00907C81" w:rsidRPr="00B54567" w:rsidRDefault="00907C81" w:rsidP="00AE355A">
      <w:pPr>
        <w:tabs>
          <w:tab w:val="left" w:pos="875"/>
        </w:tabs>
        <w:spacing w:before="92"/>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3A4E39AF" w14:textId="77777777" w:rsidR="00907C81" w:rsidRPr="00B54567" w:rsidRDefault="00907C81" w:rsidP="00907C81">
      <w:pPr>
        <w:tabs>
          <w:tab w:val="left" w:pos="875"/>
        </w:tabs>
        <w:spacing w:before="92"/>
        <w:ind w:left="-142" w:right="157"/>
        <w:jc w:val="both"/>
        <w:rPr>
          <w:sz w:val="24"/>
        </w:rPr>
      </w:pPr>
    </w:p>
    <w:tbl>
      <w:tblPr>
        <w:tblStyle w:val="Tablaconcuadrcula"/>
        <w:tblW w:w="10065" w:type="dxa"/>
        <w:tblInd w:w="-5" w:type="dxa"/>
        <w:tblLook w:val="04A0" w:firstRow="1" w:lastRow="0" w:firstColumn="1" w:lastColumn="0" w:noHBand="0" w:noVBand="1"/>
      </w:tblPr>
      <w:tblGrid>
        <w:gridCol w:w="7938"/>
        <w:gridCol w:w="2127"/>
      </w:tblGrid>
      <w:tr w:rsidR="00907C81" w:rsidRPr="00B54567" w14:paraId="58081530" w14:textId="77777777" w:rsidTr="00874B2D">
        <w:tc>
          <w:tcPr>
            <w:tcW w:w="7938" w:type="dxa"/>
          </w:tcPr>
          <w:p w14:paraId="6607BE12" w14:textId="77777777" w:rsidR="00907C81" w:rsidRPr="00B54567" w:rsidRDefault="00907C81" w:rsidP="00874B2D">
            <w:pPr>
              <w:tabs>
                <w:tab w:val="left" w:pos="875"/>
              </w:tabs>
              <w:ind w:right="157"/>
              <w:rPr>
                <w:sz w:val="18"/>
                <w:szCs w:val="18"/>
              </w:rPr>
            </w:pPr>
            <w:r w:rsidRPr="00B54567">
              <w:rPr>
                <w:sz w:val="20"/>
                <w:szCs w:val="20"/>
                <w:lang w:val="es-ES_tradnl"/>
              </w:rPr>
              <w:t>Reservas presupuestales constituidas a 31 de diciembre de 2024</w:t>
            </w:r>
          </w:p>
        </w:tc>
        <w:tc>
          <w:tcPr>
            <w:tcW w:w="2127" w:type="dxa"/>
          </w:tcPr>
          <w:p w14:paraId="5213AE07" w14:textId="77777777" w:rsidR="00907C81" w:rsidRPr="00B54567" w:rsidRDefault="00907C81" w:rsidP="00874B2D">
            <w:pPr>
              <w:tabs>
                <w:tab w:val="left" w:pos="875"/>
              </w:tabs>
              <w:jc w:val="right"/>
              <w:rPr>
                <w:sz w:val="18"/>
                <w:szCs w:val="18"/>
              </w:rPr>
            </w:pPr>
            <w:r>
              <w:rPr>
                <w:sz w:val="18"/>
                <w:szCs w:val="18"/>
              </w:rPr>
              <w:t>128.372.526</w:t>
            </w:r>
          </w:p>
        </w:tc>
      </w:tr>
      <w:tr w:rsidR="00907C81" w:rsidRPr="00B54567" w14:paraId="24AA460D" w14:textId="77777777" w:rsidTr="00874B2D">
        <w:tc>
          <w:tcPr>
            <w:tcW w:w="7938" w:type="dxa"/>
          </w:tcPr>
          <w:p w14:paraId="4921B9B0" w14:textId="77777777" w:rsidR="00907C81" w:rsidRPr="00B54567" w:rsidRDefault="00907C81" w:rsidP="00874B2D">
            <w:pPr>
              <w:tabs>
                <w:tab w:val="left" w:pos="875"/>
              </w:tabs>
              <w:ind w:right="157"/>
              <w:rPr>
                <w:sz w:val="18"/>
                <w:szCs w:val="18"/>
              </w:rPr>
            </w:pPr>
            <w:r w:rsidRPr="00B54567">
              <w:rPr>
                <w:sz w:val="20"/>
                <w:szCs w:val="20"/>
                <w:lang w:val="es-ES_tradnl"/>
              </w:rPr>
              <w:t>Cuentas por pagar constituidas a 31 de diciembre de 2024</w:t>
            </w:r>
          </w:p>
        </w:tc>
        <w:tc>
          <w:tcPr>
            <w:tcW w:w="2127" w:type="dxa"/>
          </w:tcPr>
          <w:p w14:paraId="2DDD7A51" w14:textId="77777777" w:rsidR="00907C81" w:rsidRPr="00B54567" w:rsidRDefault="00907C81" w:rsidP="00874B2D">
            <w:pPr>
              <w:tabs>
                <w:tab w:val="left" w:pos="875"/>
              </w:tabs>
              <w:jc w:val="right"/>
              <w:rPr>
                <w:sz w:val="18"/>
                <w:szCs w:val="18"/>
              </w:rPr>
            </w:pPr>
            <w:r>
              <w:rPr>
                <w:sz w:val="18"/>
                <w:szCs w:val="18"/>
              </w:rPr>
              <w:t>1.263.915</w:t>
            </w:r>
          </w:p>
        </w:tc>
      </w:tr>
      <w:tr w:rsidR="00907C81" w:rsidRPr="00B54567" w14:paraId="0ACF5EFE" w14:textId="77777777" w:rsidTr="00874B2D">
        <w:tc>
          <w:tcPr>
            <w:tcW w:w="7938" w:type="dxa"/>
          </w:tcPr>
          <w:p w14:paraId="334E2548" w14:textId="77777777" w:rsidR="00907C81" w:rsidRPr="00B54567" w:rsidRDefault="00907C81"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2127" w:type="dxa"/>
          </w:tcPr>
          <w:p w14:paraId="57F91CB6" w14:textId="77777777" w:rsidR="00907C81" w:rsidRPr="00B54567" w:rsidRDefault="00907C81" w:rsidP="00874B2D">
            <w:pPr>
              <w:tabs>
                <w:tab w:val="left" w:pos="875"/>
              </w:tabs>
              <w:jc w:val="right"/>
              <w:rPr>
                <w:b/>
                <w:sz w:val="18"/>
                <w:szCs w:val="18"/>
                <w:u w:val="single"/>
              </w:rPr>
            </w:pPr>
            <w:r>
              <w:rPr>
                <w:b/>
                <w:sz w:val="18"/>
                <w:szCs w:val="18"/>
                <w:u w:val="single"/>
              </w:rPr>
              <w:t>129.636.441</w:t>
            </w:r>
          </w:p>
        </w:tc>
      </w:tr>
    </w:tbl>
    <w:p w14:paraId="507BE6D4" w14:textId="77777777" w:rsidR="00907C81" w:rsidRPr="00B54567" w:rsidRDefault="00907C81" w:rsidP="00907C81">
      <w:pPr>
        <w:pStyle w:val="Textoindependiente"/>
        <w:spacing w:before="3"/>
      </w:pPr>
    </w:p>
    <w:p w14:paraId="3C532177" w14:textId="77777777" w:rsidR="00907C81" w:rsidRPr="009E43DA" w:rsidRDefault="00907C81" w:rsidP="00AE355A">
      <w:pPr>
        <w:pStyle w:val="Prrafodelista"/>
        <w:tabs>
          <w:tab w:val="left" w:pos="875"/>
        </w:tabs>
        <w:ind w:left="0" w:right="-5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w:t>
      </w:r>
      <w:r w:rsidRPr="009E43DA">
        <w:rPr>
          <w:b/>
          <w:sz w:val="28"/>
          <w:szCs w:val="28"/>
        </w:rPr>
        <w:lastRenderedPageBreak/>
        <w:t>Nación.</w:t>
      </w:r>
    </w:p>
    <w:p w14:paraId="5C37B2E3" w14:textId="77777777" w:rsidR="00907C81" w:rsidRPr="009E43DA" w:rsidRDefault="00907C81" w:rsidP="00907C81">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907C81" w:rsidRPr="00B54567" w14:paraId="61D9424E" w14:textId="77777777" w:rsidTr="00874B2D">
        <w:tc>
          <w:tcPr>
            <w:tcW w:w="709" w:type="dxa"/>
          </w:tcPr>
          <w:p w14:paraId="5FD69471" w14:textId="77777777" w:rsidR="00907C81" w:rsidRPr="00B54567" w:rsidRDefault="00907C81" w:rsidP="00874B2D">
            <w:pPr>
              <w:tabs>
                <w:tab w:val="left" w:pos="875"/>
              </w:tabs>
              <w:ind w:right="-50"/>
              <w:jc w:val="center"/>
              <w:rPr>
                <w:b/>
                <w:sz w:val="20"/>
                <w:szCs w:val="20"/>
              </w:rPr>
            </w:pPr>
            <w:r w:rsidRPr="00B54567">
              <w:rPr>
                <w:b/>
                <w:sz w:val="20"/>
                <w:szCs w:val="20"/>
              </w:rPr>
              <w:t>N°</w:t>
            </w:r>
          </w:p>
        </w:tc>
        <w:tc>
          <w:tcPr>
            <w:tcW w:w="4394" w:type="dxa"/>
          </w:tcPr>
          <w:p w14:paraId="4609950F" w14:textId="77777777" w:rsidR="00907C81" w:rsidRPr="00B54567" w:rsidRDefault="00907C81" w:rsidP="00874B2D">
            <w:pPr>
              <w:tabs>
                <w:tab w:val="left" w:pos="875"/>
              </w:tabs>
              <w:ind w:right="-50"/>
              <w:jc w:val="center"/>
              <w:rPr>
                <w:b/>
                <w:sz w:val="20"/>
                <w:szCs w:val="20"/>
              </w:rPr>
            </w:pPr>
            <w:r w:rsidRPr="00B54567">
              <w:rPr>
                <w:b/>
                <w:sz w:val="20"/>
                <w:szCs w:val="20"/>
              </w:rPr>
              <w:t>Limitaciones del Sistema SIIF II Nación a 31/12/2024</w:t>
            </w:r>
          </w:p>
          <w:p w14:paraId="78A82A66" w14:textId="77777777" w:rsidR="00907C81" w:rsidRPr="00B54567" w:rsidRDefault="00907C81" w:rsidP="00874B2D">
            <w:pPr>
              <w:tabs>
                <w:tab w:val="left" w:pos="875"/>
              </w:tabs>
              <w:ind w:right="-50"/>
              <w:jc w:val="center"/>
              <w:rPr>
                <w:b/>
                <w:sz w:val="20"/>
                <w:szCs w:val="20"/>
              </w:rPr>
            </w:pPr>
          </w:p>
        </w:tc>
        <w:tc>
          <w:tcPr>
            <w:tcW w:w="4820" w:type="dxa"/>
          </w:tcPr>
          <w:p w14:paraId="666F95F8" w14:textId="77777777" w:rsidR="00907C81" w:rsidRPr="00B54567" w:rsidRDefault="00907C81" w:rsidP="00874B2D">
            <w:pPr>
              <w:tabs>
                <w:tab w:val="left" w:pos="875"/>
              </w:tabs>
              <w:ind w:right="-50"/>
              <w:jc w:val="center"/>
              <w:rPr>
                <w:b/>
                <w:sz w:val="20"/>
                <w:szCs w:val="20"/>
              </w:rPr>
            </w:pPr>
            <w:r w:rsidRPr="00B54567">
              <w:rPr>
                <w:b/>
                <w:sz w:val="20"/>
                <w:szCs w:val="20"/>
              </w:rPr>
              <w:t>Descripción de la limitación</w:t>
            </w:r>
          </w:p>
        </w:tc>
      </w:tr>
      <w:tr w:rsidR="00907C81" w:rsidRPr="00B54567" w14:paraId="451B877B" w14:textId="77777777" w:rsidTr="00874B2D">
        <w:tc>
          <w:tcPr>
            <w:tcW w:w="709" w:type="dxa"/>
          </w:tcPr>
          <w:p w14:paraId="66D183CC" w14:textId="77777777" w:rsidR="00907C81" w:rsidRPr="00B54567" w:rsidRDefault="00907C81" w:rsidP="00874B2D">
            <w:pPr>
              <w:tabs>
                <w:tab w:val="left" w:pos="875"/>
              </w:tabs>
              <w:ind w:right="-50"/>
              <w:jc w:val="center"/>
              <w:rPr>
                <w:b/>
                <w:sz w:val="20"/>
                <w:szCs w:val="20"/>
              </w:rPr>
            </w:pPr>
            <w:r>
              <w:rPr>
                <w:b/>
                <w:sz w:val="20"/>
                <w:szCs w:val="20"/>
              </w:rPr>
              <w:t>1</w:t>
            </w:r>
          </w:p>
        </w:tc>
        <w:tc>
          <w:tcPr>
            <w:tcW w:w="4394" w:type="dxa"/>
          </w:tcPr>
          <w:p w14:paraId="0EBA24AB" w14:textId="77777777" w:rsidR="00907C81" w:rsidRPr="00B54567" w:rsidRDefault="00907C81" w:rsidP="00874B2D">
            <w:pPr>
              <w:tabs>
                <w:tab w:val="left" w:pos="875"/>
              </w:tabs>
              <w:ind w:right="-50"/>
              <w:jc w:val="both"/>
              <w:rPr>
                <w:b/>
                <w:sz w:val="20"/>
                <w:szCs w:val="20"/>
              </w:rPr>
            </w:pPr>
            <w:r w:rsidRPr="00B54567">
              <w:rPr>
                <w:b/>
                <w:sz w:val="20"/>
                <w:szCs w:val="20"/>
              </w:rPr>
              <w:t>Operativas:</w:t>
            </w:r>
          </w:p>
        </w:tc>
        <w:tc>
          <w:tcPr>
            <w:tcW w:w="4820" w:type="dxa"/>
          </w:tcPr>
          <w:p w14:paraId="161D7BC1" w14:textId="77777777" w:rsidR="00907C81" w:rsidRPr="006E1CFF" w:rsidRDefault="00907C81" w:rsidP="00874B2D">
            <w:pPr>
              <w:tabs>
                <w:tab w:val="left" w:pos="875"/>
              </w:tabs>
              <w:jc w:val="both"/>
              <w:rPr>
                <w:rFonts w:eastAsia="Verdana"/>
                <w:bCs/>
                <w:sz w:val="20"/>
                <w:szCs w:val="20"/>
              </w:rPr>
            </w:pPr>
            <w:r w:rsidRPr="006E1CFF">
              <w:rPr>
                <w:rFonts w:eastAsia="Verdana"/>
                <w:bCs/>
                <w:sz w:val="20"/>
                <w:szCs w:val="20"/>
              </w:rPr>
              <w:t xml:space="preserve">El </w:t>
            </w:r>
            <w:r>
              <w:rPr>
                <w:rFonts w:eastAsia="Verdana"/>
                <w:bCs/>
                <w:sz w:val="20"/>
                <w:szCs w:val="20"/>
              </w:rPr>
              <w:t>s</w:t>
            </w:r>
            <w:r w:rsidRPr="006E1CFF">
              <w:rPr>
                <w:rFonts w:eastAsia="Verdana"/>
                <w:bCs/>
                <w:sz w:val="20"/>
                <w:szCs w:val="20"/>
              </w:rPr>
              <w:t>istema no integra la totalidad de las operaciones financieras de la entidad, toda vez que no cuenta con los módulos de inventarios, activos fijos, nómina, recursos de inversión y procesos judiciales.</w:t>
            </w:r>
          </w:p>
          <w:p w14:paraId="04216778" w14:textId="77777777" w:rsidR="00907C81" w:rsidRPr="006E1CFF" w:rsidRDefault="00907C81" w:rsidP="00874B2D">
            <w:pPr>
              <w:tabs>
                <w:tab w:val="left" w:pos="875"/>
              </w:tabs>
              <w:jc w:val="both"/>
              <w:rPr>
                <w:rFonts w:eastAsia="Verdana"/>
                <w:bCs/>
                <w:sz w:val="20"/>
                <w:szCs w:val="20"/>
              </w:rPr>
            </w:pPr>
          </w:p>
          <w:p w14:paraId="43FB1022" w14:textId="66490065" w:rsidR="00907C81" w:rsidRPr="006E1CFF" w:rsidRDefault="00907C81" w:rsidP="00874B2D">
            <w:pPr>
              <w:tabs>
                <w:tab w:val="left" w:pos="875"/>
              </w:tabs>
              <w:jc w:val="both"/>
              <w:rPr>
                <w:rFonts w:eastAsia="Verdana"/>
                <w:bCs/>
                <w:sz w:val="20"/>
                <w:szCs w:val="20"/>
              </w:rPr>
            </w:pPr>
            <w:r w:rsidRPr="006E1CFF">
              <w:rPr>
                <w:rFonts w:eastAsia="Verdana"/>
                <w:bCs/>
                <w:sz w:val="20"/>
                <w:szCs w:val="20"/>
              </w:rPr>
              <w:t>Por lo anterior, es necesario realizar registros mediante la nueva tipología de comprobantes manuales en el sistema de las siguientes operaciones: Manejo de bienes, depreciación, amortización y deterioro, amortización de bienes y servicios pagados por anticipado, litigios, demandas y laudos arbitrales y recursos de inversión.</w:t>
            </w:r>
          </w:p>
          <w:p w14:paraId="11A6BFDF" w14:textId="77777777" w:rsidR="00907C81" w:rsidRPr="00B54567" w:rsidRDefault="00907C81" w:rsidP="00874B2D">
            <w:pPr>
              <w:tabs>
                <w:tab w:val="left" w:pos="875"/>
              </w:tabs>
              <w:ind w:right="-50"/>
              <w:jc w:val="both"/>
              <w:rPr>
                <w:sz w:val="20"/>
                <w:szCs w:val="20"/>
              </w:rPr>
            </w:pPr>
            <w:r w:rsidRPr="006E1CFF">
              <w:rPr>
                <w:rFonts w:eastAsia="Verdana"/>
                <w:bCs/>
                <w:sz w:val="20"/>
                <w:szCs w:val="20"/>
              </w:rPr>
              <w:t>De manera consecuente y teniendo en cuenta que no se dispone con las funcionalidades que ayuden a integrar los sistemas de información auxiliares de la entidad con el SIIF Nación, limita la oportunidad y eficacia de seguimiento a la traza contable de las operaciones relacionadas con el reconocimiento de los hechos derivados de estos auxiliares.</w:t>
            </w:r>
          </w:p>
        </w:tc>
      </w:tr>
      <w:tr w:rsidR="00907C81" w:rsidRPr="00B54567" w14:paraId="55459E44" w14:textId="77777777" w:rsidTr="00874B2D">
        <w:tc>
          <w:tcPr>
            <w:tcW w:w="709" w:type="dxa"/>
          </w:tcPr>
          <w:p w14:paraId="4C295FBC" w14:textId="77777777" w:rsidR="00907C81" w:rsidRPr="00B54567" w:rsidRDefault="00907C81" w:rsidP="00874B2D">
            <w:pPr>
              <w:tabs>
                <w:tab w:val="left" w:pos="875"/>
              </w:tabs>
              <w:ind w:right="-50"/>
              <w:jc w:val="center"/>
              <w:rPr>
                <w:b/>
                <w:sz w:val="20"/>
                <w:szCs w:val="20"/>
              </w:rPr>
            </w:pPr>
            <w:r>
              <w:rPr>
                <w:b/>
                <w:sz w:val="20"/>
                <w:szCs w:val="20"/>
              </w:rPr>
              <w:t>2</w:t>
            </w:r>
          </w:p>
        </w:tc>
        <w:tc>
          <w:tcPr>
            <w:tcW w:w="4394" w:type="dxa"/>
          </w:tcPr>
          <w:p w14:paraId="6A4A9845" w14:textId="77777777" w:rsidR="00907C81" w:rsidRPr="00B54567" w:rsidRDefault="00907C81" w:rsidP="00874B2D">
            <w:pPr>
              <w:tabs>
                <w:tab w:val="left" w:pos="875"/>
              </w:tabs>
              <w:ind w:right="-50"/>
              <w:jc w:val="both"/>
              <w:rPr>
                <w:b/>
                <w:sz w:val="20"/>
                <w:szCs w:val="20"/>
              </w:rPr>
            </w:pPr>
            <w:r w:rsidRPr="00B54567">
              <w:rPr>
                <w:b/>
                <w:sz w:val="20"/>
                <w:szCs w:val="20"/>
              </w:rPr>
              <w:t>Otras:</w:t>
            </w:r>
          </w:p>
        </w:tc>
        <w:tc>
          <w:tcPr>
            <w:tcW w:w="4820" w:type="dxa"/>
          </w:tcPr>
          <w:p w14:paraId="4AC07B43" w14:textId="77777777" w:rsidR="00907C81" w:rsidRPr="00B54567" w:rsidRDefault="00907C81" w:rsidP="00874B2D">
            <w:pPr>
              <w:tabs>
                <w:tab w:val="left" w:pos="875"/>
              </w:tabs>
              <w:ind w:right="-50"/>
              <w:jc w:val="both"/>
              <w:rPr>
                <w:sz w:val="20"/>
                <w:szCs w:val="20"/>
              </w:rPr>
            </w:pPr>
            <w:r w:rsidRPr="006E1CFF">
              <w:rPr>
                <w:rFonts w:eastAsia="Verdana"/>
                <w:bCs/>
                <w:sz w:val="20"/>
                <w:szCs w:val="20"/>
              </w:rPr>
              <w:t xml:space="preserve">El SIIF Nación no tiene parametrizado con tercero las subcuentas del grupo 15-Inventarios, considerando que en atención a doctrina emitida por la CGN el Fondo registra erogaciones a contratistas que temporalmente se controlan en estas subcuentas que posteriormente son reconocidas como gasto público social. </w:t>
            </w:r>
          </w:p>
        </w:tc>
      </w:tr>
    </w:tbl>
    <w:p w14:paraId="6AD58A3E" w14:textId="77777777" w:rsidR="00907C81" w:rsidRDefault="00907C81" w:rsidP="00907C81">
      <w:pPr>
        <w:tabs>
          <w:tab w:val="left" w:pos="875"/>
        </w:tabs>
        <w:ind w:left="-142" w:right="-50"/>
        <w:jc w:val="both"/>
        <w:rPr>
          <w:rFonts w:ascii="Times New Roman" w:hAnsi="Times New Roman"/>
          <w:sz w:val="24"/>
        </w:rPr>
      </w:pPr>
    </w:p>
    <w:p w14:paraId="1D2549D0" w14:textId="77777777" w:rsidR="00907C81" w:rsidRDefault="00907C81" w:rsidP="00907C81">
      <w:pPr>
        <w:jc w:val="both"/>
        <w:rPr>
          <w:sz w:val="24"/>
          <w:szCs w:val="24"/>
        </w:rPr>
      </w:pPr>
      <w:r>
        <w:rPr>
          <w:b/>
        </w:rPr>
        <w:t xml:space="preserve">DE LAS NOTAS DE CARÁCTER GENERAL – 1.2.2. Limitaciones y Deficiencias de Tipo Operativo y Administrativo:  </w:t>
      </w:r>
      <w:r w:rsidRPr="00253D26">
        <w:rPr>
          <w:sz w:val="24"/>
          <w:szCs w:val="24"/>
        </w:rPr>
        <w:t>Se presentan limitaciones con el sistema SIIF Nación el cual fue regulado mediante el Decreto 1068 del 26 de mayo de 2015 “</w:t>
      </w:r>
      <w:r w:rsidRPr="00253D26">
        <w:rPr>
          <w:i/>
          <w:sz w:val="24"/>
          <w:szCs w:val="24"/>
        </w:rPr>
        <w:t>Por medio del cual se expide el Decreto Único Reglamentario del Sector Hacienda y Crédito Público</w:t>
      </w:r>
      <w:r w:rsidRPr="00253D26">
        <w:rPr>
          <w:sz w:val="24"/>
          <w:szCs w:val="24"/>
        </w:rPr>
        <w:t>” y compiló las normas que determinan el marco para la administración, implantación, operatividad y aplicabilidad del Sistema Integrado de Información Financiera SIIF-Nación.</w:t>
      </w:r>
    </w:p>
    <w:p w14:paraId="3A8D6995" w14:textId="77777777" w:rsidR="00907C81" w:rsidRDefault="00907C81" w:rsidP="00907C81">
      <w:pPr>
        <w:jc w:val="both"/>
        <w:rPr>
          <w:sz w:val="24"/>
          <w:szCs w:val="24"/>
        </w:rPr>
      </w:pPr>
    </w:p>
    <w:p w14:paraId="5E185BBC" w14:textId="77777777" w:rsidR="00907C81" w:rsidRPr="00253D26" w:rsidRDefault="00907C81" w:rsidP="00907C81">
      <w:pPr>
        <w:jc w:val="both"/>
        <w:rPr>
          <w:sz w:val="24"/>
          <w:szCs w:val="24"/>
        </w:rPr>
      </w:pPr>
      <w:r w:rsidRPr="00253D26">
        <w:rPr>
          <w:sz w:val="24"/>
          <w:szCs w:val="24"/>
        </w:rPr>
        <w:t xml:space="preserve"> Las principales deficiencias se dan debido a que dicho sistema no cuenta con los módulos de inventarios, activos fijos, nómina y recursos de inversión, es necesario realizar registros mediante comprobantes manuales en el sistema de las siguientes operaciones:</w:t>
      </w:r>
    </w:p>
    <w:p w14:paraId="678416A2" w14:textId="77777777" w:rsidR="00907C81" w:rsidRPr="00CD54D5" w:rsidRDefault="00907C81" w:rsidP="00907C81">
      <w:pPr>
        <w:widowControl/>
        <w:numPr>
          <w:ilvl w:val="0"/>
          <w:numId w:val="27"/>
        </w:numPr>
        <w:pBdr>
          <w:top w:val="nil"/>
          <w:left w:val="nil"/>
          <w:bottom w:val="nil"/>
          <w:right w:val="nil"/>
          <w:between w:val="nil"/>
        </w:pBdr>
        <w:autoSpaceDE/>
        <w:autoSpaceDN/>
        <w:jc w:val="both"/>
        <w:rPr>
          <w:color w:val="000000"/>
          <w:sz w:val="24"/>
          <w:szCs w:val="24"/>
        </w:rPr>
      </w:pPr>
      <w:r w:rsidRPr="00253D26">
        <w:rPr>
          <w:color w:val="000000"/>
          <w:sz w:val="24"/>
          <w:szCs w:val="24"/>
        </w:rPr>
        <w:t>Manejo de bienes: Registros de los movimientos de almacén como salidas, reintegros, bajas, responsabilidades, entre otros.</w:t>
      </w:r>
    </w:p>
    <w:p w14:paraId="51652ECD" w14:textId="77777777" w:rsidR="00907C81" w:rsidRPr="00CD54D5" w:rsidRDefault="00907C81" w:rsidP="00907C81">
      <w:pPr>
        <w:pStyle w:val="Textoindependiente"/>
        <w:ind w:right="-50"/>
        <w:jc w:val="both"/>
        <w:rPr>
          <w:bCs/>
        </w:rPr>
      </w:pPr>
    </w:p>
    <w:p w14:paraId="31C1422B" w14:textId="77777777" w:rsidR="00907C81" w:rsidRPr="00CD54D5" w:rsidRDefault="00907C81" w:rsidP="00907C81">
      <w:pPr>
        <w:widowControl/>
        <w:numPr>
          <w:ilvl w:val="0"/>
          <w:numId w:val="27"/>
        </w:numPr>
        <w:pBdr>
          <w:top w:val="nil"/>
          <w:left w:val="nil"/>
          <w:bottom w:val="nil"/>
          <w:right w:val="nil"/>
          <w:between w:val="nil"/>
        </w:pBdr>
        <w:autoSpaceDE/>
        <w:autoSpaceDN/>
        <w:jc w:val="both"/>
        <w:rPr>
          <w:color w:val="000000"/>
          <w:sz w:val="24"/>
          <w:szCs w:val="24"/>
        </w:rPr>
      </w:pPr>
      <w:r w:rsidRPr="00CD54D5">
        <w:rPr>
          <w:color w:val="000000"/>
          <w:sz w:val="24"/>
          <w:szCs w:val="24"/>
        </w:rPr>
        <w:t>Depreciación, amortización y deterioro: Registro de la depreciación de Propiedad, Planta y Equipo, así como pérdidas de deterioro de activos cuando haya lugar.</w:t>
      </w:r>
    </w:p>
    <w:p w14:paraId="5E144156" w14:textId="77777777" w:rsidR="00907C81" w:rsidRPr="00CD54D5" w:rsidRDefault="00907C81" w:rsidP="00907C81">
      <w:pPr>
        <w:widowControl/>
        <w:pBdr>
          <w:top w:val="nil"/>
          <w:left w:val="nil"/>
          <w:bottom w:val="nil"/>
          <w:right w:val="nil"/>
          <w:between w:val="nil"/>
        </w:pBdr>
        <w:autoSpaceDE/>
        <w:autoSpaceDN/>
        <w:ind w:left="502"/>
        <w:jc w:val="both"/>
        <w:rPr>
          <w:sz w:val="24"/>
          <w:szCs w:val="24"/>
        </w:rPr>
      </w:pPr>
    </w:p>
    <w:p w14:paraId="4A1B78A7" w14:textId="77777777" w:rsidR="00907C81" w:rsidRPr="00CD54D5" w:rsidRDefault="00907C81" w:rsidP="00907C81">
      <w:pPr>
        <w:widowControl/>
        <w:numPr>
          <w:ilvl w:val="0"/>
          <w:numId w:val="27"/>
        </w:numPr>
        <w:pBdr>
          <w:top w:val="nil"/>
          <w:left w:val="nil"/>
          <w:bottom w:val="nil"/>
          <w:right w:val="nil"/>
          <w:between w:val="nil"/>
        </w:pBdr>
        <w:autoSpaceDE/>
        <w:autoSpaceDN/>
        <w:jc w:val="both"/>
        <w:rPr>
          <w:sz w:val="24"/>
          <w:szCs w:val="24"/>
        </w:rPr>
      </w:pPr>
      <w:r w:rsidRPr="00CD54D5">
        <w:rPr>
          <w:color w:val="000000"/>
          <w:sz w:val="24"/>
          <w:szCs w:val="24"/>
        </w:rPr>
        <w:t>Amortización bienes y servicios pagados por anticipado: Corresponde a los registros por amortizaciones de gastos, así como de otros conceptos por gastos pagados por anticipado.</w:t>
      </w:r>
    </w:p>
    <w:p w14:paraId="1AF0748A" w14:textId="77777777" w:rsidR="00907C81" w:rsidRDefault="00907C81" w:rsidP="00907C81">
      <w:pPr>
        <w:widowControl/>
        <w:pBdr>
          <w:top w:val="nil"/>
          <w:left w:val="nil"/>
          <w:bottom w:val="nil"/>
          <w:right w:val="nil"/>
          <w:between w:val="nil"/>
        </w:pBdr>
        <w:autoSpaceDE/>
        <w:autoSpaceDN/>
        <w:ind w:left="502"/>
        <w:jc w:val="both"/>
        <w:rPr>
          <w:color w:val="000000"/>
          <w:sz w:val="24"/>
          <w:szCs w:val="24"/>
        </w:rPr>
      </w:pPr>
    </w:p>
    <w:p w14:paraId="15B38BC1" w14:textId="77777777" w:rsidR="00907C81" w:rsidRPr="00CD54D5" w:rsidRDefault="00907C81" w:rsidP="00907C81">
      <w:pPr>
        <w:widowControl/>
        <w:numPr>
          <w:ilvl w:val="0"/>
          <w:numId w:val="27"/>
        </w:numPr>
        <w:pBdr>
          <w:top w:val="nil"/>
          <w:left w:val="nil"/>
          <w:bottom w:val="nil"/>
          <w:right w:val="nil"/>
          <w:between w:val="nil"/>
        </w:pBdr>
        <w:autoSpaceDE/>
        <w:autoSpaceDN/>
        <w:jc w:val="both"/>
        <w:rPr>
          <w:color w:val="000000"/>
          <w:sz w:val="24"/>
          <w:szCs w:val="24"/>
        </w:rPr>
      </w:pPr>
      <w:r w:rsidRPr="00CD54D5">
        <w:rPr>
          <w:color w:val="000000"/>
          <w:sz w:val="24"/>
          <w:szCs w:val="24"/>
        </w:rPr>
        <w:lastRenderedPageBreak/>
        <w:t>Litigios, Demandas y Laudos arbitrales: Operaciones relacionadas con las demandas a favor y en contra de la entidad, tales como pretensiones, provisiones para pasivos contingentes, pasivos reales y deudores.</w:t>
      </w:r>
    </w:p>
    <w:p w14:paraId="240538BE" w14:textId="77777777" w:rsidR="00907C81" w:rsidRPr="00CD54D5" w:rsidRDefault="00907C81" w:rsidP="00907C81">
      <w:pPr>
        <w:pBdr>
          <w:top w:val="nil"/>
          <w:left w:val="nil"/>
          <w:bottom w:val="nil"/>
          <w:right w:val="nil"/>
          <w:between w:val="nil"/>
        </w:pBdr>
        <w:ind w:left="720"/>
        <w:jc w:val="both"/>
        <w:rPr>
          <w:color w:val="000000"/>
          <w:sz w:val="24"/>
          <w:szCs w:val="24"/>
        </w:rPr>
      </w:pPr>
    </w:p>
    <w:p w14:paraId="775E8B64" w14:textId="77777777" w:rsidR="00907C81" w:rsidRPr="00CD54D5" w:rsidRDefault="00907C81" w:rsidP="00907C81">
      <w:pPr>
        <w:jc w:val="both"/>
        <w:rPr>
          <w:sz w:val="24"/>
          <w:szCs w:val="24"/>
        </w:rPr>
      </w:pPr>
      <w:r w:rsidRPr="00CD54D5">
        <w:rPr>
          <w:sz w:val="24"/>
          <w:szCs w:val="24"/>
        </w:rPr>
        <w:t>Así mismo, y teniendo en cuenta que la ejecución presupuestal del gasto de inversión administrado en patrimonios autónomos no se produce de manera automática en el Sistema Integrado de Información Financiera SIIF-Nación, el movimiento de ingresos y egresos de la Fiduciaria se registran a través de comprobantes manuales (</w:t>
      </w:r>
      <w:r>
        <w:rPr>
          <w:sz w:val="24"/>
          <w:szCs w:val="24"/>
        </w:rPr>
        <w:t>T</w:t>
      </w:r>
      <w:r w:rsidRPr="00CD54D5">
        <w:rPr>
          <w:sz w:val="24"/>
          <w:szCs w:val="24"/>
        </w:rPr>
        <w:t>ransaccional o archivo plano), los cuales se realizan de forma diaria, debido a que la contabilidad es llevada por las Fiducias contratadas y el Fondo hace réplica de las operaciones en su contabilidad.</w:t>
      </w:r>
    </w:p>
    <w:p w14:paraId="01166847" w14:textId="77777777" w:rsidR="00907C81" w:rsidRPr="00CD54D5" w:rsidRDefault="00907C81" w:rsidP="00907C81">
      <w:pPr>
        <w:jc w:val="both"/>
        <w:rPr>
          <w:sz w:val="24"/>
          <w:szCs w:val="24"/>
        </w:rPr>
      </w:pPr>
    </w:p>
    <w:p w14:paraId="53AB2377" w14:textId="77777777" w:rsidR="00907C81" w:rsidRPr="00CD54D5" w:rsidRDefault="00907C81" w:rsidP="00907C81">
      <w:pPr>
        <w:jc w:val="both"/>
        <w:rPr>
          <w:sz w:val="24"/>
          <w:szCs w:val="24"/>
        </w:rPr>
      </w:pPr>
      <w:r w:rsidRPr="00CD54D5">
        <w:rPr>
          <w:sz w:val="24"/>
          <w:szCs w:val="24"/>
        </w:rPr>
        <w:t>Es preciso señalar, que aún no se cuenta con las funcionalidades que ayuden a integrar los sistemas de información auxiliares de la entidad con el SIIF Nación, aspecto que limita la oportunidad y eficacia de seguimiento a la traza contable de las operaciones relacionadas con el reconocimiento de los hechos derivados de tales subsistemas.</w:t>
      </w:r>
    </w:p>
    <w:p w14:paraId="677C647F" w14:textId="77777777" w:rsidR="00907C81" w:rsidRPr="00CD54D5" w:rsidRDefault="00907C81" w:rsidP="00907C81">
      <w:pPr>
        <w:jc w:val="both"/>
        <w:rPr>
          <w:sz w:val="24"/>
          <w:szCs w:val="24"/>
        </w:rPr>
      </w:pPr>
    </w:p>
    <w:p w14:paraId="2A284064" w14:textId="77777777" w:rsidR="00907C81" w:rsidRPr="00CD54D5" w:rsidRDefault="00907C81" w:rsidP="00907C81">
      <w:pPr>
        <w:jc w:val="both"/>
        <w:rPr>
          <w:sz w:val="24"/>
          <w:szCs w:val="24"/>
        </w:rPr>
      </w:pPr>
      <w:r w:rsidRPr="00CD54D5">
        <w:rPr>
          <w:sz w:val="24"/>
          <w:szCs w:val="24"/>
        </w:rPr>
        <w:t>Adicional, SIIF Nación no tiene parametrizado con tercero las subcuentas del grupo 15-Inventarios, mediante radicado E-2022-001680 de fecha 30 de marzo de 2022 se solicitó concepto a la Contaduría General de la Nación para estudiar la viabilidad de la creación de terceros para las subcuentas del grupo 15-Inventarios de acuerdo con la misionalidad del Fondo, debido a que en estas subcuentas se reconocen los bienes inmuebles adquiridos por el Fondo Adaptación para ser entregados a título gratuito a la comunidad y a los entes territoriales en cumplimiento del objeto misional de la entidad, de acuerdo con el concepto emitido por la Contaduría General de la Nación de fecha 16 de junio de 2020.</w:t>
      </w:r>
    </w:p>
    <w:p w14:paraId="653B1784" w14:textId="77777777" w:rsidR="00907C81" w:rsidRPr="00CD54D5" w:rsidRDefault="00907C81" w:rsidP="00907C81">
      <w:pPr>
        <w:jc w:val="both"/>
        <w:rPr>
          <w:sz w:val="24"/>
          <w:szCs w:val="24"/>
        </w:rPr>
      </w:pPr>
    </w:p>
    <w:p w14:paraId="2701FEF8" w14:textId="77777777" w:rsidR="00907C81" w:rsidRPr="00CD54D5" w:rsidRDefault="00907C81" w:rsidP="00907C81">
      <w:pPr>
        <w:jc w:val="both"/>
        <w:rPr>
          <w:sz w:val="24"/>
          <w:szCs w:val="24"/>
        </w:rPr>
      </w:pPr>
      <w:r w:rsidRPr="00CD54D5">
        <w:rPr>
          <w:sz w:val="24"/>
          <w:szCs w:val="24"/>
        </w:rPr>
        <w:t>En respuesta de la Subcontaduría de Centralización de la Información-GIT SIIN (SIIF Nación) en los siguientes términos:</w:t>
      </w:r>
    </w:p>
    <w:p w14:paraId="129F25AC" w14:textId="77777777" w:rsidR="00907C81" w:rsidRPr="00CD54D5" w:rsidRDefault="00907C81" w:rsidP="00907C81">
      <w:pPr>
        <w:jc w:val="both"/>
        <w:rPr>
          <w:sz w:val="24"/>
          <w:szCs w:val="24"/>
        </w:rPr>
      </w:pPr>
    </w:p>
    <w:p w14:paraId="7E74E616" w14:textId="77777777" w:rsidR="00907C81" w:rsidRPr="00CD54D5" w:rsidRDefault="00907C81" w:rsidP="00907C81">
      <w:pPr>
        <w:jc w:val="both"/>
        <w:rPr>
          <w:i/>
          <w:sz w:val="24"/>
          <w:szCs w:val="24"/>
        </w:rPr>
      </w:pPr>
      <w:r w:rsidRPr="00CD54D5">
        <w:rPr>
          <w:sz w:val="24"/>
          <w:szCs w:val="24"/>
        </w:rPr>
        <w:t>“</w:t>
      </w:r>
      <w:r w:rsidRPr="00CD54D5">
        <w:rPr>
          <w:i/>
          <w:sz w:val="24"/>
          <w:szCs w:val="24"/>
        </w:rPr>
        <w:t>La solicitud no procede, el sistema se encuentra parametrizado conforme al Marco Normativo para Entidades de Gobierno. El Catálogo General de Cuentas-CGC, describe que el grupo 15-Inventarios agrupa los activos adquiridos, los que se encuentran en proceso de transformación y los producidos.</w:t>
      </w:r>
    </w:p>
    <w:p w14:paraId="65ABD971" w14:textId="77777777" w:rsidR="00907C81" w:rsidRPr="00CD54D5" w:rsidRDefault="00907C81" w:rsidP="00907C81">
      <w:pPr>
        <w:jc w:val="both"/>
        <w:rPr>
          <w:i/>
          <w:sz w:val="24"/>
          <w:szCs w:val="24"/>
        </w:rPr>
      </w:pPr>
    </w:p>
    <w:p w14:paraId="0CC1C335" w14:textId="77777777" w:rsidR="00907C81" w:rsidRPr="00CD54D5" w:rsidRDefault="00907C81" w:rsidP="00907C81">
      <w:pPr>
        <w:jc w:val="both"/>
        <w:rPr>
          <w:sz w:val="24"/>
          <w:szCs w:val="24"/>
        </w:rPr>
      </w:pPr>
      <w:r w:rsidRPr="00CD54D5">
        <w:rPr>
          <w:i/>
          <w:sz w:val="24"/>
          <w:szCs w:val="24"/>
        </w:rPr>
        <w:t xml:space="preserve">La parametrización de cuentas con la marca Tercero-TER, se realiza con el fin de identificar y asociar personas naturales o jurídicas al código contable, </w:t>
      </w:r>
      <w:r w:rsidRPr="00CD54D5">
        <w:rPr>
          <w:b/>
          <w:i/>
          <w:sz w:val="24"/>
          <w:szCs w:val="24"/>
        </w:rPr>
        <w:t>por lo que se concluye que no procede la parametrización de terceros tratándose de registros en las subcuentas de la cuenta 1520-PRODUCTOS EN PROCESO y 1505-BIENES PRODUCIDOS</w:t>
      </w:r>
      <w:r w:rsidRPr="00CD54D5">
        <w:rPr>
          <w:i/>
          <w:sz w:val="24"/>
          <w:szCs w:val="24"/>
        </w:rPr>
        <w:t>, tal como lo refiere el concepto de respuesta de la CGN radicado No. 20202000022631 del 16 de junio de 2020, el reconocimiento en la subcuenta 152002, se debe realizar por el monto de los recursos que han sido empleados durante su ejecución y finalizada la construcción de las obras, éstas deben ser reclasificadas a la subcuenta 150502-Construcciones, hasta el momento en el cual se realice su transferencia a una entidad pública o a la comunidad</w:t>
      </w:r>
      <w:r w:rsidRPr="00CD54D5">
        <w:rPr>
          <w:sz w:val="24"/>
          <w:szCs w:val="24"/>
        </w:rPr>
        <w:t>.” (Negrilla fuera de texto).</w:t>
      </w:r>
    </w:p>
    <w:p w14:paraId="006A851A" w14:textId="77777777" w:rsidR="00907C81" w:rsidRPr="00CD54D5" w:rsidRDefault="00907C81" w:rsidP="00907C81">
      <w:pPr>
        <w:jc w:val="both"/>
        <w:rPr>
          <w:sz w:val="24"/>
          <w:szCs w:val="24"/>
        </w:rPr>
      </w:pPr>
    </w:p>
    <w:p w14:paraId="1180D671" w14:textId="77777777" w:rsidR="00907C81" w:rsidRPr="00CD54D5" w:rsidRDefault="00907C81" w:rsidP="00907C81">
      <w:pPr>
        <w:jc w:val="both"/>
        <w:rPr>
          <w:sz w:val="24"/>
          <w:szCs w:val="24"/>
        </w:rPr>
      </w:pPr>
      <w:r w:rsidRPr="00CD54D5">
        <w:rPr>
          <w:b/>
          <w:sz w:val="24"/>
          <w:szCs w:val="24"/>
        </w:rPr>
        <w:t>Integralidad del Sistema Integrado de Información Financiera SIIF-Nación:</w:t>
      </w:r>
      <w:r>
        <w:rPr>
          <w:b/>
          <w:sz w:val="24"/>
          <w:szCs w:val="24"/>
        </w:rPr>
        <w:t xml:space="preserve"> </w:t>
      </w:r>
      <w:r w:rsidRPr="00CD54D5">
        <w:rPr>
          <w:sz w:val="24"/>
          <w:szCs w:val="24"/>
        </w:rPr>
        <w:t>Se tienen sistemas paralelos como ekogui (</w:t>
      </w:r>
      <w:r>
        <w:rPr>
          <w:sz w:val="24"/>
          <w:szCs w:val="24"/>
        </w:rPr>
        <w:t>P</w:t>
      </w:r>
      <w:r w:rsidRPr="00CD54D5">
        <w:rPr>
          <w:sz w:val="24"/>
          <w:szCs w:val="24"/>
        </w:rPr>
        <w:t>rocesos judiciales), Software People Net Meta 4 (</w:t>
      </w:r>
      <w:r>
        <w:rPr>
          <w:sz w:val="24"/>
          <w:szCs w:val="24"/>
        </w:rPr>
        <w:t>O</w:t>
      </w:r>
      <w:r w:rsidRPr="00CD54D5">
        <w:rPr>
          <w:sz w:val="24"/>
          <w:szCs w:val="24"/>
        </w:rPr>
        <w:t>peraciones de nómina, prestaciones y otras del talento humano), SIFA y múltiples bases de datos en Excel. Este manejo diverso y disperso, ocasiona riesgos en la operatividad, que son mitigados mediante operaciones de conciliación.</w:t>
      </w:r>
    </w:p>
    <w:p w14:paraId="16AF7609" w14:textId="77777777" w:rsidR="00907C81" w:rsidRPr="00CD54D5" w:rsidRDefault="00907C81" w:rsidP="00907C81">
      <w:pPr>
        <w:jc w:val="both"/>
        <w:rPr>
          <w:sz w:val="24"/>
          <w:szCs w:val="24"/>
        </w:rPr>
      </w:pPr>
    </w:p>
    <w:p w14:paraId="644FF319" w14:textId="77777777" w:rsidR="00907C81" w:rsidRDefault="00907C81" w:rsidP="00907C81">
      <w:pPr>
        <w:jc w:val="both"/>
        <w:rPr>
          <w:sz w:val="24"/>
          <w:szCs w:val="24"/>
        </w:rPr>
      </w:pPr>
      <w:r w:rsidRPr="00CD54D5">
        <w:rPr>
          <w:b/>
          <w:sz w:val="24"/>
          <w:szCs w:val="24"/>
        </w:rPr>
        <w:t>Otros limitantes:</w:t>
      </w:r>
      <w:r>
        <w:rPr>
          <w:b/>
          <w:sz w:val="24"/>
          <w:szCs w:val="24"/>
        </w:rPr>
        <w:t xml:space="preserve"> </w:t>
      </w:r>
      <w:r w:rsidRPr="00CD54D5">
        <w:rPr>
          <w:sz w:val="24"/>
          <w:szCs w:val="24"/>
        </w:rPr>
        <w:t xml:space="preserve">Se presentan limitantes en la información que se recibe de las diversas áreas, debido a que alguna información no es suministrada de manera oportuna y con la calidad que se requiere.  </w:t>
      </w:r>
    </w:p>
    <w:p w14:paraId="6A2DF4A3" w14:textId="77777777" w:rsidR="00907C81" w:rsidRPr="00CD54D5" w:rsidRDefault="00907C81" w:rsidP="00907C81">
      <w:pPr>
        <w:jc w:val="both"/>
        <w:rPr>
          <w:sz w:val="24"/>
          <w:szCs w:val="24"/>
        </w:rPr>
      </w:pPr>
    </w:p>
    <w:p w14:paraId="000EFE9D" w14:textId="77777777" w:rsidR="00907C81" w:rsidRPr="00CD54D5" w:rsidRDefault="00907C81" w:rsidP="00907C81">
      <w:pPr>
        <w:jc w:val="both"/>
        <w:rPr>
          <w:sz w:val="24"/>
          <w:szCs w:val="24"/>
        </w:rPr>
      </w:pPr>
      <w:r w:rsidRPr="00CD54D5">
        <w:rPr>
          <w:sz w:val="24"/>
          <w:szCs w:val="24"/>
        </w:rPr>
        <w:t>Cómo recurso humano, el área cuenta con siete personas tiempo completo: El Asesor, encargado del Equipo de Gestión Financiera Contabilidad (Asesora II Gestión Financiera Encargada), un (1) profesional de planta y Cinco (5) contratistas.</w:t>
      </w:r>
    </w:p>
    <w:p w14:paraId="5A4A8801" w14:textId="77777777" w:rsidR="00907C81" w:rsidRPr="00CD54D5" w:rsidRDefault="00907C81" w:rsidP="00907C81">
      <w:pPr>
        <w:jc w:val="both"/>
        <w:rPr>
          <w:sz w:val="24"/>
          <w:szCs w:val="24"/>
        </w:rPr>
      </w:pPr>
    </w:p>
    <w:p w14:paraId="78506654" w14:textId="77777777" w:rsidR="00907C81" w:rsidRPr="00CD54D5" w:rsidRDefault="00907C81" w:rsidP="00907C81">
      <w:pPr>
        <w:pStyle w:val="Textoindependiente"/>
        <w:ind w:right="-50"/>
        <w:jc w:val="both"/>
        <w:rPr>
          <w:b/>
        </w:rPr>
      </w:pPr>
      <w:r w:rsidRPr="00CD54D5">
        <w:t>El Manual de Políticas y Lineamientos Contables y las guías de aplicación complementarias del Fondo Adaptación deben seguir en proceso de actualización, conforme a las Normas de Reconocimiento y doctrina contable de la Contaduría General de la Nación (CGN).</w:t>
      </w:r>
    </w:p>
    <w:p w14:paraId="3F72956F" w14:textId="77777777" w:rsidR="00907C81" w:rsidRDefault="00907C81" w:rsidP="00907C81">
      <w:pPr>
        <w:pStyle w:val="Textoindependiente"/>
        <w:ind w:right="-50"/>
        <w:jc w:val="both"/>
        <w:rPr>
          <w:b/>
          <w:sz w:val="28"/>
          <w:szCs w:val="28"/>
        </w:rPr>
      </w:pPr>
    </w:p>
    <w:p w14:paraId="29DB92FA" w14:textId="77777777" w:rsidR="00907C81" w:rsidRDefault="00907C81" w:rsidP="00907C81">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67A23784" w14:textId="77777777" w:rsidR="00907C81" w:rsidRDefault="00907C81" w:rsidP="00907C81">
      <w:pPr>
        <w:pStyle w:val="Textoindependiente"/>
        <w:ind w:right="-50"/>
        <w:jc w:val="both"/>
        <w:rPr>
          <w:bCs/>
        </w:rPr>
      </w:pPr>
    </w:p>
    <w:p w14:paraId="5538B3B8" w14:textId="77777777" w:rsidR="00907C81" w:rsidRPr="000B4EA5" w:rsidRDefault="00907C81" w:rsidP="00907C81">
      <w:pPr>
        <w:pStyle w:val="Textoindependiente"/>
        <w:ind w:right="-50"/>
        <w:jc w:val="both"/>
        <w:rPr>
          <w:bCs/>
        </w:rPr>
      </w:pPr>
      <w:r>
        <w:rPr>
          <w:b/>
        </w:rPr>
        <w:t xml:space="preserve">NOTA: </w:t>
      </w:r>
      <w:r>
        <w:rPr>
          <w:bCs/>
        </w:rPr>
        <w:t>Los estados financieros remitidos por el Fondo con corte a 31 de diciembre de 2024, no están firmados por el representante legal, la secretaria general y el contador de la entidad.</w:t>
      </w:r>
    </w:p>
    <w:p w14:paraId="7B5381D7" w14:textId="77777777" w:rsidR="00907C81" w:rsidRPr="000B4EA5" w:rsidRDefault="00907C81" w:rsidP="00907C81">
      <w:pPr>
        <w:pStyle w:val="Textoindependiente"/>
        <w:ind w:right="-50"/>
        <w:jc w:val="both"/>
        <w:rPr>
          <w:bCs/>
        </w:rPr>
      </w:pPr>
    </w:p>
    <w:p w14:paraId="4DA919CE" w14:textId="77777777" w:rsidR="00907C81" w:rsidRDefault="00907C81" w:rsidP="00907C81">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6B4FC1AF" w14:textId="77777777" w:rsidR="00907C81" w:rsidRDefault="00907C81" w:rsidP="00907C81">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907C81" w:rsidRPr="00FF673A" w14:paraId="0462094A" w14:textId="77777777" w:rsidTr="00874B2D">
        <w:tc>
          <w:tcPr>
            <w:tcW w:w="1134" w:type="dxa"/>
          </w:tcPr>
          <w:p w14:paraId="6DC64C36" w14:textId="77777777" w:rsidR="00907C81" w:rsidRPr="00FF673A" w:rsidRDefault="00907C81" w:rsidP="00874B2D">
            <w:pPr>
              <w:jc w:val="center"/>
              <w:rPr>
                <w:b/>
                <w:sz w:val="20"/>
                <w:szCs w:val="20"/>
                <w:lang w:val="es-ES_tradnl"/>
              </w:rPr>
            </w:pPr>
            <w:r w:rsidRPr="00FF673A">
              <w:rPr>
                <w:b/>
                <w:sz w:val="20"/>
                <w:szCs w:val="20"/>
                <w:lang w:val="es-ES_tradnl"/>
              </w:rPr>
              <w:t>CÓDIGO</w:t>
            </w:r>
          </w:p>
        </w:tc>
        <w:tc>
          <w:tcPr>
            <w:tcW w:w="6379" w:type="dxa"/>
          </w:tcPr>
          <w:p w14:paraId="6B669459" w14:textId="77777777" w:rsidR="00907C81" w:rsidRPr="00FF673A" w:rsidRDefault="00907C81" w:rsidP="00874B2D">
            <w:pPr>
              <w:jc w:val="center"/>
              <w:rPr>
                <w:b/>
                <w:sz w:val="20"/>
                <w:szCs w:val="20"/>
                <w:lang w:val="es-ES_tradnl"/>
              </w:rPr>
            </w:pPr>
            <w:r w:rsidRPr="00FF673A">
              <w:rPr>
                <w:b/>
                <w:sz w:val="20"/>
                <w:szCs w:val="20"/>
                <w:lang w:val="es-ES_tradnl"/>
              </w:rPr>
              <w:t>NOMBRE CUENTA</w:t>
            </w:r>
          </w:p>
        </w:tc>
        <w:tc>
          <w:tcPr>
            <w:tcW w:w="2410" w:type="dxa"/>
          </w:tcPr>
          <w:p w14:paraId="5956075A" w14:textId="77777777" w:rsidR="00907C81" w:rsidRPr="00FF673A" w:rsidRDefault="00907C81" w:rsidP="00874B2D">
            <w:pPr>
              <w:jc w:val="center"/>
              <w:rPr>
                <w:b/>
                <w:sz w:val="20"/>
                <w:szCs w:val="20"/>
                <w:lang w:val="es-ES_tradnl"/>
              </w:rPr>
            </w:pPr>
            <w:r w:rsidRPr="00FF673A">
              <w:rPr>
                <w:b/>
                <w:sz w:val="20"/>
                <w:szCs w:val="20"/>
                <w:lang w:val="es-ES_tradnl"/>
              </w:rPr>
              <w:t xml:space="preserve">SALDO A </w:t>
            </w:r>
          </w:p>
          <w:p w14:paraId="5464EC9F" w14:textId="77777777" w:rsidR="00907C81" w:rsidRPr="00FF673A" w:rsidRDefault="00907C81"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ED6834D" w14:textId="77777777" w:rsidR="00907C81" w:rsidRDefault="00907C81" w:rsidP="00874B2D">
            <w:pPr>
              <w:jc w:val="center"/>
              <w:rPr>
                <w:b/>
                <w:sz w:val="20"/>
                <w:szCs w:val="20"/>
                <w:lang w:val="es-ES_tradnl"/>
              </w:rPr>
            </w:pPr>
            <w:r>
              <w:rPr>
                <w:b/>
                <w:sz w:val="20"/>
                <w:szCs w:val="20"/>
                <w:lang w:val="es-ES_tradnl"/>
              </w:rPr>
              <w:t>(Pesos)</w:t>
            </w:r>
          </w:p>
          <w:p w14:paraId="4677FE42" w14:textId="77777777" w:rsidR="00907C81" w:rsidRPr="00FF673A" w:rsidRDefault="00907C81" w:rsidP="00874B2D">
            <w:pPr>
              <w:jc w:val="center"/>
              <w:rPr>
                <w:b/>
                <w:sz w:val="20"/>
                <w:szCs w:val="20"/>
                <w:lang w:val="es-ES_tradnl"/>
              </w:rPr>
            </w:pPr>
          </w:p>
        </w:tc>
      </w:tr>
      <w:tr w:rsidR="00907C81" w:rsidRPr="00FF673A" w14:paraId="025FED44" w14:textId="77777777" w:rsidTr="00874B2D">
        <w:tc>
          <w:tcPr>
            <w:tcW w:w="1134" w:type="dxa"/>
          </w:tcPr>
          <w:p w14:paraId="400B1128" w14:textId="77777777" w:rsidR="00907C81" w:rsidRPr="00FF673A" w:rsidRDefault="00907C81" w:rsidP="00874B2D">
            <w:pPr>
              <w:jc w:val="center"/>
              <w:rPr>
                <w:b/>
                <w:sz w:val="20"/>
                <w:szCs w:val="20"/>
                <w:lang w:val="es-ES_tradnl"/>
              </w:rPr>
            </w:pPr>
          </w:p>
        </w:tc>
        <w:tc>
          <w:tcPr>
            <w:tcW w:w="6379" w:type="dxa"/>
          </w:tcPr>
          <w:p w14:paraId="039E0AFE" w14:textId="77777777" w:rsidR="00907C81" w:rsidRPr="005214F3" w:rsidRDefault="00907C81"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6118757C" w14:textId="77777777" w:rsidR="00907C81" w:rsidRPr="00FF673A" w:rsidRDefault="00907C81" w:rsidP="00874B2D">
            <w:pPr>
              <w:jc w:val="right"/>
              <w:rPr>
                <w:b/>
                <w:sz w:val="20"/>
                <w:szCs w:val="20"/>
                <w:lang w:val="es-ES_tradnl"/>
              </w:rPr>
            </w:pPr>
            <w:r>
              <w:rPr>
                <w:b/>
                <w:sz w:val="20"/>
                <w:szCs w:val="20"/>
                <w:lang w:val="es-ES_tradnl"/>
              </w:rPr>
              <w:t>(320.881.638.193,91)</w:t>
            </w:r>
          </w:p>
        </w:tc>
      </w:tr>
      <w:tr w:rsidR="00907C81" w:rsidRPr="00FF673A" w14:paraId="7B808267" w14:textId="77777777" w:rsidTr="00874B2D">
        <w:tc>
          <w:tcPr>
            <w:tcW w:w="1134" w:type="dxa"/>
          </w:tcPr>
          <w:p w14:paraId="351E0DAA" w14:textId="77777777" w:rsidR="00907C81" w:rsidRPr="00FF673A" w:rsidRDefault="00907C81" w:rsidP="00874B2D">
            <w:pPr>
              <w:jc w:val="center"/>
              <w:rPr>
                <w:b/>
                <w:sz w:val="20"/>
                <w:szCs w:val="20"/>
                <w:lang w:val="es-ES_tradnl"/>
              </w:rPr>
            </w:pPr>
          </w:p>
        </w:tc>
        <w:tc>
          <w:tcPr>
            <w:tcW w:w="6379" w:type="dxa"/>
          </w:tcPr>
          <w:p w14:paraId="5CFF02EF" w14:textId="77777777" w:rsidR="00907C81" w:rsidRPr="005214F3" w:rsidRDefault="00907C81" w:rsidP="00874B2D">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3E2062F1" w14:textId="77777777" w:rsidR="00907C81" w:rsidRPr="00FF673A" w:rsidRDefault="00907C81" w:rsidP="00874B2D">
            <w:pPr>
              <w:jc w:val="right"/>
              <w:rPr>
                <w:b/>
                <w:sz w:val="20"/>
                <w:szCs w:val="20"/>
                <w:lang w:val="es-ES_tradnl"/>
              </w:rPr>
            </w:pPr>
            <w:r>
              <w:rPr>
                <w:b/>
                <w:sz w:val="20"/>
                <w:szCs w:val="20"/>
                <w:lang w:val="es-ES_tradnl"/>
              </w:rPr>
              <w:t>(308.143.504.098,19)</w:t>
            </w:r>
          </w:p>
        </w:tc>
      </w:tr>
      <w:tr w:rsidR="00907C81" w:rsidRPr="00FF673A" w14:paraId="1C2ECF79" w14:textId="77777777" w:rsidTr="00874B2D">
        <w:tc>
          <w:tcPr>
            <w:tcW w:w="1134" w:type="dxa"/>
          </w:tcPr>
          <w:p w14:paraId="0C1794DE" w14:textId="77777777" w:rsidR="00907C81" w:rsidRDefault="00907C81" w:rsidP="00874B2D">
            <w:pPr>
              <w:jc w:val="center"/>
              <w:rPr>
                <w:b/>
                <w:sz w:val="20"/>
                <w:szCs w:val="20"/>
                <w:lang w:val="es-ES_tradnl"/>
              </w:rPr>
            </w:pPr>
            <w:r>
              <w:rPr>
                <w:b/>
                <w:sz w:val="20"/>
                <w:szCs w:val="20"/>
                <w:lang w:val="es-ES_tradnl"/>
              </w:rPr>
              <w:t>311000</w:t>
            </w:r>
          </w:p>
        </w:tc>
        <w:tc>
          <w:tcPr>
            <w:tcW w:w="6379" w:type="dxa"/>
            <w:shd w:val="clear" w:color="auto" w:fill="auto"/>
          </w:tcPr>
          <w:p w14:paraId="7FB6CE67" w14:textId="77777777" w:rsidR="00907C81" w:rsidRPr="005214F3" w:rsidRDefault="00907C81"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231949BE" w14:textId="77777777" w:rsidR="00907C81" w:rsidRPr="00FF673A" w:rsidRDefault="00907C81" w:rsidP="00874B2D">
            <w:pPr>
              <w:jc w:val="right"/>
              <w:rPr>
                <w:b/>
                <w:sz w:val="20"/>
                <w:szCs w:val="20"/>
                <w:lang w:val="es-ES_tradnl"/>
              </w:rPr>
            </w:pPr>
            <w:r>
              <w:rPr>
                <w:b/>
                <w:sz w:val="20"/>
                <w:szCs w:val="20"/>
                <w:lang w:val="es-ES_tradnl"/>
              </w:rPr>
              <w:t>(292.467.015.431,41)</w:t>
            </w:r>
          </w:p>
        </w:tc>
      </w:tr>
      <w:tr w:rsidR="00907C81" w:rsidRPr="00FF673A" w14:paraId="372E3BCC" w14:textId="77777777" w:rsidTr="00874B2D">
        <w:tc>
          <w:tcPr>
            <w:tcW w:w="1134" w:type="dxa"/>
          </w:tcPr>
          <w:p w14:paraId="4ADA1971" w14:textId="77777777" w:rsidR="00907C81" w:rsidRDefault="00907C81" w:rsidP="00874B2D">
            <w:pPr>
              <w:jc w:val="center"/>
              <w:rPr>
                <w:b/>
                <w:sz w:val="20"/>
                <w:szCs w:val="20"/>
                <w:lang w:val="es-ES_tradnl"/>
              </w:rPr>
            </w:pPr>
            <w:r>
              <w:rPr>
                <w:b/>
                <w:sz w:val="20"/>
                <w:szCs w:val="20"/>
                <w:lang w:val="es-ES_tradnl"/>
              </w:rPr>
              <w:t>311002</w:t>
            </w:r>
          </w:p>
        </w:tc>
        <w:tc>
          <w:tcPr>
            <w:tcW w:w="6379" w:type="dxa"/>
            <w:shd w:val="clear" w:color="auto" w:fill="auto"/>
          </w:tcPr>
          <w:p w14:paraId="2C0EDEA4" w14:textId="77777777" w:rsidR="00907C81" w:rsidRPr="003135FB" w:rsidRDefault="00907C81"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51800435" w14:textId="77777777" w:rsidR="00907C81" w:rsidRPr="00FF673A" w:rsidRDefault="00907C81" w:rsidP="00874B2D">
            <w:pPr>
              <w:jc w:val="right"/>
              <w:rPr>
                <w:b/>
                <w:sz w:val="20"/>
                <w:szCs w:val="20"/>
                <w:lang w:val="es-ES_tradnl"/>
              </w:rPr>
            </w:pPr>
            <w:r>
              <w:rPr>
                <w:b/>
                <w:sz w:val="20"/>
                <w:szCs w:val="20"/>
                <w:lang w:val="es-ES_tradnl"/>
              </w:rPr>
              <w:t>(292.467.015.431,41)</w:t>
            </w:r>
          </w:p>
        </w:tc>
      </w:tr>
      <w:tr w:rsidR="00907C81" w:rsidRPr="00FF673A" w14:paraId="53D3750E" w14:textId="77777777" w:rsidTr="00874B2D">
        <w:tc>
          <w:tcPr>
            <w:tcW w:w="1134" w:type="dxa"/>
          </w:tcPr>
          <w:p w14:paraId="03B8D316" w14:textId="77777777" w:rsidR="00907C81" w:rsidRPr="00FF673A" w:rsidRDefault="00907C81" w:rsidP="00874B2D">
            <w:pPr>
              <w:jc w:val="center"/>
              <w:rPr>
                <w:b/>
                <w:sz w:val="20"/>
                <w:szCs w:val="20"/>
                <w:lang w:val="es-ES_tradnl"/>
              </w:rPr>
            </w:pPr>
            <w:r>
              <w:rPr>
                <w:b/>
                <w:sz w:val="20"/>
                <w:szCs w:val="20"/>
                <w:lang w:val="es-ES_tradnl"/>
              </w:rPr>
              <w:t>310902</w:t>
            </w:r>
          </w:p>
        </w:tc>
        <w:tc>
          <w:tcPr>
            <w:tcW w:w="6379" w:type="dxa"/>
          </w:tcPr>
          <w:p w14:paraId="64869B87" w14:textId="77777777" w:rsidR="00907C81" w:rsidRPr="005214F3" w:rsidRDefault="00907C81"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1B096E26" w14:textId="77777777" w:rsidR="00907C81" w:rsidRPr="00FF673A" w:rsidRDefault="00907C81" w:rsidP="00874B2D">
            <w:pPr>
              <w:jc w:val="right"/>
              <w:rPr>
                <w:b/>
                <w:sz w:val="20"/>
                <w:szCs w:val="20"/>
                <w:lang w:val="es-ES_tradnl"/>
              </w:rPr>
            </w:pPr>
            <w:r>
              <w:rPr>
                <w:b/>
                <w:sz w:val="20"/>
                <w:szCs w:val="20"/>
                <w:lang w:val="es-ES_tradnl"/>
              </w:rPr>
              <w:t>(230.450.723.957,04)</w:t>
            </w:r>
          </w:p>
        </w:tc>
      </w:tr>
      <w:tr w:rsidR="00907C81" w:rsidRPr="00FF673A" w14:paraId="4EC01349" w14:textId="77777777" w:rsidTr="00874B2D">
        <w:tc>
          <w:tcPr>
            <w:tcW w:w="1134" w:type="dxa"/>
          </w:tcPr>
          <w:p w14:paraId="723E7E56" w14:textId="77777777" w:rsidR="00907C81" w:rsidRPr="00542342" w:rsidRDefault="00907C81" w:rsidP="00874B2D">
            <w:pPr>
              <w:jc w:val="center"/>
              <w:rPr>
                <w:b/>
                <w:sz w:val="20"/>
                <w:szCs w:val="20"/>
                <w:lang w:val="es-ES_tradnl"/>
              </w:rPr>
            </w:pPr>
            <w:r>
              <w:rPr>
                <w:b/>
                <w:sz w:val="20"/>
                <w:szCs w:val="20"/>
                <w:lang w:val="es-ES_tradnl"/>
              </w:rPr>
              <w:t>131102</w:t>
            </w:r>
          </w:p>
        </w:tc>
        <w:tc>
          <w:tcPr>
            <w:tcW w:w="6379" w:type="dxa"/>
          </w:tcPr>
          <w:p w14:paraId="6281AACB" w14:textId="77777777" w:rsidR="00907C81" w:rsidRPr="005214F3" w:rsidRDefault="00907C81"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238209D6" w14:textId="77777777" w:rsidR="00907C81" w:rsidRPr="00FF673A" w:rsidRDefault="00907C81" w:rsidP="00874B2D">
            <w:pPr>
              <w:jc w:val="right"/>
              <w:rPr>
                <w:b/>
                <w:sz w:val="20"/>
                <w:szCs w:val="20"/>
                <w:lang w:val="es-ES_tradnl"/>
              </w:rPr>
            </w:pPr>
            <w:r>
              <w:rPr>
                <w:b/>
                <w:sz w:val="20"/>
                <w:szCs w:val="20"/>
                <w:lang w:val="es-ES_tradnl"/>
              </w:rPr>
              <w:t>84.250.164,00</w:t>
            </w:r>
          </w:p>
        </w:tc>
      </w:tr>
      <w:tr w:rsidR="00907C81" w:rsidRPr="00FF673A" w14:paraId="743EFA10" w14:textId="77777777" w:rsidTr="00874B2D">
        <w:tc>
          <w:tcPr>
            <w:tcW w:w="1134" w:type="dxa"/>
          </w:tcPr>
          <w:p w14:paraId="39B0A85E" w14:textId="77777777" w:rsidR="00907C81" w:rsidRPr="00542342" w:rsidRDefault="00907C81" w:rsidP="00874B2D">
            <w:pPr>
              <w:jc w:val="center"/>
              <w:rPr>
                <w:b/>
                <w:sz w:val="20"/>
                <w:szCs w:val="20"/>
                <w:lang w:val="es-ES_tradnl"/>
              </w:rPr>
            </w:pPr>
            <w:r>
              <w:rPr>
                <w:b/>
                <w:sz w:val="20"/>
                <w:szCs w:val="20"/>
                <w:lang w:val="es-ES_tradnl"/>
              </w:rPr>
              <w:t>138600</w:t>
            </w:r>
          </w:p>
        </w:tc>
        <w:tc>
          <w:tcPr>
            <w:tcW w:w="6379" w:type="dxa"/>
          </w:tcPr>
          <w:p w14:paraId="4937F79D" w14:textId="77777777" w:rsidR="00907C81" w:rsidRPr="005214F3" w:rsidRDefault="00907C81"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0323173C" w14:textId="77777777" w:rsidR="00907C81" w:rsidRPr="00FF673A" w:rsidRDefault="00907C81" w:rsidP="00874B2D">
            <w:pPr>
              <w:jc w:val="right"/>
              <w:rPr>
                <w:b/>
                <w:sz w:val="20"/>
                <w:szCs w:val="20"/>
                <w:lang w:val="es-ES_tradnl"/>
              </w:rPr>
            </w:pPr>
            <w:r>
              <w:rPr>
                <w:b/>
                <w:sz w:val="20"/>
                <w:szCs w:val="20"/>
                <w:lang w:val="es-ES_tradnl"/>
              </w:rPr>
              <w:t>(648.533.915,27)</w:t>
            </w:r>
          </w:p>
        </w:tc>
      </w:tr>
      <w:tr w:rsidR="00907C81" w:rsidRPr="00FF673A" w14:paraId="15420B9E" w14:textId="77777777" w:rsidTr="00874B2D">
        <w:tc>
          <w:tcPr>
            <w:tcW w:w="1134" w:type="dxa"/>
          </w:tcPr>
          <w:p w14:paraId="2F0C2A88" w14:textId="77777777" w:rsidR="00907C81" w:rsidRPr="00542342" w:rsidRDefault="00907C81" w:rsidP="00874B2D">
            <w:pPr>
              <w:jc w:val="center"/>
              <w:rPr>
                <w:b/>
                <w:sz w:val="20"/>
                <w:szCs w:val="20"/>
                <w:lang w:val="es-ES_tradnl"/>
              </w:rPr>
            </w:pPr>
            <w:r>
              <w:rPr>
                <w:b/>
                <w:sz w:val="20"/>
                <w:szCs w:val="20"/>
                <w:lang w:val="es-ES_tradnl"/>
              </w:rPr>
              <w:t>163700</w:t>
            </w:r>
          </w:p>
        </w:tc>
        <w:tc>
          <w:tcPr>
            <w:tcW w:w="6379" w:type="dxa"/>
          </w:tcPr>
          <w:p w14:paraId="00C87169" w14:textId="77777777" w:rsidR="00907C81" w:rsidRPr="003135FB" w:rsidRDefault="00907C81"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24B37FFE" w14:textId="77777777" w:rsidR="00907C81" w:rsidRPr="00FF673A" w:rsidRDefault="00907C81" w:rsidP="00874B2D">
            <w:pPr>
              <w:jc w:val="right"/>
              <w:rPr>
                <w:b/>
                <w:sz w:val="20"/>
                <w:szCs w:val="20"/>
                <w:lang w:val="es-ES_tradnl"/>
              </w:rPr>
            </w:pPr>
            <w:r>
              <w:rPr>
                <w:b/>
                <w:sz w:val="20"/>
                <w:szCs w:val="20"/>
                <w:lang w:val="es-ES_tradnl"/>
              </w:rPr>
              <w:t>10.752.081,20</w:t>
            </w:r>
          </w:p>
        </w:tc>
      </w:tr>
      <w:tr w:rsidR="00907C81" w:rsidRPr="00FF673A" w14:paraId="2E58F21F" w14:textId="77777777" w:rsidTr="00874B2D">
        <w:tc>
          <w:tcPr>
            <w:tcW w:w="1134" w:type="dxa"/>
          </w:tcPr>
          <w:p w14:paraId="21C4714C" w14:textId="77777777" w:rsidR="00907C81" w:rsidRPr="00542342" w:rsidRDefault="00907C81" w:rsidP="00874B2D">
            <w:pPr>
              <w:jc w:val="center"/>
              <w:rPr>
                <w:b/>
                <w:sz w:val="20"/>
                <w:szCs w:val="20"/>
                <w:lang w:val="es-ES_tradnl"/>
              </w:rPr>
            </w:pPr>
            <w:r>
              <w:rPr>
                <w:b/>
                <w:sz w:val="20"/>
                <w:szCs w:val="20"/>
                <w:lang w:val="es-ES_tradnl"/>
              </w:rPr>
              <w:t>240720</w:t>
            </w:r>
          </w:p>
        </w:tc>
        <w:tc>
          <w:tcPr>
            <w:tcW w:w="6379" w:type="dxa"/>
          </w:tcPr>
          <w:p w14:paraId="083B37FB" w14:textId="77777777" w:rsidR="00907C81" w:rsidRPr="005214F3" w:rsidRDefault="00907C81"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62DF5F54" w14:textId="77777777" w:rsidR="00907C81" w:rsidRPr="00FF673A" w:rsidRDefault="00907C81" w:rsidP="00874B2D">
            <w:pPr>
              <w:jc w:val="right"/>
              <w:rPr>
                <w:b/>
                <w:sz w:val="20"/>
                <w:szCs w:val="20"/>
                <w:lang w:val="es-ES_tradnl"/>
              </w:rPr>
            </w:pPr>
            <w:r>
              <w:rPr>
                <w:b/>
                <w:sz w:val="20"/>
                <w:szCs w:val="20"/>
                <w:lang w:val="es-ES_tradnl"/>
              </w:rPr>
              <w:t>92.083.333,00</w:t>
            </w:r>
          </w:p>
        </w:tc>
      </w:tr>
      <w:tr w:rsidR="00907C81" w:rsidRPr="00FF673A" w14:paraId="3604DF81" w14:textId="77777777" w:rsidTr="00874B2D">
        <w:tc>
          <w:tcPr>
            <w:tcW w:w="1134" w:type="dxa"/>
          </w:tcPr>
          <w:p w14:paraId="254D4DE7" w14:textId="77777777" w:rsidR="00907C81" w:rsidRPr="00542342" w:rsidRDefault="00907C81" w:rsidP="00874B2D">
            <w:pPr>
              <w:jc w:val="center"/>
              <w:rPr>
                <w:b/>
                <w:sz w:val="20"/>
                <w:szCs w:val="20"/>
                <w:lang w:val="es-ES_tradnl"/>
              </w:rPr>
            </w:pPr>
            <w:r>
              <w:rPr>
                <w:b/>
                <w:sz w:val="20"/>
                <w:szCs w:val="20"/>
                <w:lang w:val="es-ES_tradnl"/>
              </w:rPr>
              <w:t>912000</w:t>
            </w:r>
          </w:p>
        </w:tc>
        <w:tc>
          <w:tcPr>
            <w:tcW w:w="6379" w:type="dxa"/>
          </w:tcPr>
          <w:p w14:paraId="21B26B11" w14:textId="77777777" w:rsidR="00907C81" w:rsidRPr="005214F3" w:rsidRDefault="00907C81"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54C21DFA" w14:textId="77777777" w:rsidR="00907C81" w:rsidRPr="00FF673A" w:rsidRDefault="00907C81" w:rsidP="00874B2D">
            <w:pPr>
              <w:jc w:val="right"/>
              <w:rPr>
                <w:b/>
                <w:sz w:val="20"/>
                <w:szCs w:val="20"/>
                <w:lang w:val="es-ES_tradnl"/>
              </w:rPr>
            </w:pPr>
            <w:r>
              <w:rPr>
                <w:b/>
                <w:sz w:val="20"/>
                <w:szCs w:val="20"/>
                <w:lang w:val="es-ES_tradnl"/>
              </w:rPr>
              <w:t>413.481.714.070,00</w:t>
            </w:r>
          </w:p>
        </w:tc>
      </w:tr>
    </w:tbl>
    <w:p w14:paraId="73FF2FFA" w14:textId="77777777" w:rsidR="00907C81" w:rsidRDefault="00907C81" w:rsidP="00907C81">
      <w:pPr>
        <w:pStyle w:val="Textoindependiente"/>
        <w:ind w:right="-50"/>
        <w:jc w:val="both"/>
        <w:rPr>
          <w:b/>
          <w:sz w:val="28"/>
          <w:szCs w:val="28"/>
        </w:rPr>
      </w:pPr>
    </w:p>
    <w:p w14:paraId="1FE07B0A" w14:textId="77777777" w:rsidR="00907C81" w:rsidRDefault="00907C81" w:rsidP="00907C81">
      <w:pPr>
        <w:jc w:val="both"/>
        <w:rPr>
          <w:b/>
          <w:sz w:val="28"/>
          <w:szCs w:val="28"/>
          <w:lang w:val="es-MX"/>
        </w:rPr>
      </w:pPr>
      <w:r>
        <w:rPr>
          <w:b/>
          <w:sz w:val="28"/>
          <w:szCs w:val="28"/>
          <w:lang w:val="es-MX"/>
        </w:rPr>
        <w:t>- Saldos a 31 de diciembre de 2024 de la SUBCUENTA OTROS 000090:</w:t>
      </w:r>
    </w:p>
    <w:p w14:paraId="01DCF3CC" w14:textId="77777777" w:rsidR="00907C81" w:rsidRDefault="00907C81" w:rsidP="00907C81">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907C81" w:rsidRPr="00FF673A" w14:paraId="5A2B0DD6" w14:textId="77777777" w:rsidTr="00874B2D">
        <w:tc>
          <w:tcPr>
            <w:tcW w:w="1134" w:type="dxa"/>
          </w:tcPr>
          <w:p w14:paraId="14817F53" w14:textId="77777777" w:rsidR="00907C81" w:rsidRPr="00FF673A" w:rsidRDefault="00907C81" w:rsidP="00874B2D">
            <w:pPr>
              <w:jc w:val="center"/>
              <w:rPr>
                <w:b/>
                <w:sz w:val="20"/>
                <w:szCs w:val="20"/>
                <w:lang w:val="es-ES_tradnl"/>
              </w:rPr>
            </w:pPr>
            <w:r w:rsidRPr="00FF673A">
              <w:rPr>
                <w:b/>
                <w:sz w:val="20"/>
                <w:szCs w:val="20"/>
                <w:lang w:val="es-ES_tradnl"/>
              </w:rPr>
              <w:t>CÓDIGO</w:t>
            </w:r>
          </w:p>
        </w:tc>
        <w:tc>
          <w:tcPr>
            <w:tcW w:w="6379" w:type="dxa"/>
          </w:tcPr>
          <w:p w14:paraId="46FE5F0F" w14:textId="77777777" w:rsidR="00907C81" w:rsidRPr="00FF673A" w:rsidRDefault="00907C81" w:rsidP="00874B2D">
            <w:pPr>
              <w:jc w:val="center"/>
              <w:rPr>
                <w:b/>
                <w:sz w:val="20"/>
                <w:szCs w:val="20"/>
                <w:lang w:val="es-ES_tradnl"/>
              </w:rPr>
            </w:pPr>
            <w:r w:rsidRPr="00FF673A">
              <w:rPr>
                <w:b/>
                <w:sz w:val="20"/>
                <w:szCs w:val="20"/>
                <w:lang w:val="es-ES_tradnl"/>
              </w:rPr>
              <w:t>NOMBRE CUENTA</w:t>
            </w:r>
          </w:p>
        </w:tc>
        <w:tc>
          <w:tcPr>
            <w:tcW w:w="2410" w:type="dxa"/>
          </w:tcPr>
          <w:p w14:paraId="27918D01" w14:textId="77777777" w:rsidR="00907C81" w:rsidRPr="00FF673A" w:rsidRDefault="00907C81" w:rsidP="00874B2D">
            <w:pPr>
              <w:jc w:val="center"/>
              <w:rPr>
                <w:b/>
                <w:sz w:val="20"/>
                <w:szCs w:val="20"/>
                <w:lang w:val="es-ES_tradnl"/>
              </w:rPr>
            </w:pPr>
            <w:r w:rsidRPr="00FF673A">
              <w:rPr>
                <w:b/>
                <w:sz w:val="20"/>
                <w:szCs w:val="20"/>
                <w:lang w:val="es-ES_tradnl"/>
              </w:rPr>
              <w:t xml:space="preserve">SALDO A </w:t>
            </w:r>
          </w:p>
          <w:p w14:paraId="15DB2EF1" w14:textId="77777777" w:rsidR="00907C81" w:rsidRPr="00FF673A" w:rsidRDefault="00907C81"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4A48348" w14:textId="77777777" w:rsidR="00907C81" w:rsidRDefault="00907C81" w:rsidP="00874B2D">
            <w:pPr>
              <w:jc w:val="center"/>
              <w:rPr>
                <w:b/>
                <w:sz w:val="20"/>
                <w:szCs w:val="20"/>
                <w:lang w:val="es-ES_tradnl"/>
              </w:rPr>
            </w:pPr>
            <w:r>
              <w:rPr>
                <w:b/>
                <w:sz w:val="20"/>
                <w:szCs w:val="20"/>
                <w:lang w:val="es-ES_tradnl"/>
              </w:rPr>
              <w:t>(Pesos)</w:t>
            </w:r>
          </w:p>
          <w:p w14:paraId="064D2FAF" w14:textId="77777777" w:rsidR="00907C81" w:rsidRPr="00FF673A" w:rsidRDefault="00907C81" w:rsidP="00874B2D">
            <w:pPr>
              <w:jc w:val="center"/>
              <w:rPr>
                <w:b/>
                <w:sz w:val="20"/>
                <w:szCs w:val="20"/>
                <w:lang w:val="es-ES_tradnl"/>
              </w:rPr>
            </w:pPr>
          </w:p>
        </w:tc>
      </w:tr>
      <w:tr w:rsidR="00907C81" w:rsidRPr="00FF673A" w14:paraId="0E2F6036" w14:textId="77777777" w:rsidTr="00874B2D">
        <w:tc>
          <w:tcPr>
            <w:tcW w:w="1134" w:type="dxa"/>
          </w:tcPr>
          <w:p w14:paraId="40BEAC99" w14:textId="77777777" w:rsidR="00907C81" w:rsidRPr="00FF673A" w:rsidRDefault="00907C81" w:rsidP="00874B2D">
            <w:pPr>
              <w:jc w:val="center"/>
              <w:rPr>
                <w:b/>
                <w:sz w:val="20"/>
                <w:szCs w:val="20"/>
                <w:lang w:val="es-ES_tradnl"/>
              </w:rPr>
            </w:pPr>
            <w:r>
              <w:rPr>
                <w:b/>
                <w:sz w:val="20"/>
                <w:szCs w:val="20"/>
                <w:lang w:val="es-ES_tradnl"/>
              </w:rPr>
              <w:t>138490</w:t>
            </w:r>
          </w:p>
        </w:tc>
        <w:tc>
          <w:tcPr>
            <w:tcW w:w="6379" w:type="dxa"/>
          </w:tcPr>
          <w:p w14:paraId="6DF04BF6" w14:textId="77777777" w:rsidR="00907C81" w:rsidRPr="00FF673A" w:rsidRDefault="00907C81" w:rsidP="00874B2D">
            <w:pPr>
              <w:rPr>
                <w:b/>
                <w:sz w:val="20"/>
                <w:szCs w:val="20"/>
                <w:lang w:val="es-ES_tradnl"/>
              </w:rPr>
            </w:pPr>
            <w:r>
              <w:rPr>
                <w:b/>
                <w:sz w:val="20"/>
                <w:szCs w:val="20"/>
                <w:lang w:val="es-ES_tradnl"/>
              </w:rPr>
              <w:t>Otras cuentas por cobrar</w:t>
            </w:r>
          </w:p>
        </w:tc>
        <w:tc>
          <w:tcPr>
            <w:tcW w:w="2410" w:type="dxa"/>
          </w:tcPr>
          <w:p w14:paraId="369F092A" w14:textId="77777777" w:rsidR="00907C81" w:rsidRPr="00FF673A" w:rsidRDefault="00907C81" w:rsidP="00874B2D">
            <w:pPr>
              <w:jc w:val="right"/>
              <w:rPr>
                <w:b/>
                <w:sz w:val="20"/>
                <w:szCs w:val="20"/>
                <w:lang w:val="es-ES_tradnl"/>
              </w:rPr>
            </w:pPr>
            <w:r>
              <w:rPr>
                <w:b/>
                <w:sz w:val="20"/>
                <w:szCs w:val="20"/>
                <w:lang w:val="es-ES_tradnl"/>
              </w:rPr>
              <w:t>3.842.780.848,56</w:t>
            </w:r>
          </w:p>
        </w:tc>
      </w:tr>
      <w:tr w:rsidR="00907C81" w:rsidRPr="00FF673A" w14:paraId="056AEF68" w14:textId="77777777" w:rsidTr="00874B2D">
        <w:tc>
          <w:tcPr>
            <w:tcW w:w="1134" w:type="dxa"/>
          </w:tcPr>
          <w:p w14:paraId="4A8AA3D3" w14:textId="77777777" w:rsidR="00907C81" w:rsidRPr="00FF673A" w:rsidRDefault="00907C81" w:rsidP="00874B2D">
            <w:pPr>
              <w:jc w:val="center"/>
              <w:rPr>
                <w:b/>
                <w:sz w:val="20"/>
                <w:szCs w:val="20"/>
                <w:lang w:val="es-ES_tradnl"/>
              </w:rPr>
            </w:pPr>
            <w:r>
              <w:rPr>
                <w:b/>
                <w:sz w:val="20"/>
                <w:szCs w:val="20"/>
                <w:lang w:val="es-ES_tradnl"/>
              </w:rPr>
              <w:t>138690</w:t>
            </w:r>
          </w:p>
        </w:tc>
        <w:tc>
          <w:tcPr>
            <w:tcW w:w="6379" w:type="dxa"/>
          </w:tcPr>
          <w:p w14:paraId="43BBB5EF" w14:textId="77777777" w:rsidR="00907C81" w:rsidRPr="00FF673A" w:rsidRDefault="00907C81" w:rsidP="00874B2D">
            <w:pPr>
              <w:rPr>
                <w:b/>
                <w:sz w:val="20"/>
                <w:szCs w:val="20"/>
                <w:lang w:val="es-ES_tradnl"/>
              </w:rPr>
            </w:pPr>
            <w:r>
              <w:rPr>
                <w:b/>
                <w:sz w:val="20"/>
                <w:szCs w:val="20"/>
                <w:lang w:val="es-ES_tradnl"/>
              </w:rPr>
              <w:t>Otras cuentas por cobrar</w:t>
            </w:r>
          </w:p>
        </w:tc>
        <w:tc>
          <w:tcPr>
            <w:tcW w:w="2410" w:type="dxa"/>
          </w:tcPr>
          <w:p w14:paraId="133F7B54" w14:textId="77777777" w:rsidR="00907C81" w:rsidRPr="00FF673A" w:rsidRDefault="00907C81" w:rsidP="00874B2D">
            <w:pPr>
              <w:jc w:val="right"/>
              <w:rPr>
                <w:b/>
                <w:sz w:val="20"/>
                <w:szCs w:val="20"/>
                <w:lang w:val="es-ES_tradnl"/>
              </w:rPr>
            </w:pPr>
            <w:r>
              <w:rPr>
                <w:b/>
                <w:sz w:val="20"/>
                <w:szCs w:val="20"/>
                <w:lang w:val="es-ES_tradnl"/>
              </w:rPr>
              <w:t>(17.627.865,77)</w:t>
            </w:r>
          </w:p>
        </w:tc>
      </w:tr>
      <w:tr w:rsidR="00907C81" w:rsidRPr="00FF673A" w14:paraId="352EF8B5" w14:textId="77777777" w:rsidTr="00874B2D">
        <w:tc>
          <w:tcPr>
            <w:tcW w:w="1134" w:type="dxa"/>
          </w:tcPr>
          <w:p w14:paraId="726F0A7F" w14:textId="77777777" w:rsidR="00907C81" w:rsidRPr="00FF673A" w:rsidRDefault="00907C81" w:rsidP="00874B2D">
            <w:pPr>
              <w:jc w:val="center"/>
              <w:rPr>
                <w:b/>
                <w:sz w:val="20"/>
                <w:szCs w:val="20"/>
                <w:lang w:val="es-ES_tradnl"/>
              </w:rPr>
            </w:pPr>
            <w:r>
              <w:rPr>
                <w:b/>
                <w:sz w:val="20"/>
                <w:szCs w:val="20"/>
                <w:lang w:val="es-ES_tradnl"/>
              </w:rPr>
              <w:t>151490</w:t>
            </w:r>
          </w:p>
        </w:tc>
        <w:tc>
          <w:tcPr>
            <w:tcW w:w="6379" w:type="dxa"/>
          </w:tcPr>
          <w:p w14:paraId="28F2A04D" w14:textId="77777777" w:rsidR="00907C81" w:rsidRPr="00FF673A" w:rsidRDefault="00907C81" w:rsidP="00874B2D">
            <w:pPr>
              <w:rPr>
                <w:b/>
                <w:sz w:val="20"/>
                <w:szCs w:val="20"/>
                <w:lang w:val="es-ES_tradnl"/>
              </w:rPr>
            </w:pPr>
            <w:r>
              <w:rPr>
                <w:b/>
                <w:sz w:val="20"/>
                <w:szCs w:val="20"/>
                <w:lang w:val="es-ES_tradnl"/>
              </w:rPr>
              <w:t>Otros materiales y suministros</w:t>
            </w:r>
          </w:p>
        </w:tc>
        <w:tc>
          <w:tcPr>
            <w:tcW w:w="2410" w:type="dxa"/>
          </w:tcPr>
          <w:p w14:paraId="7EFC6EAE" w14:textId="77777777" w:rsidR="00907C81" w:rsidRPr="00FF673A" w:rsidRDefault="00907C81" w:rsidP="00874B2D">
            <w:pPr>
              <w:jc w:val="right"/>
              <w:rPr>
                <w:b/>
                <w:sz w:val="20"/>
                <w:szCs w:val="20"/>
                <w:lang w:val="es-ES_tradnl"/>
              </w:rPr>
            </w:pPr>
            <w:r>
              <w:rPr>
                <w:b/>
                <w:sz w:val="20"/>
                <w:szCs w:val="20"/>
                <w:lang w:val="es-ES_tradnl"/>
              </w:rPr>
              <w:t>13.456.826,93</w:t>
            </w:r>
          </w:p>
        </w:tc>
      </w:tr>
      <w:tr w:rsidR="00907C81" w:rsidRPr="00FF673A" w14:paraId="04A908F4" w14:textId="77777777" w:rsidTr="00874B2D">
        <w:tc>
          <w:tcPr>
            <w:tcW w:w="1134" w:type="dxa"/>
          </w:tcPr>
          <w:p w14:paraId="6607F604" w14:textId="77777777" w:rsidR="00907C81" w:rsidRPr="00FF673A" w:rsidRDefault="00907C81" w:rsidP="00874B2D">
            <w:pPr>
              <w:jc w:val="center"/>
              <w:rPr>
                <w:b/>
                <w:sz w:val="20"/>
                <w:szCs w:val="20"/>
                <w:lang w:val="es-ES_tradnl"/>
              </w:rPr>
            </w:pPr>
            <w:r>
              <w:rPr>
                <w:b/>
                <w:sz w:val="20"/>
                <w:szCs w:val="20"/>
                <w:lang w:val="es-ES_tradnl"/>
              </w:rPr>
              <w:t>240790</w:t>
            </w:r>
          </w:p>
        </w:tc>
        <w:tc>
          <w:tcPr>
            <w:tcW w:w="6379" w:type="dxa"/>
          </w:tcPr>
          <w:p w14:paraId="5A75F57B" w14:textId="77777777" w:rsidR="00907C81" w:rsidRPr="00FF673A" w:rsidRDefault="00907C81" w:rsidP="00874B2D">
            <w:pPr>
              <w:rPr>
                <w:b/>
                <w:sz w:val="20"/>
                <w:szCs w:val="20"/>
                <w:lang w:val="es-ES_tradnl"/>
              </w:rPr>
            </w:pPr>
            <w:r>
              <w:rPr>
                <w:b/>
                <w:sz w:val="20"/>
                <w:szCs w:val="20"/>
                <w:lang w:val="es-ES_tradnl"/>
              </w:rPr>
              <w:t>Otros recursos a favor de terceros</w:t>
            </w:r>
          </w:p>
        </w:tc>
        <w:tc>
          <w:tcPr>
            <w:tcW w:w="2410" w:type="dxa"/>
          </w:tcPr>
          <w:p w14:paraId="7A575D73" w14:textId="77777777" w:rsidR="00907C81" w:rsidRPr="00FF673A" w:rsidRDefault="00907C81" w:rsidP="00874B2D">
            <w:pPr>
              <w:jc w:val="right"/>
              <w:rPr>
                <w:b/>
                <w:sz w:val="20"/>
                <w:szCs w:val="20"/>
                <w:lang w:val="es-ES_tradnl"/>
              </w:rPr>
            </w:pPr>
            <w:r>
              <w:rPr>
                <w:b/>
                <w:sz w:val="20"/>
                <w:szCs w:val="20"/>
                <w:lang w:val="es-ES_tradnl"/>
              </w:rPr>
              <w:t>6.776.891.790,14</w:t>
            </w:r>
          </w:p>
        </w:tc>
      </w:tr>
      <w:tr w:rsidR="00907C81" w:rsidRPr="00FF673A" w14:paraId="737EF32B" w14:textId="77777777" w:rsidTr="00874B2D">
        <w:tc>
          <w:tcPr>
            <w:tcW w:w="1134" w:type="dxa"/>
          </w:tcPr>
          <w:p w14:paraId="63C93C00" w14:textId="77777777" w:rsidR="00907C81" w:rsidRPr="00FF673A" w:rsidRDefault="00907C81" w:rsidP="00874B2D">
            <w:pPr>
              <w:jc w:val="center"/>
              <w:rPr>
                <w:b/>
                <w:sz w:val="20"/>
                <w:szCs w:val="20"/>
                <w:lang w:val="es-ES_tradnl"/>
              </w:rPr>
            </w:pPr>
            <w:r>
              <w:rPr>
                <w:b/>
                <w:sz w:val="20"/>
                <w:szCs w:val="20"/>
                <w:lang w:val="es-ES_tradnl"/>
              </w:rPr>
              <w:t>249090</w:t>
            </w:r>
          </w:p>
        </w:tc>
        <w:tc>
          <w:tcPr>
            <w:tcW w:w="6379" w:type="dxa"/>
          </w:tcPr>
          <w:p w14:paraId="3A0FB127" w14:textId="77777777" w:rsidR="00907C81" w:rsidRPr="00FF673A" w:rsidRDefault="00907C81" w:rsidP="00874B2D">
            <w:pPr>
              <w:rPr>
                <w:b/>
                <w:sz w:val="20"/>
                <w:szCs w:val="20"/>
                <w:lang w:val="es-ES_tradnl"/>
              </w:rPr>
            </w:pPr>
            <w:r>
              <w:rPr>
                <w:b/>
                <w:sz w:val="20"/>
                <w:szCs w:val="20"/>
                <w:lang w:val="es-ES_tradnl"/>
              </w:rPr>
              <w:t>Otras cuentas por pagar</w:t>
            </w:r>
          </w:p>
        </w:tc>
        <w:tc>
          <w:tcPr>
            <w:tcW w:w="2410" w:type="dxa"/>
          </w:tcPr>
          <w:p w14:paraId="070C0741" w14:textId="77777777" w:rsidR="00907C81" w:rsidRPr="00FF673A" w:rsidRDefault="00907C81" w:rsidP="00874B2D">
            <w:pPr>
              <w:jc w:val="right"/>
              <w:rPr>
                <w:b/>
                <w:sz w:val="20"/>
                <w:szCs w:val="20"/>
                <w:lang w:val="es-ES_tradnl"/>
              </w:rPr>
            </w:pPr>
            <w:r>
              <w:rPr>
                <w:b/>
                <w:sz w:val="20"/>
                <w:szCs w:val="20"/>
                <w:lang w:val="es-ES_tradnl"/>
              </w:rPr>
              <w:t>3.657.399.157,73</w:t>
            </w:r>
          </w:p>
        </w:tc>
      </w:tr>
      <w:tr w:rsidR="00907C81" w:rsidRPr="00FF673A" w14:paraId="124FAB75" w14:textId="77777777" w:rsidTr="00874B2D">
        <w:tc>
          <w:tcPr>
            <w:tcW w:w="1134" w:type="dxa"/>
          </w:tcPr>
          <w:p w14:paraId="6843BF6A" w14:textId="77777777" w:rsidR="00907C81" w:rsidRPr="00FF673A" w:rsidRDefault="00907C81" w:rsidP="00874B2D">
            <w:pPr>
              <w:jc w:val="center"/>
              <w:rPr>
                <w:b/>
                <w:sz w:val="20"/>
                <w:szCs w:val="20"/>
                <w:lang w:val="es-ES_tradnl"/>
              </w:rPr>
            </w:pPr>
            <w:r>
              <w:rPr>
                <w:b/>
                <w:sz w:val="20"/>
                <w:szCs w:val="20"/>
                <w:lang w:val="es-ES_tradnl"/>
              </w:rPr>
              <w:t>480890</w:t>
            </w:r>
          </w:p>
        </w:tc>
        <w:tc>
          <w:tcPr>
            <w:tcW w:w="6379" w:type="dxa"/>
          </w:tcPr>
          <w:p w14:paraId="0A133D06" w14:textId="77777777" w:rsidR="00907C81" w:rsidRPr="00FF673A" w:rsidRDefault="00907C81" w:rsidP="00874B2D">
            <w:pPr>
              <w:rPr>
                <w:b/>
                <w:sz w:val="20"/>
                <w:szCs w:val="20"/>
                <w:lang w:val="es-ES_tradnl"/>
              </w:rPr>
            </w:pPr>
            <w:r>
              <w:rPr>
                <w:b/>
                <w:sz w:val="20"/>
                <w:szCs w:val="20"/>
                <w:lang w:val="es-ES_tradnl"/>
              </w:rPr>
              <w:t>Otros ingresos diversos</w:t>
            </w:r>
          </w:p>
        </w:tc>
        <w:tc>
          <w:tcPr>
            <w:tcW w:w="2410" w:type="dxa"/>
          </w:tcPr>
          <w:p w14:paraId="1F18B7CB" w14:textId="77777777" w:rsidR="00907C81" w:rsidRPr="00FF673A" w:rsidRDefault="00907C81" w:rsidP="00874B2D">
            <w:pPr>
              <w:jc w:val="right"/>
              <w:rPr>
                <w:b/>
                <w:sz w:val="20"/>
                <w:szCs w:val="20"/>
                <w:lang w:val="es-ES_tradnl"/>
              </w:rPr>
            </w:pPr>
            <w:r>
              <w:rPr>
                <w:b/>
                <w:sz w:val="20"/>
                <w:szCs w:val="20"/>
                <w:lang w:val="es-ES_tradnl"/>
              </w:rPr>
              <w:t>10.074,89</w:t>
            </w:r>
          </w:p>
        </w:tc>
      </w:tr>
      <w:tr w:rsidR="00907C81" w:rsidRPr="00FF673A" w14:paraId="4A7FA51A" w14:textId="77777777" w:rsidTr="00874B2D">
        <w:tc>
          <w:tcPr>
            <w:tcW w:w="1134" w:type="dxa"/>
          </w:tcPr>
          <w:p w14:paraId="157170A3" w14:textId="77777777" w:rsidR="00907C81" w:rsidRPr="00FF673A" w:rsidRDefault="00907C81" w:rsidP="00874B2D">
            <w:pPr>
              <w:jc w:val="center"/>
              <w:rPr>
                <w:b/>
                <w:sz w:val="20"/>
                <w:szCs w:val="20"/>
                <w:lang w:val="es-ES_tradnl"/>
              </w:rPr>
            </w:pPr>
            <w:r>
              <w:rPr>
                <w:b/>
                <w:sz w:val="20"/>
                <w:szCs w:val="20"/>
                <w:lang w:val="es-ES_tradnl"/>
              </w:rPr>
              <w:t>534790</w:t>
            </w:r>
          </w:p>
        </w:tc>
        <w:tc>
          <w:tcPr>
            <w:tcW w:w="6379" w:type="dxa"/>
          </w:tcPr>
          <w:p w14:paraId="3BFADB7B" w14:textId="77777777" w:rsidR="00907C81" w:rsidRPr="00FF673A" w:rsidRDefault="00907C81" w:rsidP="00874B2D">
            <w:pPr>
              <w:rPr>
                <w:b/>
                <w:sz w:val="20"/>
                <w:szCs w:val="20"/>
                <w:lang w:val="es-ES_tradnl"/>
              </w:rPr>
            </w:pPr>
            <w:r>
              <w:rPr>
                <w:b/>
                <w:sz w:val="20"/>
                <w:szCs w:val="20"/>
                <w:lang w:val="es-ES_tradnl"/>
              </w:rPr>
              <w:t>Otras cuentas por cobrar</w:t>
            </w:r>
          </w:p>
        </w:tc>
        <w:tc>
          <w:tcPr>
            <w:tcW w:w="2410" w:type="dxa"/>
          </w:tcPr>
          <w:p w14:paraId="21C2D55A" w14:textId="77777777" w:rsidR="00907C81" w:rsidRPr="00FF673A" w:rsidRDefault="00907C81" w:rsidP="00874B2D">
            <w:pPr>
              <w:jc w:val="right"/>
              <w:rPr>
                <w:b/>
                <w:sz w:val="20"/>
                <w:szCs w:val="20"/>
                <w:lang w:val="es-ES_tradnl"/>
              </w:rPr>
            </w:pPr>
            <w:r>
              <w:rPr>
                <w:b/>
                <w:sz w:val="20"/>
                <w:szCs w:val="20"/>
                <w:lang w:val="es-ES_tradnl"/>
              </w:rPr>
              <w:t>17.627.865,77</w:t>
            </w:r>
          </w:p>
        </w:tc>
      </w:tr>
      <w:tr w:rsidR="00907C81" w:rsidRPr="00FF673A" w14:paraId="04824FC7" w14:textId="77777777" w:rsidTr="00874B2D">
        <w:tc>
          <w:tcPr>
            <w:tcW w:w="1134" w:type="dxa"/>
          </w:tcPr>
          <w:p w14:paraId="1DEDB442" w14:textId="77777777" w:rsidR="00907C81" w:rsidRPr="00FF673A" w:rsidRDefault="00907C81" w:rsidP="00874B2D">
            <w:pPr>
              <w:jc w:val="center"/>
              <w:rPr>
                <w:b/>
                <w:sz w:val="20"/>
                <w:szCs w:val="20"/>
                <w:lang w:val="es-ES_tradnl"/>
              </w:rPr>
            </w:pPr>
            <w:r>
              <w:rPr>
                <w:b/>
                <w:sz w:val="20"/>
                <w:szCs w:val="20"/>
                <w:lang w:val="es-ES_tradnl"/>
              </w:rPr>
              <w:lastRenderedPageBreak/>
              <w:t>572290</w:t>
            </w:r>
          </w:p>
        </w:tc>
        <w:tc>
          <w:tcPr>
            <w:tcW w:w="6379" w:type="dxa"/>
          </w:tcPr>
          <w:p w14:paraId="43290B56" w14:textId="77777777" w:rsidR="00907C81" w:rsidRPr="00FF673A" w:rsidRDefault="00907C81" w:rsidP="00874B2D">
            <w:pPr>
              <w:rPr>
                <w:b/>
                <w:sz w:val="20"/>
                <w:szCs w:val="20"/>
                <w:lang w:val="es-ES_tradnl"/>
              </w:rPr>
            </w:pPr>
            <w:r>
              <w:rPr>
                <w:b/>
                <w:sz w:val="20"/>
                <w:szCs w:val="20"/>
                <w:lang w:val="es-ES_tradnl"/>
              </w:rPr>
              <w:t>Otras operaciones sin flujo de efectivo</w:t>
            </w:r>
          </w:p>
        </w:tc>
        <w:tc>
          <w:tcPr>
            <w:tcW w:w="2410" w:type="dxa"/>
          </w:tcPr>
          <w:p w14:paraId="18A4C766" w14:textId="77777777" w:rsidR="00907C81" w:rsidRPr="00FF673A" w:rsidRDefault="00907C81" w:rsidP="00874B2D">
            <w:pPr>
              <w:jc w:val="right"/>
              <w:rPr>
                <w:b/>
                <w:sz w:val="20"/>
                <w:szCs w:val="20"/>
                <w:lang w:val="es-ES_tradnl"/>
              </w:rPr>
            </w:pPr>
            <w:r>
              <w:rPr>
                <w:b/>
                <w:sz w:val="20"/>
                <w:szCs w:val="20"/>
                <w:lang w:val="es-ES_tradnl"/>
              </w:rPr>
              <w:t>199.949.026.835,01</w:t>
            </w:r>
          </w:p>
        </w:tc>
      </w:tr>
      <w:tr w:rsidR="00907C81" w:rsidRPr="00FF673A" w14:paraId="0794F779" w14:textId="77777777" w:rsidTr="00874B2D">
        <w:tc>
          <w:tcPr>
            <w:tcW w:w="1134" w:type="dxa"/>
          </w:tcPr>
          <w:p w14:paraId="163B2FDB" w14:textId="77777777" w:rsidR="00907C81" w:rsidRPr="00FF673A" w:rsidRDefault="00907C81" w:rsidP="00874B2D">
            <w:pPr>
              <w:jc w:val="center"/>
              <w:rPr>
                <w:b/>
                <w:sz w:val="20"/>
                <w:szCs w:val="20"/>
                <w:lang w:val="es-ES_tradnl"/>
              </w:rPr>
            </w:pPr>
            <w:r>
              <w:rPr>
                <w:b/>
                <w:sz w:val="20"/>
                <w:szCs w:val="20"/>
                <w:lang w:val="es-ES_tradnl"/>
              </w:rPr>
              <w:t>589090</w:t>
            </w:r>
          </w:p>
        </w:tc>
        <w:tc>
          <w:tcPr>
            <w:tcW w:w="6379" w:type="dxa"/>
          </w:tcPr>
          <w:p w14:paraId="77A79EA0" w14:textId="77777777" w:rsidR="00907C81" w:rsidRPr="00FF673A" w:rsidRDefault="00907C81" w:rsidP="00874B2D">
            <w:pPr>
              <w:rPr>
                <w:b/>
                <w:sz w:val="20"/>
                <w:szCs w:val="20"/>
                <w:lang w:val="es-ES_tradnl"/>
              </w:rPr>
            </w:pPr>
            <w:r>
              <w:rPr>
                <w:b/>
                <w:sz w:val="20"/>
                <w:szCs w:val="20"/>
                <w:lang w:val="es-ES_tradnl"/>
              </w:rPr>
              <w:t>Otros gastos diversos</w:t>
            </w:r>
          </w:p>
        </w:tc>
        <w:tc>
          <w:tcPr>
            <w:tcW w:w="2410" w:type="dxa"/>
          </w:tcPr>
          <w:p w14:paraId="747D578F" w14:textId="77777777" w:rsidR="00907C81" w:rsidRPr="00FF673A" w:rsidRDefault="00907C81" w:rsidP="00874B2D">
            <w:pPr>
              <w:jc w:val="right"/>
              <w:rPr>
                <w:b/>
                <w:sz w:val="20"/>
                <w:szCs w:val="20"/>
                <w:lang w:val="es-ES_tradnl"/>
              </w:rPr>
            </w:pPr>
            <w:r>
              <w:rPr>
                <w:b/>
                <w:sz w:val="20"/>
                <w:szCs w:val="20"/>
                <w:lang w:val="es-ES_tradnl"/>
              </w:rPr>
              <w:t>184.816,78</w:t>
            </w:r>
          </w:p>
        </w:tc>
      </w:tr>
      <w:tr w:rsidR="00907C81" w:rsidRPr="00FF673A" w14:paraId="0F1AFD67" w14:textId="77777777" w:rsidTr="00874B2D">
        <w:tc>
          <w:tcPr>
            <w:tcW w:w="1134" w:type="dxa"/>
          </w:tcPr>
          <w:p w14:paraId="78E68D6F" w14:textId="77777777" w:rsidR="00907C81" w:rsidRPr="00FF673A" w:rsidRDefault="00907C81" w:rsidP="00874B2D">
            <w:pPr>
              <w:jc w:val="center"/>
              <w:rPr>
                <w:b/>
                <w:sz w:val="20"/>
                <w:szCs w:val="20"/>
                <w:lang w:val="es-ES_tradnl"/>
              </w:rPr>
            </w:pPr>
            <w:r>
              <w:rPr>
                <w:b/>
                <w:sz w:val="20"/>
                <w:szCs w:val="20"/>
                <w:lang w:val="es-ES_tradnl"/>
              </w:rPr>
              <w:t>839090</w:t>
            </w:r>
          </w:p>
        </w:tc>
        <w:tc>
          <w:tcPr>
            <w:tcW w:w="6379" w:type="dxa"/>
          </w:tcPr>
          <w:p w14:paraId="3FCCC92B" w14:textId="77777777" w:rsidR="00907C81" w:rsidRPr="00FF673A" w:rsidRDefault="00907C81" w:rsidP="00874B2D">
            <w:pPr>
              <w:rPr>
                <w:b/>
                <w:sz w:val="20"/>
                <w:szCs w:val="20"/>
                <w:lang w:val="es-ES_tradnl"/>
              </w:rPr>
            </w:pPr>
            <w:r>
              <w:rPr>
                <w:b/>
                <w:sz w:val="20"/>
                <w:szCs w:val="20"/>
                <w:lang w:val="es-ES_tradnl"/>
              </w:rPr>
              <w:t>Otras cuentas deudoras de control</w:t>
            </w:r>
          </w:p>
        </w:tc>
        <w:tc>
          <w:tcPr>
            <w:tcW w:w="2410" w:type="dxa"/>
          </w:tcPr>
          <w:p w14:paraId="2E4E5B8D" w14:textId="77777777" w:rsidR="00907C81" w:rsidRPr="00FF673A" w:rsidRDefault="00907C81" w:rsidP="00874B2D">
            <w:pPr>
              <w:jc w:val="right"/>
              <w:rPr>
                <w:b/>
                <w:sz w:val="20"/>
                <w:szCs w:val="20"/>
                <w:lang w:val="es-ES_tradnl"/>
              </w:rPr>
            </w:pPr>
            <w:r>
              <w:rPr>
                <w:b/>
                <w:sz w:val="20"/>
                <w:szCs w:val="20"/>
                <w:lang w:val="es-ES_tradnl"/>
              </w:rPr>
              <w:t>39.674.183,92</w:t>
            </w:r>
          </w:p>
        </w:tc>
      </w:tr>
      <w:tr w:rsidR="00907C81" w:rsidRPr="00FF673A" w14:paraId="4045C866" w14:textId="77777777" w:rsidTr="00874B2D">
        <w:tc>
          <w:tcPr>
            <w:tcW w:w="1134" w:type="dxa"/>
          </w:tcPr>
          <w:p w14:paraId="19780F58" w14:textId="77777777" w:rsidR="00907C81" w:rsidRPr="00FF673A" w:rsidRDefault="00907C81" w:rsidP="00874B2D">
            <w:pPr>
              <w:jc w:val="center"/>
              <w:rPr>
                <w:b/>
                <w:sz w:val="20"/>
                <w:szCs w:val="20"/>
                <w:lang w:val="es-ES_tradnl"/>
              </w:rPr>
            </w:pPr>
            <w:r>
              <w:rPr>
                <w:b/>
                <w:sz w:val="20"/>
                <w:szCs w:val="20"/>
                <w:lang w:val="es-ES_tradnl"/>
              </w:rPr>
              <w:t>891590</w:t>
            </w:r>
          </w:p>
        </w:tc>
        <w:tc>
          <w:tcPr>
            <w:tcW w:w="6379" w:type="dxa"/>
          </w:tcPr>
          <w:p w14:paraId="2DF15BEA" w14:textId="77777777" w:rsidR="00907C81" w:rsidRPr="00FF673A" w:rsidRDefault="00907C81" w:rsidP="00874B2D">
            <w:pPr>
              <w:rPr>
                <w:b/>
                <w:sz w:val="20"/>
                <w:szCs w:val="20"/>
                <w:lang w:val="es-ES_tradnl"/>
              </w:rPr>
            </w:pPr>
            <w:r>
              <w:rPr>
                <w:b/>
                <w:sz w:val="20"/>
                <w:szCs w:val="20"/>
                <w:lang w:val="es-ES_tradnl"/>
              </w:rPr>
              <w:t>Otras cuentas deudoras de control por contra</w:t>
            </w:r>
          </w:p>
        </w:tc>
        <w:tc>
          <w:tcPr>
            <w:tcW w:w="2410" w:type="dxa"/>
          </w:tcPr>
          <w:p w14:paraId="1F5FFBA6" w14:textId="77777777" w:rsidR="00907C81" w:rsidRPr="00FF673A" w:rsidRDefault="00907C81" w:rsidP="00874B2D">
            <w:pPr>
              <w:jc w:val="right"/>
              <w:rPr>
                <w:b/>
                <w:sz w:val="20"/>
                <w:szCs w:val="20"/>
                <w:lang w:val="es-ES_tradnl"/>
              </w:rPr>
            </w:pPr>
            <w:r>
              <w:rPr>
                <w:b/>
                <w:sz w:val="20"/>
                <w:szCs w:val="20"/>
                <w:lang w:val="es-ES_tradnl"/>
              </w:rPr>
              <w:t>(39.674.183,92)</w:t>
            </w:r>
          </w:p>
        </w:tc>
      </w:tr>
    </w:tbl>
    <w:p w14:paraId="5025DAA1" w14:textId="77777777" w:rsidR="00907C81" w:rsidRDefault="00907C81" w:rsidP="00907C81">
      <w:pPr>
        <w:pStyle w:val="Textoindependiente"/>
        <w:ind w:right="-50"/>
        <w:jc w:val="both"/>
        <w:rPr>
          <w:bCs/>
        </w:rPr>
      </w:pPr>
    </w:p>
    <w:p w14:paraId="574129B4" w14:textId="77777777" w:rsidR="00907C81" w:rsidRDefault="00907C81" w:rsidP="00907C81">
      <w:pPr>
        <w:pStyle w:val="Textoindependiente"/>
        <w:ind w:right="-50"/>
        <w:jc w:val="both"/>
        <w:rPr>
          <w:bCs/>
        </w:rPr>
      </w:pPr>
      <w:r>
        <w:rPr>
          <w:b/>
        </w:rPr>
        <w:t xml:space="preserve">NOTA 7. CUENTAS POR COBRAR: </w:t>
      </w:r>
    </w:p>
    <w:p w14:paraId="79E9C8B6" w14:textId="77777777" w:rsidR="00907C81" w:rsidRDefault="00907C81" w:rsidP="00907C81">
      <w:pPr>
        <w:pStyle w:val="Textoindependiente"/>
        <w:ind w:right="-50"/>
        <w:jc w:val="both"/>
        <w:rPr>
          <w:bCs/>
        </w:rPr>
      </w:pPr>
    </w:p>
    <w:p w14:paraId="18C5E4A8" w14:textId="77777777" w:rsidR="00907C81" w:rsidRDefault="00907C81" w:rsidP="00907C81">
      <w:pPr>
        <w:pStyle w:val="Textoindependiente"/>
        <w:ind w:right="-50"/>
        <w:jc w:val="both"/>
        <w:rPr>
          <w:bCs/>
        </w:rPr>
      </w:pPr>
      <w:r w:rsidRPr="00572CB6">
        <w:rPr>
          <w:bCs/>
          <w:noProof/>
          <w:lang w:val="es-CO" w:eastAsia="es-CO"/>
        </w:rPr>
        <w:drawing>
          <wp:inline distT="0" distB="0" distL="0" distR="0" wp14:anchorId="2ACF75CB" wp14:editId="73E6BD4B">
            <wp:extent cx="6306430" cy="2772162"/>
            <wp:effectExtent l="0" t="0" r="0" b="9525"/>
            <wp:docPr id="1441286734" name="Imagen 144128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6430" cy="2772162"/>
                    </a:xfrm>
                    <a:prstGeom prst="rect">
                      <a:avLst/>
                    </a:prstGeom>
                  </pic:spPr>
                </pic:pic>
              </a:graphicData>
            </a:graphic>
          </wp:inline>
        </w:drawing>
      </w:r>
    </w:p>
    <w:p w14:paraId="7AE1C24A" w14:textId="77777777" w:rsidR="00907C81" w:rsidRDefault="00907C81" w:rsidP="00907C81">
      <w:pPr>
        <w:pStyle w:val="Textoindependiente"/>
        <w:ind w:right="-50"/>
        <w:jc w:val="both"/>
        <w:rPr>
          <w:bCs/>
        </w:rPr>
      </w:pPr>
    </w:p>
    <w:p w14:paraId="41E7991A" w14:textId="77777777" w:rsidR="00907C81" w:rsidRPr="00C655E3" w:rsidRDefault="00907C81" w:rsidP="00907C81">
      <w:pPr>
        <w:jc w:val="both"/>
        <w:rPr>
          <w:b/>
          <w:sz w:val="24"/>
          <w:szCs w:val="24"/>
        </w:rPr>
      </w:pPr>
      <w:r>
        <w:rPr>
          <w:b/>
        </w:rPr>
        <w:t xml:space="preserve">- </w:t>
      </w:r>
      <w:r w:rsidRPr="00C655E3">
        <w:rPr>
          <w:b/>
          <w:sz w:val="24"/>
          <w:szCs w:val="24"/>
        </w:rPr>
        <w:t xml:space="preserve">Otras Cuentas por Cobrar – Pago por Cuenta de Terceros: </w:t>
      </w:r>
      <w:r w:rsidRPr="00C655E3">
        <w:rPr>
          <w:bCs/>
          <w:sz w:val="24"/>
          <w:szCs w:val="24"/>
        </w:rPr>
        <w:t xml:space="preserve">$60.750.674,00. </w:t>
      </w:r>
      <w:r w:rsidRPr="00C655E3">
        <w:rPr>
          <w:sz w:val="24"/>
          <w:szCs w:val="24"/>
        </w:rPr>
        <w:t xml:space="preserve">El saldo de la subcuenta 138426 Pago por cuenta de terceros, corresponde al valor de las incapacidades y licencias de maternidad y/o paternidad de los funcionarios de la entidad, sobre las cuales se tiene un derecho de reembolso de las EPS, Caja de Compensación y ARL, que con corte a 31 de diciembre de 2024 se encuentran con saldo por pagar al Fondo Adaptación. El saldo corresponde a los valores pendientes de reintegrar, los cuales no tienen condiciones específicas dado el origen de la transacción. </w:t>
      </w:r>
    </w:p>
    <w:p w14:paraId="6CE95CF9" w14:textId="77777777" w:rsidR="00907C81" w:rsidRPr="00572CB6" w:rsidRDefault="00907C81" w:rsidP="00907C81">
      <w:pPr>
        <w:jc w:val="both"/>
        <w:rPr>
          <w:b/>
          <w:sz w:val="24"/>
          <w:szCs w:val="24"/>
        </w:rPr>
      </w:pPr>
    </w:p>
    <w:p w14:paraId="4FA0B730" w14:textId="77777777" w:rsidR="00907C81" w:rsidRDefault="00907C81" w:rsidP="00907C81">
      <w:pPr>
        <w:pStyle w:val="Textoindependiente"/>
        <w:ind w:right="-50"/>
        <w:jc w:val="both"/>
      </w:pPr>
      <w:r w:rsidRPr="00572CB6">
        <w:t>El Fondo Adaptación para el reconocimiento del derecho por cobrar por concepto de incapacidades, aplica lo conceptuado por la Contaduría General de la Nación</w:t>
      </w:r>
      <w:r>
        <w:t>.</w:t>
      </w:r>
    </w:p>
    <w:p w14:paraId="63A09AA8" w14:textId="77777777" w:rsidR="00907C81" w:rsidRDefault="00907C81" w:rsidP="00907C81">
      <w:pPr>
        <w:pStyle w:val="Textoindependiente"/>
        <w:ind w:right="-50"/>
        <w:jc w:val="both"/>
      </w:pPr>
    </w:p>
    <w:p w14:paraId="235A004A" w14:textId="77777777" w:rsidR="00907C81" w:rsidRPr="00572CB6" w:rsidRDefault="00907C81" w:rsidP="00907C81">
      <w:pPr>
        <w:jc w:val="both"/>
        <w:rPr>
          <w:sz w:val="24"/>
          <w:szCs w:val="24"/>
        </w:rPr>
      </w:pPr>
      <w:r w:rsidRPr="00572CB6">
        <w:rPr>
          <w:sz w:val="24"/>
          <w:szCs w:val="24"/>
        </w:rPr>
        <w:t>Los valores para cobrar por concepto de incapacidades son conciliados mensualmente con el Equipo de Trabajo Gestión Talento Humano (</w:t>
      </w:r>
      <w:r>
        <w:rPr>
          <w:sz w:val="24"/>
          <w:szCs w:val="24"/>
        </w:rPr>
        <w:t>N</w:t>
      </w:r>
      <w:r w:rsidRPr="00572CB6">
        <w:rPr>
          <w:sz w:val="24"/>
          <w:szCs w:val="24"/>
        </w:rPr>
        <w:t>ómina), los cuales fueron incorporados en el Plan de sostenibilidad contable del Fondo Adaptación, y como resultado del análisis, seguimientos a los registros contables, cruces de información con fuentes externas y circularización de saldos con las EPS y ARL (</w:t>
      </w:r>
      <w:r>
        <w:rPr>
          <w:sz w:val="24"/>
          <w:szCs w:val="24"/>
        </w:rPr>
        <w:t>S</w:t>
      </w:r>
      <w:r w:rsidRPr="00572CB6">
        <w:rPr>
          <w:sz w:val="24"/>
          <w:szCs w:val="24"/>
        </w:rPr>
        <w:t>eguimiento de 35 documentos oficios radicados, reiteraciones y respuestas). De igual manera se consideró el término de prescripción para el pago de las prestaciones económicas, acorde a lo previsto en el artículo 28 de la Ley 1438 de 2011.</w:t>
      </w:r>
    </w:p>
    <w:p w14:paraId="4EC9E7E1" w14:textId="77777777" w:rsidR="00907C81" w:rsidRPr="00572CB6" w:rsidRDefault="00907C81" w:rsidP="00907C81">
      <w:pPr>
        <w:jc w:val="both"/>
        <w:rPr>
          <w:sz w:val="24"/>
          <w:szCs w:val="24"/>
        </w:rPr>
      </w:pPr>
    </w:p>
    <w:p w14:paraId="32D18A24" w14:textId="77777777" w:rsidR="00907C81" w:rsidRPr="00572CB6" w:rsidRDefault="00907C81" w:rsidP="00907C81">
      <w:pPr>
        <w:jc w:val="both"/>
        <w:rPr>
          <w:sz w:val="24"/>
          <w:szCs w:val="24"/>
        </w:rPr>
      </w:pPr>
      <w:r w:rsidRPr="00572CB6">
        <w:rPr>
          <w:sz w:val="24"/>
          <w:szCs w:val="24"/>
        </w:rPr>
        <w:t xml:space="preserve">Todo ello permitió la depuración de los saldos, previa consideración y aprobación del Comité Técnico de Sostenibilidad Contable (CTSC) Acta 002, y las de política de materialidad corresponden principalmente de los primeros dos días de incapacidad que no son reconocidos por la EPS y que se contabilizaron como cuenta por cobrar y otras diferencias, que no superan el límite de materialidad definida en el Manual de Políticas y Lineamientos Contables de 0,5 </w:t>
      </w:r>
      <w:r w:rsidRPr="00572CB6">
        <w:rPr>
          <w:sz w:val="24"/>
          <w:szCs w:val="24"/>
        </w:rPr>
        <w:lastRenderedPageBreak/>
        <w:t>SMLMV, acorde al siguiente detalle:</w:t>
      </w:r>
    </w:p>
    <w:p w14:paraId="2BAD5408" w14:textId="77777777" w:rsidR="00907C81" w:rsidRDefault="00907C81" w:rsidP="00907C81">
      <w:pPr>
        <w:pStyle w:val="Textoindependiente"/>
        <w:ind w:right="-50"/>
        <w:jc w:val="both"/>
        <w:rPr>
          <w:bCs/>
        </w:rPr>
      </w:pPr>
    </w:p>
    <w:p w14:paraId="337D7F4A" w14:textId="77777777" w:rsidR="00907C81" w:rsidRDefault="00907C81" w:rsidP="00907C81">
      <w:pPr>
        <w:pStyle w:val="Textoindependiente"/>
        <w:ind w:right="-50"/>
        <w:jc w:val="center"/>
        <w:rPr>
          <w:bCs/>
        </w:rPr>
      </w:pPr>
      <w:r w:rsidRPr="00572CB6">
        <w:rPr>
          <w:bCs/>
          <w:noProof/>
          <w:lang w:val="es-CO" w:eastAsia="es-CO"/>
        </w:rPr>
        <w:drawing>
          <wp:inline distT="0" distB="0" distL="0" distR="0" wp14:anchorId="75F8CA33" wp14:editId="6471EC5A">
            <wp:extent cx="4810796" cy="1552792"/>
            <wp:effectExtent l="0" t="0" r="0" b="9525"/>
            <wp:docPr id="1441286735" name="Imagen 144128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0796" cy="1552792"/>
                    </a:xfrm>
                    <a:prstGeom prst="rect">
                      <a:avLst/>
                    </a:prstGeom>
                  </pic:spPr>
                </pic:pic>
              </a:graphicData>
            </a:graphic>
          </wp:inline>
        </w:drawing>
      </w:r>
    </w:p>
    <w:p w14:paraId="7088FF30" w14:textId="77777777" w:rsidR="00907C81" w:rsidRDefault="00907C81" w:rsidP="00907C81">
      <w:pPr>
        <w:pStyle w:val="Textoindependiente"/>
        <w:ind w:right="-50"/>
        <w:jc w:val="both"/>
        <w:rPr>
          <w:bCs/>
        </w:rPr>
      </w:pPr>
    </w:p>
    <w:p w14:paraId="52B2D550" w14:textId="77777777" w:rsidR="00907C81" w:rsidRPr="00572CB6" w:rsidRDefault="00907C81" w:rsidP="00907C81">
      <w:pPr>
        <w:jc w:val="both"/>
        <w:rPr>
          <w:sz w:val="24"/>
          <w:szCs w:val="24"/>
        </w:rPr>
      </w:pPr>
      <w:r w:rsidRPr="00572CB6">
        <w:rPr>
          <w:sz w:val="24"/>
          <w:szCs w:val="24"/>
        </w:rPr>
        <w:t xml:space="preserve">Con respecto al saldo del año anterior, se presenta una disminución en su saldo por valor de </w:t>
      </w:r>
      <w:r>
        <w:rPr>
          <w:sz w:val="24"/>
          <w:szCs w:val="24"/>
        </w:rPr>
        <w:t>$</w:t>
      </w:r>
      <w:r w:rsidRPr="00572CB6">
        <w:rPr>
          <w:sz w:val="24"/>
          <w:szCs w:val="24"/>
        </w:rPr>
        <w:t xml:space="preserve">43.592.786,99, equivalente al 41,78%, originados principalmente en el recaudo como resultado de la gestión del E.T. Talento Humano, que permitió reintegros de incapacidades que ascendieron a la suma de </w:t>
      </w:r>
      <w:r>
        <w:rPr>
          <w:sz w:val="24"/>
          <w:szCs w:val="24"/>
        </w:rPr>
        <w:t>$</w:t>
      </w:r>
      <w:r w:rsidRPr="00572CB6">
        <w:rPr>
          <w:sz w:val="24"/>
          <w:szCs w:val="24"/>
        </w:rPr>
        <w:t>70.726.761.</w:t>
      </w:r>
    </w:p>
    <w:p w14:paraId="31AE4816" w14:textId="77777777" w:rsidR="00907C81" w:rsidRPr="00572CB6" w:rsidRDefault="00907C81" w:rsidP="00907C81">
      <w:pPr>
        <w:jc w:val="both"/>
        <w:rPr>
          <w:sz w:val="24"/>
          <w:szCs w:val="24"/>
        </w:rPr>
      </w:pPr>
    </w:p>
    <w:p w14:paraId="06104EA9" w14:textId="77777777" w:rsidR="00907C81" w:rsidRDefault="00907C81" w:rsidP="00907C81">
      <w:pPr>
        <w:jc w:val="both"/>
        <w:rPr>
          <w:sz w:val="24"/>
          <w:szCs w:val="24"/>
        </w:rPr>
      </w:pPr>
      <w:r w:rsidRPr="00572CB6">
        <w:rPr>
          <w:sz w:val="24"/>
          <w:szCs w:val="24"/>
        </w:rPr>
        <w:t>Por otra parte y considerando lo indicado en el procedimiento para la evaluación del control interno contable, en lo relacionado con la “</w:t>
      </w:r>
      <w:r w:rsidRPr="00572CB6">
        <w:rPr>
          <w:i/>
          <w:sz w:val="24"/>
          <w:szCs w:val="24"/>
        </w:rPr>
        <w:t>Depuración contable permanente y sostenible</w:t>
      </w:r>
      <w:r w:rsidRPr="00572CB6">
        <w:rPr>
          <w:sz w:val="24"/>
          <w:szCs w:val="24"/>
        </w:rPr>
        <w:t>”, se adelantaron las acciones administrativas para la circularización de saldos, análisis históricos y validación de saldos contables por concepto de incapacidades en 2024, lo que conllevo a la depuración, aprobadas acorde a las políticas de materialidad y competencia, de los siguientes saldos detallado a nivel de terceros:</w:t>
      </w:r>
    </w:p>
    <w:p w14:paraId="3AA654A1" w14:textId="77777777" w:rsidR="00907C81" w:rsidRDefault="00907C81" w:rsidP="00907C81">
      <w:pPr>
        <w:jc w:val="both"/>
        <w:rPr>
          <w:sz w:val="24"/>
          <w:szCs w:val="24"/>
        </w:rPr>
      </w:pPr>
    </w:p>
    <w:p w14:paraId="1A0976E9" w14:textId="77777777" w:rsidR="00907C81" w:rsidRDefault="00907C81" w:rsidP="00907C81">
      <w:pPr>
        <w:jc w:val="center"/>
        <w:rPr>
          <w:sz w:val="24"/>
          <w:szCs w:val="24"/>
        </w:rPr>
      </w:pPr>
      <w:r w:rsidRPr="00572CB6">
        <w:rPr>
          <w:noProof/>
          <w:sz w:val="24"/>
          <w:szCs w:val="24"/>
          <w:lang w:val="es-CO" w:eastAsia="es-CO"/>
        </w:rPr>
        <w:drawing>
          <wp:inline distT="0" distB="0" distL="0" distR="0" wp14:anchorId="01853335" wp14:editId="6E0A2B0E">
            <wp:extent cx="6332220" cy="3543300"/>
            <wp:effectExtent l="0" t="0" r="0" b="0"/>
            <wp:docPr id="1441286736" name="Imagen 144128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3543300"/>
                    </a:xfrm>
                    <a:prstGeom prst="rect">
                      <a:avLst/>
                    </a:prstGeom>
                  </pic:spPr>
                </pic:pic>
              </a:graphicData>
            </a:graphic>
          </wp:inline>
        </w:drawing>
      </w:r>
    </w:p>
    <w:p w14:paraId="78239AFD" w14:textId="77777777" w:rsidR="00907C81" w:rsidRDefault="00907C81" w:rsidP="00907C81">
      <w:pPr>
        <w:jc w:val="both"/>
        <w:rPr>
          <w:sz w:val="24"/>
          <w:szCs w:val="24"/>
        </w:rPr>
      </w:pPr>
    </w:p>
    <w:p w14:paraId="08FDCDA8" w14:textId="77777777" w:rsidR="00907C81" w:rsidRPr="00572CB6" w:rsidRDefault="00907C81" w:rsidP="00907C81">
      <w:pPr>
        <w:jc w:val="both"/>
        <w:rPr>
          <w:sz w:val="24"/>
          <w:szCs w:val="24"/>
        </w:rPr>
      </w:pPr>
      <w:r w:rsidRPr="00572CB6">
        <w:rPr>
          <w:sz w:val="24"/>
          <w:szCs w:val="24"/>
        </w:rPr>
        <w:t xml:space="preserve">El saldo final por tercero al cierre de la vigencia 2024 registrados en la subcuenta 138426 Pago por </w:t>
      </w:r>
      <w:r>
        <w:rPr>
          <w:sz w:val="24"/>
          <w:szCs w:val="24"/>
        </w:rPr>
        <w:t>C</w:t>
      </w:r>
      <w:r w:rsidRPr="00572CB6">
        <w:rPr>
          <w:sz w:val="24"/>
          <w:szCs w:val="24"/>
        </w:rPr>
        <w:t xml:space="preserve">uenta de </w:t>
      </w:r>
      <w:r>
        <w:rPr>
          <w:sz w:val="24"/>
          <w:szCs w:val="24"/>
        </w:rPr>
        <w:t>T</w:t>
      </w:r>
      <w:r w:rsidRPr="00572CB6">
        <w:rPr>
          <w:sz w:val="24"/>
          <w:szCs w:val="24"/>
        </w:rPr>
        <w:t>erceros, por concepto de incapacidades y clasificado por antigüedad es el siguiente:</w:t>
      </w:r>
    </w:p>
    <w:p w14:paraId="0BC74F52" w14:textId="77777777" w:rsidR="00907C81" w:rsidRDefault="00907C81" w:rsidP="00907C81">
      <w:pPr>
        <w:jc w:val="both"/>
        <w:rPr>
          <w:sz w:val="24"/>
          <w:szCs w:val="24"/>
        </w:rPr>
      </w:pPr>
    </w:p>
    <w:p w14:paraId="783AB37C" w14:textId="77777777" w:rsidR="00907C81" w:rsidRPr="00572CB6" w:rsidRDefault="00907C81" w:rsidP="00907C81">
      <w:pPr>
        <w:jc w:val="both"/>
        <w:rPr>
          <w:sz w:val="24"/>
          <w:szCs w:val="24"/>
        </w:rPr>
      </w:pPr>
      <w:r w:rsidRPr="00572CB6">
        <w:rPr>
          <w:noProof/>
          <w:sz w:val="24"/>
          <w:szCs w:val="24"/>
          <w:lang w:val="es-CO" w:eastAsia="es-CO"/>
        </w:rPr>
        <w:drawing>
          <wp:inline distT="0" distB="0" distL="0" distR="0" wp14:anchorId="172297C6" wp14:editId="2525444C">
            <wp:extent cx="6332220" cy="1835785"/>
            <wp:effectExtent l="0" t="0" r="0" b="0"/>
            <wp:docPr id="1441286737" name="Imagen 144128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1835785"/>
                    </a:xfrm>
                    <a:prstGeom prst="rect">
                      <a:avLst/>
                    </a:prstGeom>
                  </pic:spPr>
                </pic:pic>
              </a:graphicData>
            </a:graphic>
          </wp:inline>
        </w:drawing>
      </w:r>
    </w:p>
    <w:p w14:paraId="7F048CCF" w14:textId="77777777" w:rsidR="00907C81" w:rsidRDefault="00907C81" w:rsidP="00907C81">
      <w:pPr>
        <w:pStyle w:val="Textoindependiente"/>
        <w:ind w:right="-50"/>
        <w:jc w:val="both"/>
        <w:rPr>
          <w:b/>
        </w:rPr>
      </w:pPr>
    </w:p>
    <w:p w14:paraId="6C9AEFA3" w14:textId="77777777" w:rsidR="00907C81" w:rsidRPr="00C655E3" w:rsidRDefault="00907C81" w:rsidP="00907C81">
      <w:pPr>
        <w:jc w:val="both"/>
        <w:rPr>
          <w:sz w:val="24"/>
          <w:szCs w:val="24"/>
        </w:rPr>
      </w:pPr>
      <w:r>
        <w:rPr>
          <w:b/>
        </w:rPr>
        <w:t>7</w:t>
      </w:r>
      <w:r w:rsidRPr="00C655E3">
        <w:rPr>
          <w:b/>
          <w:sz w:val="24"/>
          <w:szCs w:val="24"/>
        </w:rPr>
        <w:t xml:space="preserve">.2. Contribuciones, Tasas e Ingresos No Tributarios – Multas: $84.250.164,00. </w:t>
      </w:r>
      <w:r w:rsidRPr="00C655E3">
        <w:rPr>
          <w:sz w:val="24"/>
          <w:szCs w:val="24"/>
        </w:rPr>
        <w:t>A 31 de diciembre de 2024, se presenta un saldo de 84.250.164,00, correspondiente al reconocimiento de la sanción disciplinaria impuesta al funcionario Luis Fernando Ramos Parra, de acuerdo con la Resolución 237 de junio de 2021, tal como lo informa en el memorando I-2025-000179 del Equipo de Trabajo de Gestión Jurídica, Defensa Judicial y Cobro Coactivo.</w:t>
      </w:r>
    </w:p>
    <w:p w14:paraId="0EE82599" w14:textId="77777777" w:rsidR="00907C81" w:rsidRPr="00C655E3" w:rsidRDefault="00907C81" w:rsidP="00907C81">
      <w:pPr>
        <w:jc w:val="both"/>
        <w:rPr>
          <w:sz w:val="24"/>
          <w:szCs w:val="24"/>
        </w:rPr>
      </w:pPr>
    </w:p>
    <w:p w14:paraId="7AF708EA" w14:textId="77777777" w:rsidR="00907C81" w:rsidRDefault="00907C81" w:rsidP="00907C81">
      <w:pPr>
        <w:jc w:val="both"/>
        <w:rPr>
          <w:sz w:val="24"/>
          <w:szCs w:val="24"/>
        </w:rPr>
      </w:pPr>
      <w:r>
        <w:rPr>
          <w:b/>
          <w:bCs/>
          <w:sz w:val="24"/>
          <w:szCs w:val="24"/>
        </w:rPr>
        <w:t xml:space="preserve">7.4. Deterioro de Cuentas por Cobrar (Cr): </w:t>
      </w:r>
      <w:r w:rsidRPr="00DF29D8">
        <w:rPr>
          <w:sz w:val="24"/>
          <w:szCs w:val="24"/>
        </w:rPr>
        <w:t xml:space="preserve">El saldo de la cuenta presenta un saldo de </w:t>
      </w:r>
      <w:r>
        <w:rPr>
          <w:sz w:val="24"/>
          <w:szCs w:val="24"/>
        </w:rPr>
        <w:t>$</w:t>
      </w:r>
      <w:r w:rsidRPr="00DF29D8">
        <w:rPr>
          <w:sz w:val="24"/>
          <w:szCs w:val="24"/>
        </w:rPr>
        <w:t xml:space="preserve">648.533.915,27 y correspondiente al cálculo del deterioro de Contribuciones, tasas e ingresos no tributarios, Sentencias, laudos arbitrales y conciliaciones extrajudiciales a favor y otras cuentas por cobrar. </w:t>
      </w:r>
    </w:p>
    <w:p w14:paraId="721DEAE5" w14:textId="77777777" w:rsidR="00907C81" w:rsidRDefault="00907C81" w:rsidP="00907C81">
      <w:pPr>
        <w:jc w:val="both"/>
        <w:rPr>
          <w:sz w:val="24"/>
          <w:szCs w:val="24"/>
        </w:rPr>
      </w:pPr>
    </w:p>
    <w:p w14:paraId="00C956FF" w14:textId="77777777" w:rsidR="00907C81" w:rsidRDefault="00907C81" w:rsidP="00907C81">
      <w:pPr>
        <w:jc w:val="center"/>
        <w:rPr>
          <w:sz w:val="24"/>
          <w:szCs w:val="24"/>
        </w:rPr>
      </w:pPr>
      <w:r w:rsidRPr="006266D3">
        <w:rPr>
          <w:noProof/>
          <w:sz w:val="24"/>
          <w:szCs w:val="24"/>
          <w:lang w:val="es-CO" w:eastAsia="es-CO"/>
        </w:rPr>
        <w:drawing>
          <wp:inline distT="0" distB="0" distL="0" distR="0" wp14:anchorId="21B9E862" wp14:editId="7414CA18">
            <wp:extent cx="4944165" cy="1162212"/>
            <wp:effectExtent l="0" t="0" r="8890" b="0"/>
            <wp:docPr id="1441286738" name="Imagen 144128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4165" cy="1162212"/>
                    </a:xfrm>
                    <a:prstGeom prst="rect">
                      <a:avLst/>
                    </a:prstGeom>
                  </pic:spPr>
                </pic:pic>
              </a:graphicData>
            </a:graphic>
          </wp:inline>
        </w:drawing>
      </w:r>
    </w:p>
    <w:p w14:paraId="471B153B" w14:textId="77777777" w:rsidR="00907C81" w:rsidRDefault="00907C81" w:rsidP="00907C81">
      <w:pPr>
        <w:jc w:val="both"/>
        <w:rPr>
          <w:sz w:val="24"/>
          <w:szCs w:val="24"/>
        </w:rPr>
      </w:pPr>
    </w:p>
    <w:p w14:paraId="750A52CC" w14:textId="77777777" w:rsidR="00907C81" w:rsidRPr="006266D3" w:rsidRDefault="00907C81" w:rsidP="00907C81">
      <w:pPr>
        <w:jc w:val="both"/>
        <w:rPr>
          <w:sz w:val="24"/>
          <w:szCs w:val="24"/>
        </w:rPr>
      </w:pPr>
      <w:r w:rsidRPr="006266D3">
        <w:rPr>
          <w:sz w:val="24"/>
          <w:szCs w:val="24"/>
        </w:rPr>
        <w:t>A continuación, se detalla, el saldo por tercero:</w:t>
      </w:r>
    </w:p>
    <w:p w14:paraId="281743A9" w14:textId="77777777" w:rsidR="00907C81" w:rsidRPr="004B31C5" w:rsidRDefault="00907C81" w:rsidP="00907C81">
      <w:pPr>
        <w:jc w:val="both"/>
        <w:rPr>
          <w:rFonts w:ascii="Verdana" w:hAnsi="Verdana"/>
          <w:sz w:val="20"/>
          <w:szCs w:val="20"/>
        </w:rPr>
      </w:pPr>
    </w:p>
    <w:p w14:paraId="1F8B856F" w14:textId="77777777" w:rsidR="00907C81" w:rsidRPr="004B31C5" w:rsidRDefault="00907C81" w:rsidP="00907C81">
      <w:pPr>
        <w:jc w:val="center"/>
        <w:rPr>
          <w:rFonts w:ascii="Verdana" w:hAnsi="Verdana"/>
          <w:sz w:val="20"/>
          <w:szCs w:val="20"/>
        </w:rPr>
      </w:pPr>
      <w:r w:rsidRPr="004B31C5">
        <w:rPr>
          <w:rFonts w:ascii="Verdana" w:hAnsi="Verdana"/>
          <w:i/>
          <w:sz w:val="20"/>
          <w:szCs w:val="20"/>
        </w:rPr>
        <w:t>Composición Deterioro Contribuciones Tasas e Ingresos No Tributarios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268"/>
        <w:gridCol w:w="1651"/>
        <w:gridCol w:w="7"/>
        <w:gridCol w:w="1460"/>
      </w:tblGrid>
      <w:tr w:rsidR="00907C81" w:rsidRPr="00B572CA" w14:paraId="29CD9F22" w14:textId="77777777" w:rsidTr="00874B2D">
        <w:trPr>
          <w:trHeight w:val="466"/>
          <w:jc w:val="center"/>
        </w:trPr>
        <w:tc>
          <w:tcPr>
            <w:tcW w:w="3823" w:type="dxa"/>
            <w:shd w:val="clear" w:color="auto" w:fill="002060"/>
            <w:vAlign w:val="center"/>
          </w:tcPr>
          <w:p w14:paraId="468AC166"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Tercero</w:t>
            </w:r>
          </w:p>
        </w:tc>
        <w:tc>
          <w:tcPr>
            <w:tcW w:w="2268" w:type="dxa"/>
            <w:shd w:val="clear" w:color="auto" w:fill="002060"/>
            <w:vAlign w:val="center"/>
          </w:tcPr>
          <w:p w14:paraId="542A4A3C"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Fecha En La Que Se Originó El Derecho De Cobro</w:t>
            </w:r>
          </w:p>
        </w:tc>
        <w:tc>
          <w:tcPr>
            <w:tcW w:w="1651" w:type="dxa"/>
            <w:shd w:val="clear" w:color="auto" w:fill="002060"/>
            <w:vAlign w:val="center"/>
          </w:tcPr>
          <w:p w14:paraId="756EB403"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Valor Cuenta por  Pagar</w:t>
            </w:r>
          </w:p>
        </w:tc>
        <w:tc>
          <w:tcPr>
            <w:tcW w:w="1467" w:type="dxa"/>
            <w:gridSpan w:val="2"/>
            <w:shd w:val="clear" w:color="auto" w:fill="002060"/>
            <w:vAlign w:val="center"/>
          </w:tcPr>
          <w:p w14:paraId="32FCDD96"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Valor Deterioro</w:t>
            </w:r>
          </w:p>
        </w:tc>
      </w:tr>
      <w:tr w:rsidR="00907C81" w:rsidRPr="00B572CA" w14:paraId="5E9D4E73" w14:textId="77777777" w:rsidTr="00874B2D">
        <w:trPr>
          <w:trHeight w:val="284"/>
          <w:jc w:val="center"/>
        </w:trPr>
        <w:tc>
          <w:tcPr>
            <w:tcW w:w="3823" w:type="dxa"/>
            <w:shd w:val="clear" w:color="auto" w:fill="auto"/>
            <w:vAlign w:val="center"/>
          </w:tcPr>
          <w:p w14:paraId="505E9472" w14:textId="77777777" w:rsidR="00907C81" w:rsidRPr="00B572CA" w:rsidRDefault="00907C81" w:rsidP="00874B2D">
            <w:pPr>
              <w:rPr>
                <w:rFonts w:ascii="Verdana" w:hAnsi="Verdana"/>
                <w:sz w:val="16"/>
                <w:szCs w:val="16"/>
              </w:rPr>
            </w:pPr>
            <w:r w:rsidRPr="00B572CA">
              <w:rPr>
                <w:rFonts w:ascii="Verdana" w:hAnsi="Verdana"/>
                <w:sz w:val="16"/>
                <w:szCs w:val="16"/>
              </w:rPr>
              <w:t>Luis Fernando Ramos Parra</w:t>
            </w:r>
          </w:p>
        </w:tc>
        <w:tc>
          <w:tcPr>
            <w:tcW w:w="2268" w:type="dxa"/>
            <w:shd w:val="clear" w:color="auto" w:fill="auto"/>
            <w:vAlign w:val="center"/>
          </w:tcPr>
          <w:p w14:paraId="5771C2FD" w14:textId="77777777" w:rsidR="00907C81" w:rsidRPr="00B572CA" w:rsidRDefault="00907C81" w:rsidP="00874B2D">
            <w:pPr>
              <w:jc w:val="center"/>
              <w:rPr>
                <w:rFonts w:ascii="Verdana" w:hAnsi="Verdana"/>
                <w:sz w:val="16"/>
                <w:szCs w:val="16"/>
              </w:rPr>
            </w:pPr>
            <w:r w:rsidRPr="00B572CA">
              <w:rPr>
                <w:rFonts w:ascii="Verdana" w:hAnsi="Verdana"/>
                <w:sz w:val="16"/>
                <w:szCs w:val="16"/>
              </w:rPr>
              <w:t>30/06/2021</w:t>
            </w:r>
          </w:p>
        </w:tc>
        <w:tc>
          <w:tcPr>
            <w:tcW w:w="1651" w:type="dxa"/>
            <w:shd w:val="clear" w:color="auto" w:fill="auto"/>
            <w:vAlign w:val="center"/>
          </w:tcPr>
          <w:p w14:paraId="42523B20" w14:textId="77777777" w:rsidR="00907C81" w:rsidRPr="00B572CA" w:rsidRDefault="00907C81" w:rsidP="00874B2D">
            <w:pPr>
              <w:jc w:val="center"/>
              <w:rPr>
                <w:rFonts w:ascii="Verdana" w:hAnsi="Verdana"/>
                <w:sz w:val="16"/>
                <w:szCs w:val="16"/>
              </w:rPr>
            </w:pPr>
            <w:r w:rsidRPr="00B572CA">
              <w:rPr>
                <w:rFonts w:ascii="Verdana" w:hAnsi="Verdana"/>
                <w:sz w:val="16"/>
                <w:szCs w:val="16"/>
              </w:rPr>
              <w:t>85.250.164,00</w:t>
            </w:r>
          </w:p>
        </w:tc>
        <w:tc>
          <w:tcPr>
            <w:tcW w:w="1467" w:type="dxa"/>
            <w:gridSpan w:val="2"/>
            <w:shd w:val="clear" w:color="auto" w:fill="auto"/>
            <w:vAlign w:val="center"/>
          </w:tcPr>
          <w:p w14:paraId="67B324F2" w14:textId="77777777" w:rsidR="00907C81" w:rsidRPr="00B572CA" w:rsidRDefault="00907C81" w:rsidP="00874B2D">
            <w:pPr>
              <w:jc w:val="center"/>
              <w:rPr>
                <w:rFonts w:ascii="Verdana" w:hAnsi="Verdana"/>
                <w:color w:val="000000"/>
                <w:sz w:val="16"/>
                <w:szCs w:val="16"/>
              </w:rPr>
            </w:pPr>
            <w:r w:rsidRPr="00B572CA">
              <w:rPr>
                <w:rFonts w:ascii="Verdana" w:hAnsi="Verdana"/>
                <w:color w:val="000000"/>
                <w:sz w:val="16"/>
                <w:szCs w:val="16"/>
              </w:rPr>
              <w:t>4.367.073,00</w:t>
            </w:r>
          </w:p>
        </w:tc>
      </w:tr>
      <w:tr w:rsidR="00907C81" w:rsidRPr="00B572CA" w14:paraId="38F0CA97" w14:textId="77777777" w:rsidTr="00874B2D">
        <w:trPr>
          <w:trHeight w:val="272"/>
          <w:jc w:val="center"/>
        </w:trPr>
        <w:tc>
          <w:tcPr>
            <w:tcW w:w="6091" w:type="dxa"/>
            <w:gridSpan w:val="2"/>
            <w:shd w:val="clear" w:color="auto" w:fill="002060"/>
            <w:vAlign w:val="center"/>
          </w:tcPr>
          <w:p w14:paraId="53D77941"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Total</w:t>
            </w:r>
          </w:p>
        </w:tc>
        <w:tc>
          <w:tcPr>
            <w:tcW w:w="1658" w:type="dxa"/>
            <w:gridSpan w:val="2"/>
            <w:shd w:val="clear" w:color="auto" w:fill="002060"/>
            <w:vAlign w:val="center"/>
          </w:tcPr>
          <w:p w14:paraId="0C538689"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85.250.164,00</w:t>
            </w:r>
          </w:p>
        </w:tc>
        <w:tc>
          <w:tcPr>
            <w:tcW w:w="1460" w:type="dxa"/>
            <w:shd w:val="clear" w:color="auto" w:fill="002060"/>
            <w:vAlign w:val="center"/>
          </w:tcPr>
          <w:p w14:paraId="7B5CFA07"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4.367.073,00</w:t>
            </w:r>
          </w:p>
        </w:tc>
      </w:tr>
    </w:tbl>
    <w:p w14:paraId="0898DA00" w14:textId="77777777" w:rsidR="00907C81" w:rsidRPr="004B31C5" w:rsidRDefault="00907C81" w:rsidP="00907C81">
      <w:pPr>
        <w:jc w:val="both"/>
        <w:rPr>
          <w:rFonts w:ascii="Verdana" w:hAnsi="Verdana"/>
          <w:i/>
          <w:sz w:val="16"/>
          <w:szCs w:val="16"/>
        </w:rPr>
      </w:pPr>
      <w:r>
        <w:rPr>
          <w:rFonts w:ascii="Verdana" w:hAnsi="Verdana"/>
          <w:i/>
          <w:sz w:val="16"/>
          <w:szCs w:val="16"/>
        </w:rPr>
        <w:t xml:space="preserve">      </w:t>
      </w:r>
      <w:r w:rsidRPr="004B31C5">
        <w:rPr>
          <w:rFonts w:ascii="Verdana" w:hAnsi="Verdana"/>
          <w:i/>
          <w:sz w:val="16"/>
          <w:szCs w:val="16"/>
        </w:rPr>
        <w:t>Fuente: Elaboración Propia</w:t>
      </w:r>
    </w:p>
    <w:p w14:paraId="6AEFEEFD" w14:textId="77777777" w:rsidR="00907C81" w:rsidRPr="004B31C5" w:rsidRDefault="00907C81" w:rsidP="00907C81">
      <w:pPr>
        <w:jc w:val="both"/>
        <w:rPr>
          <w:rFonts w:ascii="Verdana" w:eastAsia="Calibri" w:hAnsi="Verdana" w:cs="Calibri"/>
        </w:rPr>
      </w:pPr>
    </w:p>
    <w:p w14:paraId="11B05A92" w14:textId="77777777" w:rsidR="00907C81" w:rsidRPr="004B31C5" w:rsidRDefault="00907C81" w:rsidP="00907C81">
      <w:pPr>
        <w:jc w:val="center"/>
        <w:rPr>
          <w:rFonts w:ascii="Verdana" w:hAnsi="Verdana"/>
        </w:rPr>
      </w:pPr>
      <w:r w:rsidRPr="004B31C5">
        <w:rPr>
          <w:rFonts w:ascii="Verdana" w:hAnsi="Verdana"/>
          <w:i/>
        </w:rPr>
        <w:t>Composición Deterioro Otras cuentas por cobrar y Costas Procesales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842"/>
        <w:gridCol w:w="1843"/>
        <w:gridCol w:w="1701"/>
      </w:tblGrid>
      <w:tr w:rsidR="00907C81" w:rsidRPr="00B572CA" w14:paraId="0E01BC26" w14:textId="77777777" w:rsidTr="00874B2D">
        <w:trPr>
          <w:trHeight w:val="466"/>
          <w:tblHeader/>
          <w:jc w:val="center"/>
        </w:trPr>
        <w:tc>
          <w:tcPr>
            <w:tcW w:w="3823" w:type="dxa"/>
            <w:shd w:val="clear" w:color="auto" w:fill="002060"/>
            <w:vAlign w:val="center"/>
          </w:tcPr>
          <w:p w14:paraId="358F53DA"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Tercero</w:t>
            </w:r>
          </w:p>
        </w:tc>
        <w:tc>
          <w:tcPr>
            <w:tcW w:w="1842" w:type="dxa"/>
            <w:shd w:val="clear" w:color="auto" w:fill="002060"/>
            <w:vAlign w:val="center"/>
          </w:tcPr>
          <w:p w14:paraId="5690B09B"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Fecha En La Que Se Originó El Derecho De Cobro</w:t>
            </w:r>
          </w:p>
        </w:tc>
        <w:tc>
          <w:tcPr>
            <w:tcW w:w="1843" w:type="dxa"/>
            <w:shd w:val="clear" w:color="auto" w:fill="002060"/>
            <w:vAlign w:val="center"/>
          </w:tcPr>
          <w:p w14:paraId="07D3FF0E"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Valor Cuenta por  Pagar</w:t>
            </w:r>
          </w:p>
        </w:tc>
        <w:tc>
          <w:tcPr>
            <w:tcW w:w="1701" w:type="dxa"/>
            <w:shd w:val="clear" w:color="auto" w:fill="002060"/>
            <w:vAlign w:val="center"/>
          </w:tcPr>
          <w:p w14:paraId="6AEC8045"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Valor Deterioro</w:t>
            </w:r>
          </w:p>
        </w:tc>
      </w:tr>
      <w:tr w:rsidR="00907C81" w:rsidRPr="00B572CA" w14:paraId="2B132746" w14:textId="77777777" w:rsidTr="00874B2D">
        <w:trPr>
          <w:trHeight w:val="284"/>
          <w:jc w:val="center"/>
        </w:trPr>
        <w:tc>
          <w:tcPr>
            <w:tcW w:w="3823" w:type="dxa"/>
            <w:shd w:val="clear" w:color="auto" w:fill="auto"/>
            <w:vAlign w:val="center"/>
          </w:tcPr>
          <w:p w14:paraId="739BB2A0" w14:textId="77777777" w:rsidR="00907C81" w:rsidRPr="00B572CA" w:rsidRDefault="00907C81" w:rsidP="00874B2D">
            <w:pPr>
              <w:rPr>
                <w:rFonts w:ascii="Verdana" w:hAnsi="Verdana"/>
                <w:color w:val="000000"/>
                <w:sz w:val="16"/>
                <w:szCs w:val="16"/>
              </w:rPr>
            </w:pPr>
            <w:r w:rsidRPr="00B572CA">
              <w:rPr>
                <w:rFonts w:ascii="Verdana" w:hAnsi="Verdana"/>
                <w:color w:val="000000"/>
                <w:sz w:val="16"/>
                <w:szCs w:val="16"/>
              </w:rPr>
              <w:t>CHUBB SEGUROS S. A.</w:t>
            </w:r>
          </w:p>
        </w:tc>
        <w:tc>
          <w:tcPr>
            <w:tcW w:w="1842" w:type="dxa"/>
            <w:shd w:val="clear" w:color="auto" w:fill="auto"/>
            <w:vAlign w:val="center"/>
          </w:tcPr>
          <w:p w14:paraId="3720A680" w14:textId="77777777" w:rsidR="00907C81" w:rsidRPr="00B572CA" w:rsidRDefault="00907C81" w:rsidP="00874B2D">
            <w:pPr>
              <w:jc w:val="center"/>
              <w:rPr>
                <w:rFonts w:ascii="Verdana" w:hAnsi="Verdana"/>
                <w:sz w:val="16"/>
                <w:szCs w:val="16"/>
              </w:rPr>
            </w:pPr>
            <w:r w:rsidRPr="00B572CA">
              <w:rPr>
                <w:rFonts w:ascii="Verdana" w:hAnsi="Verdana"/>
                <w:sz w:val="16"/>
                <w:szCs w:val="16"/>
              </w:rPr>
              <w:t>19/09/2021</w:t>
            </w:r>
          </w:p>
        </w:tc>
        <w:tc>
          <w:tcPr>
            <w:tcW w:w="1843" w:type="dxa"/>
            <w:shd w:val="clear" w:color="auto" w:fill="auto"/>
            <w:vAlign w:val="center"/>
          </w:tcPr>
          <w:p w14:paraId="7AA0586F" w14:textId="77777777" w:rsidR="00907C81" w:rsidRPr="00B572CA" w:rsidRDefault="00907C81" w:rsidP="00874B2D">
            <w:pPr>
              <w:jc w:val="center"/>
              <w:rPr>
                <w:rFonts w:ascii="Verdana" w:hAnsi="Verdana"/>
                <w:color w:val="000000"/>
                <w:sz w:val="16"/>
                <w:szCs w:val="16"/>
              </w:rPr>
            </w:pPr>
            <w:r w:rsidRPr="00B572CA">
              <w:rPr>
                <w:rFonts w:ascii="Verdana" w:hAnsi="Verdana"/>
                <w:color w:val="000000"/>
                <w:sz w:val="16"/>
                <w:szCs w:val="16"/>
              </w:rPr>
              <w:t>1.925.957.459,75</w:t>
            </w:r>
          </w:p>
        </w:tc>
        <w:tc>
          <w:tcPr>
            <w:tcW w:w="1701" w:type="dxa"/>
            <w:shd w:val="clear" w:color="auto" w:fill="auto"/>
            <w:vAlign w:val="center"/>
          </w:tcPr>
          <w:p w14:paraId="746D95A7" w14:textId="77777777" w:rsidR="00907C81" w:rsidRPr="00B572CA" w:rsidRDefault="00907C81" w:rsidP="00874B2D">
            <w:pPr>
              <w:jc w:val="center"/>
              <w:rPr>
                <w:rFonts w:ascii="Verdana" w:hAnsi="Verdana"/>
                <w:color w:val="000000"/>
                <w:sz w:val="16"/>
                <w:szCs w:val="16"/>
              </w:rPr>
            </w:pPr>
            <w:r w:rsidRPr="00B572CA">
              <w:rPr>
                <w:rFonts w:ascii="Verdana" w:hAnsi="Verdana"/>
                <w:color w:val="000000"/>
                <w:sz w:val="16"/>
                <w:szCs w:val="16"/>
              </w:rPr>
              <w:t>625.689.123,43</w:t>
            </w:r>
          </w:p>
        </w:tc>
      </w:tr>
      <w:tr w:rsidR="00907C81" w:rsidRPr="00B572CA" w14:paraId="4B634271" w14:textId="77777777" w:rsidTr="00874B2D">
        <w:trPr>
          <w:trHeight w:val="284"/>
          <w:jc w:val="center"/>
        </w:trPr>
        <w:tc>
          <w:tcPr>
            <w:tcW w:w="3823" w:type="dxa"/>
            <w:shd w:val="clear" w:color="auto" w:fill="auto"/>
            <w:vAlign w:val="center"/>
          </w:tcPr>
          <w:p w14:paraId="18D668CC" w14:textId="77777777" w:rsidR="00907C81" w:rsidRPr="00B572CA" w:rsidRDefault="00907C81" w:rsidP="00874B2D">
            <w:pPr>
              <w:rPr>
                <w:rFonts w:ascii="Verdana" w:hAnsi="Verdana"/>
                <w:sz w:val="16"/>
                <w:szCs w:val="16"/>
              </w:rPr>
            </w:pPr>
            <w:r w:rsidRPr="00B572CA">
              <w:rPr>
                <w:rFonts w:ascii="Verdana" w:hAnsi="Verdana"/>
                <w:sz w:val="16"/>
                <w:szCs w:val="16"/>
              </w:rPr>
              <w:t>GILBERTO VEGA INFANTE</w:t>
            </w:r>
          </w:p>
        </w:tc>
        <w:tc>
          <w:tcPr>
            <w:tcW w:w="1842" w:type="dxa"/>
            <w:shd w:val="clear" w:color="auto" w:fill="auto"/>
            <w:vAlign w:val="center"/>
          </w:tcPr>
          <w:p w14:paraId="747F0EB5" w14:textId="77777777" w:rsidR="00907C81" w:rsidRPr="00B572CA" w:rsidRDefault="00907C81" w:rsidP="00874B2D">
            <w:pPr>
              <w:jc w:val="center"/>
              <w:rPr>
                <w:rFonts w:ascii="Verdana" w:hAnsi="Verdana"/>
                <w:sz w:val="16"/>
                <w:szCs w:val="16"/>
              </w:rPr>
            </w:pPr>
            <w:r w:rsidRPr="00B572CA">
              <w:rPr>
                <w:rFonts w:ascii="Verdana" w:hAnsi="Verdana"/>
                <w:sz w:val="16"/>
                <w:szCs w:val="16"/>
              </w:rPr>
              <w:t>07/07/2023</w:t>
            </w:r>
          </w:p>
        </w:tc>
        <w:tc>
          <w:tcPr>
            <w:tcW w:w="1843" w:type="dxa"/>
            <w:shd w:val="clear" w:color="auto" w:fill="auto"/>
            <w:vAlign w:val="center"/>
          </w:tcPr>
          <w:p w14:paraId="49642339" w14:textId="77777777" w:rsidR="00907C81" w:rsidRPr="00B572CA" w:rsidRDefault="00907C81" w:rsidP="00874B2D">
            <w:pPr>
              <w:jc w:val="center"/>
              <w:rPr>
                <w:rFonts w:ascii="Verdana" w:hAnsi="Verdana"/>
                <w:sz w:val="16"/>
                <w:szCs w:val="16"/>
              </w:rPr>
            </w:pPr>
            <w:r w:rsidRPr="00B572CA">
              <w:rPr>
                <w:rFonts w:ascii="Verdana" w:hAnsi="Verdana"/>
                <w:sz w:val="16"/>
                <w:szCs w:val="16"/>
              </w:rPr>
              <w:t>996.612,00</w:t>
            </w:r>
          </w:p>
        </w:tc>
        <w:tc>
          <w:tcPr>
            <w:tcW w:w="1701" w:type="dxa"/>
            <w:shd w:val="clear" w:color="auto" w:fill="auto"/>
            <w:vAlign w:val="center"/>
          </w:tcPr>
          <w:p w14:paraId="21A82A16" w14:textId="77777777" w:rsidR="00907C81" w:rsidRPr="00B572CA" w:rsidRDefault="00907C81" w:rsidP="00874B2D">
            <w:pPr>
              <w:jc w:val="center"/>
              <w:rPr>
                <w:rFonts w:ascii="Verdana" w:hAnsi="Verdana"/>
                <w:color w:val="000000"/>
                <w:sz w:val="16"/>
                <w:szCs w:val="16"/>
              </w:rPr>
            </w:pPr>
            <w:r w:rsidRPr="00B572CA">
              <w:rPr>
                <w:rFonts w:ascii="Verdana" w:hAnsi="Verdana"/>
                <w:color w:val="000000"/>
                <w:sz w:val="16"/>
                <w:szCs w:val="16"/>
              </w:rPr>
              <w:t>51.053,01</w:t>
            </w:r>
          </w:p>
        </w:tc>
      </w:tr>
      <w:tr w:rsidR="00907C81" w:rsidRPr="00B572CA" w14:paraId="311516E2" w14:textId="77777777" w:rsidTr="00874B2D">
        <w:trPr>
          <w:trHeight w:val="1091"/>
          <w:jc w:val="center"/>
        </w:trPr>
        <w:tc>
          <w:tcPr>
            <w:tcW w:w="3823" w:type="dxa"/>
            <w:shd w:val="clear" w:color="auto" w:fill="auto"/>
            <w:vAlign w:val="center"/>
          </w:tcPr>
          <w:p w14:paraId="39F8C896" w14:textId="77777777" w:rsidR="00907C81" w:rsidRPr="00B572CA" w:rsidRDefault="00907C81" w:rsidP="00874B2D">
            <w:pPr>
              <w:rPr>
                <w:rFonts w:ascii="Verdana" w:hAnsi="Verdana"/>
                <w:sz w:val="16"/>
                <w:szCs w:val="16"/>
              </w:rPr>
            </w:pPr>
            <w:r w:rsidRPr="00B572CA">
              <w:rPr>
                <w:rFonts w:ascii="Verdana" w:hAnsi="Verdana"/>
                <w:sz w:val="16"/>
                <w:szCs w:val="16"/>
              </w:rPr>
              <w:lastRenderedPageBreak/>
              <w:t>LUIS GUILLERMO RODRIGUEZ ORTEGA Y  PROYECTOS INGENIERIA CONSTRUCCION Y ARQUITECTURA S.A.S</w:t>
            </w:r>
          </w:p>
        </w:tc>
        <w:tc>
          <w:tcPr>
            <w:tcW w:w="1842" w:type="dxa"/>
            <w:shd w:val="clear" w:color="auto" w:fill="auto"/>
            <w:vAlign w:val="center"/>
          </w:tcPr>
          <w:p w14:paraId="1833ECAD" w14:textId="77777777" w:rsidR="00907C81" w:rsidRPr="00B572CA" w:rsidRDefault="00907C81" w:rsidP="00874B2D">
            <w:pPr>
              <w:jc w:val="center"/>
              <w:rPr>
                <w:rFonts w:ascii="Verdana" w:hAnsi="Verdana"/>
                <w:sz w:val="16"/>
                <w:szCs w:val="16"/>
              </w:rPr>
            </w:pPr>
            <w:r w:rsidRPr="00B572CA">
              <w:rPr>
                <w:rFonts w:ascii="Verdana" w:hAnsi="Verdana"/>
                <w:sz w:val="16"/>
                <w:szCs w:val="16"/>
              </w:rPr>
              <w:t>26/06/2023</w:t>
            </w:r>
          </w:p>
        </w:tc>
        <w:tc>
          <w:tcPr>
            <w:tcW w:w="1843" w:type="dxa"/>
            <w:shd w:val="clear" w:color="auto" w:fill="auto"/>
            <w:vAlign w:val="center"/>
          </w:tcPr>
          <w:p w14:paraId="1B0B5595" w14:textId="77777777" w:rsidR="00907C81" w:rsidRPr="00B572CA" w:rsidRDefault="00907C81" w:rsidP="00874B2D">
            <w:pPr>
              <w:jc w:val="center"/>
              <w:rPr>
                <w:rFonts w:ascii="Verdana" w:hAnsi="Verdana"/>
                <w:sz w:val="16"/>
                <w:szCs w:val="16"/>
              </w:rPr>
            </w:pPr>
            <w:r w:rsidRPr="00B572CA">
              <w:rPr>
                <w:rFonts w:ascii="Verdana" w:hAnsi="Verdana"/>
                <w:sz w:val="16"/>
                <w:szCs w:val="16"/>
              </w:rPr>
              <w:t>2.034.092,00</w:t>
            </w:r>
          </w:p>
        </w:tc>
        <w:tc>
          <w:tcPr>
            <w:tcW w:w="1701" w:type="dxa"/>
            <w:shd w:val="clear" w:color="auto" w:fill="auto"/>
            <w:vAlign w:val="center"/>
          </w:tcPr>
          <w:p w14:paraId="1CDEF977" w14:textId="77777777" w:rsidR="00907C81" w:rsidRPr="00B572CA" w:rsidRDefault="00907C81" w:rsidP="00874B2D">
            <w:pPr>
              <w:jc w:val="center"/>
              <w:rPr>
                <w:rFonts w:ascii="Verdana" w:hAnsi="Verdana"/>
                <w:color w:val="000000"/>
                <w:sz w:val="16"/>
                <w:szCs w:val="16"/>
              </w:rPr>
            </w:pPr>
            <w:r w:rsidRPr="00B572CA">
              <w:rPr>
                <w:rFonts w:ascii="Verdana" w:hAnsi="Verdana"/>
                <w:color w:val="000000"/>
                <w:sz w:val="16"/>
                <w:szCs w:val="16"/>
              </w:rPr>
              <w:t>104.199,54</w:t>
            </w:r>
          </w:p>
        </w:tc>
      </w:tr>
      <w:tr w:rsidR="00907C81" w:rsidRPr="00B572CA" w14:paraId="24599223" w14:textId="77777777" w:rsidTr="00874B2D">
        <w:trPr>
          <w:trHeight w:val="647"/>
          <w:jc w:val="center"/>
        </w:trPr>
        <w:tc>
          <w:tcPr>
            <w:tcW w:w="3823" w:type="dxa"/>
            <w:shd w:val="clear" w:color="auto" w:fill="auto"/>
            <w:vAlign w:val="center"/>
          </w:tcPr>
          <w:p w14:paraId="111BAEFA" w14:textId="77777777" w:rsidR="00907C81" w:rsidRPr="00B572CA" w:rsidRDefault="00907C81" w:rsidP="00874B2D">
            <w:pPr>
              <w:rPr>
                <w:rFonts w:ascii="Verdana" w:hAnsi="Verdana"/>
                <w:sz w:val="16"/>
                <w:szCs w:val="16"/>
              </w:rPr>
            </w:pPr>
            <w:r w:rsidRPr="00B572CA">
              <w:rPr>
                <w:rFonts w:ascii="Verdana" w:hAnsi="Verdana"/>
                <w:sz w:val="16"/>
                <w:szCs w:val="16"/>
              </w:rPr>
              <w:t>CONSORCIO AGUA Y SANAMIENTO DEL QUINDIO</w:t>
            </w:r>
          </w:p>
        </w:tc>
        <w:tc>
          <w:tcPr>
            <w:tcW w:w="1842" w:type="dxa"/>
            <w:shd w:val="clear" w:color="auto" w:fill="auto"/>
            <w:vAlign w:val="center"/>
          </w:tcPr>
          <w:p w14:paraId="6E145C3F" w14:textId="77777777" w:rsidR="00907C81" w:rsidRPr="00B572CA" w:rsidRDefault="00907C81" w:rsidP="00874B2D">
            <w:pPr>
              <w:jc w:val="center"/>
              <w:rPr>
                <w:rFonts w:ascii="Verdana" w:hAnsi="Verdana"/>
                <w:sz w:val="16"/>
                <w:szCs w:val="16"/>
              </w:rPr>
            </w:pPr>
            <w:r w:rsidRPr="00B572CA">
              <w:rPr>
                <w:rFonts w:ascii="Verdana" w:hAnsi="Verdana"/>
                <w:sz w:val="16"/>
                <w:szCs w:val="16"/>
              </w:rPr>
              <w:t>16/06/2023</w:t>
            </w:r>
          </w:p>
        </w:tc>
        <w:tc>
          <w:tcPr>
            <w:tcW w:w="1843" w:type="dxa"/>
            <w:shd w:val="clear" w:color="auto" w:fill="auto"/>
            <w:vAlign w:val="center"/>
          </w:tcPr>
          <w:p w14:paraId="1E23DC44" w14:textId="77777777" w:rsidR="00907C81" w:rsidRPr="00B572CA" w:rsidRDefault="00907C81" w:rsidP="00874B2D">
            <w:pPr>
              <w:jc w:val="center"/>
              <w:rPr>
                <w:rFonts w:ascii="Verdana" w:hAnsi="Verdana"/>
                <w:sz w:val="16"/>
                <w:szCs w:val="16"/>
              </w:rPr>
            </w:pPr>
            <w:r w:rsidRPr="00B572CA">
              <w:rPr>
                <w:rFonts w:ascii="Verdana" w:hAnsi="Verdana"/>
                <w:sz w:val="16"/>
                <w:szCs w:val="16"/>
              </w:rPr>
              <w:t>13.559.381,30</w:t>
            </w:r>
          </w:p>
        </w:tc>
        <w:tc>
          <w:tcPr>
            <w:tcW w:w="1701" w:type="dxa"/>
            <w:shd w:val="clear" w:color="auto" w:fill="auto"/>
            <w:vAlign w:val="center"/>
          </w:tcPr>
          <w:p w14:paraId="60C5EE73" w14:textId="77777777" w:rsidR="00907C81" w:rsidRPr="00B572CA" w:rsidRDefault="00907C81" w:rsidP="00874B2D">
            <w:pPr>
              <w:jc w:val="center"/>
              <w:rPr>
                <w:rFonts w:ascii="Verdana" w:hAnsi="Verdana"/>
                <w:color w:val="000000"/>
                <w:sz w:val="16"/>
                <w:szCs w:val="16"/>
              </w:rPr>
            </w:pPr>
            <w:r w:rsidRPr="00B572CA">
              <w:rPr>
                <w:rFonts w:ascii="Verdana" w:hAnsi="Verdana"/>
                <w:color w:val="000000"/>
                <w:sz w:val="16"/>
                <w:szCs w:val="16"/>
              </w:rPr>
              <w:t>694.600,52</w:t>
            </w:r>
          </w:p>
        </w:tc>
      </w:tr>
      <w:tr w:rsidR="00907C81" w:rsidRPr="00B572CA" w14:paraId="28050DCB" w14:textId="77777777" w:rsidTr="00874B2D">
        <w:trPr>
          <w:trHeight w:val="272"/>
          <w:jc w:val="center"/>
        </w:trPr>
        <w:tc>
          <w:tcPr>
            <w:tcW w:w="5665" w:type="dxa"/>
            <w:gridSpan w:val="2"/>
            <w:shd w:val="clear" w:color="auto" w:fill="002060"/>
            <w:vAlign w:val="center"/>
          </w:tcPr>
          <w:p w14:paraId="1B4812D2"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Total</w:t>
            </w:r>
          </w:p>
        </w:tc>
        <w:tc>
          <w:tcPr>
            <w:tcW w:w="1843" w:type="dxa"/>
            <w:shd w:val="clear" w:color="auto" w:fill="002060"/>
            <w:vAlign w:val="center"/>
          </w:tcPr>
          <w:p w14:paraId="3706CE6B"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1.942.547.545,05</w:t>
            </w:r>
          </w:p>
        </w:tc>
        <w:tc>
          <w:tcPr>
            <w:tcW w:w="1701" w:type="dxa"/>
            <w:shd w:val="clear" w:color="auto" w:fill="002060"/>
            <w:vAlign w:val="center"/>
          </w:tcPr>
          <w:p w14:paraId="1B29A754" w14:textId="77777777" w:rsidR="00907C81" w:rsidRPr="00B572CA" w:rsidRDefault="00907C81" w:rsidP="00874B2D">
            <w:pPr>
              <w:jc w:val="center"/>
              <w:rPr>
                <w:rFonts w:ascii="Verdana" w:hAnsi="Verdana"/>
                <w:b/>
                <w:color w:val="FFFFFF"/>
                <w:sz w:val="16"/>
                <w:szCs w:val="16"/>
              </w:rPr>
            </w:pPr>
            <w:r w:rsidRPr="00B572CA">
              <w:rPr>
                <w:rFonts w:ascii="Verdana" w:hAnsi="Verdana"/>
                <w:b/>
                <w:color w:val="FFFFFF"/>
                <w:sz w:val="16"/>
                <w:szCs w:val="16"/>
              </w:rPr>
              <w:t>626.538.976,50</w:t>
            </w:r>
          </w:p>
        </w:tc>
      </w:tr>
    </w:tbl>
    <w:p w14:paraId="64EEFB23" w14:textId="77777777" w:rsidR="00907C81" w:rsidRPr="004B31C5" w:rsidRDefault="00907C81" w:rsidP="00907C81">
      <w:pPr>
        <w:jc w:val="both"/>
        <w:rPr>
          <w:rFonts w:ascii="Verdana" w:hAnsi="Verdana"/>
          <w:i/>
          <w:sz w:val="16"/>
          <w:szCs w:val="16"/>
        </w:rPr>
      </w:pPr>
      <w:r>
        <w:rPr>
          <w:rFonts w:ascii="Verdana" w:hAnsi="Verdana"/>
          <w:i/>
          <w:sz w:val="16"/>
          <w:szCs w:val="16"/>
        </w:rPr>
        <w:t xml:space="preserve">      </w:t>
      </w:r>
      <w:r w:rsidRPr="004B31C5">
        <w:rPr>
          <w:rFonts w:ascii="Verdana" w:hAnsi="Verdana"/>
          <w:i/>
          <w:sz w:val="16"/>
          <w:szCs w:val="16"/>
        </w:rPr>
        <w:t>Fuente: Elaboración Propia</w:t>
      </w:r>
    </w:p>
    <w:p w14:paraId="3F25581D" w14:textId="77777777" w:rsidR="00907C81" w:rsidRPr="004B31C5" w:rsidRDefault="00907C81" w:rsidP="00907C81">
      <w:pPr>
        <w:jc w:val="both"/>
        <w:rPr>
          <w:rFonts w:ascii="Verdana" w:hAnsi="Verdana"/>
        </w:rPr>
      </w:pPr>
    </w:p>
    <w:p w14:paraId="16B227AE" w14:textId="77777777" w:rsidR="00907C81" w:rsidRPr="004B31C5" w:rsidRDefault="00907C81" w:rsidP="00907C81">
      <w:pPr>
        <w:jc w:val="center"/>
        <w:rPr>
          <w:rFonts w:ascii="Verdana" w:hAnsi="Verdana"/>
          <w:sz w:val="20"/>
          <w:szCs w:val="20"/>
        </w:rPr>
      </w:pPr>
      <w:r w:rsidRPr="004B31C5">
        <w:rPr>
          <w:rFonts w:ascii="Verdana" w:hAnsi="Verdana"/>
          <w:i/>
          <w:sz w:val="20"/>
          <w:szCs w:val="20"/>
        </w:rPr>
        <w:t>Composición Deterioro Incapacidades</w:t>
      </w:r>
    </w:p>
    <w:tbl>
      <w:tblPr>
        <w:tblW w:w="9269" w:type="dxa"/>
        <w:jc w:val="center"/>
        <w:tblLayout w:type="fixed"/>
        <w:tblLook w:val="0400" w:firstRow="0" w:lastRow="0" w:firstColumn="0" w:lastColumn="0" w:noHBand="0" w:noVBand="1"/>
      </w:tblPr>
      <w:tblGrid>
        <w:gridCol w:w="2236"/>
        <w:gridCol w:w="1919"/>
        <w:gridCol w:w="2557"/>
        <w:gridCol w:w="2557"/>
      </w:tblGrid>
      <w:tr w:rsidR="00907C81" w:rsidRPr="00F870BA" w14:paraId="364A4753" w14:textId="77777777" w:rsidTr="00874B2D">
        <w:trPr>
          <w:trHeight w:val="1068"/>
          <w:tblHeader/>
          <w:jc w:val="center"/>
        </w:trPr>
        <w:tc>
          <w:tcPr>
            <w:tcW w:w="223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4BA8FB34" w14:textId="77777777" w:rsidR="00907C81" w:rsidRPr="00F870BA" w:rsidRDefault="00907C81" w:rsidP="00874B2D">
            <w:pPr>
              <w:jc w:val="center"/>
              <w:rPr>
                <w:rFonts w:ascii="Verdana" w:hAnsi="Verdana"/>
                <w:b/>
                <w:color w:val="FFFFFF"/>
                <w:sz w:val="16"/>
                <w:szCs w:val="16"/>
              </w:rPr>
            </w:pPr>
            <w:r w:rsidRPr="00F870BA">
              <w:rPr>
                <w:rFonts w:ascii="Verdana" w:hAnsi="Verdana"/>
                <w:b/>
                <w:color w:val="FFFFFF"/>
                <w:sz w:val="16"/>
                <w:szCs w:val="16"/>
              </w:rPr>
              <w:t>Tercero</w:t>
            </w:r>
          </w:p>
        </w:tc>
        <w:tc>
          <w:tcPr>
            <w:tcW w:w="1919" w:type="dxa"/>
            <w:tcBorders>
              <w:top w:val="single" w:sz="4" w:space="0" w:color="000000"/>
              <w:left w:val="nil"/>
              <w:bottom w:val="single" w:sz="4" w:space="0" w:color="000000"/>
              <w:right w:val="single" w:sz="4" w:space="0" w:color="000000"/>
            </w:tcBorders>
            <w:shd w:val="clear" w:color="auto" w:fill="002060"/>
            <w:vAlign w:val="center"/>
          </w:tcPr>
          <w:p w14:paraId="2CB9CE30" w14:textId="77777777" w:rsidR="00907C81" w:rsidRPr="00F870BA" w:rsidRDefault="00907C81" w:rsidP="00874B2D">
            <w:pPr>
              <w:jc w:val="center"/>
              <w:rPr>
                <w:rFonts w:ascii="Verdana" w:hAnsi="Verdana"/>
                <w:b/>
                <w:color w:val="FFFFFF"/>
                <w:sz w:val="16"/>
                <w:szCs w:val="16"/>
              </w:rPr>
            </w:pPr>
            <w:r w:rsidRPr="00F870BA">
              <w:rPr>
                <w:rFonts w:ascii="Verdana" w:hAnsi="Verdana"/>
                <w:b/>
                <w:color w:val="FFFFFF"/>
                <w:sz w:val="16"/>
                <w:szCs w:val="16"/>
              </w:rPr>
              <w:t>Fecha En La Que Se Originó El Derecho De Cobro</w:t>
            </w:r>
          </w:p>
        </w:tc>
        <w:tc>
          <w:tcPr>
            <w:tcW w:w="2557" w:type="dxa"/>
            <w:tcBorders>
              <w:top w:val="single" w:sz="4" w:space="0" w:color="000000"/>
              <w:left w:val="nil"/>
              <w:bottom w:val="single" w:sz="4" w:space="0" w:color="000000"/>
              <w:right w:val="single" w:sz="4" w:space="0" w:color="000000"/>
            </w:tcBorders>
            <w:shd w:val="clear" w:color="auto" w:fill="002060"/>
            <w:vAlign w:val="center"/>
          </w:tcPr>
          <w:p w14:paraId="6F27C82C" w14:textId="77777777" w:rsidR="00907C81" w:rsidRPr="00F870BA" w:rsidRDefault="00907C81" w:rsidP="00874B2D">
            <w:pPr>
              <w:jc w:val="center"/>
              <w:rPr>
                <w:rFonts w:ascii="Verdana" w:hAnsi="Verdana"/>
                <w:b/>
                <w:color w:val="FFFFFF"/>
                <w:sz w:val="16"/>
                <w:szCs w:val="16"/>
              </w:rPr>
            </w:pPr>
            <w:r w:rsidRPr="00F870BA">
              <w:rPr>
                <w:rFonts w:ascii="Verdana" w:hAnsi="Verdana"/>
                <w:b/>
                <w:color w:val="FFFFFF"/>
                <w:sz w:val="16"/>
                <w:szCs w:val="16"/>
              </w:rPr>
              <w:t>Valor Cuenta por  Pagar</w:t>
            </w:r>
          </w:p>
        </w:tc>
        <w:tc>
          <w:tcPr>
            <w:tcW w:w="2557" w:type="dxa"/>
            <w:tcBorders>
              <w:top w:val="single" w:sz="4" w:space="0" w:color="000000"/>
              <w:left w:val="nil"/>
              <w:bottom w:val="single" w:sz="4" w:space="0" w:color="000000"/>
              <w:right w:val="single" w:sz="4" w:space="0" w:color="000000"/>
            </w:tcBorders>
            <w:shd w:val="clear" w:color="auto" w:fill="002060"/>
            <w:vAlign w:val="center"/>
          </w:tcPr>
          <w:p w14:paraId="64373DC9" w14:textId="77777777" w:rsidR="00907C81" w:rsidRPr="00F870BA" w:rsidRDefault="00907C81" w:rsidP="00874B2D">
            <w:pPr>
              <w:jc w:val="center"/>
              <w:rPr>
                <w:rFonts w:ascii="Verdana" w:hAnsi="Verdana"/>
                <w:b/>
                <w:color w:val="FFFFFF"/>
                <w:sz w:val="16"/>
                <w:szCs w:val="16"/>
              </w:rPr>
            </w:pPr>
            <w:r w:rsidRPr="00F870BA">
              <w:rPr>
                <w:rFonts w:ascii="Verdana" w:hAnsi="Verdana"/>
                <w:b/>
                <w:color w:val="FFFFFF"/>
                <w:sz w:val="16"/>
                <w:szCs w:val="16"/>
              </w:rPr>
              <w:t>Valor Deterioro</w:t>
            </w:r>
          </w:p>
        </w:tc>
      </w:tr>
      <w:tr w:rsidR="00907C81" w:rsidRPr="00F870BA" w14:paraId="581D8AF8"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5A9F05EE"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COMPENSAR</w:t>
            </w:r>
          </w:p>
        </w:tc>
        <w:tc>
          <w:tcPr>
            <w:tcW w:w="1919" w:type="dxa"/>
            <w:tcBorders>
              <w:top w:val="nil"/>
              <w:left w:val="nil"/>
              <w:bottom w:val="single" w:sz="4" w:space="0" w:color="000000"/>
              <w:right w:val="single" w:sz="4" w:space="0" w:color="000000"/>
            </w:tcBorders>
            <w:shd w:val="clear" w:color="auto" w:fill="auto"/>
            <w:vAlign w:val="bottom"/>
          </w:tcPr>
          <w:p w14:paraId="21B35FF1"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23/02/2022</w:t>
            </w:r>
          </w:p>
        </w:tc>
        <w:tc>
          <w:tcPr>
            <w:tcW w:w="2557" w:type="dxa"/>
            <w:tcBorders>
              <w:top w:val="nil"/>
              <w:left w:val="nil"/>
              <w:bottom w:val="single" w:sz="4" w:space="0" w:color="000000"/>
              <w:right w:val="single" w:sz="4" w:space="0" w:color="000000"/>
            </w:tcBorders>
            <w:shd w:val="clear" w:color="auto" w:fill="auto"/>
            <w:vAlign w:val="bottom"/>
          </w:tcPr>
          <w:p w14:paraId="79746A47"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1.711.729,83 </w:t>
            </w:r>
          </w:p>
        </w:tc>
        <w:tc>
          <w:tcPr>
            <w:tcW w:w="2557" w:type="dxa"/>
            <w:tcBorders>
              <w:top w:val="nil"/>
              <w:left w:val="nil"/>
              <w:bottom w:val="single" w:sz="4" w:space="0" w:color="000000"/>
              <w:right w:val="single" w:sz="4" w:space="0" w:color="000000"/>
            </w:tcBorders>
            <w:shd w:val="clear" w:color="auto" w:fill="auto"/>
            <w:vAlign w:val="bottom"/>
          </w:tcPr>
          <w:p w14:paraId="021E1BCF"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1.087.448,53 </w:t>
            </w:r>
          </w:p>
        </w:tc>
      </w:tr>
      <w:tr w:rsidR="00907C81" w:rsidRPr="00F870BA" w14:paraId="2D2B3178"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006943D6"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COMPENSAR</w:t>
            </w:r>
          </w:p>
        </w:tc>
        <w:tc>
          <w:tcPr>
            <w:tcW w:w="1919" w:type="dxa"/>
            <w:tcBorders>
              <w:top w:val="nil"/>
              <w:left w:val="nil"/>
              <w:bottom w:val="single" w:sz="4" w:space="0" w:color="000000"/>
              <w:right w:val="single" w:sz="4" w:space="0" w:color="000000"/>
            </w:tcBorders>
            <w:shd w:val="clear" w:color="auto" w:fill="auto"/>
            <w:vAlign w:val="bottom"/>
          </w:tcPr>
          <w:p w14:paraId="615C16E5"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11/08/2022</w:t>
            </w:r>
          </w:p>
        </w:tc>
        <w:tc>
          <w:tcPr>
            <w:tcW w:w="2557" w:type="dxa"/>
            <w:tcBorders>
              <w:top w:val="nil"/>
              <w:left w:val="nil"/>
              <w:bottom w:val="single" w:sz="4" w:space="0" w:color="000000"/>
              <w:right w:val="single" w:sz="4" w:space="0" w:color="000000"/>
            </w:tcBorders>
            <w:shd w:val="clear" w:color="auto" w:fill="auto"/>
            <w:vAlign w:val="bottom"/>
          </w:tcPr>
          <w:p w14:paraId="24E74B33"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3.888.889,00 </w:t>
            </w:r>
          </w:p>
        </w:tc>
        <w:tc>
          <w:tcPr>
            <w:tcW w:w="2557" w:type="dxa"/>
            <w:tcBorders>
              <w:top w:val="nil"/>
              <w:left w:val="nil"/>
              <w:bottom w:val="single" w:sz="4" w:space="0" w:color="000000"/>
              <w:right w:val="single" w:sz="4" w:space="0" w:color="000000"/>
            </w:tcBorders>
            <w:shd w:val="clear" w:color="auto" w:fill="auto"/>
            <w:vAlign w:val="bottom"/>
          </w:tcPr>
          <w:p w14:paraId="583CBCFE"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1.761.426,52 </w:t>
            </w:r>
          </w:p>
        </w:tc>
      </w:tr>
      <w:tr w:rsidR="00907C81" w:rsidRPr="00F870BA" w14:paraId="74556F69"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6D159039"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COMPENSAR</w:t>
            </w:r>
          </w:p>
        </w:tc>
        <w:tc>
          <w:tcPr>
            <w:tcW w:w="1919" w:type="dxa"/>
            <w:tcBorders>
              <w:top w:val="nil"/>
              <w:left w:val="nil"/>
              <w:bottom w:val="single" w:sz="4" w:space="0" w:color="000000"/>
              <w:right w:val="single" w:sz="4" w:space="0" w:color="000000"/>
            </w:tcBorders>
            <w:shd w:val="clear" w:color="auto" w:fill="auto"/>
            <w:vAlign w:val="bottom"/>
          </w:tcPr>
          <w:p w14:paraId="6F4ACD6B"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15/04/2023</w:t>
            </w:r>
          </w:p>
        </w:tc>
        <w:tc>
          <w:tcPr>
            <w:tcW w:w="2557" w:type="dxa"/>
            <w:tcBorders>
              <w:top w:val="nil"/>
              <w:left w:val="nil"/>
              <w:bottom w:val="single" w:sz="4" w:space="0" w:color="000000"/>
              <w:right w:val="single" w:sz="4" w:space="0" w:color="000000"/>
            </w:tcBorders>
            <w:shd w:val="clear" w:color="auto" w:fill="auto"/>
            <w:vAlign w:val="bottom"/>
          </w:tcPr>
          <w:p w14:paraId="23B785AC"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9.127.033,00 </w:t>
            </w:r>
          </w:p>
        </w:tc>
        <w:tc>
          <w:tcPr>
            <w:tcW w:w="2557" w:type="dxa"/>
            <w:tcBorders>
              <w:top w:val="nil"/>
              <w:left w:val="nil"/>
              <w:bottom w:val="single" w:sz="4" w:space="0" w:color="000000"/>
              <w:right w:val="single" w:sz="4" w:space="0" w:color="000000"/>
            </w:tcBorders>
            <w:shd w:val="clear" w:color="auto" w:fill="auto"/>
            <w:vAlign w:val="bottom"/>
          </w:tcPr>
          <w:p w14:paraId="528FDE71"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3.580.252,88 </w:t>
            </w:r>
          </w:p>
        </w:tc>
      </w:tr>
      <w:tr w:rsidR="00907C81" w:rsidRPr="00F870BA" w14:paraId="0EF332A2"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0CA01199"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COMPENSAR</w:t>
            </w:r>
          </w:p>
        </w:tc>
        <w:tc>
          <w:tcPr>
            <w:tcW w:w="1919" w:type="dxa"/>
            <w:tcBorders>
              <w:top w:val="nil"/>
              <w:left w:val="nil"/>
              <w:bottom w:val="single" w:sz="4" w:space="0" w:color="000000"/>
              <w:right w:val="single" w:sz="4" w:space="0" w:color="000000"/>
            </w:tcBorders>
            <w:shd w:val="clear" w:color="auto" w:fill="auto"/>
            <w:vAlign w:val="bottom"/>
          </w:tcPr>
          <w:p w14:paraId="73CFD732"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4/05/2023</w:t>
            </w:r>
          </w:p>
        </w:tc>
        <w:tc>
          <w:tcPr>
            <w:tcW w:w="2557" w:type="dxa"/>
            <w:tcBorders>
              <w:top w:val="nil"/>
              <w:left w:val="nil"/>
              <w:bottom w:val="single" w:sz="4" w:space="0" w:color="000000"/>
              <w:right w:val="single" w:sz="4" w:space="0" w:color="000000"/>
            </w:tcBorders>
            <w:shd w:val="clear" w:color="auto" w:fill="auto"/>
            <w:vAlign w:val="bottom"/>
          </w:tcPr>
          <w:p w14:paraId="077F9759"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867.045,00 </w:t>
            </w:r>
          </w:p>
        </w:tc>
        <w:tc>
          <w:tcPr>
            <w:tcW w:w="2557" w:type="dxa"/>
            <w:tcBorders>
              <w:top w:val="nil"/>
              <w:left w:val="nil"/>
              <w:bottom w:val="single" w:sz="4" w:space="0" w:color="000000"/>
              <w:right w:val="single" w:sz="4" w:space="0" w:color="000000"/>
            </w:tcBorders>
            <w:shd w:val="clear" w:color="auto" w:fill="auto"/>
            <w:vAlign w:val="bottom"/>
          </w:tcPr>
          <w:p w14:paraId="44DDE050"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164.471,60 </w:t>
            </w:r>
          </w:p>
        </w:tc>
      </w:tr>
      <w:tr w:rsidR="00907C81" w:rsidRPr="00F870BA" w14:paraId="2A148758"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22EA34F7"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FAMISANAR</w:t>
            </w:r>
          </w:p>
        </w:tc>
        <w:tc>
          <w:tcPr>
            <w:tcW w:w="1919" w:type="dxa"/>
            <w:tcBorders>
              <w:top w:val="nil"/>
              <w:left w:val="nil"/>
              <w:bottom w:val="single" w:sz="4" w:space="0" w:color="000000"/>
              <w:right w:val="single" w:sz="4" w:space="0" w:color="000000"/>
            </w:tcBorders>
            <w:shd w:val="clear" w:color="auto" w:fill="auto"/>
            <w:vAlign w:val="bottom"/>
          </w:tcPr>
          <w:p w14:paraId="0DFE9F7B"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1/04/2023</w:t>
            </w:r>
          </w:p>
        </w:tc>
        <w:tc>
          <w:tcPr>
            <w:tcW w:w="2557" w:type="dxa"/>
            <w:tcBorders>
              <w:top w:val="nil"/>
              <w:left w:val="nil"/>
              <w:bottom w:val="single" w:sz="4" w:space="0" w:color="000000"/>
              <w:right w:val="single" w:sz="4" w:space="0" w:color="000000"/>
            </w:tcBorders>
            <w:shd w:val="clear" w:color="auto" w:fill="auto"/>
            <w:vAlign w:val="bottom"/>
          </w:tcPr>
          <w:p w14:paraId="7C38EA8D"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14.350.050,00 </w:t>
            </w:r>
          </w:p>
        </w:tc>
        <w:tc>
          <w:tcPr>
            <w:tcW w:w="2557" w:type="dxa"/>
            <w:tcBorders>
              <w:top w:val="nil"/>
              <w:left w:val="nil"/>
              <w:bottom w:val="single" w:sz="4" w:space="0" w:color="000000"/>
              <w:right w:val="single" w:sz="4" w:space="0" w:color="000000"/>
            </w:tcBorders>
            <w:shd w:val="clear" w:color="auto" w:fill="auto"/>
            <w:vAlign w:val="bottom"/>
          </w:tcPr>
          <w:p w14:paraId="2E8B1E42"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5.629.080,97 </w:t>
            </w:r>
          </w:p>
        </w:tc>
      </w:tr>
      <w:tr w:rsidR="00907C81" w:rsidRPr="00F870BA" w14:paraId="5A4E32EF"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70990BBD"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NUEVA EPS</w:t>
            </w:r>
          </w:p>
        </w:tc>
        <w:tc>
          <w:tcPr>
            <w:tcW w:w="1919" w:type="dxa"/>
            <w:tcBorders>
              <w:top w:val="nil"/>
              <w:left w:val="nil"/>
              <w:bottom w:val="single" w:sz="4" w:space="0" w:color="000000"/>
              <w:right w:val="single" w:sz="4" w:space="0" w:color="000000"/>
            </w:tcBorders>
            <w:shd w:val="clear" w:color="auto" w:fill="auto"/>
            <w:vAlign w:val="bottom"/>
          </w:tcPr>
          <w:p w14:paraId="3A644A85"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17/07/2023</w:t>
            </w:r>
          </w:p>
        </w:tc>
        <w:tc>
          <w:tcPr>
            <w:tcW w:w="2557" w:type="dxa"/>
            <w:tcBorders>
              <w:top w:val="nil"/>
              <w:left w:val="nil"/>
              <w:bottom w:val="single" w:sz="4" w:space="0" w:color="000000"/>
              <w:right w:val="single" w:sz="4" w:space="0" w:color="000000"/>
            </w:tcBorders>
            <w:shd w:val="clear" w:color="auto" w:fill="auto"/>
            <w:vAlign w:val="bottom"/>
          </w:tcPr>
          <w:p w14:paraId="348BA9B5"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6.191.917,00 </w:t>
            </w:r>
          </w:p>
        </w:tc>
        <w:tc>
          <w:tcPr>
            <w:tcW w:w="2557" w:type="dxa"/>
            <w:tcBorders>
              <w:top w:val="nil"/>
              <w:left w:val="nil"/>
              <w:bottom w:val="single" w:sz="4" w:space="0" w:color="000000"/>
              <w:right w:val="single" w:sz="4" w:space="0" w:color="000000"/>
            </w:tcBorders>
            <w:shd w:val="clear" w:color="auto" w:fill="auto"/>
            <w:vAlign w:val="bottom"/>
          </w:tcPr>
          <w:p w14:paraId="6CFA52FA"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3.683.237,41 </w:t>
            </w:r>
          </w:p>
        </w:tc>
      </w:tr>
      <w:tr w:rsidR="00907C81" w:rsidRPr="00F870BA" w14:paraId="032A4486"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0504ED3E"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SALUDTOTAL</w:t>
            </w:r>
          </w:p>
        </w:tc>
        <w:tc>
          <w:tcPr>
            <w:tcW w:w="1919" w:type="dxa"/>
            <w:tcBorders>
              <w:top w:val="nil"/>
              <w:left w:val="nil"/>
              <w:bottom w:val="single" w:sz="4" w:space="0" w:color="000000"/>
              <w:right w:val="single" w:sz="4" w:space="0" w:color="000000"/>
            </w:tcBorders>
            <w:shd w:val="clear" w:color="auto" w:fill="auto"/>
            <w:vAlign w:val="bottom"/>
          </w:tcPr>
          <w:p w14:paraId="290E2503"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22/05/2022</w:t>
            </w:r>
          </w:p>
        </w:tc>
        <w:tc>
          <w:tcPr>
            <w:tcW w:w="2557" w:type="dxa"/>
            <w:tcBorders>
              <w:top w:val="nil"/>
              <w:left w:val="nil"/>
              <w:bottom w:val="single" w:sz="4" w:space="0" w:color="000000"/>
              <w:right w:val="single" w:sz="4" w:space="0" w:color="000000"/>
            </w:tcBorders>
            <w:shd w:val="clear" w:color="auto" w:fill="auto"/>
            <w:vAlign w:val="bottom"/>
          </w:tcPr>
          <w:p w14:paraId="1EAEB47E"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665.228,00 </w:t>
            </w:r>
          </w:p>
        </w:tc>
        <w:tc>
          <w:tcPr>
            <w:tcW w:w="2557" w:type="dxa"/>
            <w:tcBorders>
              <w:top w:val="nil"/>
              <w:left w:val="nil"/>
              <w:bottom w:val="single" w:sz="4" w:space="0" w:color="000000"/>
              <w:right w:val="single" w:sz="4" w:space="0" w:color="000000"/>
            </w:tcBorders>
            <w:shd w:val="clear" w:color="auto" w:fill="auto"/>
            <w:vAlign w:val="bottom"/>
          </w:tcPr>
          <w:p w14:paraId="2F4EF56E"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301.307,20 </w:t>
            </w:r>
          </w:p>
        </w:tc>
      </w:tr>
      <w:tr w:rsidR="00907C81" w:rsidRPr="00F870BA" w14:paraId="1ED23304"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079367B4"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SALUDTOTAL</w:t>
            </w:r>
          </w:p>
        </w:tc>
        <w:tc>
          <w:tcPr>
            <w:tcW w:w="1919" w:type="dxa"/>
            <w:tcBorders>
              <w:top w:val="nil"/>
              <w:left w:val="nil"/>
              <w:bottom w:val="single" w:sz="4" w:space="0" w:color="000000"/>
              <w:right w:val="single" w:sz="4" w:space="0" w:color="000000"/>
            </w:tcBorders>
            <w:shd w:val="clear" w:color="auto" w:fill="auto"/>
            <w:vAlign w:val="bottom"/>
          </w:tcPr>
          <w:p w14:paraId="3CFE1F83"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23/07/2023</w:t>
            </w:r>
          </w:p>
        </w:tc>
        <w:tc>
          <w:tcPr>
            <w:tcW w:w="2557" w:type="dxa"/>
            <w:tcBorders>
              <w:top w:val="nil"/>
              <w:left w:val="nil"/>
              <w:bottom w:val="single" w:sz="4" w:space="0" w:color="000000"/>
              <w:right w:val="single" w:sz="4" w:space="0" w:color="000000"/>
            </w:tcBorders>
            <w:shd w:val="clear" w:color="auto" w:fill="auto"/>
            <w:vAlign w:val="bottom"/>
          </w:tcPr>
          <w:p w14:paraId="7C0BBB1F"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924.070,00 </w:t>
            </w:r>
          </w:p>
        </w:tc>
        <w:tc>
          <w:tcPr>
            <w:tcW w:w="2557" w:type="dxa"/>
            <w:tcBorders>
              <w:top w:val="nil"/>
              <w:left w:val="nil"/>
              <w:bottom w:val="single" w:sz="4" w:space="0" w:color="000000"/>
              <w:right w:val="single" w:sz="4" w:space="0" w:color="000000"/>
            </w:tcBorders>
            <w:shd w:val="clear" w:color="auto" w:fill="auto"/>
            <w:vAlign w:val="bottom"/>
          </w:tcPr>
          <w:p w14:paraId="69167D4F"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362.484,09 </w:t>
            </w:r>
          </w:p>
        </w:tc>
      </w:tr>
      <w:tr w:rsidR="00907C81" w:rsidRPr="00F870BA" w14:paraId="3FF39A2A"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00FBE8D7"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SANITAS EPS</w:t>
            </w:r>
          </w:p>
        </w:tc>
        <w:tc>
          <w:tcPr>
            <w:tcW w:w="1919" w:type="dxa"/>
            <w:tcBorders>
              <w:top w:val="nil"/>
              <w:left w:val="nil"/>
              <w:bottom w:val="single" w:sz="4" w:space="0" w:color="000000"/>
              <w:right w:val="single" w:sz="4" w:space="0" w:color="000000"/>
            </w:tcBorders>
            <w:shd w:val="clear" w:color="auto" w:fill="auto"/>
            <w:vAlign w:val="bottom"/>
          </w:tcPr>
          <w:p w14:paraId="5B201F0D"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4/07/2023</w:t>
            </w:r>
          </w:p>
        </w:tc>
        <w:tc>
          <w:tcPr>
            <w:tcW w:w="2557" w:type="dxa"/>
            <w:tcBorders>
              <w:top w:val="nil"/>
              <w:left w:val="nil"/>
              <w:bottom w:val="single" w:sz="4" w:space="0" w:color="000000"/>
              <w:right w:val="single" w:sz="4" w:space="0" w:color="000000"/>
            </w:tcBorders>
            <w:shd w:val="clear" w:color="auto" w:fill="auto"/>
            <w:vAlign w:val="bottom"/>
          </w:tcPr>
          <w:p w14:paraId="7A54103C"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1.174.860,00 </w:t>
            </w:r>
          </w:p>
        </w:tc>
        <w:tc>
          <w:tcPr>
            <w:tcW w:w="2557" w:type="dxa"/>
            <w:tcBorders>
              <w:top w:val="nil"/>
              <w:left w:val="nil"/>
              <w:bottom w:val="single" w:sz="4" w:space="0" w:color="000000"/>
              <w:right w:val="single" w:sz="4" w:space="0" w:color="000000"/>
            </w:tcBorders>
            <w:shd w:val="clear" w:color="auto" w:fill="auto"/>
            <w:vAlign w:val="bottom"/>
          </w:tcPr>
          <w:p w14:paraId="05FFC34A"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698.860,84 </w:t>
            </w:r>
          </w:p>
        </w:tc>
      </w:tr>
      <w:tr w:rsidR="00907C81" w:rsidRPr="00F870BA" w14:paraId="4CDD3A0C" w14:textId="77777777" w:rsidTr="00874B2D">
        <w:trPr>
          <w:trHeight w:val="269"/>
          <w:jc w:val="center"/>
        </w:trPr>
        <w:tc>
          <w:tcPr>
            <w:tcW w:w="2236" w:type="dxa"/>
            <w:tcBorders>
              <w:top w:val="nil"/>
              <w:left w:val="single" w:sz="4" w:space="0" w:color="000000"/>
              <w:bottom w:val="single" w:sz="4" w:space="0" w:color="000000"/>
              <w:right w:val="single" w:sz="4" w:space="0" w:color="000000"/>
            </w:tcBorders>
            <w:shd w:val="clear" w:color="auto" w:fill="auto"/>
            <w:vAlign w:val="bottom"/>
          </w:tcPr>
          <w:p w14:paraId="7F6E2481" w14:textId="77777777" w:rsidR="00907C81" w:rsidRPr="00F870BA" w:rsidRDefault="00907C81" w:rsidP="00874B2D">
            <w:pPr>
              <w:rPr>
                <w:rFonts w:ascii="Verdana" w:hAnsi="Verdana"/>
                <w:color w:val="000000"/>
                <w:sz w:val="16"/>
                <w:szCs w:val="16"/>
              </w:rPr>
            </w:pPr>
            <w:r w:rsidRPr="00F870BA">
              <w:rPr>
                <w:rFonts w:ascii="Verdana" w:hAnsi="Verdana"/>
                <w:color w:val="000000"/>
                <w:sz w:val="16"/>
                <w:szCs w:val="16"/>
              </w:rPr>
              <w:t>SANITAS EPS</w:t>
            </w:r>
          </w:p>
        </w:tc>
        <w:tc>
          <w:tcPr>
            <w:tcW w:w="1919" w:type="dxa"/>
            <w:tcBorders>
              <w:top w:val="nil"/>
              <w:left w:val="nil"/>
              <w:bottom w:val="single" w:sz="4" w:space="0" w:color="000000"/>
              <w:right w:val="single" w:sz="4" w:space="0" w:color="000000"/>
            </w:tcBorders>
            <w:shd w:val="clear" w:color="auto" w:fill="auto"/>
            <w:vAlign w:val="bottom"/>
          </w:tcPr>
          <w:p w14:paraId="3F7B749B"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4/07/2023</w:t>
            </w:r>
          </w:p>
        </w:tc>
        <w:tc>
          <w:tcPr>
            <w:tcW w:w="2557" w:type="dxa"/>
            <w:tcBorders>
              <w:top w:val="nil"/>
              <w:left w:val="nil"/>
              <w:bottom w:val="single" w:sz="4" w:space="0" w:color="000000"/>
              <w:right w:val="single" w:sz="4" w:space="0" w:color="000000"/>
            </w:tcBorders>
            <w:shd w:val="clear" w:color="auto" w:fill="auto"/>
            <w:vAlign w:val="bottom"/>
          </w:tcPr>
          <w:p w14:paraId="7E352F01"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915.942,00 </w:t>
            </w:r>
          </w:p>
        </w:tc>
        <w:tc>
          <w:tcPr>
            <w:tcW w:w="2557" w:type="dxa"/>
            <w:tcBorders>
              <w:top w:val="nil"/>
              <w:left w:val="nil"/>
              <w:bottom w:val="single" w:sz="4" w:space="0" w:color="000000"/>
              <w:right w:val="single" w:sz="4" w:space="0" w:color="000000"/>
            </w:tcBorders>
            <w:shd w:val="clear" w:color="auto" w:fill="auto"/>
            <w:vAlign w:val="bottom"/>
          </w:tcPr>
          <w:p w14:paraId="59592B41" w14:textId="77777777" w:rsidR="00907C81" w:rsidRPr="00F870BA" w:rsidRDefault="00907C81" w:rsidP="00874B2D">
            <w:pPr>
              <w:jc w:val="right"/>
              <w:rPr>
                <w:rFonts w:ascii="Verdana" w:hAnsi="Verdana"/>
                <w:color w:val="000000"/>
                <w:sz w:val="16"/>
                <w:szCs w:val="16"/>
              </w:rPr>
            </w:pPr>
            <w:r w:rsidRPr="00F870BA">
              <w:rPr>
                <w:rFonts w:ascii="Verdana" w:hAnsi="Verdana"/>
                <w:color w:val="000000"/>
                <w:sz w:val="16"/>
                <w:szCs w:val="16"/>
              </w:rPr>
              <w:t xml:space="preserve">        359.295,73 </w:t>
            </w:r>
          </w:p>
        </w:tc>
      </w:tr>
      <w:tr w:rsidR="00907C81" w:rsidRPr="00F870BA" w14:paraId="087ED11E" w14:textId="77777777" w:rsidTr="00874B2D">
        <w:trPr>
          <w:trHeight w:val="269"/>
          <w:jc w:val="center"/>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002060"/>
            <w:vAlign w:val="bottom"/>
          </w:tcPr>
          <w:p w14:paraId="5E08CB9A" w14:textId="77777777" w:rsidR="00907C81" w:rsidRPr="00F870BA" w:rsidRDefault="00907C81" w:rsidP="00874B2D">
            <w:pPr>
              <w:jc w:val="center"/>
              <w:rPr>
                <w:rFonts w:ascii="Verdana" w:hAnsi="Verdana"/>
                <w:b/>
                <w:color w:val="FFFFFF"/>
                <w:sz w:val="16"/>
                <w:szCs w:val="16"/>
              </w:rPr>
            </w:pPr>
            <w:r w:rsidRPr="00F870BA">
              <w:rPr>
                <w:rFonts w:ascii="Verdana" w:hAnsi="Verdana"/>
                <w:b/>
                <w:color w:val="FFFFFF"/>
                <w:sz w:val="16"/>
                <w:szCs w:val="16"/>
              </w:rPr>
              <w:t>TOTAL</w:t>
            </w:r>
          </w:p>
        </w:tc>
        <w:tc>
          <w:tcPr>
            <w:tcW w:w="2557" w:type="dxa"/>
            <w:tcBorders>
              <w:top w:val="nil"/>
              <w:left w:val="nil"/>
              <w:bottom w:val="single" w:sz="4" w:space="0" w:color="000000"/>
              <w:right w:val="single" w:sz="4" w:space="0" w:color="000000"/>
            </w:tcBorders>
            <w:shd w:val="clear" w:color="auto" w:fill="002060"/>
            <w:vAlign w:val="bottom"/>
          </w:tcPr>
          <w:p w14:paraId="1277CCB5" w14:textId="77777777" w:rsidR="00907C81" w:rsidRPr="00F870BA" w:rsidRDefault="00907C81" w:rsidP="00874B2D">
            <w:pPr>
              <w:jc w:val="right"/>
              <w:rPr>
                <w:rFonts w:ascii="Verdana" w:hAnsi="Verdana"/>
                <w:b/>
                <w:color w:val="FFFFFF"/>
                <w:sz w:val="16"/>
                <w:szCs w:val="16"/>
              </w:rPr>
            </w:pPr>
            <w:r w:rsidRPr="00F870BA">
              <w:rPr>
                <w:rFonts w:ascii="Verdana" w:hAnsi="Verdana"/>
                <w:b/>
                <w:color w:val="FFFFFF"/>
                <w:sz w:val="16"/>
                <w:szCs w:val="16"/>
              </w:rPr>
              <w:t xml:space="preserve">  39.816.763,83 </w:t>
            </w:r>
          </w:p>
        </w:tc>
        <w:tc>
          <w:tcPr>
            <w:tcW w:w="2557" w:type="dxa"/>
            <w:tcBorders>
              <w:top w:val="nil"/>
              <w:left w:val="nil"/>
              <w:bottom w:val="single" w:sz="4" w:space="0" w:color="000000"/>
              <w:right w:val="single" w:sz="4" w:space="0" w:color="000000"/>
            </w:tcBorders>
            <w:shd w:val="clear" w:color="auto" w:fill="002060"/>
            <w:vAlign w:val="bottom"/>
          </w:tcPr>
          <w:p w14:paraId="18F4F59A" w14:textId="77777777" w:rsidR="00907C81" w:rsidRPr="00F870BA" w:rsidRDefault="00907C81" w:rsidP="00874B2D">
            <w:pPr>
              <w:jc w:val="right"/>
              <w:rPr>
                <w:rFonts w:ascii="Verdana" w:hAnsi="Verdana"/>
                <w:b/>
                <w:color w:val="FFFFFF"/>
                <w:sz w:val="16"/>
                <w:szCs w:val="16"/>
              </w:rPr>
            </w:pPr>
            <w:r w:rsidRPr="00F870BA">
              <w:rPr>
                <w:rFonts w:ascii="Verdana" w:hAnsi="Verdana"/>
                <w:b/>
                <w:color w:val="FFFFFF"/>
                <w:sz w:val="16"/>
                <w:szCs w:val="16"/>
              </w:rPr>
              <w:t xml:space="preserve">  17.627.865,76 </w:t>
            </w:r>
          </w:p>
        </w:tc>
      </w:tr>
    </w:tbl>
    <w:p w14:paraId="042919E9" w14:textId="77777777" w:rsidR="00907C81" w:rsidRPr="004B31C5" w:rsidRDefault="00907C81" w:rsidP="00907C81">
      <w:pPr>
        <w:jc w:val="both"/>
        <w:rPr>
          <w:rFonts w:ascii="Verdana" w:hAnsi="Verdana"/>
          <w:i/>
          <w:sz w:val="16"/>
          <w:szCs w:val="16"/>
        </w:rPr>
      </w:pPr>
      <w:r>
        <w:rPr>
          <w:rFonts w:ascii="Verdana" w:hAnsi="Verdana"/>
          <w:i/>
          <w:sz w:val="16"/>
          <w:szCs w:val="16"/>
        </w:rPr>
        <w:t xml:space="preserve">      </w:t>
      </w:r>
      <w:r w:rsidRPr="004B31C5">
        <w:rPr>
          <w:rFonts w:ascii="Verdana" w:hAnsi="Verdana"/>
          <w:i/>
          <w:sz w:val="16"/>
          <w:szCs w:val="16"/>
        </w:rPr>
        <w:t>Fuente: Elaboración Propia</w:t>
      </w:r>
    </w:p>
    <w:p w14:paraId="37D3A0FD" w14:textId="77777777" w:rsidR="00907C81" w:rsidRPr="004B31C5" w:rsidRDefault="00907C81" w:rsidP="00907C81">
      <w:pPr>
        <w:jc w:val="both"/>
        <w:rPr>
          <w:rFonts w:ascii="Verdana" w:hAnsi="Verdana"/>
        </w:rPr>
      </w:pPr>
    </w:p>
    <w:p w14:paraId="4CD3DD3B" w14:textId="77777777" w:rsidR="00907C81" w:rsidRPr="0050304A" w:rsidRDefault="00907C81" w:rsidP="00907C81">
      <w:pPr>
        <w:jc w:val="both"/>
        <w:rPr>
          <w:sz w:val="24"/>
          <w:szCs w:val="24"/>
        </w:rPr>
      </w:pPr>
      <w:r>
        <w:rPr>
          <w:b/>
          <w:bCs/>
          <w:sz w:val="24"/>
          <w:szCs w:val="24"/>
        </w:rPr>
        <w:t xml:space="preserve">NOTA 21. CUENTAS POR PAGAR – Recursos A Favor de Terceros: </w:t>
      </w:r>
      <w:r w:rsidRPr="0050304A">
        <w:rPr>
          <w:sz w:val="24"/>
          <w:szCs w:val="24"/>
        </w:rPr>
        <w:t xml:space="preserve">El saldo que refleja este rubro a 31 de diciembre de 2024 por valor total de </w:t>
      </w:r>
      <w:r>
        <w:rPr>
          <w:sz w:val="24"/>
          <w:szCs w:val="24"/>
        </w:rPr>
        <w:t>$</w:t>
      </w:r>
      <w:r w:rsidRPr="0050304A">
        <w:rPr>
          <w:sz w:val="24"/>
          <w:szCs w:val="24"/>
        </w:rPr>
        <w:t xml:space="preserve">6.868.975.123,14 corresponde a los recursos recaudados en efectivo, que son de propiedad de otras entidades públicas, entidades privadas o personas naturales. </w:t>
      </w:r>
    </w:p>
    <w:p w14:paraId="76DAF9AC" w14:textId="77777777" w:rsidR="00907C81" w:rsidRPr="0050304A" w:rsidRDefault="00907C81" w:rsidP="00907C81">
      <w:pPr>
        <w:jc w:val="both"/>
        <w:rPr>
          <w:sz w:val="24"/>
          <w:szCs w:val="24"/>
        </w:rPr>
      </w:pPr>
    </w:p>
    <w:p w14:paraId="49A92223" w14:textId="77777777" w:rsidR="00907C81" w:rsidRDefault="00907C81" w:rsidP="00907C81">
      <w:pPr>
        <w:jc w:val="center"/>
        <w:rPr>
          <w:sz w:val="24"/>
          <w:szCs w:val="24"/>
        </w:rPr>
      </w:pPr>
      <w:r w:rsidRPr="0050304A">
        <w:rPr>
          <w:noProof/>
          <w:sz w:val="24"/>
          <w:szCs w:val="24"/>
          <w:lang w:val="es-CO" w:eastAsia="es-CO"/>
        </w:rPr>
        <w:drawing>
          <wp:inline distT="0" distB="0" distL="0" distR="0" wp14:anchorId="5C99FA65" wp14:editId="1A27E250">
            <wp:extent cx="6077798" cy="1152686"/>
            <wp:effectExtent l="0" t="0" r="0" b="9525"/>
            <wp:docPr id="1441286739" name="Imagen 144128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7798" cy="1152686"/>
                    </a:xfrm>
                    <a:prstGeom prst="rect">
                      <a:avLst/>
                    </a:prstGeom>
                  </pic:spPr>
                </pic:pic>
              </a:graphicData>
            </a:graphic>
          </wp:inline>
        </w:drawing>
      </w:r>
    </w:p>
    <w:p w14:paraId="788F6CDB" w14:textId="77777777" w:rsidR="00907C81" w:rsidRDefault="00907C81" w:rsidP="00907C81">
      <w:pPr>
        <w:jc w:val="both"/>
        <w:rPr>
          <w:sz w:val="24"/>
          <w:szCs w:val="24"/>
        </w:rPr>
      </w:pPr>
    </w:p>
    <w:p w14:paraId="31500D16" w14:textId="77777777" w:rsidR="00907C81" w:rsidRDefault="00907C81" w:rsidP="00907C81">
      <w:pPr>
        <w:jc w:val="center"/>
        <w:rPr>
          <w:sz w:val="24"/>
          <w:szCs w:val="24"/>
        </w:rPr>
      </w:pPr>
      <w:r w:rsidRPr="0050304A">
        <w:rPr>
          <w:noProof/>
          <w:sz w:val="24"/>
          <w:szCs w:val="24"/>
          <w:lang w:val="es-CO" w:eastAsia="es-CO"/>
        </w:rPr>
        <w:lastRenderedPageBreak/>
        <w:drawing>
          <wp:inline distT="0" distB="0" distL="0" distR="0" wp14:anchorId="0721E6F1" wp14:editId="3AA550CA">
            <wp:extent cx="6192114" cy="2429214"/>
            <wp:effectExtent l="0" t="0" r="0" b="9525"/>
            <wp:docPr id="1441286740" name="Imagen 144128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2114" cy="2429214"/>
                    </a:xfrm>
                    <a:prstGeom prst="rect">
                      <a:avLst/>
                    </a:prstGeom>
                  </pic:spPr>
                </pic:pic>
              </a:graphicData>
            </a:graphic>
          </wp:inline>
        </w:drawing>
      </w:r>
    </w:p>
    <w:p w14:paraId="6712E4D3" w14:textId="77777777" w:rsidR="00907C81" w:rsidRDefault="00907C81" w:rsidP="00907C81">
      <w:pPr>
        <w:jc w:val="both"/>
        <w:rPr>
          <w:sz w:val="24"/>
          <w:szCs w:val="24"/>
        </w:rPr>
      </w:pPr>
    </w:p>
    <w:p w14:paraId="5AE158B4" w14:textId="77777777" w:rsidR="00907C81" w:rsidRPr="0050304A" w:rsidRDefault="00907C81" w:rsidP="00907C81">
      <w:pPr>
        <w:jc w:val="both"/>
        <w:rPr>
          <w:sz w:val="24"/>
          <w:szCs w:val="24"/>
        </w:rPr>
      </w:pPr>
      <w:r>
        <w:rPr>
          <w:b/>
          <w:bCs/>
          <w:sz w:val="24"/>
          <w:szCs w:val="24"/>
        </w:rPr>
        <w:t xml:space="preserve">- Recaudos por Clasificar: </w:t>
      </w:r>
      <w:r w:rsidRPr="0050304A">
        <w:rPr>
          <w:sz w:val="24"/>
          <w:szCs w:val="24"/>
        </w:rPr>
        <w:t xml:space="preserve">El incremento del 100% corresponde al saldo por imputar del Documentos de Recaudo por Clasificar (DRXC) No. 16693224, correspondiente a la licencia de maternidad de una funcionaria, asignado por la Dirección General de Crédito Público y Tesoro Nacional (DGCPTN) el 10 de diciembre de 2024 por valor total de </w:t>
      </w:r>
      <w:r>
        <w:rPr>
          <w:sz w:val="24"/>
          <w:szCs w:val="24"/>
        </w:rPr>
        <w:t>$</w:t>
      </w:r>
      <w:r w:rsidRPr="0050304A">
        <w:rPr>
          <w:sz w:val="24"/>
          <w:szCs w:val="24"/>
        </w:rPr>
        <w:t>136.500.000, con afectación al rubro presupuestal de gasto A-03-04-02-012-002 Licencias de maternidad y paternidad (</w:t>
      </w:r>
      <w:r>
        <w:rPr>
          <w:sz w:val="24"/>
          <w:szCs w:val="24"/>
        </w:rPr>
        <w:t>N</w:t>
      </w:r>
      <w:r w:rsidRPr="0050304A">
        <w:rPr>
          <w:sz w:val="24"/>
          <w:szCs w:val="24"/>
        </w:rPr>
        <w:t>o de pensiones</w:t>
      </w:r>
      <w:r>
        <w:rPr>
          <w:sz w:val="24"/>
          <w:szCs w:val="24"/>
        </w:rPr>
        <w:t>)</w:t>
      </w:r>
      <w:r w:rsidRPr="0050304A">
        <w:rPr>
          <w:sz w:val="24"/>
          <w:szCs w:val="24"/>
        </w:rPr>
        <w:t xml:space="preserve">. </w:t>
      </w:r>
    </w:p>
    <w:p w14:paraId="1214DA5E" w14:textId="77777777" w:rsidR="00907C81" w:rsidRPr="0050304A" w:rsidRDefault="00907C81" w:rsidP="00907C81">
      <w:pPr>
        <w:jc w:val="both"/>
        <w:rPr>
          <w:sz w:val="24"/>
          <w:szCs w:val="24"/>
        </w:rPr>
      </w:pPr>
    </w:p>
    <w:p w14:paraId="450A0DFB" w14:textId="77777777" w:rsidR="00907C81" w:rsidRPr="0050304A" w:rsidRDefault="00907C81" w:rsidP="00907C81">
      <w:pPr>
        <w:jc w:val="both"/>
        <w:rPr>
          <w:sz w:val="24"/>
          <w:szCs w:val="24"/>
        </w:rPr>
      </w:pPr>
      <w:r>
        <w:rPr>
          <w:b/>
          <w:bCs/>
          <w:sz w:val="24"/>
          <w:szCs w:val="24"/>
        </w:rPr>
        <w:t xml:space="preserve">- Créditos Judiciales: </w:t>
      </w:r>
      <w:r w:rsidRPr="0050304A">
        <w:rPr>
          <w:sz w:val="24"/>
          <w:szCs w:val="24"/>
        </w:rPr>
        <w:t xml:space="preserve">Al cierre de la vigencia, se presenta un saldo de </w:t>
      </w:r>
      <w:r>
        <w:rPr>
          <w:sz w:val="24"/>
          <w:szCs w:val="24"/>
        </w:rPr>
        <w:t>$</w:t>
      </w:r>
      <w:r w:rsidRPr="0050304A">
        <w:rPr>
          <w:sz w:val="24"/>
          <w:szCs w:val="24"/>
        </w:rPr>
        <w:t>49.123.364,48, correspondiente al reconocimiento de las Resoluciones 562 y 567 de 2024. Estas resoluciones cumplen con lo dispuesto en el Auto Interlocutorio No. 123/2023, emitido por la Sala de Decisión No. 004 del Tribunal Administrativo de Bolívar el 27 de octubre de 2023, que aprobó parcialmente un acuerdo de conciliación entre Arce Rojas y Consultores Compañía SAS y el Fondo Adaptación.</w:t>
      </w:r>
    </w:p>
    <w:p w14:paraId="2DC73B1D" w14:textId="77777777" w:rsidR="00907C81" w:rsidRPr="0050304A" w:rsidRDefault="00907C81" w:rsidP="00907C81">
      <w:pPr>
        <w:jc w:val="both"/>
        <w:rPr>
          <w:sz w:val="24"/>
          <w:szCs w:val="24"/>
        </w:rPr>
      </w:pPr>
    </w:p>
    <w:p w14:paraId="4F3394B6" w14:textId="77777777" w:rsidR="00907C81" w:rsidRDefault="00907C81" w:rsidP="00907C81">
      <w:pPr>
        <w:jc w:val="both"/>
        <w:rPr>
          <w:sz w:val="24"/>
          <w:szCs w:val="24"/>
        </w:rPr>
      </w:pPr>
      <w:r w:rsidRPr="0050304A">
        <w:rPr>
          <w:sz w:val="24"/>
          <w:szCs w:val="24"/>
        </w:rPr>
        <w:t xml:space="preserve">Para el mes de marzo de 2024, se realizó la corrección de periodos de anteriores del Laudo arbitral corresponde a saldo de compensación de las deudas y obligaciones a cargo de UNION NUEVO GRAMALOTE, según Radicado de Laudo No. 125499 y Resolución 187 de 2023 por valor de </w:t>
      </w:r>
      <w:r>
        <w:rPr>
          <w:sz w:val="24"/>
          <w:szCs w:val="24"/>
        </w:rPr>
        <w:t>$</w:t>
      </w:r>
      <w:r w:rsidRPr="0050304A">
        <w:rPr>
          <w:sz w:val="24"/>
          <w:szCs w:val="24"/>
        </w:rPr>
        <w:t>243.746.000,00.</w:t>
      </w:r>
    </w:p>
    <w:p w14:paraId="08DCE768" w14:textId="77777777" w:rsidR="00907C81" w:rsidRDefault="00907C81" w:rsidP="00907C81">
      <w:pPr>
        <w:jc w:val="both"/>
        <w:rPr>
          <w:sz w:val="24"/>
          <w:szCs w:val="24"/>
        </w:rPr>
      </w:pPr>
    </w:p>
    <w:p w14:paraId="1DA639BB" w14:textId="77777777" w:rsidR="00907C81" w:rsidRDefault="00907C81" w:rsidP="00907C81">
      <w:pPr>
        <w:jc w:val="both"/>
        <w:rPr>
          <w:b/>
          <w:bCs/>
          <w:sz w:val="24"/>
          <w:szCs w:val="24"/>
        </w:rPr>
      </w:pPr>
      <w:r>
        <w:rPr>
          <w:b/>
          <w:bCs/>
          <w:sz w:val="24"/>
          <w:szCs w:val="24"/>
        </w:rPr>
        <w:t xml:space="preserve">NOTA 23. PROVISIONES: </w:t>
      </w:r>
    </w:p>
    <w:p w14:paraId="0D017036" w14:textId="77777777" w:rsidR="00907C81" w:rsidRDefault="00907C81" w:rsidP="00907C81">
      <w:pPr>
        <w:jc w:val="both"/>
        <w:rPr>
          <w:sz w:val="24"/>
          <w:szCs w:val="24"/>
        </w:rPr>
      </w:pPr>
    </w:p>
    <w:p w14:paraId="0B3A80B7" w14:textId="77777777" w:rsidR="00907C81" w:rsidRDefault="00907C81" w:rsidP="00907C81">
      <w:pPr>
        <w:jc w:val="center"/>
        <w:rPr>
          <w:sz w:val="24"/>
          <w:szCs w:val="24"/>
        </w:rPr>
      </w:pPr>
      <w:r w:rsidRPr="006C2D3D">
        <w:rPr>
          <w:noProof/>
          <w:sz w:val="24"/>
          <w:szCs w:val="24"/>
          <w:lang w:val="es-CO" w:eastAsia="es-CO"/>
        </w:rPr>
        <w:drawing>
          <wp:inline distT="0" distB="0" distL="0" distR="0" wp14:anchorId="731939C9" wp14:editId="29CABD25">
            <wp:extent cx="5668166" cy="1247949"/>
            <wp:effectExtent l="0" t="0" r="8890" b="9525"/>
            <wp:docPr id="1441286741" name="Imagen 144128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68166" cy="1247949"/>
                    </a:xfrm>
                    <a:prstGeom prst="rect">
                      <a:avLst/>
                    </a:prstGeom>
                  </pic:spPr>
                </pic:pic>
              </a:graphicData>
            </a:graphic>
          </wp:inline>
        </w:drawing>
      </w:r>
    </w:p>
    <w:p w14:paraId="5E68AFB1" w14:textId="77777777" w:rsidR="00907C81" w:rsidRDefault="00907C81" w:rsidP="00907C81">
      <w:pPr>
        <w:jc w:val="both"/>
        <w:rPr>
          <w:sz w:val="24"/>
          <w:szCs w:val="24"/>
        </w:rPr>
      </w:pPr>
    </w:p>
    <w:p w14:paraId="7128F084" w14:textId="77777777" w:rsidR="00907C81" w:rsidRPr="00D91474" w:rsidRDefault="00907C81" w:rsidP="00907C81">
      <w:pPr>
        <w:jc w:val="both"/>
        <w:rPr>
          <w:sz w:val="24"/>
          <w:szCs w:val="24"/>
        </w:rPr>
      </w:pPr>
      <w:r>
        <w:rPr>
          <w:b/>
          <w:bCs/>
          <w:sz w:val="24"/>
          <w:szCs w:val="24"/>
        </w:rPr>
        <w:t xml:space="preserve">23.1. Litigios y Demandas: </w:t>
      </w:r>
      <w:r w:rsidRPr="00D91474">
        <w:rPr>
          <w:sz w:val="24"/>
          <w:szCs w:val="24"/>
        </w:rPr>
        <w:t>En esta cuenta se registra el pasivo contingente de los procesos judiciales susceptibles a generar erogaciones clasificadas en procesos probables (Alta) en contra del Fondo Adaptación efectuadas bajo metodología de riesgos.</w:t>
      </w:r>
    </w:p>
    <w:p w14:paraId="4A9FE247" w14:textId="77777777" w:rsidR="00907C81" w:rsidRDefault="00907C81" w:rsidP="00907C81">
      <w:pPr>
        <w:jc w:val="both"/>
        <w:rPr>
          <w:b/>
          <w:bCs/>
          <w:sz w:val="24"/>
          <w:szCs w:val="24"/>
        </w:rPr>
      </w:pPr>
    </w:p>
    <w:p w14:paraId="72B88E0A" w14:textId="77777777" w:rsidR="00907C81" w:rsidRDefault="00907C81" w:rsidP="00907C81">
      <w:pPr>
        <w:jc w:val="both"/>
        <w:rPr>
          <w:b/>
          <w:bCs/>
          <w:sz w:val="24"/>
          <w:szCs w:val="24"/>
        </w:rPr>
      </w:pPr>
      <w:r w:rsidRPr="00D91474">
        <w:rPr>
          <w:b/>
          <w:bCs/>
          <w:noProof/>
          <w:sz w:val="24"/>
          <w:szCs w:val="24"/>
          <w:lang w:val="es-CO" w:eastAsia="es-CO"/>
        </w:rPr>
        <w:lastRenderedPageBreak/>
        <w:drawing>
          <wp:inline distT="0" distB="0" distL="0" distR="0" wp14:anchorId="61C70849" wp14:editId="2B95BC2D">
            <wp:extent cx="6296904" cy="3038899"/>
            <wp:effectExtent l="0" t="0" r="8890" b="9525"/>
            <wp:docPr id="1441286742" name="Imagen 144128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96904" cy="3038899"/>
                    </a:xfrm>
                    <a:prstGeom prst="rect">
                      <a:avLst/>
                    </a:prstGeom>
                  </pic:spPr>
                </pic:pic>
              </a:graphicData>
            </a:graphic>
          </wp:inline>
        </w:drawing>
      </w:r>
    </w:p>
    <w:p w14:paraId="2D2E0414" w14:textId="77777777" w:rsidR="00907C81" w:rsidRDefault="00907C81" w:rsidP="00907C81">
      <w:pPr>
        <w:jc w:val="both"/>
        <w:rPr>
          <w:b/>
          <w:bCs/>
          <w:sz w:val="24"/>
          <w:szCs w:val="24"/>
        </w:rPr>
      </w:pPr>
    </w:p>
    <w:p w14:paraId="595F4337" w14:textId="77777777" w:rsidR="00907C81" w:rsidRPr="00D91474" w:rsidRDefault="00907C81" w:rsidP="00907C81">
      <w:pPr>
        <w:jc w:val="both"/>
        <w:rPr>
          <w:sz w:val="24"/>
          <w:szCs w:val="24"/>
        </w:rPr>
      </w:pPr>
      <w:r w:rsidRPr="00D91474">
        <w:rPr>
          <w:sz w:val="24"/>
          <w:szCs w:val="24"/>
        </w:rPr>
        <w:t>A continuación, se presenta la conciliación de procesos registrados en la contabilidad Vs. La información suministrada por Defensa Judicial, de acuerdo con el formato de conciliación de procesos judiciales 7-GCC-F-28 que se realiza trimestralmente y no presenta diferencia, para el 31 de diciembre de 2024 se detalla así:</w:t>
      </w:r>
    </w:p>
    <w:p w14:paraId="36A2678D" w14:textId="77777777" w:rsidR="00907C81" w:rsidRPr="004B31C5" w:rsidRDefault="00907C81" w:rsidP="00907C81">
      <w:pPr>
        <w:jc w:val="both"/>
        <w:rPr>
          <w:rFonts w:ascii="Verdana" w:hAnsi="Verdana"/>
          <w:sz w:val="20"/>
          <w:szCs w:val="20"/>
        </w:rPr>
      </w:pPr>
    </w:p>
    <w:p w14:paraId="0F6B6C82" w14:textId="77777777" w:rsidR="00907C81" w:rsidRPr="004B31C5" w:rsidRDefault="00907C81" w:rsidP="00907C81">
      <w:pPr>
        <w:jc w:val="both"/>
        <w:rPr>
          <w:rFonts w:ascii="Verdana" w:hAnsi="Verdana"/>
          <w:sz w:val="20"/>
          <w:szCs w:val="20"/>
        </w:rPr>
      </w:pPr>
      <w:r>
        <w:rPr>
          <w:rFonts w:ascii="Verdana" w:hAnsi="Verdana"/>
          <w:i/>
          <w:sz w:val="20"/>
          <w:szCs w:val="20"/>
        </w:rPr>
        <w:t xml:space="preserve">       </w:t>
      </w:r>
      <w:r w:rsidRPr="004B31C5">
        <w:rPr>
          <w:rFonts w:ascii="Verdana" w:hAnsi="Verdana"/>
          <w:i/>
          <w:sz w:val="20"/>
          <w:szCs w:val="20"/>
        </w:rPr>
        <w:t>Conciliación procesos en contra riesgo alta</w:t>
      </w:r>
      <w:r w:rsidRPr="004B31C5">
        <w:rPr>
          <w:rFonts w:ascii="Verdana" w:hAnsi="Verdana"/>
          <w:sz w:val="20"/>
          <w:szCs w:val="20"/>
        </w:rPr>
        <w:t xml:space="preserve">. </w:t>
      </w:r>
    </w:p>
    <w:tbl>
      <w:tblPr>
        <w:tblW w:w="8948" w:type="dxa"/>
        <w:jc w:val="center"/>
        <w:tblLayout w:type="fixed"/>
        <w:tblLook w:val="0400" w:firstRow="0" w:lastRow="0" w:firstColumn="0" w:lastColumn="0" w:noHBand="0" w:noVBand="1"/>
      </w:tblPr>
      <w:tblGrid>
        <w:gridCol w:w="816"/>
        <w:gridCol w:w="2415"/>
        <w:gridCol w:w="1003"/>
        <w:gridCol w:w="1378"/>
        <w:gridCol w:w="1556"/>
        <w:gridCol w:w="1780"/>
      </w:tblGrid>
      <w:tr w:rsidR="00907C81" w:rsidRPr="00167C33" w14:paraId="1182941C" w14:textId="77777777" w:rsidTr="00874B2D">
        <w:trPr>
          <w:trHeight w:val="2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72E7A5D" w14:textId="77777777" w:rsidR="00907C81" w:rsidRPr="00167C33" w:rsidRDefault="00907C81" w:rsidP="00874B2D">
            <w:pPr>
              <w:jc w:val="center"/>
              <w:rPr>
                <w:rFonts w:ascii="Verdana" w:hAnsi="Verdana"/>
                <w:b/>
                <w:color w:val="FFFFFF"/>
                <w:sz w:val="14"/>
                <w:szCs w:val="14"/>
              </w:rPr>
            </w:pPr>
            <w:r w:rsidRPr="00167C33">
              <w:rPr>
                <w:rFonts w:ascii="Verdana" w:hAnsi="Verdana"/>
                <w:b/>
                <w:color w:val="FFFFFF"/>
                <w:sz w:val="14"/>
                <w:szCs w:val="14"/>
              </w:rPr>
              <w:t xml:space="preserve">CUENTA </w:t>
            </w:r>
          </w:p>
        </w:tc>
        <w:tc>
          <w:tcPr>
            <w:tcW w:w="2415" w:type="dxa"/>
            <w:tcBorders>
              <w:top w:val="single" w:sz="4" w:space="0" w:color="000000"/>
              <w:left w:val="nil"/>
              <w:bottom w:val="single" w:sz="4" w:space="0" w:color="000000"/>
              <w:right w:val="single" w:sz="4" w:space="0" w:color="000000"/>
            </w:tcBorders>
            <w:shd w:val="clear" w:color="auto" w:fill="002060"/>
            <w:vAlign w:val="center"/>
          </w:tcPr>
          <w:p w14:paraId="3D191209" w14:textId="77777777" w:rsidR="00907C81" w:rsidRPr="00167C33" w:rsidRDefault="00907C81" w:rsidP="00874B2D">
            <w:pPr>
              <w:jc w:val="center"/>
              <w:rPr>
                <w:rFonts w:ascii="Verdana" w:hAnsi="Verdana"/>
                <w:b/>
                <w:color w:val="FFFFFF"/>
                <w:sz w:val="14"/>
                <w:szCs w:val="14"/>
              </w:rPr>
            </w:pPr>
            <w:r w:rsidRPr="00167C33">
              <w:rPr>
                <w:rFonts w:ascii="Verdana" w:hAnsi="Verdana"/>
                <w:b/>
                <w:color w:val="FFFFFF"/>
                <w:sz w:val="14"/>
                <w:szCs w:val="14"/>
              </w:rPr>
              <w:t xml:space="preserve"> NOMBRE </w:t>
            </w:r>
          </w:p>
        </w:tc>
        <w:tc>
          <w:tcPr>
            <w:tcW w:w="1003" w:type="dxa"/>
            <w:tcBorders>
              <w:top w:val="single" w:sz="4" w:space="0" w:color="000000"/>
              <w:left w:val="nil"/>
              <w:bottom w:val="single" w:sz="4" w:space="0" w:color="000000"/>
              <w:right w:val="single" w:sz="4" w:space="0" w:color="000000"/>
            </w:tcBorders>
            <w:shd w:val="clear" w:color="auto" w:fill="002060"/>
            <w:vAlign w:val="center"/>
          </w:tcPr>
          <w:p w14:paraId="05D5AB5B" w14:textId="77777777" w:rsidR="00907C81" w:rsidRPr="00167C33" w:rsidRDefault="00907C81" w:rsidP="00874B2D">
            <w:pPr>
              <w:jc w:val="center"/>
              <w:rPr>
                <w:rFonts w:ascii="Verdana" w:hAnsi="Verdana"/>
                <w:b/>
                <w:color w:val="FFFFFF"/>
                <w:sz w:val="14"/>
                <w:szCs w:val="14"/>
              </w:rPr>
            </w:pPr>
            <w:r w:rsidRPr="00167C33">
              <w:rPr>
                <w:rFonts w:ascii="Verdana" w:hAnsi="Verdana"/>
                <w:b/>
                <w:color w:val="FFFFFF"/>
                <w:sz w:val="14"/>
                <w:szCs w:val="14"/>
              </w:rPr>
              <w:t>CANTIDAD</w:t>
            </w:r>
          </w:p>
        </w:tc>
        <w:tc>
          <w:tcPr>
            <w:tcW w:w="1378" w:type="dxa"/>
            <w:tcBorders>
              <w:top w:val="single" w:sz="4" w:space="0" w:color="000000"/>
              <w:left w:val="nil"/>
              <w:bottom w:val="single" w:sz="4" w:space="0" w:color="000000"/>
              <w:right w:val="single" w:sz="4" w:space="0" w:color="000000"/>
            </w:tcBorders>
            <w:shd w:val="clear" w:color="auto" w:fill="002060"/>
            <w:vAlign w:val="center"/>
          </w:tcPr>
          <w:p w14:paraId="711B6B7E" w14:textId="77777777" w:rsidR="00907C81" w:rsidRPr="00167C33" w:rsidRDefault="00907C81" w:rsidP="00874B2D">
            <w:pPr>
              <w:jc w:val="center"/>
              <w:rPr>
                <w:rFonts w:ascii="Verdana" w:hAnsi="Verdana"/>
                <w:b/>
                <w:color w:val="FFFFFF"/>
                <w:sz w:val="14"/>
                <w:szCs w:val="14"/>
              </w:rPr>
            </w:pPr>
            <w:r w:rsidRPr="00167C33">
              <w:rPr>
                <w:rFonts w:ascii="Verdana" w:hAnsi="Verdana"/>
                <w:b/>
                <w:color w:val="FFFFFF"/>
                <w:sz w:val="14"/>
                <w:szCs w:val="14"/>
              </w:rPr>
              <w:t>SALDO CONTABLE</w:t>
            </w:r>
          </w:p>
        </w:tc>
        <w:tc>
          <w:tcPr>
            <w:tcW w:w="1556" w:type="dxa"/>
            <w:tcBorders>
              <w:top w:val="single" w:sz="4" w:space="0" w:color="000000"/>
              <w:left w:val="nil"/>
              <w:bottom w:val="single" w:sz="4" w:space="0" w:color="000000"/>
              <w:right w:val="single" w:sz="4" w:space="0" w:color="000000"/>
            </w:tcBorders>
            <w:shd w:val="clear" w:color="auto" w:fill="002060"/>
            <w:vAlign w:val="center"/>
          </w:tcPr>
          <w:p w14:paraId="43F7ABC5" w14:textId="77777777" w:rsidR="00907C81" w:rsidRPr="00167C33" w:rsidRDefault="00907C81" w:rsidP="00874B2D">
            <w:pPr>
              <w:jc w:val="center"/>
              <w:rPr>
                <w:rFonts w:ascii="Verdana" w:hAnsi="Verdana"/>
                <w:b/>
                <w:color w:val="FFFFFF"/>
                <w:sz w:val="14"/>
                <w:szCs w:val="14"/>
              </w:rPr>
            </w:pPr>
            <w:r w:rsidRPr="00167C33">
              <w:rPr>
                <w:rFonts w:ascii="Verdana" w:hAnsi="Verdana"/>
                <w:b/>
                <w:color w:val="FFFFFF"/>
                <w:sz w:val="14"/>
                <w:szCs w:val="14"/>
              </w:rPr>
              <w:t xml:space="preserve">BASE PROCESO JUDICIAL </w:t>
            </w:r>
          </w:p>
        </w:tc>
        <w:tc>
          <w:tcPr>
            <w:tcW w:w="1780" w:type="dxa"/>
            <w:tcBorders>
              <w:top w:val="single" w:sz="4" w:space="0" w:color="000000"/>
              <w:left w:val="nil"/>
              <w:bottom w:val="single" w:sz="4" w:space="0" w:color="000000"/>
              <w:right w:val="single" w:sz="4" w:space="0" w:color="000000"/>
            </w:tcBorders>
            <w:shd w:val="clear" w:color="auto" w:fill="002060"/>
            <w:vAlign w:val="center"/>
          </w:tcPr>
          <w:p w14:paraId="0F858D18" w14:textId="77777777" w:rsidR="00907C81" w:rsidRPr="00167C33" w:rsidRDefault="00907C81" w:rsidP="00874B2D">
            <w:pPr>
              <w:jc w:val="center"/>
              <w:rPr>
                <w:rFonts w:ascii="Verdana" w:hAnsi="Verdana"/>
                <w:b/>
                <w:color w:val="FFFFFF"/>
                <w:sz w:val="14"/>
                <w:szCs w:val="14"/>
              </w:rPr>
            </w:pPr>
            <w:r w:rsidRPr="00167C33">
              <w:rPr>
                <w:rFonts w:ascii="Verdana" w:hAnsi="Verdana"/>
                <w:b/>
                <w:color w:val="FFFFFF"/>
                <w:sz w:val="14"/>
                <w:szCs w:val="14"/>
              </w:rPr>
              <w:t>DIFERENCIA</w:t>
            </w:r>
          </w:p>
        </w:tc>
      </w:tr>
      <w:tr w:rsidR="00907C81" w:rsidRPr="00167C33" w14:paraId="04EEF435" w14:textId="77777777" w:rsidTr="00874B2D">
        <w:trPr>
          <w:trHeight w:val="20"/>
          <w:jc w:val="center"/>
        </w:trPr>
        <w:tc>
          <w:tcPr>
            <w:tcW w:w="816" w:type="dxa"/>
            <w:tcBorders>
              <w:top w:val="nil"/>
              <w:left w:val="single" w:sz="4" w:space="0" w:color="000000"/>
              <w:bottom w:val="single" w:sz="4" w:space="0" w:color="000000"/>
              <w:right w:val="single" w:sz="4" w:space="0" w:color="000000"/>
            </w:tcBorders>
            <w:shd w:val="clear" w:color="auto" w:fill="FFFFFF"/>
            <w:vAlign w:val="center"/>
          </w:tcPr>
          <w:p w14:paraId="5978A719" w14:textId="77777777" w:rsidR="00907C81" w:rsidRPr="00167C33" w:rsidRDefault="00907C81" w:rsidP="00874B2D">
            <w:pPr>
              <w:jc w:val="center"/>
              <w:rPr>
                <w:rFonts w:ascii="Verdana" w:hAnsi="Verdana"/>
                <w:sz w:val="14"/>
                <w:szCs w:val="14"/>
              </w:rPr>
            </w:pPr>
            <w:r w:rsidRPr="00167C33">
              <w:rPr>
                <w:rFonts w:ascii="Verdana" w:hAnsi="Verdana"/>
                <w:sz w:val="14"/>
                <w:szCs w:val="14"/>
              </w:rPr>
              <w:t>270103</w:t>
            </w:r>
          </w:p>
        </w:tc>
        <w:tc>
          <w:tcPr>
            <w:tcW w:w="2415" w:type="dxa"/>
            <w:tcBorders>
              <w:top w:val="nil"/>
              <w:left w:val="nil"/>
              <w:bottom w:val="single" w:sz="4" w:space="0" w:color="000000"/>
              <w:right w:val="single" w:sz="4" w:space="0" w:color="000000"/>
            </w:tcBorders>
            <w:shd w:val="clear" w:color="auto" w:fill="auto"/>
            <w:vAlign w:val="center"/>
          </w:tcPr>
          <w:p w14:paraId="04AF5B61" w14:textId="77777777" w:rsidR="00907C81" w:rsidRPr="00167C33" w:rsidRDefault="00907C81" w:rsidP="00874B2D">
            <w:pPr>
              <w:rPr>
                <w:rFonts w:ascii="Verdana" w:hAnsi="Verdana"/>
                <w:color w:val="000000"/>
                <w:sz w:val="14"/>
                <w:szCs w:val="14"/>
              </w:rPr>
            </w:pPr>
            <w:r w:rsidRPr="00167C33">
              <w:rPr>
                <w:rFonts w:ascii="Verdana" w:hAnsi="Verdana"/>
                <w:color w:val="000000"/>
                <w:sz w:val="14"/>
                <w:szCs w:val="14"/>
              </w:rPr>
              <w:t>DEMANDAS EN CONTRA MOD ALTA ADMINISTRATIVO</w:t>
            </w:r>
          </w:p>
        </w:tc>
        <w:tc>
          <w:tcPr>
            <w:tcW w:w="1003" w:type="dxa"/>
            <w:tcBorders>
              <w:top w:val="nil"/>
              <w:left w:val="nil"/>
              <w:bottom w:val="single" w:sz="4" w:space="0" w:color="000000"/>
              <w:right w:val="single" w:sz="4" w:space="0" w:color="000000"/>
            </w:tcBorders>
            <w:shd w:val="clear" w:color="auto" w:fill="auto"/>
            <w:vAlign w:val="center"/>
          </w:tcPr>
          <w:p w14:paraId="56513DED" w14:textId="77777777" w:rsidR="00907C81" w:rsidRPr="00167C33" w:rsidRDefault="00907C81" w:rsidP="00874B2D">
            <w:pPr>
              <w:jc w:val="right"/>
              <w:rPr>
                <w:rFonts w:ascii="Verdana" w:hAnsi="Verdana"/>
                <w:color w:val="000000"/>
                <w:sz w:val="14"/>
                <w:szCs w:val="14"/>
              </w:rPr>
            </w:pPr>
            <w:r w:rsidRPr="00167C33">
              <w:rPr>
                <w:rFonts w:ascii="Verdana" w:hAnsi="Verdana"/>
                <w:color w:val="000000"/>
                <w:sz w:val="14"/>
                <w:szCs w:val="14"/>
              </w:rPr>
              <w:t>13</w:t>
            </w:r>
          </w:p>
        </w:tc>
        <w:tc>
          <w:tcPr>
            <w:tcW w:w="1378" w:type="dxa"/>
            <w:tcBorders>
              <w:top w:val="nil"/>
              <w:left w:val="nil"/>
              <w:bottom w:val="single" w:sz="4" w:space="0" w:color="000000"/>
              <w:right w:val="single" w:sz="4" w:space="0" w:color="000000"/>
            </w:tcBorders>
            <w:shd w:val="clear" w:color="auto" w:fill="auto"/>
            <w:vAlign w:val="center"/>
          </w:tcPr>
          <w:p w14:paraId="05C194F4" w14:textId="77777777" w:rsidR="00907C81" w:rsidRPr="00167C33" w:rsidRDefault="00907C81" w:rsidP="00874B2D">
            <w:pPr>
              <w:jc w:val="right"/>
              <w:rPr>
                <w:rFonts w:ascii="Verdana" w:hAnsi="Verdana"/>
                <w:sz w:val="14"/>
                <w:szCs w:val="14"/>
              </w:rPr>
            </w:pPr>
            <w:r w:rsidRPr="00167C33">
              <w:rPr>
                <w:rFonts w:ascii="Verdana" w:hAnsi="Verdana"/>
                <w:sz w:val="14"/>
                <w:szCs w:val="14"/>
              </w:rPr>
              <w:t xml:space="preserve">       9.327.249.253,00 </w:t>
            </w:r>
          </w:p>
        </w:tc>
        <w:tc>
          <w:tcPr>
            <w:tcW w:w="1556" w:type="dxa"/>
            <w:tcBorders>
              <w:top w:val="nil"/>
              <w:left w:val="nil"/>
              <w:bottom w:val="single" w:sz="4" w:space="0" w:color="000000"/>
              <w:right w:val="single" w:sz="4" w:space="0" w:color="000000"/>
            </w:tcBorders>
            <w:shd w:val="clear" w:color="auto" w:fill="auto"/>
            <w:vAlign w:val="center"/>
          </w:tcPr>
          <w:p w14:paraId="6E7BFEAC" w14:textId="77777777" w:rsidR="00907C81" w:rsidRPr="00167C33" w:rsidRDefault="00907C81" w:rsidP="00874B2D">
            <w:pPr>
              <w:jc w:val="right"/>
              <w:rPr>
                <w:rFonts w:ascii="Verdana" w:hAnsi="Verdana"/>
                <w:sz w:val="14"/>
                <w:szCs w:val="14"/>
              </w:rPr>
            </w:pPr>
            <w:r w:rsidRPr="00167C33">
              <w:rPr>
                <w:rFonts w:ascii="Verdana" w:hAnsi="Verdana"/>
                <w:sz w:val="14"/>
                <w:szCs w:val="14"/>
              </w:rPr>
              <w:t xml:space="preserve">       9.327.249.253,00 </w:t>
            </w:r>
          </w:p>
        </w:tc>
        <w:tc>
          <w:tcPr>
            <w:tcW w:w="1780" w:type="dxa"/>
            <w:tcBorders>
              <w:top w:val="nil"/>
              <w:left w:val="nil"/>
              <w:bottom w:val="single" w:sz="4" w:space="0" w:color="000000"/>
              <w:right w:val="single" w:sz="4" w:space="0" w:color="000000"/>
            </w:tcBorders>
            <w:shd w:val="clear" w:color="auto" w:fill="auto"/>
            <w:vAlign w:val="center"/>
          </w:tcPr>
          <w:p w14:paraId="25E608DE" w14:textId="77777777" w:rsidR="00907C81" w:rsidRPr="00167C33" w:rsidRDefault="00907C81" w:rsidP="00874B2D">
            <w:pPr>
              <w:jc w:val="right"/>
              <w:rPr>
                <w:rFonts w:ascii="Verdana" w:hAnsi="Verdana"/>
                <w:color w:val="000000"/>
                <w:sz w:val="14"/>
                <w:szCs w:val="14"/>
              </w:rPr>
            </w:pPr>
            <w:r w:rsidRPr="00167C33">
              <w:rPr>
                <w:rFonts w:ascii="Verdana" w:hAnsi="Verdana"/>
                <w:color w:val="000000"/>
                <w:sz w:val="14"/>
                <w:szCs w:val="14"/>
              </w:rPr>
              <w:t xml:space="preserve">                           0,00</w:t>
            </w:r>
          </w:p>
        </w:tc>
      </w:tr>
      <w:tr w:rsidR="00907C81" w:rsidRPr="00167C33" w14:paraId="3D1B776C" w14:textId="77777777" w:rsidTr="00874B2D">
        <w:trPr>
          <w:trHeight w:val="20"/>
          <w:jc w:val="center"/>
        </w:trPr>
        <w:tc>
          <w:tcPr>
            <w:tcW w:w="816" w:type="dxa"/>
            <w:tcBorders>
              <w:top w:val="nil"/>
              <w:left w:val="single" w:sz="4" w:space="0" w:color="000000"/>
              <w:bottom w:val="single" w:sz="4" w:space="0" w:color="000000"/>
              <w:right w:val="single" w:sz="4" w:space="0" w:color="000000"/>
            </w:tcBorders>
            <w:shd w:val="clear" w:color="auto" w:fill="FFFFFF"/>
            <w:vAlign w:val="center"/>
          </w:tcPr>
          <w:p w14:paraId="5E1B5AA3" w14:textId="77777777" w:rsidR="00907C81" w:rsidRPr="00167C33" w:rsidRDefault="00907C81" w:rsidP="00874B2D">
            <w:pPr>
              <w:jc w:val="center"/>
              <w:rPr>
                <w:rFonts w:ascii="Verdana" w:hAnsi="Verdana"/>
                <w:sz w:val="14"/>
                <w:szCs w:val="14"/>
              </w:rPr>
            </w:pPr>
            <w:r w:rsidRPr="00167C33">
              <w:rPr>
                <w:rFonts w:ascii="Verdana" w:hAnsi="Verdana"/>
                <w:sz w:val="14"/>
                <w:szCs w:val="14"/>
              </w:rPr>
              <w:t>270105</w:t>
            </w:r>
          </w:p>
        </w:tc>
        <w:tc>
          <w:tcPr>
            <w:tcW w:w="2415" w:type="dxa"/>
            <w:tcBorders>
              <w:top w:val="nil"/>
              <w:left w:val="nil"/>
              <w:bottom w:val="single" w:sz="4" w:space="0" w:color="000000"/>
              <w:right w:val="single" w:sz="4" w:space="0" w:color="000000"/>
            </w:tcBorders>
            <w:shd w:val="clear" w:color="auto" w:fill="auto"/>
            <w:vAlign w:val="center"/>
          </w:tcPr>
          <w:p w14:paraId="5A7100B2" w14:textId="77777777" w:rsidR="00907C81" w:rsidRPr="00167C33" w:rsidRDefault="00907C81" w:rsidP="00874B2D">
            <w:pPr>
              <w:rPr>
                <w:rFonts w:ascii="Verdana" w:hAnsi="Verdana"/>
                <w:color w:val="000000"/>
                <w:sz w:val="14"/>
                <w:szCs w:val="14"/>
              </w:rPr>
            </w:pPr>
            <w:r w:rsidRPr="00167C33">
              <w:rPr>
                <w:rFonts w:ascii="Verdana" w:hAnsi="Verdana"/>
                <w:color w:val="000000"/>
                <w:sz w:val="14"/>
                <w:szCs w:val="14"/>
              </w:rPr>
              <w:t>DEMANDAS EN CONTRA MOD ALTA LABORALES</w:t>
            </w:r>
          </w:p>
        </w:tc>
        <w:tc>
          <w:tcPr>
            <w:tcW w:w="1003" w:type="dxa"/>
            <w:tcBorders>
              <w:top w:val="nil"/>
              <w:left w:val="nil"/>
              <w:bottom w:val="single" w:sz="4" w:space="0" w:color="000000"/>
              <w:right w:val="single" w:sz="4" w:space="0" w:color="000000"/>
            </w:tcBorders>
            <w:shd w:val="clear" w:color="auto" w:fill="auto"/>
            <w:vAlign w:val="center"/>
          </w:tcPr>
          <w:p w14:paraId="3C349291" w14:textId="77777777" w:rsidR="00907C81" w:rsidRPr="00167C33" w:rsidRDefault="00907C81" w:rsidP="00874B2D">
            <w:pPr>
              <w:jc w:val="right"/>
              <w:rPr>
                <w:rFonts w:ascii="Verdana" w:hAnsi="Verdana"/>
                <w:color w:val="000000"/>
                <w:sz w:val="14"/>
                <w:szCs w:val="14"/>
              </w:rPr>
            </w:pPr>
            <w:r w:rsidRPr="00167C33">
              <w:rPr>
                <w:rFonts w:ascii="Verdana" w:hAnsi="Verdana"/>
                <w:color w:val="000000"/>
                <w:sz w:val="14"/>
                <w:szCs w:val="14"/>
              </w:rPr>
              <w:t>8</w:t>
            </w:r>
          </w:p>
        </w:tc>
        <w:tc>
          <w:tcPr>
            <w:tcW w:w="1378" w:type="dxa"/>
            <w:tcBorders>
              <w:top w:val="nil"/>
              <w:left w:val="nil"/>
              <w:bottom w:val="single" w:sz="4" w:space="0" w:color="000000"/>
              <w:right w:val="single" w:sz="4" w:space="0" w:color="000000"/>
            </w:tcBorders>
            <w:shd w:val="clear" w:color="auto" w:fill="auto"/>
            <w:vAlign w:val="center"/>
          </w:tcPr>
          <w:p w14:paraId="47E79FB7" w14:textId="77777777" w:rsidR="00907C81" w:rsidRPr="00167C33" w:rsidRDefault="00907C81" w:rsidP="00874B2D">
            <w:pPr>
              <w:jc w:val="right"/>
              <w:rPr>
                <w:rFonts w:ascii="Verdana" w:hAnsi="Verdana"/>
                <w:sz w:val="14"/>
                <w:szCs w:val="14"/>
              </w:rPr>
            </w:pPr>
            <w:r w:rsidRPr="00167C33">
              <w:rPr>
                <w:rFonts w:ascii="Verdana" w:hAnsi="Verdana"/>
                <w:sz w:val="14"/>
                <w:szCs w:val="14"/>
              </w:rPr>
              <w:t xml:space="preserve">          793.474.573,00 </w:t>
            </w:r>
          </w:p>
        </w:tc>
        <w:tc>
          <w:tcPr>
            <w:tcW w:w="1556" w:type="dxa"/>
            <w:tcBorders>
              <w:top w:val="nil"/>
              <w:left w:val="nil"/>
              <w:bottom w:val="single" w:sz="4" w:space="0" w:color="000000"/>
              <w:right w:val="single" w:sz="4" w:space="0" w:color="000000"/>
            </w:tcBorders>
            <w:shd w:val="clear" w:color="auto" w:fill="auto"/>
            <w:vAlign w:val="center"/>
          </w:tcPr>
          <w:p w14:paraId="1BE6FD8F" w14:textId="77777777" w:rsidR="00907C81" w:rsidRPr="00167C33" w:rsidRDefault="00907C81" w:rsidP="00874B2D">
            <w:pPr>
              <w:jc w:val="right"/>
              <w:rPr>
                <w:rFonts w:ascii="Verdana" w:hAnsi="Verdana"/>
                <w:sz w:val="14"/>
                <w:szCs w:val="14"/>
              </w:rPr>
            </w:pPr>
            <w:r w:rsidRPr="00167C33">
              <w:rPr>
                <w:rFonts w:ascii="Verdana" w:hAnsi="Verdana"/>
                <w:sz w:val="14"/>
                <w:szCs w:val="14"/>
              </w:rPr>
              <w:t xml:space="preserve">          793.474.573,00 </w:t>
            </w:r>
          </w:p>
        </w:tc>
        <w:tc>
          <w:tcPr>
            <w:tcW w:w="1780" w:type="dxa"/>
            <w:tcBorders>
              <w:top w:val="nil"/>
              <w:left w:val="nil"/>
              <w:bottom w:val="single" w:sz="4" w:space="0" w:color="000000"/>
              <w:right w:val="single" w:sz="4" w:space="0" w:color="000000"/>
            </w:tcBorders>
            <w:shd w:val="clear" w:color="auto" w:fill="auto"/>
            <w:vAlign w:val="center"/>
          </w:tcPr>
          <w:p w14:paraId="079A14C5" w14:textId="77777777" w:rsidR="00907C81" w:rsidRPr="00167C33" w:rsidRDefault="00907C81" w:rsidP="00874B2D">
            <w:pPr>
              <w:jc w:val="right"/>
              <w:rPr>
                <w:rFonts w:ascii="Verdana" w:hAnsi="Verdana"/>
                <w:color w:val="000000"/>
                <w:sz w:val="14"/>
                <w:szCs w:val="14"/>
              </w:rPr>
            </w:pPr>
            <w:r w:rsidRPr="00167C33">
              <w:rPr>
                <w:rFonts w:ascii="Verdana" w:hAnsi="Verdana"/>
                <w:color w:val="000000"/>
                <w:sz w:val="14"/>
                <w:szCs w:val="14"/>
              </w:rPr>
              <w:t xml:space="preserve">                               0,00 </w:t>
            </w:r>
          </w:p>
        </w:tc>
      </w:tr>
    </w:tbl>
    <w:p w14:paraId="61C14A5E" w14:textId="77777777" w:rsidR="00907C81" w:rsidRPr="004B31C5" w:rsidRDefault="00907C81" w:rsidP="00907C81">
      <w:pPr>
        <w:pBdr>
          <w:top w:val="nil"/>
          <w:left w:val="nil"/>
          <w:bottom w:val="nil"/>
          <w:right w:val="nil"/>
          <w:between w:val="nil"/>
        </w:pBdr>
        <w:jc w:val="both"/>
        <w:rPr>
          <w:rFonts w:ascii="Verdana" w:hAnsi="Verdana"/>
          <w:color w:val="000000"/>
          <w:sz w:val="16"/>
          <w:szCs w:val="16"/>
        </w:rPr>
      </w:pPr>
      <w:r>
        <w:rPr>
          <w:rFonts w:ascii="Verdana" w:hAnsi="Verdana"/>
          <w:i/>
          <w:color w:val="000000"/>
          <w:sz w:val="16"/>
          <w:szCs w:val="16"/>
        </w:rPr>
        <w:t xml:space="preserve">        </w:t>
      </w:r>
      <w:r w:rsidRPr="004B31C5">
        <w:rPr>
          <w:rFonts w:ascii="Verdana" w:hAnsi="Verdana"/>
          <w:i/>
          <w:color w:val="000000"/>
          <w:sz w:val="16"/>
          <w:szCs w:val="16"/>
        </w:rPr>
        <w:t>Fuente: Elaboración propia con base en reportes SIIF Nación</w:t>
      </w:r>
    </w:p>
    <w:p w14:paraId="4F4ED3B6" w14:textId="77777777" w:rsidR="00907C81" w:rsidRDefault="00907C81" w:rsidP="00907C81">
      <w:pPr>
        <w:widowControl/>
        <w:pBdr>
          <w:top w:val="nil"/>
          <w:left w:val="nil"/>
          <w:bottom w:val="nil"/>
          <w:right w:val="nil"/>
          <w:between w:val="nil"/>
        </w:pBdr>
        <w:autoSpaceDE/>
        <w:autoSpaceDN/>
        <w:spacing w:line="259" w:lineRule="auto"/>
        <w:ind w:left="720"/>
        <w:jc w:val="both"/>
        <w:rPr>
          <w:b/>
          <w:color w:val="000000"/>
          <w:sz w:val="24"/>
          <w:szCs w:val="24"/>
        </w:rPr>
      </w:pPr>
    </w:p>
    <w:p w14:paraId="1E1CC59C" w14:textId="77777777" w:rsidR="00907C81" w:rsidRPr="00D91474" w:rsidRDefault="00907C81" w:rsidP="00907C81">
      <w:pPr>
        <w:widowControl/>
        <w:numPr>
          <w:ilvl w:val="0"/>
          <w:numId w:val="28"/>
        </w:numPr>
        <w:pBdr>
          <w:top w:val="nil"/>
          <w:left w:val="nil"/>
          <w:bottom w:val="nil"/>
          <w:right w:val="nil"/>
          <w:between w:val="nil"/>
        </w:pBdr>
        <w:autoSpaceDE/>
        <w:autoSpaceDN/>
        <w:spacing w:after="160" w:line="259" w:lineRule="auto"/>
        <w:jc w:val="both"/>
        <w:rPr>
          <w:b/>
          <w:color w:val="000000"/>
          <w:sz w:val="24"/>
          <w:szCs w:val="24"/>
        </w:rPr>
      </w:pPr>
      <w:r w:rsidRPr="00D91474">
        <w:rPr>
          <w:b/>
          <w:color w:val="000000"/>
          <w:sz w:val="24"/>
          <w:szCs w:val="24"/>
        </w:rPr>
        <w:t>Administrativos</w:t>
      </w:r>
    </w:p>
    <w:p w14:paraId="50D5B901" w14:textId="77777777" w:rsidR="00907C81" w:rsidRPr="00D91474" w:rsidRDefault="00907C81" w:rsidP="00907C81">
      <w:pPr>
        <w:jc w:val="both"/>
        <w:rPr>
          <w:sz w:val="24"/>
          <w:szCs w:val="24"/>
        </w:rPr>
      </w:pPr>
      <w:r w:rsidRPr="00D91474">
        <w:rPr>
          <w:sz w:val="24"/>
          <w:szCs w:val="24"/>
        </w:rPr>
        <w:t xml:space="preserve">El saldo a 31 de diciembre de 2024 es de </w:t>
      </w:r>
      <w:r>
        <w:rPr>
          <w:sz w:val="24"/>
          <w:szCs w:val="24"/>
        </w:rPr>
        <w:t>$</w:t>
      </w:r>
      <w:r w:rsidRPr="00D91474">
        <w:rPr>
          <w:sz w:val="24"/>
          <w:szCs w:val="24"/>
        </w:rPr>
        <w:t xml:space="preserve">9.327.249.253, este valor corresponde a 13 procesos administrativos en curso de los cuales 7 procesos presentan valor cero en la provisión, presenta una variación positiva de </w:t>
      </w:r>
      <w:r>
        <w:rPr>
          <w:sz w:val="24"/>
          <w:szCs w:val="24"/>
        </w:rPr>
        <w:t>$</w:t>
      </w:r>
      <w:r w:rsidRPr="00D91474">
        <w:rPr>
          <w:sz w:val="24"/>
          <w:szCs w:val="24"/>
        </w:rPr>
        <w:t>8.005.346.309, detallada así:</w:t>
      </w:r>
    </w:p>
    <w:p w14:paraId="32273235" w14:textId="77777777" w:rsidR="00907C81" w:rsidRDefault="00907C81" w:rsidP="00907C81">
      <w:pPr>
        <w:jc w:val="both"/>
        <w:rPr>
          <w:sz w:val="24"/>
          <w:szCs w:val="24"/>
        </w:rPr>
      </w:pPr>
    </w:p>
    <w:p w14:paraId="24BDE2BD" w14:textId="77777777" w:rsidR="00907C81" w:rsidRDefault="00907C81" w:rsidP="00907C81">
      <w:pPr>
        <w:jc w:val="center"/>
        <w:rPr>
          <w:sz w:val="24"/>
          <w:szCs w:val="24"/>
        </w:rPr>
      </w:pPr>
      <w:r w:rsidRPr="006A0FBE">
        <w:rPr>
          <w:noProof/>
          <w:sz w:val="24"/>
          <w:szCs w:val="24"/>
          <w:lang w:val="es-CO" w:eastAsia="es-CO"/>
        </w:rPr>
        <w:lastRenderedPageBreak/>
        <w:drawing>
          <wp:inline distT="0" distB="0" distL="0" distR="0" wp14:anchorId="2A60D427" wp14:editId="5FB7B2C9">
            <wp:extent cx="5963482" cy="2600688"/>
            <wp:effectExtent l="0" t="0" r="0" b="9525"/>
            <wp:docPr id="1441286743" name="Imagen 144128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63482" cy="2600688"/>
                    </a:xfrm>
                    <a:prstGeom prst="rect">
                      <a:avLst/>
                    </a:prstGeom>
                  </pic:spPr>
                </pic:pic>
              </a:graphicData>
            </a:graphic>
          </wp:inline>
        </w:drawing>
      </w:r>
    </w:p>
    <w:p w14:paraId="23B02B14" w14:textId="77777777" w:rsidR="00907C81" w:rsidRDefault="00907C81" w:rsidP="00907C81">
      <w:pPr>
        <w:jc w:val="both"/>
        <w:rPr>
          <w:sz w:val="24"/>
          <w:szCs w:val="24"/>
        </w:rPr>
      </w:pPr>
    </w:p>
    <w:p w14:paraId="38715D82" w14:textId="77777777" w:rsidR="00907C81" w:rsidRPr="007D27BA" w:rsidRDefault="00907C81" w:rsidP="00907C81">
      <w:pPr>
        <w:widowControl/>
        <w:numPr>
          <w:ilvl w:val="0"/>
          <w:numId w:val="28"/>
        </w:numPr>
        <w:pBdr>
          <w:top w:val="nil"/>
          <w:left w:val="nil"/>
          <w:bottom w:val="nil"/>
          <w:right w:val="nil"/>
          <w:between w:val="nil"/>
        </w:pBdr>
        <w:autoSpaceDE/>
        <w:autoSpaceDN/>
        <w:spacing w:after="160" w:line="259" w:lineRule="auto"/>
        <w:jc w:val="both"/>
        <w:rPr>
          <w:b/>
          <w:color w:val="000000"/>
          <w:sz w:val="24"/>
          <w:szCs w:val="24"/>
        </w:rPr>
      </w:pPr>
      <w:r w:rsidRPr="007D27BA">
        <w:rPr>
          <w:b/>
          <w:color w:val="000000"/>
          <w:sz w:val="24"/>
          <w:szCs w:val="24"/>
        </w:rPr>
        <w:t>Laborales</w:t>
      </w:r>
    </w:p>
    <w:p w14:paraId="701D0363" w14:textId="77777777" w:rsidR="00907C81" w:rsidRPr="007D27BA" w:rsidRDefault="00907C81" w:rsidP="00907C81">
      <w:pPr>
        <w:pBdr>
          <w:top w:val="nil"/>
          <w:left w:val="nil"/>
          <w:bottom w:val="nil"/>
          <w:right w:val="nil"/>
          <w:between w:val="nil"/>
        </w:pBdr>
        <w:jc w:val="both"/>
        <w:rPr>
          <w:sz w:val="24"/>
          <w:szCs w:val="24"/>
        </w:rPr>
      </w:pPr>
      <w:r w:rsidRPr="007D27BA">
        <w:rPr>
          <w:sz w:val="24"/>
          <w:szCs w:val="24"/>
        </w:rPr>
        <w:t xml:space="preserve">A 31 de diciembre de 2024, la subcuenta Laborales refleja 8 procesos que se encuentran en conocimiento de la Jurisdicción Ordinaria Laboral con un saldo de </w:t>
      </w:r>
      <w:r>
        <w:rPr>
          <w:sz w:val="24"/>
          <w:szCs w:val="24"/>
        </w:rPr>
        <w:t>$</w:t>
      </w:r>
      <w:r w:rsidRPr="007D27BA">
        <w:rPr>
          <w:sz w:val="24"/>
          <w:szCs w:val="24"/>
        </w:rPr>
        <w:t>793.474.573, los cuales presentan una variación positiva de 8,66% respecto al año anterior, según el siguiente detalle:</w:t>
      </w:r>
    </w:p>
    <w:p w14:paraId="2417F1E4" w14:textId="77777777" w:rsidR="00907C81" w:rsidRDefault="00907C81" w:rsidP="00907C81">
      <w:pPr>
        <w:jc w:val="both"/>
        <w:rPr>
          <w:sz w:val="24"/>
          <w:szCs w:val="24"/>
        </w:rPr>
      </w:pPr>
    </w:p>
    <w:p w14:paraId="45A7744C" w14:textId="77777777" w:rsidR="00907C81" w:rsidRDefault="00907C81" w:rsidP="00907C81">
      <w:pPr>
        <w:jc w:val="center"/>
        <w:rPr>
          <w:sz w:val="24"/>
          <w:szCs w:val="24"/>
        </w:rPr>
      </w:pPr>
      <w:r w:rsidRPr="007D27BA">
        <w:rPr>
          <w:noProof/>
          <w:sz w:val="24"/>
          <w:szCs w:val="24"/>
          <w:lang w:val="es-CO" w:eastAsia="es-CO"/>
        </w:rPr>
        <w:drawing>
          <wp:inline distT="0" distB="0" distL="0" distR="0" wp14:anchorId="2552A1F6" wp14:editId="6E1C2525">
            <wp:extent cx="5839640" cy="2810267"/>
            <wp:effectExtent l="0" t="0" r="8890" b="9525"/>
            <wp:docPr id="1441286744" name="Imagen 144128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9640" cy="2810267"/>
                    </a:xfrm>
                    <a:prstGeom prst="rect">
                      <a:avLst/>
                    </a:prstGeom>
                  </pic:spPr>
                </pic:pic>
              </a:graphicData>
            </a:graphic>
          </wp:inline>
        </w:drawing>
      </w:r>
    </w:p>
    <w:p w14:paraId="4425517D" w14:textId="77777777" w:rsidR="00907C81" w:rsidRDefault="00907C81" w:rsidP="00907C81">
      <w:pPr>
        <w:jc w:val="both"/>
        <w:rPr>
          <w:sz w:val="24"/>
          <w:szCs w:val="24"/>
        </w:rPr>
      </w:pPr>
    </w:p>
    <w:p w14:paraId="66B405FE" w14:textId="77777777" w:rsidR="00907C81" w:rsidRDefault="00907C81" w:rsidP="00DC75AC">
      <w:pPr>
        <w:pStyle w:val="Textoindependiente"/>
        <w:ind w:right="49"/>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356DC75" w14:textId="77777777" w:rsidR="00907C81" w:rsidRDefault="00907C81" w:rsidP="00907C81">
      <w:pPr>
        <w:pStyle w:val="Textoindependiente"/>
        <w:ind w:right="-50"/>
        <w:jc w:val="both"/>
        <w:rPr>
          <w:b/>
          <w:sz w:val="28"/>
          <w:szCs w:val="28"/>
        </w:rPr>
      </w:pPr>
    </w:p>
    <w:p w14:paraId="56543FA8" w14:textId="77777777" w:rsidR="00907C81" w:rsidRPr="009B2CA9" w:rsidRDefault="00907C81" w:rsidP="00907C81">
      <w:pPr>
        <w:pStyle w:val="Textoindependiente"/>
        <w:ind w:left="-142" w:right="162"/>
        <w:jc w:val="center"/>
        <w:rPr>
          <w:b/>
        </w:rPr>
      </w:pPr>
      <w:r w:rsidRPr="009B2CA9">
        <w:rPr>
          <w:b/>
        </w:rPr>
        <w:t>Deudores Morosos del Estado del Nivel Nacional</w:t>
      </w:r>
    </w:p>
    <w:p w14:paraId="791AF0FC" w14:textId="77777777" w:rsidR="00907C81" w:rsidRPr="009B2CA9" w:rsidRDefault="00907C81" w:rsidP="00907C81">
      <w:pPr>
        <w:pStyle w:val="Textoindependiente"/>
        <w:ind w:left="-142" w:right="162"/>
        <w:jc w:val="center"/>
        <w:rPr>
          <w:b/>
        </w:rPr>
      </w:pPr>
      <w:r w:rsidRPr="009B2CA9">
        <w:rPr>
          <w:b/>
        </w:rPr>
        <w:t>Noviembre 30 de 202</w:t>
      </w:r>
      <w:r>
        <w:rPr>
          <w:b/>
        </w:rPr>
        <w:t>4</w:t>
      </w:r>
    </w:p>
    <w:p w14:paraId="199BF566" w14:textId="77777777" w:rsidR="00907C81" w:rsidRDefault="00907C81" w:rsidP="00907C81">
      <w:pPr>
        <w:pStyle w:val="Textoindependiente"/>
        <w:ind w:left="-142" w:right="162"/>
        <w:jc w:val="center"/>
        <w:rPr>
          <w:b/>
        </w:rPr>
      </w:pPr>
      <w:r w:rsidRPr="009B2CA9">
        <w:rPr>
          <w:b/>
        </w:rPr>
        <w:t>Cifras en miles de millones de pesos</w:t>
      </w:r>
    </w:p>
    <w:p w14:paraId="0F221BA8" w14:textId="77777777" w:rsidR="00907C81" w:rsidRDefault="00907C81" w:rsidP="00907C81">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907C81" w:rsidRPr="00F93D7B" w14:paraId="623EF745" w14:textId="77777777" w:rsidTr="00874B2D">
        <w:tc>
          <w:tcPr>
            <w:tcW w:w="3908" w:type="dxa"/>
            <w:vAlign w:val="center"/>
          </w:tcPr>
          <w:p w14:paraId="2A8BA817" w14:textId="77777777" w:rsidR="00907C81" w:rsidRPr="00F93D7B" w:rsidRDefault="00907C81" w:rsidP="00874B2D">
            <w:pPr>
              <w:pStyle w:val="Textoindependiente"/>
              <w:ind w:right="162"/>
              <w:jc w:val="center"/>
              <w:rPr>
                <w:b/>
                <w:sz w:val="18"/>
                <w:szCs w:val="18"/>
              </w:rPr>
            </w:pPr>
            <w:r w:rsidRPr="00F93D7B">
              <w:rPr>
                <w:b/>
                <w:sz w:val="18"/>
                <w:szCs w:val="18"/>
              </w:rPr>
              <w:t xml:space="preserve">DEUDORES MOROSOS DEL ESTADO </w:t>
            </w:r>
            <w:r w:rsidRPr="00F93D7B">
              <w:rPr>
                <w:b/>
                <w:sz w:val="18"/>
                <w:szCs w:val="18"/>
              </w:rPr>
              <w:lastRenderedPageBreak/>
              <w:t>POR TIPO DE PERSONA</w:t>
            </w:r>
          </w:p>
          <w:p w14:paraId="4ABC4CB4" w14:textId="77777777" w:rsidR="00907C81" w:rsidRPr="00F93D7B" w:rsidRDefault="00907C81" w:rsidP="00874B2D">
            <w:pPr>
              <w:pStyle w:val="Textoindependiente"/>
              <w:ind w:right="162"/>
              <w:jc w:val="center"/>
              <w:rPr>
                <w:b/>
                <w:sz w:val="18"/>
                <w:szCs w:val="18"/>
              </w:rPr>
            </w:pPr>
            <w:r w:rsidRPr="00F93D7B">
              <w:rPr>
                <w:b/>
                <w:sz w:val="18"/>
                <w:szCs w:val="18"/>
              </w:rPr>
              <w:t>NIVEL NACIONAL</w:t>
            </w:r>
          </w:p>
          <w:p w14:paraId="34D760C5" w14:textId="77777777" w:rsidR="00907C81" w:rsidRPr="00F93D7B" w:rsidRDefault="00907C81" w:rsidP="00874B2D">
            <w:pPr>
              <w:pStyle w:val="Textoindependiente"/>
              <w:ind w:right="162"/>
              <w:jc w:val="center"/>
              <w:rPr>
                <w:b/>
                <w:sz w:val="18"/>
                <w:szCs w:val="18"/>
              </w:rPr>
            </w:pPr>
          </w:p>
        </w:tc>
        <w:tc>
          <w:tcPr>
            <w:tcW w:w="3120" w:type="dxa"/>
            <w:vAlign w:val="center"/>
          </w:tcPr>
          <w:p w14:paraId="45A83511" w14:textId="77777777" w:rsidR="00907C81" w:rsidRPr="00F93D7B" w:rsidRDefault="00907C81" w:rsidP="00874B2D">
            <w:pPr>
              <w:pStyle w:val="Textoindependiente"/>
              <w:ind w:right="162"/>
              <w:jc w:val="center"/>
              <w:rPr>
                <w:b/>
                <w:sz w:val="18"/>
                <w:szCs w:val="18"/>
              </w:rPr>
            </w:pPr>
            <w:r w:rsidRPr="00F93D7B">
              <w:rPr>
                <w:b/>
                <w:sz w:val="18"/>
                <w:szCs w:val="18"/>
              </w:rPr>
              <w:lastRenderedPageBreak/>
              <w:t>N° DE PERSONAS</w:t>
            </w:r>
          </w:p>
        </w:tc>
        <w:tc>
          <w:tcPr>
            <w:tcW w:w="2939" w:type="dxa"/>
          </w:tcPr>
          <w:p w14:paraId="61089C4C" w14:textId="77777777" w:rsidR="00907C81" w:rsidRPr="00F93D7B" w:rsidRDefault="00907C81" w:rsidP="00874B2D">
            <w:pPr>
              <w:pStyle w:val="Textoindependiente"/>
              <w:ind w:right="162"/>
              <w:jc w:val="center"/>
              <w:rPr>
                <w:b/>
                <w:sz w:val="18"/>
                <w:szCs w:val="18"/>
              </w:rPr>
            </w:pPr>
            <w:r w:rsidRPr="00F93D7B">
              <w:rPr>
                <w:b/>
                <w:sz w:val="18"/>
                <w:szCs w:val="18"/>
              </w:rPr>
              <w:t xml:space="preserve">VALOR TOTAL POR TIPO DE </w:t>
            </w:r>
            <w:r w:rsidRPr="00F93D7B">
              <w:rPr>
                <w:b/>
                <w:sz w:val="18"/>
                <w:szCs w:val="18"/>
              </w:rPr>
              <w:lastRenderedPageBreak/>
              <w:t xml:space="preserve">PERSONA </w:t>
            </w:r>
          </w:p>
          <w:p w14:paraId="2261089F" w14:textId="77777777" w:rsidR="00907C81" w:rsidRPr="00F93D7B" w:rsidRDefault="00907C81" w:rsidP="00874B2D">
            <w:pPr>
              <w:pStyle w:val="Textoindependiente"/>
              <w:ind w:right="162"/>
              <w:jc w:val="center"/>
              <w:rPr>
                <w:b/>
                <w:sz w:val="18"/>
                <w:szCs w:val="18"/>
              </w:rPr>
            </w:pPr>
            <w:r w:rsidRPr="00F93D7B">
              <w:rPr>
                <w:b/>
                <w:sz w:val="18"/>
                <w:szCs w:val="18"/>
              </w:rPr>
              <w:t xml:space="preserve">DEUDORES MOROSOS DEL ESTADO </w:t>
            </w:r>
          </w:p>
          <w:p w14:paraId="7F947CA5" w14:textId="77777777" w:rsidR="00907C81" w:rsidRPr="00F93D7B" w:rsidRDefault="00907C81" w:rsidP="00874B2D">
            <w:pPr>
              <w:pStyle w:val="Textoindependiente"/>
              <w:ind w:right="162"/>
              <w:jc w:val="center"/>
              <w:rPr>
                <w:b/>
                <w:sz w:val="18"/>
                <w:szCs w:val="18"/>
              </w:rPr>
            </w:pPr>
            <w:r w:rsidRPr="00F93D7B">
              <w:rPr>
                <w:b/>
                <w:sz w:val="18"/>
                <w:szCs w:val="18"/>
              </w:rPr>
              <w:t>NIVEL NACIONAL</w:t>
            </w:r>
          </w:p>
          <w:p w14:paraId="7E7ED1AE" w14:textId="77777777" w:rsidR="00907C81" w:rsidRPr="00F93D7B" w:rsidRDefault="00907C81" w:rsidP="00874B2D">
            <w:pPr>
              <w:pStyle w:val="Textoindependiente"/>
              <w:ind w:right="162"/>
              <w:jc w:val="center"/>
              <w:rPr>
                <w:b/>
                <w:sz w:val="18"/>
                <w:szCs w:val="18"/>
              </w:rPr>
            </w:pPr>
          </w:p>
        </w:tc>
      </w:tr>
      <w:tr w:rsidR="00907C81" w:rsidRPr="00F93D7B" w14:paraId="4DEE23EC" w14:textId="77777777" w:rsidTr="00874B2D">
        <w:tc>
          <w:tcPr>
            <w:tcW w:w="3908" w:type="dxa"/>
          </w:tcPr>
          <w:p w14:paraId="24A10409" w14:textId="77777777" w:rsidR="00907C81" w:rsidRPr="00F93D7B" w:rsidRDefault="00907C81" w:rsidP="00874B2D">
            <w:pPr>
              <w:pStyle w:val="Textoindependiente"/>
              <w:ind w:right="162"/>
              <w:jc w:val="center"/>
              <w:rPr>
                <w:b/>
                <w:sz w:val="18"/>
                <w:szCs w:val="18"/>
              </w:rPr>
            </w:pPr>
            <w:r w:rsidRPr="00F93D7B">
              <w:rPr>
                <w:b/>
                <w:sz w:val="18"/>
                <w:szCs w:val="18"/>
              </w:rPr>
              <w:lastRenderedPageBreak/>
              <w:t>NATURALES</w:t>
            </w:r>
          </w:p>
          <w:p w14:paraId="50248B4F" w14:textId="77777777" w:rsidR="00907C81" w:rsidRPr="00F93D7B" w:rsidRDefault="00907C81" w:rsidP="00874B2D">
            <w:pPr>
              <w:pStyle w:val="Textoindependiente"/>
              <w:ind w:right="162"/>
              <w:jc w:val="center"/>
              <w:rPr>
                <w:b/>
                <w:sz w:val="18"/>
                <w:szCs w:val="18"/>
              </w:rPr>
            </w:pPr>
          </w:p>
        </w:tc>
        <w:tc>
          <w:tcPr>
            <w:tcW w:w="3120" w:type="dxa"/>
          </w:tcPr>
          <w:p w14:paraId="25013ED3" w14:textId="77777777" w:rsidR="00907C81" w:rsidRPr="00F93D7B" w:rsidRDefault="00907C81" w:rsidP="00874B2D">
            <w:pPr>
              <w:pStyle w:val="Textoindependiente"/>
              <w:ind w:right="162"/>
              <w:jc w:val="center"/>
              <w:rPr>
                <w:sz w:val="18"/>
                <w:szCs w:val="18"/>
              </w:rPr>
            </w:pPr>
            <w:r>
              <w:rPr>
                <w:sz w:val="18"/>
                <w:szCs w:val="18"/>
              </w:rPr>
              <w:t>1</w:t>
            </w:r>
          </w:p>
        </w:tc>
        <w:tc>
          <w:tcPr>
            <w:tcW w:w="2939" w:type="dxa"/>
          </w:tcPr>
          <w:p w14:paraId="3BD3F86C" w14:textId="77777777" w:rsidR="00907C81" w:rsidRPr="00F93D7B" w:rsidRDefault="00907C81" w:rsidP="00874B2D">
            <w:pPr>
              <w:pStyle w:val="Textoindependiente"/>
              <w:ind w:right="162"/>
              <w:jc w:val="right"/>
              <w:rPr>
                <w:sz w:val="18"/>
                <w:szCs w:val="18"/>
              </w:rPr>
            </w:pPr>
            <w:r w:rsidRPr="00F93D7B">
              <w:rPr>
                <w:sz w:val="18"/>
                <w:szCs w:val="18"/>
              </w:rPr>
              <w:t>$</w:t>
            </w:r>
            <w:r>
              <w:rPr>
                <w:sz w:val="18"/>
                <w:szCs w:val="18"/>
              </w:rPr>
              <w:t>84.250</w:t>
            </w:r>
          </w:p>
        </w:tc>
      </w:tr>
      <w:tr w:rsidR="00907C81" w:rsidRPr="00F93D7B" w14:paraId="7ECBEC3A" w14:textId="77777777" w:rsidTr="00874B2D">
        <w:tc>
          <w:tcPr>
            <w:tcW w:w="3908" w:type="dxa"/>
          </w:tcPr>
          <w:p w14:paraId="43E4E2A9" w14:textId="77777777" w:rsidR="00907C81" w:rsidRPr="00F93D7B" w:rsidRDefault="00907C81" w:rsidP="00874B2D">
            <w:pPr>
              <w:pStyle w:val="Textoindependiente"/>
              <w:ind w:right="162"/>
              <w:jc w:val="center"/>
              <w:rPr>
                <w:b/>
                <w:sz w:val="18"/>
                <w:szCs w:val="18"/>
              </w:rPr>
            </w:pPr>
            <w:r w:rsidRPr="00F93D7B">
              <w:rPr>
                <w:b/>
                <w:sz w:val="18"/>
                <w:szCs w:val="18"/>
              </w:rPr>
              <w:t>JURIDICAS</w:t>
            </w:r>
          </w:p>
        </w:tc>
        <w:tc>
          <w:tcPr>
            <w:tcW w:w="3120" w:type="dxa"/>
          </w:tcPr>
          <w:p w14:paraId="3ED843A3" w14:textId="77777777" w:rsidR="00907C81" w:rsidRPr="00F93D7B" w:rsidRDefault="00907C81" w:rsidP="00874B2D">
            <w:pPr>
              <w:pStyle w:val="Textoindependiente"/>
              <w:ind w:right="162"/>
              <w:jc w:val="center"/>
              <w:rPr>
                <w:sz w:val="18"/>
                <w:szCs w:val="18"/>
              </w:rPr>
            </w:pPr>
            <w:r>
              <w:rPr>
                <w:sz w:val="18"/>
                <w:szCs w:val="18"/>
              </w:rPr>
              <w:t>1</w:t>
            </w:r>
          </w:p>
        </w:tc>
        <w:tc>
          <w:tcPr>
            <w:tcW w:w="2939" w:type="dxa"/>
          </w:tcPr>
          <w:p w14:paraId="09A7A0AE" w14:textId="77777777" w:rsidR="00907C81" w:rsidRPr="00F93D7B" w:rsidRDefault="00907C81" w:rsidP="00874B2D">
            <w:pPr>
              <w:pStyle w:val="Textoindependiente"/>
              <w:ind w:right="162"/>
              <w:jc w:val="right"/>
              <w:rPr>
                <w:sz w:val="18"/>
                <w:szCs w:val="18"/>
              </w:rPr>
            </w:pPr>
            <w:r w:rsidRPr="00F93D7B">
              <w:rPr>
                <w:sz w:val="18"/>
                <w:szCs w:val="18"/>
              </w:rPr>
              <w:t>$</w:t>
            </w:r>
            <w:r>
              <w:rPr>
                <w:sz w:val="18"/>
                <w:szCs w:val="18"/>
              </w:rPr>
              <w:t>13.559</w:t>
            </w:r>
          </w:p>
        </w:tc>
      </w:tr>
      <w:tr w:rsidR="00907C81" w:rsidRPr="00F93D7B" w14:paraId="471D9590" w14:textId="77777777" w:rsidTr="00874B2D">
        <w:tc>
          <w:tcPr>
            <w:tcW w:w="3908" w:type="dxa"/>
          </w:tcPr>
          <w:p w14:paraId="70327609" w14:textId="77777777" w:rsidR="00907C81" w:rsidRPr="00F93D7B" w:rsidRDefault="00907C81"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5AE738F8" w14:textId="77777777" w:rsidR="00907C81" w:rsidRPr="00F93D7B" w:rsidRDefault="00907C81" w:rsidP="00874B2D">
            <w:pPr>
              <w:pStyle w:val="Textoindependiente"/>
              <w:ind w:right="162"/>
              <w:jc w:val="center"/>
              <w:rPr>
                <w:b/>
                <w:sz w:val="18"/>
                <w:szCs w:val="18"/>
                <w:u w:val="single"/>
              </w:rPr>
            </w:pPr>
            <w:r>
              <w:rPr>
                <w:b/>
                <w:sz w:val="18"/>
                <w:szCs w:val="18"/>
                <w:u w:val="single"/>
              </w:rPr>
              <w:t>2</w:t>
            </w:r>
          </w:p>
        </w:tc>
        <w:tc>
          <w:tcPr>
            <w:tcW w:w="2939" w:type="dxa"/>
          </w:tcPr>
          <w:p w14:paraId="73816C1D" w14:textId="77777777" w:rsidR="00907C81" w:rsidRPr="00F93D7B" w:rsidRDefault="00907C81"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97.809</w:t>
            </w:r>
          </w:p>
        </w:tc>
      </w:tr>
    </w:tbl>
    <w:p w14:paraId="54FF870F" w14:textId="77777777" w:rsidR="00907C81" w:rsidRPr="00B54567" w:rsidRDefault="00907C81" w:rsidP="00907C81">
      <w:pPr>
        <w:pStyle w:val="Textoindependiente"/>
        <w:spacing w:before="92"/>
        <w:ind w:left="257" w:right="176"/>
        <w:jc w:val="both"/>
        <w:rPr>
          <w:b/>
        </w:rPr>
      </w:pPr>
    </w:p>
    <w:p w14:paraId="69ED2ACE" w14:textId="77777777" w:rsidR="00907C81" w:rsidRDefault="00907C81" w:rsidP="00907C81">
      <w:pPr>
        <w:pStyle w:val="Textoindependiente"/>
        <w:ind w:right="-50"/>
        <w:jc w:val="both"/>
        <w:rPr>
          <w:b/>
        </w:rPr>
      </w:pPr>
      <w:r w:rsidRPr="00B54567">
        <w:rPr>
          <w:b/>
        </w:rPr>
        <w:t xml:space="preserve">- CORRECCIÓN DE ERRORES DEL PERIODO CONTABLE ANTERIOR. </w:t>
      </w:r>
    </w:p>
    <w:p w14:paraId="4A90114E" w14:textId="77777777" w:rsidR="00907C81" w:rsidRDefault="00907C81" w:rsidP="00907C81">
      <w:pPr>
        <w:pStyle w:val="Textoindependiente"/>
        <w:ind w:right="-50"/>
        <w:jc w:val="both"/>
        <w:rPr>
          <w:b/>
        </w:rPr>
      </w:pPr>
    </w:p>
    <w:p w14:paraId="13F4A977" w14:textId="77777777" w:rsidR="00907C81" w:rsidRDefault="00907C81" w:rsidP="00907C81">
      <w:pPr>
        <w:pBdr>
          <w:top w:val="nil"/>
          <w:left w:val="nil"/>
          <w:bottom w:val="nil"/>
          <w:right w:val="nil"/>
          <w:between w:val="nil"/>
        </w:pBdr>
        <w:tabs>
          <w:tab w:val="left" w:pos="0"/>
        </w:tabs>
        <w:jc w:val="both"/>
        <w:rPr>
          <w:rFonts w:eastAsia="Verdana"/>
          <w:color w:val="000000"/>
          <w:sz w:val="24"/>
          <w:szCs w:val="24"/>
        </w:rPr>
      </w:pPr>
      <w:r w:rsidRPr="001D402D">
        <w:rPr>
          <w:b/>
          <w:sz w:val="28"/>
          <w:szCs w:val="28"/>
        </w:rPr>
        <w:t>De informe presentado por la entidad sobre corrección de errores a 31 de diciembre de 2024, retomamos lo siguiente:</w:t>
      </w:r>
      <w:r>
        <w:rPr>
          <w:b/>
          <w:sz w:val="28"/>
          <w:szCs w:val="28"/>
        </w:rPr>
        <w:t xml:space="preserve"> </w:t>
      </w:r>
      <w:r w:rsidRPr="00D93153">
        <w:rPr>
          <w:bCs/>
          <w:sz w:val="24"/>
          <w:szCs w:val="24"/>
        </w:rPr>
        <w:t xml:space="preserve">(…) </w:t>
      </w:r>
      <w:r w:rsidRPr="00D93153">
        <w:rPr>
          <w:rFonts w:eastAsia="Verdana"/>
          <w:color w:val="000000"/>
          <w:sz w:val="24"/>
          <w:szCs w:val="24"/>
        </w:rPr>
        <w:t>El Fondo Adaptación efectuó ajustes de corrección de errores, por un monto de $124.893.590.582,76 durante la vigencia 2024. Como resultado, la entidad reexpresó los estados financieros del año 2023, aplicando la Guía de Comprobantes Contables de Ajustes a Periodos Bajo Convergencia. La reexpresión, que asciende a $96.797.112.357,27, implicó el ajuste de las partidas correspondientes a la clase 15 - Inventarios y 55 - Gasto Público Social. El excedente de $28.096.478.225,49, no se consideran ajustes materiales.</w:t>
      </w:r>
    </w:p>
    <w:p w14:paraId="2C1602B0" w14:textId="77777777" w:rsidR="00907C81" w:rsidRPr="00D93153" w:rsidRDefault="00907C81" w:rsidP="00907C81">
      <w:pPr>
        <w:pBdr>
          <w:top w:val="nil"/>
          <w:left w:val="nil"/>
          <w:bottom w:val="nil"/>
          <w:right w:val="nil"/>
          <w:between w:val="nil"/>
        </w:pBdr>
        <w:tabs>
          <w:tab w:val="left" w:pos="0"/>
        </w:tabs>
        <w:jc w:val="both"/>
        <w:rPr>
          <w:rFonts w:eastAsia="Verdana"/>
          <w:color w:val="000000"/>
          <w:sz w:val="24"/>
          <w:szCs w:val="24"/>
        </w:rPr>
      </w:pPr>
    </w:p>
    <w:p w14:paraId="6371E636" w14:textId="77777777" w:rsidR="00907C81" w:rsidRDefault="00907C81" w:rsidP="00907C81">
      <w:pPr>
        <w:pBdr>
          <w:top w:val="nil"/>
          <w:left w:val="nil"/>
          <w:bottom w:val="nil"/>
          <w:right w:val="nil"/>
          <w:between w:val="nil"/>
        </w:pBdr>
        <w:tabs>
          <w:tab w:val="left" w:pos="0"/>
        </w:tabs>
        <w:jc w:val="both"/>
        <w:rPr>
          <w:rFonts w:eastAsia="Verdana"/>
          <w:color w:val="000000"/>
          <w:sz w:val="24"/>
          <w:szCs w:val="24"/>
        </w:rPr>
      </w:pPr>
      <w:r w:rsidRPr="00D93153">
        <w:rPr>
          <w:rFonts w:eastAsia="Verdana"/>
          <w:color w:val="000000"/>
          <w:sz w:val="24"/>
          <w:szCs w:val="24"/>
        </w:rPr>
        <w:t>A continuación, se presentan los ajustes efectuados por la entidad durante el año 2024, con el saldo del grupo al que pertenece la cuenta que origina el ajuste.</w:t>
      </w:r>
    </w:p>
    <w:p w14:paraId="2399A260" w14:textId="77777777" w:rsidR="00907C81" w:rsidRDefault="00907C81" w:rsidP="00907C81">
      <w:pPr>
        <w:pBdr>
          <w:top w:val="nil"/>
          <w:left w:val="nil"/>
          <w:bottom w:val="nil"/>
          <w:right w:val="nil"/>
          <w:between w:val="nil"/>
        </w:pBdr>
        <w:tabs>
          <w:tab w:val="left" w:pos="0"/>
        </w:tabs>
        <w:jc w:val="both"/>
        <w:rPr>
          <w:rFonts w:eastAsia="Verdana"/>
          <w:color w:val="000000"/>
          <w:sz w:val="24"/>
          <w:szCs w:val="24"/>
        </w:rPr>
      </w:pPr>
    </w:p>
    <w:p w14:paraId="57F700E9" w14:textId="77777777" w:rsidR="00907C81" w:rsidRDefault="00907C81" w:rsidP="00907C81">
      <w:pPr>
        <w:pBdr>
          <w:top w:val="nil"/>
          <w:left w:val="nil"/>
          <w:bottom w:val="nil"/>
          <w:right w:val="nil"/>
          <w:between w:val="nil"/>
        </w:pBdr>
        <w:tabs>
          <w:tab w:val="left" w:pos="0"/>
        </w:tabs>
        <w:jc w:val="center"/>
        <w:rPr>
          <w:rFonts w:eastAsia="Verdana"/>
          <w:color w:val="000000"/>
          <w:sz w:val="24"/>
          <w:szCs w:val="24"/>
        </w:rPr>
      </w:pPr>
      <w:r w:rsidRPr="00E914EB">
        <w:rPr>
          <w:rFonts w:eastAsia="Verdana"/>
          <w:noProof/>
          <w:color w:val="000000"/>
          <w:sz w:val="24"/>
          <w:szCs w:val="24"/>
          <w:lang w:val="es-CO" w:eastAsia="es-CO"/>
        </w:rPr>
        <w:drawing>
          <wp:inline distT="0" distB="0" distL="0" distR="0" wp14:anchorId="48C9E0EC" wp14:editId="03C6878B">
            <wp:extent cx="5706271" cy="2581635"/>
            <wp:effectExtent l="0" t="0" r="8890" b="9525"/>
            <wp:docPr id="1441286745" name="Imagen 144128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6271" cy="2581635"/>
                    </a:xfrm>
                    <a:prstGeom prst="rect">
                      <a:avLst/>
                    </a:prstGeom>
                  </pic:spPr>
                </pic:pic>
              </a:graphicData>
            </a:graphic>
          </wp:inline>
        </w:drawing>
      </w:r>
    </w:p>
    <w:p w14:paraId="39EAC1C9" w14:textId="77777777" w:rsidR="00907C81" w:rsidRDefault="00907C81" w:rsidP="00907C81">
      <w:pPr>
        <w:pBdr>
          <w:top w:val="nil"/>
          <w:left w:val="nil"/>
          <w:bottom w:val="nil"/>
          <w:right w:val="nil"/>
          <w:between w:val="nil"/>
        </w:pBdr>
        <w:tabs>
          <w:tab w:val="left" w:pos="0"/>
        </w:tabs>
        <w:jc w:val="both"/>
        <w:rPr>
          <w:rFonts w:eastAsia="Verdana"/>
          <w:color w:val="000000"/>
          <w:sz w:val="24"/>
          <w:szCs w:val="24"/>
        </w:rPr>
      </w:pPr>
    </w:p>
    <w:p w14:paraId="7E191F5F" w14:textId="77777777" w:rsidR="00907C81" w:rsidRDefault="00907C81" w:rsidP="00907C81">
      <w:pPr>
        <w:pStyle w:val="Textoindependiente"/>
        <w:ind w:right="-50"/>
        <w:jc w:val="both"/>
        <w:rPr>
          <w:b/>
        </w:rPr>
      </w:pPr>
      <w:r w:rsidRPr="00B54567">
        <w:rPr>
          <w:b/>
        </w:rPr>
        <w:t xml:space="preserve">- DEPURACIÓN DE OPERACIONES RECÍPROCAS. </w:t>
      </w:r>
    </w:p>
    <w:p w14:paraId="24D57A2C" w14:textId="77777777" w:rsidR="00907C81" w:rsidRDefault="00907C81" w:rsidP="00907C81">
      <w:pPr>
        <w:pStyle w:val="Textoindependiente"/>
        <w:ind w:right="-50"/>
        <w:jc w:val="both"/>
        <w:rPr>
          <w:b/>
        </w:rPr>
      </w:pPr>
    </w:p>
    <w:p w14:paraId="2CBCAACD" w14:textId="77777777" w:rsidR="00907C81" w:rsidRDefault="00907C81" w:rsidP="00907C81">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5CF13285" w14:textId="77777777" w:rsidR="00907C81" w:rsidRDefault="00907C81" w:rsidP="00907C81">
      <w:pPr>
        <w:pStyle w:val="Textoindependiente"/>
        <w:ind w:right="-50"/>
        <w:jc w:val="both"/>
        <w:rPr>
          <w:b/>
          <w:bCs/>
        </w:rPr>
      </w:pPr>
      <w:r>
        <w:rPr>
          <w:b/>
          <w:bCs/>
          <w:sz w:val="28"/>
          <w:szCs w:val="28"/>
        </w:rPr>
        <w:t xml:space="preserve"> </w:t>
      </w:r>
    </w:p>
    <w:p w14:paraId="2C2BED10" w14:textId="77777777" w:rsidR="00907C81" w:rsidRDefault="00907C81" w:rsidP="00907C81">
      <w:pPr>
        <w:pStyle w:val="Textoindependiente"/>
        <w:ind w:right="-50"/>
        <w:jc w:val="both"/>
        <w:rPr>
          <w:b/>
          <w:bCs/>
        </w:rPr>
      </w:pPr>
      <w:r>
        <w:rPr>
          <w:b/>
          <w:bCs/>
        </w:rPr>
        <w:t>DEL INFORME DE GESTIÓN PROCESO DE CONCILIACIÓN DE SALDOS DE OPERACIONES RECIPROCAS, retomamos lo siguiente:</w:t>
      </w:r>
    </w:p>
    <w:p w14:paraId="1F4115B8" w14:textId="77777777" w:rsidR="00907C81" w:rsidRPr="004C007F" w:rsidRDefault="00907C81" w:rsidP="00907C81">
      <w:pPr>
        <w:pStyle w:val="Textoindependiente"/>
        <w:numPr>
          <w:ilvl w:val="0"/>
          <w:numId w:val="29"/>
        </w:numPr>
        <w:ind w:right="-50"/>
        <w:jc w:val="both"/>
      </w:pPr>
      <w:r>
        <w:rPr>
          <w:b/>
          <w:bCs/>
        </w:rPr>
        <w:lastRenderedPageBreak/>
        <w:t xml:space="preserve">ACTIVIDADES REALIZADAS: </w:t>
      </w:r>
      <w:r>
        <w:t>Se circularizó a través de correo electrónico los saldos de operaciones reciprocas con corte a diciembre de 2024.</w:t>
      </w:r>
    </w:p>
    <w:p w14:paraId="1EEAE898" w14:textId="77777777" w:rsidR="00907C81" w:rsidRDefault="00907C81" w:rsidP="00907C81">
      <w:pPr>
        <w:pStyle w:val="Textoindependiente"/>
        <w:ind w:right="-50"/>
        <w:jc w:val="both"/>
        <w:rPr>
          <w:b/>
          <w:bCs/>
          <w:sz w:val="28"/>
          <w:szCs w:val="28"/>
        </w:rPr>
      </w:pPr>
    </w:p>
    <w:p w14:paraId="34E9E443" w14:textId="77777777" w:rsidR="00907C81" w:rsidRDefault="00907C81" w:rsidP="00907C81">
      <w:pPr>
        <w:pStyle w:val="Textoindependiente"/>
        <w:ind w:right="-50"/>
        <w:jc w:val="both"/>
      </w:pPr>
      <w:r>
        <w:t>En el correo enviado a las entidades de la circularización de operaciones recíprocas se remite el formato 7-GCC-F-01-Conciliación Cuentas Recíprocas implementado por el Fondo Adaptación, o el formato solicitado por las otras Entidades o, correo u oficio remitido con la partida reportada (algunas Entidades no acostumbran a firmar los formatos que los demás les envían), donde se relacionan los saldos producto de las transacciones efectuadas entre las partes para verificación y, se remiten los documentos soporte (Acta de entrega de bienes, resoluciones, detalle de las cuentas por tercero de los saldos que componen la cuenta contable generada del SIIF, entre otros). En caso de presentar diferencias, se solicitan los respectivos soportes para revisión, análisis y proceder a realizar los ajustes correspondientes.</w:t>
      </w:r>
    </w:p>
    <w:p w14:paraId="0BE6BE67" w14:textId="77777777" w:rsidR="00907C81" w:rsidRDefault="00907C81" w:rsidP="00907C81">
      <w:pPr>
        <w:pStyle w:val="Textoindependiente"/>
        <w:ind w:right="-50"/>
        <w:jc w:val="both"/>
      </w:pPr>
    </w:p>
    <w:p w14:paraId="2E2323A6" w14:textId="77777777" w:rsidR="00907C81" w:rsidRDefault="00907C81" w:rsidP="00907C81">
      <w:pPr>
        <w:pStyle w:val="Textoindependiente"/>
        <w:ind w:right="-50"/>
        <w:jc w:val="both"/>
      </w:pPr>
      <w:r>
        <w:t>A continuación, se relacionan las entidades a las cuales el Fondo Adaptación circularizó los saldos de operaciones reciprocas con corte 31 de diciembre de 2024, así:</w:t>
      </w:r>
    </w:p>
    <w:p w14:paraId="151B73EB" w14:textId="77777777" w:rsidR="00907C81" w:rsidRDefault="00907C81" w:rsidP="00907C81">
      <w:pPr>
        <w:pStyle w:val="Textoindependiente"/>
        <w:ind w:right="-50"/>
        <w:jc w:val="both"/>
      </w:pPr>
    </w:p>
    <w:p w14:paraId="593AC554" w14:textId="77777777" w:rsidR="00907C81" w:rsidRDefault="00907C81" w:rsidP="00907C81">
      <w:pPr>
        <w:pStyle w:val="Textoindependiente"/>
        <w:ind w:right="-50"/>
        <w:jc w:val="both"/>
      </w:pPr>
      <w:r>
        <w:t xml:space="preserve">- MUNICIPIO DE SANTA LUCIA. </w:t>
      </w:r>
    </w:p>
    <w:p w14:paraId="3EB101E1" w14:textId="77777777" w:rsidR="00907C81" w:rsidRDefault="00907C81" w:rsidP="00907C81">
      <w:pPr>
        <w:pStyle w:val="Textoindependiente"/>
        <w:ind w:right="-50"/>
        <w:jc w:val="both"/>
      </w:pPr>
      <w:r>
        <w:t xml:space="preserve">- MUNICIPIO DE CAMPO DE LA CRUZ </w:t>
      </w:r>
    </w:p>
    <w:p w14:paraId="27A1F0D4" w14:textId="77777777" w:rsidR="00907C81" w:rsidRDefault="00907C81" w:rsidP="00907C81">
      <w:pPr>
        <w:pStyle w:val="Textoindependiente"/>
        <w:ind w:right="-50"/>
        <w:jc w:val="both"/>
      </w:pPr>
      <w:r>
        <w:t xml:space="preserve">- FINANCIERA DE DESARROLLO TERRITORIAL S. A. </w:t>
      </w:r>
    </w:p>
    <w:p w14:paraId="0AA0B190" w14:textId="77777777" w:rsidR="00907C81" w:rsidRDefault="00907C81" w:rsidP="00907C81">
      <w:pPr>
        <w:pStyle w:val="Textoindependiente"/>
        <w:ind w:right="-50"/>
        <w:jc w:val="both"/>
      </w:pPr>
      <w:r>
        <w:t xml:space="preserve">- FINDETER </w:t>
      </w:r>
    </w:p>
    <w:p w14:paraId="51C88BCC" w14:textId="77777777" w:rsidR="00907C81" w:rsidRDefault="00907C81" w:rsidP="00907C81">
      <w:pPr>
        <w:pStyle w:val="Textoindependiente"/>
        <w:ind w:right="-50"/>
        <w:jc w:val="both"/>
      </w:pPr>
      <w:r>
        <w:t xml:space="preserve">- DIAN – RECAUDADOR </w:t>
      </w:r>
    </w:p>
    <w:p w14:paraId="15A7EA94" w14:textId="77777777" w:rsidR="00907C81" w:rsidRDefault="00907C81" w:rsidP="00907C81">
      <w:pPr>
        <w:pStyle w:val="Textoindependiente"/>
        <w:ind w:right="-50"/>
        <w:jc w:val="both"/>
      </w:pPr>
      <w:r>
        <w:t xml:space="preserve">- INSTITUTO NACIONAL DE VIAS </w:t>
      </w:r>
    </w:p>
    <w:p w14:paraId="65DEDE98" w14:textId="77777777" w:rsidR="00907C81" w:rsidRDefault="00907C81" w:rsidP="00907C81">
      <w:pPr>
        <w:pStyle w:val="Textoindependiente"/>
        <w:ind w:right="-50"/>
        <w:jc w:val="both"/>
      </w:pPr>
      <w:r>
        <w:t xml:space="preserve">- LA PREVISORA S A COMPAÑIA DE SEGUROS </w:t>
      </w:r>
    </w:p>
    <w:p w14:paraId="320E5B37" w14:textId="77777777" w:rsidR="00907C81" w:rsidRDefault="00907C81" w:rsidP="00907C81">
      <w:pPr>
        <w:pStyle w:val="Textoindependiente"/>
        <w:ind w:right="-50"/>
        <w:jc w:val="both"/>
      </w:pPr>
      <w:r>
        <w:t xml:space="preserve">- FIDUCIARIA LA PREVISORA S. A. </w:t>
      </w:r>
    </w:p>
    <w:p w14:paraId="6BCE1954" w14:textId="77777777" w:rsidR="00907C81" w:rsidRDefault="00907C81" w:rsidP="00907C81">
      <w:pPr>
        <w:pStyle w:val="Textoindependiente"/>
        <w:ind w:right="-50"/>
        <w:jc w:val="both"/>
      </w:pPr>
      <w:r>
        <w:t xml:space="preserve">- UNIVERSIDAD DEL QUINDIO </w:t>
      </w:r>
    </w:p>
    <w:p w14:paraId="5CAEAF3D" w14:textId="77777777" w:rsidR="00907C81" w:rsidRDefault="00907C81" w:rsidP="00907C81">
      <w:pPr>
        <w:pStyle w:val="Textoindependiente"/>
        <w:ind w:right="-50"/>
        <w:jc w:val="both"/>
      </w:pPr>
      <w:r>
        <w:t xml:space="preserve">- DEPARTAMENTO DEL ATLANTICO </w:t>
      </w:r>
    </w:p>
    <w:p w14:paraId="34859D97" w14:textId="77777777" w:rsidR="00907C81" w:rsidRDefault="00907C81" w:rsidP="00907C81">
      <w:pPr>
        <w:pStyle w:val="Textoindependiente"/>
        <w:ind w:right="-50"/>
        <w:jc w:val="both"/>
      </w:pPr>
      <w:r>
        <w:t xml:space="preserve">- UNIVERSIDAD DEL ATLANTICO </w:t>
      </w:r>
    </w:p>
    <w:p w14:paraId="04FB68F3" w14:textId="77777777" w:rsidR="00907C81" w:rsidRDefault="00907C81" w:rsidP="00907C81">
      <w:pPr>
        <w:pStyle w:val="Textoindependiente"/>
        <w:ind w:right="-50"/>
        <w:jc w:val="both"/>
      </w:pPr>
      <w:r>
        <w:t xml:space="preserve">- MUNICIPIO DE SAN ESTANISLAO </w:t>
      </w:r>
    </w:p>
    <w:p w14:paraId="3BF5E381" w14:textId="77777777" w:rsidR="00907C81" w:rsidRDefault="00907C81" w:rsidP="00907C81">
      <w:pPr>
        <w:pStyle w:val="Textoindependiente"/>
        <w:ind w:right="-50"/>
        <w:jc w:val="both"/>
      </w:pPr>
      <w:r>
        <w:t xml:space="preserve">- MUNICIPIO DE VENECIA CUNDINAMARCA </w:t>
      </w:r>
    </w:p>
    <w:p w14:paraId="6325B2AA" w14:textId="77777777" w:rsidR="00907C81" w:rsidRDefault="00907C81" w:rsidP="00907C81">
      <w:pPr>
        <w:pStyle w:val="Textoindependiente"/>
        <w:ind w:right="-50"/>
        <w:jc w:val="both"/>
      </w:pPr>
      <w:r>
        <w:t xml:space="preserve">- DEPARTAMENTO DE ANTIOQUIA </w:t>
      </w:r>
    </w:p>
    <w:p w14:paraId="384405B1" w14:textId="77777777" w:rsidR="00907C81" w:rsidRDefault="00907C81" w:rsidP="00907C81">
      <w:pPr>
        <w:pStyle w:val="Textoindependiente"/>
        <w:ind w:right="-50"/>
        <w:jc w:val="both"/>
      </w:pPr>
      <w:r>
        <w:t xml:space="preserve">- TURBO - MUNICIPIO DE SANTA ANA </w:t>
      </w:r>
    </w:p>
    <w:p w14:paraId="249B1A4A" w14:textId="77777777" w:rsidR="00907C81" w:rsidRDefault="00907C81" w:rsidP="00907C81">
      <w:pPr>
        <w:pStyle w:val="Textoindependiente"/>
        <w:ind w:right="-50"/>
        <w:jc w:val="both"/>
      </w:pPr>
      <w:r>
        <w:t xml:space="preserve">- MUNICIPIO DE CHIMICHAGUA </w:t>
      </w:r>
    </w:p>
    <w:p w14:paraId="6D4C4B31" w14:textId="77777777" w:rsidR="00907C81" w:rsidRDefault="00907C81" w:rsidP="00907C81">
      <w:pPr>
        <w:pStyle w:val="Textoindependiente"/>
        <w:ind w:right="-50"/>
        <w:jc w:val="both"/>
      </w:pPr>
      <w:r>
        <w:t xml:space="preserve">- SERVICIO NACIONAL DE APRENDIZAJE </w:t>
      </w:r>
    </w:p>
    <w:p w14:paraId="22ED8D7D" w14:textId="77777777" w:rsidR="00907C81" w:rsidRDefault="00907C81" w:rsidP="00907C81">
      <w:pPr>
        <w:pStyle w:val="Textoindependiente"/>
        <w:ind w:right="-50"/>
        <w:jc w:val="both"/>
      </w:pPr>
      <w:r>
        <w:t xml:space="preserve">- BOGOTA DISTRITO CAPITAL </w:t>
      </w:r>
    </w:p>
    <w:p w14:paraId="0E59C376" w14:textId="77777777" w:rsidR="00907C81" w:rsidRDefault="00907C81" w:rsidP="00907C81">
      <w:pPr>
        <w:pStyle w:val="Textoindependiente"/>
        <w:ind w:right="-50"/>
        <w:jc w:val="both"/>
      </w:pPr>
      <w:r>
        <w:t xml:space="preserve">- CONTRALORIA GENERAL DE LA REPUBLICA </w:t>
      </w:r>
    </w:p>
    <w:p w14:paraId="24AC518C" w14:textId="77777777" w:rsidR="00907C81" w:rsidRDefault="00907C81" w:rsidP="00907C81">
      <w:pPr>
        <w:pStyle w:val="Textoindependiente"/>
        <w:ind w:right="-50"/>
        <w:jc w:val="both"/>
      </w:pPr>
      <w:r>
        <w:t xml:space="preserve">- TESORO NACIONAL </w:t>
      </w:r>
    </w:p>
    <w:p w14:paraId="01C12CDF" w14:textId="77777777" w:rsidR="00907C81" w:rsidRDefault="00907C81" w:rsidP="00907C81">
      <w:pPr>
        <w:pStyle w:val="Textoindependiente"/>
        <w:ind w:right="-50"/>
        <w:jc w:val="both"/>
      </w:pPr>
      <w:r>
        <w:t xml:space="preserve">- INSTITUTO COLOMBIANO DE BIENESTAR FAMILIAR </w:t>
      </w:r>
    </w:p>
    <w:p w14:paraId="6AE325A6" w14:textId="77777777" w:rsidR="00907C81" w:rsidRDefault="00907C81" w:rsidP="00907C81">
      <w:pPr>
        <w:pStyle w:val="Textoindependiente"/>
        <w:ind w:right="-50"/>
        <w:jc w:val="both"/>
      </w:pPr>
      <w:r>
        <w:t xml:space="preserve">- SERVICIOS POSTALES NACIONALES S.A.S </w:t>
      </w:r>
    </w:p>
    <w:p w14:paraId="27284BD1" w14:textId="77777777" w:rsidR="00907C81" w:rsidRDefault="00907C81" w:rsidP="00907C81">
      <w:pPr>
        <w:pStyle w:val="Textoindependiente"/>
        <w:ind w:right="-50"/>
        <w:jc w:val="both"/>
        <w:rPr>
          <w:b/>
          <w:bCs/>
          <w:sz w:val="28"/>
          <w:szCs w:val="28"/>
        </w:rPr>
      </w:pPr>
      <w:r>
        <w:t>- UNE EPM TELECOMUNICACIONES S.A.</w:t>
      </w:r>
    </w:p>
    <w:p w14:paraId="4FF15ABB" w14:textId="77777777" w:rsidR="00907C81" w:rsidRPr="001F562B" w:rsidRDefault="00907C81" w:rsidP="00907C81">
      <w:pPr>
        <w:pStyle w:val="Textoindependiente"/>
        <w:ind w:right="-50"/>
        <w:jc w:val="both"/>
      </w:pPr>
    </w:p>
    <w:p w14:paraId="79328E8C" w14:textId="77777777" w:rsidR="00907C81" w:rsidRDefault="00907C81" w:rsidP="00907C81">
      <w:pPr>
        <w:pStyle w:val="Textoindependiente"/>
        <w:ind w:right="-50"/>
        <w:jc w:val="both"/>
      </w:pPr>
      <w:r>
        <w:t>(…) A continuación, se relaciona el informe de operaciones recíprocas presentado a la Contaduría General de la Nación-CGN, con corte a 30 de septiembre de 2024:</w:t>
      </w:r>
    </w:p>
    <w:p w14:paraId="2393902A" w14:textId="77777777" w:rsidR="00907C81" w:rsidRDefault="00907C81" w:rsidP="00907C81">
      <w:pPr>
        <w:pStyle w:val="Textoindependiente"/>
        <w:ind w:right="-50"/>
        <w:jc w:val="both"/>
      </w:pPr>
    </w:p>
    <w:p w14:paraId="6F0E661C" w14:textId="77777777" w:rsidR="00907C81" w:rsidRDefault="00907C81" w:rsidP="00907C81">
      <w:pPr>
        <w:pStyle w:val="Textoindependiente"/>
        <w:ind w:right="-50"/>
        <w:jc w:val="center"/>
      </w:pPr>
      <w:r w:rsidRPr="001F562B">
        <w:rPr>
          <w:noProof/>
          <w:lang w:val="es-CO" w:eastAsia="es-CO"/>
        </w:rPr>
        <w:lastRenderedPageBreak/>
        <w:drawing>
          <wp:inline distT="0" distB="0" distL="0" distR="0" wp14:anchorId="724A8FBF" wp14:editId="317991B1">
            <wp:extent cx="5801535" cy="1819529"/>
            <wp:effectExtent l="0" t="0" r="8890" b="9525"/>
            <wp:docPr id="1441286746" name="Imagen 144128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01535" cy="1819529"/>
                    </a:xfrm>
                    <a:prstGeom prst="rect">
                      <a:avLst/>
                    </a:prstGeom>
                  </pic:spPr>
                </pic:pic>
              </a:graphicData>
            </a:graphic>
          </wp:inline>
        </w:drawing>
      </w:r>
    </w:p>
    <w:p w14:paraId="16702B9F" w14:textId="77777777" w:rsidR="00907C81" w:rsidRDefault="00907C81" w:rsidP="00907C81">
      <w:pPr>
        <w:pStyle w:val="Textoindependiente"/>
        <w:ind w:right="-50"/>
        <w:jc w:val="center"/>
      </w:pPr>
      <w:r w:rsidRPr="001F562B">
        <w:rPr>
          <w:noProof/>
          <w:lang w:val="es-CO" w:eastAsia="es-CO"/>
        </w:rPr>
        <w:lastRenderedPageBreak/>
        <w:drawing>
          <wp:inline distT="0" distB="0" distL="0" distR="0" wp14:anchorId="1FD6FE28" wp14:editId="15E1099E">
            <wp:extent cx="6143625" cy="7963535"/>
            <wp:effectExtent l="0" t="0" r="9525" b="0"/>
            <wp:docPr id="1441286747" name="Imagen 144128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43996" cy="7964016"/>
                    </a:xfrm>
                    <a:prstGeom prst="rect">
                      <a:avLst/>
                    </a:prstGeom>
                  </pic:spPr>
                </pic:pic>
              </a:graphicData>
            </a:graphic>
          </wp:inline>
        </w:drawing>
      </w:r>
    </w:p>
    <w:p w14:paraId="68463885" w14:textId="77777777" w:rsidR="00907C81" w:rsidRDefault="00907C81" w:rsidP="00907C81">
      <w:pPr>
        <w:pStyle w:val="Textoindependiente"/>
        <w:ind w:right="-50"/>
        <w:jc w:val="both"/>
      </w:pPr>
    </w:p>
    <w:p w14:paraId="68F32446" w14:textId="77777777" w:rsidR="00907C81" w:rsidRPr="001F562B" w:rsidRDefault="00907C81" w:rsidP="00907C81">
      <w:pPr>
        <w:pStyle w:val="Textoindependiente"/>
        <w:ind w:right="-50"/>
        <w:jc w:val="center"/>
      </w:pPr>
      <w:r w:rsidRPr="001F562B">
        <w:rPr>
          <w:noProof/>
          <w:lang w:val="es-CO" w:eastAsia="es-CO"/>
        </w:rPr>
        <w:lastRenderedPageBreak/>
        <w:drawing>
          <wp:inline distT="0" distB="0" distL="0" distR="0" wp14:anchorId="753AB801" wp14:editId="68B1F4BF">
            <wp:extent cx="6134100" cy="3019425"/>
            <wp:effectExtent l="0" t="0" r="0" b="9525"/>
            <wp:docPr id="1441286748" name="Imagen 144128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34961" cy="3019849"/>
                    </a:xfrm>
                    <a:prstGeom prst="rect">
                      <a:avLst/>
                    </a:prstGeom>
                  </pic:spPr>
                </pic:pic>
              </a:graphicData>
            </a:graphic>
          </wp:inline>
        </w:drawing>
      </w:r>
    </w:p>
    <w:p w14:paraId="52C38917" w14:textId="77777777" w:rsidR="00907C81" w:rsidRPr="001F562B" w:rsidRDefault="00907C81" w:rsidP="00907C81">
      <w:pPr>
        <w:pStyle w:val="Textoindependiente"/>
        <w:ind w:right="-50"/>
        <w:jc w:val="both"/>
      </w:pPr>
    </w:p>
    <w:p w14:paraId="326F1445" w14:textId="77777777" w:rsidR="00907C81" w:rsidRPr="001D402D" w:rsidRDefault="00907C81" w:rsidP="00907C81">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6A695788" w14:textId="77777777" w:rsidR="00907C81" w:rsidRDefault="00907C81" w:rsidP="00907C81">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907C81" w:rsidRPr="00E648AF" w14:paraId="7BEEF4A5" w14:textId="77777777" w:rsidTr="00874B2D">
        <w:tc>
          <w:tcPr>
            <w:tcW w:w="4981" w:type="dxa"/>
          </w:tcPr>
          <w:p w14:paraId="664FECA6" w14:textId="77777777" w:rsidR="00907C81" w:rsidRPr="00E648AF" w:rsidRDefault="00907C81" w:rsidP="00874B2D">
            <w:pPr>
              <w:jc w:val="center"/>
              <w:rPr>
                <w:b/>
                <w:sz w:val="24"/>
                <w:szCs w:val="24"/>
                <w:lang w:val="es-MX"/>
              </w:rPr>
            </w:pPr>
            <w:r w:rsidRPr="00E648AF">
              <w:rPr>
                <w:b/>
                <w:sz w:val="24"/>
                <w:szCs w:val="24"/>
                <w:lang w:val="es-MX"/>
              </w:rPr>
              <w:t>AUTOCALIFICACIÓN</w:t>
            </w:r>
          </w:p>
        </w:tc>
        <w:tc>
          <w:tcPr>
            <w:tcW w:w="4981" w:type="dxa"/>
          </w:tcPr>
          <w:p w14:paraId="233679E4" w14:textId="77777777" w:rsidR="00907C81" w:rsidRPr="00E648AF" w:rsidRDefault="00907C81"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61</w:t>
            </w:r>
          </w:p>
        </w:tc>
      </w:tr>
    </w:tbl>
    <w:p w14:paraId="192C4F76" w14:textId="77777777" w:rsidR="00907C81" w:rsidRDefault="00907C81" w:rsidP="00907C81">
      <w:pPr>
        <w:pStyle w:val="Textoindependiente"/>
        <w:ind w:right="-50"/>
        <w:jc w:val="both"/>
        <w:rPr>
          <w:b/>
          <w:bCs/>
          <w:sz w:val="28"/>
          <w:szCs w:val="28"/>
        </w:rPr>
      </w:pPr>
    </w:p>
    <w:p w14:paraId="53F11C89" w14:textId="77777777" w:rsidR="00907C81" w:rsidRDefault="00907C81" w:rsidP="00907C81">
      <w:pPr>
        <w:pStyle w:val="Textoindependiente"/>
        <w:ind w:right="-50"/>
        <w:jc w:val="both"/>
        <w:rPr>
          <w:b/>
          <w:bCs/>
          <w:sz w:val="28"/>
          <w:szCs w:val="28"/>
        </w:rPr>
      </w:pPr>
      <w:r>
        <w:rPr>
          <w:b/>
          <w:bCs/>
          <w:sz w:val="28"/>
          <w:szCs w:val="28"/>
        </w:rPr>
        <w:t>Del informe enviado retomamos lo siguiente:</w:t>
      </w:r>
    </w:p>
    <w:p w14:paraId="63E09639" w14:textId="77777777" w:rsidR="00907C81" w:rsidRDefault="00907C81" w:rsidP="00907C81">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907C81" w:rsidRPr="00740FF1" w14:paraId="1F626E7E" w14:textId="77777777" w:rsidTr="00874B2D">
        <w:tc>
          <w:tcPr>
            <w:tcW w:w="562" w:type="dxa"/>
          </w:tcPr>
          <w:p w14:paraId="39EFFC79" w14:textId="77777777" w:rsidR="00907C81" w:rsidRPr="00740FF1" w:rsidRDefault="00907C81" w:rsidP="00874B2D">
            <w:pPr>
              <w:ind w:right="-109"/>
              <w:jc w:val="center"/>
              <w:rPr>
                <w:b/>
                <w:sz w:val="20"/>
                <w:szCs w:val="20"/>
                <w:lang w:val="es-MX"/>
              </w:rPr>
            </w:pPr>
            <w:r w:rsidRPr="00740FF1">
              <w:rPr>
                <w:b/>
                <w:sz w:val="20"/>
                <w:szCs w:val="20"/>
                <w:lang w:val="es-MX"/>
              </w:rPr>
              <w:t>N°</w:t>
            </w:r>
          </w:p>
        </w:tc>
        <w:tc>
          <w:tcPr>
            <w:tcW w:w="9400" w:type="dxa"/>
          </w:tcPr>
          <w:p w14:paraId="46B579C9" w14:textId="77777777" w:rsidR="00907C81" w:rsidRPr="00E648AF" w:rsidRDefault="00907C81" w:rsidP="00874B2D">
            <w:pPr>
              <w:jc w:val="center"/>
              <w:rPr>
                <w:b/>
                <w:sz w:val="24"/>
                <w:szCs w:val="24"/>
                <w:lang w:val="es-MX"/>
              </w:rPr>
            </w:pPr>
            <w:r w:rsidRPr="00E648AF">
              <w:rPr>
                <w:b/>
                <w:sz w:val="24"/>
                <w:szCs w:val="24"/>
                <w:lang w:val="es-MX"/>
              </w:rPr>
              <w:t>DEBILIDADES</w:t>
            </w:r>
          </w:p>
          <w:p w14:paraId="3B0DE6F7" w14:textId="77777777" w:rsidR="00907C81" w:rsidRPr="00740FF1" w:rsidRDefault="00907C81" w:rsidP="00874B2D">
            <w:pPr>
              <w:jc w:val="center"/>
              <w:rPr>
                <w:b/>
                <w:sz w:val="20"/>
                <w:szCs w:val="20"/>
                <w:lang w:val="es-MX"/>
              </w:rPr>
            </w:pPr>
          </w:p>
        </w:tc>
      </w:tr>
      <w:tr w:rsidR="00907C81" w:rsidRPr="00740FF1" w14:paraId="59199D5C" w14:textId="77777777" w:rsidTr="00874B2D">
        <w:tc>
          <w:tcPr>
            <w:tcW w:w="562" w:type="dxa"/>
          </w:tcPr>
          <w:p w14:paraId="1E35ACAB" w14:textId="77777777" w:rsidR="00907C81" w:rsidRPr="00740FF1" w:rsidRDefault="00907C81" w:rsidP="00874B2D">
            <w:pPr>
              <w:jc w:val="center"/>
              <w:rPr>
                <w:b/>
                <w:sz w:val="20"/>
                <w:szCs w:val="20"/>
                <w:lang w:val="es-MX"/>
              </w:rPr>
            </w:pPr>
            <w:r w:rsidRPr="00740FF1">
              <w:rPr>
                <w:b/>
                <w:sz w:val="20"/>
                <w:szCs w:val="20"/>
                <w:lang w:val="es-MX"/>
              </w:rPr>
              <w:t>1</w:t>
            </w:r>
          </w:p>
        </w:tc>
        <w:tc>
          <w:tcPr>
            <w:tcW w:w="9400" w:type="dxa"/>
          </w:tcPr>
          <w:p w14:paraId="0C2DEE3F" w14:textId="77777777" w:rsidR="00907C81" w:rsidRPr="00C655E3" w:rsidRDefault="00907C81" w:rsidP="00874B2D">
            <w:pPr>
              <w:jc w:val="both"/>
              <w:rPr>
                <w:bCs/>
                <w:sz w:val="20"/>
                <w:szCs w:val="20"/>
                <w:lang w:val="es-MX"/>
              </w:rPr>
            </w:pPr>
            <w:r w:rsidRPr="00C655E3">
              <w:rPr>
                <w:bCs/>
                <w:sz w:val="20"/>
                <w:szCs w:val="20"/>
                <w:lang w:val="es-MX"/>
              </w:rPr>
              <w:t>Se presentan debilidades en la elaboración de las conciliaciones de las cuentas contables, en aspectos relacionados con la información y la fecha del periodo conciliable.</w:t>
            </w:r>
          </w:p>
        </w:tc>
      </w:tr>
      <w:tr w:rsidR="00907C81" w:rsidRPr="00740FF1" w14:paraId="2ED96F87" w14:textId="77777777" w:rsidTr="00874B2D">
        <w:tc>
          <w:tcPr>
            <w:tcW w:w="562" w:type="dxa"/>
          </w:tcPr>
          <w:p w14:paraId="46B6AE49" w14:textId="77777777" w:rsidR="00907C81" w:rsidRPr="00740FF1" w:rsidRDefault="00907C81" w:rsidP="00874B2D">
            <w:pPr>
              <w:jc w:val="center"/>
              <w:rPr>
                <w:b/>
                <w:sz w:val="20"/>
                <w:szCs w:val="20"/>
                <w:lang w:val="es-MX"/>
              </w:rPr>
            </w:pPr>
            <w:r w:rsidRPr="00740FF1">
              <w:rPr>
                <w:b/>
                <w:sz w:val="20"/>
                <w:szCs w:val="20"/>
                <w:lang w:val="es-MX"/>
              </w:rPr>
              <w:t>2</w:t>
            </w:r>
          </w:p>
        </w:tc>
        <w:tc>
          <w:tcPr>
            <w:tcW w:w="9400" w:type="dxa"/>
          </w:tcPr>
          <w:p w14:paraId="6948F485" w14:textId="77777777" w:rsidR="00907C81" w:rsidRPr="00C655E3" w:rsidRDefault="00907C81" w:rsidP="00874B2D">
            <w:pPr>
              <w:jc w:val="both"/>
              <w:rPr>
                <w:bCs/>
                <w:sz w:val="20"/>
                <w:szCs w:val="20"/>
                <w:lang w:val="es-MX"/>
              </w:rPr>
            </w:pPr>
            <w:r w:rsidRPr="00C655E3">
              <w:rPr>
                <w:bCs/>
                <w:sz w:val="20"/>
                <w:szCs w:val="20"/>
                <w:lang w:val="es-MX"/>
              </w:rPr>
              <w:t>En el sistema de indicadores que permitan medir de forma adecuada la gestión del proceso contable, toda vez que los indicadores formulados miden eficacia y no la efectividad del proceso.</w:t>
            </w:r>
          </w:p>
        </w:tc>
      </w:tr>
      <w:tr w:rsidR="00907C81" w:rsidRPr="00740FF1" w14:paraId="364DB182" w14:textId="77777777" w:rsidTr="00874B2D">
        <w:tc>
          <w:tcPr>
            <w:tcW w:w="562" w:type="dxa"/>
          </w:tcPr>
          <w:p w14:paraId="66986662" w14:textId="77777777" w:rsidR="00907C81" w:rsidRPr="00740FF1" w:rsidRDefault="00907C81" w:rsidP="00874B2D">
            <w:pPr>
              <w:jc w:val="center"/>
              <w:rPr>
                <w:b/>
                <w:sz w:val="20"/>
                <w:szCs w:val="20"/>
                <w:lang w:val="es-MX"/>
              </w:rPr>
            </w:pPr>
            <w:r w:rsidRPr="00740FF1">
              <w:rPr>
                <w:b/>
                <w:sz w:val="20"/>
                <w:szCs w:val="20"/>
                <w:lang w:val="es-MX"/>
              </w:rPr>
              <w:t>3</w:t>
            </w:r>
          </w:p>
        </w:tc>
        <w:tc>
          <w:tcPr>
            <w:tcW w:w="9400" w:type="dxa"/>
          </w:tcPr>
          <w:p w14:paraId="7F9C9D5B" w14:textId="77777777" w:rsidR="00907C81" w:rsidRPr="00C655E3" w:rsidRDefault="00907C81" w:rsidP="00874B2D">
            <w:pPr>
              <w:jc w:val="both"/>
              <w:rPr>
                <w:bCs/>
                <w:sz w:val="20"/>
                <w:szCs w:val="20"/>
                <w:lang w:val="es-MX"/>
              </w:rPr>
            </w:pPr>
            <w:r w:rsidRPr="00C655E3">
              <w:rPr>
                <w:bCs/>
                <w:sz w:val="20"/>
                <w:szCs w:val="20"/>
                <w:lang w:val="es-MX"/>
              </w:rPr>
              <w:t>En la oportunidad para realizar algunos registros contables, especialmente los relacionados con la cuenta 1.5.05 Construcciones, se evidenció registro de obras entregadas en periodos anteriores.</w:t>
            </w:r>
          </w:p>
        </w:tc>
      </w:tr>
      <w:tr w:rsidR="00907C81" w:rsidRPr="00740FF1" w14:paraId="08A348FF" w14:textId="77777777" w:rsidTr="00874B2D">
        <w:tc>
          <w:tcPr>
            <w:tcW w:w="562" w:type="dxa"/>
          </w:tcPr>
          <w:p w14:paraId="5D9F8F08" w14:textId="77777777" w:rsidR="00907C81" w:rsidRPr="00740FF1" w:rsidRDefault="00907C81" w:rsidP="00874B2D">
            <w:pPr>
              <w:jc w:val="center"/>
              <w:rPr>
                <w:b/>
                <w:sz w:val="20"/>
                <w:szCs w:val="20"/>
                <w:lang w:val="es-MX"/>
              </w:rPr>
            </w:pPr>
            <w:r w:rsidRPr="00740FF1">
              <w:rPr>
                <w:b/>
                <w:sz w:val="20"/>
                <w:szCs w:val="20"/>
                <w:lang w:val="es-MX"/>
              </w:rPr>
              <w:t>4</w:t>
            </w:r>
          </w:p>
        </w:tc>
        <w:tc>
          <w:tcPr>
            <w:tcW w:w="9400" w:type="dxa"/>
          </w:tcPr>
          <w:p w14:paraId="4D3F18B2" w14:textId="77777777" w:rsidR="00907C81" w:rsidRPr="00C655E3" w:rsidRDefault="00907C81" w:rsidP="00874B2D">
            <w:pPr>
              <w:jc w:val="both"/>
              <w:rPr>
                <w:bCs/>
                <w:sz w:val="20"/>
                <w:szCs w:val="20"/>
                <w:lang w:val="es-MX"/>
              </w:rPr>
            </w:pPr>
            <w:r w:rsidRPr="00C655E3">
              <w:rPr>
                <w:bCs/>
                <w:sz w:val="20"/>
                <w:szCs w:val="20"/>
                <w:lang w:val="es-MX"/>
              </w:rPr>
              <w:t>En la información contenida en el acta de toma física de inventarios no permite la validación de propiedad, planta y equipo, ya que se encuentra mezclada con los bienes de consumo controlado.</w:t>
            </w:r>
          </w:p>
        </w:tc>
      </w:tr>
      <w:tr w:rsidR="00907C81" w:rsidRPr="00740FF1" w14:paraId="68411894" w14:textId="77777777" w:rsidTr="00874B2D">
        <w:tc>
          <w:tcPr>
            <w:tcW w:w="562" w:type="dxa"/>
          </w:tcPr>
          <w:p w14:paraId="7B341A6D" w14:textId="77777777" w:rsidR="00907C81" w:rsidRPr="00740FF1" w:rsidRDefault="00907C81" w:rsidP="00874B2D">
            <w:pPr>
              <w:jc w:val="center"/>
              <w:rPr>
                <w:b/>
                <w:sz w:val="20"/>
                <w:szCs w:val="20"/>
                <w:lang w:val="es-MX"/>
              </w:rPr>
            </w:pPr>
            <w:r>
              <w:rPr>
                <w:b/>
                <w:sz w:val="20"/>
                <w:szCs w:val="20"/>
                <w:lang w:val="es-MX"/>
              </w:rPr>
              <w:t>5</w:t>
            </w:r>
          </w:p>
        </w:tc>
        <w:tc>
          <w:tcPr>
            <w:tcW w:w="9400" w:type="dxa"/>
          </w:tcPr>
          <w:p w14:paraId="18E6C5DB" w14:textId="77777777" w:rsidR="00907C81" w:rsidRPr="00C655E3" w:rsidRDefault="00907C81" w:rsidP="00874B2D">
            <w:pPr>
              <w:jc w:val="both"/>
              <w:rPr>
                <w:bCs/>
                <w:sz w:val="20"/>
                <w:szCs w:val="20"/>
                <w:lang w:val="es-MX"/>
              </w:rPr>
            </w:pPr>
            <w:r w:rsidRPr="00C655E3">
              <w:rPr>
                <w:bCs/>
                <w:sz w:val="20"/>
                <w:szCs w:val="20"/>
                <w:lang w:val="es-MX"/>
              </w:rPr>
              <w:t>Debilidad en las conciliaciones de Operaciones Recíprocas, se evidenció actas sin firma, falta de circularización.</w:t>
            </w:r>
          </w:p>
        </w:tc>
      </w:tr>
      <w:tr w:rsidR="00907C81" w:rsidRPr="00740FF1" w14:paraId="3E3758AC" w14:textId="77777777" w:rsidTr="00874B2D">
        <w:tc>
          <w:tcPr>
            <w:tcW w:w="562" w:type="dxa"/>
          </w:tcPr>
          <w:p w14:paraId="2458E48C" w14:textId="77777777" w:rsidR="00907C81" w:rsidRPr="00740FF1" w:rsidRDefault="00907C81" w:rsidP="00874B2D">
            <w:pPr>
              <w:jc w:val="center"/>
              <w:rPr>
                <w:b/>
                <w:sz w:val="20"/>
                <w:szCs w:val="20"/>
                <w:lang w:val="es-MX"/>
              </w:rPr>
            </w:pPr>
            <w:r>
              <w:rPr>
                <w:b/>
                <w:sz w:val="20"/>
                <w:szCs w:val="20"/>
                <w:lang w:val="es-MX"/>
              </w:rPr>
              <w:t>6</w:t>
            </w:r>
          </w:p>
        </w:tc>
        <w:tc>
          <w:tcPr>
            <w:tcW w:w="9400" w:type="dxa"/>
          </w:tcPr>
          <w:p w14:paraId="01448F3A" w14:textId="77777777" w:rsidR="00907C81" w:rsidRPr="00C655E3" w:rsidRDefault="00907C81" w:rsidP="00874B2D">
            <w:pPr>
              <w:jc w:val="both"/>
              <w:rPr>
                <w:bCs/>
                <w:sz w:val="20"/>
                <w:szCs w:val="20"/>
                <w:lang w:val="es-MX"/>
              </w:rPr>
            </w:pPr>
            <w:r w:rsidRPr="00C655E3">
              <w:rPr>
                <w:bCs/>
                <w:sz w:val="20"/>
                <w:szCs w:val="20"/>
                <w:lang w:val="es-MX"/>
              </w:rPr>
              <w:t>El manual para manejo de bienes es de fecha 2019, se recomienda actualizarlo con la nueva normatividad.</w:t>
            </w:r>
          </w:p>
        </w:tc>
      </w:tr>
    </w:tbl>
    <w:p w14:paraId="6C518597" w14:textId="77777777" w:rsidR="00907C81" w:rsidRDefault="00907C81" w:rsidP="00907C81">
      <w:pPr>
        <w:pStyle w:val="Textoindependiente"/>
        <w:ind w:right="-50"/>
        <w:jc w:val="both"/>
        <w:rPr>
          <w:b/>
          <w:bCs/>
          <w:sz w:val="28"/>
          <w:szCs w:val="28"/>
        </w:rPr>
      </w:pPr>
    </w:p>
    <w:p w14:paraId="0E7EE59F" w14:textId="77777777" w:rsidR="00907C81" w:rsidRDefault="00907C81" w:rsidP="00907C81">
      <w:pPr>
        <w:jc w:val="both"/>
        <w:rPr>
          <w:b/>
          <w:sz w:val="28"/>
          <w:szCs w:val="28"/>
          <w:lang w:val="es-MX"/>
        </w:rPr>
      </w:pPr>
      <w:r>
        <w:rPr>
          <w:b/>
          <w:sz w:val="28"/>
          <w:szCs w:val="28"/>
          <w:lang w:val="es-MX"/>
        </w:rPr>
        <w:t>Del citado informe retomamos las siguientes recomendaciones:</w:t>
      </w:r>
    </w:p>
    <w:p w14:paraId="353BD0AA" w14:textId="77777777" w:rsidR="00907C81" w:rsidRPr="008F6555" w:rsidRDefault="00907C81" w:rsidP="00907C81">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907C81" w:rsidRPr="00740FF1" w14:paraId="6C2885CA" w14:textId="77777777" w:rsidTr="00874B2D">
        <w:tc>
          <w:tcPr>
            <w:tcW w:w="562" w:type="dxa"/>
          </w:tcPr>
          <w:p w14:paraId="52C0E3AC" w14:textId="77777777" w:rsidR="00907C81" w:rsidRPr="00740FF1" w:rsidRDefault="00907C81" w:rsidP="00874B2D">
            <w:pPr>
              <w:ind w:right="-109"/>
              <w:jc w:val="center"/>
              <w:rPr>
                <w:b/>
                <w:sz w:val="20"/>
                <w:szCs w:val="20"/>
                <w:lang w:val="es-MX"/>
              </w:rPr>
            </w:pPr>
            <w:r w:rsidRPr="00740FF1">
              <w:rPr>
                <w:b/>
                <w:sz w:val="20"/>
                <w:szCs w:val="20"/>
                <w:lang w:val="es-MX"/>
              </w:rPr>
              <w:t>N°</w:t>
            </w:r>
          </w:p>
        </w:tc>
        <w:tc>
          <w:tcPr>
            <w:tcW w:w="9400" w:type="dxa"/>
          </w:tcPr>
          <w:p w14:paraId="4CEB1620" w14:textId="77777777" w:rsidR="00907C81" w:rsidRPr="00E648AF" w:rsidRDefault="00907C81" w:rsidP="00874B2D">
            <w:pPr>
              <w:jc w:val="center"/>
              <w:rPr>
                <w:b/>
                <w:sz w:val="24"/>
                <w:szCs w:val="24"/>
                <w:lang w:val="es-MX"/>
              </w:rPr>
            </w:pPr>
            <w:r w:rsidRPr="00E648AF">
              <w:rPr>
                <w:b/>
                <w:sz w:val="24"/>
                <w:szCs w:val="24"/>
                <w:lang w:val="es-MX"/>
              </w:rPr>
              <w:t>RECOMENDACIONES</w:t>
            </w:r>
          </w:p>
          <w:p w14:paraId="71BC9EE4" w14:textId="77777777" w:rsidR="00907C81" w:rsidRPr="00740FF1" w:rsidRDefault="00907C81" w:rsidP="00874B2D">
            <w:pPr>
              <w:jc w:val="center"/>
              <w:rPr>
                <w:b/>
                <w:sz w:val="20"/>
                <w:szCs w:val="20"/>
                <w:lang w:val="es-MX"/>
              </w:rPr>
            </w:pPr>
          </w:p>
        </w:tc>
      </w:tr>
      <w:tr w:rsidR="00907C81" w:rsidRPr="00740FF1" w14:paraId="0D709C1B" w14:textId="77777777" w:rsidTr="00874B2D">
        <w:tc>
          <w:tcPr>
            <w:tcW w:w="562" w:type="dxa"/>
          </w:tcPr>
          <w:p w14:paraId="69A1850D" w14:textId="77777777" w:rsidR="00907C81" w:rsidRPr="00740FF1" w:rsidRDefault="00907C81" w:rsidP="00874B2D">
            <w:pPr>
              <w:jc w:val="center"/>
              <w:rPr>
                <w:b/>
                <w:sz w:val="20"/>
                <w:szCs w:val="20"/>
                <w:lang w:val="es-MX"/>
              </w:rPr>
            </w:pPr>
            <w:r w:rsidRPr="00740FF1">
              <w:rPr>
                <w:b/>
                <w:sz w:val="20"/>
                <w:szCs w:val="20"/>
                <w:lang w:val="es-MX"/>
              </w:rPr>
              <w:t>1</w:t>
            </w:r>
          </w:p>
        </w:tc>
        <w:tc>
          <w:tcPr>
            <w:tcW w:w="9400" w:type="dxa"/>
          </w:tcPr>
          <w:p w14:paraId="747A2880" w14:textId="77777777" w:rsidR="00907C81" w:rsidRPr="00D5042F" w:rsidRDefault="00907C81" w:rsidP="00874B2D">
            <w:pPr>
              <w:jc w:val="both"/>
              <w:rPr>
                <w:bCs/>
                <w:sz w:val="20"/>
                <w:szCs w:val="20"/>
                <w:lang w:val="es-MX"/>
              </w:rPr>
            </w:pPr>
            <w:r w:rsidRPr="00D5042F">
              <w:rPr>
                <w:bCs/>
                <w:sz w:val="20"/>
                <w:szCs w:val="20"/>
                <w:lang w:val="es-MX"/>
              </w:rPr>
              <w:t>Revisar la efectividad de los controles establecidos en la elaboración de las conciliaciones de información, dado que se siguen presentando inconsistencias en la elaboración de estas, en aspectos relacionados con la información registrada en ellas, tales como las fechas del periodo conciliable y registrar el detalle de las diferencias cuando aplique.</w:t>
            </w:r>
          </w:p>
        </w:tc>
      </w:tr>
      <w:tr w:rsidR="00907C81" w:rsidRPr="00740FF1" w14:paraId="1BA63523" w14:textId="77777777" w:rsidTr="00874B2D">
        <w:tc>
          <w:tcPr>
            <w:tcW w:w="562" w:type="dxa"/>
          </w:tcPr>
          <w:p w14:paraId="342176F9" w14:textId="77777777" w:rsidR="00907C81" w:rsidRPr="00740FF1" w:rsidRDefault="00907C81" w:rsidP="00874B2D">
            <w:pPr>
              <w:jc w:val="center"/>
              <w:rPr>
                <w:b/>
                <w:sz w:val="20"/>
                <w:szCs w:val="20"/>
                <w:lang w:val="es-MX"/>
              </w:rPr>
            </w:pPr>
            <w:r w:rsidRPr="00740FF1">
              <w:rPr>
                <w:b/>
                <w:sz w:val="20"/>
                <w:szCs w:val="20"/>
                <w:lang w:val="es-MX"/>
              </w:rPr>
              <w:t>2</w:t>
            </w:r>
          </w:p>
        </w:tc>
        <w:tc>
          <w:tcPr>
            <w:tcW w:w="9400" w:type="dxa"/>
          </w:tcPr>
          <w:p w14:paraId="02DE0D05" w14:textId="77777777" w:rsidR="00907C81" w:rsidRPr="00D5042F" w:rsidRDefault="00907C81" w:rsidP="00874B2D">
            <w:pPr>
              <w:jc w:val="both"/>
              <w:rPr>
                <w:bCs/>
                <w:sz w:val="20"/>
                <w:szCs w:val="20"/>
                <w:lang w:val="es-MX"/>
              </w:rPr>
            </w:pPr>
            <w:r w:rsidRPr="00D5042F">
              <w:rPr>
                <w:bCs/>
                <w:sz w:val="20"/>
                <w:szCs w:val="20"/>
                <w:lang w:val="es-MX"/>
              </w:rPr>
              <w:t>Diseñar indicadores que permita medir la efectividad de la gestión del proceso contable.</w:t>
            </w:r>
          </w:p>
        </w:tc>
      </w:tr>
      <w:tr w:rsidR="00907C81" w:rsidRPr="00740FF1" w14:paraId="4177214A" w14:textId="77777777" w:rsidTr="00874B2D">
        <w:tc>
          <w:tcPr>
            <w:tcW w:w="562" w:type="dxa"/>
          </w:tcPr>
          <w:p w14:paraId="52513BA9" w14:textId="77777777" w:rsidR="00907C81" w:rsidRPr="00740FF1" w:rsidRDefault="00907C81" w:rsidP="00874B2D">
            <w:pPr>
              <w:jc w:val="center"/>
              <w:rPr>
                <w:b/>
                <w:sz w:val="20"/>
                <w:szCs w:val="20"/>
                <w:lang w:val="es-MX"/>
              </w:rPr>
            </w:pPr>
            <w:r w:rsidRPr="00740FF1">
              <w:rPr>
                <w:b/>
                <w:sz w:val="20"/>
                <w:szCs w:val="20"/>
                <w:lang w:val="es-MX"/>
              </w:rPr>
              <w:t>3</w:t>
            </w:r>
          </w:p>
        </w:tc>
        <w:tc>
          <w:tcPr>
            <w:tcW w:w="9400" w:type="dxa"/>
          </w:tcPr>
          <w:p w14:paraId="116A98DD" w14:textId="77777777" w:rsidR="00907C81" w:rsidRPr="00D5042F" w:rsidRDefault="00907C81" w:rsidP="00874B2D">
            <w:pPr>
              <w:jc w:val="both"/>
              <w:rPr>
                <w:bCs/>
                <w:sz w:val="20"/>
                <w:szCs w:val="20"/>
                <w:lang w:val="es-MX"/>
              </w:rPr>
            </w:pPr>
            <w:r w:rsidRPr="00D5042F">
              <w:rPr>
                <w:bCs/>
                <w:sz w:val="20"/>
                <w:szCs w:val="20"/>
                <w:lang w:val="es-MX"/>
              </w:rPr>
              <w:t xml:space="preserve">Fortalecer la información revelada en las notas a los estados financieros que permitan una fácil </w:t>
            </w:r>
            <w:r w:rsidRPr="00D5042F">
              <w:rPr>
                <w:bCs/>
                <w:sz w:val="20"/>
                <w:szCs w:val="20"/>
                <w:lang w:val="es-MX"/>
              </w:rPr>
              <w:lastRenderedPageBreak/>
              <w:t>comprensión por parte de los usuarios de la información.</w:t>
            </w:r>
          </w:p>
        </w:tc>
      </w:tr>
      <w:tr w:rsidR="00907C81" w:rsidRPr="00740FF1" w14:paraId="58742414" w14:textId="77777777" w:rsidTr="00874B2D">
        <w:tc>
          <w:tcPr>
            <w:tcW w:w="562" w:type="dxa"/>
          </w:tcPr>
          <w:p w14:paraId="1244E6E8" w14:textId="77777777" w:rsidR="00907C81" w:rsidRPr="00740FF1" w:rsidRDefault="00907C81" w:rsidP="00874B2D">
            <w:pPr>
              <w:jc w:val="center"/>
              <w:rPr>
                <w:b/>
                <w:sz w:val="20"/>
                <w:szCs w:val="20"/>
                <w:lang w:val="es-MX"/>
              </w:rPr>
            </w:pPr>
            <w:r w:rsidRPr="00740FF1">
              <w:rPr>
                <w:b/>
                <w:sz w:val="20"/>
                <w:szCs w:val="20"/>
                <w:lang w:val="es-MX"/>
              </w:rPr>
              <w:lastRenderedPageBreak/>
              <w:t>4</w:t>
            </w:r>
          </w:p>
        </w:tc>
        <w:tc>
          <w:tcPr>
            <w:tcW w:w="9400" w:type="dxa"/>
          </w:tcPr>
          <w:p w14:paraId="785B0FA5" w14:textId="77777777" w:rsidR="00907C81" w:rsidRPr="00D5042F" w:rsidRDefault="00907C81" w:rsidP="00874B2D">
            <w:pPr>
              <w:jc w:val="both"/>
              <w:rPr>
                <w:bCs/>
                <w:sz w:val="20"/>
                <w:szCs w:val="20"/>
                <w:lang w:val="es-MX"/>
              </w:rPr>
            </w:pPr>
            <w:r w:rsidRPr="00D5042F">
              <w:rPr>
                <w:bCs/>
                <w:sz w:val="20"/>
                <w:szCs w:val="20"/>
                <w:lang w:val="es-MX"/>
              </w:rPr>
              <w:t>Actualizar la matriz de riesgos asociados al proceso contable, realizar una nueva valoración de los riesgos que se han materializado, formular controles adicionales que permitan disminuir la probabilidad de materi</w:t>
            </w:r>
            <w:r>
              <w:rPr>
                <w:bCs/>
                <w:sz w:val="20"/>
                <w:szCs w:val="20"/>
                <w:lang w:val="es-MX"/>
              </w:rPr>
              <w:t>a</w:t>
            </w:r>
            <w:r w:rsidRPr="00D5042F">
              <w:rPr>
                <w:bCs/>
                <w:sz w:val="20"/>
                <w:szCs w:val="20"/>
                <w:lang w:val="es-MX"/>
              </w:rPr>
              <w:t>lización, formular un plan de contingencia frente a la materi</w:t>
            </w:r>
            <w:r>
              <w:rPr>
                <w:bCs/>
                <w:sz w:val="20"/>
                <w:szCs w:val="20"/>
                <w:lang w:val="es-MX"/>
              </w:rPr>
              <w:t>alización</w:t>
            </w:r>
            <w:r w:rsidRPr="00D5042F">
              <w:rPr>
                <w:bCs/>
                <w:sz w:val="20"/>
                <w:szCs w:val="20"/>
                <w:lang w:val="es-MX"/>
              </w:rPr>
              <w:t>.</w:t>
            </w:r>
          </w:p>
        </w:tc>
      </w:tr>
      <w:tr w:rsidR="00907C81" w:rsidRPr="00740FF1" w14:paraId="12B0F0B9" w14:textId="77777777" w:rsidTr="00874B2D">
        <w:tc>
          <w:tcPr>
            <w:tcW w:w="562" w:type="dxa"/>
          </w:tcPr>
          <w:p w14:paraId="7A98E5E9" w14:textId="77777777" w:rsidR="00907C81" w:rsidRPr="00740FF1" w:rsidRDefault="00907C81" w:rsidP="00874B2D">
            <w:pPr>
              <w:jc w:val="center"/>
              <w:rPr>
                <w:b/>
                <w:sz w:val="20"/>
                <w:szCs w:val="20"/>
                <w:lang w:val="es-MX"/>
              </w:rPr>
            </w:pPr>
            <w:r>
              <w:rPr>
                <w:b/>
                <w:sz w:val="20"/>
                <w:szCs w:val="20"/>
                <w:lang w:val="es-MX"/>
              </w:rPr>
              <w:t>5</w:t>
            </w:r>
          </w:p>
        </w:tc>
        <w:tc>
          <w:tcPr>
            <w:tcW w:w="9400" w:type="dxa"/>
          </w:tcPr>
          <w:p w14:paraId="56B902E5" w14:textId="77777777" w:rsidR="00907C81" w:rsidRPr="00C655E3" w:rsidRDefault="00907C81" w:rsidP="00874B2D">
            <w:pPr>
              <w:jc w:val="both"/>
              <w:rPr>
                <w:bCs/>
                <w:sz w:val="20"/>
                <w:szCs w:val="20"/>
                <w:lang w:val="es-MX"/>
              </w:rPr>
            </w:pPr>
            <w:r w:rsidRPr="00C655E3">
              <w:rPr>
                <w:bCs/>
                <w:sz w:val="20"/>
                <w:szCs w:val="20"/>
                <w:lang w:val="es-MX"/>
              </w:rPr>
              <w:t>Formular acciones para garantizar el registro oportuno de la información financiera relacionada con la cuenta 1.5.05 Construcciones.</w:t>
            </w:r>
          </w:p>
        </w:tc>
      </w:tr>
      <w:tr w:rsidR="00907C81" w:rsidRPr="00740FF1" w14:paraId="0EA8D464" w14:textId="77777777" w:rsidTr="00874B2D">
        <w:tc>
          <w:tcPr>
            <w:tcW w:w="562" w:type="dxa"/>
          </w:tcPr>
          <w:p w14:paraId="290FA168" w14:textId="77777777" w:rsidR="00907C81" w:rsidRPr="00740FF1" w:rsidRDefault="00907C81" w:rsidP="00874B2D">
            <w:pPr>
              <w:jc w:val="center"/>
              <w:rPr>
                <w:b/>
                <w:sz w:val="20"/>
                <w:szCs w:val="20"/>
                <w:lang w:val="es-MX"/>
              </w:rPr>
            </w:pPr>
            <w:r>
              <w:rPr>
                <w:b/>
                <w:sz w:val="20"/>
                <w:szCs w:val="20"/>
                <w:lang w:val="es-MX"/>
              </w:rPr>
              <w:t>6</w:t>
            </w:r>
          </w:p>
        </w:tc>
        <w:tc>
          <w:tcPr>
            <w:tcW w:w="9400" w:type="dxa"/>
          </w:tcPr>
          <w:p w14:paraId="57AFCF19" w14:textId="77777777" w:rsidR="00907C81" w:rsidRPr="00C655E3" w:rsidRDefault="00907C81" w:rsidP="00874B2D">
            <w:pPr>
              <w:jc w:val="both"/>
              <w:rPr>
                <w:bCs/>
                <w:sz w:val="20"/>
                <w:szCs w:val="20"/>
                <w:lang w:val="es-MX"/>
              </w:rPr>
            </w:pPr>
            <w:r w:rsidRPr="00C655E3">
              <w:rPr>
                <w:bCs/>
                <w:sz w:val="20"/>
                <w:szCs w:val="20"/>
                <w:lang w:val="es-MX"/>
              </w:rPr>
              <w:t>Formular acciones de mejora para depurar la información de activos fijos ya que se evidencia saldo en la cuenta 1.6.37 Propiedad, planta y equipo no explotado.</w:t>
            </w:r>
          </w:p>
        </w:tc>
      </w:tr>
      <w:tr w:rsidR="00907C81" w:rsidRPr="00740FF1" w14:paraId="16FCFE46" w14:textId="77777777" w:rsidTr="00874B2D">
        <w:tc>
          <w:tcPr>
            <w:tcW w:w="562" w:type="dxa"/>
          </w:tcPr>
          <w:p w14:paraId="7DE8BFCA" w14:textId="77777777" w:rsidR="00907C81" w:rsidRDefault="00907C81" w:rsidP="00874B2D">
            <w:pPr>
              <w:jc w:val="center"/>
              <w:rPr>
                <w:b/>
                <w:sz w:val="20"/>
                <w:szCs w:val="20"/>
                <w:lang w:val="es-MX"/>
              </w:rPr>
            </w:pPr>
            <w:r>
              <w:rPr>
                <w:b/>
                <w:sz w:val="20"/>
                <w:szCs w:val="20"/>
                <w:lang w:val="es-MX"/>
              </w:rPr>
              <w:t>7</w:t>
            </w:r>
          </w:p>
        </w:tc>
        <w:tc>
          <w:tcPr>
            <w:tcW w:w="9400" w:type="dxa"/>
          </w:tcPr>
          <w:p w14:paraId="6512A2D0" w14:textId="77777777" w:rsidR="00907C81" w:rsidRPr="00C655E3" w:rsidRDefault="00907C81" w:rsidP="00874B2D">
            <w:pPr>
              <w:jc w:val="both"/>
              <w:rPr>
                <w:bCs/>
                <w:sz w:val="20"/>
                <w:szCs w:val="20"/>
                <w:lang w:val="es-MX"/>
              </w:rPr>
            </w:pPr>
            <w:r w:rsidRPr="00C655E3">
              <w:rPr>
                <w:bCs/>
                <w:sz w:val="20"/>
                <w:szCs w:val="20"/>
                <w:lang w:val="es-MX"/>
              </w:rPr>
              <w:t>Continuar con el proceso de Sostenibilidad Contable, donde se evalué los aspectos que pueden afectar la razonabilidad en la presentación de los estados financieros.</w:t>
            </w:r>
          </w:p>
        </w:tc>
      </w:tr>
    </w:tbl>
    <w:p w14:paraId="02B38ED0" w14:textId="77777777" w:rsidR="00907C81" w:rsidRDefault="00907C81" w:rsidP="00907C81">
      <w:pPr>
        <w:pStyle w:val="Textoindependiente"/>
        <w:ind w:right="-50"/>
        <w:jc w:val="both"/>
        <w:rPr>
          <w:b/>
          <w:bCs/>
          <w:sz w:val="28"/>
          <w:szCs w:val="28"/>
        </w:rPr>
      </w:pPr>
    </w:p>
    <w:p w14:paraId="3D7A6AB3" w14:textId="77777777" w:rsidR="00907C81" w:rsidRPr="0067097C" w:rsidRDefault="00907C81" w:rsidP="00907C81">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1C5C2428" w14:textId="77777777" w:rsidR="00907C81" w:rsidRDefault="00907C81" w:rsidP="00907C81">
      <w:pPr>
        <w:pStyle w:val="Textoindependiente"/>
        <w:ind w:right="-50"/>
        <w:jc w:val="both"/>
        <w:rPr>
          <w:b/>
          <w:bCs/>
          <w:sz w:val="28"/>
          <w:szCs w:val="28"/>
        </w:rPr>
      </w:pPr>
    </w:p>
    <w:p w14:paraId="15E3D5D2" w14:textId="77777777" w:rsidR="00907C81" w:rsidRPr="002534FE" w:rsidRDefault="00907C81" w:rsidP="00907C81">
      <w:pPr>
        <w:pStyle w:val="Ttulo1"/>
        <w:spacing w:before="93"/>
        <w:ind w:left="0" w:right="-50"/>
        <w:rPr>
          <w:sz w:val="28"/>
          <w:szCs w:val="28"/>
        </w:rPr>
      </w:pPr>
      <w:r>
        <w:rPr>
          <w:sz w:val="28"/>
          <w:szCs w:val="28"/>
        </w:rPr>
        <w:t xml:space="preserve">D.- </w:t>
      </w:r>
      <w:r w:rsidRPr="002534FE">
        <w:rPr>
          <w:sz w:val="28"/>
          <w:szCs w:val="28"/>
        </w:rPr>
        <w:t>SEGUIMIENTO AL PLAN O PLANES DE MEJORAMIENTO SUSCRITOS CON LA CGR A 31 DE DICIEMBRE DE 2024:</w:t>
      </w:r>
    </w:p>
    <w:p w14:paraId="608E911C" w14:textId="77777777" w:rsidR="00907C81" w:rsidRPr="00B54567" w:rsidRDefault="00907C81" w:rsidP="00907C81">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907C81" w:rsidRPr="00B54567" w14:paraId="6DDE5075" w14:textId="77777777" w:rsidTr="00874B2D">
        <w:tc>
          <w:tcPr>
            <w:tcW w:w="1701" w:type="dxa"/>
          </w:tcPr>
          <w:p w14:paraId="5861C55F" w14:textId="77777777" w:rsidR="00907C81" w:rsidRPr="00B54567" w:rsidRDefault="00907C81" w:rsidP="00874B2D">
            <w:pPr>
              <w:pStyle w:val="Ttulo1"/>
              <w:ind w:left="0" w:right="-50"/>
              <w:jc w:val="center"/>
              <w:outlineLvl w:val="0"/>
              <w:rPr>
                <w:sz w:val="20"/>
                <w:szCs w:val="20"/>
              </w:rPr>
            </w:pPr>
            <w:r w:rsidRPr="00B54567">
              <w:rPr>
                <w:sz w:val="20"/>
                <w:szCs w:val="20"/>
              </w:rPr>
              <w:t xml:space="preserve">TOTAL, HALLAZGOS SEGÚN LA </w:t>
            </w:r>
          </w:p>
          <w:p w14:paraId="39DDC46C" w14:textId="77777777" w:rsidR="00907C81" w:rsidRPr="00B54567" w:rsidRDefault="00907C81" w:rsidP="00874B2D">
            <w:pPr>
              <w:pStyle w:val="Ttulo1"/>
              <w:ind w:left="0" w:right="-50"/>
              <w:jc w:val="center"/>
              <w:outlineLvl w:val="0"/>
              <w:rPr>
                <w:sz w:val="20"/>
                <w:szCs w:val="20"/>
              </w:rPr>
            </w:pPr>
            <w:r w:rsidRPr="00B54567">
              <w:rPr>
                <w:sz w:val="20"/>
                <w:szCs w:val="20"/>
              </w:rPr>
              <w:t>CGR</w:t>
            </w:r>
          </w:p>
          <w:p w14:paraId="0BC54731" w14:textId="77777777" w:rsidR="00907C81" w:rsidRPr="00B54567" w:rsidRDefault="00907C81" w:rsidP="00874B2D">
            <w:pPr>
              <w:pStyle w:val="Ttulo1"/>
              <w:ind w:left="0" w:right="-50"/>
              <w:jc w:val="center"/>
              <w:outlineLvl w:val="0"/>
              <w:rPr>
                <w:sz w:val="20"/>
                <w:szCs w:val="20"/>
              </w:rPr>
            </w:pPr>
          </w:p>
          <w:p w14:paraId="2A48E21E" w14:textId="77777777" w:rsidR="00907C81" w:rsidRPr="00B54567" w:rsidRDefault="00907C81" w:rsidP="00874B2D">
            <w:pPr>
              <w:pStyle w:val="Ttulo1"/>
              <w:ind w:left="0" w:right="-50"/>
              <w:jc w:val="center"/>
              <w:outlineLvl w:val="0"/>
              <w:rPr>
                <w:sz w:val="20"/>
                <w:szCs w:val="20"/>
              </w:rPr>
            </w:pPr>
          </w:p>
        </w:tc>
        <w:tc>
          <w:tcPr>
            <w:tcW w:w="2552" w:type="dxa"/>
          </w:tcPr>
          <w:p w14:paraId="49175F08" w14:textId="77777777" w:rsidR="00907C81" w:rsidRPr="00B54567" w:rsidRDefault="00907C81"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20A59059" w14:textId="77777777" w:rsidR="00907C81" w:rsidRPr="00B54567" w:rsidRDefault="00907C81" w:rsidP="00874B2D">
            <w:pPr>
              <w:pStyle w:val="Ttulo1"/>
              <w:ind w:left="0" w:right="-50"/>
              <w:jc w:val="center"/>
              <w:outlineLvl w:val="0"/>
              <w:rPr>
                <w:sz w:val="20"/>
                <w:szCs w:val="20"/>
              </w:rPr>
            </w:pPr>
          </w:p>
        </w:tc>
        <w:tc>
          <w:tcPr>
            <w:tcW w:w="2268" w:type="dxa"/>
          </w:tcPr>
          <w:p w14:paraId="0A9F6307" w14:textId="77777777" w:rsidR="00907C81" w:rsidRPr="00B54567" w:rsidRDefault="00907C81" w:rsidP="00874B2D">
            <w:pPr>
              <w:pStyle w:val="Ttulo1"/>
              <w:ind w:left="0" w:right="-50"/>
              <w:jc w:val="center"/>
              <w:outlineLvl w:val="0"/>
              <w:rPr>
                <w:sz w:val="20"/>
                <w:szCs w:val="20"/>
              </w:rPr>
            </w:pPr>
            <w:r w:rsidRPr="00B54567">
              <w:rPr>
                <w:sz w:val="20"/>
                <w:szCs w:val="20"/>
              </w:rPr>
              <w:t>TOTAL, DE METAS CUMPLIDAS</w:t>
            </w:r>
          </w:p>
          <w:p w14:paraId="1FA6BBF7" w14:textId="77777777" w:rsidR="00907C81" w:rsidRPr="00B54567" w:rsidRDefault="00907C81" w:rsidP="00874B2D">
            <w:pPr>
              <w:pStyle w:val="Ttulo1"/>
              <w:ind w:left="0" w:right="-50"/>
              <w:jc w:val="center"/>
              <w:outlineLvl w:val="0"/>
              <w:rPr>
                <w:sz w:val="20"/>
                <w:szCs w:val="20"/>
              </w:rPr>
            </w:pPr>
            <w:r w:rsidRPr="00B54567">
              <w:rPr>
                <w:sz w:val="20"/>
                <w:szCs w:val="20"/>
              </w:rPr>
              <w:t xml:space="preserve"> A 31/12/2024</w:t>
            </w:r>
          </w:p>
        </w:tc>
        <w:tc>
          <w:tcPr>
            <w:tcW w:w="1984" w:type="dxa"/>
          </w:tcPr>
          <w:p w14:paraId="5A85C3F4" w14:textId="77777777" w:rsidR="00907C81" w:rsidRPr="00B54567" w:rsidRDefault="00907C81" w:rsidP="00874B2D">
            <w:pPr>
              <w:pStyle w:val="Ttulo1"/>
              <w:ind w:left="0" w:right="-50"/>
              <w:jc w:val="center"/>
              <w:outlineLvl w:val="0"/>
              <w:rPr>
                <w:sz w:val="20"/>
                <w:szCs w:val="20"/>
              </w:rPr>
            </w:pPr>
            <w:r w:rsidRPr="00B54567">
              <w:rPr>
                <w:sz w:val="20"/>
                <w:szCs w:val="20"/>
              </w:rPr>
              <w:t>CUMPLIMIENTO DEL PLAN EN %</w:t>
            </w:r>
          </w:p>
          <w:p w14:paraId="58BB3D95" w14:textId="77777777" w:rsidR="00907C81" w:rsidRPr="00B54567" w:rsidRDefault="00907C81" w:rsidP="00874B2D">
            <w:pPr>
              <w:pStyle w:val="Ttulo1"/>
              <w:ind w:left="0" w:right="-50"/>
              <w:jc w:val="center"/>
              <w:outlineLvl w:val="0"/>
              <w:rPr>
                <w:sz w:val="20"/>
                <w:szCs w:val="20"/>
              </w:rPr>
            </w:pPr>
            <w:r w:rsidRPr="00B54567">
              <w:rPr>
                <w:sz w:val="20"/>
                <w:szCs w:val="20"/>
              </w:rPr>
              <w:t xml:space="preserve"> A 31/12/2024</w:t>
            </w:r>
          </w:p>
        </w:tc>
        <w:tc>
          <w:tcPr>
            <w:tcW w:w="1418" w:type="dxa"/>
          </w:tcPr>
          <w:p w14:paraId="22366415" w14:textId="77777777" w:rsidR="00907C81" w:rsidRPr="00B54567" w:rsidRDefault="00907C81" w:rsidP="00874B2D">
            <w:pPr>
              <w:pStyle w:val="Ttulo1"/>
              <w:ind w:left="0" w:right="-50"/>
              <w:jc w:val="center"/>
              <w:outlineLvl w:val="0"/>
              <w:rPr>
                <w:sz w:val="20"/>
                <w:szCs w:val="20"/>
              </w:rPr>
            </w:pPr>
            <w:r w:rsidRPr="00B54567">
              <w:rPr>
                <w:sz w:val="20"/>
                <w:szCs w:val="20"/>
              </w:rPr>
              <w:t xml:space="preserve">AVANCE DEL PLAN EN % </w:t>
            </w:r>
          </w:p>
          <w:p w14:paraId="1BAA4323" w14:textId="77777777" w:rsidR="00907C81" w:rsidRPr="00B54567" w:rsidRDefault="00907C81" w:rsidP="00874B2D">
            <w:pPr>
              <w:pStyle w:val="Ttulo1"/>
              <w:ind w:left="0" w:right="-50"/>
              <w:jc w:val="center"/>
              <w:outlineLvl w:val="0"/>
              <w:rPr>
                <w:sz w:val="20"/>
                <w:szCs w:val="20"/>
              </w:rPr>
            </w:pPr>
            <w:r w:rsidRPr="00B54567">
              <w:rPr>
                <w:sz w:val="20"/>
                <w:szCs w:val="20"/>
              </w:rPr>
              <w:t>A 31/12/2024</w:t>
            </w:r>
          </w:p>
        </w:tc>
      </w:tr>
      <w:tr w:rsidR="00907C81" w:rsidRPr="00B54567" w14:paraId="3DF2A462" w14:textId="77777777" w:rsidTr="00874B2D">
        <w:tc>
          <w:tcPr>
            <w:tcW w:w="1701" w:type="dxa"/>
          </w:tcPr>
          <w:p w14:paraId="04C181EF" w14:textId="77777777" w:rsidR="00907C81" w:rsidRPr="00B54567" w:rsidRDefault="00907C81" w:rsidP="00874B2D">
            <w:pPr>
              <w:pStyle w:val="Ttulo1"/>
              <w:ind w:left="0" w:right="-50"/>
              <w:jc w:val="center"/>
              <w:outlineLvl w:val="0"/>
              <w:rPr>
                <w:sz w:val="20"/>
                <w:szCs w:val="20"/>
              </w:rPr>
            </w:pPr>
            <w:r>
              <w:rPr>
                <w:sz w:val="20"/>
                <w:szCs w:val="20"/>
              </w:rPr>
              <w:t>130</w:t>
            </w:r>
          </w:p>
        </w:tc>
        <w:tc>
          <w:tcPr>
            <w:tcW w:w="2552" w:type="dxa"/>
          </w:tcPr>
          <w:p w14:paraId="0EA250D2" w14:textId="77777777" w:rsidR="00907C81" w:rsidRPr="00B54567" w:rsidRDefault="00907C81" w:rsidP="00874B2D">
            <w:pPr>
              <w:pStyle w:val="Ttulo1"/>
              <w:ind w:left="0" w:right="-50"/>
              <w:jc w:val="center"/>
              <w:outlineLvl w:val="0"/>
              <w:rPr>
                <w:sz w:val="20"/>
                <w:szCs w:val="20"/>
              </w:rPr>
            </w:pPr>
            <w:r>
              <w:rPr>
                <w:sz w:val="20"/>
                <w:szCs w:val="20"/>
              </w:rPr>
              <w:t>409</w:t>
            </w:r>
          </w:p>
        </w:tc>
        <w:tc>
          <w:tcPr>
            <w:tcW w:w="2268" w:type="dxa"/>
          </w:tcPr>
          <w:p w14:paraId="0403351A" w14:textId="77777777" w:rsidR="00907C81" w:rsidRPr="00B54567" w:rsidRDefault="00907C81" w:rsidP="00874B2D">
            <w:pPr>
              <w:pStyle w:val="Ttulo1"/>
              <w:ind w:left="0" w:right="-50"/>
              <w:jc w:val="center"/>
              <w:outlineLvl w:val="0"/>
              <w:rPr>
                <w:sz w:val="20"/>
                <w:szCs w:val="20"/>
              </w:rPr>
            </w:pPr>
            <w:r>
              <w:rPr>
                <w:sz w:val="20"/>
                <w:szCs w:val="20"/>
              </w:rPr>
              <w:t>283</w:t>
            </w:r>
          </w:p>
        </w:tc>
        <w:tc>
          <w:tcPr>
            <w:tcW w:w="1984" w:type="dxa"/>
          </w:tcPr>
          <w:p w14:paraId="0A18CB63" w14:textId="77777777" w:rsidR="00907C81" w:rsidRPr="00B54567" w:rsidRDefault="00907C81" w:rsidP="00874B2D">
            <w:pPr>
              <w:pStyle w:val="Ttulo1"/>
              <w:ind w:left="0" w:right="-50"/>
              <w:jc w:val="center"/>
              <w:outlineLvl w:val="0"/>
              <w:rPr>
                <w:sz w:val="20"/>
                <w:szCs w:val="20"/>
                <w:u w:val="single"/>
              </w:rPr>
            </w:pPr>
            <w:r>
              <w:rPr>
                <w:sz w:val="20"/>
                <w:szCs w:val="20"/>
                <w:u w:val="single"/>
              </w:rPr>
              <w:t>100</w:t>
            </w:r>
            <w:r w:rsidRPr="00B54567">
              <w:rPr>
                <w:sz w:val="20"/>
                <w:szCs w:val="20"/>
                <w:u w:val="single"/>
              </w:rPr>
              <w:t>%</w:t>
            </w:r>
          </w:p>
        </w:tc>
        <w:tc>
          <w:tcPr>
            <w:tcW w:w="1418" w:type="dxa"/>
          </w:tcPr>
          <w:p w14:paraId="743F5D7E" w14:textId="77777777" w:rsidR="00907C81" w:rsidRPr="00B54567" w:rsidRDefault="00907C81" w:rsidP="00874B2D">
            <w:pPr>
              <w:pStyle w:val="Ttulo1"/>
              <w:ind w:left="0" w:right="-50"/>
              <w:jc w:val="center"/>
              <w:outlineLvl w:val="0"/>
              <w:rPr>
                <w:sz w:val="20"/>
                <w:szCs w:val="20"/>
                <w:u w:val="single"/>
              </w:rPr>
            </w:pPr>
            <w:r>
              <w:rPr>
                <w:sz w:val="20"/>
                <w:szCs w:val="20"/>
                <w:u w:val="single"/>
              </w:rPr>
              <w:t>69</w:t>
            </w:r>
            <w:r w:rsidRPr="00B54567">
              <w:rPr>
                <w:sz w:val="20"/>
                <w:szCs w:val="20"/>
                <w:u w:val="single"/>
              </w:rPr>
              <w:t>%</w:t>
            </w:r>
          </w:p>
        </w:tc>
      </w:tr>
    </w:tbl>
    <w:p w14:paraId="209915F3" w14:textId="77777777" w:rsidR="00907C81" w:rsidRPr="00B54567" w:rsidRDefault="00907C81" w:rsidP="00907C81">
      <w:pPr>
        <w:pStyle w:val="Ttulo1"/>
        <w:spacing w:before="93"/>
        <w:ind w:left="0" w:right="-50"/>
      </w:pPr>
    </w:p>
    <w:p w14:paraId="2BEBD6A8" w14:textId="77777777" w:rsidR="00907C81" w:rsidRPr="00083774" w:rsidRDefault="00907C81" w:rsidP="00907C81">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1196BA89" w14:textId="77777777" w:rsidR="00907C81" w:rsidRPr="00036FA0" w:rsidRDefault="00907C81" w:rsidP="00907C81">
      <w:pPr>
        <w:pStyle w:val="Textoindependiente"/>
        <w:tabs>
          <w:tab w:val="left" w:pos="2055"/>
        </w:tabs>
        <w:spacing w:before="5"/>
      </w:pPr>
    </w:p>
    <w:p w14:paraId="5E7EC287" w14:textId="77777777" w:rsidR="00907C81" w:rsidRDefault="00907C81" w:rsidP="00907C81">
      <w:pPr>
        <w:pStyle w:val="Textoindependiente"/>
        <w:tabs>
          <w:tab w:val="left" w:pos="2055"/>
        </w:tabs>
        <w:spacing w:before="5"/>
        <w:jc w:val="both"/>
      </w:pPr>
      <w:r>
        <w:rPr>
          <w:b/>
          <w:bCs/>
        </w:rPr>
        <w:t xml:space="preserve">6. Recomendaciones de Control Interno: </w:t>
      </w:r>
      <w:r>
        <w:t>Control Interno recomienda a los equipos de trabajo:</w:t>
      </w:r>
    </w:p>
    <w:p w14:paraId="3FF9AE0D" w14:textId="77777777" w:rsidR="00907C81" w:rsidRDefault="00907C81" w:rsidP="00907C81">
      <w:pPr>
        <w:pStyle w:val="Textoindependiente"/>
        <w:tabs>
          <w:tab w:val="left" w:pos="2055"/>
        </w:tabs>
        <w:spacing w:before="5"/>
        <w:jc w:val="both"/>
      </w:pPr>
    </w:p>
    <w:p w14:paraId="68970FF9" w14:textId="77777777" w:rsidR="00907C81" w:rsidRPr="003003B2" w:rsidRDefault="00907C81" w:rsidP="00907C81">
      <w:pPr>
        <w:numPr>
          <w:ilvl w:val="0"/>
          <w:numId w:val="31"/>
        </w:numPr>
        <w:pBdr>
          <w:top w:val="nil"/>
          <w:left w:val="nil"/>
          <w:bottom w:val="nil"/>
          <w:right w:val="nil"/>
          <w:between w:val="nil"/>
        </w:pBdr>
        <w:autoSpaceDE/>
        <w:autoSpaceDN/>
        <w:ind w:left="284" w:hanging="284"/>
        <w:jc w:val="both"/>
        <w:rPr>
          <w:color w:val="222222"/>
          <w:sz w:val="24"/>
          <w:szCs w:val="24"/>
        </w:rPr>
      </w:pPr>
      <w:r w:rsidRPr="003003B2">
        <w:rPr>
          <w:color w:val="222222"/>
          <w:sz w:val="24"/>
          <w:szCs w:val="24"/>
        </w:rPr>
        <w:t xml:space="preserve">Realizar el análisis de las causas y de las acciones propuestas en el plan de mejoramiento para los hallazgos “No efectivos” y analizar si es necesario complementar las evidencias o es pertinente suscribir nuevas actividades tendientes a subsanar o modificar su origen.  </w:t>
      </w:r>
    </w:p>
    <w:p w14:paraId="064CA8D7" w14:textId="77777777" w:rsidR="00907C81" w:rsidRPr="003003B2" w:rsidRDefault="00907C81" w:rsidP="00907C81">
      <w:pPr>
        <w:pBdr>
          <w:top w:val="nil"/>
          <w:left w:val="nil"/>
          <w:bottom w:val="nil"/>
          <w:right w:val="nil"/>
          <w:between w:val="nil"/>
        </w:pBdr>
        <w:ind w:left="284"/>
        <w:jc w:val="both"/>
        <w:rPr>
          <w:color w:val="222222"/>
          <w:sz w:val="24"/>
          <w:szCs w:val="24"/>
        </w:rPr>
      </w:pPr>
    </w:p>
    <w:p w14:paraId="45F5EA5D" w14:textId="77777777" w:rsidR="00907C81" w:rsidRPr="003003B2" w:rsidRDefault="00907C81" w:rsidP="00907C81">
      <w:pPr>
        <w:pBdr>
          <w:top w:val="nil"/>
          <w:left w:val="nil"/>
          <w:bottom w:val="nil"/>
          <w:right w:val="nil"/>
          <w:between w:val="nil"/>
        </w:pBdr>
        <w:ind w:left="284"/>
        <w:jc w:val="both"/>
        <w:rPr>
          <w:color w:val="222222"/>
          <w:sz w:val="24"/>
          <w:szCs w:val="24"/>
        </w:rPr>
      </w:pPr>
      <w:r w:rsidRPr="003003B2">
        <w:rPr>
          <w:color w:val="222222"/>
          <w:sz w:val="24"/>
          <w:szCs w:val="24"/>
        </w:rPr>
        <w:t>Esta recomendación se reitera a fin de gestionar oportunamente las observaciones comunicadas por la Contraloría General de la República en sus diferentes informes.</w:t>
      </w:r>
    </w:p>
    <w:p w14:paraId="062CDCB6" w14:textId="77777777" w:rsidR="00907C81" w:rsidRPr="003003B2" w:rsidRDefault="00907C81" w:rsidP="00907C81">
      <w:pPr>
        <w:pBdr>
          <w:top w:val="nil"/>
          <w:left w:val="nil"/>
          <w:bottom w:val="nil"/>
          <w:right w:val="nil"/>
          <w:between w:val="nil"/>
        </w:pBdr>
        <w:jc w:val="both"/>
        <w:rPr>
          <w:color w:val="222222"/>
          <w:sz w:val="24"/>
          <w:szCs w:val="24"/>
        </w:rPr>
      </w:pPr>
    </w:p>
    <w:p w14:paraId="021BED51" w14:textId="77777777" w:rsidR="00907C81" w:rsidRPr="003003B2" w:rsidRDefault="00907C81" w:rsidP="00907C81">
      <w:pPr>
        <w:numPr>
          <w:ilvl w:val="0"/>
          <w:numId w:val="32"/>
        </w:numPr>
        <w:pBdr>
          <w:top w:val="nil"/>
          <w:left w:val="nil"/>
          <w:bottom w:val="nil"/>
          <w:right w:val="nil"/>
          <w:between w:val="nil"/>
        </w:pBdr>
        <w:tabs>
          <w:tab w:val="left" w:pos="851"/>
        </w:tabs>
        <w:autoSpaceDE/>
        <w:autoSpaceDN/>
        <w:ind w:left="284" w:hanging="284"/>
        <w:jc w:val="both"/>
        <w:rPr>
          <w:color w:val="222222"/>
          <w:sz w:val="24"/>
          <w:szCs w:val="24"/>
        </w:rPr>
      </w:pPr>
      <w:r w:rsidRPr="003003B2">
        <w:rPr>
          <w:color w:val="222222"/>
          <w:sz w:val="24"/>
          <w:szCs w:val="24"/>
        </w:rPr>
        <w:t>Revisar el archivo de Excel que se adjunta a este informe, especialmente lo descrito en la columna “</w:t>
      </w:r>
      <w:r>
        <w:rPr>
          <w:color w:val="222222"/>
          <w:sz w:val="24"/>
          <w:szCs w:val="24"/>
        </w:rPr>
        <w:t>O</w:t>
      </w:r>
      <w:r w:rsidRPr="003003B2">
        <w:rPr>
          <w:color w:val="222222"/>
          <w:sz w:val="24"/>
          <w:szCs w:val="24"/>
        </w:rPr>
        <w:t>bservaciones de Control Interno al cumplimiento” y tener en cuenta las sugerencias de completar evidencias, actualizar fechas y demás recomendaciones para fortalecer el cumplimiento de las acciones de mejora que forman parte del plan de mejoramiento.</w:t>
      </w:r>
    </w:p>
    <w:p w14:paraId="046BDC93" w14:textId="77777777" w:rsidR="00907C81" w:rsidRPr="003003B2" w:rsidRDefault="00907C81" w:rsidP="00907C81">
      <w:pPr>
        <w:pBdr>
          <w:top w:val="nil"/>
          <w:left w:val="nil"/>
          <w:bottom w:val="nil"/>
          <w:right w:val="nil"/>
          <w:between w:val="nil"/>
        </w:pBdr>
        <w:ind w:left="284"/>
        <w:jc w:val="both"/>
        <w:rPr>
          <w:color w:val="222222"/>
          <w:sz w:val="24"/>
          <w:szCs w:val="24"/>
        </w:rPr>
      </w:pPr>
    </w:p>
    <w:p w14:paraId="38F9A3F5" w14:textId="77777777" w:rsidR="00907C81" w:rsidRPr="003003B2" w:rsidRDefault="00907C81" w:rsidP="00907C81">
      <w:pPr>
        <w:numPr>
          <w:ilvl w:val="0"/>
          <w:numId w:val="32"/>
        </w:numPr>
        <w:pBdr>
          <w:top w:val="nil"/>
          <w:left w:val="nil"/>
          <w:bottom w:val="nil"/>
          <w:right w:val="nil"/>
          <w:between w:val="nil"/>
        </w:pBdr>
        <w:tabs>
          <w:tab w:val="left" w:pos="851"/>
        </w:tabs>
        <w:autoSpaceDE/>
        <w:autoSpaceDN/>
        <w:ind w:left="284" w:hanging="284"/>
        <w:jc w:val="both"/>
        <w:rPr>
          <w:color w:val="222222"/>
          <w:sz w:val="24"/>
          <w:szCs w:val="24"/>
        </w:rPr>
      </w:pPr>
      <w:r w:rsidRPr="003003B2">
        <w:rPr>
          <w:color w:val="222222"/>
          <w:sz w:val="24"/>
          <w:szCs w:val="24"/>
        </w:rPr>
        <w:lastRenderedPageBreak/>
        <w:t>Tener en cuenta que los soportes de ejecución de las actividades deben contar con todos los elementos requeridos para realizar la evaluación de la evidencia, a saber:</w:t>
      </w:r>
    </w:p>
    <w:p w14:paraId="5C13D372" w14:textId="77777777" w:rsidR="00907C81" w:rsidRPr="003003B2" w:rsidRDefault="00907C81" w:rsidP="00907C81">
      <w:pPr>
        <w:tabs>
          <w:tab w:val="left" w:pos="851"/>
        </w:tabs>
        <w:ind w:left="993" w:hanging="283"/>
        <w:jc w:val="both"/>
        <w:rPr>
          <w:color w:val="222222"/>
          <w:sz w:val="24"/>
          <w:szCs w:val="24"/>
        </w:rPr>
      </w:pPr>
      <w:r w:rsidRPr="003003B2">
        <w:rPr>
          <w:color w:val="222222"/>
          <w:sz w:val="24"/>
          <w:szCs w:val="24"/>
        </w:rPr>
        <w:t>i)  Corresponder con lo descrito en la acción de mejora, la unidad de medida, y la cantidad.</w:t>
      </w:r>
    </w:p>
    <w:p w14:paraId="7FA3AB14" w14:textId="77777777" w:rsidR="00907C81" w:rsidRPr="003003B2" w:rsidRDefault="00907C81" w:rsidP="00907C81">
      <w:pPr>
        <w:tabs>
          <w:tab w:val="left" w:pos="851"/>
        </w:tabs>
        <w:ind w:left="1134" w:hanging="425"/>
        <w:jc w:val="both"/>
        <w:rPr>
          <w:color w:val="222222"/>
          <w:sz w:val="24"/>
          <w:szCs w:val="24"/>
        </w:rPr>
      </w:pPr>
    </w:p>
    <w:p w14:paraId="44E72955" w14:textId="77777777" w:rsidR="00907C81" w:rsidRPr="003003B2" w:rsidRDefault="00907C81" w:rsidP="00907C81">
      <w:pPr>
        <w:tabs>
          <w:tab w:val="left" w:pos="851"/>
        </w:tabs>
        <w:ind w:left="993" w:hanging="283"/>
        <w:jc w:val="both"/>
        <w:rPr>
          <w:color w:val="222222"/>
          <w:sz w:val="24"/>
          <w:szCs w:val="24"/>
        </w:rPr>
      </w:pPr>
      <w:r w:rsidRPr="003003B2">
        <w:rPr>
          <w:color w:val="222222"/>
          <w:sz w:val="24"/>
          <w:szCs w:val="24"/>
        </w:rPr>
        <w:t>ii) Ser claros y suficientes para evidenciar el cumplimiento de la acción propuesta.</w:t>
      </w:r>
    </w:p>
    <w:p w14:paraId="73298083" w14:textId="77777777" w:rsidR="00907C81" w:rsidRPr="003003B2" w:rsidRDefault="00907C81" w:rsidP="00907C81">
      <w:pPr>
        <w:tabs>
          <w:tab w:val="left" w:pos="851"/>
        </w:tabs>
        <w:ind w:left="709"/>
        <w:jc w:val="both"/>
        <w:rPr>
          <w:color w:val="222222"/>
          <w:sz w:val="24"/>
          <w:szCs w:val="24"/>
        </w:rPr>
      </w:pPr>
    </w:p>
    <w:p w14:paraId="1A340B3E" w14:textId="77777777" w:rsidR="00907C81" w:rsidRPr="003003B2" w:rsidRDefault="00907C81" w:rsidP="00907C81">
      <w:pPr>
        <w:tabs>
          <w:tab w:val="left" w:pos="851"/>
        </w:tabs>
        <w:ind w:left="1134" w:hanging="425"/>
        <w:jc w:val="both"/>
        <w:rPr>
          <w:color w:val="222222"/>
          <w:sz w:val="24"/>
          <w:szCs w:val="24"/>
        </w:rPr>
      </w:pPr>
      <w:r w:rsidRPr="003003B2">
        <w:rPr>
          <w:color w:val="222222"/>
          <w:sz w:val="24"/>
          <w:szCs w:val="24"/>
        </w:rPr>
        <w:t>iii) Estar diligenciados en su totalidad, con la fecha de realización y las firmas requeridas.</w:t>
      </w:r>
    </w:p>
    <w:p w14:paraId="59A0017E" w14:textId="77777777" w:rsidR="00907C81" w:rsidRPr="003003B2" w:rsidRDefault="00907C81" w:rsidP="00907C81">
      <w:pPr>
        <w:tabs>
          <w:tab w:val="left" w:pos="851"/>
        </w:tabs>
        <w:ind w:left="1134" w:hanging="425"/>
        <w:jc w:val="both"/>
        <w:rPr>
          <w:color w:val="222222"/>
          <w:sz w:val="24"/>
          <w:szCs w:val="24"/>
        </w:rPr>
      </w:pPr>
    </w:p>
    <w:p w14:paraId="6A6632E9" w14:textId="77777777" w:rsidR="00907C81" w:rsidRPr="003003B2" w:rsidRDefault="00907C81" w:rsidP="00907C81">
      <w:pPr>
        <w:tabs>
          <w:tab w:val="left" w:pos="851"/>
        </w:tabs>
        <w:ind w:left="1134" w:hanging="425"/>
        <w:jc w:val="both"/>
        <w:rPr>
          <w:color w:val="222222"/>
          <w:sz w:val="24"/>
          <w:szCs w:val="24"/>
        </w:rPr>
      </w:pPr>
      <w:r w:rsidRPr="003003B2">
        <w:rPr>
          <w:color w:val="222222"/>
          <w:sz w:val="24"/>
          <w:szCs w:val="24"/>
        </w:rPr>
        <w:t>iv) Contar con sustento de cumplimiento</w:t>
      </w:r>
      <w:r w:rsidRPr="003003B2">
        <w:rPr>
          <w:sz w:val="24"/>
          <w:szCs w:val="24"/>
        </w:rPr>
        <w:t xml:space="preserve"> dentro del plazo establecido en el plan de mejoramiento.</w:t>
      </w:r>
      <w:r w:rsidRPr="003003B2">
        <w:rPr>
          <w:color w:val="222222"/>
          <w:sz w:val="24"/>
          <w:szCs w:val="24"/>
        </w:rPr>
        <w:t xml:space="preserve"> </w:t>
      </w:r>
    </w:p>
    <w:p w14:paraId="6DBC0350" w14:textId="77777777" w:rsidR="00907C81" w:rsidRPr="003003B2" w:rsidRDefault="00907C81" w:rsidP="00907C81">
      <w:pPr>
        <w:tabs>
          <w:tab w:val="left" w:pos="851"/>
        </w:tabs>
        <w:ind w:left="1134" w:hanging="425"/>
        <w:jc w:val="both"/>
        <w:rPr>
          <w:color w:val="222222"/>
          <w:sz w:val="24"/>
          <w:szCs w:val="24"/>
        </w:rPr>
      </w:pPr>
    </w:p>
    <w:p w14:paraId="60D7F8C4" w14:textId="77777777" w:rsidR="00907C81" w:rsidRPr="003003B2" w:rsidRDefault="00907C81" w:rsidP="00907C81">
      <w:pPr>
        <w:numPr>
          <w:ilvl w:val="0"/>
          <w:numId w:val="30"/>
        </w:numPr>
        <w:pBdr>
          <w:top w:val="nil"/>
          <w:left w:val="nil"/>
          <w:bottom w:val="nil"/>
          <w:right w:val="nil"/>
          <w:between w:val="nil"/>
        </w:pBdr>
        <w:autoSpaceDE/>
        <w:autoSpaceDN/>
        <w:ind w:left="284" w:hanging="284"/>
        <w:jc w:val="both"/>
        <w:rPr>
          <w:color w:val="222222"/>
          <w:sz w:val="24"/>
          <w:szCs w:val="24"/>
        </w:rPr>
      </w:pPr>
      <w:r w:rsidRPr="003003B2">
        <w:rPr>
          <w:color w:val="222222"/>
          <w:sz w:val="24"/>
          <w:szCs w:val="24"/>
        </w:rPr>
        <w:t>Realizar periódicamente autoevaluación de las acciones propuestas en el plan de mejoramiento, analizando los eventos que puedan afectar su cumplimiento y si es necesario solicitar oportuna y debidamente justificadas las modificaciones ante el Comité Institucional de Coordinación de Control Interno, de acuerdo con los lineamientos comunicados por la Oficina Asesora de Planeación y Cumplimiento.</w:t>
      </w:r>
    </w:p>
    <w:p w14:paraId="586F55D6" w14:textId="77777777" w:rsidR="00907C81" w:rsidRPr="003003B2" w:rsidRDefault="00907C81" w:rsidP="00907C81">
      <w:pPr>
        <w:pBdr>
          <w:top w:val="nil"/>
          <w:left w:val="nil"/>
          <w:bottom w:val="nil"/>
          <w:right w:val="nil"/>
          <w:between w:val="nil"/>
        </w:pBdr>
        <w:jc w:val="both"/>
        <w:rPr>
          <w:color w:val="222222"/>
          <w:sz w:val="24"/>
          <w:szCs w:val="24"/>
        </w:rPr>
      </w:pPr>
    </w:p>
    <w:p w14:paraId="423CDC64" w14:textId="77777777" w:rsidR="00907C81" w:rsidRPr="003003B2" w:rsidRDefault="00907C81" w:rsidP="00907C81">
      <w:pPr>
        <w:numPr>
          <w:ilvl w:val="0"/>
          <w:numId w:val="30"/>
        </w:numPr>
        <w:pBdr>
          <w:top w:val="nil"/>
          <w:left w:val="nil"/>
          <w:bottom w:val="nil"/>
          <w:right w:val="nil"/>
          <w:between w:val="nil"/>
        </w:pBdr>
        <w:autoSpaceDE/>
        <w:autoSpaceDN/>
        <w:ind w:left="284" w:hanging="284"/>
        <w:jc w:val="both"/>
        <w:rPr>
          <w:color w:val="222222"/>
          <w:sz w:val="24"/>
          <w:szCs w:val="24"/>
        </w:rPr>
      </w:pPr>
      <w:r w:rsidRPr="003003B2">
        <w:rPr>
          <w:color w:val="222222"/>
          <w:sz w:val="24"/>
          <w:szCs w:val="24"/>
        </w:rPr>
        <w:t>Prestar atención a aquellas actividades descritas en el plan que se refieren al envío de comunicaciones, solicitudes o directrices, dado que el documento por sí solo no es garantía de efectividad de la acción, por lo cual se debe hacer el seguimiento respectivo de la gestión y adjuntar los soportes de las acciones ejecutadas para complementar lo definido en el plan.</w:t>
      </w:r>
    </w:p>
    <w:p w14:paraId="33DFC684" w14:textId="77777777" w:rsidR="00907C81" w:rsidRDefault="00907C81" w:rsidP="00907C81">
      <w:pPr>
        <w:pBdr>
          <w:top w:val="nil"/>
          <w:left w:val="nil"/>
          <w:bottom w:val="nil"/>
          <w:right w:val="nil"/>
          <w:between w:val="nil"/>
        </w:pBdr>
        <w:jc w:val="both"/>
        <w:rPr>
          <w:color w:val="222222"/>
        </w:rPr>
      </w:pPr>
    </w:p>
    <w:p w14:paraId="45CFF739" w14:textId="77777777" w:rsidR="00AE355A" w:rsidRDefault="00AE355A" w:rsidP="00AE355A">
      <w:pPr>
        <w:tabs>
          <w:tab w:val="left" w:pos="2265"/>
          <w:tab w:val="left" w:pos="5293"/>
          <w:tab w:val="left" w:pos="7458"/>
          <w:tab w:val="left" w:pos="9541"/>
        </w:tabs>
        <w:spacing w:before="92"/>
        <w:ind w:right="49"/>
        <w:jc w:val="both"/>
        <w:rPr>
          <w:b/>
          <w:sz w:val="28"/>
          <w:szCs w:val="28"/>
        </w:rPr>
      </w:pPr>
      <w:bookmarkStart w:id="5"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64C1EAF" w14:textId="77777777" w:rsidR="00AE355A" w:rsidRPr="00B54567" w:rsidRDefault="00AE355A" w:rsidP="00AE355A">
      <w:pPr>
        <w:tabs>
          <w:tab w:val="left" w:pos="2265"/>
          <w:tab w:val="left" w:pos="5293"/>
          <w:tab w:val="left" w:pos="7458"/>
          <w:tab w:val="left" w:pos="9541"/>
        </w:tabs>
        <w:spacing w:before="92"/>
        <w:ind w:right="49"/>
        <w:jc w:val="both"/>
        <w:rPr>
          <w:b/>
          <w:sz w:val="28"/>
          <w:szCs w:val="28"/>
        </w:rPr>
      </w:pPr>
    </w:p>
    <w:p w14:paraId="414200FB" w14:textId="01764616" w:rsidR="00AE355A" w:rsidRPr="00B54567" w:rsidRDefault="00AE355A" w:rsidP="00AE355A">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23" w:history="1">
        <w:r w:rsidR="00F93EE9"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24" w:history="1">
        <w:r w:rsidRPr="00B54567">
          <w:rPr>
            <w:rStyle w:val="Hipervnculo"/>
            <w:b/>
            <w:sz w:val="28"/>
            <w:szCs w:val="28"/>
            <w:u w:val="thick" w:color="0000FF"/>
          </w:rPr>
          <w:t>fabian.trujillo@camara.gov.co</w:t>
        </w:r>
      </w:hyperlink>
    </w:p>
    <w:p w14:paraId="1C2C7C1F" w14:textId="77777777" w:rsidR="00AE355A" w:rsidRPr="00B54567" w:rsidRDefault="00AE355A" w:rsidP="00AE355A">
      <w:pPr>
        <w:tabs>
          <w:tab w:val="left" w:pos="8985"/>
        </w:tabs>
        <w:ind w:right="49"/>
        <w:jc w:val="both"/>
        <w:rPr>
          <w:b/>
          <w:sz w:val="28"/>
          <w:szCs w:val="28"/>
        </w:rPr>
      </w:pPr>
    </w:p>
    <w:p w14:paraId="71A26A0E" w14:textId="77777777" w:rsidR="00AE355A" w:rsidRDefault="00AE355A" w:rsidP="00AE355A">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7ECB8F25" w14:textId="77777777" w:rsidR="00AE355A" w:rsidRDefault="00AE355A" w:rsidP="00AE355A">
      <w:pPr>
        <w:tabs>
          <w:tab w:val="left" w:pos="834"/>
        </w:tabs>
        <w:spacing w:before="91"/>
        <w:ind w:right="49"/>
        <w:jc w:val="both"/>
        <w:rPr>
          <w:b/>
          <w:spacing w:val="-15"/>
          <w:sz w:val="28"/>
          <w:szCs w:val="28"/>
        </w:rPr>
      </w:pPr>
    </w:p>
    <w:p w14:paraId="623F8C94" w14:textId="77777777" w:rsidR="00AE355A" w:rsidRPr="009D3600" w:rsidRDefault="00AE355A" w:rsidP="00AE355A">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3B00F9A2" w14:textId="4EE7F041" w:rsidR="00AE355A" w:rsidRDefault="00AE355A" w:rsidP="00AE355A">
      <w:pPr>
        <w:pStyle w:val="Textoindependiente"/>
        <w:ind w:right="49"/>
        <w:rPr>
          <w:sz w:val="28"/>
          <w:szCs w:val="28"/>
        </w:rPr>
      </w:pPr>
    </w:p>
    <w:p w14:paraId="32F8D910" w14:textId="77777777" w:rsidR="003A7087" w:rsidRPr="00B54567" w:rsidRDefault="003A7087" w:rsidP="00AE355A">
      <w:pPr>
        <w:pStyle w:val="Textoindependiente"/>
        <w:ind w:right="49"/>
        <w:rPr>
          <w:sz w:val="28"/>
          <w:szCs w:val="28"/>
        </w:rPr>
      </w:pPr>
    </w:p>
    <w:p w14:paraId="4BC04583" w14:textId="599C727E" w:rsidR="00AE355A" w:rsidRDefault="00AE355A" w:rsidP="00DC75AC">
      <w:pPr>
        <w:pStyle w:val="Textoindependiente"/>
        <w:ind w:right="49"/>
        <w:rPr>
          <w:sz w:val="28"/>
          <w:szCs w:val="28"/>
        </w:rPr>
      </w:pPr>
      <w:r w:rsidRPr="00B54567">
        <w:rPr>
          <w:sz w:val="28"/>
          <w:szCs w:val="28"/>
        </w:rPr>
        <w:t>Atentamente,</w:t>
      </w:r>
    </w:p>
    <w:p w14:paraId="61E12443" w14:textId="15390C0A" w:rsidR="00DC75AC" w:rsidRDefault="00DC75AC" w:rsidP="00DC75AC">
      <w:pPr>
        <w:pStyle w:val="Textoindependiente"/>
        <w:ind w:right="49"/>
        <w:rPr>
          <w:sz w:val="28"/>
          <w:szCs w:val="28"/>
        </w:rPr>
      </w:pPr>
    </w:p>
    <w:p w14:paraId="488F8C1C" w14:textId="45FEFC04" w:rsidR="00DC75AC" w:rsidRDefault="00DC75AC" w:rsidP="00DC75AC">
      <w:pPr>
        <w:pStyle w:val="Textoindependiente"/>
        <w:ind w:right="49"/>
        <w:rPr>
          <w:sz w:val="28"/>
          <w:szCs w:val="28"/>
        </w:rPr>
      </w:pPr>
    </w:p>
    <w:p w14:paraId="62170A3B" w14:textId="28F05F0A" w:rsidR="00DC75AC" w:rsidRDefault="00DC75AC" w:rsidP="00DC75AC">
      <w:pPr>
        <w:pStyle w:val="Textoindependiente"/>
        <w:ind w:right="49"/>
        <w:rPr>
          <w:sz w:val="28"/>
          <w:szCs w:val="28"/>
        </w:rPr>
      </w:pPr>
    </w:p>
    <w:p w14:paraId="287AC1CD" w14:textId="08698DAC" w:rsidR="00DC75AC" w:rsidRDefault="00DC75AC" w:rsidP="00DC75AC">
      <w:pPr>
        <w:pStyle w:val="Textoindependiente"/>
        <w:ind w:right="49"/>
        <w:rPr>
          <w:sz w:val="28"/>
          <w:szCs w:val="28"/>
        </w:rPr>
      </w:pPr>
    </w:p>
    <w:p w14:paraId="546CBBCD" w14:textId="6A6D89C7" w:rsidR="00DC75AC" w:rsidRDefault="00DC75AC" w:rsidP="00DC75AC">
      <w:pPr>
        <w:pStyle w:val="Textoindependiente"/>
        <w:ind w:right="49"/>
        <w:rPr>
          <w:sz w:val="28"/>
          <w:szCs w:val="28"/>
        </w:rPr>
      </w:pPr>
    </w:p>
    <w:p w14:paraId="23308D7A" w14:textId="77777777" w:rsidR="00FE65D9" w:rsidRDefault="00FE65D9" w:rsidP="00FE65D9">
      <w:pPr>
        <w:pStyle w:val="Textoindependiente"/>
        <w:jc w:val="center"/>
        <w:rPr>
          <w:i/>
          <w:iCs/>
        </w:rPr>
      </w:pPr>
      <w:r>
        <w:rPr>
          <w:i/>
          <w:iCs/>
        </w:rPr>
        <w:t>Original firmado</w:t>
      </w:r>
    </w:p>
    <w:p w14:paraId="074B7D20" w14:textId="77777777" w:rsidR="00DC75AC" w:rsidRPr="00B54567" w:rsidRDefault="00DC75AC" w:rsidP="00DC75AC">
      <w:pPr>
        <w:pStyle w:val="Textoindependiente"/>
        <w:ind w:right="49"/>
        <w:rPr>
          <w:b/>
        </w:rPr>
      </w:pPr>
    </w:p>
    <w:p w14:paraId="2A379978" w14:textId="77777777" w:rsidR="00AE355A" w:rsidRPr="00B54567" w:rsidRDefault="00AE355A" w:rsidP="00AE355A">
      <w:pPr>
        <w:ind w:right="49"/>
        <w:jc w:val="center"/>
        <w:rPr>
          <w:b/>
          <w:sz w:val="24"/>
          <w:szCs w:val="24"/>
        </w:rPr>
      </w:pPr>
      <w:r w:rsidRPr="00B54567">
        <w:rPr>
          <w:b/>
          <w:sz w:val="24"/>
          <w:szCs w:val="24"/>
        </w:rPr>
        <w:t>VICTOR ANDRÉS TOVAR TRUJILLO</w:t>
      </w:r>
    </w:p>
    <w:p w14:paraId="32075322" w14:textId="77777777" w:rsidR="00AE355A" w:rsidRPr="00B54567" w:rsidRDefault="00AE355A" w:rsidP="00AE355A">
      <w:pPr>
        <w:ind w:right="49"/>
        <w:jc w:val="center"/>
        <w:rPr>
          <w:b/>
          <w:sz w:val="24"/>
        </w:rPr>
      </w:pPr>
      <w:r w:rsidRPr="00B54567">
        <w:rPr>
          <w:b/>
          <w:sz w:val="24"/>
          <w:szCs w:val="24"/>
        </w:rPr>
        <w:t>Secretario General</w:t>
      </w:r>
      <w:r w:rsidRPr="00B54567">
        <w:rPr>
          <w:b/>
          <w:sz w:val="24"/>
        </w:rPr>
        <w:t xml:space="preserve"> </w:t>
      </w:r>
    </w:p>
    <w:p w14:paraId="5E0CFE37" w14:textId="77777777" w:rsidR="00AE355A" w:rsidRPr="00B54567" w:rsidRDefault="00AE355A" w:rsidP="00AE355A">
      <w:pPr>
        <w:ind w:right="49"/>
        <w:jc w:val="center"/>
        <w:rPr>
          <w:b/>
          <w:sz w:val="24"/>
        </w:rPr>
      </w:pPr>
      <w:r w:rsidRPr="00B54567">
        <w:rPr>
          <w:b/>
          <w:sz w:val="24"/>
        </w:rPr>
        <w:t xml:space="preserve">Comisión Legal de Cuentas </w:t>
      </w:r>
    </w:p>
    <w:p w14:paraId="33816D08" w14:textId="77777777" w:rsidR="00AE355A" w:rsidRPr="00B54567" w:rsidRDefault="00AE355A" w:rsidP="00AE355A">
      <w:pPr>
        <w:ind w:right="49"/>
        <w:jc w:val="center"/>
        <w:rPr>
          <w:b/>
          <w:sz w:val="24"/>
        </w:rPr>
      </w:pPr>
      <w:r w:rsidRPr="00B54567">
        <w:rPr>
          <w:b/>
          <w:sz w:val="24"/>
        </w:rPr>
        <w:t>Cámara de Representantes</w:t>
      </w:r>
    </w:p>
    <w:p w14:paraId="074098B6" w14:textId="77777777" w:rsidR="00AE355A" w:rsidRPr="00B54567" w:rsidRDefault="00AE355A" w:rsidP="00AE355A">
      <w:pPr>
        <w:ind w:right="49"/>
        <w:jc w:val="center"/>
        <w:rPr>
          <w:b/>
          <w:sz w:val="24"/>
        </w:rPr>
      </w:pPr>
      <w:r w:rsidRPr="00B54567">
        <w:rPr>
          <w:b/>
          <w:sz w:val="24"/>
        </w:rPr>
        <w:t>Carrera 7ª Nº 8 – 68 Edificio Nuevo del Congreso</w:t>
      </w:r>
    </w:p>
    <w:p w14:paraId="542F388F" w14:textId="77777777" w:rsidR="00AE355A" w:rsidRDefault="00AE355A" w:rsidP="00AE355A">
      <w:pPr>
        <w:ind w:right="49"/>
        <w:jc w:val="center"/>
        <w:rPr>
          <w:b/>
          <w:sz w:val="24"/>
        </w:rPr>
      </w:pPr>
      <w:r w:rsidRPr="00B54567">
        <w:rPr>
          <w:b/>
          <w:sz w:val="24"/>
        </w:rPr>
        <w:t>Bogotá D.C.</w:t>
      </w:r>
      <w:r>
        <w:rPr>
          <w:b/>
          <w:sz w:val="24"/>
        </w:rPr>
        <w:t xml:space="preserve"> </w:t>
      </w:r>
    </w:p>
    <w:p w14:paraId="3299B9DD" w14:textId="77777777" w:rsidR="00AE355A" w:rsidRDefault="00AE355A" w:rsidP="00AE355A">
      <w:pPr>
        <w:ind w:right="49"/>
        <w:jc w:val="center"/>
        <w:rPr>
          <w:b/>
          <w:sz w:val="24"/>
        </w:rPr>
      </w:pPr>
    </w:p>
    <w:p w14:paraId="4E7C2D0C" w14:textId="77777777" w:rsidR="00AE355A" w:rsidRDefault="00AE355A" w:rsidP="00AE355A">
      <w:pPr>
        <w:ind w:right="49"/>
        <w:jc w:val="center"/>
        <w:rPr>
          <w:b/>
          <w:sz w:val="24"/>
        </w:rPr>
      </w:pPr>
    </w:p>
    <w:bookmarkEnd w:id="5"/>
    <w:p w14:paraId="0CD9166E" w14:textId="77777777" w:rsidR="00AE355A" w:rsidRPr="00F07556" w:rsidRDefault="00AE355A" w:rsidP="00AE355A">
      <w:pPr>
        <w:rPr>
          <w:b/>
          <w:bCs/>
          <w:sz w:val="24"/>
          <w:szCs w:val="24"/>
        </w:rPr>
      </w:pPr>
    </w:p>
    <w:p w14:paraId="768DA562" w14:textId="77777777" w:rsidR="009F68D9" w:rsidRPr="007A08F1" w:rsidRDefault="009F68D9" w:rsidP="007A08F1"/>
    <w:sectPr w:rsidR="009F68D9" w:rsidRPr="007A08F1" w:rsidSect="00343CF3">
      <w:footerReference w:type="default" r:id="rId2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67E5" w14:textId="77777777" w:rsidR="00FA2632" w:rsidRDefault="00FA2632" w:rsidP="009D208A">
      <w:r>
        <w:separator/>
      </w:r>
    </w:p>
  </w:endnote>
  <w:endnote w:type="continuationSeparator" w:id="0">
    <w:p w14:paraId="3004C833" w14:textId="77777777" w:rsidR="00FA2632" w:rsidRDefault="00FA2632" w:rsidP="009D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23782"/>
      <w:docPartObj>
        <w:docPartGallery w:val="Page Numbers (Bottom of Page)"/>
        <w:docPartUnique/>
      </w:docPartObj>
    </w:sdtPr>
    <w:sdtEndPr/>
    <w:sdtContent>
      <w:p w14:paraId="75CFC71F" w14:textId="6AA15E9A" w:rsidR="009D208A" w:rsidRDefault="009D208A">
        <w:pPr>
          <w:pStyle w:val="Piedepgina"/>
          <w:jc w:val="center"/>
        </w:pPr>
        <w:r>
          <w:fldChar w:fldCharType="begin"/>
        </w:r>
        <w:r>
          <w:instrText>PAGE   \* MERGEFORMAT</w:instrText>
        </w:r>
        <w:r>
          <w:fldChar w:fldCharType="separate"/>
        </w:r>
        <w:r>
          <w:t>2</w:t>
        </w:r>
        <w:r>
          <w:fldChar w:fldCharType="end"/>
        </w:r>
      </w:p>
    </w:sdtContent>
  </w:sdt>
  <w:p w14:paraId="76E2C4A8" w14:textId="77777777" w:rsidR="009D208A" w:rsidRDefault="009D20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C36E" w14:textId="77777777" w:rsidR="00FA2632" w:rsidRDefault="00FA2632" w:rsidP="009D208A">
      <w:r>
        <w:separator/>
      </w:r>
    </w:p>
  </w:footnote>
  <w:footnote w:type="continuationSeparator" w:id="0">
    <w:p w14:paraId="1760FF41" w14:textId="77777777" w:rsidR="00FA2632" w:rsidRDefault="00FA2632" w:rsidP="009D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0A222B"/>
    <w:multiLevelType w:val="multilevel"/>
    <w:tmpl w:val="226AB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3B0836"/>
    <w:multiLevelType w:val="multilevel"/>
    <w:tmpl w:val="5D7CB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9C79F4"/>
    <w:multiLevelType w:val="multilevel"/>
    <w:tmpl w:val="B950EB6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9742B8"/>
    <w:multiLevelType w:val="multilevel"/>
    <w:tmpl w:val="A538C59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1" w15:restartNumberingAfterBreak="0">
    <w:nsid w:val="44A24F0A"/>
    <w:multiLevelType w:val="multilevel"/>
    <w:tmpl w:val="F62EF09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22"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480CDD"/>
    <w:multiLevelType w:val="hybridMultilevel"/>
    <w:tmpl w:val="F45E75BE"/>
    <w:lvl w:ilvl="0" w:tplc="BEDEFFE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4"/>
  </w:num>
  <w:num w:numId="5">
    <w:abstractNumId w:val="28"/>
  </w:num>
  <w:num w:numId="6">
    <w:abstractNumId w:val="17"/>
  </w:num>
  <w:num w:numId="7">
    <w:abstractNumId w:val="5"/>
  </w:num>
  <w:num w:numId="8">
    <w:abstractNumId w:val="31"/>
  </w:num>
  <w:num w:numId="9">
    <w:abstractNumId w:val="9"/>
  </w:num>
  <w:num w:numId="10">
    <w:abstractNumId w:val="8"/>
  </w:num>
  <w:num w:numId="11">
    <w:abstractNumId w:val="15"/>
  </w:num>
  <w:num w:numId="12">
    <w:abstractNumId w:val="27"/>
  </w:num>
  <w:num w:numId="13">
    <w:abstractNumId w:val="13"/>
  </w:num>
  <w:num w:numId="14">
    <w:abstractNumId w:val="22"/>
  </w:num>
  <w:num w:numId="15">
    <w:abstractNumId w:val="24"/>
  </w:num>
  <w:num w:numId="16">
    <w:abstractNumId w:val="18"/>
  </w:num>
  <w:num w:numId="17">
    <w:abstractNumId w:val="0"/>
  </w:num>
  <w:num w:numId="18">
    <w:abstractNumId w:val="26"/>
  </w:num>
  <w:num w:numId="19">
    <w:abstractNumId w:val="23"/>
  </w:num>
  <w:num w:numId="20">
    <w:abstractNumId w:val="25"/>
  </w:num>
  <w:num w:numId="21">
    <w:abstractNumId w:val="10"/>
  </w:num>
  <w:num w:numId="22">
    <w:abstractNumId w:val="1"/>
  </w:num>
  <w:num w:numId="23">
    <w:abstractNumId w:val="3"/>
  </w:num>
  <w:num w:numId="24">
    <w:abstractNumId w:val="4"/>
  </w:num>
  <w:num w:numId="25">
    <w:abstractNumId w:val="19"/>
  </w:num>
  <w:num w:numId="26">
    <w:abstractNumId w:val="30"/>
  </w:num>
  <w:num w:numId="27">
    <w:abstractNumId w:val="12"/>
  </w:num>
  <w:num w:numId="28">
    <w:abstractNumId w:val="11"/>
  </w:num>
  <w:num w:numId="29">
    <w:abstractNumId w:val="29"/>
  </w:num>
  <w:num w:numId="30">
    <w:abstractNumId w:val="7"/>
  </w:num>
  <w:num w:numId="31">
    <w:abstractNumId w:val="21"/>
  </w:num>
  <w:num w:numId="3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878C2"/>
    <w:rsid w:val="001B6ED4"/>
    <w:rsid w:val="002B5E0A"/>
    <w:rsid w:val="00343CF3"/>
    <w:rsid w:val="003A7087"/>
    <w:rsid w:val="00592A28"/>
    <w:rsid w:val="005F6830"/>
    <w:rsid w:val="007A08F1"/>
    <w:rsid w:val="00907C81"/>
    <w:rsid w:val="00947D0A"/>
    <w:rsid w:val="009D208A"/>
    <w:rsid w:val="009F68D9"/>
    <w:rsid w:val="00AE355A"/>
    <w:rsid w:val="00C97D4D"/>
    <w:rsid w:val="00DC537C"/>
    <w:rsid w:val="00DC75AC"/>
    <w:rsid w:val="00E25BB4"/>
    <w:rsid w:val="00E55A05"/>
    <w:rsid w:val="00E76114"/>
    <w:rsid w:val="00F93EE9"/>
    <w:rsid w:val="00FA2632"/>
    <w:rsid w:val="00FD63B5"/>
    <w:rsid w:val="00FE65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55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32546">
      <w:bodyDiv w:val="1"/>
      <w:marLeft w:val="0"/>
      <w:marRight w:val="0"/>
      <w:marTop w:val="0"/>
      <w:marBottom w:val="0"/>
      <w:divBdr>
        <w:top w:val="none" w:sz="0" w:space="0" w:color="auto"/>
        <w:left w:val="none" w:sz="0" w:space="0" w:color="auto"/>
        <w:bottom w:val="none" w:sz="0" w:space="0" w:color="auto"/>
        <w:right w:val="none" w:sz="0" w:space="0" w:color="auto"/>
      </w:divBdr>
    </w:div>
    <w:div w:id="747651169">
      <w:bodyDiv w:val="1"/>
      <w:marLeft w:val="0"/>
      <w:marRight w:val="0"/>
      <w:marTop w:val="0"/>
      <w:marBottom w:val="0"/>
      <w:divBdr>
        <w:top w:val="none" w:sz="0" w:space="0" w:color="auto"/>
        <w:left w:val="none" w:sz="0" w:space="0" w:color="auto"/>
        <w:bottom w:val="none" w:sz="0" w:space="0" w:color="auto"/>
        <w:right w:val="none" w:sz="0" w:space="0" w:color="auto"/>
      </w:divBdr>
    </w:div>
    <w:div w:id="17704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fabian.trujillo@camara.gov.co"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comision.legal"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6859</Words>
  <Characters>37725</Characters>
  <Application>Microsoft Office Word</Application>
  <DocSecurity>0</DocSecurity>
  <Lines>314</Lines>
  <Paragraphs>88</Paragraphs>
  <ScaleCrop>false</ScaleCrop>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12</cp:revision>
  <dcterms:created xsi:type="dcterms:W3CDTF">2025-09-02T18:43:00Z</dcterms:created>
  <dcterms:modified xsi:type="dcterms:W3CDTF">2025-09-09T20:56:00Z</dcterms:modified>
</cp:coreProperties>
</file>