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567589" w14:paraId="231E4BE2" w14:textId="77777777" w:rsidTr="00882A6A">
        <w:trPr>
          <w:cantSplit/>
          <w:trHeight w:val="275"/>
        </w:trPr>
        <w:tc>
          <w:tcPr>
            <w:tcW w:w="1428" w:type="pct"/>
            <w:vMerge w:val="restart"/>
            <w:tcBorders>
              <w:bottom w:val="single" w:sz="4" w:space="0" w:color="auto"/>
            </w:tcBorders>
            <w:vAlign w:val="center"/>
          </w:tcPr>
          <w:p w14:paraId="6545C97E" w14:textId="77777777" w:rsidR="00567589" w:rsidRDefault="00567589" w:rsidP="00882A6A">
            <w:pPr>
              <w:pStyle w:val="Encabezado"/>
              <w:ind w:left="-567"/>
              <w:jc w:val="center"/>
              <w:rPr>
                <w:b/>
                <w:sz w:val="16"/>
                <w:szCs w:val="16"/>
              </w:rPr>
            </w:pPr>
            <w:bookmarkStart w:id="0" w:name="_Hlk208305068"/>
            <w:bookmarkStart w:id="1" w:name="_Hlk207871767"/>
            <w:r>
              <w:rPr>
                <w:b/>
                <w:noProof/>
                <w:sz w:val="16"/>
                <w:szCs w:val="16"/>
                <w:lang w:eastAsia="es-CO"/>
              </w:rPr>
              <w:drawing>
                <wp:anchor distT="0" distB="0" distL="114300" distR="114300" simplePos="0" relativeHeight="251659264" behindDoc="0" locked="0" layoutInCell="1" allowOverlap="1" wp14:anchorId="50474A54" wp14:editId="59FB49A9">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414FC855" w14:textId="77777777" w:rsidR="00567589" w:rsidRPr="00A45DDC" w:rsidRDefault="00567589"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2CC52B63" w14:textId="77777777" w:rsidR="00567589" w:rsidRPr="00C621C5" w:rsidRDefault="00567589" w:rsidP="00882A6A">
            <w:pPr>
              <w:pStyle w:val="Encabezado"/>
              <w:ind w:right="-107"/>
              <w:jc w:val="center"/>
              <w:rPr>
                <w:b/>
                <w:sz w:val="20"/>
                <w:szCs w:val="20"/>
              </w:rPr>
            </w:pPr>
          </w:p>
        </w:tc>
      </w:tr>
      <w:tr w:rsidR="00567589" w14:paraId="12ACD458" w14:textId="77777777" w:rsidTr="00882A6A">
        <w:trPr>
          <w:cantSplit/>
          <w:trHeight w:val="137"/>
        </w:trPr>
        <w:tc>
          <w:tcPr>
            <w:tcW w:w="1428" w:type="pct"/>
            <w:vMerge/>
            <w:tcBorders>
              <w:bottom w:val="single" w:sz="4" w:space="0" w:color="auto"/>
            </w:tcBorders>
            <w:vAlign w:val="center"/>
          </w:tcPr>
          <w:p w14:paraId="5C51EB8D" w14:textId="77777777" w:rsidR="00567589" w:rsidRDefault="00567589" w:rsidP="00882A6A">
            <w:pPr>
              <w:pStyle w:val="Encabezado"/>
              <w:jc w:val="center"/>
            </w:pPr>
          </w:p>
        </w:tc>
        <w:tc>
          <w:tcPr>
            <w:tcW w:w="2144" w:type="pct"/>
            <w:vMerge w:val="restart"/>
            <w:vAlign w:val="center"/>
          </w:tcPr>
          <w:p w14:paraId="4DC660E1" w14:textId="77777777" w:rsidR="00567589" w:rsidRPr="00EC47A2" w:rsidRDefault="00567589"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4E7F7DB7" w14:textId="77777777" w:rsidR="00567589" w:rsidRPr="00D93A3A" w:rsidRDefault="00567589" w:rsidP="00882A6A">
            <w:pPr>
              <w:pStyle w:val="Encabezado"/>
              <w:jc w:val="center"/>
              <w:rPr>
                <w:b/>
              </w:rPr>
            </w:pPr>
            <w:r w:rsidRPr="00EC47A2">
              <w:rPr>
                <w:rFonts w:cstheme="minorHAnsi"/>
                <w:b/>
              </w:rPr>
              <w:t>Legislatura 2025 - 2026</w:t>
            </w:r>
          </w:p>
        </w:tc>
        <w:tc>
          <w:tcPr>
            <w:tcW w:w="499" w:type="pct"/>
            <w:vAlign w:val="center"/>
          </w:tcPr>
          <w:p w14:paraId="0C06B77D" w14:textId="77777777" w:rsidR="00567589" w:rsidRPr="00EC47A2" w:rsidRDefault="00567589" w:rsidP="00882A6A">
            <w:pPr>
              <w:pStyle w:val="Encabezado"/>
              <w:spacing w:line="360" w:lineRule="auto"/>
              <w:jc w:val="center"/>
              <w:rPr>
                <w:sz w:val="16"/>
                <w:szCs w:val="16"/>
              </w:rPr>
            </w:pPr>
            <w:r w:rsidRPr="00EC47A2">
              <w:rPr>
                <w:sz w:val="16"/>
                <w:szCs w:val="16"/>
              </w:rPr>
              <w:t>CÓDIGO</w:t>
            </w:r>
          </w:p>
        </w:tc>
        <w:tc>
          <w:tcPr>
            <w:tcW w:w="929" w:type="pct"/>
            <w:vAlign w:val="center"/>
          </w:tcPr>
          <w:p w14:paraId="78BA005C" w14:textId="3A0C9EB6" w:rsidR="00567589" w:rsidRPr="00EC47A2" w:rsidRDefault="00567589" w:rsidP="00882A6A">
            <w:pPr>
              <w:pStyle w:val="Encabezado"/>
              <w:spacing w:line="360" w:lineRule="auto"/>
              <w:ind w:right="-94" w:hanging="108"/>
              <w:jc w:val="center"/>
              <w:rPr>
                <w:sz w:val="16"/>
                <w:szCs w:val="16"/>
              </w:rPr>
            </w:pPr>
            <w:r w:rsidRPr="00EC47A2">
              <w:rPr>
                <w:sz w:val="16"/>
                <w:szCs w:val="16"/>
              </w:rPr>
              <w:t>CLC. 3.9   1</w:t>
            </w:r>
            <w:r>
              <w:rPr>
                <w:sz w:val="16"/>
                <w:szCs w:val="16"/>
              </w:rPr>
              <w:t>704</w:t>
            </w:r>
            <w:r w:rsidRPr="00EC47A2">
              <w:rPr>
                <w:sz w:val="16"/>
                <w:szCs w:val="16"/>
              </w:rPr>
              <w:t xml:space="preserve"> - 25</w:t>
            </w:r>
          </w:p>
        </w:tc>
      </w:tr>
      <w:tr w:rsidR="00567589" w14:paraId="34852C7D" w14:textId="77777777" w:rsidTr="00882A6A">
        <w:trPr>
          <w:cantSplit/>
          <w:trHeight w:val="63"/>
        </w:trPr>
        <w:tc>
          <w:tcPr>
            <w:tcW w:w="1428" w:type="pct"/>
            <w:vMerge/>
            <w:tcBorders>
              <w:bottom w:val="single" w:sz="4" w:space="0" w:color="auto"/>
            </w:tcBorders>
            <w:vAlign w:val="center"/>
          </w:tcPr>
          <w:p w14:paraId="0B5ADE75" w14:textId="77777777" w:rsidR="00567589" w:rsidRDefault="00567589" w:rsidP="00882A6A">
            <w:pPr>
              <w:pStyle w:val="Encabezado"/>
              <w:jc w:val="center"/>
              <w:rPr>
                <w:b/>
                <w:sz w:val="28"/>
                <w:szCs w:val="28"/>
              </w:rPr>
            </w:pPr>
          </w:p>
        </w:tc>
        <w:tc>
          <w:tcPr>
            <w:tcW w:w="2144" w:type="pct"/>
            <w:vMerge/>
            <w:vAlign w:val="center"/>
          </w:tcPr>
          <w:p w14:paraId="3814E19B" w14:textId="77777777" w:rsidR="00567589" w:rsidRPr="00D335DF" w:rsidRDefault="00567589" w:rsidP="00882A6A">
            <w:pPr>
              <w:pStyle w:val="Encabezado"/>
              <w:jc w:val="center"/>
              <w:rPr>
                <w:b/>
                <w:sz w:val="28"/>
                <w:szCs w:val="28"/>
              </w:rPr>
            </w:pPr>
          </w:p>
        </w:tc>
        <w:tc>
          <w:tcPr>
            <w:tcW w:w="499" w:type="pct"/>
            <w:vAlign w:val="center"/>
          </w:tcPr>
          <w:p w14:paraId="141FCC81" w14:textId="77777777" w:rsidR="00567589" w:rsidRPr="00EC47A2" w:rsidRDefault="00567589" w:rsidP="00882A6A">
            <w:pPr>
              <w:pStyle w:val="Encabezado"/>
              <w:spacing w:line="360" w:lineRule="auto"/>
              <w:jc w:val="center"/>
              <w:rPr>
                <w:sz w:val="16"/>
                <w:szCs w:val="16"/>
              </w:rPr>
            </w:pPr>
            <w:r w:rsidRPr="00EC47A2">
              <w:rPr>
                <w:sz w:val="16"/>
                <w:szCs w:val="16"/>
              </w:rPr>
              <w:t>VERSIÓN</w:t>
            </w:r>
          </w:p>
        </w:tc>
        <w:tc>
          <w:tcPr>
            <w:tcW w:w="929" w:type="pct"/>
            <w:vAlign w:val="center"/>
          </w:tcPr>
          <w:p w14:paraId="22F5387F" w14:textId="77777777" w:rsidR="00567589" w:rsidRPr="00EC47A2" w:rsidRDefault="00567589" w:rsidP="00882A6A">
            <w:pPr>
              <w:pStyle w:val="Encabezado"/>
              <w:spacing w:line="360" w:lineRule="auto"/>
              <w:jc w:val="center"/>
              <w:rPr>
                <w:sz w:val="16"/>
                <w:szCs w:val="16"/>
              </w:rPr>
            </w:pPr>
            <w:r w:rsidRPr="00EC47A2">
              <w:rPr>
                <w:sz w:val="16"/>
                <w:szCs w:val="16"/>
              </w:rPr>
              <w:t>01-2016</w:t>
            </w:r>
          </w:p>
        </w:tc>
      </w:tr>
      <w:tr w:rsidR="00567589" w14:paraId="3B91982F" w14:textId="77777777" w:rsidTr="00882A6A">
        <w:trPr>
          <w:cantSplit/>
          <w:trHeight w:val="322"/>
        </w:trPr>
        <w:tc>
          <w:tcPr>
            <w:tcW w:w="1428" w:type="pct"/>
            <w:vMerge/>
            <w:tcBorders>
              <w:bottom w:val="single" w:sz="4" w:space="0" w:color="auto"/>
            </w:tcBorders>
            <w:vAlign w:val="center"/>
          </w:tcPr>
          <w:p w14:paraId="740894C5" w14:textId="77777777" w:rsidR="00567589" w:rsidRDefault="00567589" w:rsidP="00882A6A">
            <w:pPr>
              <w:pStyle w:val="Encabezado"/>
              <w:jc w:val="center"/>
              <w:rPr>
                <w:b/>
                <w:sz w:val="28"/>
                <w:szCs w:val="28"/>
              </w:rPr>
            </w:pPr>
          </w:p>
        </w:tc>
        <w:tc>
          <w:tcPr>
            <w:tcW w:w="2144" w:type="pct"/>
            <w:vMerge/>
            <w:vAlign w:val="center"/>
          </w:tcPr>
          <w:p w14:paraId="08402FD9" w14:textId="77777777" w:rsidR="00567589" w:rsidRPr="00D335DF" w:rsidRDefault="00567589" w:rsidP="00882A6A">
            <w:pPr>
              <w:pStyle w:val="Encabezado"/>
              <w:jc w:val="center"/>
              <w:rPr>
                <w:b/>
                <w:sz w:val="28"/>
                <w:szCs w:val="28"/>
              </w:rPr>
            </w:pPr>
          </w:p>
        </w:tc>
        <w:tc>
          <w:tcPr>
            <w:tcW w:w="499" w:type="pct"/>
            <w:vAlign w:val="center"/>
          </w:tcPr>
          <w:p w14:paraId="21784910" w14:textId="77777777" w:rsidR="00567589" w:rsidRPr="00EC47A2" w:rsidRDefault="00567589" w:rsidP="00882A6A">
            <w:pPr>
              <w:pStyle w:val="Encabezado"/>
              <w:spacing w:line="360" w:lineRule="auto"/>
              <w:jc w:val="center"/>
              <w:rPr>
                <w:sz w:val="16"/>
                <w:szCs w:val="16"/>
              </w:rPr>
            </w:pPr>
            <w:r w:rsidRPr="00EC47A2">
              <w:rPr>
                <w:sz w:val="16"/>
                <w:szCs w:val="16"/>
              </w:rPr>
              <w:t>PÁGINA</w:t>
            </w:r>
          </w:p>
        </w:tc>
        <w:tc>
          <w:tcPr>
            <w:tcW w:w="929" w:type="pct"/>
            <w:vAlign w:val="center"/>
          </w:tcPr>
          <w:p w14:paraId="1E97AB41" w14:textId="77777777" w:rsidR="00567589" w:rsidRPr="00EC47A2" w:rsidRDefault="00567589" w:rsidP="00882A6A">
            <w:pPr>
              <w:pStyle w:val="Encabezado"/>
              <w:spacing w:line="360" w:lineRule="auto"/>
              <w:jc w:val="center"/>
              <w:rPr>
                <w:sz w:val="16"/>
                <w:szCs w:val="16"/>
              </w:rPr>
            </w:pPr>
            <w:r w:rsidRPr="00EC47A2">
              <w:rPr>
                <w:b/>
                <w:sz w:val="16"/>
                <w:szCs w:val="16"/>
              </w:rPr>
              <w:t>1</w:t>
            </w:r>
          </w:p>
        </w:tc>
      </w:tr>
    </w:tbl>
    <w:p w14:paraId="5B88060F" w14:textId="77777777" w:rsidR="00567589" w:rsidRDefault="00567589" w:rsidP="00567589">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0C5D5621" w14:textId="77777777" w:rsidR="00567589" w:rsidRDefault="00567589" w:rsidP="00567589">
      <w:pPr>
        <w:jc w:val="both"/>
        <w:rPr>
          <w:bCs/>
          <w:sz w:val="28"/>
          <w:szCs w:val="28"/>
          <w:lang w:val="es-MX"/>
        </w:rPr>
      </w:pPr>
    </w:p>
    <w:p w14:paraId="73BDD9F2" w14:textId="77777777" w:rsidR="00567589" w:rsidRDefault="00567589" w:rsidP="00567589">
      <w:pPr>
        <w:jc w:val="both"/>
        <w:rPr>
          <w:bCs/>
          <w:sz w:val="28"/>
          <w:szCs w:val="28"/>
          <w:lang w:val="es-MX"/>
        </w:rPr>
      </w:pPr>
    </w:p>
    <w:p w14:paraId="555F0E53" w14:textId="77777777" w:rsidR="00567589" w:rsidRPr="00EC47A2" w:rsidRDefault="00567589" w:rsidP="00567589">
      <w:pPr>
        <w:jc w:val="both"/>
        <w:rPr>
          <w:bCs/>
          <w:sz w:val="28"/>
          <w:szCs w:val="28"/>
          <w:lang w:val="es-MX"/>
        </w:rPr>
      </w:pPr>
    </w:p>
    <w:p w14:paraId="3AB57845" w14:textId="77777777" w:rsidR="00567589" w:rsidRPr="00DB63C7" w:rsidRDefault="00567589" w:rsidP="00567589">
      <w:pPr>
        <w:pStyle w:val="Prrafodelista"/>
        <w:ind w:left="0" w:right="49"/>
        <w:jc w:val="both"/>
        <w:rPr>
          <w:sz w:val="28"/>
          <w:szCs w:val="28"/>
        </w:rPr>
      </w:pPr>
      <w:r w:rsidRPr="00DB63C7">
        <w:rPr>
          <w:sz w:val="28"/>
          <w:szCs w:val="28"/>
        </w:rPr>
        <w:t>Doctor</w:t>
      </w:r>
    </w:p>
    <w:p w14:paraId="00E40581" w14:textId="6699D0E7" w:rsidR="001F1E97" w:rsidRPr="001F1E97" w:rsidRDefault="007A14D9" w:rsidP="001F1E97">
      <w:pPr>
        <w:pStyle w:val="Prrafodelista"/>
        <w:ind w:left="0" w:right="49"/>
        <w:jc w:val="both"/>
        <w:rPr>
          <w:b/>
          <w:bCs/>
          <w:sz w:val="28"/>
          <w:szCs w:val="28"/>
        </w:rPr>
      </w:pPr>
      <w:bookmarkStart w:id="2" w:name="_Hlk208306433"/>
      <w:r>
        <w:rPr>
          <w:b/>
          <w:bCs/>
          <w:sz w:val="28"/>
          <w:szCs w:val="28"/>
        </w:rPr>
        <w:t>FIDEL IGNACIO ESPITIA ORDOÑEZ</w:t>
      </w:r>
    </w:p>
    <w:p w14:paraId="0EA43978" w14:textId="7CA54211" w:rsidR="001F1E97" w:rsidRPr="001F1E97" w:rsidRDefault="001F1E97" w:rsidP="001F1E97">
      <w:pPr>
        <w:pStyle w:val="Prrafodelista"/>
        <w:ind w:left="0" w:right="49"/>
        <w:jc w:val="both"/>
        <w:rPr>
          <w:sz w:val="28"/>
          <w:szCs w:val="28"/>
        </w:rPr>
      </w:pPr>
      <w:r w:rsidRPr="001F1E97">
        <w:rPr>
          <w:sz w:val="28"/>
          <w:szCs w:val="28"/>
        </w:rPr>
        <w:t>Director</w:t>
      </w:r>
      <w:r w:rsidR="00EB1518">
        <w:rPr>
          <w:sz w:val="28"/>
          <w:szCs w:val="28"/>
        </w:rPr>
        <w:t xml:space="preserve"> </w:t>
      </w:r>
      <w:proofErr w:type="gramStart"/>
      <w:r w:rsidR="00EB1518">
        <w:rPr>
          <w:sz w:val="28"/>
          <w:szCs w:val="28"/>
        </w:rPr>
        <w:t>( E</w:t>
      </w:r>
      <w:proofErr w:type="gramEnd"/>
      <w:r w:rsidR="00EB1518">
        <w:rPr>
          <w:sz w:val="28"/>
          <w:szCs w:val="28"/>
        </w:rPr>
        <w:t xml:space="preserve"> )</w:t>
      </w:r>
    </w:p>
    <w:p w14:paraId="28EE7D8A" w14:textId="77777777" w:rsidR="001F1E97" w:rsidRPr="001F1E97" w:rsidRDefault="001F1E97" w:rsidP="001F1E97">
      <w:pPr>
        <w:pStyle w:val="Prrafodelista"/>
        <w:ind w:left="0" w:right="49"/>
        <w:jc w:val="both"/>
        <w:rPr>
          <w:sz w:val="28"/>
          <w:szCs w:val="28"/>
        </w:rPr>
      </w:pPr>
      <w:r w:rsidRPr="001F1E97">
        <w:rPr>
          <w:sz w:val="28"/>
          <w:szCs w:val="28"/>
        </w:rPr>
        <w:t>Unidad de Servicios Penitenciarios y Carcelarios</w:t>
      </w:r>
    </w:p>
    <w:p w14:paraId="785D5708" w14:textId="62967087" w:rsidR="001F1E97" w:rsidRPr="001F1E97" w:rsidRDefault="001F1E97" w:rsidP="001F1E97">
      <w:pPr>
        <w:pStyle w:val="Prrafodelista"/>
        <w:ind w:left="0" w:right="49"/>
        <w:jc w:val="both"/>
        <w:rPr>
          <w:sz w:val="28"/>
          <w:szCs w:val="28"/>
        </w:rPr>
      </w:pPr>
      <w:r w:rsidRPr="001F1E97">
        <w:rPr>
          <w:sz w:val="28"/>
          <w:szCs w:val="28"/>
        </w:rPr>
        <w:t>Avenida calle 26 69 76 Edificio Elemento Pisos 12, 13 y 14</w:t>
      </w:r>
    </w:p>
    <w:bookmarkEnd w:id="2"/>
    <w:p w14:paraId="61A60D41" w14:textId="77777777" w:rsidR="00567589" w:rsidRPr="00DB63C7" w:rsidRDefault="00567589" w:rsidP="00567589">
      <w:pPr>
        <w:pStyle w:val="Prrafodelista"/>
        <w:ind w:left="0" w:right="49"/>
        <w:jc w:val="both"/>
        <w:rPr>
          <w:sz w:val="28"/>
          <w:szCs w:val="28"/>
        </w:rPr>
      </w:pPr>
      <w:r w:rsidRPr="00DB63C7">
        <w:rPr>
          <w:sz w:val="28"/>
          <w:szCs w:val="28"/>
        </w:rPr>
        <w:t xml:space="preserve">Bogotá, D.C. </w:t>
      </w:r>
    </w:p>
    <w:p w14:paraId="3A57729F" w14:textId="77777777" w:rsidR="00567589" w:rsidRDefault="00567589" w:rsidP="00567589">
      <w:pPr>
        <w:rPr>
          <w:sz w:val="28"/>
          <w:szCs w:val="28"/>
        </w:rPr>
      </w:pPr>
    </w:p>
    <w:p w14:paraId="47D508D7" w14:textId="77777777" w:rsidR="00567589" w:rsidRPr="00DB63C7" w:rsidRDefault="00567589" w:rsidP="00567589">
      <w:pPr>
        <w:rPr>
          <w:sz w:val="28"/>
          <w:szCs w:val="28"/>
        </w:rPr>
      </w:pPr>
    </w:p>
    <w:p w14:paraId="52C0FA18" w14:textId="7992C15B" w:rsidR="00567589" w:rsidRDefault="00567589" w:rsidP="00567589">
      <w:pPr>
        <w:rPr>
          <w:sz w:val="28"/>
          <w:szCs w:val="28"/>
        </w:rPr>
      </w:pPr>
      <w:r w:rsidRPr="00DB63C7">
        <w:rPr>
          <w:sz w:val="28"/>
          <w:szCs w:val="28"/>
        </w:rPr>
        <w:t xml:space="preserve">Respetado Doctor </w:t>
      </w:r>
      <w:r w:rsidR="00274EA6">
        <w:rPr>
          <w:sz w:val="28"/>
          <w:szCs w:val="28"/>
        </w:rPr>
        <w:t>Espitia</w:t>
      </w:r>
      <w:r w:rsidRPr="00DB63C7">
        <w:rPr>
          <w:sz w:val="28"/>
          <w:szCs w:val="28"/>
        </w:rPr>
        <w:t>:</w:t>
      </w:r>
    </w:p>
    <w:bookmarkEnd w:id="0"/>
    <w:p w14:paraId="2D031E2F" w14:textId="77777777" w:rsidR="00E751F9" w:rsidRDefault="00E751F9" w:rsidP="00E751F9">
      <w:pPr>
        <w:pStyle w:val="Prrafodelista"/>
        <w:ind w:left="0" w:right="-93"/>
        <w:jc w:val="both"/>
        <w:rPr>
          <w:sz w:val="28"/>
          <w:szCs w:val="28"/>
        </w:rPr>
      </w:pPr>
    </w:p>
    <w:p w14:paraId="6BA9CB6F" w14:textId="77777777" w:rsidR="00E751F9" w:rsidRPr="00ED6E5A" w:rsidRDefault="00E751F9" w:rsidP="002A5676">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6BEE63C6" w14:textId="77777777" w:rsidR="00E751F9" w:rsidRPr="00ED6E5A" w:rsidRDefault="00E751F9" w:rsidP="002A5676">
      <w:pPr>
        <w:pStyle w:val="Prrafodelista"/>
        <w:ind w:left="0" w:right="49" w:hanging="284"/>
        <w:jc w:val="both"/>
        <w:rPr>
          <w:sz w:val="28"/>
          <w:szCs w:val="28"/>
        </w:rPr>
      </w:pPr>
    </w:p>
    <w:p w14:paraId="337685E9" w14:textId="77777777" w:rsidR="00E751F9" w:rsidRDefault="00E751F9" w:rsidP="002A5676">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64FC1389" w14:textId="77777777" w:rsidR="00E751F9" w:rsidRDefault="00E751F9" w:rsidP="002A5676">
      <w:pPr>
        <w:pStyle w:val="Prrafodelista"/>
        <w:ind w:left="0" w:right="49"/>
        <w:jc w:val="both"/>
        <w:rPr>
          <w:sz w:val="28"/>
          <w:szCs w:val="28"/>
        </w:rPr>
      </w:pPr>
    </w:p>
    <w:p w14:paraId="35864B15" w14:textId="77777777" w:rsidR="00E751F9" w:rsidRDefault="00E751F9" w:rsidP="002A5676">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bookmarkEnd w:id="1"/>
    <w:p w14:paraId="491D1AB0" w14:textId="77777777" w:rsidR="00E751F9" w:rsidRPr="00E751F9" w:rsidRDefault="00E751F9" w:rsidP="002A5676">
      <w:pPr>
        <w:ind w:right="49"/>
        <w:jc w:val="both"/>
        <w:rPr>
          <w:b/>
          <w:sz w:val="28"/>
          <w:szCs w:val="28"/>
        </w:rPr>
      </w:pPr>
    </w:p>
    <w:p w14:paraId="678E59E2" w14:textId="77777777" w:rsidR="00E751F9" w:rsidRPr="007C3032" w:rsidRDefault="00E751F9" w:rsidP="002A5676">
      <w:pPr>
        <w:pStyle w:val="Ttulo1"/>
        <w:ind w:left="0" w:right="49"/>
        <w:rPr>
          <w:b w:val="0"/>
          <w:bCs w:val="0"/>
          <w:sz w:val="28"/>
          <w:szCs w:val="28"/>
        </w:rPr>
      </w:pPr>
      <w:bookmarkStart w:id="3" w:name="_Hlk207787968"/>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3"/>
    <w:p w14:paraId="5B1B2DE8" w14:textId="77777777" w:rsidR="00E751F9" w:rsidRPr="002B0E32" w:rsidRDefault="00E751F9" w:rsidP="00E751F9">
      <w:pPr>
        <w:jc w:val="both"/>
        <w:rPr>
          <w:b/>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E751F9" w:rsidRPr="00F15305" w14:paraId="02BB8D3C" w14:textId="77777777" w:rsidTr="00E751F9">
        <w:trPr>
          <w:trHeight w:val="1741"/>
          <w:jc w:val="center"/>
        </w:trPr>
        <w:tc>
          <w:tcPr>
            <w:tcW w:w="2942" w:type="dxa"/>
          </w:tcPr>
          <w:p w14:paraId="01BA2027" w14:textId="77777777" w:rsidR="00E751F9" w:rsidRPr="00F15305" w:rsidRDefault="00E751F9"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5C701CCE" w14:textId="77777777" w:rsidR="00E751F9" w:rsidRPr="00F15305" w:rsidRDefault="00E751F9"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540E0439" w14:textId="77777777" w:rsidR="00E751F9" w:rsidRDefault="00E751F9" w:rsidP="00D306E1">
            <w:pPr>
              <w:pStyle w:val="Textoindependiente"/>
              <w:ind w:right="29"/>
              <w:jc w:val="center"/>
              <w:rPr>
                <w:b/>
                <w:sz w:val="20"/>
                <w:szCs w:val="20"/>
              </w:rPr>
            </w:pPr>
            <w:r w:rsidRPr="00F15305">
              <w:rPr>
                <w:b/>
                <w:sz w:val="20"/>
                <w:szCs w:val="20"/>
              </w:rPr>
              <w:t xml:space="preserve">0PINIÓN CONTABLE SEGÚN LA </w:t>
            </w:r>
          </w:p>
          <w:p w14:paraId="38C4D314" w14:textId="77777777" w:rsidR="00E751F9" w:rsidRPr="00F15305" w:rsidRDefault="00E751F9" w:rsidP="00D306E1">
            <w:pPr>
              <w:pStyle w:val="Textoindependiente"/>
              <w:ind w:right="29"/>
              <w:jc w:val="center"/>
              <w:rPr>
                <w:b/>
                <w:sz w:val="20"/>
                <w:szCs w:val="20"/>
              </w:rPr>
            </w:pPr>
            <w:r w:rsidRPr="00F15305">
              <w:rPr>
                <w:b/>
                <w:sz w:val="20"/>
                <w:szCs w:val="20"/>
              </w:rPr>
              <w:t xml:space="preserve">CGR </w:t>
            </w:r>
          </w:p>
          <w:p w14:paraId="71E26DF8" w14:textId="77777777" w:rsidR="00E751F9" w:rsidRPr="00F15305" w:rsidRDefault="00E751F9" w:rsidP="00D306E1">
            <w:pPr>
              <w:pStyle w:val="Textoindependiente"/>
              <w:ind w:right="29"/>
              <w:jc w:val="center"/>
              <w:rPr>
                <w:b/>
                <w:sz w:val="20"/>
                <w:szCs w:val="20"/>
              </w:rPr>
            </w:pPr>
            <w:r w:rsidRPr="00F15305">
              <w:rPr>
                <w:b/>
                <w:sz w:val="20"/>
                <w:szCs w:val="20"/>
              </w:rPr>
              <w:t>2024</w:t>
            </w:r>
          </w:p>
        </w:tc>
        <w:tc>
          <w:tcPr>
            <w:tcW w:w="1672" w:type="dxa"/>
          </w:tcPr>
          <w:p w14:paraId="16A1BCC8" w14:textId="77777777" w:rsidR="00E751F9" w:rsidRDefault="00E751F9" w:rsidP="00D306E1">
            <w:pPr>
              <w:pStyle w:val="Textoindependiente"/>
              <w:ind w:right="29"/>
              <w:jc w:val="center"/>
              <w:rPr>
                <w:b/>
                <w:sz w:val="20"/>
                <w:szCs w:val="20"/>
              </w:rPr>
            </w:pPr>
            <w:r w:rsidRPr="00F15305">
              <w:rPr>
                <w:b/>
                <w:sz w:val="20"/>
                <w:szCs w:val="20"/>
              </w:rPr>
              <w:t xml:space="preserve">EVALUACIÓN CONTROL INTERNO FINANCIERO SEGÚN LA </w:t>
            </w:r>
          </w:p>
          <w:p w14:paraId="55D3F788" w14:textId="77777777" w:rsidR="00E751F9" w:rsidRPr="00F15305" w:rsidRDefault="00E751F9" w:rsidP="00D306E1">
            <w:pPr>
              <w:pStyle w:val="Textoindependiente"/>
              <w:ind w:right="29"/>
              <w:jc w:val="center"/>
              <w:rPr>
                <w:b/>
                <w:sz w:val="20"/>
                <w:szCs w:val="20"/>
              </w:rPr>
            </w:pPr>
            <w:r w:rsidRPr="00F15305">
              <w:rPr>
                <w:b/>
                <w:sz w:val="20"/>
                <w:szCs w:val="20"/>
              </w:rPr>
              <w:t xml:space="preserve">CGR </w:t>
            </w:r>
          </w:p>
          <w:p w14:paraId="3FCC030F" w14:textId="77777777" w:rsidR="00E751F9" w:rsidRPr="00F15305" w:rsidRDefault="00E751F9" w:rsidP="00D306E1">
            <w:pPr>
              <w:pStyle w:val="Textoindependiente"/>
              <w:ind w:right="29"/>
              <w:jc w:val="center"/>
              <w:rPr>
                <w:b/>
                <w:sz w:val="20"/>
                <w:szCs w:val="20"/>
              </w:rPr>
            </w:pPr>
            <w:r w:rsidRPr="00F15305">
              <w:rPr>
                <w:b/>
                <w:sz w:val="20"/>
                <w:szCs w:val="20"/>
              </w:rPr>
              <w:t>2024</w:t>
            </w:r>
          </w:p>
          <w:p w14:paraId="109E2A72" w14:textId="77777777" w:rsidR="00E751F9" w:rsidRPr="00F15305" w:rsidRDefault="00E751F9" w:rsidP="00D306E1">
            <w:pPr>
              <w:pStyle w:val="Textoindependiente"/>
              <w:ind w:right="29"/>
              <w:jc w:val="center"/>
              <w:rPr>
                <w:b/>
                <w:sz w:val="20"/>
                <w:szCs w:val="20"/>
              </w:rPr>
            </w:pPr>
          </w:p>
        </w:tc>
        <w:tc>
          <w:tcPr>
            <w:tcW w:w="1840" w:type="dxa"/>
          </w:tcPr>
          <w:p w14:paraId="1ECF22A5" w14:textId="77777777" w:rsidR="00E751F9" w:rsidRPr="00F15305" w:rsidRDefault="00E751F9" w:rsidP="00D306E1">
            <w:pPr>
              <w:pStyle w:val="Textoindependiente"/>
              <w:ind w:right="29"/>
              <w:jc w:val="center"/>
              <w:rPr>
                <w:b/>
                <w:sz w:val="20"/>
                <w:szCs w:val="20"/>
              </w:rPr>
            </w:pPr>
            <w:r w:rsidRPr="00F15305">
              <w:rPr>
                <w:b/>
                <w:sz w:val="20"/>
                <w:szCs w:val="20"/>
              </w:rPr>
              <w:t xml:space="preserve">FENECIMIENTO DE LA CUENTA FISCAL POR PARTE DE LA CGR </w:t>
            </w:r>
          </w:p>
          <w:p w14:paraId="0B70D582" w14:textId="77777777" w:rsidR="00E751F9" w:rsidRPr="00F15305" w:rsidRDefault="00E751F9" w:rsidP="00D306E1">
            <w:pPr>
              <w:pStyle w:val="Textoindependiente"/>
              <w:ind w:right="29"/>
              <w:jc w:val="center"/>
              <w:rPr>
                <w:b/>
                <w:sz w:val="20"/>
                <w:szCs w:val="20"/>
              </w:rPr>
            </w:pPr>
            <w:r w:rsidRPr="00F15305">
              <w:rPr>
                <w:b/>
                <w:sz w:val="20"/>
                <w:szCs w:val="20"/>
              </w:rPr>
              <w:t>2024</w:t>
            </w:r>
          </w:p>
        </w:tc>
      </w:tr>
      <w:tr w:rsidR="00E751F9" w:rsidRPr="00F15305" w14:paraId="2683BBDB" w14:textId="77777777" w:rsidTr="00E751F9">
        <w:trPr>
          <w:jc w:val="center"/>
        </w:trPr>
        <w:tc>
          <w:tcPr>
            <w:tcW w:w="2942" w:type="dxa"/>
          </w:tcPr>
          <w:p w14:paraId="7025E254" w14:textId="77777777" w:rsidR="00E751F9" w:rsidRPr="00F15305" w:rsidRDefault="00E751F9" w:rsidP="00D306E1">
            <w:pPr>
              <w:pStyle w:val="Textoindependiente"/>
              <w:ind w:right="29"/>
              <w:jc w:val="both"/>
              <w:rPr>
                <w:b/>
                <w:sz w:val="20"/>
                <w:szCs w:val="20"/>
              </w:rPr>
            </w:pPr>
            <w:r w:rsidRPr="00F15305">
              <w:rPr>
                <w:b/>
                <w:sz w:val="20"/>
                <w:szCs w:val="20"/>
              </w:rPr>
              <w:t>UNIDAD DE SERVICIOS PENITENCIARIOS Y CARCELARIOS - USPEC</w:t>
            </w:r>
          </w:p>
        </w:tc>
        <w:tc>
          <w:tcPr>
            <w:tcW w:w="1868" w:type="dxa"/>
          </w:tcPr>
          <w:p w14:paraId="78689ECF" w14:textId="77777777" w:rsidR="00E751F9" w:rsidRPr="00F15305" w:rsidRDefault="00E751F9" w:rsidP="00D306E1">
            <w:pPr>
              <w:pStyle w:val="Textoindependiente"/>
              <w:ind w:right="29"/>
              <w:jc w:val="center"/>
              <w:rPr>
                <w:b/>
                <w:sz w:val="20"/>
                <w:szCs w:val="20"/>
                <w:u w:val="single"/>
              </w:rPr>
            </w:pPr>
            <w:r w:rsidRPr="00F15305">
              <w:rPr>
                <w:b/>
                <w:sz w:val="20"/>
                <w:szCs w:val="20"/>
                <w:u w:val="single"/>
              </w:rPr>
              <w:t>NO</w:t>
            </w:r>
          </w:p>
          <w:p w14:paraId="60A16A80" w14:textId="77777777" w:rsidR="00E751F9" w:rsidRPr="00F15305" w:rsidRDefault="00E751F9" w:rsidP="00D306E1">
            <w:pPr>
              <w:pStyle w:val="Textoindependiente"/>
              <w:ind w:right="29"/>
              <w:jc w:val="center"/>
              <w:rPr>
                <w:b/>
                <w:sz w:val="20"/>
                <w:szCs w:val="20"/>
              </w:rPr>
            </w:pPr>
            <w:r w:rsidRPr="00F15305">
              <w:rPr>
                <w:b/>
                <w:sz w:val="20"/>
                <w:szCs w:val="20"/>
                <w:u w:val="single"/>
              </w:rPr>
              <w:t>RAZONABLE</w:t>
            </w:r>
          </w:p>
        </w:tc>
        <w:tc>
          <w:tcPr>
            <w:tcW w:w="1568" w:type="dxa"/>
          </w:tcPr>
          <w:p w14:paraId="2B7FA1B8" w14:textId="77777777" w:rsidR="00E751F9" w:rsidRPr="00F15305" w:rsidRDefault="00E751F9" w:rsidP="00D306E1">
            <w:pPr>
              <w:pStyle w:val="Textoindependiente"/>
              <w:ind w:right="29"/>
              <w:jc w:val="center"/>
              <w:rPr>
                <w:b/>
                <w:sz w:val="20"/>
                <w:szCs w:val="20"/>
                <w:u w:val="single"/>
              </w:rPr>
            </w:pPr>
            <w:r w:rsidRPr="00F15305">
              <w:rPr>
                <w:b/>
                <w:sz w:val="20"/>
                <w:szCs w:val="20"/>
                <w:u w:val="single"/>
              </w:rPr>
              <w:t>NEGATIVA</w:t>
            </w:r>
          </w:p>
        </w:tc>
        <w:tc>
          <w:tcPr>
            <w:tcW w:w="1672" w:type="dxa"/>
          </w:tcPr>
          <w:p w14:paraId="5A6BD4ED" w14:textId="77777777" w:rsidR="00E751F9" w:rsidRPr="00F15305" w:rsidRDefault="00E751F9" w:rsidP="00D306E1">
            <w:pPr>
              <w:pStyle w:val="Textoindependiente"/>
              <w:ind w:right="29"/>
              <w:jc w:val="center"/>
              <w:rPr>
                <w:b/>
                <w:bCs/>
                <w:sz w:val="20"/>
                <w:szCs w:val="20"/>
                <w:lang w:eastAsia="es-CO"/>
              </w:rPr>
            </w:pPr>
            <w:r w:rsidRPr="00F15305">
              <w:rPr>
                <w:b/>
                <w:bCs/>
                <w:sz w:val="20"/>
                <w:szCs w:val="20"/>
                <w:lang w:eastAsia="es-CO"/>
              </w:rPr>
              <w:t>INEFICIENTE</w:t>
            </w:r>
          </w:p>
        </w:tc>
        <w:tc>
          <w:tcPr>
            <w:tcW w:w="1840" w:type="dxa"/>
          </w:tcPr>
          <w:p w14:paraId="75D47411" w14:textId="77777777" w:rsidR="00E751F9" w:rsidRPr="00F15305" w:rsidRDefault="00E751F9" w:rsidP="00D306E1">
            <w:pPr>
              <w:pStyle w:val="Textoindependiente"/>
              <w:ind w:right="29"/>
              <w:jc w:val="center"/>
              <w:rPr>
                <w:b/>
                <w:sz w:val="20"/>
                <w:szCs w:val="20"/>
              </w:rPr>
            </w:pPr>
            <w:r w:rsidRPr="00F15305">
              <w:rPr>
                <w:b/>
                <w:sz w:val="20"/>
                <w:szCs w:val="20"/>
              </w:rPr>
              <w:t>NO SE</w:t>
            </w:r>
          </w:p>
          <w:p w14:paraId="7275A68F" w14:textId="77777777" w:rsidR="00E751F9" w:rsidRPr="00F15305" w:rsidRDefault="00E751F9" w:rsidP="00D306E1">
            <w:pPr>
              <w:pStyle w:val="Textoindependiente"/>
              <w:ind w:right="29"/>
              <w:jc w:val="center"/>
              <w:rPr>
                <w:b/>
                <w:sz w:val="20"/>
                <w:szCs w:val="20"/>
              </w:rPr>
            </w:pPr>
            <w:r w:rsidRPr="00F15305">
              <w:rPr>
                <w:b/>
                <w:sz w:val="20"/>
                <w:szCs w:val="20"/>
              </w:rPr>
              <w:t xml:space="preserve">FENECE </w:t>
            </w:r>
          </w:p>
        </w:tc>
      </w:tr>
    </w:tbl>
    <w:p w14:paraId="320A5445" w14:textId="77777777" w:rsidR="00E751F9" w:rsidRPr="00E751F9" w:rsidRDefault="00E751F9" w:rsidP="007701BE">
      <w:pPr>
        <w:jc w:val="both"/>
        <w:rPr>
          <w:b/>
          <w:sz w:val="28"/>
          <w:szCs w:val="28"/>
        </w:rPr>
      </w:pPr>
    </w:p>
    <w:p w14:paraId="7743A05C" w14:textId="77777777" w:rsidR="00E751F9" w:rsidRPr="00513E12" w:rsidRDefault="00E751F9" w:rsidP="00E751F9">
      <w:pPr>
        <w:pStyle w:val="Textoindependiente"/>
        <w:ind w:right="-93"/>
        <w:jc w:val="both"/>
        <w:rPr>
          <w:b/>
          <w:bCs/>
          <w:sz w:val="28"/>
          <w:szCs w:val="28"/>
        </w:rPr>
      </w:pPr>
      <w:bookmarkStart w:id="4" w:name="_Hlk207873847"/>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bookmarkEnd w:id="4"/>
    <w:p w14:paraId="786BF22A" w14:textId="4025956B" w:rsidR="00E751F9" w:rsidRDefault="00E751F9" w:rsidP="00E751F9">
      <w:pPr>
        <w:ind w:right="-93"/>
        <w:jc w:val="both"/>
        <w:rPr>
          <w:b/>
          <w:sz w:val="28"/>
          <w:szCs w:val="28"/>
          <w:lang w:val="es-MX"/>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tblGrid>
      <w:tr w:rsidR="00E751F9" w14:paraId="2124DB3D" w14:textId="77777777" w:rsidTr="00D306E1">
        <w:trPr>
          <w:trHeight w:val="256"/>
          <w:jc w:val="center"/>
        </w:trPr>
        <w:tc>
          <w:tcPr>
            <w:tcW w:w="7684" w:type="dxa"/>
            <w:gridSpan w:val="5"/>
            <w:tcBorders>
              <w:bottom w:val="single" w:sz="2" w:space="0" w:color="231F20"/>
            </w:tcBorders>
            <w:shd w:val="clear" w:color="auto" w:fill="E8F1F0"/>
          </w:tcPr>
          <w:p w14:paraId="191DA3E2" w14:textId="77777777" w:rsidR="00E751F9" w:rsidRPr="00AA7D8A" w:rsidRDefault="00E751F9" w:rsidP="002A5676">
            <w:pPr>
              <w:pStyle w:val="TableParagraph"/>
              <w:spacing w:before="48"/>
              <w:ind w:left="80"/>
              <w:jc w:val="center"/>
              <w:rPr>
                <w:b/>
                <w:sz w:val="16"/>
                <w:szCs w:val="16"/>
              </w:rPr>
            </w:pPr>
            <w:r w:rsidRPr="00AA7D8A">
              <w:rPr>
                <w:b/>
                <w:color w:val="231F20"/>
                <w:sz w:val="16"/>
                <w:szCs w:val="16"/>
              </w:rPr>
              <w:t>UNIDAD</w:t>
            </w:r>
            <w:r w:rsidRPr="00AA7D8A">
              <w:rPr>
                <w:b/>
                <w:color w:val="231F20"/>
                <w:spacing w:val="-9"/>
                <w:sz w:val="16"/>
                <w:szCs w:val="16"/>
              </w:rPr>
              <w:t xml:space="preserve"> </w:t>
            </w:r>
            <w:r w:rsidRPr="00AA7D8A">
              <w:rPr>
                <w:b/>
                <w:color w:val="231F20"/>
                <w:sz w:val="16"/>
                <w:szCs w:val="16"/>
              </w:rPr>
              <w:t>EJECUTORA:</w:t>
            </w:r>
            <w:r w:rsidRPr="00AA7D8A">
              <w:rPr>
                <w:b/>
                <w:color w:val="231F20"/>
                <w:spacing w:val="-8"/>
                <w:sz w:val="16"/>
                <w:szCs w:val="16"/>
              </w:rPr>
              <w:t xml:space="preserve"> </w:t>
            </w:r>
            <w:r w:rsidRPr="00AA7D8A">
              <w:rPr>
                <w:b/>
                <w:color w:val="231F20"/>
                <w:sz w:val="16"/>
                <w:szCs w:val="16"/>
              </w:rPr>
              <w:t>UNIDAD</w:t>
            </w:r>
            <w:r w:rsidRPr="00AA7D8A">
              <w:rPr>
                <w:b/>
                <w:color w:val="231F20"/>
                <w:spacing w:val="-9"/>
                <w:sz w:val="16"/>
                <w:szCs w:val="16"/>
              </w:rPr>
              <w:t xml:space="preserve"> </w:t>
            </w:r>
            <w:r w:rsidRPr="00AA7D8A">
              <w:rPr>
                <w:b/>
                <w:color w:val="231F20"/>
                <w:sz w:val="16"/>
                <w:szCs w:val="16"/>
              </w:rPr>
              <w:t>DE</w:t>
            </w:r>
            <w:r w:rsidRPr="00AA7D8A">
              <w:rPr>
                <w:b/>
                <w:color w:val="231F20"/>
                <w:spacing w:val="-8"/>
                <w:sz w:val="16"/>
                <w:szCs w:val="16"/>
              </w:rPr>
              <w:t xml:space="preserve"> </w:t>
            </w:r>
            <w:r w:rsidRPr="00AA7D8A">
              <w:rPr>
                <w:b/>
                <w:color w:val="231F20"/>
                <w:sz w:val="16"/>
                <w:szCs w:val="16"/>
              </w:rPr>
              <w:t>SERVICIOS</w:t>
            </w:r>
            <w:r w:rsidRPr="00AA7D8A">
              <w:rPr>
                <w:b/>
                <w:color w:val="231F20"/>
                <w:spacing w:val="-8"/>
                <w:sz w:val="16"/>
                <w:szCs w:val="16"/>
              </w:rPr>
              <w:t xml:space="preserve"> </w:t>
            </w:r>
            <w:r w:rsidRPr="00AA7D8A">
              <w:rPr>
                <w:b/>
                <w:color w:val="231F20"/>
                <w:sz w:val="16"/>
                <w:szCs w:val="16"/>
              </w:rPr>
              <w:t>PENITENCIARIOS</w:t>
            </w:r>
            <w:r w:rsidRPr="00AA7D8A">
              <w:rPr>
                <w:b/>
                <w:color w:val="231F20"/>
                <w:spacing w:val="-9"/>
                <w:sz w:val="16"/>
                <w:szCs w:val="16"/>
              </w:rPr>
              <w:t xml:space="preserve"> </w:t>
            </w:r>
            <w:r w:rsidRPr="00AA7D8A">
              <w:rPr>
                <w:b/>
                <w:color w:val="231F20"/>
                <w:sz w:val="16"/>
                <w:szCs w:val="16"/>
              </w:rPr>
              <w:t>Y</w:t>
            </w:r>
            <w:r w:rsidRPr="00AA7D8A">
              <w:rPr>
                <w:b/>
                <w:color w:val="231F20"/>
                <w:spacing w:val="-8"/>
                <w:sz w:val="16"/>
                <w:szCs w:val="16"/>
              </w:rPr>
              <w:t xml:space="preserve"> </w:t>
            </w:r>
            <w:r w:rsidRPr="00AA7D8A">
              <w:rPr>
                <w:b/>
                <w:color w:val="231F20"/>
                <w:sz w:val="16"/>
                <w:szCs w:val="16"/>
              </w:rPr>
              <w:t>CARCELARIOS</w:t>
            </w:r>
            <w:r w:rsidRPr="00AA7D8A">
              <w:rPr>
                <w:b/>
                <w:color w:val="231F20"/>
                <w:spacing w:val="-8"/>
                <w:sz w:val="16"/>
                <w:szCs w:val="16"/>
              </w:rPr>
              <w:t xml:space="preserve"> </w:t>
            </w:r>
            <w:r w:rsidRPr="00AA7D8A">
              <w:rPr>
                <w:b/>
                <w:color w:val="231F20"/>
                <w:spacing w:val="-2"/>
                <w:sz w:val="16"/>
                <w:szCs w:val="16"/>
              </w:rPr>
              <w:t>(USPEC)</w:t>
            </w:r>
          </w:p>
        </w:tc>
      </w:tr>
      <w:tr w:rsidR="00E751F9" w14:paraId="2FCEC8FB" w14:textId="77777777" w:rsidTr="00D306E1">
        <w:trPr>
          <w:trHeight w:val="276"/>
          <w:jc w:val="center"/>
        </w:trPr>
        <w:tc>
          <w:tcPr>
            <w:tcW w:w="3852" w:type="dxa"/>
            <w:gridSpan w:val="2"/>
            <w:tcBorders>
              <w:right w:val="single" w:sz="2" w:space="0" w:color="231F20"/>
            </w:tcBorders>
            <w:shd w:val="clear" w:color="auto" w:fill="E8F1F0"/>
          </w:tcPr>
          <w:p w14:paraId="1DFB673D" w14:textId="77777777" w:rsidR="00E751F9" w:rsidRDefault="00E751F9" w:rsidP="002A5676">
            <w:pPr>
              <w:pStyle w:val="TableParagraph"/>
              <w:spacing w:before="48"/>
              <w:ind w:left="80"/>
              <w:jc w:val="center"/>
              <w:rPr>
                <w:sz w:val="14"/>
              </w:rPr>
            </w:pPr>
            <w:r>
              <w:rPr>
                <w:b/>
                <w:color w:val="231F20"/>
                <w:spacing w:val="-2"/>
                <w:sz w:val="14"/>
              </w:rPr>
              <w:t>Código:</w:t>
            </w:r>
            <w:r>
              <w:rPr>
                <w:color w:val="231F20"/>
                <w:spacing w:val="-2"/>
                <w:sz w:val="14"/>
              </w:rPr>
              <w:t>12-11-</w:t>
            </w:r>
            <w:r>
              <w:rPr>
                <w:color w:val="231F20"/>
                <w:spacing w:val="-5"/>
                <w:sz w:val="14"/>
              </w:rPr>
              <w:t>00</w:t>
            </w:r>
          </w:p>
        </w:tc>
        <w:tc>
          <w:tcPr>
            <w:tcW w:w="3832" w:type="dxa"/>
            <w:gridSpan w:val="3"/>
            <w:tcBorders>
              <w:top w:val="single" w:sz="2" w:space="0" w:color="231F20"/>
              <w:left w:val="single" w:sz="2" w:space="0" w:color="231F20"/>
              <w:right w:val="single" w:sz="2" w:space="0" w:color="231F20"/>
            </w:tcBorders>
            <w:shd w:val="clear" w:color="auto" w:fill="E8F1F0"/>
          </w:tcPr>
          <w:p w14:paraId="50B44BDA" w14:textId="77777777" w:rsidR="00E751F9" w:rsidRDefault="00E751F9" w:rsidP="002A5676">
            <w:pPr>
              <w:pStyle w:val="TableParagraph"/>
              <w:spacing w:before="48"/>
              <w:ind w:left="80"/>
              <w:jc w:val="center"/>
              <w:rPr>
                <w:sz w:val="14"/>
              </w:rPr>
            </w:pPr>
            <w:r>
              <w:rPr>
                <w:b/>
                <w:color w:val="231F20"/>
                <w:sz w:val="14"/>
              </w:rPr>
              <w:t>Sector:</w:t>
            </w:r>
            <w:r>
              <w:rPr>
                <w:b/>
                <w:color w:val="231F20"/>
                <w:spacing w:val="5"/>
                <w:sz w:val="14"/>
              </w:rPr>
              <w:t xml:space="preserve"> </w:t>
            </w:r>
            <w:r>
              <w:rPr>
                <w:color w:val="231F20"/>
                <w:sz w:val="14"/>
              </w:rPr>
              <w:t>27</w:t>
            </w:r>
            <w:r>
              <w:rPr>
                <w:color w:val="231F20"/>
                <w:spacing w:val="7"/>
                <w:sz w:val="14"/>
              </w:rPr>
              <w:t xml:space="preserve"> </w:t>
            </w:r>
            <w:r>
              <w:rPr>
                <w:color w:val="231F20"/>
                <w:sz w:val="14"/>
              </w:rPr>
              <w:t>Justicia</w:t>
            </w:r>
            <w:r>
              <w:rPr>
                <w:color w:val="231F20"/>
                <w:spacing w:val="7"/>
                <w:sz w:val="14"/>
              </w:rPr>
              <w:t xml:space="preserve"> </w:t>
            </w:r>
            <w:r>
              <w:rPr>
                <w:color w:val="231F20"/>
                <w:sz w:val="14"/>
              </w:rPr>
              <w:t>y</w:t>
            </w:r>
            <w:r>
              <w:rPr>
                <w:color w:val="231F20"/>
                <w:spacing w:val="7"/>
                <w:sz w:val="14"/>
              </w:rPr>
              <w:t xml:space="preserve"> </w:t>
            </w:r>
            <w:r>
              <w:rPr>
                <w:color w:val="231F20"/>
                <w:sz w:val="14"/>
              </w:rPr>
              <w:t>del</w:t>
            </w:r>
            <w:r>
              <w:rPr>
                <w:color w:val="231F20"/>
                <w:spacing w:val="8"/>
                <w:sz w:val="14"/>
              </w:rPr>
              <w:t xml:space="preserve"> </w:t>
            </w:r>
            <w:r>
              <w:rPr>
                <w:color w:val="231F20"/>
                <w:spacing w:val="-2"/>
                <w:sz w:val="14"/>
              </w:rPr>
              <w:t>Derecho</w:t>
            </w:r>
          </w:p>
        </w:tc>
      </w:tr>
      <w:tr w:rsidR="00E751F9" w14:paraId="2775C529" w14:textId="77777777" w:rsidTr="00D306E1">
        <w:trPr>
          <w:trHeight w:val="256"/>
          <w:jc w:val="center"/>
        </w:trPr>
        <w:tc>
          <w:tcPr>
            <w:tcW w:w="3852" w:type="dxa"/>
            <w:gridSpan w:val="2"/>
            <w:tcBorders>
              <w:right w:val="single" w:sz="2" w:space="0" w:color="231F20"/>
            </w:tcBorders>
            <w:shd w:val="clear" w:color="auto" w:fill="E8F1F0"/>
          </w:tcPr>
          <w:p w14:paraId="2B011668" w14:textId="77777777" w:rsidR="00E751F9" w:rsidRPr="00AA7D8A" w:rsidRDefault="00E751F9" w:rsidP="002A5676">
            <w:pPr>
              <w:pStyle w:val="TableParagraph"/>
              <w:spacing w:before="48"/>
              <w:ind w:left="79"/>
              <w:jc w:val="center"/>
              <w:rPr>
                <w:b/>
                <w:sz w:val="16"/>
                <w:szCs w:val="16"/>
              </w:rPr>
            </w:pPr>
            <w:r w:rsidRPr="00AA7D8A">
              <w:rPr>
                <w:b/>
                <w:color w:val="231F20"/>
                <w:sz w:val="16"/>
                <w:szCs w:val="16"/>
              </w:rPr>
              <w:t>OPINIÓN</w:t>
            </w:r>
            <w:r w:rsidRPr="00AA7D8A">
              <w:rPr>
                <w:b/>
                <w:color w:val="231F20"/>
                <w:spacing w:val="-9"/>
                <w:sz w:val="16"/>
                <w:szCs w:val="16"/>
              </w:rPr>
              <w:t xml:space="preserve"> </w:t>
            </w:r>
            <w:r w:rsidRPr="00AA7D8A">
              <w:rPr>
                <w:b/>
                <w:color w:val="231F20"/>
                <w:sz w:val="16"/>
                <w:szCs w:val="16"/>
              </w:rPr>
              <w:t>PRESUPUESTAL:</w:t>
            </w:r>
            <w:r w:rsidRPr="00AA7D8A">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32" w:type="dxa"/>
            <w:gridSpan w:val="3"/>
            <w:tcBorders>
              <w:left w:val="single" w:sz="2" w:space="0" w:color="231F20"/>
              <w:bottom w:val="single" w:sz="2" w:space="0" w:color="231F20"/>
              <w:right w:val="single" w:sz="2" w:space="0" w:color="231F20"/>
            </w:tcBorders>
            <w:shd w:val="clear" w:color="auto" w:fill="E8F1F0"/>
          </w:tcPr>
          <w:p w14:paraId="63C569B9" w14:textId="77777777" w:rsidR="00E751F9" w:rsidRPr="00AA7D8A" w:rsidRDefault="00E751F9" w:rsidP="002A5676">
            <w:pPr>
              <w:pStyle w:val="TableParagraph"/>
              <w:spacing w:before="48"/>
              <w:ind w:left="80"/>
              <w:jc w:val="center"/>
              <w:rPr>
                <w:b/>
                <w:sz w:val="16"/>
                <w:szCs w:val="16"/>
              </w:rPr>
            </w:pPr>
            <w:r w:rsidRPr="00AA7D8A">
              <w:rPr>
                <w:b/>
                <w:color w:val="231F20"/>
                <w:sz w:val="16"/>
                <w:szCs w:val="16"/>
              </w:rPr>
              <w:t>FENECE</w:t>
            </w:r>
            <w:r w:rsidRPr="00AA7D8A">
              <w:rPr>
                <w:b/>
                <w:color w:val="231F20"/>
                <w:spacing w:val="6"/>
                <w:sz w:val="16"/>
                <w:szCs w:val="16"/>
              </w:rPr>
              <w:t xml:space="preserve"> </w:t>
            </w:r>
            <w:r w:rsidRPr="00AA7D8A">
              <w:rPr>
                <w:b/>
                <w:color w:val="231F20"/>
                <w:sz w:val="16"/>
                <w:szCs w:val="16"/>
              </w:rPr>
              <w:t>LA</w:t>
            </w:r>
            <w:r w:rsidRPr="00AA7D8A">
              <w:rPr>
                <w:b/>
                <w:color w:val="231F20"/>
                <w:spacing w:val="9"/>
                <w:sz w:val="16"/>
                <w:szCs w:val="16"/>
              </w:rPr>
              <w:t xml:space="preserve"> </w:t>
            </w:r>
            <w:r w:rsidRPr="00AA7D8A">
              <w:rPr>
                <w:b/>
                <w:color w:val="231F20"/>
                <w:sz w:val="16"/>
                <w:szCs w:val="16"/>
              </w:rPr>
              <w:t>CUENTA</w:t>
            </w:r>
            <w:r w:rsidRPr="00AA7D8A">
              <w:rPr>
                <w:b/>
                <w:color w:val="231F20"/>
                <w:spacing w:val="9"/>
                <w:sz w:val="16"/>
                <w:szCs w:val="16"/>
              </w:rPr>
              <w:t xml:space="preserve"> </w:t>
            </w:r>
            <w:r w:rsidRPr="00AA7D8A">
              <w:rPr>
                <w:b/>
                <w:color w:val="231F20"/>
                <w:sz w:val="16"/>
                <w:szCs w:val="16"/>
              </w:rPr>
              <w:t>FISCAL:</w:t>
            </w:r>
            <w:r w:rsidRPr="00AA7D8A">
              <w:rPr>
                <w:b/>
                <w:color w:val="231F20"/>
                <w:spacing w:val="9"/>
                <w:sz w:val="16"/>
                <w:szCs w:val="16"/>
              </w:rPr>
              <w:t xml:space="preserve"> </w:t>
            </w:r>
            <w:r w:rsidRPr="00AA7D8A">
              <w:rPr>
                <w:b/>
                <w:color w:val="231F20"/>
                <w:spacing w:val="-5"/>
                <w:sz w:val="16"/>
                <w:szCs w:val="16"/>
              </w:rPr>
              <w:t>NO</w:t>
            </w:r>
          </w:p>
        </w:tc>
      </w:tr>
      <w:tr w:rsidR="00E751F9" w14:paraId="29394D2A" w14:textId="77777777" w:rsidTr="00D306E1">
        <w:trPr>
          <w:trHeight w:val="256"/>
          <w:jc w:val="center"/>
        </w:trPr>
        <w:tc>
          <w:tcPr>
            <w:tcW w:w="7684" w:type="dxa"/>
            <w:gridSpan w:val="5"/>
            <w:tcBorders>
              <w:top w:val="single" w:sz="2" w:space="0" w:color="231F20"/>
            </w:tcBorders>
            <w:shd w:val="clear" w:color="auto" w:fill="E8F1F0"/>
          </w:tcPr>
          <w:p w14:paraId="6C197F66" w14:textId="77777777" w:rsidR="00E751F9" w:rsidRDefault="00E751F9" w:rsidP="002A5676">
            <w:pPr>
              <w:pStyle w:val="TableParagraph"/>
              <w:spacing w:before="48"/>
              <w:ind w:left="2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E751F9" w14:paraId="63EF9E11" w14:textId="77777777" w:rsidTr="00D306E1">
        <w:trPr>
          <w:trHeight w:val="278"/>
          <w:jc w:val="center"/>
        </w:trPr>
        <w:tc>
          <w:tcPr>
            <w:tcW w:w="7684" w:type="dxa"/>
            <w:gridSpan w:val="5"/>
            <w:tcBorders>
              <w:bottom w:val="double" w:sz="2" w:space="0" w:color="00A79D"/>
            </w:tcBorders>
            <w:shd w:val="clear" w:color="auto" w:fill="E8F1F0"/>
          </w:tcPr>
          <w:p w14:paraId="16520752" w14:textId="77777777" w:rsidR="00E751F9" w:rsidRDefault="00E751F9" w:rsidP="002A5676">
            <w:pPr>
              <w:pStyle w:val="TableParagraph"/>
              <w:spacing w:before="48"/>
              <w:ind w:left="2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E751F9" w14:paraId="78A7F999" w14:textId="77777777" w:rsidTr="00D306E1">
        <w:trPr>
          <w:trHeight w:val="278"/>
          <w:jc w:val="center"/>
        </w:trPr>
        <w:tc>
          <w:tcPr>
            <w:tcW w:w="593" w:type="dxa"/>
            <w:tcBorders>
              <w:top w:val="double" w:sz="2" w:space="0" w:color="00A79D"/>
            </w:tcBorders>
            <w:shd w:val="clear" w:color="auto" w:fill="E8F1F0"/>
          </w:tcPr>
          <w:p w14:paraId="7A8FE4BD" w14:textId="77777777" w:rsidR="00E751F9" w:rsidRDefault="00E751F9" w:rsidP="002A5676">
            <w:pPr>
              <w:pStyle w:val="TableParagraph"/>
              <w:spacing w:before="70"/>
              <w:ind w:left="8" w:right="4"/>
              <w:jc w:val="center"/>
              <w:rPr>
                <w:b/>
                <w:sz w:val="14"/>
              </w:rPr>
            </w:pPr>
            <w:r>
              <w:rPr>
                <w:b/>
                <w:color w:val="231F20"/>
                <w:spacing w:val="-5"/>
                <w:sz w:val="14"/>
              </w:rPr>
              <w:t>No.</w:t>
            </w:r>
          </w:p>
        </w:tc>
        <w:tc>
          <w:tcPr>
            <w:tcW w:w="3677" w:type="dxa"/>
            <w:gridSpan w:val="2"/>
            <w:tcBorders>
              <w:top w:val="double" w:sz="2" w:space="0" w:color="00A79D"/>
            </w:tcBorders>
            <w:shd w:val="clear" w:color="auto" w:fill="E8F1F0"/>
          </w:tcPr>
          <w:p w14:paraId="7D471C72" w14:textId="77777777" w:rsidR="00E751F9" w:rsidRDefault="00E751F9" w:rsidP="002A5676">
            <w:pPr>
              <w:pStyle w:val="TableParagraph"/>
              <w:spacing w:before="70"/>
              <w:ind w:left="4"/>
              <w:jc w:val="center"/>
              <w:rPr>
                <w:b/>
                <w:sz w:val="14"/>
              </w:rPr>
            </w:pPr>
            <w:r>
              <w:rPr>
                <w:b/>
                <w:color w:val="231F20"/>
                <w:spacing w:val="-2"/>
                <w:sz w:val="14"/>
              </w:rPr>
              <w:t>Hecho</w:t>
            </w:r>
          </w:p>
        </w:tc>
        <w:tc>
          <w:tcPr>
            <w:tcW w:w="1926" w:type="dxa"/>
            <w:tcBorders>
              <w:top w:val="double" w:sz="2" w:space="0" w:color="00A79D"/>
            </w:tcBorders>
            <w:shd w:val="clear" w:color="auto" w:fill="E8F1F0"/>
          </w:tcPr>
          <w:p w14:paraId="2C1B2FEF" w14:textId="77777777" w:rsidR="00E751F9" w:rsidRDefault="00E751F9" w:rsidP="002A5676">
            <w:pPr>
              <w:pStyle w:val="TableParagraph"/>
              <w:spacing w:before="70"/>
              <w:ind w:left="44" w:right="39"/>
              <w:jc w:val="center"/>
              <w:rPr>
                <w:b/>
                <w:sz w:val="14"/>
              </w:rPr>
            </w:pPr>
            <w:r>
              <w:rPr>
                <w:b/>
                <w:color w:val="231F20"/>
                <w:spacing w:val="-10"/>
                <w:sz w:val="14"/>
              </w:rPr>
              <w:t>$</w:t>
            </w:r>
          </w:p>
        </w:tc>
        <w:tc>
          <w:tcPr>
            <w:tcW w:w="1488" w:type="dxa"/>
            <w:tcBorders>
              <w:top w:val="double" w:sz="2" w:space="0" w:color="00A79D"/>
            </w:tcBorders>
            <w:shd w:val="clear" w:color="auto" w:fill="E8F1F0"/>
          </w:tcPr>
          <w:p w14:paraId="2A0ABAAB" w14:textId="77777777" w:rsidR="00E751F9" w:rsidRDefault="00E751F9" w:rsidP="002A5676">
            <w:pPr>
              <w:pStyle w:val="TableParagraph"/>
              <w:spacing w:before="70"/>
              <w:ind w:left="44" w:right="39"/>
              <w:jc w:val="center"/>
              <w:rPr>
                <w:b/>
                <w:sz w:val="14"/>
              </w:rPr>
            </w:pPr>
            <w:r>
              <w:rPr>
                <w:b/>
                <w:color w:val="231F20"/>
                <w:spacing w:val="-5"/>
                <w:sz w:val="14"/>
              </w:rPr>
              <w:t>CON</w:t>
            </w:r>
          </w:p>
        </w:tc>
      </w:tr>
      <w:tr w:rsidR="00E751F9" w14:paraId="65364BE6" w14:textId="77777777" w:rsidTr="00D306E1">
        <w:trPr>
          <w:trHeight w:val="760"/>
          <w:jc w:val="center"/>
        </w:trPr>
        <w:tc>
          <w:tcPr>
            <w:tcW w:w="593" w:type="dxa"/>
            <w:shd w:val="clear" w:color="auto" w:fill="E8F1F0"/>
          </w:tcPr>
          <w:p w14:paraId="5F1F6DB9" w14:textId="77777777" w:rsidR="00E751F9" w:rsidRDefault="00E751F9" w:rsidP="002A5676">
            <w:pPr>
              <w:pStyle w:val="TableParagraph"/>
              <w:spacing w:before="129"/>
              <w:jc w:val="center"/>
              <w:rPr>
                <w:rFonts w:ascii="Verdana"/>
                <w:b/>
                <w:sz w:val="14"/>
              </w:rPr>
            </w:pPr>
          </w:p>
          <w:p w14:paraId="53C137E2" w14:textId="77777777" w:rsidR="00E751F9" w:rsidRDefault="00E751F9" w:rsidP="002A5676">
            <w:pPr>
              <w:pStyle w:val="TableParagraph"/>
              <w:spacing w:before="1"/>
              <w:ind w:left="8" w:right="4"/>
              <w:jc w:val="center"/>
              <w:rPr>
                <w:sz w:val="14"/>
              </w:rPr>
            </w:pPr>
            <w:r>
              <w:rPr>
                <w:color w:val="231F20"/>
                <w:spacing w:val="-5"/>
                <w:sz w:val="14"/>
              </w:rPr>
              <w:t>147</w:t>
            </w:r>
          </w:p>
        </w:tc>
        <w:tc>
          <w:tcPr>
            <w:tcW w:w="3677" w:type="dxa"/>
            <w:gridSpan w:val="2"/>
            <w:shd w:val="clear" w:color="auto" w:fill="E8F1F0"/>
          </w:tcPr>
          <w:p w14:paraId="3689C599" w14:textId="77777777" w:rsidR="00E751F9" w:rsidRDefault="00E751F9" w:rsidP="00D306E1">
            <w:pPr>
              <w:pStyle w:val="TableParagraph"/>
              <w:spacing w:before="48" w:line="249" w:lineRule="auto"/>
              <w:ind w:left="80"/>
              <w:rPr>
                <w:sz w:val="14"/>
              </w:rPr>
            </w:pPr>
            <w:r>
              <w:rPr>
                <w:color w:val="231F20"/>
                <w:sz w:val="14"/>
              </w:rPr>
              <w:t>Revisada la información de la USPEC para la vigencia</w:t>
            </w:r>
            <w:r>
              <w:rPr>
                <w:color w:val="231F20"/>
                <w:spacing w:val="40"/>
                <w:sz w:val="14"/>
              </w:rPr>
              <w:t xml:space="preserve"> </w:t>
            </w:r>
            <w:r>
              <w:rPr>
                <w:color w:val="231F20"/>
                <w:sz w:val="14"/>
              </w:rPr>
              <w:t>2024,</w:t>
            </w:r>
            <w:r>
              <w:rPr>
                <w:color w:val="231F20"/>
                <w:spacing w:val="1"/>
                <w:sz w:val="14"/>
              </w:rPr>
              <w:t xml:space="preserve"> </w:t>
            </w:r>
            <w:r>
              <w:rPr>
                <w:color w:val="231F20"/>
                <w:sz w:val="14"/>
              </w:rPr>
              <w:t>se</w:t>
            </w:r>
            <w:r>
              <w:rPr>
                <w:color w:val="231F20"/>
                <w:spacing w:val="2"/>
                <w:sz w:val="14"/>
              </w:rPr>
              <w:t xml:space="preserve"> </w:t>
            </w:r>
            <w:r>
              <w:rPr>
                <w:color w:val="231F20"/>
                <w:sz w:val="14"/>
              </w:rPr>
              <w:t>pudo</w:t>
            </w:r>
            <w:r>
              <w:rPr>
                <w:color w:val="231F20"/>
                <w:spacing w:val="1"/>
                <w:sz w:val="14"/>
              </w:rPr>
              <w:t xml:space="preserve"> </w:t>
            </w:r>
            <w:r>
              <w:rPr>
                <w:color w:val="231F20"/>
                <w:sz w:val="14"/>
              </w:rPr>
              <w:t>evidenciar</w:t>
            </w:r>
            <w:r>
              <w:rPr>
                <w:color w:val="231F20"/>
                <w:spacing w:val="2"/>
                <w:sz w:val="14"/>
              </w:rPr>
              <w:t xml:space="preserve"> </w:t>
            </w:r>
            <w:r>
              <w:rPr>
                <w:color w:val="231F20"/>
                <w:sz w:val="14"/>
              </w:rPr>
              <w:t>una</w:t>
            </w:r>
            <w:r>
              <w:rPr>
                <w:color w:val="231F20"/>
                <w:spacing w:val="1"/>
                <w:sz w:val="14"/>
              </w:rPr>
              <w:t xml:space="preserve"> </w:t>
            </w:r>
            <w:r>
              <w:rPr>
                <w:color w:val="231F20"/>
                <w:sz w:val="14"/>
              </w:rPr>
              <w:t>pérdida</w:t>
            </w:r>
            <w:r>
              <w:rPr>
                <w:color w:val="231F20"/>
                <w:spacing w:val="2"/>
                <w:sz w:val="14"/>
              </w:rPr>
              <w:t xml:space="preserve"> </w:t>
            </w:r>
            <w:r>
              <w:rPr>
                <w:color w:val="231F20"/>
                <w:sz w:val="14"/>
              </w:rPr>
              <w:t>de</w:t>
            </w:r>
            <w:r>
              <w:rPr>
                <w:color w:val="231F20"/>
                <w:spacing w:val="1"/>
                <w:sz w:val="14"/>
              </w:rPr>
              <w:t xml:space="preserve"> </w:t>
            </w:r>
            <w:r>
              <w:rPr>
                <w:color w:val="231F20"/>
                <w:sz w:val="14"/>
              </w:rPr>
              <w:t>apropiación</w:t>
            </w:r>
            <w:r>
              <w:rPr>
                <w:color w:val="231F20"/>
                <w:spacing w:val="2"/>
                <w:sz w:val="14"/>
              </w:rPr>
              <w:t xml:space="preserve"> </w:t>
            </w:r>
            <w:r>
              <w:rPr>
                <w:color w:val="231F20"/>
                <w:spacing w:val="-5"/>
                <w:sz w:val="14"/>
              </w:rPr>
              <w:t>de</w:t>
            </w:r>
          </w:p>
          <w:p w14:paraId="5E6E5905" w14:textId="77777777" w:rsidR="00E751F9" w:rsidRDefault="00E751F9" w:rsidP="00D306E1">
            <w:pPr>
              <w:pStyle w:val="TableParagraph"/>
              <w:spacing w:before="1"/>
              <w:ind w:left="80"/>
              <w:rPr>
                <w:sz w:val="14"/>
              </w:rPr>
            </w:pPr>
            <w:r>
              <w:rPr>
                <w:color w:val="231F20"/>
                <w:sz w:val="14"/>
              </w:rPr>
              <w:t>$21.465.398.074,2,</w:t>
            </w:r>
            <w:r>
              <w:rPr>
                <w:color w:val="231F20"/>
                <w:spacing w:val="-6"/>
                <w:sz w:val="14"/>
              </w:rPr>
              <w:t xml:space="preserve"> </w:t>
            </w:r>
            <w:r>
              <w:rPr>
                <w:color w:val="231F20"/>
                <w:sz w:val="14"/>
              </w:rPr>
              <w:t>distribuida</w:t>
            </w:r>
            <w:r>
              <w:rPr>
                <w:color w:val="231F20"/>
                <w:spacing w:val="-6"/>
                <w:sz w:val="14"/>
              </w:rPr>
              <w:t xml:space="preserve"> </w:t>
            </w:r>
            <w:r>
              <w:rPr>
                <w:color w:val="231F20"/>
                <w:sz w:val="14"/>
              </w:rPr>
              <w:t>en</w:t>
            </w:r>
            <w:r>
              <w:rPr>
                <w:color w:val="231F20"/>
                <w:spacing w:val="-6"/>
                <w:sz w:val="14"/>
              </w:rPr>
              <w:t xml:space="preserve"> </w:t>
            </w:r>
            <w:r>
              <w:rPr>
                <w:color w:val="231F20"/>
                <w:sz w:val="14"/>
              </w:rPr>
              <w:t>$7.845.862.242,3</w:t>
            </w:r>
            <w:r>
              <w:rPr>
                <w:color w:val="231F20"/>
                <w:spacing w:val="-5"/>
                <w:sz w:val="14"/>
              </w:rPr>
              <w:t xml:space="preserve"> </w:t>
            </w:r>
            <w:r>
              <w:rPr>
                <w:color w:val="231F20"/>
                <w:spacing w:val="-4"/>
                <w:sz w:val="14"/>
              </w:rPr>
              <w:t>para</w:t>
            </w:r>
          </w:p>
          <w:p w14:paraId="4A59F7DF" w14:textId="77777777" w:rsidR="00E751F9" w:rsidRDefault="00E751F9" w:rsidP="00D306E1">
            <w:pPr>
              <w:pStyle w:val="TableParagraph"/>
              <w:spacing w:before="7"/>
              <w:ind w:left="80"/>
              <w:rPr>
                <w:sz w:val="14"/>
              </w:rPr>
            </w:pPr>
            <w:r>
              <w:rPr>
                <w:color w:val="231F20"/>
                <w:sz w:val="14"/>
              </w:rPr>
              <w:t>funcionamiento</w:t>
            </w:r>
            <w:r>
              <w:rPr>
                <w:color w:val="231F20"/>
                <w:spacing w:val="-9"/>
                <w:sz w:val="14"/>
              </w:rPr>
              <w:t xml:space="preserve"> </w:t>
            </w:r>
            <w:r>
              <w:rPr>
                <w:color w:val="231F20"/>
                <w:sz w:val="14"/>
              </w:rPr>
              <w:t>y</w:t>
            </w:r>
            <w:r>
              <w:rPr>
                <w:color w:val="231F20"/>
                <w:spacing w:val="-8"/>
                <w:sz w:val="14"/>
              </w:rPr>
              <w:t xml:space="preserve"> </w:t>
            </w:r>
            <w:r>
              <w:rPr>
                <w:color w:val="231F20"/>
                <w:spacing w:val="-2"/>
                <w:sz w:val="14"/>
              </w:rPr>
              <w:t>$13.619.535.831,8.</w:t>
            </w:r>
          </w:p>
        </w:tc>
        <w:tc>
          <w:tcPr>
            <w:tcW w:w="1926" w:type="dxa"/>
            <w:shd w:val="clear" w:color="auto" w:fill="E8F1F0"/>
          </w:tcPr>
          <w:p w14:paraId="788704CB" w14:textId="77777777" w:rsidR="00E751F9" w:rsidRDefault="00E751F9" w:rsidP="002A5676">
            <w:pPr>
              <w:pStyle w:val="TableParagraph"/>
              <w:spacing w:before="129"/>
              <w:jc w:val="center"/>
              <w:rPr>
                <w:rFonts w:ascii="Verdana"/>
                <w:b/>
                <w:sz w:val="14"/>
              </w:rPr>
            </w:pPr>
          </w:p>
          <w:p w14:paraId="6ECFD754" w14:textId="77777777" w:rsidR="00E751F9" w:rsidRDefault="00E751F9" w:rsidP="002A5676">
            <w:pPr>
              <w:pStyle w:val="TableParagraph"/>
              <w:spacing w:before="1"/>
              <w:ind w:left="44" w:right="2"/>
              <w:jc w:val="center"/>
              <w:rPr>
                <w:sz w:val="14"/>
              </w:rPr>
            </w:pPr>
            <w:r>
              <w:rPr>
                <w:color w:val="231F20"/>
                <w:spacing w:val="-2"/>
                <w:sz w:val="14"/>
              </w:rPr>
              <w:t>2.849.150.531,00</w:t>
            </w:r>
          </w:p>
        </w:tc>
        <w:tc>
          <w:tcPr>
            <w:tcW w:w="1488" w:type="dxa"/>
            <w:shd w:val="clear" w:color="auto" w:fill="E8F1F0"/>
          </w:tcPr>
          <w:p w14:paraId="3684ADD3" w14:textId="77777777" w:rsidR="00E751F9" w:rsidRDefault="00E751F9" w:rsidP="002A5676">
            <w:pPr>
              <w:pStyle w:val="TableParagraph"/>
              <w:spacing w:before="129"/>
              <w:jc w:val="center"/>
              <w:rPr>
                <w:rFonts w:ascii="Verdana"/>
                <w:b/>
                <w:sz w:val="14"/>
              </w:rPr>
            </w:pPr>
          </w:p>
          <w:p w14:paraId="1B0D3851" w14:textId="77777777" w:rsidR="00E751F9" w:rsidRDefault="00E751F9" w:rsidP="002A5676">
            <w:pPr>
              <w:pStyle w:val="TableParagraph"/>
              <w:spacing w:before="1"/>
              <w:ind w:left="44" w:right="31"/>
              <w:jc w:val="center"/>
              <w:rPr>
                <w:sz w:val="14"/>
              </w:rPr>
            </w:pPr>
            <w:r>
              <w:rPr>
                <w:color w:val="231F20"/>
                <w:spacing w:val="-10"/>
                <w:sz w:val="14"/>
              </w:rPr>
              <w:t>A</w:t>
            </w:r>
          </w:p>
        </w:tc>
      </w:tr>
      <w:tr w:rsidR="00E751F9" w14:paraId="0B2959F7" w14:textId="77777777" w:rsidTr="00D306E1">
        <w:trPr>
          <w:trHeight w:val="760"/>
          <w:jc w:val="center"/>
        </w:trPr>
        <w:tc>
          <w:tcPr>
            <w:tcW w:w="593" w:type="dxa"/>
            <w:shd w:val="clear" w:color="auto" w:fill="E8F1F0"/>
          </w:tcPr>
          <w:p w14:paraId="6F0A938A" w14:textId="77777777" w:rsidR="00E751F9" w:rsidRDefault="00E751F9" w:rsidP="002A5676">
            <w:pPr>
              <w:pStyle w:val="TableParagraph"/>
              <w:spacing w:before="129"/>
              <w:jc w:val="center"/>
              <w:rPr>
                <w:rFonts w:ascii="Verdana"/>
                <w:b/>
                <w:sz w:val="14"/>
              </w:rPr>
            </w:pPr>
          </w:p>
          <w:p w14:paraId="03CAFEF0" w14:textId="77777777" w:rsidR="00E751F9" w:rsidRDefault="00E751F9" w:rsidP="002A5676">
            <w:pPr>
              <w:pStyle w:val="TableParagraph"/>
              <w:spacing w:before="1"/>
              <w:ind w:left="8" w:right="4"/>
              <w:jc w:val="center"/>
              <w:rPr>
                <w:sz w:val="14"/>
              </w:rPr>
            </w:pPr>
            <w:r>
              <w:rPr>
                <w:color w:val="231F20"/>
                <w:spacing w:val="-5"/>
                <w:sz w:val="14"/>
              </w:rPr>
              <w:t>148</w:t>
            </w:r>
          </w:p>
        </w:tc>
        <w:tc>
          <w:tcPr>
            <w:tcW w:w="3677" w:type="dxa"/>
            <w:gridSpan w:val="2"/>
            <w:shd w:val="clear" w:color="auto" w:fill="E8F1F0"/>
          </w:tcPr>
          <w:p w14:paraId="1DA2DC96" w14:textId="77777777" w:rsidR="00E751F9" w:rsidRDefault="00E751F9" w:rsidP="00D306E1">
            <w:pPr>
              <w:pStyle w:val="TableParagraph"/>
              <w:spacing w:before="48" w:line="249" w:lineRule="auto"/>
              <w:ind w:left="80"/>
              <w:rPr>
                <w:sz w:val="14"/>
              </w:rPr>
            </w:pPr>
            <w:r>
              <w:rPr>
                <w:color w:val="231F20"/>
                <w:sz w:val="14"/>
              </w:rPr>
              <w:t>Revisada la información de la USPEC para la vigencia</w:t>
            </w:r>
            <w:r>
              <w:rPr>
                <w:color w:val="231F20"/>
                <w:spacing w:val="40"/>
                <w:sz w:val="14"/>
              </w:rPr>
              <w:t xml:space="preserve"> </w:t>
            </w:r>
            <w:r>
              <w:rPr>
                <w:color w:val="231F20"/>
                <w:sz w:val="14"/>
              </w:rPr>
              <w:t>2024,</w:t>
            </w:r>
            <w:r>
              <w:rPr>
                <w:color w:val="231F20"/>
                <w:spacing w:val="1"/>
                <w:sz w:val="14"/>
              </w:rPr>
              <w:t xml:space="preserve"> </w:t>
            </w:r>
            <w:r>
              <w:rPr>
                <w:color w:val="231F20"/>
                <w:sz w:val="14"/>
              </w:rPr>
              <w:t>se</w:t>
            </w:r>
            <w:r>
              <w:rPr>
                <w:color w:val="231F20"/>
                <w:spacing w:val="2"/>
                <w:sz w:val="14"/>
              </w:rPr>
              <w:t xml:space="preserve"> </w:t>
            </w:r>
            <w:r>
              <w:rPr>
                <w:color w:val="231F20"/>
                <w:sz w:val="14"/>
              </w:rPr>
              <w:t>pudo</w:t>
            </w:r>
            <w:r>
              <w:rPr>
                <w:color w:val="231F20"/>
                <w:spacing w:val="1"/>
                <w:sz w:val="14"/>
              </w:rPr>
              <w:t xml:space="preserve"> </w:t>
            </w:r>
            <w:r>
              <w:rPr>
                <w:color w:val="231F20"/>
                <w:sz w:val="14"/>
              </w:rPr>
              <w:t>evidenciar</w:t>
            </w:r>
            <w:r>
              <w:rPr>
                <w:color w:val="231F20"/>
                <w:spacing w:val="2"/>
                <w:sz w:val="14"/>
              </w:rPr>
              <w:t xml:space="preserve"> </w:t>
            </w:r>
            <w:r>
              <w:rPr>
                <w:color w:val="231F20"/>
                <w:sz w:val="14"/>
              </w:rPr>
              <w:t>una</w:t>
            </w:r>
            <w:r>
              <w:rPr>
                <w:color w:val="231F20"/>
                <w:spacing w:val="1"/>
                <w:sz w:val="14"/>
              </w:rPr>
              <w:t xml:space="preserve"> </w:t>
            </w:r>
            <w:r>
              <w:rPr>
                <w:color w:val="231F20"/>
                <w:sz w:val="14"/>
              </w:rPr>
              <w:t>pérdida</w:t>
            </w:r>
            <w:r>
              <w:rPr>
                <w:color w:val="231F20"/>
                <w:spacing w:val="2"/>
                <w:sz w:val="14"/>
              </w:rPr>
              <w:t xml:space="preserve"> </w:t>
            </w:r>
            <w:r>
              <w:rPr>
                <w:color w:val="231F20"/>
                <w:sz w:val="14"/>
              </w:rPr>
              <w:t>de</w:t>
            </w:r>
            <w:r>
              <w:rPr>
                <w:color w:val="231F20"/>
                <w:spacing w:val="1"/>
                <w:sz w:val="14"/>
              </w:rPr>
              <w:t xml:space="preserve"> </w:t>
            </w:r>
            <w:r>
              <w:rPr>
                <w:color w:val="231F20"/>
                <w:sz w:val="14"/>
              </w:rPr>
              <w:t>apropiación</w:t>
            </w:r>
            <w:r>
              <w:rPr>
                <w:color w:val="231F20"/>
                <w:spacing w:val="2"/>
                <w:sz w:val="14"/>
              </w:rPr>
              <w:t xml:space="preserve"> </w:t>
            </w:r>
            <w:r>
              <w:rPr>
                <w:color w:val="231F20"/>
                <w:spacing w:val="-5"/>
                <w:sz w:val="14"/>
              </w:rPr>
              <w:t>de</w:t>
            </w:r>
          </w:p>
          <w:p w14:paraId="0BF51E18" w14:textId="77777777" w:rsidR="00E751F9" w:rsidRDefault="00E751F9" w:rsidP="00D306E1">
            <w:pPr>
              <w:pStyle w:val="TableParagraph"/>
              <w:spacing w:before="1"/>
              <w:ind w:left="80"/>
              <w:rPr>
                <w:sz w:val="14"/>
              </w:rPr>
            </w:pPr>
            <w:r>
              <w:rPr>
                <w:color w:val="231F20"/>
                <w:sz w:val="14"/>
              </w:rPr>
              <w:t>$21.465.398.074,2,</w:t>
            </w:r>
            <w:r>
              <w:rPr>
                <w:color w:val="231F20"/>
                <w:spacing w:val="-6"/>
                <w:sz w:val="14"/>
              </w:rPr>
              <w:t xml:space="preserve"> </w:t>
            </w:r>
            <w:r>
              <w:rPr>
                <w:color w:val="231F20"/>
                <w:sz w:val="14"/>
              </w:rPr>
              <w:t>distribuida</w:t>
            </w:r>
            <w:r>
              <w:rPr>
                <w:color w:val="231F20"/>
                <w:spacing w:val="-6"/>
                <w:sz w:val="14"/>
              </w:rPr>
              <w:t xml:space="preserve"> </w:t>
            </w:r>
            <w:r>
              <w:rPr>
                <w:color w:val="231F20"/>
                <w:sz w:val="14"/>
              </w:rPr>
              <w:t>en</w:t>
            </w:r>
            <w:r>
              <w:rPr>
                <w:color w:val="231F20"/>
                <w:spacing w:val="-6"/>
                <w:sz w:val="14"/>
              </w:rPr>
              <w:t xml:space="preserve"> </w:t>
            </w:r>
            <w:r>
              <w:rPr>
                <w:color w:val="231F20"/>
                <w:sz w:val="14"/>
              </w:rPr>
              <w:t>$7.845.862.242,3</w:t>
            </w:r>
            <w:r>
              <w:rPr>
                <w:color w:val="231F20"/>
                <w:spacing w:val="-5"/>
                <w:sz w:val="14"/>
              </w:rPr>
              <w:t xml:space="preserve"> </w:t>
            </w:r>
            <w:r>
              <w:rPr>
                <w:color w:val="231F20"/>
                <w:spacing w:val="-4"/>
                <w:sz w:val="14"/>
              </w:rPr>
              <w:t>para</w:t>
            </w:r>
          </w:p>
          <w:p w14:paraId="559029A7" w14:textId="77777777" w:rsidR="00E751F9" w:rsidRDefault="00E751F9" w:rsidP="00D306E1">
            <w:pPr>
              <w:pStyle w:val="TableParagraph"/>
              <w:spacing w:before="7"/>
              <w:ind w:left="80"/>
              <w:rPr>
                <w:sz w:val="14"/>
              </w:rPr>
            </w:pPr>
            <w:r>
              <w:rPr>
                <w:color w:val="231F20"/>
                <w:sz w:val="14"/>
              </w:rPr>
              <w:t>funcionamiento</w:t>
            </w:r>
            <w:r>
              <w:rPr>
                <w:color w:val="231F20"/>
                <w:spacing w:val="-9"/>
                <w:sz w:val="14"/>
              </w:rPr>
              <w:t xml:space="preserve"> </w:t>
            </w:r>
            <w:r>
              <w:rPr>
                <w:color w:val="231F20"/>
                <w:sz w:val="14"/>
              </w:rPr>
              <w:t>y</w:t>
            </w:r>
            <w:r>
              <w:rPr>
                <w:color w:val="231F20"/>
                <w:spacing w:val="-8"/>
                <w:sz w:val="14"/>
              </w:rPr>
              <w:t xml:space="preserve"> </w:t>
            </w:r>
            <w:r>
              <w:rPr>
                <w:color w:val="231F20"/>
                <w:spacing w:val="-2"/>
                <w:sz w:val="14"/>
              </w:rPr>
              <w:t>$13.619.535.831,8.</w:t>
            </w:r>
          </w:p>
        </w:tc>
        <w:tc>
          <w:tcPr>
            <w:tcW w:w="1926" w:type="dxa"/>
            <w:shd w:val="clear" w:color="auto" w:fill="E8F1F0"/>
          </w:tcPr>
          <w:p w14:paraId="169AC895" w14:textId="77777777" w:rsidR="00E751F9" w:rsidRDefault="00E751F9" w:rsidP="002A5676">
            <w:pPr>
              <w:pStyle w:val="TableParagraph"/>
              <w:spacing w:before="129"/>
              <w:jc w:val="center"/>
              <w:rPr>
                <w:rFonts w:ascii="Verdana"/>
                <w:b/>
                <w:sz w:val="14"/>
              </w:rPr>
            </w:pPr>
          </w:p>
          <w:p w14:paraId="4B0DB898" w14:textId="77777777" w:rsidR="00E751F9" w:rsidRDefault="00E751F9" w:rsidP="002A5676">
            <w:pPr>
              <w:pStyle w:val="TableParagraph"/>
              <w:spacing w:before="1"/>
              <w:ind w:left="44" w:right="2"/>
              <w:jc w:val="center"/>
              <w:rPr>
                <w:sz w:val="14"/>
              </w:rPr>
            </w:pPr>
            <w:r>
              <w:rPr>
                <w:color w:val="231F20"/>
                <w:spacing w:val="-2"/>
                <w:sz w:val="14"/>
              </w:rPr>
              <w:t>4.898.013.477,50</w:t>
            </w:r>
          </w:p>
        </w:tc>
        <w:tc>
          <w:tcPr>
            <w:tcW w:w="1488" w:type="dxa"/>
            <w:shd w:val="clear" w:color="auto" w:fill="E8F1F0"/>
          </w:tcPr>
          <w:p w14:paraId="686F8F76" w14:textId="77777777" w:rsidR="00E751F9" w:rsidRDefault="00E751F9" w:rsidP="002A5676">
            <w:pPr>
              <w:pStyle w:val="TableParagraph"/>
              <w:spacing w:before="129"/>
              <w:jc w:val="center"/>
              <w:rPr>
                <w:rFonts w:ascii="Verdana"/>
                <w:b/>
                <w:sz w:val="14"/>
              </w:rPr>
            </w:pPr>
          </w:p>
          <w:p w14:paraId="1ADF7F75" w14:textId="77777777" w:rsidR="00E751F9" w:rsidRDefault="00E751F9" w:rsidP="002A5676">
            <w:pPr>
              <w:pStyle w:val="TableParagraph"/>
              <w:spacing w:before="1"/>
              <w:ind w:left="44" w:right="31"/>
              <w:jc w:val="center"/>
              <w:rPr>
                <w:sz w:val="14"/>
              </w:rPr>
            </w:pPr>
            <w:r>
              <w:rPr>
                <w:color w:val="231F20"/>
                <w:spacing w:val="-10"/>
                <w:sz w:val="14"/>
              </w:rPr>
              <w:t>A</w:t>
            </w:r>
          </w:p>
        </w:tc>
      </w:tr>
      <w:tr w:rsidR="00E751F9" w14:paraId="4BF3D5C8" w14:textId="77777777" w:rsidTr="00D306E1">
        <w:trPr>
          <w:trHeight w:val="760"/>
          <w:jc w:val="center"/>
        </w:trPr>
        <w:tc>
          <w:tcPr>
            <w:tcW w:w="593" w:type="dxa"/>
            <w:shd w:val="clear" w:color="auto" w:fill="E8F1F0"/>
          </w:tcPr>
          <w:p w14:paraId="4C6CFD85" w14:textId="77777777" w:rsidR="00E751F9" w:rsidRDefault="00E751F9" w:rsidP="002A5676">
            <w:pPr>
              <w:pStyle w:val="TableParagraph"/>
              <w:spacing w:before="130"/>
              <w:jc w:val="center"/>
              <w:rPr>
                <w:rFonts w:ascii="Verdana"/>
                <w:b/>
                <w:sz w:val="14"/>
              </w:rPr>
            </w:pPr>
          </w:p>
          <w:p w14:paraId="0C46B847" w14:textId="77777777" w:rsidR="00E751F9" w:rsidRDefault="00E751F9" w:rsidP="002A5676">
            <w:pPr>
              <w:pStyle w:val="TableParagraph"/>
              <w:ind w:left="8" w:right="4"/>
              <w:jc w:val="center"/>
              <w:rPr>
                <w:sz w:val="14"/>
              </w:rPr>
            </w:pPr>
            <w:r>
              <w:rPr>
                <w:color w:val="231F20"/>
                <w:spacing w:val="-5"/>
                <w:sz w:val="14"/>
              </w:rPr>
              <w:t>149</w:t>
            </w:r>
          </w:p>
        </w:tc>
        <w:tc>
          <w:tcPr>
            <w:tcW w:w="3677" w:type="dxa"/>
            <w:gridSpan w:val="2"/>
            <w:shd w:val="clear" w:color="auto" w:fill="E8F1F0"/>
          </w:tcPr>
          <w:p w14:paraId="101830EC" w14:textId="77777777" w:rsidR="00E751F9" w:rsidRDefault="00E751F9" w:rsidP="00D306E1">
            <w:pPr>
              <w:pStyle w:val="TableParagraph"/>
              <w:spacing w:before="48" w:line="249" w:lineRule="auto"/>
              <w:ind w:left="80"/>
              <w:rPr>
                <w:sz w:val="14"/>
              </w:rPr>
            </w:pPr>
            <w:r>
              <w:rPr>
                <w:color w:val="231F20"/>
                <w:sz w:val="14"/>
              </w:rPr>
              <w:t>Revisada la información de la USPEC para la vigencia</w:t>
            </w:r>
            <w:r>
              <w:rPr>
                <w:color w:val="231F20"/>
                <w:spacing w:val="40"/>
                <w:sz w:val="14"/>
              </w:rPr>
              <w:t xml:space="preserve"> </w:t>
            </w:r>
            <w:r>
              <w:rPr>
                <w:color w:val="231F20"/>
                <w:sz w:val="14"/>
              </w:rPr>
              <w:t>2024,</w:t>
            </w:r>
            <w:r>
              <w:rPr>
                <w:color w:val="231F20"/>
                <w:spacing w:val="1"/>
                <w:sz w:val="14"/>
              </w:rPr>
              <w:t xml:space="preserve"> </w:t>
            </w:r>
            <w:r>
              <w:rPr>
                <w:color w:val="231F20"/>
                <w:sz w:val="14"/>
              </w:rPr>
              <w:t>se</w:t>
            </w:r>
            <w:r>
              <w:rPr>
                <w:color w:val="231F20"/>
                <w:spacing w:val="2"/>
                <w:sz w:val="14"/>
              </w:rPr>
              <w:t xml:space="preserve"> </w:t>
            </w:r>
            <w:r>
              <w:rPr>
                <w:color w:val="231F20"/>
                <w:sz w:val="14"/>
              </w:rPr>
              <w:t>pudo</w:t>
            </w:r>
            <w:r>
              <w:rPr>
                <w:color w:val="231F20"/>
                <w:spacing w:val="1"/>
                <w:sz w:val="14"/>
              </w:rPr>
              <w:t xml:space="preserve"> </w:t>
            </w:r>
            <w:r>
              <w:rPr>
                <w:color w:val="231F20"/>
                <w:sz w:val="14"/>
              </w:rPr>
              <w:t>evidenciar</w:t>
            </w:r>
            <w:r>
              <w:rPr>
                <w:color w:val="231F20"/>
                <w:spacing w:val="2"/>
                <w:sz w:val="14"/>
              </w:rPr>
              <w:t xml:space="preserve"> </w:t>
            </w:r>
            <w:r>
              <w:rPr>
                <w:color w:val="231F20"/>
                <w:sz w:val="14"/>
              </w:rPr>
              <w:t>una</w:t>
            </w:r>
            <w:r>
              <w:rPr>
                <w:color w:val="231F20"/>
                <w:spacing w:val="1"/>
                <w:sz w:val="14"/>
              </w:rPr>
              <w:t xml:space="preserve"> </w:t>
            </w:r>
            <w:r>
              <w:rPr>
                <w:color w:val="231F20"/>
                <w:sz w:val="14"/>
              </w:rPr>
              <w:t>pérdida</w:t>
            </w:r>
            <w:r>
              <w:rPr>
                <w:color w:val="231F20"/>
                <w:spacing w:val="2"/>
                <w:sz w:val="14"/>
              </w:rPr>
              <w:t xml:space="preserve"> </w:t>
            </w:r>
            <w:r>
              <w:rPr>
                <w:color w:val="231F20"/>
                <w:sz w:val="14"/>
              </w:rPr>
              <w:t>de</w:t>
            </w:r>
            <w:r>
              <w:rPr>
                <w:color w:val="231F20"/>
                <w:spacing w:val="1"/>
                <w:sz w:val="14"/>
              </w:rPr>
              <w:t xml:space="preserve"> </w:t>
            </w:r>
            <w:r>
              <w:rPr>
                <w:color w:val="231F20"/>
                <w:sz w:val="14"/>
              </w:rPr>
              <w:t>apropiación</w:t>
            </w:r>
            <w:r>
              <w:rPr>
                <w:color w:val="231F20"/>
                <w:spacing w:val="2"/>
                <w:sz w:val="14"/>
              </w:rPr>
              <w:t xml:space="preserve"> </w:t>
            </w:r>
            <w:r>
              <w:rPr>
                <w:color w:val="231F20"/>
                <w:spacing w:val="-5"/>
                <w:sz w:val="14"/>
              </w:rPr>
              <w:t>de</w:t>
            </w:r>
          </w:p>
          <w:p w14:paraId="0B1978E6" w14:textId="77777777" w:rsidR="00E751F9" w:rsidRDefault="00E751F9" w:rsidP="00D306E1">
            <w:pPr>
              <w:pStyle w:val="TableParagraph"/>
              <w:spacing w:before="1"/>
              <w:ind w:left="80"/>
              <w:rPr>
                <w:sz w:val="14"/>
              </w:rPr>
            </w:pPr>
            <w:r>
              <w:rPr>
                <w:color w:val="231F20"/>
                <w:sz w:val="14"/>
              </w:rPr>
              <w:t>$21.465.398.074,2,</w:t>
            </w:r>
            <w:r>
              <w:rPr>
                <w:color w:val="231F20"/>
                <w:spacing w:val="-6"/>
                <w:sz w:val="14"/>
              </w:rPr>
              <w:t xml:space="preserve"> </w:t>
            </w:r>
            <w:r>
              <w:rPr>
                <w:color w:val="231F20"/>
                <w:sz w:val="14"/>
              </w:rPr>
              <w:t>distribuida</w:t>
            </w:r>
            <w:r>
              <w:rPr>
                <w:color w:val="231F20"/>
                <w:spacing w:val="-6"/>
                <w:sz w:val="14"/>
              </w:rPr>
              <w:t xml:space="preserve"> </w:t>
            </w:r>
            <w:r>
              <w:rPr>
                <w:color w:val="231F20"/>
                <w:sz w:val="14"/>
              </w:rPr>
              <w:t>en</w:t>
            </w:r>
            <w:r>
              <w:rPr>
                <w:color w:val="231F20"/>
                <w:spacing w:val="-6"/>
                <w:sz w:val="14"/>
              </w:rPr>
              <w:t xml:space="preserve"> </w:t>
            </w:r>
            <w:r>
              <w:rPr>
                <w:color w:val="231F20"/>
                <w:sz w:val="14"/>
              </w:rPr>
              <w:t>$7.845.862.242,3</w:t>
            </w:r>
            <w:r>
              <w:rPr>
                <w:color w:val="231F20"/>
                <w:spacing w:val="-5"/>
                <w:sz w:val="14"/>
              </w:rPr>
              <w:t xml:space="preserve"> </w:t>
            </w:r>
            <w:r>
              <w:rPr>
                <w:color w:val="231F20"/>
                <w:spacing w:val="-4"/>
                <w:sz w:val="14"/>
              </w:rPr>
              <w:t>para</w:t>
            </w:r>
          </w:p>
          <w:p w14:paraId="6B3FB4A4" w14:textId="77777777" w:rsidR="00E751F9" w:rsidRDefault="00E751F9" w:rsidP="00D306E1">
            <w:pPr>
              <w:pStyle w:val="TableParagraph"/>
              <w:spacing w:before="7"/>
              <w:ind w:left="80"/>
              <w:rPr>
                <w:sz w:val="14"/>
              </w:rPr>
            </w:pPr>
            <w:r>
              <w:rPr>
                <w:color w:val="231F20"/>
                <w:sz w:val="14"/>
              </w:rPr>
              <w:t>funcionamiento</w:t>
            </w:r>
            <w:r>
              <w:rPr>
                <w:color w:val="231F20"/>
                <w:spacing w:val="-9"/>
                <w:sz w:val="14"/>
              </w:rPr>
              <w:t xml:space="preserve"> </w:t>
            </w:r>
            <w:r>
              <w:rPr>
                <w:color w:val="231F20"/>
                <w:sz w:val="14"/>
              </w:rPr>
              <w:t>y</w:t>
            </w:r>
            <w:r>
              <w:rPr>
                <w:color w:val="231F20"/>
                <w:spacing w:val="-8"/>
                <w:sz w:val="14"/>
              </w:rPr>
              <w:t xml:space="preserve"> </w:t>
            </w:r>
            <w:r>
              <w:rPr>
                <w:color w:val="231F20"/>
                <w:spacing w:val="-2"/>
                <w:sz w:val="14"/>
              </w:rPr>
              <w:t>$13.619.535.831,8.</w:t>
            </w:r>
          </w:p>
        </w:tc>
        <w:tc>
          <w:tcPr>
            <w:tcW w:w="1926" w:type="dxa"/>
            <w:shd w:val="clear" w:color="auto" w:fill="E8F1F0"/>
          </w:tcPr>
          <w:p w14:paraId="0601F46A" w14:textId="77777777" w:rsidR="00E751F9" w:rsidRDefault="00E751F9" w:rsidP="002A5676">
            <w:pPr>
              <w:pStyle w:val="TableParagraph"/>
              <w:spacing w:before="130"/>
              <w:jc w:val="center"/>
              <w:rPr>
                <w:rFonts w:ascii="Verdana"/>
                <w:b/>
                <w:sz w:val="14"/>
              </w:rPr>
            </w:pPr>
          </w:p>
          <w:p w14:paraId="140A2B4D" w14:textId="77777777" w:rsidR="00E751F9" w:rsidRDefault="00E751F9" w:rsidP="002A5676">
            <w:pPr>
              <w:pStyle w:val="TableParagraph"/>
              <w:ind w:left="44" w:right="1"/>
              <w:jc w:val="center"/>
              <w:rPr>
                <w:sz w:val="14"/>
              </w:rPr>
            </w:pPr>
            <w:r>
              <w:rPr>
                <w:color w:val="231F20"/>
                <w:spacing w:val="-2"/>
                <w:sz w:val="14"/>
              </w:rPr>
              <w:t>98.698.233,80</w:t>
            </w:r>
          </w:p>
        </w:tc>
        <w:tc>
          <w:tcPr>
            <w:tcW w:w="1488" w:type="dxa"/>
            <w:shd w:val="clear" w:color="auto" w:fill="E8F1F0"/>
          </w:tcPr>
          <w:p w14:paraId="652BE391" w14:textId="77777777" w:rsidR="00E751F9" w:rsidRDefault="00E751F9" w:rsidP="002A5676">
            <w:pPr>
              <w:pStyle w:val="TableParagraph"/>
              <w:spacing w:before="130"/>
              <w:jc w:val="center"/>
              <w:rPr>
                <w:rFonts w:ascii="Verdana"/>
                <w:b/>
                <w:sz w:val="14"/>
              </w:rPr>
            </w:pPr>
          </w:p>
          <w:p w14:paraId="5FC60D29" w14:textId="77777777" w:rsidR="00E751F9" w:rsidRDefault="00E751F9" w:rsidP="002A5676">
            <w:pPr>
              <w:pStyle w:val="TableParagraph"/>
              <w:ind w:left="44" w:right="31"/>
              <w:jc w:val="center"/>
              <w:rPr>
                <w:sz w:val="14"/>
              </w:rPr>
            </w:pPr>
            <w:r>
              <w:rPr>
                <w:color w:val="231F20"/>
                <w:spacing w:val="-10"/>
                <w:sz w:val="14"/>
              </w:rPr>
              <w:t>A</w:t>
            </w:r>
          </w:p>
        </w:tc>
      </w:tr>
      <w:tr w:rsidR="00E751F9" w14:paraId="3E0F8669" w14:textId="77777777" w:rsidTr="00D306E1">
        <w:trPr>
          <w:trHeight w:val="760"/>
          <w:jc w:val="center"/>
        </w:trPr>
        <w:tc>
          <w:tcPr>
            <w:tcW w:w="593" w:type="dxa"/>
            <w:shd w:val="clear" w:color="auto" w:fill="E8F1F0"/>
          </w:tcPr>
          <w:p w14:paraId="645D251B" w14:textId="77777777" w:rsidR="00E751F9" w:rsidRDefault="00E751F9" w:rsidP="002A5676">
            <w:pPr>
              <w:pStyle w:val="TableParagraph"/>
              <w:spacing w:before="130"/>
              <w:jc w:val="center"/>
              <w:rPr>
                <w:rFonts w:ascii="Verdana"/>
                <w:b/>
                <w:sz w:val="14"/>
              </w:rPr>
            </w:pPr>
          </w:p>
          <w:p w14:paraId="646579A3" w14:textId="77777777" w:rsidR="00E751F9" w:rsidRDefault="00E751F9" w:rsidP="002A5676">
            <w:pPr>
              <w:pStyle w:val="TableParagraph"/>
              <w:ind w:left="8" w:right="4"/>
              <w:jc w:val="center"/>
              <w:rPr>
                <w:sz w:val="14"/>
              </w:rPr>
            </w:pPr>
            <w:r>
              <w:rPr>
                <w:color w:val="231F20"/>
                <w:spacing w:val="-5"/>
                <w:sz w:val="14"/>
              </w:rPr>
              <w:t>150</w:t>
            </w:r>
          </w:p>
        </w:tc>
        <w:tc>
          <w:tcPr>
            <w:tcW w:w="3677" w:type="dxa"/>
            <w:gridSpan w:val="2"/>
            <w:shd w:val="clear" w:color="auto" w:fill="E8F1F0"/>
          </w:tcPr>
          <w:p w14:paraId="23F85395" w14:textId="77777777" w:rsidR="00E751F9" w:rsidRDefault="00E751F9" w:rsidP="00D306E1">
            <w:pPr>
              <w:pStyle w:val="TableParagraph"/>
              <w:spacing w:before="48" w:line="249" w:lineRule="auto"/>
              <w:ind w:left="80"/>
              <w:rPr>
                <w:sz w:val="14"/>
              </w:rPr>
            </w:pPr>
            <w:r>
              <w:rPr>
                <w:color w:val="231F20"/>
                <w:sz w:val="14"/>
              </w:rPr>
              <w:t>Revisada la información de la USPEC para la vigencia</w:t>
            </w:r>
            <w:r>
              <w:rPr>
                <w:color w:val="231F20"/>
                <w:spacing w:val="40"/>
                <w:sz w:val="14"/>
              </w:rPr>
              <w:t xml:space="preserve"> </w:t>
            </w:r>
            <w:r>
              <w:rPr>
                <w:color w:val="231F20"/>
                <w:sz w:val="14"/>
              </w:rPr>
              <w:t>2024,</w:t>
            </w:r>
            <w:r>
              <w:rPr>
                <w:color w:val="231F20"/>
                <w:spacing w:val="1"/>
                <w:sz w:val="14"/>
              </w:rPr>
              <w:t xml:space="preserve"> </w:t>
            </w:r>
            <w:r>
              <w:rPr>
                <w:color w:val="231F20"/>
                <w:sz w:val="14"/>
              </w:rPr>
              <w:t>se</w:t>
            </w:r>
            <w:r>
              <w:rPr>
                <w:color w:val="231F20"/>
                <w:spacing w:val="2"/>
                <w:sz w:val="14"/>
              </w:rPr>
              <w:t xml:space="preserve"> </w:t>
            </w:r>
            <w:r>
              <w:rPr>
                <w:color w:val="231F20"/>
                <w:sz w:val="14"/>
              </w:rPr>
              <w:t>pudo</w:t>
            </w:r>
            <w:r>
              <w:rPr>
                <w:color w:val="231F20"/>
                <w:spacing w:val="1"/>
                <w:sz w:val="14"/>
              </w:rPr>
              <w:t xml:space="preserve"> </w:t>
            </w:r>
            <w:r>
              <w:rPr>
                <w:color w:val="231F20"/>
                <w:sz w:val="14"/>
              </w:rPr>
              <w:t>evidenciar</w:t>
            </w:r>
            <w:r>
              <w:rPr>
                <w:color w:val="231F20"/>
                <w:spacing w:val="2"/>
                <w:sz w:val="14"/>
              </w:rPr>
              <w:t xml:space="preserve"> </w:t>
            </w:r>
            <w:r>
              <w:rPr>
                <w:color w:val="231F20"/>
                <w:sz w:val="14"/>
              </w:rPr>
              <w:t>una</w:t>
            </w:r>
            <w:r>
              <w:rPr>
                <w:color w:val="231F20"/>
                <w:spacing w:val="1"/>
                <w:sz w:val="14"/>
              </w:rPr>
              <w:t xml:space="preserve"> </w:t>
            </w:r>
            <w:r>
              <w:rPr>
                <w:color w:val="231F20"/>
                <w:sz w:val="14"/>
              </w:rPr>
              <w:t>pérdida</w:t>
            </w:r>
            <w:r>
              <w:rPr>
                <w:color w:val="231F20"/>
                <w:spacing w:val="2"/>
                <w:sz w:val="14"/>
              </w:rPr>
              <w:t xml:space="preserve"> </w:t>
            </w:r>
            <w:r>
              <w:rPr>
                <w:color w:val="231F20"/>
                <w:sz w:val="14"/>
              </w:rPr>
              <w:t>de</w:t>
            </w:r>
            <w:r>
              <w:rPr>
                <w:color w:val="231F20"/>
                <w:spacing w:val="1"/>
                <w:sz w:val="14"/>
              </w:rPr>
              <w:t xml:space="preserve"> </w:t>
            </w:r>
            <w:r>
              <w:rPr>
                <w:color w:val="231F20"/>
                <w:sz w:val="14"/>
              </w:rPr>
              <w:t>apropiación</w:t>
            </w:r>
            <w:r>
              <w:rPr>
                <w:color w:val="231F20"/>
                <w:spacing w:val="2"/>
                <w:sz w:val="14"/>
              </w:rPr>
              <w:t xml:space="preserve"> </w:t>
            </w:r>
            <w:r>
              <w:rPr>
                <w:color w:val="231F20"/>
                <w:spacing w:val="-5"/>
                <w:sz w:val="14"/>
              </w:rPr>
              <w:t>de</w:t>
            </w:r>
          </w:p>
          <w:p w14:paraId="08AB4E27" w14:textId="77777777" w:rsidR="00E751F9" w:rsidRDefault="00E751F9" w:rsidP="00D306E1">
            <w:pPr>
              <w:pStyle w:val="TableParagraph"/>
              <w:spacing w:before="1"/>
              <w:ind w:left="80"/>
              <w:rPr>
                <w:sz w:val="14"/>
              </w:rPr>
            </w:pPr>
            <w:r>
              <w:rPr>
                <w:color w:val="231F20"/>
                <w:sz w:val="14"/>
              </w:rPr>
              <w:t>$21.465.398.074,2,</w:t>
            </w:r>
            <w:r>
              <w:rPr>
                <w:color w:val="231F20"/>
                <w:spacing w:val="-6"/>
                <w:sz w:val="14"/>
              </w:rPr>
              <w:t xml:space="preserve"> </w:t>
            </w:r>
            <w:r>
              <w:rPr>
                <w:color w:val="231F20"/>
                <w:sz w:val="14"/>
              </w:rPr>
              <w:t>distribuida</w:t>
            </w:r>
            <w:r>
              <w:rPr>
                <w:color w:val="231F20"/>
                <w:spacing w:val="-6"/>
                <w:sz w:val="14"/>
              </w:rPr>
              <w:t xml:space="preserve"> </w:t>
            </w:r>
            <w:r>
              <w:rPr>
                <w:color w:val="231F20"/>
                <w:sz w:val="14"/>
              </w:rPr>
              <w:t>en</w:t>
            </w:r>
            <w:r>
              <w:rPr>
                <w:color w:val="231F20"/>
                <w:spacing w:val="-6"/>
                <w:sz w:val="14"/>
              </w:rPr>
              <w:t xml:space="preserve"> </w:t>
            </w:r>
            <w:r>
              <w:rPr>
                <w:color w:val="231F20"/>
                <w:sz w:val="14"/>
              </w:rPr>
              <w:t>$7.845.862.242,3</w:t>
            </w:r>
            <w:r>
              <w:rPr>
                <w:color w:val="231F20"/>
                <w:spacing w:val="-5"/>
                <w:sz w:val="14"/>
              </w:rPr>
              <w:t xml:space="preserve"> </w:t>
            </w:r>
            <w:r>
              <w:rPr>
                <w:color w:val="231F20"/>
                <w:spacing w:val="-4"/>
                <w:sz w:val="14"/>
              </w:rPr>
              <w:t>para</w:t>
            </w:r>
          </w:p>
          <w:p w14:paraId="2EE1EB89" w14:textId="77777777" w:rsidR="00E751F9" w:rsidRDefault="00E751F9" w:rsidP="00D306E1">
            <w:pPr>
              <w:pStyle w:val="TableParagraph"/>
              <w:spacing w:before="7"/>
              <w:ind w:left="80"/>
              <w:rPr>
                <w:sz w:val="14"/>
              </w:rPr>
            </w:pPr>
            <w:r>
              <w:rPr>
                <w:color w:val="231F20"/>
                <w:sz w:val="14"/>
              </w:rPr>
              <w:t>funcionamiento</w:t>
            </w:r>
            <w:r>
              <w:rPr>
                <w:color w:val="231F20"/>
                <w:spacing w:val="-9"/>
                <w:sz w:val="14"/>
              </w:rPr>
              <w:t xml:space="preserve"> </w:t>
            </w:r>
            <w:r>
              <w:rPr>
                <w:color w:val="231F20"/>
                <w:sz w:val="14"/>
              </w:rPr>
              <w:t>y</w:t>
            </w:r>
            <w:r>
              <w:rPr>
                <w:color w:val="231F20"/>
                <w:spacing w:val="-8"/>
                <w:sz w:val="14"/>
              </w:rPr>
              <w:t xml:space="preserve"> </w:t>
            </w:r>
            <w:r>
              <w:rPr>
                <w:color w:val="231F20"/>
                <w:spacing w:val="-2"/>
                <w:sz w:val="14"/>
              </w:rPr>
              <w:t>$13.619.535.831,8.</w:t>
            </w:r>
          </w:p>
        </w:tc>
        <w:tc>
          <w:tcPr>
            <w:tcW w:w="1926" w:type="dxa"/>
            <w:shd w:val="clear" w:color="auto" w:fill="E8F1F0"/>
          </w:tcPr>
          <w:p w14:paraId="2C15B78B" w14:textId="77777777" w:rsidR="00E751F9" w:rsidRDefault="00E751F9" w:rsidP="002A5676">
            <w:pPr>
              <w:pStyle w:val="TableParagraph"/>
              <w:spacing w:before="130"/>
              <w:jc w:val="center"/>
              <w:rPr>
                <w:rFonts w:ascii="Verdana"/>
                <w:b/>
                <w:sz w:val="14"/>
              </w:rPr>
            </w:pPr>
          </w:p>
          <w:p w14:paraId="582F21FE" w14:textId="77777777" w:rsidR="00E751F9" w:rsidRDefault="00E751F9" w:rsidP="002A5676">
            <w:pPr>
              <w:pStyle w:val="TableParagraph"/>
              <w:ind w:left="44" w:right="1"/>
              <w:jc w:val="center"/>
              <w:rPr>
                <w:sz w:val="14"/>
              </w:rPr>
            </w:pPr>
            <w:r>
              <w:rPr>
                <w:color w:val="231F20"/>
                <w:spacing w:val="-2"/>
                <w:sz w:val="14"/>
              </w:rPr>
              <w:t>13.619.535.831,80</w:t>
            </w:r>
          </w:p>
        </w:tc>
        <w:tc>
          <w:tcPr>
            <w:tcW w:w="1488" w:type="dxa"/>
            <w:shd w:val="clear" w:color="auto" w:fill="E8F1F0"/>
          </w:tcPr>
          <w:p w14:paraId="2337E697" w14:textId="77777777" w:rsidR="00E751F9" w:rsidRDefault="00E751F9" w:rsidP="002A5676">
            <w:pPr>
              <w:pStyle w:val="TableParagraph"/>
              <w:spacing w:before="130"/>
              <w:jc w:val="center"/>
              <w:rPr>
                <w:rFonts w:ascii="Verdana"/>
                <w:b/>
                <w:sz w:val="14"/>
              </w:rPr>
            </w:pPr>
          </w:p>
          <w:p w14:paraId="3295F61D" w14:textId="77777777" w:rsidR="00E751F9" w:rsidRDefault="00E751F9" w:rsidP="002A5676">
            <w:pPr>
              <w:pStyle w:val="TableParagraph"/>
              <w:ind w:left="44" w:right="30"/>
              <w:jc w:val="center"/>
              <w:rPr>
                <w:sz w:val="14"/>
              </w:rPr>
            </w:pPr>
            <w:r>
              <w:rPr>
                <w:color w:val="231F20"/>
                <w:spacing w:val="-10"/>
                <w:sz w:val="14"/>
              </w:rPr>
              <w:t>A</w:t>
            </w:r>
          </w:p>
        </w:tc>
      </w:tr>
    </w:tbl>
    <w:p w14:paraId="7CE1F326" w14:textId="17A12138" w:rsidR="00E751F9" w:rsidRDefault="00E751F9" w:rsidP="00E751F9">
      <w:pPr>
        <w:ind w:right="-93"/>
        <w:jc w:val="both"/>
        <w:rPr>
          <w:b/>
          <w:sz w:val="28"/>
          <w:szCs w:val="28"/>
          <w:lang w:val="es-MX"/>
        </w:rPr>
      </w:pPr>
    </w:p>
    <w:p w14:paraId="60362221" w14:textId="63B3C719" w:rsidR="00E751F9" w:rsidRDefault="00E751F9" w:rsidP="00E751F9">
      <w:pPr>
        <w:pStyle w:val="Textoindependiente"/>
        <w:ind w:right="-93"/>
        <w:jc w:val="both"/>
        <w:rPr>
          <w:b/>
          <w:bCs/>
          <w:sz w:val="28"/>
          <w:szCs w:val="28"/>
        </w:rPr>
      </w:pPr>
      <w:bookmarkStart w:id="5" w:name="_Hlk207872216"/>
      <w:r>
        <w:rPr>
          <w:b/>
          <w:bCs/>
          <w:sz w:val="28"/>
          <w:szCs w:val="28"/>
        </w:rPr>
        <w:t>3</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17C822FC" w14:textId="4901CE7C" w:rsidR="00E751F9" w:rsidRDefault="00E751F9" w:rsidP="00E751F9">
      <w:pPr>
        <w:ind w:right="-93"/>
        <w:jc w:val="both"/>
        <w:rPr>
          <w:b/>
          <w:sz w:val="28"/>
          <w:szCs w:val="28"/>
          <w:lang w:val="es-MX"/>
        </w:rPr>
      </w:pPr>
    </w:p>
    <w:p w14:paraId="29FF2539" w14:textId="77777777" w:rsidR="00E751F9" w:rsidRPr="007B1E95" w:rsidRDefault="00E751F9" w:rsidP="00E751F9">
      <w:pPr>
        <w:pStyle w:val="Textoindependiente"/>
        <w:rPr>
          <w:b/>
          <w:sz w:val="28"/>
          <w:szCs w:val="28"/>
        </w:rPr>
      </w:pPr>
      <w:r w:rsidRPr="007B1E95">
        <w:rPr>
          <w:b/>
          <w:sz w:val="28"/>
          <w:szCs w:val="28"/>
        </w:rPr>
        <w:t>UNIDAD</w:t>
      </w:r>
      <w:r w:rsidRPr="007B1E95">
        <w:rPr>
          <w:b/>
          <w:spacing w:val="-2"/>
          <w:sz w:val="28"/>
          <w:szCs w:val="28"/>
        </w:rPr>
        <w:t xml:space="preserve"> </w:t>
      </w:r>
      <w:r w:rsidRPr="007B1E95">
        <w:rPr>
          <w:b/>
          <w:sz w:val="28"/>
          <w:szCs w:val="28"/>
        </w:rPr>
        <w:t xml:space="preserve">DE SERVICIOS PENITENCIARIOS Y CARCELARIOS – </w:t>
      </w:r>
      <w:r w:rsidRPr="007B1E95">
        <w:rPr>
          <w:b/>
          <w:spacing w:val="-2"/>
          <w:sz w:val="28"/>
          <w:szCs w:val="28"/>
        </w:rPr>
        <w:t>USPEC.</w:t>
      </w:r>
    </w:p>
    <w:p w14:paraId="3C43C297" w14:textId="77777777" w:rsidR="00E751F9" w:rsidRPr="007B1E95" w:rsidRDefault="00E751F9" w:rsidP="00E751F9">
      <w:pPr>
        <w:pStyle w:val="Textoindependiente"/>
        <w:rPr>
          <w:b/>
          <w:sz w:val="28"/>
          <w:szCs w:val="28"/>
        </w:rPr>
      </w:pPr>
    </w:p>
    <w:p w14:paraId="0E8CEE41" w14:textId="77777777" w:rsidR="00E751F9" w:rsidRDefault="00E751F9" w:rsidP="00E751F9">
      <w:pPr>
        <w:pStyle w:val="Textoindependiente"/>
        <w:rPr>
          <w:b/>
          <w:spacing w:val="-2"/>
          <w:sz w:val="28"/>
          <w:szCs w:val="28"/>
        </w:rPr>
      </w:pPr>
      <w:r w:rsidRPr="007B1E95">
        <w:rPr>
          <w:b/>
          <w:sz w:val="28"/>
          <w:szCs w:val="28"/>
        </w:rPr>
        <w:t>OPINIÓN</w:t>
      </w:r>
      <w:r w:rsidRPr="007B1E95">
        <w:rPr>
          <w:b/>
          <w:spacing w:val="-13"/>
          <w:sz w:val="28"/>
          <w:szCs w:val="28"/>
        </w:rPr>
        <w:t xml:space="preserve"> </w:t>
      </w:r>
      <w:r w:rsidRPr="007B1E95">
        <w:rPr>
          <w:b/>
          <w:sz w:val="28"/>
          <w:szCs w:val="28"/>
        </w:rPr>
        <w:t>CONTABLE:</w:t>
      </w:r>
      <w:r w:rsidRPr="007B1E95">
        <w:rPr>
          <w:b/>
          <w:spacing w:val="-13"/>
          <w:sz w:val="28"/>
          <w:szCs w:val="28"/>
        </w:rPr>
        <w:t xml:space="preserve"> </w:t>
      </w:r>
      <w:r w:rsidRPr="007B1E95">
        <w:rPr>
          <w:b/>
          <w:spacing w:val="-2"/>
          <w:sz w:val="28"/>
          <w:szCs w:val="28"/>
        </w:rPr>
        <w:t>NEGATIVA.</w:t>
      </w:r>
    </w:p>
    <w:p w14:paraId="4F9CED75" w14:textId="77777777" w:rsidR="00E751F9" w:rsidRDefault="00E751F9" w:rsidP="00E751F9">
      <w:pPr>
        <w:pStyle w:val="Textoindependiente"/>
        <w:rPr>
          <w:b/>
          <w:spacing w:val="-2"/>
          <w:sz w:val="28"/>
          <w:szCs w:val="28"/>
        </w:rPr>
      </w:pPr>
    </w:p>
    <w:p w14:paraId="524E8409" w14:textId="77777777" w:rsidR="00E751F9" w:rsidRDefault="00E751F9" w:rsidP="00E751F9">
      <w:pPr>
        <w:pStyle w:val="Textoindependiente"/>
        <w:jc w:val="both"/>
        <w:rPr>
          <w:color w:val="231F20"/>
        </w:rPr>
      </w:pPr>
      <w:r w:rsidRPr="006E4CC9">
        <w:rPr>
          <w:b/>
          <w:spacing w:val="-2"/>
          <w:sz w:val="28"/>
          <w:szCs w:val="28"/>
        </w:rPr>
        <w:t>-</w:t>
      </w:r>
      <w:r w:rsidRPr="00E751F9">
        <w:rPr>
          <w:b/>
          <w:bCs/>
          <w:color w:val="231F20"/>
        </w:rPr>
        <w:t>Incorrección</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clasificación</w:t>
      </w:r>
      <w:r w:rsidRPr="00697E23">
        <w:rPr>
          <w:color w:val="231F20"/>
          <w:spacing w:val="-4"/>
        </w:rPr>
        <w:t xml:space="preserve"> </w:t>
      </w:r>
      <w:r w:rsidRPr="00697E23">
        <w:rPr>
          <w:color w:val="231F20"/>
        </w:rPr>
        <w:t>en</w:t>
      </w:r>
      <w:r w:rsidRPr="00697E23">
        <w:rPr>
          <w:color w:val="231F20"/>
          <w:spacing w:val="-4"/>
        </w:rPr>
        <w:t xml:space="preserve"> </w:t>
      </w:r>
      <w:r w:rsidRPr="00697E23">
        <w:rPr>
          <w:color w:val="231F20"/>
        </w:rPr>
        <w:t>inventarios,</w:t>
      </w:r>
      <w:r w:rsidRPr="00697E23">
        <w:rPr>
          <w:color w:val="231F20"/>
          <w:spacing w:val="-4"/>
        </w:rPr>
        <w:t xml:space="preserve"> </w:t>
      </w:r>
      <w:r w:rsidRPr="00697E23">
        <w:rPr>
          <w:color w:val="231F20"/>
        </w:rPr>
        <w:t>por</w:t>
      </w:r>
      <w:r w:rsidRPr="00697E23">
        <w:rPr>
          <w:color w:val="231F20"/>
          <w:spacing w:val="-4"/>
        </w:rPr>
        <w:t xml:space="preserve"> </w:t>
      </w:r>
      <w:r w:rsidRPr="00697E23">
        <w:rPr>
          <w:color w:val="231F20"/>
        </w:rPr>
        <w:t>$47.179,66</w:t>
      </w:r>
      <w:r w:rsidRPr="00697E23">
        <w:rPr>
          <w:color w:val="231F20"/>
          <w:spacing w:val="-4"/>
        </w:rPr>
        <w:t xml:space="preserve"> </w:t>
      </w:r>
      <w:r w:rsidRPr="00697E23">
        <w:rPr>
          <w:color w:val="231F20"/>
        </w:rPr>
        <w:t>millones, debido</w:t>
      </w:r>
      <w:r w:rsidRPr="00697E23">
        <w:rPr>
          <w:color w:val="231F20"/>
          <w:spacing w:val="40"/>
        </w:rPr>
        <w:t xml:space="preserve"> </w:t>
      </w:r>
      <w:r w:rsidRPr="00697E23">
        <w:rPr>
          <w:color w:val="231F20"/>
        </w:rPr>
        <w:t>a</w:t>
      </w:r>
      <w:r w:rsidRPr="00697E23">
        <w:rPr>
          <w:color w:val="231F20"/>
          <w:spacing w:val="40"/>
        </w:rPr>
        <w:t xml:space="preserve"> </w:t>
      </w:r>
      <w:r w:rsidRPr="00697E23">
        <w:rPr>
          <w:color w:val="231F20"/>
        </w:rPr>
        <w:t>que</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cuenta</w:t>
      </w:r>
      <w:r w:rsidRPr="00697E23">
        <w:rPr>
          <w:color w:val="231F20"/>
          <w:spacing w:val="40"/>
        </w:rPr>
        <w:t xml:space="preserve"> </w:t>
      </w:r>
      <w:r w:rsidRPr="00697E23">
        <w:rPr>
          <w:color w:val="231F20"/>
        </w:rPr>
        <w:t>productos</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proceso,</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el</w:t>
      </w:r>
      <w:r w:rsidRPr="00697E23">
        <w:rPr>
          <w:color w:val="231F20"/>
          <w:spacing w:val="40"/>
        </w:rPr>
        <w:t xml:space="preserve"> </w:t>
      </w:r>
      <w:r w:rsidRPr="00697E23">
        <w:rPr>
          <w:color w:val="231F20"/>
        </w:rPr>
        <w:t>detalle</w:t>
      </w:r>
      <w:r w:rsidRPr="00697E23">
        <w:rPr>
          <w:color w:val="231F20"/>
          <w:spacing w:val="40"/>
        </w:rPr>
        <w:t xml:space="preserve"> </w:t>
      </w:r>
      <w:r w:rsidRPr="00697E23">
        <w:rPr>
          <w:color w:val="231F20"/>
        </w:rPr>
        <w:t>de la subcuenta utilizada por la entidad Construcciones, se relacionaron saldos de algunos contratos que, según las notas a los estados financieros,</w:t>
      </w:r>
      <w:r w:rsidRPr="00697E23">
        <w:rPr>
          <w:color w:val="231F20"/>
          <w:spacing w:val="-20"/>
        </w:rPr>
        <w:t xml:space="preserve"> </w:t>
      </w:r>
      <w:r w:rsidRPr="00697E23">
        <w:rPr>
          <w:color w:val="231F20"/>
        </w:rPr>
        <w:t>ya</w:t>
      </w:r>
      <w:r w:rsidRPr="00697E23">
        <w:rPr>
          <w:color w:val="231F20"/>
          <w:spacing w:val="-19"/>
        </w:rPr>
        <w:t xml:space="preserve"> </w:t>
      </w:r>
      <w:r w:rsidRPr="00697E23">
        <w:rPr>
          <w:color w:val="231F20"/>
        </w:rPr>
        <w:t>tenían</w:t>
      </w:r>
      <w:r w:rsidRPr="00697E23">
        <w:rPr>
          <w:color w:val="231F20"/>
          <w:spacing w:val="-19"/>
        </w:rPr>
        <w:t xml:space="preserve"> </w:t>
      </w:r>
      <w:r w:rsidRPr="00697E23">
        <w:rPr>
          <w:color w:val="231F20"/>
        </w:rPr>
        <w:t>fecha</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terminación</w:t>
      </w:r>
      <w:r w:rsidRPr="00697E23">
        <w:rPr>
          <w:color w:val="231F20"/>
          <w:spacing w:val="-20"/>
        </w:rPr>
        <w:t xml:space="preserve"> </w:t>
      </w:r>
      <w:r w:rsidRPr="00697E23">
        <w:rPr>
          <w:color w:val="231F20"/>
        </w:rPr>
        <w:t>y</w:t>
      </w:r>
      <w:r w:rsidRPr="00697E23">
        <w:rPr>
          <w:color w:val="231F20"/>
          <w:spacing w:val="-19"/>
        </w:rPr>
        <w:t xml:space="preserve"> </w:t>
      </w:r>
      <w:r w:rsidRPr="00697E23">
        <w:rPr>
          <w:color w:val="231F20"/>
        </w:rPr>
        <w:t>liquidación;</w:t>
      </w:r>
      <w:r w:rsidRPr="00697E23">
        <w:rPr>
          <w:color w:val="231F20"/>
          <w:spacing w:val="-19"/>
        </w:rPr>
        <w:t xml:space="preserve"> </w:t>
      </w:r>
      <w:r w:rsidRPr="00697E23">
        <w:rPr>
          <w:color w:val="231F20"/>
        </w:rPr>
        <w:t>sin</w:t>
      </w:r>
      <w:r w:rsidRPr="00697E23">
        <w:rPr>
          <w:color w:val="231F20"/>
          <w:spacing w:val="-20"/>
        </w:rPr>
        <w:t xml:space="preserve"> </w:t>
      </w:r>
      <w:r w:rsidRPr="00697E23">
        <w:rPr>
          <w:color w:val="231F20"/>
        </w:rPr>
        <w:t>embargo, permanecen registrados como productos en proceso.</w:t>
      </w:r>
    </w:p>
    <w:p w14:paraId="292C21A4" w14:textId="77777777" w:rsidR="00E751F9" w:rsidRDefault="00E751F9" w:rsidP="00E751F9">
      <w:pPr>
        <w:pStyle w:val="Textoindependiente"/>
        <w:jc w:val="both"/>
        <w:rPr>
          <w:color w:val="231F20"/>
        </w:rPr>
      </w:pPr>
    </w:p>
    <w:p w14:paraId="1D135849" w14:textId="77777777" w:rsidR="00E751F9" w:rsidRDefault="00E751F9" w:rsidP="00E751F9">
      <w:pPr>
        <w:pStyle w:val="Textoindependiente"/>
        <w:jc w:val="both"/>
        <w:rPr>
          <w:color w:val="231F20"/>
        </w:rPr>
      </w:pPr>
      <w:r w:rsidRPr="00697E23">
        <w:rPr>
          <w:color w:val="231F20"/>
        </w:rPr>
        <w:t>Lo</w:t>
      </w:r>
      <w:r w:rsidRPr="00697E23">
        <w:rPr>
          <w:color w:val="231F20"/>
          <w:spacing w:val="41"/>
        </w:rPr>
        <w:t xml:space="preserve"> </w:t>
      </w:r>
      <w:r w:rsidRPr="00697E23">
        <w:rPr>
          <w:color w:val="231F20"/>
        </w:rPr>
        <w:t>anterior,</w:t>
      </w:r>
      <w:r w:rsidRPr="00697E23">
        <w:rPr>
          <w:color w:val="231F20"/>
          <w:spacing w:val="41"/>
        </w:rPr>
        <w:t xml:space="preserve"> </w:t>
      </w:r>
      <w:r w:rsidRPr="00697E23">
        <w:rPr>
          <w:color w:val="231F20"/>
        </w:rPr>
        <w:t>contravino</w:t>
      </w:r>
      <w:r w:rsidRPr="00697E23">
        <w:rPr>
          <w:color w:val="231F20"/>
          <w:spacing w:val="41"/>
        </w:rPr>
        <w:t xml:space="preserve"> </w:t>
      </w:r>
      <w:r w:rsidRPr="00697E23">
        <w:rPr>
          <w:color w:val="231F20"/>
        </w:rPr>
        <w:t>lo</w:t>
      </w:r>
      <w:r w:rsidRPr="00697E23">
        <w:rPr>
          <w:color w:val="231F20"/>
          <w:spacing w:val="41"/>
        </w:rPr>
        <w:t xml:space="preserve"> </w:t>
      </w:r>
      <w:r w:rsidRPr="00697E23">
        <w:rPr>
          <w:color w:val="231F20"/>
        </w:rPr>
        <w:t>establecido</w:t>
      </w:r>
      <w:r w:rsidRPr="00697E23">
        <w:rPr>
          <w:color w:val="231F20"/>
          <w:spacing w:val="42"/>
        </w:rPr>
        <w:t xml:space="preserve"> </w:t>
      </w:r>
      <w:r w:rsidRPr="00697E23">
        <w:rPr>
          <w:color w:val="231F20"/>
        </w:rPr>
        <w:t>en</w:t>
      </w:r>
      <w:r w:rsidRPr="00697E23">
        <w:rPr>
          <w:color w:val="231F20"/>
          <w:spacing w:val="41"/>
        </w:rPr>
        <w:t xml:space="preserve"> </w:t>
      </w:r>
      <w:r w:rsidRPr="00697E23">
        <w:rPr>
          <w:color w:val="231F20"/>
        </w:rPr>
        <w:t>Marco</w:t>
      </w:r>
      <w:r w:rsidRPr="00697E23">
        <w:rPr>
          <w:color w:val="231F20"/>
          <w:spacing w:val="41"/>
        </w:rPr>
        <w:t xml:space="preserve"> </w:t>
      </w:r>
      <w:r w:rsidRPr="00697E23">
        <w:rPr>
          <w:color w:val="231F20"/>
        </w:rPr>
        <w:t>conceptual</w:t>
      </w:r>
      <w:r w:rsidRPr="00697E23">
        <w:rPr>
          <w:color w:val="231F20"/>
          <w:spacing w:val="41"/>
        </w:rPr>
        <w:t xml:space="preserve"> </w:t>
      </w:r>
      <w:r w:rsidRPr="00697E23">
        <w:rPr>
          <w:color w:val="231F20"/>
        </w:rPr>
        <w:t>para</w:t>
      </w:r>
      <w:r w:rsidRPr="00697E23">
        <w:rPr>
          <w:color w:val="231F20"/>
          <w:spacing w:val="42"/>
        </w:rPr>
        <w:t xml:space="preserve"> </w:t>
      </w:r>
      <w:r w:rsidRPr="00697E23">
        <w:rPr>
          <w:color w:val="231F20"/>
          <w:spacing w:val="-5"/>
        </w:rPr>
        <w:t>la</w:t>
      </w:r>
      <w:r>
        <w:rPr>
          <w:color w:val="231F20"/>
          <w:spacing w:val="-5"/>
        </w:rPr>
        <w:t xml:space="preserve"> </w:t>
      </w:r>
      <w:r w:rsidRPr="00697E23">
        <w:rPr>
          <w:color w:val="231F20"/>
        </w:rPr>
        <w:t>preparación</w:t>
      </w:r>
      <w:r w:rsidRPr="00697E23">
        <w:rPr>
          <w:color w:val="231F20"/>
          <w:spacing w:val="-10"/>
        </w:rPr>
        <w:t xml:space="preserve"> </w:t>
      </w:r>
      <w:r w:rsidRPr="00697E23">
        <w:rPr>
          <w:color w:val="231F20"/>
        </w:rPr>
        <w:t>y</w:t>
      </w:r>
      <w:r w:rsidRPr="00697E23">
        <w:rPr>
          <w:color w:val="231F20"/>
          <w:spacing w:val="-9"/>
        </w:rPr>
        <w:t xml:space="preserve"> </w:t>
      </w:r>
      <w:r w:rsidRPr="00697E23">
        <w:rPr>
          <w:color w:val="231F20"/>
        </w:rPr>
        <w:t>presentación</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información</w:t>
      </w:r>
      <w:r w:rsidRPr="00697E23">
        <w:rPr>
          <w:color w:val="231F20"/>
          <w:spacing w:val="-9"/>
        </w:rPr>
        <w:t xml:space="preserve"> </w:t>
      </w:r>
      <w:r w:rsidRPr="00697E23">
        <w:rPr>
          <w:color w:val="231F20"/>
        </w:rPr>
        <w:t>financiera</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las</w:t>
      </w:r>
      <w:r w:rsidRPr="00697E23">
        <w:rPr>
          <w:color w:val="231F20"/>
          <w:spacing w:val="-9"/>
        </w:rPr>
        <w:t xml:space="preserve"> </w:t>
      </w:r>
      <w:r w:rsidRPr="00697E23">
        <w:rPr>
          <w:color w:val="231F20"/>
          <w:spacing w:val="-2"/>
        </w:rPr>
        <w:t>entidades</w:t>
      </w:r>
      <w:r>
        <w:rPr>
          <w:color w:val="231F20"/>
          <w:spacing w:val="-2"/>
        </w:rPr>
        <w:t xml:space="preserve"> </w:t>
      </w:r>
      <w:r w:rsidRPr="00697E23">
        <w:rPr>
          <w:color w:val="231F20"/>
          <w:spacing w:val="-6"/>
        </w:rPr>
        <w:t>de</w:t>
      </w:r>
      <w:r w:rsidRPr="00697E23">
        <w:rPr>
          <w:color w:val="231F20"/>
          <w:spacing w:val="-14"/>
        </w:rPr>
        <w:t xml:space="preserve"> </w:t>
      </w:r>
      <w:r w:rsidRPr="00697E23">
        <w:rPr>
          <w:color w:val="231F20"/>
          <w:spacing w:val="-6"/>
        </w:rPr>
        <w:t>Gobierno;</w:t>
      </w:r>
      <w:r w:rsidRPr="00697E23">
        <w:rPr>
          <w:color w:val="231F20"/>
          <w:spacing w:val="-13"/>
        </w:rPr>
        <w:t xml:space="preserve"> </w:t>
      </w:r>
      <w:r w:rsidRPr="00697E23">
        <w:rPr>
          <w:color w:val="231F20"/>
          <w:spacing w:val="-6"/>
        </w:rPr>
        <w:t>los</w:t>
      </w:r>
      <w:r w:rsidRPr="00697E23">
        <w:rPr>
          <w:color w:val="231F20"/>
          <w:spacing w:val="-13"/>
        </w:rPr>
        <w:t xml:space="preserve"> </w:t>
      </w:r>
      <w:r w:rsidRPr="00697E23">
        <w:rPr>
          <w:color w:val="231F20"/>
          <w:spacing w:val="-6"/>
        </w:rPr>
        <w:t>numerales</w:t>
      </w:r>
      <w:r w:rsidRPr="00697E23">
        <w:rPr>
          <w:color w:val="231F20"/>
          <w:spacing w:val="-14"/>
        </w:rPr>
        <w:t xml:space="preserve"> </w:t>
      </w:r>
      <w:r w:rsidRPr="00697E23">
        <w:rPr>
          <w:color w:val="231F20"/>
          <w:spacing w:val="-6"/>
        </w:rPr>
        <w:t>3.2.14</w:t>
      </w:r>
      <w:r w:rsidRPr="00697E23">
        <w:rPr>
          <w:color w:val="231F20"/>
          <w:spacing w:val="-13"/>
        </w:rPr>
        <w:t xml:space="preserve"> </w:t>
      </w:r>
      <w:r w:rsidRPr="00697E23">
        <w:rPr>
          <w:color w:val="231F20"/>
          <w:spacing w:val="-6"/>
        </w:rPr>
        <w:t>y</w:t>
      </w:r>
      <w:r w:rsidRPr="00697E23">
        <w:rPr>
          <w:color w:val="231F20"/>
          <w:spacing w:val="-14"/>
        </w:rPr>
        <w:t xml:space="preserve"> </w:t>
      </w:r>
      <w:r w:rsidRPr="00697E23">
        <w:rPr>
          <w:color w:val="231F20"/>
          <w:spacing w:val="-6"/>
        </w:rPr>
        <w:t>3.2.15</w:t>
      </w:r>
      <w:r w:rsidRPr="00697E23">
        <w:rPr>
          <w:color w:val="231F20"/>
          <w:spacing w:val="-13"/>
        </w:rPr>
        <w:t xml:space="preserve"> </w:t>
      </w:r>
      <w:r w:rsidRPr="00697E23">
        <w:rPr>
          <w:color w:val="231F20"/>
          <w:spacing w:val="-6"/>
        </w:rPr>
        <w:t>de</w:t>
      </w:r>
      <w:r w:rsidRPr="00697E23">
        <w:rPr>
          <w:color w:val="231F20"/>
          <w:spacing w:val="-13"/>
        </w:rPr>
        <w:t xml:space="preserve"> </w:t>
      </w:r>
      <w:r w:rsidRPr="00697E23">
        <w:rPr>
          <w:color w:val="231F20"/>
          <w:spacing w:val="-6"/>
        </w:rPr>
        <w:t>la</w:t>
      </w:r>
      <w:r w:rsidRPr="00697E23">
        <w:rPr>
          <w:color w:val="231F20"/>
          <w:spacing w:val="-14"/>
        </w:rPr>
        <w:t xml:space="preserve"> </w:t>
      </w:r>
      <w:r w:rsidRPr="00697E23">
        <w:rPr>
          <w:color w:val="231F20"/>
          <w:spacing w:val="-6"/>
        </w:rPr>
        <w:t>Resolución</w:t>
      </w:r>
      <w:r w:rsidRPr="00697E23">
        <w:rPr>
          <w:color w:val="231F20"/>
          <w:spacing w:val="-13"/>
        </w:rPr>
        <w:t xml:space="preserve"> </w:t>
      </w:r>
      <w:r w:rsidRPr="00697E23">
        <w:rPr>
          <w:color w:val="231F20"/>
          <w:spacing w:val="-6"/>
        </w:rPr>
        <w:t>193</w:t>
      </w:r>
      <w:r w:rsidRPr="00697E23">
        <w:rPr>
          <w:color w:val="231F20"/>
          <w:spacing w:val="-13"/>
        </w:rPr>
        <w:t xml:space="preserve"> </w:t>
      </w:r>
      <w:r w:rsidRPr="00697E23">
        <w:rPr>
          <w:color w:val="231F20"/>
          <w:spacing w:val="-6"/>
        </w:rPr>
        <w:t>del</w:t>
      </w:r>
      <w:r w:rsidRPr="00697E23">
        <w:rPr>
          <w:color w:val="231F20"/>
          <w:spacing w:val="-14"/>
        </w:rPr>
        <w:t xml:space="preserve"> </w:t>
      </w:r>
      <w:r w:rsidRPr="00697E23">
        <w:rPr>
          <w:color w:val="231F20"/>
          <w:spacing w:val="-6"/>
        </w:rPr>
        <w:t>5</w:t>
      </w:r>
      <w:r w:rsidRPr="00697E23">
        <w:rPr>
          <w:color w:val="231F20"/>
          <w:spacing w:val="-13"/>
        </w:rPr>
        <w:t xml:space="preserve"> </w:t>
      </w:r>
      <w:r w:rsidRPr="00697E23">
        <w:rPr>
          <w:color w:val="231F20"/>
          <w:spacing w:val="-6"/>
        </w:rPr>
        <w:t xml:space="preserve">de </w:t>
      </w:r>
      <w:r w:rsidRPr="00697E23">
        <w:rPr>
          <w:color w:val="231F20"/>
          <w:spacing w:val="-2"/>
        </w:rPr>
        <w:t>mayo</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2016</w:t>
      </w:r>
      <w:r w:rsidRPr="00697E23">
        <w:rPr>
          <w:color w:val="231F20"/>
          <w:spacing w:val="-17"/>
        </w:rPr>
        <w:t xml:space="preserve"> </w:t>
      </w:r>
      <w:r w:rsidRPr="00697E23">
        <w:rPr>
          <w:color w:val="231F20"/>
          <w:spacing w:val="-2"/>
        </w:rPr>
        <w:t>de</w:t>
      </w:r>
      <w:r w:rsidRPr="00697E23">
        <w:rPr>
          <w:color w:val="231F20"/>
          <w:spacing w:val="-18"/>
        </w:rPr>
        <w:t xml:space="preserve"> </w:t>
      </w:r>
      <w:r w:rsidRPr="00697E23">
        <w:rPr>
          <w:color w:val="231F20"/>
          <w:spacing w:val="-2"/>
        </w:rPr>
        <w:t>la</w:t>
      </w:r>
      <w:r w:rsidRPr="00697E23">
        <w:rPr>
          <w:color w:val="231F20"/>
          <w:spacing w:val="-17"/>
        </w:rPr>
        <w:t xml:space="preserve"> </w:t>
      </w:r>
      <w:r w:rsidRPr="00697E23">
        <w:rPr>
          <w:color w:val="231F20"/>
          <w:spacing w:val="-2"/>
        </w:rPr>
        <w:t>Contaduría</w:t>
      </w:r>
      <w:r w:rsidRPr="00697E23">
        <w:rPr>
          <w:color w:val="231F20"/>
          <w:spacing w:val="-17"/>
        </w:rPr>
        <w:t xml:space="preserve"> </w:t>
      </w:r>
      <w:r w:rsidRPr="00697E23">
        <w:rPr>
          <w:color w:val="231F20"/>
          <w:spacing w:val="-2"/>
        </w:rPr>
        <w:t>General</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Nación;</w:t>
      </w:r>
      <w:r w:rsidRPr="00697E23">
        <w:rPr>
          <w:color w:val="231F20"/>
          <w:spacing w:val="-18"/>
        </w:rPr>
        <w:t xml:space="preserve"> </w:t>
      </w:r>
      <w:r w:rsidRPr="00697E23">
        <w:rPr>
          <w:color w:val="231F20"/>
          <w:spacing w:val="-2"/>
        </w:rPr>
        <w:t>la</w:t>
      </w:r>
      <w:r w:rsidRPr="00697E23">
        <w:rPr>
          <w:color w:val="231F20"/>
          <w:spacing w:val="-17"/>
        </w:rPr>
        <w:t xml:space="preserve"> </w:t>
      </w:r>
      <w:r w:rsidRPr="00697E23">
        <w:rPr>
          <w:color w:val="231F20"/>
          <w:spacing w:val="-2"/>
        </w:rPr>
        <w:t>Resolución</w:t>
      </w:r>
      <w:r w:rsidRPr="00697E23">
        <w:rPr>
          <w:color w:val="231F20"/>
          <w:spacing w:val="-17"/>
        </w:rPr>
        <w:t xml:space="preserve"> </w:t>
      </w:r>
      <w:r w:rsidRPr="00697E23">
        <w:rPr>
          <w:color w:val="231F20"/>
          <w:spacing w:val="-2"/>
        </w:rPr>
        <w:t xml:space="preserve">620 </w:t>
      </w:r>
      <w:r w:rsidRPr="00697E23">
        <w:rPr>
          <w:color w:val="231F20"/>
        </w:rPr>
        <w:t>de</w:t>
      </w:r>
      <w:r w:rsidRPr="00697E23">
        <w:rPr>
          <w:color w:val="231F20"/>
          <w:spacing w:val="-13"/>
        </w:rPr>
        <w:t xml:space="preserve"> </w:t>
      </w:r>
      <w:r w:rsidRPr="00697E23">
        <w:rPr>
          <w:color w:val="231F20"/>
        </w:rPr>
        <w:t>2015,</w:t>
      </w:r>
      <w:r w:rsidRPr="00697E23">
        <w:rPr>
          <w:color w:val="231F20"/>
          <w:spacing w:val="-13"/>
        </w:rPr>
        <w:t xml:space="preserve"> </w:t>
      </w:r>
      <w:r w:rsidRPr="00697E23">
        <w:rPr>
          <w:color w:val="231F20"/>
        </w:rPr>
        <w:t>el</w:t>
      </w:r>
      <w:r w:rsidRPr="00697E23">
        <w:rPr>
          <w:color w:val="231F20"/>
          <w:spacing w:val="-13"/>
        </w:rPr>
        <w:t xml:space="preserve"> </w:t>
      </w:r>
      <w:r w:rsidRPr="00697E23">
        <w:rPr>
          <w:color w:val="231F20"/>
        </w:rPr>
        <w:t>Catálogo</w:t>
      </w:r>
      <w:r w:rsidRPr="00697E23">
        <w:rPr>
          <w:color w:val="231F20"/>
          <w:spacing w:val="-13"/>
        </w:rPr>
        <w:t xml:space="preserve"> </w:t>
      </w:r>
      <w:r w:rsidRPr="00697E23">
        <w:rPr>
          <w:color w:val="231F20"/>
        </w:rPr>
        <w:t>General</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Cuentas</w:t>
      </w:r>
      <w:r w:rsidRPr="00697E23">
        <w:rPr>
          <w:color w:val="231F20"/>
          <w:spacing w:val="-13"/>
        </w:rPr>
        <w:t xml:space="preserve"> </w:t>
      </w:r>
      <w:r w:rsidRPr="00697E23">
        <w:rPr>
          <w:color w:val="231F20"/>
        </w:rPr>
        <w:t>para</w:t>
      </w:r>
      <w:r w:rsidRPr="00697E23">
        <w:rPr>
          <w:color w:val="231F20"/>
          <w:spacing w:val="-13"/>
        </w:rPr>
        <w:t xml:space="preserve"> </w:t>
      </w:r>
      <w:r w:rsidRPr="00697E23">
        <w:rPr>
          <w:color w:val="231F20"/>
        </w:rPr>
        <w:t>entidades</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Gobierno; el</w:t>
      </w:r>
      <w:r w:rsidRPr="00697E23">
        <w:rPr>
          <w:color w:val="231F20"/>
          <w:spacing w:val="4"/>
        </w:rPr>
        <w:t xml:space="preserve"> </w:t>
      </w:r>
      <w:r w:rsidRPr="00697E23">
        <w:rPr>
          <w:color w:val="231F20"/>
        </w:rPr>
        <w:t>Manual</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Políticas</w:t>
      </w:r>
      <w:r w:rsidRPr="00697E23">
        <w:rPr>
          <w:color w:val="231F20"/>
          <w:spacing w:val="6"/>
        </w:rPr>
        <w:t xml:space="preserve"> </w:t>
      </w:r>
      <w:r w:rsidRPr="00697E23">
        <w:rPr>
          <w:color w:val="231F20"/>
        </w:rPr>
        <w:t>Contables</w:t>
      </w:r>
      <w:r w:rsidRPr="00697E23">
        <w:rPr>
          <w:color w:val="231F20"/>
          <w:spacing w:val="7"/>
        </w:rPr>
        <w:t xml:space="preserve"> </w:t>
      </w:r>
      <w:r w:rsidRPr="00697E23">
        <w:rPr>
          <w:color w:val="231F20"/>
        </w:rPr>
        <w:t>de</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USPEC,</w:t>
      </w:r>
      <w:r w:rsidRPr="00697E23">
        <w:rPr>
          <w:color w:val="231F20"/>
          <w:spacing w:val="6"/>
        </w:rPr>
        <w:t xml:space="preserve"> </w:t>
      </w:r>
      <w:r w:rsidRPr="00697E23">
        <w:rPr>
          <w:color w:val="231F20"/>
        </w:rPr>
        <w:t>Versión</w:t>
      </w:r>
      <w:r w:rsidRPr="00697E23">
        <w:rPr>
          <w:color w:val="231F20"/>
          <w:spacing w:val="6"/>
        </w:rPr>
        <w:t xml:space="preserve"> </w:t>
      </w:r>
      <w:r w:rsidRPr="00697E23">
        <w:rPr>
          <w:color w:val="231F20"/>
        </w:rPr>
        <w:t>02,</w:t>
      </w:r>
      <w:r w:rsidRPr="00697E23">
        <w:rPr>
          <w:color w:val="231F20"/>
          <w:spacing w:val="7"/>
        </w:rPr>
        <w:t xml:space="preserve"> </w:t>
      </w:r>
      <w:r w:rsidRPr="00697E23">
        <w:rPr>
          <w:color w:val="231F20"/>
          <w:spacing w:val="-2"/>
        </w:rPr>
        <w:t>numerales</w:t>
      </w:r>
      <w:r>
        <w:rPr>
          <w:color w:val="231F20"/>
          <w:spacing w:val="-2"/>
        </w:rPr>
        <w:t xml:space="preserve"> </w:t>
      </w:r>
      <w:r w:rsidRPr="00697E23">
        <w:rPr>
          <w:color w:val="231F20"/>
          <w:spacing w:val="-4"/>
        </w:rPr>
        <w:t>7.3.</w:t>
      </w:r>
      <w:r w:rsidRPr="00697E23">
        <w:rPr>
          <w:color w:val="231F20"/>
          <w:spacing w:val="-16"/>
        </w:rPr>
        <w:t xml:space="preserve"> </w:t>
      </w:r>
      <w:r w:rsidRPr="00697E23">
        <w:rPr>
          <w:color w:val="231F20"/>
          <w:spacing w:val="-4"/>
        </w:rPr>
        <w:t>Responsables</w:t>
      </w:r>
      <w:r w:rsidRPr="00697E23">
        <w:rPr>
          <w:color w:val="231F20"/>
          <w:spacing w:val="-15"/>
        </w:rPr>
        <w:t xml:space="preserve"> </w:t>
      </w:r>
      <w:r w:rsidRPr="00697E23">
        <w:rPr>
          <w:color w:val="231F20"/>
          <w:spacing w:val="-4"/>
        </w:rPr>
        <w:t>frente</w:t>
      </w:r>
      <w:r w:rsidRPr="00697E23">
        <w:rPr>
          <w:color w:val="231F20"/>
          <w:spacing w:val="-15"/>
        </w:rPr>
        <w:t xml:space="preserve"> </w:t>
      </w:r>
      <w:r w:rsidRPr="00697E23">
        <w:rPr>
          <w:color w:val="231F20"/>
          <w:spacing w:val="-4"/>
        </w:rPr>
        <w:t>al</w:t>
      </w:r>
      <w:r w:rsidRPr="00697E23">
        <w:rPr>
          <w:color w:val="231F20"/>
          <w:spacing w:val="-16"/>
        </w:rPr>
        <w:t xml:space="preserve"> </w:t>
      </w:r>
      <w:r w:rsidRPr="00697E23">
        <w:rPr>
          <w:color w:val="231F20"/>
          <w:spacing w:val="-4"/>
        </w:rPr>
        <w:t>proceso</w:t>
      </w:r>
      <w:r w:rsidRPr="00697E23">
        <w:rPr>
          <w:color w:val="231F20"/>
          <w:spacing w:val="-15"/>
        </w:rPr>
        <w:t xml:space="preserve"> </w:t>
      </w:r>
      <w:r w:rsidRPr="00697E23">
        <w:rPr>
          <w:color w:val="231F20"/>
          <w:spacing w:val="-4"/>
        </w:rPr>
        <w:t>contable</w:t>
      </w:r>
      <w:r w:rsidRPr="00697E23">
        <w:rPr>
          <w:color w:val="231F20"/>
          <w:spacing w:val="-16"/>
        </w:rPr>
        <w:t xml:space="preserve"> </w:t>
      </w:r>
      <w:r w:rsidRPr="00697E23">
        <w:rPr>
          <w:color w:val="231F20"/>
          <w:spacing w:val="-4"/>
        </w:rPr>
        <w:t>y</w:t>
      </w:r>
      <w:r w:rsidRPr="00697E23">
        <w:rPr>
          <w:color w:val="231F20"/>
          <w:spacing w:val="-15"/>
        </w:rPr>
        <w:t xml:space="preserve"> </w:t>
      </w:r>
      <w:r w:rsidRPr="00697E23">
        <w:rPr>
          <w:color w:val="231F20"/>
          <w:spacing w:val="-4"/>
        </w:rPr>
        <w:t>7.8.4.1.</w:t>
      </w:r>
      <w:r w:rsidRPr="00697E23">
        <w:rPr>
          <w:color w:val="231F20"/>
          <w:spacing w:val="-15"/>
        </w:rPr>
        <w:t xml:space="preserve"> </w:t>
      </w:r>
      <w:r w:rsidRPr="00697E23">
        <w:rPr>
          <w:color w:val="231F20"/>
          <w:spacing w:val="-4"/>
        </w:rPr>
        <w:t xml:space="preserve">Reconocimiento; </w:t>
      </w:r>
      <w:r w:rsidRPr="00697E23">
        <w:rPr>
          <w:color w:val="231F20"/>
        </w:rPr>
        <w:t>el Manual para el manejo de inventarios y transferencias al Instituto Nacional Penitenciario y Carcelario, Versión 01, del 04 de octubre de 2021;</w:t>
      </w:r>
      <w:r w:rsidRPr="00697E23">
        <w:rPr>
          <w:color w:val="231F20"/>
          <w:spacing w:val="-13"/>
        </w:rPr>
        <w:t xml:space="preserve"> </w:t>
      </w:r>
      <w:r w:rsidRPr="00697E23">
        <w:rPr>
          <w:color w:val="231F20"/>
        </w:rPr>
        <w:t>los</w:t>
      </w:r>
      <w:r w:rsidRPr="00697E23">
        <w:rPr>
          <w:color w:val="231F20"/>
          <w:spacing w:val="-10"/>
        </w:rPr>
        <w:t xml:space="preserve"> </w:t>
      </w:r>
      <w:r w:rsidRPr="00697E23">
        <w:rPr>
          <w:color w:val="231F20"/>
        </w:rPr>
        <w:t>numerales</w:t>
      </w:r>
      <w:r w:rsidRPr="00697E23">
        <w:rPr>
          <w:color w:val="231F20"/>
          <w:spacing w:val="-10"/>
        </w:rPr>
        <w:t xml:space="preserve"> </w:t>
      </w:r>
      <w:r w:rsidRPr="00697E23">
        <w:rPr>
          <w:color w:val="231F20"/>
        </w:rPr>
        <w:t>6.</w:t>
      </w:r>
      <w:r w:rsidRPr="00697E23">
        <w:rPr>
          <w:color w:val="231F20"/>
          <w:spacing w:val="-10"/>
        </w:rPr>
        <w:t xml:space="preserve"> </w:t>
      </w:r>
      <w:r w:rsidRPr="00697E23">
        <w:rPr>
          <w:color w:val="231F20"/>
        </w:rPr>
        <w:t>Disposiciones</w:t>
      </w:r>
      <w:r w:rsidRPr="00697E23">
        <w:rPr>
          <w:color w:val="231F20"/>
          <w:spacing w:val="-10"/>
        </w:rPr>
        <w:t xml:space="preserve"> </w:t>
      </w:r>
      <w:r w:rsidRPr="00697E23">
        <w:rPr>
          <w:color w:val="231F20"/>
        </w:rPr>
        <w:t>generales,</w:t>
      </w:r>
      <w:r w:rsidRPr="00697E23">
        <w:rPr>
          <w:color w:val="231F20"/>
          <w:spacing w:val="-10"/>
        </w:rPr>
        <w:t xml:space="preserve"> </w:t>
      </w:r>
      <w:r w:rsidRPr="00697E23">
        <w:rPr>
          <w:color w:val="231F20"/>
        </w:rPr>
        <w:t>8</w:t>
      </w:r>
      <w:r w:rsidRPr="00697E23">
        <w:rPr>
          <w:color w:val="231F20"/>
          <w:spacing w:val="-10"/>
        </w:rPr>
        <w:t xml:space="preserve"> </w:t>
      </w:r>
      <w:r w:rsidRPr="00697E23">
        <w:rPr>
          <w:color w:val="231F20"/>
          <w:spacing w:val="-2"/>
        </w:rPr>
        <w:t>Responsabilidades,</w:t>
      </w:r>
      <w:r>
        <w:rPr>
          <w:color w:val="231F20"/>
          <w:spacing w:val="-2"/>
        </w:rPr>
        <w:t xml:space="preserve"> </w:t>
      </w:r>
      <w:r w:rsidRPr="00697E23">
        <w:rPr>
          <w:color w:val="231F20"/>
        </w:rPr>
        <w:t>9. Transferencia de los inventarios al Instituto Nacional Penitenciario y Carcelario, lo cual generó afectación a la razonabilidad de los estados</w:t>
      </w:r>
      <w:r w:rsidRPr="00697E23">
        <w:rPr>
          <w:color w:val="231F20"/>
          <w:spacing w:val="-4"/>
        </w:rPr>
        <w:t xml:space="preserve"> </w:t>
      </w:r>
      <w:r w:rsidRPr="00697E23">
        <w:rPr>
          <w:color w:val="231F20"/>
        </w:rPr>
        <w:t>financieros</w:t>
      </w:r>
      <w:r w:rsidRPr="00697E23">
        <w:rPr>
          <w:color w:val="231F20"/>
          <w:spacing w:val="-4"/>
        </w:rPr>
        <w:t xml:space="preserve"> </w:t>
      </w:r>
      <w:r w:rsidRPr="00697E23">
        <w:rPr>
          <w:color w:val="231F20"/>
        </w:rPr>
        <w:t>y</w:t>
      </w:r>
      <w:r w:rsidRPr="00697E23">
        <w:rPr>
          <w:color w:val="231F20"/>
          <w:spacing w:val="-4"/>
        </w:rPr>
        <w:t xml:space="preserve"> </w:t>
      </w:r>
      <w:r w:rsidRPr="00697E23">
        <w:rPr>
          <w:color w:val="231F20"/>
        </w:rPr>
        <w:t>sobrestimación</w:t>
      </w:r>
      <w:r w:rsidRPr="00697E23">
        <w:rPr>
          <w:color w:val="231F20"/>
          <w:spacing w:val="-4"/>
        </w:rPr>
        <w:t xml:space="preserve"> </w:t>
      </w:r>
      <w:r w:rsidRPr="00697E23">
        <w:rPr>
          <w:color w:val="231F20"/>
        </w:rPr>
        <w:t>en</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subcuenta</w:t>
      </w:r>
      <w:r w:rsidRPr="00697E23">
        <w:rPr>
          <w:color w:val="231F20"/>
          <w:spacing w:val="-4"/>
        </w:rPr>
        <w:t xml:space="preserve"> </w:t>
      </w:r>
      <w:r w:rsidRPr="00697E23">
        <w:rPr>
          <w:color w:val="231F20"/>
        </w:rPr>
        <w:t>construcciones, registrando saldos de contratos terminados y liquidados.</w:t>
      </w:r>
    </w:p>
    <w:p w14:paraId="0A2EBBD8" w14:textId="77777777" w:rsidR="00E751F9" w:rsidRDefault="00E751F9" w:rsidP="00E751F9">
      <w:pPr>
        <w:pStyle w:val="Textoindependiente"/>
        <w:jc w:val="both"/>
        <w:rPr>
          <w:color w:val="231F20"/>
        </w:rPr>
      </w:pPr>
    </w:p>
    <w:p w14:paraId="3DE90058" w14:textId="77777777" w:rsidR="00E751F9" w:rsidRDefault="00E751F9" w:rsidP="00E751F9">
      <w:pPr>
        <w:pStyle w:val="Textoindependiente"/>
        <w:jc w:val="both"/>
        <w:rPr>
          <w:color w:val="231F20"/>
        </w:rPr>
      </w:pPr>
      <w:r w:rsidRPr="00E751F9">
        <w:rPr>
          <w:b/>
          <w:bCs/>
          <w:color w:val="231F20"/>
          <w:sz w:val="28"/>
          <w:szCs w:val="28"/>
        </w:rPr>
        <w:t>-</w:t>
      </w:r>
      <w:r w:rsidRPr="00E751F9">
        <w:rPr>
          <w:b/>
          <w:bCs/>
          <w:color w:val="231F20"/>
        </w:rPr>
        <w:t>No</w:t>
      </w:r>
      <w:r w:rsidRPr="00E751F9">
        <w:rPr>
          <w:b/>
          <w:bCs/>
          <w:color w:val="231F20"/>
          <w:spacing w:val="-11"/>
        </w:rPr>
        <w:t xml:space="preserve"> </w:t>
      </w:r>
      <w:r w:rsidRPr="00E751F9">
        <w:rPr>
          <w:b/>
          <w:bCs/>
          <w:color w:val="231F20"/>
        </w:rPr>
        <w:t>se</w:t>
      </w:r>
      <w:r w:rsidRPr="00E751F9">
        <w:rPr>
          <w:b/>
          <w:bCs/>
          <w:color w:val="231F20"/>
          <w:spacing w:val="-11"/>
        </w:rPr>
        <w:t xml:space="preserve"> </w:t>
      </w:r>
      <w:r w:rsidRPr="00E751F9">
        <w:rPr>
          <w:b/>
          <w:bCs/>
          <w:color w:val="231F20"/>
        </w:rPr>
        <w:t>logró</w:t>
      </w:r>
      <w:r w:rsidRPr="00697E23">
        <w:rPr>
          <w:color w:val="231F20"/>
          <w:spacing w:val="-11"/>
        </w:rPr>
        <w:t xml:space="preserve"> </w:t>
      </w:r>
      <w:r w:rsidRPr="00697E23">
        <w:rPr>
          <w:color w:val="231F20"/>
        </w:rPr>
        <w:t>obtener</w:t>
      </w:r>
      <w:r w:rsidRPr="00697E23">
        <w:rPr>
          <w:color w:val="231F20"/>
          <w:spacing w:val="-11"/>
        </w:rPr>
        <w:t xml:space="preserve"> </w:t>
      </w:r>
      <w:r w:rsidRPr="00697E23">
        <w:rPr>
          <w:color w:val="231F20"/>
        </w:rPr>
        <w:t>la</w:t>
      </w:r>
      <w:r w:rsidRPr="00697E23">
        <w:rPr>
          <w:color w:val="231F20"/>
          <w:spacing w:val="-11"/>
        </w:rPr>
        <w:t xml:space="preserve"> </w:t>
      </w:r>
      <w:r w:rsidRPr="00697E23">
        <w:rPr>
          <w:color w:val="231F20"/>
        </w:rPr>
        <w:t>suficiente</w:t>
      </w:r>
      <w:r w:rsidRPr="00697E23">
        <w:rPr>
          <w:color w:val="231F20"/>
          <w:spacing w:val="-11"/>
        </w:rPr>
        <w:t xml:space="preserve"> </w:t>
      </w:r>
      <w:r w:rsidRPr="00697E23">
        <w:rPr>
          <w:color w:val="231F20"/>
        </w:rPr>
        <w:t>evidencia</w:t>
      </w:r>
      <w:r w:rsidRPr="00697E23">
        <w:rPr>
          <w:color w:val="231F20"/>
          <w:spacing w:val="-11"/>
        </w:rPr>
        <w:t xml:space="preserve"> </w:t>
      </w:r>
      <w:r w:rsidRPr="00697E23">
        <w:rPr>
          <w:color w:val="231F20"/>
        </w:rPr>
        <w:t>en</w:t>
      </w:r>
      <w:r w:rsidRPr="00697E23">
        <w:rPr>
          <w:color w:val="231F20"/>
          <w:spacing w:val="-11"/>
        </w:rPr>
        <w:t xml:space="preserve"> </w:t>
      </w:r>
      <w:r w:rsidRPr="00697E23">
        <w:rPr>
          <w:color w:val="231F20"/>
        </w:rPr>
        <w:t>activos,</w:t>
      </w:r>
      <w:r w:rsidRPr="00697E23">
        <w:rPr>
          <w:color w:val="231F20"/>
          <w:spacing w:val="-11"/>
        </w:rPr>
        <w:t xml:space="preserve"> </w:t>
      </w:r>
      <w:r w:rsidRPr="00697E23">
        <w:rPr>
          <w:color w:val="231F20"/>
        </w:rPr>
        <w:t>por</w:t>
      </w:r>
      <w:r w:rsidRPr="00697E23">
        <w:rPr>
          <w:color w:val="231F20"/>
          <w:spacing w:val="-11"/>
        </w:rPr>
        <w:t xml:space="preserve"> </w:t>
      </w:r>
      <w:r w:rsidRPr="00697E23">
        <w:rPr>
          <w:color w:val="231F20"/>
        </w:rPr>
        <w:t xml:space="preserve">$26.879,78 </w:t>
      </w:r>
      <w:r w:rsidRPr="00697E23">
        <w:rPr>
          <w:color w:val="231F20"/>
          <w:spacing w:val="-8"/>
        </w:rPr>
        <w:t xml:space="preserve">millones, en pasivo por $363.411,56 millones y en gastos por $14.876,10 </w:t>
      </w:r>
      <w:r w:rsidRPr="00697E23">
        <w:rPr>
          <w:color w:val="231F20"/>
          <w:spacing w:val="-2"/>
        </w:rPr>
        <w:t>millones,</w:t>
      </w:r>
      <w:r w:rsidRPr="00697E23">
        <w:rPr>
          <w:color w:val="231F20"/>
          <w:spacing w:val="-18"/>
        </w:rPr>
        <w:t xml:space="preserve"> </w:t>
      </w:r>
      <w:r w:rsidRPr="00697E23">
        <w:rPr>
          <w:color w:val="231F20"/>
          <w:spacing w:val="-2"/>
        </w:rPr>
        <w:t>lo</w:t>
      </w:r>
      <w:r w:rsidRPr="00697E23">
        <w:rPr>
          <w:color w:val="231F20"/>
          <w:spacing w:val="-17"/>
        </w:rPr>
        <w:t xml:space="preserve"> </w:t>
      </w:r>
      <w:r w:rsidRPr="00697E23">
        <w:rPr>
          <w:color w:val="231F20"/>
          <w:spacing w:val="-2"/>
        </w:rPr>
        <w:t>cual</w:t>
      </w:r>
      <w:r w:rsidRPr="00697E23">
        <w:rPr>
          <w:color w:val="231F20"/>
          <w:spacing w:val="-17"/>
        </w:rPr>
        <w:t xml:space="preserve"> </w:t>
      </w:r>
      <w:r w:rsidRPr="00697E23">
        <w:rPr>
          <w:color w:val="231F20"/>
          <w:spacing w:val="-2"/>
        </w:rPr>
        <w:t>contravino</w:t>
      </w:r>
      <w:r w:rsidRPr="00697E23">
        <w:rPr>
          <w:color w:val="231F20"/>
          <w:spacing w:val="-18"/>
        </w:rPr>
        <w:t xml:space="preserve"> </w:t>
      </w:r>
      <w:r w:rsidRPr="00697E23">
        <w:rPr>
          <w:color w:val="231F20"/>
          <w:spacing w:val="-2"/>
        </w:rPr>
        <w:t>lo</w:t>
      </w:r>
      <w:r w:rsidRPr="00697E23">
        <w:rPr>
          <w:color w:val="231F20"/>
          <w:spacing w:val="-17"/>
        </w:rPr>
        <w:t xml:space="preserve"> </w:t>
      </w:r>
      <w:r w:rsidRPr="00697E23">
        <w:rPr>
          <w:color w:val="231F20"/>
          <w:spacing w:val="-2"/>
        </w:rPr>
        <w:t>establecido</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el</w:t>
      </w:r>
      <w:r w:rsidRPr="00697E23">
        <w:rPr>
          <w:color w:val="231F20"/>
          <w:spacing w:val="-17"/>
        </w:rPr>
        <w:t xml:space="preserve"> </w:t>
      </w:r>
      <w:r w:rsidRPr="00697E23">
        <w:rPr>
          <w:color w:val="231F20"/>
          <w:spacing w:val="-2"/>
        </w:rPr>
        <w:t>Instructivo</w:t>
      </w:r>
      <w:r w:rsidRPr="00697E23">
        <w:rPr>
          <w:color w:val="231F20"/>
          <w:spacing w:val="-17"/>
        </w:rPr>
        <w:t xml:space="preserve"> </w:t>
      </w:r>
      <w:r w:rsidRPr="00697E23">
        <w:rPr>
          <w:color w:val="231F20"/>
          <w:spacing w:val="-2"/>
        </w:rPr>
        <w:t>001</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2023 de</w:t>
      </w:r>
      <w:r w:rsidRPr="00697E23">
        <w:rPr>
          <w:color w:val="231F20"/>
          <w:spacing w:val="-11"/>
        </w:rPr>
        <w:t xml:space="preserve"> </w:t>
      </w:r>
      <w:r w:rsidRPr="00697E23">
        <w:rPr>
          <w:color w:val="231F20"/>
          <w:spacing w:val="-2"/>
        </w:rPr>
        <w:t>la</w:t>
      </w:r>
      <w:r w:rsidRPr="00697E23">
        <w:rPr>
          <w:color w:val="231F20"/>
          <w:spacing w:val="-11"/>
        </w:rPr>
        <w:t xml:space="preserve"> </w:t>
      </w:r>
      <w:r w:rsidRPr="00697E23">
        <w:rPr>
          <w:color w:val="231F20"/>
          <w:spacing w:val="-2"/>
        </w:rPr>
        <w:t>Contaduría</w:t>
      </w:r>
      <w:r w:rsidRPr="00697E23">
        <w:rPr>
          <w:color w:val="231F20"/>
          <w:spacing w:val="-11"/>
        </w:rPr>
        <w:t xml:space="preserve"> </w:t>
      </w:r>
      <w:r w:rsidRPr="00697E23">
        <w:rPr>
          <w:color w:val="231F20"/>
          <w:spacing w:val="-2"/>
        </w:rPr>
        <w:t>General</w:t>
      </w:r>
      <w:r w:rsidRPr="00697E23">
        <w:rPr>
          <w:color w:val="231F20"/>
          <w:spacing w:val="-11"/>
        </w:rPr>
        <w:t xml:space="preserve"> </w:t>
      </w:r>
      <w:r w:rsidRPr="00697E23">
        <w:rPr>
          <w:color w:val="231F20"/>
          <w:spacing w:val="-2"/>
        </w:rPr>
        <w:t>de</w:t>
      </w:r>
      <w:r w:rsidRPr="00697E23">
        <w:rPr>
          <w:color w:val="231F20"/>
          <w:spacing w:val="-11"/>
        </w:rPr>
        <w:t xml:space="preserve"> </w:t>
      </w:r>
      <w:r w:rsidRPr="00697E23">
        <w:rPr>
          <w:color w:val="231F20"/>
          <w:spacing w:val="-2"/>
        </w:rPr>
        <w:t>la</w:t>
      </w:r>
      <w:r w:rsidRPr="00697E23">
        <w:rPr>
          <w:color w:val="231F20"/>
          <w:spacing w:val="-11"/>
        </w:rPr>
        <w:t xml:space="preserve"> </w:t>
      </w:r>
      <w:r w:rsidRPr="00697E23">
        <w:rPr>
          <w:color w:val="231F20"/>
          <w:spacing w:val="-2"/>
        </w:rPr>
        <w:t>Nación,</w:t>
      </w:r>
      <w:r w:rsidRPr="00697E23">
        <w:rPr>
          <w:color w:val="231F20"/>
          <w:spacing w:val="-11"/>
        </w:rPr>
        <w:t xml:space="preserve"> </w:t>
      </w:r>
      <w:r w:rsidRPr="00697E23">
        <w:rPr>
          <w:color w:val="231F20"/>
          <w:spacing w:val="-2"/>
        </w:rPr>
        <w:t>numeral</w:t>
      </w:r>
      <w:r w:rsidRPr="00697E23">
        <w:rPr>
          <w:color w:val="231F20"/>
          <w:spacing w:val="-11"/>
        </w:rPr>
        <w:t xml:space="preserve"> </w:t>
      </w:r>
      <w:r w:rsidRPr="00697E23">
        <w:rPr>
          <w:color w:val="231F20"/>
          <w:spacing w:val="-2"/>
        </w:rPr>
        <w:t>2</w:t>
      </w:r>
      <w:r w:rsidRPr="00697E23">
        <w:rPr>
          <w:color w:val="231F20"/>
          <w:spacing w:val="-11"/>
        </w:rPr>
        <w:t xml:space="preserve"> </w:t>
      </w:r>
      <w:r w:rsidRPr="00697E23">
        <w:rPr>
          <w:color w:val="231F20"/>
          <w:spacing w:val="-2"/>
        </w:rPr>
        <w:t>Asuntos</w:t>
      </w:r>
      <w:r w:rsidRPr="00697E23">
        <w:rPr>
          <w:color w:val="231F20"/>
          <w:spacing w:val="-11"/>
        </w:rPr>
        <w:t xml:space="preserve"> </w:t>
      </w:r>
      <w:r w:rsidRPr="00697E23">
        <w:rPr>
          <w:color w:val="231F20"/>
          <w:spacing w:val="-2"/>
        </w:rPr>
        <w:t xml:space="preserve">relacionados </w:t>
      </w:r>
      <w:r w:rsidRPr="00697E23">
        <w:rPr>
          <w:color w:val="231F20"/>
        </w:rPr>
        <w:t>con el reporte de la información e instrucciones relacionadas con el cambio</w:t>
      </w:r>
      <w:r w:rsidRPr="00697E23">
        <w:rPr>
          <w:color w:val="231F20"/>
          <w:spacing w:val="-7"/>
        </w:rPr>
        <w:t xml:space="preserve"> </w:t>
      </w:r>
      <w:r w:rsidRPr="00697E23">
        <w:rPr>
          <w:color w:val="231F20"/>
        </w:rPr>
        <w:t>del</w:t>
      </w:r>
      <w:r w:rsidRPr="00697E23">
        <w:rPr>
          <w:color w:val="231F20"/>
          <w:spacing w:val="-8"/>
        </w:rPr>
        <w:t xml:space="preserve"> </w:t>
      </w:r>
      <w:r w:rsidRPr="00697E23">
        <w:rPr>
          <w:color w:val="231F20"/>
        </w:rPr>
        <w:t>periodo</w:t>
      </w:r>
      <w:r w:rsidRPr="00697E23">
        <w:rPr>
          <w:color w:val="231F20"/>
          <w:spacing w:val="-7"/>
        </w:rPr>
        <w:t xml:space="preserve"> </w:t>
      </w:r>
      <w:r w:rsidRPr="00697E23">
        <w:rPr>
          <w:color w:val="231F20"/>
        </w:rPr>
        <w:t>contable</w:t>
      </w:r>
      <w:r w:rsidRPr="00697E23">
        <w:rPr>
          <w:color w:val="231F20"/>
          <w:spacing w:val="-8"/>
        </w:rPr>
        <w:t xml:space="preserve"> </w:t>
      </w:r>
      <w:r w:rsidRPr="00697E23">
        <w:rPr>
          <w:color w:val="231F20"/>
        </w:rPr>
        <w:t>2023</w:t>
      </w:r>
      <w:r w:rsidRPr="00697E23">
        <w:rPr>
          <w:color w:val="231F20"/>
          <w:spacing w:val="-7"/>
        </w:rPr>
        <w:t xml:space="preserve"> </w:t>
      </w:r>
      <w:r w:rsidRPr="00697E23">
        <w:rPr>
          <w:color w:val="231F20"/>
        </w:rPr>
        <w:t>-</w:t>
      </w:r>
      <w:r w:rsidRPr="00697E23">
        <w:rPr>
          <w:color w:val="231F20"/>
          <w:spacing w:val="-8"/>
        </w:rPr>
        <w:t xml:space="preserve"> </w:t>
      </w:r>
      <w:r w:rsidRPr="00697E23">
        <w:rPr>
          <w:color w:val="231F20"/>
        </w:rPr>
        <w:t>2024</w:t>
      </w:r>
      <w:r w:rsidRPr="00697E23">
        <w:rPr>
          <w:color w:val="231F20"/>
          <w:spacing w:val="-7"/>
        </w:rPr>
        <w:t xml:space="preserve"> </w:t>
      </w:r>
      <w:r w:rsidRPr="00697E23">
        <w:rPr>
          <w:color w:val="231F20"/>
        </w:rPr>
        <w:t>de</w:t>
      </w:r>
      <w:r w:rsidRPr="00697E23">
        <w:rPr>
          <w:color w:val="231F20"/>
          <w:spacing w:val="-8"/>
        </w:rPr>
        <w:t xml:space="preserve"> </w:t>
      </w:r>
      <w:r w:rsidRPr="00697E23">
        <w:rPr>
          <w:color w:val="231F20"/>
        </w:rPr>
        <w:t>la</w:t>
      </w:r>
      <w:r w:rsidRPr="00697E23">
        <w:rPr>
          <w:color w:val="231F20"/>
          <w:spacing w:val="-7"/>
        </w:rPr>
        <w:t xml:space="preserve"> </w:t>
      </w:r>
      <w:r w:rsidRPr="00697E23">
        <w:rPr>
          <w:color w:val="231F20"/>
        </w:rPr>
        <w:t>Contaduría</w:t>
      </w:r>
      <w:r w:rsidRPr="00697E23">
        <w:rPr>
          <w:color w:val="231F20"/>
          <w:spacing w:val="-8"/>
        </w:rPr>
        <w:t xml:space="preserve"> </w:t>
      </w:r>
      <w:r w:rsidRPr="00697E23">
        <w:rPr>
          <w:color w:val="231F20"/>
        </w:rPr>
        <w:t>General</w:t>
      </w:r>
      <w:r w:rsidRPr="00697E23">
        <w:rPr>
          <w:color w:val="231F20"/>
          <w:spacing w:val="-7"/>
        </w:rPr>
        <w:t xml:space="preserve"> </w:t>
      </w:r>
      <w:r w:rsidRPr="00697E23">
        <w:rPr>
          <w:color w:val="231F20"/>
        </w:rPr>
        <w:t xml:space="preserve">de </w:t>
      </w:r>
      <w:r w:rsidRPr="00697E23">
        <w:rPr>
          <w:color w:val="231F20"/>
          <w:spacing w:val="-2"/>
        </w:rPr>
        <w:t>la</w:t>
      </w:r>
      <w:r w:rsidRPr="00697E23">
        <w:rPr>
          <w:color w:val="231F20"/>
          <w:spacing w:val="-18"/>
        </w:rPr>
        <w:t xml:space="preserve"> </w:t>
      </w:r>
      <w:r w:rsidRPr="00697E23">
        <w:rPr>
          <w:color w:val="231F20"/>
          <w:spacing w:val="-2"/>
        </w:rPr>
        <w:t>Nación,</w:t>
      </w:r>
      <w:r w:rsidRPr="00697E23">
        <w:rPr>
          <w:color w:val="231F20"/>
          <w:spacing w:val="-17"/>
        </w:rPr>
        <w:t xml:space="preserve"> </w:t>
      </w:r>
      <w:r w:rsidRPr="00697E23">
        <w:rPr>
          <w:color w:val="231F20"/>
          <w:spacing w:val="-2"/>
        </w:rPr>
        <w:t>numerales</w:t>
      </w:r>
      <w:r w:rsidRPr="00697E23">
        <w:rPr>
          <w:color w:val="231F20"/>
          <w:spacing w:val="-17"/>
        </w:rPr>
        <w:t xml:space="preserve"> </w:t>
      </w:r>
      <w:r w:rsidRPr="00697E23">
        <w:rPr>
          <w:color w:val="231F20"/>
          <w:spacing w:val="-2"/>
        </w:rPr>
        <w:t>2.2.3</w:t>
      </w:r>
      <w:r w:rsidRPr="00697E23">
        <w:rPr>
          <w:color w:val="231F20"/>
          <w:spacing w:val="-18"/>
        </w:rPr>
        <w:t xml:space="preserve"> </w:t>
      </w:r>
      <w:r w:rsidRPr="00697E23">
        <w:rPr>
          <w:color w:val="231F20"/>
          <w:spacing w:val="-2"/>
        </w:rPr>
        <w:t>y</w:t>
      </w:r>
      <w:r w:rsidRPr="00697E23">
        <w:rPr>
          <w:color w:val="231F20"/>
          <w:spacing w:val="-17"/>
        </w:rPr>
        <w:t xml:space="preserve"> </w:t>
      </w:r>
      <w:r w:rsidRPr="00697E23">
        <w:rPr>
          <w:color w:val="231F20"/>
          <w:spacing w:val="-2"/>
        </w:rPr>
        <w:t>2.2.4</w:t>
      </w:r>
      <w:r w:rsidRPr="00697E23">
        <w:rPr>
          <w:color w:val="231F20"/>
          <w:spacing w:val="-18"/>
        </w:rPr>
        <w:t xml:space="preserve"> </w:t>
      </w:r>
      <w:r w:rsidRPr="00697E23">
        <w:rPr>
          <w:color w:val="231F20"/>
          <w:spacing w:val="-2"/>
        </w:rPr>
        <w:t>del</w:t>
      </w:r>
      <w:r w:rsidRPr="00697E23">
        <w:rPr>
          <w:color w:val="231F20"/>
          <w:spacing w:val="-17"/>
        </w:rPr>
        <w:t xml:space="preserve"> </w:t>
      </w:r>
      <w:r w:rsidRPr="00697E23">
        <w:rPr>
          <w:color w:val="231F20"/>
          <w:spacing w:val="-2"/>
        </w:rPr>
        <w:t>Procedimiento</w:t>
      </w:r>
      <w:r w:rsidRPr="00697E23">
        <w:rPr>
          <w:color w:val="231F20"/>
          <w:spacing w:val="-17"/>
        </w:rPr>
        <w:t xml:space="preserve"> </w:t>
      </w:r>
      <w:r w:rsidRPr="00697E23">
        <w:rPr>
          <w:color w:val="231F20"/>
          <w:spacing w:val="-2"/>
        </w:rPr>
        <w:t>para</w:t>
      </w:r>
      <w:r w:rsidRPr="00697E23">
        <w:rPr>
          <w:color w:val="231F20"/>
          <w:spacing w:val="-18"/>
        </w:rPr>
        <w:t xml:space="preserve"> </w:t>
      </w:r>
      <w:r w:rsidRPr="00697E23">
        <w:rPr>
          <w:color w:val="231F20"/>
          <w:spacing w:val="-2"/>
        </w:rPr>
        <w:t>la</w:t>
      </w:r>
      <w:r w:rsidRPr="00697E23">
        <w:rPr>
          <w:color w:val="231F20"/>
          <w:spacing w:val="-17"/>
        </w:rPr>
        <w:t xml:space="preserve"> </w:t>
      </w:r>
      <w:r w:rsidRPr="00697E23">
        <w:rPr>
          <w:color w:val="231F20"/>
          <w:spacing w:val="-2"/>
        </w:rPr>
        <w:t xml:space="preserve">evaluación </w:t>
      </w:r>
      <w:r w:rsidRPr="00697E23">
        <w:rPr>
          <w:color w:val="231F20"/>
        </w:rPr>
        <w:t>del control interno contable anexo a la Resolución 193 de 2016 de la Contaduría</w:t>
      </w:r>
      <w:r w:rsidRPr="00697E23">
        <w:rPr>
          <w:color w:val="231F20"/>
          <w:spacing w:val="-4"/>
        </w:rPr>
        <w:t xml:space="preserve"> </w:t>
      </w:r>
      <w:r w:rsidRPr="00697E23">
        <w:rPr>
          <w:color w:val="231F20"/>
        </w:rPr>
        <w:t>General</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la</w:t>
      </w:r>
      <w:r w:rsidRPr="00697E23">
        <w:rPr>
          <w:color w:val="231F20"/>
          <w:spacing w:val="-5"/>
        </w:rPr>
        <w:t xml:space="preserve"> </w:t>
      </w:r>
      <w:r w:rsidRPr="00697E23">
        <w:rPr>
          <w:color w:val="231F20"/>
        </w:rPr>
        <w:t>Nación,</w:t>
      </w:r>
      <w:r w:rsidRPr="00697E23">
        <w:rPr>
          <w:color w:val="231F20"/>
          <w:spacing w:val="-5"/>
        </w:rPr>
        <w:t xml:space="preserve"> </w:t>
      </w:r>
      <w:r w:rsidRPr="00697E23">
        <w:rPr>
          <w:color w:val="231F20"/>
        </w:rPr>
        <w:t>numeral</w:t>
      </w:r>
      <w:r w:rsidRPr="00697E23">
        <w:rPr>
          <w:color w:val="231F20"/>
          <w:spacing w:val="-5"/>
        </w:rPr>
        <w:t xml:space="preserve"> </w:t>
      </w:r>
      <w:r w:rsidRPr="00697E23">
        <w:rPr>
          <w:color w:val="231F20"/>
        </w:rPr>
        <w:t>3.2</w:t>
      </w:r>
      <w:r w:rsidRPr="00697E23">
        <w:rPr>
          <w:color w:val="231F20"/>
          <w:spacing w:val="-5"/>
        </w:rPr>
        <w:t xml:space="preserve"> </w:t>
      </w:r>
      <w:r w:rsidRPr="00697E23">
        <w:rPr>
          <w:color w:val="231F20"/>
        </w:rPr>
        <w:t>del</w:t>
      </w:r>
      <w:r w:rsidRPr="00697E23">
        <w:rPr>
          <w:color w:val="231F20"/>
          <w:spacing w:val="-5"/>
        </w:rPr>
        <w:t xml:space="preserve"> </w:t>
      </w:r>
      <w:r w:rsidRPr="00697E23">
        <w:rPr>
          <w:color w:val="231F20"/>
        </w:rPr>
        <w:t>manual</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políticas contable y numeral 7.9.1 del Decreto 204 de 2016 de la Unidad de Servicios Penitenciarios y Carcelarios.</w:t>
      </w:r>
    </w:p>
    <w:p w14:paraId="2EBF169F" w14:textId="77777777" w:rsidR="00E751F9" w:rsidRDefault="00E751F9" w:rsidP="00E751F9">
      <w:pPr>
        <w:pStyle w:val="Textoindependiente"/>
        <w:jc w:val="both"/>
        <w:rPr>
          <w:color w:val="231F20"/>
        </w:rPr>
      </w:pPr>
      <w:r w:rsidRPr="00697E23">
        <w:rPr>
          <w:color w:val="231F20"/>
        </w:rPr>
        <w:t>Con base en lo anterior, tras la revisión del último proceso de consolidación</w:t>
      </w:r>
      <w:r w:rsidRPr="00697E23">
        <w:rPr>
          <w:color w:val="231F20"/>
          <w:spacing w:val="40"/>
        </w:rPr>
        <w:t xml:space="preserve"> </w:t>
      </w:r>
      <w:r w:rsidRPr="00697E23">
        <w:rPr>
          <w:color w:val="231F20"/>
        </w:rPr>
        <w:t>realizado</w:t>
      </w:r>
      <w:r w:rsidRPr="00697E23">
        <w:rPr>
          <w:color w:val="231F20"/>
          <w:spacing w:val="40"/>
        </w:rPr>
        <w:t xml:space="preserve"> </w:t>
      </w:r>
      <w:r w:rsidRPr="00697E23">
        <w:rPr>
          <w:color w:val="231F20"/>
        </w:rPr>
        <w:t>por</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Contaduría</w:t>
      </w:r>
      <w:r w:rsidRPr="00697E23">
        <w:rPr>
          <w:color w:val="231F20"/>
          <w:spacing w:val="40"/>
        </w:rPr>
        <w:t xml:space="preserve"> </w:t>
      </w:r>
      <w:r w:rsidRPr="00697E23">
        <w:rPr>
          <w:color w:val="231F20"/>
        </w:rPr>
        <w:t>General</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Nación</w:t>
      </w:r>
      <w:r w:rsidRPr="00697E23">
        <w:rPr>
          <w:color w:val="231F20"/>
          <w:spacing w:val="40"/>
        </w:rPr>
        <w:t xml:space="preserve"> </w:t>
      </w:r>
      <w:r w:rsidRPr="00697E23">
        <w:rPr>
          <w:color w:val="231F20"/>
        </w:rPr>
        <w:t>el 18 de marzo de 2025, correspondiente a la emisión de los estados financieros de la vigencia 2024, se identificaron partidas pendientes por conciliar entre la Unidad de Servicios Penitenciarios y Carcelarios y otras entidades contables públicas.</w:t>
      </w:r>
    </w:p>
    <w:p w14:paraId="73D3A5C1" w14:textId="77777777" w:rsidR="00E751F9" w:rsidRDefault="00E751F9" w:rsidP="00E751F9">
      <w:pPr>
        <w:pStyle w:val="Textoindependiente"/>
        <w:jc w:val="both"/>
        <w:rPr>
          <w:color w:val="231F20"/>
        </w:rPr>
      </w:pPr>
    </w:p>
    <w:p w14:paraId="198ACEB5" w14:textId="77777777" w:rsidR="00E751F9" w:rsidRDefault="00E751F9" w:rsidP="00E751F9">
      <w:pPr>
        <w:pStyle w:val="Textoindependiente"/>
        <w:jc w:val="both"/>
        <w:rPr>
          <w:color w:val="231F20"/>
        </w:rPr>
      </w:pPr>
      <w:r w:rsidRPr="00697E23">
        <w:rPr>
          <w:color w:val="231F20"/>
        </w:rPr>
        <w:t>Estas inconsistencias afectaron significativamente las cuentas del activo por $26.879,78 millones, en pasivo por $363.411,56 millones y</w:t>
      </w:r>
      <w:r w:rsidRPr="00697E23">
        <w:rPr>
          <w:color w:val="231F20"/>
          <w:spacing w:val="-6"/>
        </w:rPr>
        <w:t xml:space="preserve"> </w:t>
      </w:r>
      <w:r w:rsidRPr="00697E23">
        <w:rPr>
          <w:color w:val="231F20"/>
        </w:rPr>
        <w:t>en</w:t>
      </w:r>
      <w:r w:rsidRPr="00697E23">
        <w:rPr>
          <w:color w:val="231F20"/>
          <w:spacing w:val="-6"/>
        </w:rPr>
        <w:t xml:space="preserve"> </w:t>
      </w:r>
      <w:r w:rsidRPr="00697E23">
        <w:rPr>
          <w:color w:val="231F20"/>
        </w:rPr>
        <w:t>gastos</w:t>
      </w:r>
      <w:r w:rsidRPr="00697E23">
        <w:rPr>
          <w:color w:val="231F20"/>
          <w:spacing w:val="-6"/>
        </w:rPr>
        <w:t xml:space="preserve"> </w:t>
      </w:r>
      <w:r w:rsidRPr="00697E23">
        <w:rPr>
          <w:color w:val="231F20"/>
        </w:rPr>
        <w:t>por</w:t>
      </w:r>
      <w:r w:rsidRPr="00697E23">
        <w:rPr>
          <w:color w:val="231F20"/>
          <w:spacing w:val="-6"/>
        </w:rPr>
        <w:t xml:space="preserve"> </w:t>
      </w:r>
      <w:r w:rsidRPr="00697E23">
        <w:rPr>
          <w:color w:val="231F20"/>
        </w:rPr>
        <w:t>$14.876,10</w:t>
      </w:r>
      <w:r w:rsidRPr="00697E23">
        <w:rPr>
          <w:color w:val="231F20"/>
          <w:spacing w:val="-6"/>
        </w:rPr>
        <w:t xml:space="preserve"> </w:t>
      </w:r>
      <w:r w:rsidRPr="00697E23">
        <w:rPr>
          <w:color w:val="231F20"/>
        </w:rPr>
        <w:t>millones.</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presencia</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estos</w:t>
      </w:r>
      <w:r w:rsidRPr="00697E23">
        <w:rPr>
          <w:color w:val="231F20"/>
          <w:spacing w:val="-6"/>
        </w:rPr>
        <w:t xml:space="preserve"> </w:t>
      </w:r>
      <w:r w:rsidRPr="00697E23">
        <w:rPr>
          <w:color w:val="231F20"/>
        </w:rPr>
        <w:t>saldos</w:t>
      </w:r>
      <w:r w:rsidRPr="00697E23">
        <w:rPr>
          <w:color w:val="231F20"/>
          <w:spacing w:val="-6"/>
        </w:rPr>
        <w:t xml:space="preserve"> </w:t>
      </w:r>
      <w:r w:rsidRPr="00697E23">
        <w:rPr>
          <w:color w:val="231F20"/>
        </w:rPr>
        <w:t>no conciliados generó incertidumbre respecto a la adecuada valoración de</w:t>
      </w:r>
      <w:r w:rsidRPr="00697E23">
        <w:rPr>
          <w:color w:val="231F20"/>
          <w:spacing w:val="-18"/>
        </w:rPr>
        <w:t xml:space="preserve"> </w:t>
      </w:r>
      <w:r w:rsidRPr="00697E23">
        <w:rPr>
          <w:color w:val="231F20"/>
        </w:rPr>
        <w:t>los</w:t>
      </w:r>
      <w:r w:rsidRPr="00697E23">
        <w:rPr>
          <w:color w:val="231F20"/>
          <w:spacing w:val="-18"/>
        </w:rPr>
        <w:t xml:space="preserve"> </w:t>
      </w:r>
      <w:r w:rsidRPr="00697E23">
        <w:rPr>
          <w:color w:val="231F20"/>
        </w:rPr>
        <w:t>derechos</w:t>
      </w:r>
      <w:r w:rsidRPr="00697E23">
        <w:rPr>
          <w:color w:val="231F20"/>
          <w:spacing w:val="-18"/>
        </w:rPr>
        <w:t xml:space="preserve"> </w:t>
      </w:r>
      <w:r w:rsidRPr="00697E23">
        <w:rPr>
          <w:color w:val="231F20"/>
        </w:rPr>
        <w:t>y</w:t>
      </w:r>
      <w:r w:rsidRPr="00697E23">
        <w:rPr>
          <w:color w:val="231F20"/>
          <w:spacing w:val="-18"/>
        </w:rPr>
        <w:t xml:space="preserve"> </w:t>
      </w:r>
      <w:r w:rsidRPr="00697E23">
        <w:rPr>
          <w:color w:val="231F20"/>
        </w:rPr>
        <w:t>obligaciones</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Unidad</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Servicios</w:t>
      </w:r>
      <w:r w:rsidRPr="00697E23">
        <w:rPr>
          <w:color w:val="231F20"/>
          <w:spacing w:val="-18"/>
        </w:rPr>
        <w:t xml:space="preserve"> </w:t>
      </w:r>
      <w:r w:rsidRPr="00697E23">
        <w:rPr>
          <w:color w:val="231F20"/>
        </w:rPr>
        <w:t>Penitenciarios y</w:t>
      </w:r>
      <w:r w:rsidRPr="00697E23">
        <w:rPr>
          <w:color w:val="231F20"/>
          <w:spacing w:val="-2"/>
        </w:rPr>
        <w:t xml:space="preserve"> </w:t>
      </w:r>
      <w:r w:rsidRPr="00697E23">
        <w:rPr>
          <w:color w:val="231F20"/>
        </w:rPr>
        <w:t>Carcelarios,</w:t>
      </w:r>
      <w:r w:rsidRPr="00697E23">
        <w:rPr>
          <w:color w:val="231F20"/>
          <w:spacing w:val="-2"/>
        </w:rPr>
        <w:t xml:space="preserve"> </w:t>
      </w:r>
      <w:r w:rsidRPr="00697E23">
        <w:rPr>
          <w:color w:val="231F20"/>
        </w:rPr>
        <w:t>ya</w:t>
      </w:r>
      <w:r w:rsidRPr="00697E23">
        <w:rPr>
          <w:color w:val="231F20"/>
          <w:spacing w:val="-2"/>
        </w:rPr>
        <w:t xml:space="preserve"> </w:t>
      </w:r>
      <w:r w:rsidRPr="00697E23">
        <w:rPr>
          <w:color w:val="231F20"/>
        </w:rPr>
        <w:t>que</w:t>
      </w:r>
      <w:r w:rsidRPr="00697E23">
        <w:rPr>
          <w:color w:val="231F20"/>
          <w:spacing w:val="-2"/>
        </w:rPr>
        <w:t xml:space="preserve"> </w:t>
      </w:r>
      <w:r w:rsidRPr="00697E23">
        <w:rPr>
          <w:color w:val="231F20"/>
        </w:rPr>
        <w:t>impactaron</w:t>
      </w:r>
      <w:r w:rsidRPr="00697E23">
        <w:rPr>
          <w:color w:val="231F20"/>
          <w:spacing w:val="-2"/>
        </w:rPr>
        <w:t xml:space="preserve"> </w:t>
      </w:r>
      <w:r w:rsidRPr="00697E23">
        <w:rPr>
          <w:color w:val="231F20"/>
        </w:rPr>
        <w:t>las</w:t>
      </w:r>
      <w:r w:rsidRPr="00697E23">
        <w:rPr>
          <w:color w:val="231F20"/>
          <w:spacing w:val="-2"/>
        </w:rPr>
        <w:t xml:space="preserve"> </w:t>
      </w:r>
      <w:r w:rsidRPr="00697E23">
        <w:rPr>
          <w:color w:val="231F20"/>
        </w:rPr>
        <w:t>cifras</w:t>
      </w:r>
      <w:r w:rsidRPr="00697E23">
        <w:rPr>
          <w:color w:val="231F20"/>
          <w:spacing w:val="-2"/>
        </w:rPr>
        <w:t xml:space="preserve"> </w:t>
      </w:r>
      <w:r w:rsidRPr="00697E23">
        <w:rPr>
          <w:color w:val="231F20"/>
        </w:rPr>
        <w:t>del</w:t>
      </w:r>
      <w:r w:rsidRPr="00697E23">
        <w:rPr>
          <w:color w:val="231F20"/>
          <w:spacing w:val="-2"/>
        </w:rPr>
        <w:t xml:space="preserve"> </w:t>
      </w:r>
      <w:r w:rsidRPr="00697E23">
        <w:rPr>
          <w:color w:val="231F20"/>
        </w:rPr>
        <w:t>consolidado</w:t>
      </w:r>
      <w:r w:rsidRPr="00697E23">
        <w:rPr>
          <w:color w:val="231F20"/>
          <w:spacing w:val="-2"/>
        </w:rPr>
        <w:t xml:space="preserve"> </w:t>
      </w:r>
      <w:r w:rsidRPr="00697E23">
        <w:rPr>
          <w:color w:val="231F20"/>
        </w:rPr>
        <w:t>sin</w:t>
      </w:r>
      <w:r w:rsidRPr="00697E23">
        <w:rPr>
          <w:color w:val="231F20"/>
          <w:spacing w:val="-2"/>
        </w:rPr>
        <w:t xml:space="preserve"> </w:t>
      </w:r>
      <w:r w:rsidRPr="00697E23">
        <w:rPr>
          <w:color w:val="231F20"/>
        </w:rPr>
        <w:t>que</w:t>
      </w:r>
      <w:r w:rsidRPr="00697E23">
        <w:rPr>
          <w:color w:val="231F20"/>
          <w:spacing w:val="-2"/>
        </w:rPr>
        <w:t xml:space="preserve"> </w:t>
      </w:r>
      <w:r w:rsidRPr="00697E23">
        <w:rPr>
          <w:color w:val="231F20"/>
        </w:rPr>
        <w:t>se pudiera</w:t>
      </w:r>
      <w:r w:rsidRPr="00697E23">
        <w:rPr>
          <w:color w:val="231F20"/>
          <w:spacing w:val="-20"/>
        </w:rPr>
        <w:t xml:space="preserve"> </w:t>
      </w:r>
      <w:r w:rsidRPr="00697E23">
        <w:rPr>
          <w:color w:val="231F20"/>
        </w:rPr>
        <w:t>determinar</w:t>
      </w:r>
      <w:r w:rsidRPr="00697E23">
        <w:rPr>
          <w:color w:val="231F20"/>
          <w:spacing w:val="-19"/>
        </w:rPr>
        <w:t xml:space="preserve"> </w:t>
      </w:r>
      <w:r w:rsidRPr="00697E23">
        <w:rPr>
          <w:color w:val="231F20"/>
        </w:rPr>
        <w:t>con</w:t>
      </w:r>
      <w:r w:rsidRPr="00697E23">
        <w:rPr>
          <w:color w:val="231F20"/>
          <w:spacing w:val="-19"/>
        </w:rPr>
        <w:t xml:space="preserve"> </w:t>
      </w:r>
      <w:r w:rsidRPr="00697E23">
        <w:rPr>
          <w:color w:val="231F20"/>
        </w:rPr>
        <w:t>claridad</w:t>
      </w:r>
      <w:r w:rsidRPr="00697E23">
        <w:rPr>
          <w:color w:val="231F20"/>
          <w:spacing w:val="-20"/>
        </w:rPr>
        <w:t xml:space="preserve"> </w:t>
      </w:r>
      <w:r w:rsidRPr="00697E23">
        <w:rPr>
          <w:color w:val="231F20"/>
        </w:rPr>
        <w:t>su</w:t>
      </w:r>
      <w:r w:rsidRPr="00697E23">
        <w:rPr>
          <w:color w:val="231F20"/>
          <w:spacing w:val="-19"/>
        </w:rPr>
        <w:t xml:space="preserve"> </w:t>
      </w:r>
      <w:r w:rsidRPr="00697E23">
        <w:rPr>
          <w:color w:val="231F20"/>
        </w:rPr>
        <w:t>incidencia</w:t>
      </w:r>
      <w:r w:rsidRPr="00697E23">
        <w:rPr>
          <w:color w:val="231F20"/>
          <w:spacing w:val="-20"/>
        </w:rPr>
        <w:t xml:space="preserve"> </w:t>
      </w:r>
      <w:r w:rsidRPr="00697E23">
        <w:rPr>
          <w:color w:val="231F20"/>
        </w:rPr>
        <w:t>específica</w:t>
      </w:r>
      <w:r w:rsidRPr="00697E23">
        <w:rPr>
          <w:color w:val="231F20"/>
          <w:spacing w:val="-19"/>
        </w:rPr>
        <w:t xml:space="preserve"> </w:t>
      </w:r>
      <w:r w:rsidRPr="00697E23">
        <w:rPr>
          <w:color w:val="231F20"/>
        </w:rPr>
        <w:t>en</w:t>
      </w:r>
      <w:r w:rsidRPr="00697E23">
        <w:rPr>
          <w:color w:val="231F20"/>
          <w:spacing w:val="-19"/>
        </w:rPr>
        <w:t xml:space="preserve"> </w:t>
      </w:r>
      <w:r w:rsidRPr="00697E23">
        <w:rPr>
          <w:color w:val="231F20"/>
        </w:rPr>
        <w:t>los</w:t>
      </w:r>
      <w:r w:rsidRPr="00697E23">
        <w:rPr>
          <w:color w:val="231F20"/>
          <w:spacing w:val="-20"/>
        </w:rPr>
        <w:t xml:space="preserve"> </w:t>
      </w:r>
      <w:r w:rsidRPr="00697E23">
        <w:rPr>
          <w:color w:val="231F20"/>
        </w:rPr>
        <w:t>estados financieros de la entidad.</w:t>
      </w:r>
    </w:p>
    <w:p w14:paraId="7D28B750" w14:textId="77777777" w:rsidR="00E751F9" w:rsidRDefault="00E751F9" w:rsidP="00E751F9">
      <w:pPr>
        <w:pStyle w:val="Textoindependiente"/>
        <w:jc w:val="both"/>
        <w:rPr>
          <w:color w:val="231F20"/>
        </w:rPr>
      </w:pPr>
    </w:p>
    <w:p w14:paraId="1E0D75CB" w14:textId="77777777" w:rsidR="00E751F9" w:rsidRDefault="00E751F9" w:rsidP="00E751F9">
      <w:pPr>
        <w:pStyle w:val="Textoindependiente"/>
        <w:jc w:val="both"/>
        <w:rPr>
          <w:b/>
          <w:color w:val="231F20"/>
          <w:spacing w:val="-2"/>
          <w:sz w:val="28"/>
          <w:szCs w:val="28"/>
        </w:rPr>
      </w:pPr>
      <w:r w:rsidRPr="006E4CC9">
        <w:rPr>
          <w:b/>
          <w:color w:val="231F20"/>
          <w:sz w:val="28"/>
          <w:szCs w:val="28"/>
        </w:rPr>
        <w:t>CONTROL</w:t>
      </w:r>
      <w:r w:rsidRPr="006E4CC9">
        <w:rPr>
          <w:b/>
          <w:color w:val="231F20"/>
          <w:spacing w:val="-9"/>
          <w:sz w:val="28"/>
          <w:szCs w:val="28"/>
        </w:rPr>
        <w:t xml:space="preserve"> </w:t>
      </w:r>
      <w:r w:rsidRPr="006E4CC9">
        <w:rPr>
          <w:b/>
          <w:color w:val="231F20"/>
          <w:sz w:val="28"/>
          <w:szCs w:val="28"/>
        </w:rPr>
        <w:t>INTERNO</w:t>
      </w:r>
      <w:r w:rsidRPr="006E4CC9">
        <w:rPr>
          <w:b/>
          <w:color w:val="231F20"/>
          <w:spacing w:val="-8"/>
          <w:sz w:val="28"/>
          <w:szCs w:val="28"/>
        </w:rPr>
        <w:t xml:space="preserve"> </w:t>
      </w:r>
      <w:r w:rsidRPr="006E4CC9">
        <w:rPr>
          <w:b/>
          <w:color w:val="231F20"/>
          <w:sz w:val="28"/>
          <w:szCs w:val="28"/>
        </w:rPr>
        <w:t>FINANCIERO:</w:t>
      </w:r>
      <w:r w:rsidRPr="006E4CC9">
        <w:rPr>
          <w:b/>
          <w:color w:val="231F20"/>
          <w:spacing w:val="-9"/>
          <w:sz w:val="28"/>
          <w:szCs w:val="28"/>
        </w:rPr>
        <w:t xml:space="preserve"> </w:t>
      </w:r>
      <w:r w:rsidRPr="006E4CC9">
        <w:rPr>
          <w:b/>
          <w:color w:val="231F20"/>
          <w:spacing w:val="-2"/>
          <w:sz w:val="28"/>
          <w:szCs w:val="28"/>
          <w:u w:val="single"/>
        </w:rPr>
        <w:t>INEFICIENTE</w:t>
      </w:r>
      <w:r w:rsidRPr="006E4CC9">
        <w:rPr>
          <w:b/>
          <w:color w:val="231F20"/>
          <w:spacing w:val="-2"/>
          <w:sz w:val="28"/>
          <w:szCs w:val="28"/>
        </w:rPr>
        <w:t>.</w:t>
      </w:r>
    </w:p>
    <w:p w14:paraId="056CBECC" w14:textId="77777777" w:rsidR="00E751F9" w:rsidRDefault="00E751F9" w:rsidP="00E751F9">
      <w:pPr>
        <w:pStyle w:val="Textoindependiente"/>
        <w:jc w:val="both"/>
        <w:rPr>
          <w:b/>
          <w:color w:val="231F20"/>
          <w:spacing w:val="-2"/>
          <w:sz w:val="28"/>
          <w:szCs w:val="28"/>
        </w:rPr>
      </w:pPr>
    </w:p>
    <w:p w14:paraId="37E0479D" w14:textId="77777777" w:rsidR="00E751F9" w:rsidRDefault="00E751F9" w:rsidP="00E751F9">
      <w:pPr>
        <w:pStyle w:val="Textoindependiente"/>
        <w:jc w:val="both"/>
        <w:rPr>
          <w:color w:val="231F20"/>
        </w:rPr>
      </w:pPr>
      <w:r w:rsidRPr="006E4CC9">
        <w:rPr>
          <w:b/>
          <w:color w:val="231F20"/>
          <w:spacing w:val="-2"/>
          <w:sz w:val="28"/>
          <w:szCs w:val="28"/>
        </w:rPr>
        <w:t>-</w:t>
      </w:r>
      <w:r w:rsidRPr="00697E23">
        <w:rPr>
          <w:color w:val="231F20"/>
        </w:rPr>
        <w:t>Deficiencias del control interno financiero en pérdida de apropiación</w:t>
      </w:r>
      <w:r w:rsidRPr="00697E23">
        <w:rPr>
          <w:color w:val="231F20"/>
          <w:spacing w:val="40"/>
        </w:rPr>
        <w:t xml:space="preserve"> </w:t>
      </w:r>
      <w:r w:rsidRPr="00697E23">
        <w:rPr>
          <w:color w:val="231F20"/>
        </w:rPr>
        <w:t xml:space="preserve">y conciliaciones de los saldos con otras entidades contables públicas; además de falencias en el área contable respecto al suministro de </w:t>
      </w:r>
      <w:r w:rsidRPr="00697E23">
        <w:rPr>
          <w:color w:val="231F20"/>
          <w:spacing w:val="-2"/>
        </w:rPr>
        <w:t>información</w:t>
      </w:r>
      <w:r w:rsidRPr="00697E23">
        <w:rPr>
          <w:color w:val="231F20"/>
          <w:spacing w:val="-15"/>
        </w:rPr>
        <w:t xml:space="preserve"> </w:t>
      </w:r>
      <w:r w:rsidRPr="00697E23">
        <w:rPr>
          <w:color w:val="231F20"/>
          <w:spacing w:val="-2"/>
        </w:rPr>
        <w:t>exógena</w:t>
      </w:r>
      <w:r w:rsidRPr="00697E23">
        <w:rPr>
          <w:color w:val="231F20"/>
          <w:spacing w:val="-15"/>
        </w:rPr>
        <w:t xml:space="preserve"> </w:t>
      </w:r>
      <w:r w:rsidRPr="00697E23">
        <w:rPr>
          <w:color w:val="231F20"/>
          <w:spacing w:val="-2"/>
        </w:rPr>
        <w:t>e</w:t>
      </w:r>
      <w:r w:rsidRPr="00697E23">
        <w:rPr>
          <w:color w:val="231F20"/>
          <w:spacing w:val="-15"/>
        </w:rPr>
        <w:t xml:space="preserve"> </w:t>
      </w:r>
      <w:r w:rsidRPr="00697E23">
        <w:rPr>
          <w:color w:val="231F20"/>
          <w:spacing w:val="-2"/>
        </w:rPr>
        <w:t>impuestos</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industria</w:t>
      </w:r>
      <w:r w:rsidRPr="00697E23">
        <w:rPr>
          <w:color w:val="231F20"/>
          <w:spacing w:val="-15"/>
        </w:rPr>
        <w:t xml:space="preserve"> </w:t>
      </w:r>
      <w:r w:rsidRPr="00697E23">
        <w:rPr>
          <w:color w:val="231F20"/>
          <w:spacing w:val="-2"/>
        </w:rPr>
        <w:t>y</w:t>
      </w:r>
      <w:r w:rsidRPr="00697E23">
        <w:rPr>
          <w:color w:val="231F20"/>
          <w:spacing w:val="-15"/>
        </w:rPr>
        <w:t xml:space="preserve"> </w:t>
      </w:r>
      <w:r w:rsidRPr="00697E23">
        <w:rPr>
          <w:color w:val="231F20"/>
          <w:spacing w:val="-2"/>
        </w:rPr>
        <w:t>comercio</w:t>
      </w:r>
      <w:r w:rsidRPr="00697E23">
        <w:rPr>
          <w:color w:val="231F20"/>
          <w:spacing w:val="-15"/>
        </w:rPr>
        <w:t xml:space="preserve"> </w:t>
      </w:r>
      <w:r w:rsidRPr="00697E23">
        <w:rPr>
          <w:color w:val="231F20"/>
          <w:spacing w:val="-2"/>
        </w:rPr>
        <w:t>y</w:t>
      </w:r>
      <w:r w:rsidRPr="00697E23">
        <w:rPr>
          <w:color w:val="231F20"/>
          <w:spacing w:val="-15"/>
        </w:rPr>
        <w:t xml:space="preserve"> </w:t>
      </w:r>
      <w:r w:rsidRPr="00697E23">
        <w:rPr>
          <w:color w:val="231F20"/>
          <w:spacing w:val="-2"/>
        </w:rPr>
        <w:t xml:space="preserve">debilidades </w:t>
      </w:r>
      <w:r w:rsidRPr="00697E23">
        <w:rPr>
          <w:color w:val="231F20"/>
        </w:rPr>
        <w:t>en el registro de sentencias en contra de la entidad e inadecuados registros en la cuenta productos en proceso.</w:t>
      </w:r>
    </w:p>
    <w:p w14:paraId="655B4F13" w14:textId="4A6A87AF" w:rsidR="00E751F9" w:rsidRPr="00E751F9" w:rsidRDefault="00E751F9" w:rsidP="00E751F9">
      <w:pPr>
        <w:ind w:right="-93"/>
        <w:jc w:val="both"/>
        <w:rPr>
          <w:b/>
          <w:sz w:val="28"/>
          <w:szCs w:val="28"/>
        </w:rPr>
      </w:pPr>
    </w:p>
    <w:p w14:paraId="73F2CC99" w14:textId="6F854757" w:rsidR="00E751F9" w:rsidRPr="008B6B42" w:rsidRDefault="00E751F9" w:rsidP="00E751F9">
      <w:pPr>
        <w:pStyle w:val="Ttulo1"/>
        <w:ind w:left="0" w:right="-93"/>
        <w:rPr>
          <w:b w:val="0"/>
          <w:bCs w:val="0"/>
          <w:sz w:val="28"/>
          <w:szCs w:val="28"/>
        </w:rPr>
      </w:pPr>
      <w:bookmarkStart w:id="6" w:name="_Hlk207873929"/>
      <w:bookmarkEnd w:id="5"/>
      <w:r w:rsidRPr="008B6B42">
        <w:rPr>
          <w:sz w:val="28"/>
          <w:szCs w:val="28"/>
        </w:rPr>
        <w:lastRenderedPageBreak/>
        <w:t>4.-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USPEC</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ADMINISTRATIVA,</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6"/>
    <w:p w14:paraId="4349FE66" w14:textId="77777777" w:rsidR="00E751F9" w:rsidRDefault="00E751F9" w:rsidP="007701BE">
      <w:pPr>
        <w:jc w:val="both"/>
        <w:rPr>
          <w:b/>
          <w:sz w:val="28"/>
          <w:szCs w:val="28"/>
          <w:lang w:val="es-MX"/>
        </w:rPr>
      </w:pPr>
    </w:p>
    <w:p w14:paraId="0AFC624C" w14:textId="602D4201" w:rsidR="007701BE" w:rsidRPr="00670B16" w:rsidRDefault="007701BE" w:rsidP="007701BE">
      <w:pPr>
        <w:jc w:val="both"/>
        <w:rPr>
          <w:b/>
          <w:sz w:val="28"/>
          <w:szCs w:val="28"/>
          <w:lang w:val="es-MX"/>
        </w:rPr>
      </w:pPr>
      <w:r>
        <w:rPr>
          <w:b/>
          <w:sz w:val="28"/>
          <w:szCs w:val="28"/>
          <w:lang w:val="es-MX"/>
        </w:rPr>
        <w:t xml:space="preserve">129.- </w:t>
      </w:r>
      <w:r w:rsidRPr="00735C95">
        <w:rPr>
          <w:b/>
          <w:sz w:val="28"/>
          <w:szCs w:val="28"/>
        </w:rPr>
        <w:t xml:space="preserve">UNIDAD DE SERVICIOS PENITENCIARIOS Y CARCELARIOS </w:t>
      </w:r>
      <w:r>
        <w:rPr>
          <w:b/>
          <w:sz w:val="28"/>
          <w:szCs w:val="28"/>
        </w:rPr>
        <w:t>–</w:t>
      </w:r>
      <w:r w:rsidRPr="00735C95">
        <w:rPr>
          <w:b/>
          <w:sz w:val="28"/>
          <w:szCs w:val="28"/>
        </w:rPr>
        <w:t xml:space="preserve"> USPEC</w:t>
      </w:r>
      <w:r w:rsidRPr="00670B16">
        <w:rPr>
          <w:b/>
          <w:sz w:val="28"/>
          <w:szCs w:val="28"/>
          <w:lang w:val="es-MX"/>
        </w:rPr>
        <w:t>.</w:t>
      </w:r>
    </w:p>
    <w:p w14:paraId="305C0CE6" w14:textId="77777777" w:rsidR="00E751F9" w:rsidRDefault="00E751F9" w:rsidP="007701BE">
      <w:pPr>
        <w:pStyle w:val="Prrafodelista"/>
        <w:ind w:left="0"/>
        <w:rPr>
          <w:b/>
          <w:bCs/>
          <w:sz w:val="28"/>
          <w:szCs w:val="28"/>
          <w:lang w:val="es-MX"/>
        </w:rPr>
      </w:pPr>
    </w:p>
    <w:p w14:paraId="0F53C10C" w14:textId="2B5D2B8A" w:rsidR="007701BE" w:rsidRDefault="007701BE" w:rsidP="007701BE">
      <w:pPr>
        <w:pStyle w:val="Prrafodelista"/>
        <w:ind w:left="0"/>
        <w:rPr>
          <w:b/>
          <w:sz w:val="28"/>
          <w:szCs w:val="28"/>
        </w:rPr>
      </w:pPr>
      <w:r>
        <w:rPr>
          <w:b/>
          <w:bCs/>
          <w:sz w:val="28"/>
          <w:szCs w:val="28"/>
        </w:rPr>
        <w:t>A</w:t>
      </w:r>
      <w:r w:rsidRPr="001D402D">
        <w:rPr>
          <w:b/>
          <w:bCs/>
          <w:sz w:val="28"/>
          <w:szCs w:val="28"/>
        </w:rPr>
        <w:t xml:space="preserve">.- </w:t>
      </w:r>
      <w:r w:rsidRPr="00670B16">
        <w:rPr>
          <w:b/>
          <w:sz w:val="28"/>
          <w:szCs w:val="28"/>
        </w:rPr>
        <w:t>DE ORDEN PRESUPUESTAL</w:t>
      </w:r>
      <w:r>
        <w:rPr>
          <w:b/>
          <w:sz w:val="28"/>
          <w:szCs w:val="28"/>
        </w:rPr>
        <w:t>.</w:t>
      </w:r>
    </w:p>
    <w:p w14:paraId="1B21AF1F" w14:textId="77777777" w:rsidR="007701BE" w:rsidRPr="00670B16" w:rsidRDefault="007701BE" w:rsidP="007701BE">
      <w:pPr>
        <w:pStyle w:val="Prrafodelista"/>
        <w:ind w:left="0"/>
        <w:rPr>
          <w:b/>
          <w:sz w:val="28"/>
          <w:szCs w:val="28"/>
        </w:rPr>
      </w:pPr>
    </w:p>
    <w:p w14:paraId="7647EFDB" w14:textId="77777777" w:rsidR="007701BE" w:rsidRDefault="007701BE" w:rsidP="007701BE">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40C99C38" w14:textId="77777777" w:rsidR="007701BE" w:rsidRDefault="007701BE" w:rsidP="007701BE">
      <w:pPr>
        <w:pStyle w:val="Prrafodelista"/>
        <w:ind w:left="0"/>
        <w:rPr>
          <w:sz w:val="24"/>
        </w:rPr>
      </w:pPr>
    </w:p>
    <w:p w14:paraId="117AED55" w14:textId="77777777" w:rsidR="007701BE" w:rsidRPr="00B54567" w:rsidRDefault="007701BE" w:rsidP="007701BE">
      <w:pPr>
        <w:pStyle w:val="Prrafodelista"/>
        <w:ind w:left="0"/>
        <w:rPr>
          <w:sz w:val="24"/>
        </w:rPr>
      </w:pPr>
      <w:r w:rsidRPr="008665B4">
        <w:rPr>
          <w:b/>
          <w:bCs/>
          <w:sz w:val="24"/>
        </w:rPr>
        <w:t>NOTA:</w:t>
      </w:r>
      <w:r>
        <w:rPr>
          <w:sz w:val="24"/>
        </w:rPr>
        <w:t xml:space="preserve"> Esta auditoria observa que las cifras no se encuentran presentadas en miles de pesos como lo remite la Entidad, si no que están presentadas en millones de pesos.</w:t>
      </w:r>
    </w:p>
    <w:p w14:paraId="33EF9951" w14:textId="77777777" w:rsidR="007701BE" w:rsidRPr="00B54567" w:rsidRDefault="007701BE" w:rsidP="007701BE">
      <w:pPr>
        <w:pStyle w:val="Prrafodelista"/>
        <w:tabs>
          <w:tab w:val="left" w:pos="873"/>
          <w:tab w:val="left" w:pos="875"/>
        </w:tabs>
        <w:spacing w:before="92"/>
        <w:jc w:val="right"/>
        <w:rPr>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025"/>
        <w:gridCol w:w="1345"/>
        <w:gridCol w:w="1239"/>
        <w:gridCol w:w="1085"/>
        <w:gridCol w:w="993"/>
        <w:gridCol w:w="992"/>
        <w:gridCol w:w="1134"/>
      </w:tblGrid>
      <w:tr w:rsidR="007701BE" w:rsidRPr="00B54567" w14:paraId="2DF3F96C" w14:textId="77777777" w:rsidTr="00874B2D">
        <w:tc>
          <w:tcPr>
            <w:tcW w:w="2110" w:type="dxa"/>
            <w:shd w:val="clear" w:color="auto" w:fill="auto"/>
          </w:tcPr>
          <w:p w14:paraId="09D97E30"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CONCEPTO</w:t>
            </w:r>
          </w:p>
        </w:tc>
        <w:tc>
          <w:tcPr>
            <w:tcW w:w="1025" w:type="dxa"/>
            <w:shd w:val="clear" w:color="auto" w:fill="auto"/>
          </w:tcPr>
          <w:p w14:paraId="77CAAF08"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APROP. VIGENTE</w:t>
            </w:r>
          </w:p>
          <w:p w14:paraId="35A9BD91" w14:textId="77777777" w:rsidR="007701BE" w:rsidRPr="00B54567" w:rsidRDefault="007701BE" w:rsidP="00874B2D">
            <w:pPr>
              <w:jc w:val="center"/>
              <w:rPr>
                <w:rFonts w:eastAsia="Calibri"/>
                <w:b/>
                <w:sz w:val="16"/>
                <w:szCs w:val="16"/>
                <w:lang w:val="es-CO"/>
              </w:rPr>
            </w:pPr>
          </w:p>
          <w:p w14:paraId="4BDA40A9" w14:textId="77777777" w:rsidR="007701BE" w:rsidRPr="00B54567" w:rsidRDefault="007701BE" w:rsidP="00874B2D">
            <w:pPr>
              <w:jc w:val="center"/>
              <w:rPr>
                <w:rFonts w:eastAsia="Calibri"/>
                <w:b/>
                <w:sz w:val="16"/>
                <w:szCs w:val="16"/>
                <w:lang w:val="es-CO"/>
              </w:rPr>
            </w:pPr>
          </w:p>
          <w:p w14:paraId="0EEF7D32" w14:textId="77777777" w:rsidR="007701BE" w:rsidRPr="00B54567" w:rsidRDefault="007701BE" w:rsidP="00874B2D">
            <w:pPr>
              <w:jc w:val="center"/>
              <w:rPr>
                <w:rFonts w:eastAsia="Calibri"/>
                <w:b/>
                <w:sz w:val="16"/>
                <w:szCs w:val="16"/>
                <w:lang w:val="es-CO"/>
              </w:rPr>
            </w:pPr>
          </w:p>
          <w:p w14:paraId="14A2ACED"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(1)</w:t>
            </w:r>
          </w:p>
          <w:p w14:paraId="3FD0B7B2" w14:textId="77777777" w:rsidR="007701BE" w:rsidRPr="00B54567" w:rsidRDefault="007701BE" w:rsidP="00874B2D">
            <w:pPr>
              <w:jc w:val="center"/>
              <w:rPr>
                <w:rFonts w:eastAsia="Calibri"/>
                <w:b/>
                <w:sz w:val="16"/>
                <w:szCs w:val="16"/>
                <w:lang w:val="es-CO"/>
              </w:rPr>
            </w:pPr>
          </w:p>
        </w:tc>
        <w:tc>
          <w:tcPr>
            <w:tcW w:w="1345" w:type="dxa"/>
            <w:shd w:val="clear" w:color="auto" w:fill="auto"/>
          </w:tcPr>
          <w:p w14:paraId="4523F8F6"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COMPROMISO</w:t>
            </w:r>
          </w:p>
          <w:p w14:paraId="1012D248" w14:textId="77777777" w:rsidR="007701BE" w:rsidRPr="00B54567" w:rsidRDefault="007701BE" w:rsidP="00874B2D">
            <w:pPr>
              <w:jc w:val="center"/>
              <w:rPr>
                <w:rFonts w:eastAsia="Calibri"/>
                <w:b/>
                <w:sz w:val="16"/>
                <w:szCs w:val="16"/>
                <w:lang w:val="es-CO"/>
              </w:rPr>
            </w:pPr>
          </w:p>
          <w:p w14:paraId="3D19D0A0" w14:textId="77777777" w:rsidR="007701BE" w:rsidRPr="00B54567" w:rsidRDefault="007701BE" w:rsidP="00874B2D">
            <w:pPr>
              <w:jc w:val="center"/>
              <w:rPr>
                <w:rFonts w:eastAsia="Calibri"/>
                <w:b/>
                <w:sz w:val="16"/>
                <w:szCs w:val="16"/>
                <w:lang w:val="es-CO"/>
              </w:rPr>
            </w:pPr>
          </w:p>
          <w:p w14:paraId="22655402" w14:textId="77777777" w:rsidR="007701BE" w:rsidRPr="00B54567" w:rsidRDefault="007701BE" w:rsidP="00874B2D">
            <w:pPr>
              <w:jc w:val="center"/>
              <w:rPr>
                <w:rFonts w:eastAsia="Calibri"/>
                <w:b/>
                <w:sz w:val="16"/>
                <w:szCs w:val="16"/>
                <w:lang w:val="es-CO"/>
              </w:rPr>
            </w:pPr>
          </w:p>
          <w:p w14:paraId="245487F3" w14:textId="77777777" w:rsidR="007701BE" w:rsidRPr="00B54567" w:rsidRDefault="007701BE" w:rsidP="00874B2D">
            <w:pPr>
              <w:jc w:val="center"/>
              <w:rPr>
                <w:rFonts w:eastAsia="Calibri"/>
                <w:b/>
                <w:sz w:val="16"/>
                <w:szCs w:val="16"/>
                <w:lang w:val="es-CO"/>
              </w:rPr>
            </w:pPr>
          </w:p>
          <w:p w14:paraId="59F04A18"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(2)</w:t>
            </w:r>
          </w:p>
        </w:tc>
        <w:tc>
          <w:tcPr>
            <w:tcW w:w="1239" w:type="dxa"/>
            <w:shd w:val="clear" w:color="auto" w:fill="auto"/>
          </w:tcPr>
          <w:p w14:paraId="72576C3B"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OBLIGACIÓN</w:t>
            </w:r>
          </w:p>
          <w:p w14:paraId="1EE01AC2" w14:textId="77777777" w:rsidR="007701BE" w:rsidRPr="00B54567" w:rsidRDefault="007701BE" w:rsidP="00874B2D">
            <w:pPr>
              <w:jc w:val="center"/>
              <w:rPr>
                <w:rFonts w:eastAsia="Calibri"/>
                <w:b/>
                <w:sz w:val="16"/>
                <w:szCs w:val="16"/>
                <w:lang w:val="es-CO"/>
              </w:rPr>
            </w:pPr>
          </w:p>
          <w:p w14:paraId="166F39C1" w14:textId="77777777" w:rsidR="007701BE" w:rsidRPr="00B54567" w:rsidRDefault="007701BE" w:rsidP="00874B2D">
            <w:pPr>
              <w:jc w:val="center"/>
              <w:rPr>
                <w:rFonts w:eastAsia="Calibri"/>
                <w:b/>
                <w:sz w:val="16"/>
                <w:szCs w:val="16"/>
                <w:lang w:val="es-CO"/>
              </w:rPr>
            </w:pPr>
          </w:p>
          <w:p w14:paraId="44075A35" w14:textId="77777777" w:rsidR="007701BE" w:rsidRPr="00B54567" w:rsidRDefault="007701BE" w:rsidP="00874B2D">
            <w:pPr>
              <w:jc w:val="center"/>
              <w:rPr>
                <w:rFonts w:eastAsia="Calibri"/>
                <w:b/>
                <w:sz w:val="16"/>
                <w:szCs w:val="16"/>
                <w:lang w:val="es-CO"/>
              </w:rPr>
            </w:pPr>
          </w:p>
          <w:p w14:paraId="691C8CD3" w14:textId="77777777" w:rsidR="007701BE" w:rsidRPr="00B54567" w:rsidRDefault="007701BE" w:rsidP="00874B2D">
            <w:pPr>
              <w:jc w:val="center"/>
              <w:rPr>
                <w:rFonts w:eastAsia="Calibri"/>
                <w:b/>
                <w:sz w:val="16"/>
                <w:szCs w:val="16"/>
                <w:lang w:val="es-CO"/>
              </w:rPr>
            </w:pPr>
          </w:p>
          <w:p w14:paraId="0753783C"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(3)</w:t>
            </w:r>
          </w:p>
          <w:p w14:paraId="283859C2" w14:textId="77777777" w:rsidR="007701BE" w:rsidRPr="00B54567" w:rsidRDefault="007701BE" w:rsidP="00874B2D">
            <w:pPr>
              <w:jc w:val="center"/>
              <w:rPr>
                <w:rFonts w:eastAsia="Calibri"/>
                <w:b/>
                <w:sz w:val="16"/>
                <w:szCs w:val="16"/>
                <w:lang w:val="es-CO"/>
              </w:rPr>
            </w:pPr>
          </w:p>
        </w:tc>
        <w:tc>
          <w:tcPr>
            <w:tcW w:w="1085" w:type="dxa"/>
            <w:shd w:val="clear" w:color="auto" w:fill="auto"/>
          </w:tcPr>
          <w:p w14:paraId="14D837A7"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PAGOS</w:t>
            </w:r>
          </w:p>
          <w:p w14:paraId="45DBC2C8" w14:textId="77777777" w:rsidR="007701BE" w:rsidRPr="00B54567" w:rsidRDefault="007701BE" w:rsidP="00874B2D">
            <w:pPr>
              <w:jc w:val="center"/>
              <w:rPr>
                <w:rFonts w:eastAsia="Calibri"/>
                <w:b/>
                <w:sz w:val="16"/>
                <w:szCs w:val="16"/>
                <w:lang w:val="es-CO"/>
              </w:rPr>
            </w:pPr>
          </w:p>
          <w:p w14:paraId="1ACC4694" w14:textId="77777777" w:rsidR="007701BE" w:rsidRPr="00B54567" w:rsidRDefault="007701BE" w:rsidP="00874B2D">
            <w:pPr>
              <w:jc w:val="center"/>
              <w:rPr>
                <w:rFonts w:eastAsia="Calibri"/>
                <w:b/>
                <w:sz w:val="16"/>
                <w:szCs w:val="16"/>
                <w:lang w:val="es-CO"/>
              </w:rPr>
            </w:pPr>
          </w:p>
          <w:p w14:paraId="29BC6007" w14:textId="77777777" w:rsidR="007701BE" w:rsidRPr="00B54567" w:rsidRDefault="007701BE" w:rsidP="00874B2D">
            <w:pPr>
              <w:jc w:val="center"/>
              <w:rPr>
                <w:rFonts w:eastAsia="Calibri"/>
                <w:b/>
                <w:sz w:val="16"/>
                <w:szCs w:val="16"/>
                <w:lang w:val="es-CO"/>
              </w:rPr>
            </w:pPr>
          </w:p>
          <w:p w14:paraId="3ABCB23A" w14:textId="77777777" w:rsidR="007701BE" w:rsidRPr="00B54567" w:rsidRDefault="007701BE" w:rsidP="00874B2D">
            <w:pPr>
              <w:jc w:val="center"/>
              <w:rPr>
                <w:rFonts w:eastAsia="Calibri"/>
                <w:b/>
                <w:sz w:val="16"/>
                <w:szCs w:val="16"/>
                <w:lang w:val="es-CO"/>
              </w:rPr>
            </w:pPr>
          </w:p>
          <w:p w14:paraId="740E320F"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(4)</w:t>
            </w:r>
          </w:p>
        </w:tc>
        <w:tc>
          <w:tcPr>
            <w:tcW w:w="993" w:type="dxa"/>
            <w:shd w:val="clear" w:color="auto" w:fill="auto"/>
          </w:tcPr>
          <w:p w14:paraId="5FA3653B"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 xml:space="preserve">% </w:t>
            </w:r>
          </w:p>
          <w:p w14:paraId="1A6F64F9"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COMP/</w:t>
            </w:r>
          </w:p>
          <w:p w14:paraId="3E816472"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APROP. VIGENTE</w:t>
            </w:r>
          </w:p>
          <w:p w14:paraId="04F747E7" w14:textId="77777777" w:rsidR="007701BE" w:rsidRPr="00B54567" w:rsidRDefault="007701BE" w:rsidP="00874B2D">
            <w:pPr>
              <w:jc w:val="center"/>
              <w:rPr>
                <w:rFonts w:eastAsia="Calibri"/>
                <w:b/>
                <w:sz w:val="16"/>
                <w:szCs w:val="16"/>
                <w:lang w:val="es-CO"/>
              </w:rPr>
            </w:pPr>
          </w:p>
          <w:p w14:paraId="1D8E1E45"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5 = (2 / 1)</w:t>
            </w:r>
          </w:p>
        </w:tc>
        <w:tc>
          <w:tcPr>
            <w:tcW w:w="992" w:type="dxa"/>
            <w:shd w:val="clear" w:color="auto" w:fill="auto"/>
          </w:tcPr>
          <w:p w14:paraId="702BFD21"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 xml:space="preserve">% </w:t>
            </w:r>
          </w:p>
          <w:p w14:paraId="629AC070"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OBLIG/ APROP. VIGENTE</w:t>
            </w:r>
          </w:p>
          <w:p w14:paraId="65D586CA" w14:textId="77777777" w:rsidR="007701BE" w:rsidRPr="00B54567" w:rsidRDefault="007701BE" w:rsidP="00874B2D">
            <w:pPr>
              <w:jc w:val="center"/>
              <w:rPr>
                <w:rFonts w:eastAsia="Calibri"/>
                <w:b/>
                <w:sz w:val="16"/>
                <w:szCs w:val="16"/>
                <w:lang w:val="es-CO"/>
              </w:rPr>
            </w:pPr>
          </w:p>
          <w:p w14:paraId="4BA0E81F"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6  = (3 / 1)</w:t>
            </w:r>
          </w:p>
        </w:tc>
        <w:tc>
          <w:tcPr>
            <w:tcW w:w="1134" w:type="dxa"/>
            <w:shd w:val="clear" w:color="auto" w:fill="auto"/>
          </w:tcPr>
          <w:p w14:paraId="76F5C6F3"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 xml:space="preserve">% </w:t>
            </w:r>
          </w:p>
          <w:p w14:paraId="4DDE4260"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PAGOS/</w:t>
            </w:r>
          </w:p>
          <w:p w14:paraId="62A53E81"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APROP. VIGENTE</w:t>
            </w:r>
          </w:p>
          <w:p w14:paraId="785BCEB3" w14:textId="77777777" w:rsidR="007701BE" w:rsidRPr="00B54567" w:rsidRDefault="007701BE" w:rsidP="00874B2D">
            <w:pPr>
              <w:jc w:val="center"/>
              <w:rPr>
                <w:rFonts w:eastAsia="Calibri"/>
                <w:b/>
                <w:sz w:val="16"/>
                <w:szCs w:val="16"/>
                <w:lang w:val="es-CO"/>
              </w:rPr>
            </w:pPr>
          </w:p>
          <w:p w14:paraId="7515A22F"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7 = (4 / 1)</w:t>
            </w:r>
          </w:p>
          <w:p w14:paraId="59FBDA56" w14:textId="77777777" w:rsidR="007701BE" w:rsidRPr="00B54567" w:rsidRDefault="007701BE" w:rsidP="00874B2D">
            <w:pPr>
              <w:jc w:val="center"/>
              <w:rPr>
                <w:rFonts w:eastAsia="Calibri"/>
                <w:b/>
                <w:sz w:val="16"/>
                <w:szCs w:val="16"/>
                <w:lang w:val="es-CO"/>
              </w:rPr>
            </w:pPr>
          </w:p>
        </w:tc>
      </w:tr>
      <w:tr w:rsidR="007701BE" w:rsidRPr="00B54567" w14:paraId="0B51C38A" w14:textId="77777777" w:rsidTr="00874B2D">
        <w:tc>
          <w:tcPr>
            <w:tcW w:w="2110" w:type="dxa"/>
            <w:shd w:val="clear" w:color="auto" w:fill="auto"/>
          </w:tcPr>
          <w:p w14:paraId="03B47875" w14:textId="77777777" w:rsidR="007701BE" w:rsidRPr="00B54567" w:rsidRDefault="007701BE" w:rsidP="00874B2D">
            <w:pPr>
              <w:rPr>
                <w:rFonts w:eastAsia="Calibri"/>
                <w:b/>
                <w:sz w:val="16"/>
                <w:szCs w:val="16"/>
                <w:lang w:val="es-CO"/>
              </w:rPr>
            </w:pPr>
            <w:r w:rsidRPr="00B54567">
              <w:rPr>
                <w:rFonts w:eastAsia="Calibri"/>
                <w:b/>
                <w:sz w:val="16"/>
                <w:szCs w:val="16"/>
                <w:lang w:val="es-CO"/>
              </w:rPr>
              <w:t>FUNCIONAMIENTO</w:t>
            </w:r>
          </w:p>
        </w:tc>
        <w:tc>
          <w:tcPr>
            <w:tcW w:w="1025" w:type="dxa"/>
            <w:shd w:val="clear" w:color="auto" w:fill="auto"/>
          </w:tcPr>
          <w:p w14:paraId="3D7DDA46" w14:textId="77777777" w:rsidR="007701BE" w:rsidRPr="00B54567" w:rsidRDefault="007701BE" w:rsidP="00874B2D">
            <w:pPr>
              <w:jc w:val="right"/>
              <w:rPr>
                <w:rFonts w:eastAsia="Calibri"/>
                <w:sz w:val="16"/>
                <w:szCs w:val="16"/>
                <w:lang w:val="es-CO"/>
              </w:rPr>
            </w:pPr>
            <w:r>
              <w:rPr>
                <w:rFonts w:eastAsia="Calibri"/>
                <w:sz w:val="16"/>
                <w:szCs w:val="16"/>
                <w:lang w:val="es-CO"/>
              </w:rPr>
              <w:t>1.373.560</w:t>
            </w:r>
          </w:p>
        </w:tc>
        <w:tc>
          <w:tcPr>
            <w:tcW w:w="1345" w:type="dxa"/>
            <w:shd w:val="clear" w:color="auto" w:fill="auto"/>
          </w:tcPr>
          <w:p w14:paraId="202B8AFF" w14:textId="77777777" w:rsidR="007701BE" w:rsidRPr="00B54567" w:rsidRDefault="007701BE" w:rsidP="00874B2D">
            <w:pPr>
              <w:jc w:val="right"/>
              <w:rPr>
                <w:rFonts w:eastAsia="Calibri"/>
                <w:sz w:val="16"/>
                <w:szCs w:val="16"/>
                <w:lang w:val="es-CO"/>
              </w:rPr>
            </w:pPr>
            <w:r>
              <w:rPr>
                <w:rFonts w:eastAsia="Calibri"/>
                <w:sz w:val="16"/>
                <w:szCs w:val="16"/>
                <w:lang w:val="es-CO"/>
              </w:rPr>
              <w:t>1.361.865</w:t>
            </w:r>
          </w:p>
        </w:tc>
        <w:tc>
          <w:tcPr>
            <w:tcW w:w="1239" w:type="dxa"/>
            <w:shd w:val="clear" w:color="auto" w:fill="auto"/>
          </w:tcPr>
          <w:p w14:paraId="41800AC4" w14:textId="77777777" w:rsidR="007701BE" w:rsidRPr="00B54567" w:rsidRDefault="007701BE" w:rsidP="00874B2D">
            <w:pPr>
              <w:jc w:val="right"/>
              <w:rPr>
                <w:rFonts w:eastAsia="Calibri"/>
                <w:sz w:val="16"/>
                <w:szCs w:val="16"/>
                <w:lang w:val="es-CO"/>
              </w:rPr>
            </w:pPr>
            <w:r>
              <w:rPr>
                <w:rFonts w:eastAsia="Calibri"/>
                <w:sz w:val="16"/>
                <w:szCs w:val="16"/>
                <w:lang w:val="es-CO"/>
              </w:rPr>
              <w:t>1.067.441</w:t>
            </w:r>
          </w:p>
        </w:tc>
        <w:tc>
          <w:tcPr>
            <w:tcW w:w="1085" w:type="dxa"/>
            <w:shd w:val="clear" w:color="auto" w:fill="auto"/>
          </w:tcPr>
          <w:p w14:paraId="6829C888" w14:textId="77777777" w:rsidR="007701BE" w:rsidRPr="00B54567" w:rsidRDefault="007701BE" w:rsidP="00874B2D">
            <w:pPr>
              <w:jc w:val="right"/>
              <w:rPr>
                <w:rFonts w:eastAsia="Calibri"/>
                <w:sz w:val="16"/>
                <w:szCs w:val="16"/>
                <w:lang w:val="es-CO"/>
              </w:rPr>
            </w:pPr>
            <w:r>
              <w:rPr>
                <w:rFonts w:eastAsia="Calibri"/>
                <w:sz w:val="16"/>
                <w:szCs w:val="16"/>
                <w:lang w:val="es-CO"/>
              </w:rPr>
              <w:t>1.067.441</w:t>
            </w:r>
          </w:p>
        </w:tc>
        <w:tc>
          <w:tcPr>
            <w:tcW w:w="993" w:type="dxa"/>
            <w:shd w:val="clear" w:color="auto" w:fill="auto"/>
          </w:tcPr>
          <w:p w14:paraId="25FF069D" w14:textId="77777777" w:rsidR="007701BE" w:rsidRPr="00B54567" w:rsidRDefault="007701BE" w:rsidP="00874B2D">
            <w:pPr>
              <w:jc w:val="center"/>
              <w:rPr>
                <w:rFonts w:eastAsia="Calibri"/>
                <w:sz w:val="16"/>
                <w:szCs w:val="16"/>
                <w:lang w:val="es-CO"/>
              </w:rPr>
            </w:pPr>
            <w:r>
              <w:rPr>
                <w:rFonts w:eastAsia="Calibri"/>
                <w:sz w:val="16"/>
                <w:szCs w:val="16"/>
                <w:lang w:val="es-CO"/>
              </w:rPr>
              <w:t>99.15%</w:t>
            </w:r>
          </w:p>
        </w:tc>
        <w:tc>
          <w:tcPr>
            <w:tcW w:w="992" w:type="dxa"/>
            <w:shd w:val="clear" w:color="auto" w:fill="auto"/>
          </w:tcPr>
          <w:p w14:paraId="43AD7C84" w14:textId="77777777" w:rsidR="007701BE" w:rsidRPr="00B54567" w:rsidRDefault="007701BE" w:rsidP="00874B2D">
            <w:pPr>
              <w:jc w:val="center"/>
              <w:rPr>
                <w:rFonts w:eastAsia="Calibri"/>
                <w:sz w:val="16"/>
                <w:szCs w:val="16"/>
                <w:lang w:val="es-CO"/>
              </w:rPr>
            </w:pPr>
            <w:r>
              <w:rPr>
                <w:rFonts w:eastAsia="Calibri"/>
                <w:sz w:val="16"/>
                <w:szCs w:val="16"/>
                <w:lang w:val="es-CO"/>
              </w:rPr>
              <w:t>77.71%</w:t>
            </w:r>
          </w:p>
        </w:tc>
        <w:tc>
          <w:tcPr>
            <w:tcW w:w="1134" w:type="dxa"/>
            <w:shd w:val="clear" w:color="auto" w:fill="auto"/>
          </w:tcPr>
          <w:p w14:paraId="718EB8BB" w14:textId="77777777" w:rsidR="007701BE" w:rsidRPr="00B54567" w:rsidRDefault="007701BE" w:rsidP="00874B2D">
            <w:pPr>
              <w:jc w:val="center"/>
              <w:rPr>
                <w:rFonts w:eastAsia="Calibri"/>
                <w:sz w:val="16"/>
                <w:szCs w:val="16"/>
                <w:lang w:val="es-CO"/>
              </w:rPr>
            </w:pPr>
            <w:r>
              <w:rPr>
                <w:rFonts w:eastAsia="Calibri"/>
                <w:sz w:val="16"/>
                <w:szCs w:val="16"/>
                <w:lang w:val="es-CO"/>
              </w:rPr>
              <w:t>77.71%</w:t>
            </w:r>
          </w:p>
        </w:tc>
      </w:tr>
      <w:tr w:rsidR="007701BE" w:rsidRPr="00B54567" w14:paraId="647DDAC6" w14:textId="77777777" w:rsidTr="00874B2D">
        <w:tc>
          <w:tcPr>
            <w:tcW w:w="2110" w:type="dxa"/>
            <w:shd w:val="clear" w:color="auto" w:fill="auto"/>
          </w:tcPr>
          <w:p w14:paraId="5AC7444C" w14:textId="77777777" w:rsidR="007701BE" w:rsidRPr="00B54567" w:rsidRDefault="007701BE" w:rsidP="00874B2D">
            <w:pPr>
              <w:jc w:val="both"/>
              <w:rPr>
                <w:rFonts w:eastAsia="Calibri"/>
                <w:sz w:val="16"/>
                <w:szCs w:val="16"/>
                <w:lang w:val="es-CO"/>
              </w:rPr>
            </w:pPr>
            <w:r w:rsidRPr="00B54567">
              <w:rPr>
                <w:rFonts w:eastAsia="Calibri"/>
                <w:sz w:val="16"/>
                <w:szCs w:val="16"/>
                <w:lang w:val="es-CO"/>
              </w:rPr>
              <w:t>Gastos de personal</w:t>
            </w:r>
          </w:p>
        </w:tc>
        <w:tc>
          <w:tcPr>
            <w:tcW w:w="1025" w:type="dxa"/>
            <w:shd w:val="clear" w:color="auto" w:fill="auto"/>
          </w:tcPr>
          <w:p w14:paraId="2993F62C" w14:textId="77777777" w:rsidR="007701BE" w:rsidRPr="00B54567" w:rsidRDefault="007701BE" w:rsidP="00874B2D">
            <w:pPr>
              <w:jc w:val="right"/>
              <w:rPr>
                <w:rFonts w:eastAsia="Calibri"/>
                <w:sz w:val="16"/>
                <w:szCs w:val="16"/>
                <w:lang w:val="es-CO"/>
              </w:rPr>
            </w:pPr>
            <w:r>
              <w:rPr>
                <w:rFonts w:eastAsia="Calibri"/>
                <w:sz w:val="16"/>
                <w:szCs w:val="16"/>
                <w:lang w:val="es-CO"/>
              </w:rPr>
              <w:t>29.248</w:t>
            </w:r>
          </w:p>
        </w:tc>
        <w:tc>
          <w:tcPr>
            <w:tcW w:w="1345" w:type="dxa"/>
            <w:shd w:val="clear" w:color="auto" w:fill="auto"/>
          </w:tcPr>
          <w:p w14:paraId="2C57B24E" w14:textId="77777777" w:rsidR="007701BE" w:rsidRPr="00B54567" w:rsidRDefault="007701BE" w:rsidP="00874B2D">
            <w:pPr>
              <w:jc w:val="right"/>
              <w:rPr>
                <w:rFonts w:eastAsia="Calibri"/>
                <w:sz w:val="16"/>
                <w:szCs w:val="16"/>
                <w:lang w:val="es-CO"/>
              </w:rPr>
            </w:pPr>
            <w:r>
              <w:rPr>
                <w:rFonts w:eastAsia="Calibri"/>
                <w:sz w:val="16"/>
                <w:szCs w:val="16"/>
                <w:lang w:val="es-CO"/>
              </w:rPr>
              <w:t>26.399</w:t>
            </w:r>
          </w:p>
        </w:tc>
        <w:tc>
          <w:tcPr>
            <w:tcW w:w="1239" w:type="dxa"/>
            <w:shd w:val="clear" w:color="auto" w:fill="auto"/>
          </w:tcPr>
          <w:p w14:paraId="3B601647" w14:textId="77777777" w:rsidR="007701BE" w:rsidRPr="00B54567" w:rsidRDefault="007701BE" w:rsidP="00874B2D">
            <w:pPr>
              <w:jc w:val="right"/>
              <w:rPr>
                <w:rFonts w:eastAsia="Calibri"/>
                <w:sz w:val="16"/>
                <w:szCs w:val="16"/>
                <w:lang w:val="es-CO"/>
              </w:rPr>
            </w:pPr>
            <w:r>
              <w:rPr>
                <w:rFonts w:eastAsia="Calibri"/>
                <w:sz w:val="16"/>
                <w:szCs w:val="16"/>
                <w:lang w:val="es-CO"/>
              </w:rPr>
              <w:t>26.399</w:t>
            </w:r>
          </w:p>
        </w:tc>
        <w:tc>
          <w:tcPr>
            <w:tcW w:w="1085" w:type="dxa"/>
            <w:shd w:val="clear" w:color="auto" w:fill="auto"/>
          </w:tcPr>
          <w:p w14:paraId="7043879E" w14:textId="77777777" w:rsidR="007701BE" w:rsidRPr="00B54567" w:rsidRDefault="007701BE" w:rsidP="00874B2D">
            <w:pPr>
              <w:jc w:val="right"/>
              <w:rPr>
                <w:rFonts w:eastAsia="Calibri"/>
                <w:sz w:val="16"/>
                <w:szCs w:val="16"/>
                <w:lang w:val="es-CO"/>
              </w:rPr>
            </w:pPr>
            <w:r>
              <w:rPr>
                <w:rFonts w:eastAsia="Calibri"/>
                <w:sz w:val="16"/>
                <w:szCs w:val="16"/>
                <w:lang w:val="es-CO"/>
              </w:rPr>
              <w:t>26.399</w:t>
            </w:r>
          </w:p>
        </w:tc>
        <w:tc>
          <w:tcPr>
            <w:tcW w:w="993" w:type="dxa"/>
            <w:shd w:val="clear" w:color="auto" w:fill="auto"/>
          </w:tcPr>
          <w:p w14:paraId="69B6B2D4" w14:textId="77777777" w:rsidR="007701BE" w:rsidRPr="00B54567" w:rsidRDefault="007701BE" w:rsidP="00874B2D">
            <w:pPr>
              <w:jc w:val="center"/>
              <w:rPr>
                <w:rFonts w:eastAsia="Calibri"/>
                <w:sz w:val="16"/>
                <w:szCs w:val="16"/>
                <w:lang w:val="es-CO"/>
              </w:rPr>
            </w:pPr>
            <w:r>
              <w:rPr>
                <w:rFonts w:eastAsia="Calibri"/>
                <w:sz w:val="16"/>
                <w:szCs w:val="16"/>
                <w:lang w:val="es-CO"/>
              </w:rPr>
              <w:t>90.26%</w:t>
            </w:r>
          </w:p>
        </w:tc>
        <w:tc>
          <w:tcPr>
            <w:tcW w:w="992" w:type="dxa"/>
            <w:shd w:val="clear" w:color="auto" w:fill="auto"/>
          </w:tcPr>
          <w:p w14:paraId="20F767BA" w14:textId="77777777" w:rsidR="007701BE" w:rsidRPr="00B54567" w:rsidRDefault="007701BE" w:rsidP="00874B2D">
            <w:pPr>
              <w:jc w:val="center"/>
              <w:rPr>
                <w:rFonts w:eastAsia="Calibri"/>
                <w:sz w:val="16"/>
                <w:szCs w:val="16"/>
                <w:lang w:val="es-CO"/>
              </w:rPr>
            </w:pPr>
            <w:r>
              <w:rPr>
                <w:rFonts w:eastAsia="Calibri"/>
                <w:sz w:val="16"/>
                <w:szCs w:val="16"/>
                <w:lang w:val="es-CO"/>
              </w:rPr>
              <w:t>90.26%</w:t>
            </w:r>
          </w:p>
        </w:tc>
        <w:tc>
          <w:tcPr>
            <w:tcW w:w="1134" w:type="dxa"/>
            <w:shd w:val="clear" w:color="auto" w:fill="auto"/>
          </w:tcPr>
          <w:p w14:paraId="4E5315F3" w14:textId="77777777" w:rsidR="007701BE" w:rsidRPr="00B54567" w:rsidRDefault="007701BE" w:rsidP="00874B2D">
            <w:pPr>
              <w:jc w:val="center"/>
              <w:rPr>
                <w:rFonts w:eastAsia="Calibri"/>
                <w:sz w:val="16"/>
                <w:szCs w:val="16"/>
                <w:lang w:val="es-CO"/>
              </w:rPr>
            </w:pPr>
            <w:r>
              <w:rPr>
                <w:rFonts w:eastAsia="Calibri"/>
                <w:sz w:val="16"/>
                <w:szCs w:val="16"/>
                <w:lang w:val="es-CO"/>
              </w:rPr>
              <w:t>90.26%</w:t>
            </w:r>
          </w:p>
        </w:tc>
      </w:tr>
      <w:tr w:rsidR="007701BE" w:rsidRPr="00B54567" w14:paraId="07EECAB9" w14:textId="77777777" w:rsidTr="00874B2D">
        <w:tc>
          <w:tcPr>
            <w:tcW w:w="2110" w:type="dxa"/>
            <w:shd w:val="clear" w:color="auto" w:fill="auto"/>
          </w:tcPr>
          <w:p w14:paraId="4B3ED36B" w14:textId="77777777" w:rsidR="007701BE" w:rsidRPr="00B54567" w:rsidRDefault="007701BE" w:rsidP="00874B2D">
            <w:pPr>
              <w:jc w:val="both"/>
              <w:rPr>
                <w:rFonts w:eastAsia="Calibri"/>
                <w:sz w:val="16"/>
                <w:szCs w:val="16"/>
                <w:lang w:val="es-CO"/>
              </w:rPr>
            </w:pPr>
            <w:r w:rsidRPr="00B54567">
              <w:rPr>
                <w:rFonts w:eastAsia="Calibri"/>
                <w:sz w:val="16"/>
                <w:szCs w:val="16"/>
                <w:lang w:val="es-CO"/>
              </w:rPr>
              <w:t>Adquisición de bienes y servicios</w:t>
            </w:r>
          </w:p>
        </w:tc>
        <w:tc>
          <w:tcPr>
            <w:tcW w:w="1025" w:type="dxa"/>
            <w:shd w:val="clear" w:color="auto" w:fill="auto"/>
          </w:tcPr>
          <w:p w14:paraId="44418284" w14:textId="77777777" w:rsidR="007701BE" w:rsidRPr="00B54567" w:rsidRDefault="007701BE" w:rsidP="00874B2D">
            <w:pPr>
              <w:jc w:val="right"/>
              <w:rPr>
                <w:rFonts w:eastAsia="Calibri"/>
                <w:sz w:val="16"/>
                <w:szCs w:val="16"/>
                <w:lang w:val="es-CO"/>
              </w:rPr>
            </w:pPr>
            <w:r>
              <w:rPr>
                <w:rFonts w:eastAsia="Calibri"/>
                <w:sz w:val="16"/>
                <w:szCs w:val="16"/>
                <w:lang w:val="es-CO"/>
              </w:rPr>
              <w:t>122.056</w:t>
            </w:r>
          </w:p>
        </w:tc>
        <w:tc>
          <w:tcPr>
            <w:tcW w:w="1345" w:type="dxa"/>
            <w:shd w:val="clear" w:color="auto" w:fill="auto"/>
          </w:tcPr>
          <w:p w14:paraId="2038E935" w14:textId="77777777" w:rsidR="007701BE" w:rsidRPr="00B54567" w:rsidRDefault="007701BE" w:rsidP="00874B2D">
            <w:pPr>
              <w:jc w:val="right"/>
              <w:rPr>
                <w:rFonts w:eastAsia="Calibri"/>
                <w:sz w:val="16"/>
                <w:szCs w:val="16"/>
                <w:lang w:val="es-CO"/>
              </w:rPr>
            </w:pPr>
            <w:r>
              <w:rPr>
                <w:rFonts w:eastAsia="Calibri"/>
                <w:sz w:val="16"/>
                <w:szCs w:val="16"/>
                <w:lang w:val="es-CO"/>
              </w:rPr>
              <w:t>113.504</w:t>
            </w:r>
          </w:p>
        </w:tc>
        <w:tc>
          <w:tcPr>
            <w:tcW w:w="1239" w:type="dxa"/>
            <w:shd w:val="clear" w:color="auto" w:fill="auto"/>
          </w:tcPr>
          <w:p w14:paraId="42575545" w14:textId="77777777" w:rsidR="007701BE" w:rsidRPr="00B54567" w:rsidRDefault="007701BE" w:rsidP="00874B2D">
            <w:pPr>
              <w:jc w:val="right"/>
              <w:rPr>
                <w:rFonts w:eastAsia="Calibri"/>
                <w:sz w:val="16"/>
                <w:szCs w:val="16"/>
                <w:lang w:val="es-CO"/>
              </w:rPr>
            </w:pPr>
            <w:r>
              <w:rPr>
                <w:rFonts w:eastAsia="Calibri"/>
                <w:sz w:val="16"/>
                <w:szCs w:val="16"/>
                <w:lang w:val="es-CO"/>
              </w:rPr>
              <w:t>79.550</w:t>
            </w:r>
          </w:p>
        </w:tc>
        <w:tc>
          <w:tcPr>
            <w:tcW w:w="1085" w:type="dxa"/>
            <w:shd w:val="clear" w:color="auto" w:fill="auto"/>
          </w:tcPr>
          <w:p w14:paraId="2B6F08B1" w14:textId="77777777" w:rsidR="007701BE" w:rsidRPr="00B54567" w:rsidRDefault="007701BE" w:rsidP="00874B2D">
            <w:pPr>
              <w:jc w:val="right"/>
              <w:rPr>
                <w:rFonts w:eastAsia="Calibri"/>
                <w:sz w:val="16"/>
                <w:szCs w:val="16"/>
                <w:lang w:val="es-CO"/>
              </w:rPr>
            </w:pPr>
            <w:r>
              <w:rPr>
                <w:rFonts w:eastAsia="Calibri"/>
                <w:sz w:val="16"/>
                <w:szCs w:val="16"/>
                <w:lang w:val="es-CO"/>
              </w:rPr>
              <w:t>79.550</w:t>
            </w:r>
          </w:p>
        </w:tc>
        <w:tc>
          <w:tcPr>
            <w:tcW w:w="993" w:type="dxa"/>
            <w:shd w:val="clear" w:color="auto" w:fill="auto"/>
          </w:tcPr>
          <w:p w14:paraId="5DAD32DC" w14:textId="77777777" w:rsidR="007701BE" w:rsidRPr="00B54567" w:rsidRDefault="007701BE" w:rsidP="00874B2D">
            <w:pPr>
              <w:jc w:val="center"/>
              <w:rPr>
                <w:rFonts w:eastAsia="Calibri"/>
                <w:sz w:val="16"/>
                <w:szCs w:val="16"/>
                <w:lang w:val="es-CO"/>
              </w:rPr>
            </w:pPr>
            <w:r>
              <w:rPr>
                <w:rFonts w:eastAsia="Calibri"/>
                <w:sz w:val="16"/>
                <w:szCs w:val="16"/>
                <w:lang w:val="es-CO"/>
              </w:rPr>
              <w:t>92.99%</w:t>
            </w:r>
          </w:p>
        </w:tc>
        <w:tc>
          <w:tcPr>
            <w:tcW w:w="992" w:type="dxa"/>
            <w:shd w:val="clear" w:color="auto" w:fill="auto"/>
          </w:tcPr>
          <w:p w14:paraId="5885037A" w14:textId="77777777" w:rsidR="007701BE" w:rsidRPr="00B54567" w:rsidRDefault="007701BE" w:rsidP="00874B2D">
            <w:pPr>
              <w:jc w:val="center"/>
              <w:rPr>
                <w:rFonts w:eastAsia="Calibri"/>
                <w:sz w:val="16"/>
                <w:szCs w:val="16"/>
                <w:lang w:val="es-CO"/>
              </w:rPr>
            </w:pPr>
            <w:r>
              <w:rPr>
                <w:rFonts w:eastAsia="Calibri"/>
                <w:sz w:val="16"/>
                <w:szCs w:val="16"/>
                <w:lang w:val="es-CO"/>
              </w:rPr>
              <w:t>65.18%</w:t>
            </w:r>
          </w:p>
        </w:tc>
        <w:tc>
          <w:tcPr>
            <w:tcW w:w="1134" w:type="dxa"/>
            <w:shd w:val="clear" w:color="auto" w:fill="auto"/>
          </w:tcPr>
          <w:p w14:paraId="01E34C32" w14:textId="77777777" w:rsidR="007701BE" w:rsidRPr="00B54567" w:rsidRDefault="007701BE" w:rsidP="00874B2D">
            <w:pPr>
              <w:jc w:val="center"/>
              <w:rPr>
                <w:rFonts w:eastAsia="Calibri"/>
                <w:sz w:val="16"/>
                <w:szCs w:val="16"/>
                <w:lang w:val="es-CO"/>
              </w:rPr>
            </w:pPr>
            <w:r>
              <w:rPr>
                <w:rFonts w:eastAsia="Calibri"/>
                <w:sz w:val="16"/>
                <w:szCs w:val="16"/>
                <w:lang w:val="es-CO"/>
              </w:rPr>
              <w:t>65.18%</w:t>
            </w:r>
          </w:p>
        </w:tc>
      </w:tr>
      <w:tr w:rsidR="007701BE" w:rsidRPr="00B54567" w14:paraId="0DB95917" w14:textId="77777777" w:rsidTr="00874B2D">
        <w:tc>
          <w:tcPr>
            <w:tcW w:w="2110" w:type="dxa"/>
            <w:shd w:val="clear" w:color="auto" w:fill="auto"/>
          </w:tcPr>
          <w:p w14:paraId="6EE3C34B" w14:textId="77777777" w:rsidR="007701BE" w:rsidRPr="00B54567" w:rsidRDefault="007701BE" w:rsidP="00874B2D">
            <w:pPr>
              <w:jc w:val="both"/>
              <w:rPr>
                <w:rFonts w:eastAsia="Calibri"/>
                <w:sz w:val="16"/>
                <w:szCs w:val="16"/>
                <w:lang w:val="es-CO"/>
              </w:rPr>
            </w:pPr>
            <w:r w:rsidRPr="00B54567">
              <w:rPr>
                <w:rFonts w:eastAsia="Calibri"/>
                <w:sz w:val="16"/>
                <w:szCs w:val="16"/>
                <w:lang w:val="es-CO"/>
              </w:rPr>
              <w:t>Transferencias</w:t>
            </w:r>
          </w:p>
        </w:tc>
        <w:tc>
          <w:tcPr>
            <w:tcW w:w="1025" w:type="dxa"/>
            <w:shd w:val="clear" w:color="auto" w:fill="auto"/>
          </w:tcPr>
          <w:p w14:paraId="32C80BE6" w14:textId="77777777" w:rsidR="007701BE" w:rsidRPr="00B54567" w:rsidRDefault="007701BE" w:rsidP="00874B2D">
            <w:pPr>
              <w:jc w:val="right"/>
              <w:rPr>
                <w:rFonts w:eastAsia="Calibri"/>
                <w:sz w:val="16"/>
                <w:szCs w:val="16"/>
                <w:lang w:val="es-CO"/>
              </w:rPr>
            </w:pPr>
            <w:r>
              <w:rPr>
                <w:rFonts w:eastAsia="Calibri"/>
                <w:sz w:val="16"/>
                <w:szCs w:val="16"/>
                <w:lang w:val="es-CO"/>
              </w:rPr>
              <w:t>1.1218.584</w:t>
            </w:r>
          </w:p>
        </w:tc>
        <w:tc>
          <w:tcPr>
            <w:tcW w:w="1345" w:type="dxa"/>
            <w:shd w:val="clear" w:color="auto" w:fill="auto"/>
          </w:tcPr>
          <w:p w14:paraId="3F7D4441" w14:textId="77777777" w:rsidR="007701BE" w:rsidRPr="00B54567" w:rsidRDefault="007701BE" w:rsidP="00874B2D">
            <w:pPr>
              <w:jc w:val="right"/>
              <w:rPr>
                <w:rFonts w:eastAsia="Calibri"/>
                <w:sz w:val="16"/>
                <w:szCs w:val="16"/>
                <w:lang w:val="es-CO"/>
              </w:rPr>
            </w:pPr>
            <w:r>
              <w:rPr>
                <w:rFonts w:eastAsia="Calibri"/>
                <w:sz w:val="16"/>
                <w:szCs w:val="16"/>
                <w:lang w:val="es-CO"/>
              </w:rPr>
              <w:t>1.218.487</w:t>
            </w:r>
          </w:p>
        </w:tc>
        <w:tc>
          <w:tcPr>
            <w:tcW w:w="1239" w:type="dxa"/>
            <w:shd w:val="clear" w:color="auto" w:fill="auto"/>
          </w:tcPr>
          <w:p w14:paraId="43B05950" w14:textId="77777777" w:rsidR="007701BE" w:rsidRPr="00B54567" w:rsidRDefault="007701BE" w:rsidP="00874B2D">
            <w:pPr>
              <w:jc w:val="right"/>
              <w:rPr>
                <w:rFonts w:eastAsia="Calibri"/>
                <w:sz w:val="16"/>
                <w:szCs w:val="16"/>
                <w:lang w:val="es-CO"/>
              </w:rPr>
            </w:pPr>
            <w:r>
              <w:rPr>
                <w:rFonts w:eastAsia="Calibri"/>
                <w:sz w:val="16"/>
                <w:szCs w:val="16"/>
                <w:lang w:val="es-CO"/>
              </w:rPr>
              <w:t>958.017</w:t>
            </w:r>
          </w:p>
        </w:tc>
        <w:tc>
          <w:tcPr>
            <w:tcW w:w="1085" w:type="dxa"/>
            <w:shd w:val="clear" w:color="auto" w:fill="auto"/>
          </w:tcPr>
          <w:p w14:paraId="5F5F3AE3" w14:textId="77777777" w:rsidR="007701BE" w:rsidRPr="00B54567" w:rsidRDefault="007701BE" w:rsidP="00874B2D">
            <w:pPr>
              <w:jc w:val="right"/>
              <w:rPr>
                <w:rFonts w:eastAsia="Calibri"/>
                <w:sz w:val="16"/>
                <w:szCs w:val="16"/>
                <w:lang w:val="es-CO"/>
              </w:rPr>
            </w:pPr>
            <w:r>
              <w:rPr>
                <w:rFonts w:eastAsia="Calibri"/>
                <w:sz w:val="16"/>
                <w:szCs w:val="16"/>
                <w:lang w:val="es-CO"/>
              </w:rPr>
              <w:t>958.017</w:t>
            </w:r>
          </w:p>
        </w:tc>
        <w:tc>
          <w:tcPr>
            <w:tcW w:w="993" w:type="dxa"/>
            <w:shd w:val="clear" w:color="auto" w:fill="auto"/>
          </w:tcPr>
          <w:p w14:paraId="6362F4B9" w14:textId="77777777" w:rsidR="007701BE" w:rsidRPr="00B54567" w:rsidRDefault="007701BE" w:rsidP="00874B2D">
            <w:pPr>
              <w:jc w:val="center"/>
              <w:rPr>
                <w:rFonts w:eastAsia="Calibri"/>
                <w:sz w:val="16"/>
                <w:szCs w:val="16"/>
                <w:lang w:val="es-CO"/>
              </w:rPr>
            </w:pPr>
            <w:r>
              <w:rPr>
                <w:rFonts w:eastAsia="Calibri"/>
                <w:sz w:val="16"/>
                <w:szCs w:val="16"/>
                <w:lang w:val="es-CO"/>
              </w:rPr>
              <w:t>99.99%</w:t>
            </w:r>
          </w:p>
        </w:tc>
        <w:tc>
          <w:tcPr>
            <w:tcW w:w="992" w:type="dxa"/>
            <w:shd w:val="clear" w:color="auto" w:fill="auto"/>
          </w:tcPr>
          <w:p w14:paraId="66534A60" w14:textId="77777777" w:rsidR="007701BE" w:rsidRPr="00B54567" w:rsidRDefault="007701BE" w:rsidP="00874B2D">
            <w:pPr>
              <w:jc w:val="center"/>
              <w:rPr>
                <w:rFonts w:eastAsia="Calibri"/>
                <w:sz w:val="16"/>
                <w:szCs w:val="16"/>
                <w:lang w:val="es-CO"/>
              </w:rPr>
            </w:pPr>
            <w:r>
              <w:rPr>
                <w:rFonts w:eastAsia="Calibri"/>
                <w:sz w:val="16"/>
                <w:szCs w:val="16"/>
                <w:lang w:val="es-CO"/>
              </w:rPr>
              <w:t>78.62%</w:t>
            </w:r>
          </w:p>
        </w:tc>
        <w:tc>
          <w:tcPr>
            <w:tcW w:w="1134" w:type="dxa"/>
            <w:shd w:val="clear" w:color="auto" w:fill="auto"/>
          </w:tcPr>
          <w:p w14:paraId="245937AB" w14:textId="77777777" w:rsidR="007701BE" w:rsidRPr="00B54567" w:rsidRDefault="007701BE" w:rsidP="00874B2D">
            <w:pPr>
              <w:jc w:val="center"/>
              <w:rPr>
                <w:rFonts w:eastAsia="Calibri"/>
                <w:sz w:val="16"/>
                <w:szCs w:val="16"/>
                <w:lang w:val="es-CO"/>
              </w:rPr>
            </w:pPr>
            <w:r>
              <w:rPr>
                <w:rFonts w:eastAsia="Calibri"/>
                <w:sz w:val="16"/>
                <w:szCs w:val="16"/>
                <w:lang w:val="es-CO"/>
              </w:rPr>
              <w:t>78.62%</w:t>
            </w:r>
          </w:p>
        </w:tc>
      </w:tr>
      <w:tr w:rsidR="007701BE" w:rsidRPr="00B54567" w14:paraId="6F640058" w14:textId="77777777" w:rsidTr="00874B2D">
        <w:trPr>
          <w:trHeight w:val="355"/>
        </w:trPr>
        <w:tc>
          <w:tcPr>
            <w:tcW w:w="2110" w:type="dxa"/>
            <w:shd w:val="clear" w:color="auto" w:fill="auto"/>
          </w:tcPr>
          <w:p w14:paraId="1A9B8327" w14:textId="77777777" w:rsidR="007701BE" w:rsidRPr="00B54567" w:rsidRDefault="007701BE"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025" w:type="dxa"/>
            <w:shd w:val="clear" w:color="auto" w:fill="auto"/>
          </w:tcPr>
          <w:p w14:paraId="5B0320B2" w14:textId="77777777" w:rsidR="007701BE" w:rsidRPr="00B54567" w:rsidRDefault="007701BE" w:rsidP="00874B2D">
            <w:pPr>
              <w:jc w:val="right"/>
              <w:rPr>
                <w:rFonts w:eastAsia="Calibri"/>
                <w:sz w:val="16"/>
                <w:szCs w:val="16"/>
                <w:lang w:val="es-CO"/>
              </w:rPr>
            </w:pPr>
            <w:r>
              <w:rPr>
                <w:rFonts w:eastAsia="Calibri"/>
                <w:sz w:val="16"/>
                <w:szCs w:val="16"/>
                <w:lang w:val="es-CO"/>
              </w:rPr>
              <w:t>3.672</w:t>
            </w:r>
          </w:p>
        </w:tc>
        <w:tc>
          <w:tcPr>
            <w:tcW w:w="1345" w:type="dxa"/>
            <w:shd w:val="clear" w:color="auto" w:fill="auto"/>
          </w:tcPr>
          <w:p w14:paraId="220A28FA" w14:textId="77777777" w:rsidR="007701BE" w:rsidRPr="00B7010F" w:rsidRDefault="007701BE" w:rsidP="00874B2D">
            <w:pPr>
              <w:jc w:val="right"/>
              <w:rPr>
                <w:rFonts w:eastAsia="Calibri"/>
                <w:b/>
                <w:sz w:val="16"/>
                <w:szCs w:val="16"/>
                <w:lang w:val="es-CO"/>
              </w:rPr>
            </w:pPr>
            <w:r w:rsidRPr="00D96BF4">
              <w:rPr>
                <w:rFonts w:eastAsia="Calibri"/>
                <w:b/>
                <w:sz w:val="16"/>
                <w:szCs w:val="16"/>
                <w:highlight w:val="yellow"/>
                <w:lang w:val="es-CO"/>
              </w:rPr>
              <w:t>3.475</w:t>
            </w:r>
          </w:p>
        </w:tc>
        <w:tc>
          <w:tcPr>
            <w:tcW w:w="1239" w:type="dxa"/>
            <w:shd w:val="clear" w:color="auto" w:fill="auto"/>
          </w:tcPr>
          <w:p w14:paraId="7AD2D044" w14:textId="77777777" w:rsidR="007701BE" w:rsidRPr="00B54567" w:rsidRDefault="007701BE" w:rsidP="00874B2D">
            <w:pPr>
              <w:jc w:val="right"/>
              <w:rPr>
                <w:rFonts w:eastAsia="Calibri"/>
                <w:sz w:val="16"/>
                <w:szCs w:val="16"/>
                <w:lang w:val="es-CO"/>
              </w:rPr>
            </w:pPr>
            <w:r>
              <w:rPr>
                <w:rFonts w:eastAsia="Calibri"/>
                <w:sz w:val="16"/>
                <w:szCs w:val="16"/>
                <w:lang w:val="es-CO"/>
              </w:rPr>
              <w:t>3.475</w:t>
            </w:r>
          </w:p>
        </w:tc>
        <w:tc>
          <w:tcPr>
            <w:tcW w:w="1085" w:type="dxa"/>
            <w:shd w:val="clear" w:color="auto" w:fill="auto"/>
          </w:tcPr>
          <w:p w14:paraId="048CAB8E" w14:textId="77777777" w:rsidR="007701BE" w:rsidRPr="00B54567" w:rsidRDefault="007701BE" w:rsidP="00874B2D">
            <w:pPr>
              <w:jc w:val="right"/>
              <w:rPr>
                <w:rFonts w:eastAsia="Calibri"/>
                <w:sz w:val="16"/>
                <w:szCs w:val="16"/>
                <w:lang w:val="es-CO"/>
              </w:rPr>
            </w:pPr>
            <w:r>
              <w:rPr>
                <w:rFonts w:eastAsia="Calibri"/>
                <w:sz w:val="16"/>
                <w:szCs w:val="16"/>
                <w:lang w:val="es-CO"/>
              </w:rPr>
              <w:t>3.475</w:t>
            </w:r>
          </w:p>
        </w:tc>
        <w:tc>
          <w:tcPr>
            <w:tcW w:w="993" w:type="dxa"/>
            <w:shd w:val="clear" w:color="auto" w:fill="auto"/>
          </w:tcPr>
          <w:p w14:paraId="239E1AF6" w14:textId="77777777" w:rsidR="007701BE" w:rsidRPr="00B54567" w:rsidRDefault="007701BE" w:rsidP="00874B2D">
            <w:pPr>
              <w:jc w:val="center"/>
              <w:rPr>
                <w:rFonts w:eastAsia="Calibri"/>
                <w:sz w:val="16"/>
                <w:szCs w:val="16"/>
                <w:lang w:val="es-CO"/>
              </w:rPr>
            </w:pPr>
            <w:r>
              <w:rPr>
                <w:rFonts w:eastAsia="Calibri"/>
                <w:sz w:val="16"/>
                <w:szCs w:val="16"/>
                <w:lang w:val="es-CO"/>
              </w:rPr>
              <w:t>94.65%</w:t>
            </w:r>
          </w:p>
        </w:tc>
        <w:tc>
          <w:tcPr>
            <w:tcW w:w="992" w:type="dxa"/>
            <w:shd w:val="clear" w:color="auto" w:fill="auto"/>
          </w:tcPr>
          <w:p w14:paraId="037D27F0" w14:textId="77777777" w:rsidR="007701BE" w:rsidRPr="00B54567" w:rsidRDefault="007701BE" w:rsidP="00874B2D">
            <w:pPr>
              <w:jc w:val="center"/>
              <w:rPr>
                <w:rFonts w:eastAsia="Calibri"/>
                <w:sz w:val="16"/>
                <w:szCs w:val="16"/>
                <w:lang w:val="es-CO"/>
              </w:rPr>
            </w:pPr>
            <w:r>
              <w:rPr>
                <w:rFonts w:eastAsia="Calibri"/>
                <w:sz w:val="16"/>
                <w:szCs w:val="16"/>
                <w:lang w:val="es-CO"/>
              </w:rPr>
              <w:t>94.65%</w:t>
            </w:r>
          </w:p>
        </w:tc>
        <w:tc>
          <w:tcPr>
            <w:tcW w:w="1134" w:type="dxa"/>
            <w:shd w:val="clear" w:color="auto" w:fill="auto"/>
          </w:tcPr>
          <w:p w14:paraId="7371CA1F" w14:textId="77777777" w:rsidR="007701BE" w:rsidRPr="00B54567" w:rsidRDefault="007701BE" w:rsidP="00874B2D">
            <w:pPr>
              <w:jc w:val="center"/>
              <w:rPr>
                <w:rFonts w:eastAsia="Calibri"/>
                <w:sz w:val="16"/>
                <w:szCs w:val="16"/>
                <w:lang w:val="es-CO"/>
              </w:rPr>
            </w:pPr>
            <w:r>
              <w:rPr>
                <w:rFonts w:eastAsia="Calibri"/>
                <w:sz w:val="16"/>
                <w:szCs w:val="16"/>
                <w:lang w:val="es-CO"/>
              </w:rPr>
              <w:t>94.65%</w:t>
            </w:r>
          </w:p>
        </w:tc>
      </w:tr>
      <w:tr w:rsidR="007701BE" w:rsidRPr="00B54567" w14:paraId="5D406D8A" w14:textId="77777777" w:rsidTr="00874B2D">
        <w:tc>
          <w:tcPr>
            <w:tcW w:w="2110" w:type="dxa"/>
            <w:shd w:val="clear" w:color="auto" w:fill="auto"/>
          </w:tcPr>
          <w:p w14:paraId="6A6E1E30" w14:textId="77777777" w:rsidR="007701BE" w:rsidRPr="00B54567" w:rsidRDefault="007701BE" w:rsidP="00874B2D">
            <w:pPr>
              <w:rPr>
                <w:rFonts w:eastAsia="Calibri"/>
                <w:b/>
                <w:sz w:val="16"/>
                <w:szCs w:val="16"/>
                <w:lang w:val="es-CO"/>
              </w:rPr>
            </w:pPr>
            <w:r w:rsidRPr="00B54567">
              <w:rPr>
                <w:rFonts w:eastAsia="Calibri"/>
                <w:b/>
                <w:sz w:val="16"/>
                <w:szCs w:val="16"/>
                <w:lang w:val="es-CO"/>
              </w:rPr>
              <w:t>INVERSIÓN</w:t>
            </w:r>
          </w:p>
        </w:tc>
        <w:tc>
          <w:tcPr>
            <w:tcW w:w="1025" w:type="dxa"/>
            <w:shd w:val="clear" w:color="auto" w:fill="auto"/>
          </w:tcPr>
          <w:p w14:paraId="1D88F8C6" w14:textId="77777777" w:rsidR="007701BE" w:rsidRPr="00B54567" w:rsidRDefault="007701BE" w:rsidP="00874B2D">
            <w:pPr>
              <w:jc w:val="right"/>
              <w:rPr>
                <w:rFonts w:eastAsia="Calibri"/>
                <w:sz w:val="16"/>
                <w:szCs w:val="16"/>
                <w:lang w:val="es-CO"/>
              </w:rPr>
            </w:pPr>
            <w:r>
              <w:rPr>
                <w:rFonts w:eastAsia="Calibri"/>
                <w:sz w:val="16"/>
                <w:szCs w:val="16"/>
                <w:lang w:val="es-CO"/>
              </w:rPr>
              <w:t>498.919</w:t>
            </w:r>
          </w:p>
        </w:tc>
        <w:tc>
          <w:tcPr>
            <w:tcW w:w="1345" w:type="dxa"/>
            <w:shd w:val="clear" w:color="auto" w:fill="auto"/>
          </w:tcPr>
          <w:p w14:paraId="2ABC7589" w14:textId="77777777" w:rsidR="007701BE" w:rsidRPr="00B54567" w:rsidRDefault="007701BE" w:rsidP="00874B2D">
            <w:pPr>
              <w:jc w:val="right"/>
              <w:rPr>
                <w:rFonts w:eastAsia="Calibri"/>
                <w:sz w:val="16"/>
                <w:szCs w:val="16"/>
                <w:lang w:val="es-CO"/>
              </w:rPr>
            </w:pPr>
            <w:r>
              <w:rPr>
                <w:rFonts w:eastAsia="Calibri"/>
                <w:sz w:val="16"/>
                <w:szCs w:val="16"/>
                <w:lang w:val="es-CO"/>
              </w:rPr>
              <w:t>472.343</w:t>
            </w:r>
          </w:p>
        </w:tc>
        <w:tc>
          <w:tcPr>
            <w:tcW w:w="1239" w:type="dxa"/>
            <w:shd w:val="clear" w:color="auto" w:fill="auto"/>
          </w:tcPr>
          <w:p w14:paraId="1AF5C5B0" w14:textId="77777777" w:rsidR="007701BE" w:rsidRPr="00B54567" w:rsidRDefault="007701BE" w:rsidP="00874B2D">
            <w:pPr>
              <w:jc w:val="right"/>
              <w:rPr>
                <w:rFonts w:eastAsia="Calibri"/>
                <w:sz w:val="16"/>
                <w:szCs w:val="16"/>
                <w:lang w:val="es-CO"/>
              </w:rPr>
            </w:pPr>
            <w:r>
              <w:rPr>
                <w:rFonts w:eastAsia="Calibri"/>
                <w:sz w:val="16"/>
                <w:szCs w:val="16"/>
                <w:lang w:val="es-CO"/>
              </w:rPr>
              <w:t>103.029</w:t>
            </w:r>
          </w:p>
        </w:tc>
        <w:tc>
          <w:tcPr>
            <w:tcW w:w="1085" w:type="dxa"/>
            <w:shd w:val="clear" w:color="auto" w:fill="auto"/>
          </w:tcPr>
          <w:p w14:paraId="61ADBE43" w14:textId="77777777" w:rsidR="007701BE" w:rsidRPr="00B54567" w:rsidRDefault="007701BE" w:rsidP="00874B2D">
            <w:pPr>
              <w:jc w:val="right"/>
              <w:rPr>
                <w:rFonts w:eastAsia="Calibri"/>
                <w:sz w:val="16"/>
                <w:szCs w:val="16"/>
                <w:lang w:val="es-CO"/>
              </w:rPr>
            </w:pPr>
            <w:r>
              <w:rPr>
                <w:rFonts w:eastAsia="Calibri"/>
                <w:sz w:val="16"/>
                <w:szCs w:val="16"/>
                <w:lang w:val="es-CO"/>
              </w:rPr>
              <w:t>103.029</w:t>
            </w:r>
          </w:p>
        </w:tc>
        <w:tc>
          <w:tcPr>
            <w:tcW w:w="993" w:type="dxa"/>
            <w:shd w:val="clear" w:color="auto" w:fill="auto"/>
          </w:tcPr>
          <w:p w14:paraId="6168FB8F" w14:textId="77777777" w:rsidR="007701BE" w:rsidRPr="00B54567" w:rsidRDefault="007701BE" w:rsidP="00874B2D">
            <w:pPr>
              <w:jc w:val="center"/>
              <w:rPr>
                <w:rFonts w:eastAsia="Calibri"/>
                <w:sz w:val="16"/>
                <w:szCs w:val="16"/>
                <w:lang w:val="es-CO"/>
              </w:rPr>
            </w:pPr>
            <w:r>
              <w:rPr>
                <w:rFonts w:eastAsia="Calibri"/>
                <w:sz w:val="16"/>
                <w:szCs w:val="16"/>
                <w:lang w:val="es-CO"/>
              </w:rPr>
              <w:t>94.67%</w:t>
            </w:r>
          </w:p>
        </w:tc>
        <w:tc>
          <w:tcPr>
            <w:tcW w:w="992" w:type="dxa"/>
            <w:shd w:val="clear" w:color="auto" w:fill="auto"/>
          </w:tcPr>
          <w:p w14:paraId="13879A62" w14:textId="77777777" w:rsidR="007701BE" w:rsidRPr="00B54567" w:rsidRDefault="007701BE" w:rsidP="00874B2D">
            <w:pPr>
              <w:jc w:val="center"/>
              <w:rPr>
                <w:rFonts w:eastAsia="Calibri"/>
                <w:sz w:val="16"/>
                <w:szCs w:val="16"/>
                <w:lang w:val="es-CO"/>
              </w:rPr>
            </w:pPr>
            <w:r>
              <w:rPr>
                <w:rFonts w:eastAsia="Calibri"/>
                <w:sz w:val="16"/>
                <w:szCs w:val="16"/>
                <w:lang w:val="es-CO"/>
              </w:rPr>
              <w:t>20.65%</w:t>
            </w:r>
          </w:p>
        </w:tc>
        <w:tc>
          <w:tcPr>
            <w:tcW w:w="1134" w:type="dxa"/>
            <w:shd w:val="clear" w:color="auto" w:fill="auto"/>
          </w:tcPr>
          <w:p w14:paraId="543A57A0" w14:textId="77777777" w:rsidR="007701BE" w:rsidRPr="00B54567" w:rsidRDefault="007701BE" w:rsidP="00874B2D">
            <w:pPr>
              <w:jc w:val="center"/>
              <w:rPr>
                <w:rFonts w:eastAsia="Calibri"/>
                <w:sz w:val="16"/>
                <w:szCs w:val="16"/>
                <w:lang w:val="es-CO"/>
              </w:rPr>
            </w:pPr>
            <w:r>
              <w:rPr>
                <w:rFonts w:eastAsia="Calibri"/>
                <w:sz w:val="16"/>
                <w:szCs w:val="16"/>
                <w:lang w:val="es-CO"/>
              </w:rPr>
              <w:t>20.65%</w:t>
            </w:r>
          </w:p>
        </w:tc>
      </w:tr>
      <w:tr w:rsidR="007701BE" w:rsidRPr="00B54567" w14:paraId="4C06DE1E" w14:textId="77777777" w:rsidTr="00874B2D">
        <w:tc>
          <w:tcPr>
            <w:tcW w:w="2110" w:type="dxa"/>
            <w:shd w:val="clear" w:color="auto" w:fill="auto"/>
          </w:tcPr>
          <w:p w14:paraId="0BB72DDD" w14:textId="77777777" w:rsidR="007701BE" w:rsidRPr="00B54567" w:rsidRDefault="007701BE" w:rsidP="00874B2D">
            <w:pPr>
              <w:jc w:val="center"/>
              <w:rPr>
                <w:rFonts w:eastAsia="Calibri"/>
                <w:b/>
                <w:sz w:val="16"/>
                <w:szCs w:val="16"/>
                <w:lang w:val="es-CO"/>
              </w:rPr>
            </w:pPr>
            <w:r w:rsidRPr="00B54567">
              <w:rPr>
                <w:rFonts w:eastAsia="Calibri"/>
                <w:b/>
                <w:sz w:val="16"/>
                <w:szCs w:val="16"/>
                <w:lang w:val="es-CO"/>
              </w:rPr>
              <w:t>TOTAL PRESUPUESTO</w:t>
            </w:r>
          </w:p>
        </w:tc>
        <w:tc>
          <w:tcPr>
            <w:tcW w:w="1025" w:type="dxa"/>
            <w:shd w:val="clear" w:color="auto" w:fill="auto"/>
          </w:tcPr>
          <w:p w14:paraId="0D672BE3" w14:textId="77777777" w:rsidR="007701BE" w:rsidRPr="00B54567" w:rsidRDefault="007701BE" w:rsidP="00874B2D">
            <w:pPr>
              <w:jc w:val="right"/>
              <w:rPr>
                <w:rFonts w:eastAsia="Calibri"/>
                <w:b/>
                <w:sz w:val="16"/>
                <w:szCs w:val="16"/>
                <w:lang w:val="es-CO"/>
              </w:rPr>
            </w:pPr>
            <w:r>
              <w:rPr>
                <w:rFonts w:eastAsia="Calibri"/>
                <w:b/>
                <w:sz w:val="16"/>
                <w:szCs w:val="16"/>
                <w:lang w:val="es-CO"/>
              </w:rPr>
              <w:t>1.872.479</w:t>
            </w:r>
          </w:p>
        </w:tc>
        <w:tc>
          <w:tcPr>
            <w:tcW w:w="1345" w:type="dxa"/>
            <w:shd w:val="clear" w:color="auto" w:fill="auto"/>
          </w:tcPr>
          <w:p w14:paraId="4A0B6A92" w14:textId="77777777" w:rsidR="007701BE" w:rsidRPr="00B54567" w:rsidRDefault="007701BE" w:rsidP="00874B2D">
            <w:pPr>
              <w:jc w:val="right"/>
              <w:rPr>
                <w:rFonts w:eastAsia="Calibri"/>
                <w:b/>
                <w:sz w:val="16"/>
                <w:szCs w:val="16"/>
                <w:lang w:val="es-CO"/>
              </w:rPr>
            </w:pPr>
            <w:r>
              <w:rPr>
                <w:rFonts w:eastAsia="Calibri"/>
                <w:b/>
                <w:sz w:val="16"/>
                <w:szCs w:val="16"/>
                <w:lang w:val="es-CO"/>
              </w:rPr>
              <w:t>1.834.208</w:t>
            </w:r>
          </w:p>
        </w:tc>
        <w:tc>
          <w:tcPr>
            <w:tcW w:w="1239" w:type="dxa"/>
            <w:shd w:val="clear" w:color="auto" w:fill="auto"/>
          </w:tcPr>
          <w:p w14:paraId="33044B57" w14:textId="77777777" w:rsidR="007701BE" w:rsidRPr="00B54567" w:rsidRDefault="007701BE" w:rsidP="00874B2D">
            <w:pPr>
              <w:jc w:val="right"/>
              <w:rPr>
                <w:rFonts w:eastAsia="Calibri"/>
                <w:b/>
                <w:sz w:val="16"/>
                <w:szCs w:val="16"/>
                <w:lang w:val="es-CO"/>
              </w:rPr>
            </w:pPr>
            <w:r>
              <w:rPr>
                <w:rFonts w:eastAsia="Calibri"/>
                <w:b/>
                <w:sz w:val="16"/>
                <w:szCs w:val="16"/>
                <w:lang w:val="es-CO"/>
              </w:rPr>
              <w:t>1.170.470</w:t>
            </w:r>
          </w:p>
        </w:tc>
        <w:tc>
          <w:tcPr>
            <w:tcW w:w="1085" w:type="dxa"/>
            <w:shd w:val="clear" w:color="auto" w:fill="auto"/>
          </w:tcPr>
          <w:p w14:paraId="46CB1C73" w14:textId="77777777" w:rsidR="007701BE" w:rsidRPr="00B54567" w:rsidRDefault="007701BE" w:rsidP="00874B2D">
            <w:pPr>
              <w:jc w:val="right"/>
              <w:rPr>
                <w:rFonts w:eastAsia="Calibri"/>
                <w:b/>
                <w:sz w:val="16"/>
                <w:szCs w:val="16"/>
                <w:lang w:val="es-CO"/>
              </w:rPr>
            </w:pPr>
            <w:r>
              <w:rPr>
                <w:rFonts w:eastAsia="Calibri"/>
                <w:b/>
                <w:sz w:val="16"/>
                <w:szCs w:val="16"/>
                <w:lang w:val="es-CO"/>
              </w:rPr>
              <w:t>1.170.470</w:t>
            </w:r>
          </w:p>
        </w:tc>
        <w:tc>
          <w:tcPr>
            <w:tcW w:w="993" w:type="dxa"/>
            <w:shd w:val="clear" w:color="auto" w:fill="auto"/>
          </w:tcPr>
          <w:p w14:paraId="790F4B6E" w14:textId="77777777" w:rsidR="007701BE" w:rsidRPr="00B54567" w:rsidRDefault="007701BE" w:rsidP="00874B2D">
            <w:pPr>
              <w:jc w:val="center"/>
              <w:rPr>
                <w:rFonts w:eastAsia="Calibri"/>
                <w:b/>
                <w:sz w:val="16"/>
                <w:szCs w:val="16"/>
                <w:u w:val="single"/>
                <w:lang w:val="es-CO"/>
              </w:rPr>
            </w:pPr>
            <w:r>
              <w:rPr>
                <w:rFonts w:eastAsia="Calibri"/>
                <w:b/>
                <w:sz w:val="16"/>
                <w:szCs w:val="16"/>
                <w:u w:val="single"/>
                <w:lang w:val="es-CO"/>
              </w:rPr>
              <w:t>97.96%</w:t>
            </w:r>
          </w:p>
        </w:tc>
        <w:tc>
          <w:tcPr>
            <w:tcW w:w="992" w:type="dxa"/>
            <w:shd w:val="clear" w:color="auto" w:fill="auto"/>
          </w:tcPr>
          <w:p w14:paraId="5ACDAB21" w14:textId="77777777" w:rsidR="007701BE" w:rsidRPr="00B54567" w:rsidRDefault="007701BE" w:rsidP="00874B2D">
            <w:pPr>
              <w:jc w:val="center"/>
              <w:rPr>
                <w:rFonts w:eastAsia="Calibri"/>
                <w:b/>
                <w:sz w:val="16"/>
                <w:szCs w:val="16"/>
                <w:u w:val="single"/>
                <w:lang w:val="es-CO"/>
              </w:rPr>
            </w:pPr>
            <w:r>
              <w:rPr>
                <w:rFonts w:eastAsia="Calibri"/>
                <w:b/>
                <w:sz w:val="16"/>
                <w:szCs w:val="16"/>
                <w:u w:val="single"/>
                <w:lang w:val="es-CO"/>
              </w:rPr>
              <w:t>62.51</w:t>
            </w:r>
            <w:r w:rsidRPr="00B54567">
              <w:rPr>
                <w:rFonts w:eastAsia="Calibri"/>
                <w:b/>
                <w:sz w:val="16"/>
                <w:szCs w:val="16"/>
                <w:u w:val="single"/>
                <w:lang w:val="es-CO"/>
              </w:rPr>
              <w:t>%</w:t>
            </w:r>
          </w:p>
        </w:tc>
        <w:tc>
          <w:tcPr>
            <w:tcW w:w="1134" w:type="dxa"/>
            <w:shd w:val="clear" w:color="auto" w:fill="auto"/>
          </w:tcPr>
          <w:p w14:paraId="1F2AE7AF" w14:textId="77777777" w:rsidR="007701BE" w:rsidRPr="00B54567" w:rsidRDefault="007701BE" w:rsidP="00874B2D">
            <w:pPr>
              <w:jc w:val="center"/>
              <w:rPr>
                <w:rFonts w:eastAsia="Calibri"/>
                <w:b/>
                <w:sz w:val="16"/>
                <w:szCs w:val="16"/>
                <w:u w:val="single"/>
                <w:lang w:val="es-CO"/>
              </w:rPr>
            </w:pPr>
            <w:r>
              <w:rPr>
                <w:rFonts w:eastAsia="Calibri"/>
                <w:b/>
                <w:sz w:val="16"/>
                <w:szCs w:val="16"/>
                <w:u w:val="single"/>
                <w:lang w:val="es-CO"/>
              </w:rPr>
              <w:t>62.51%</w:t>
            </w:r>
          </w:p>
        </w:tc>
      </w:tr>
    </w:tbl>
    <w:p w14:paraId="3E8411EB" w14:textId="77777777" w:rsidR="007701BE" w:rsidRDefault="007701BE" w:rsidP="007701BE">
      <w:pPr>
        <w:pStyle w:val="Prrafodelista"/>
        <w:ind w:left="0"/>
        <w:rPr>
          <w:b/>
          <w:sz w:val="24"/>
        </w:rPr>
      </w:pPr>
    </w:p>
    <w:p w14:paraId="6BB04939" w14:textId="77777777" w:rsidR="007701BE" w:rsidRPr="00B54567" w:rsidRDefault="007701BE" w:rsidP="007701BE">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64F5FC47" w14:textId="77777777" w:rsidR="007701BE" w:rsidRPr="00B54567" w:rsidRDefault="007701BE" w:rsidP="007701BE">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7701BE" w:rsidRPr="00B54567" w14:paraId="4FEF6446" w14:textId="77777777" w:rsidTr="00874B2D">
        <w:tc>
          <w:tcPr>
            <w:tcW w:w="4111" w:type="dxa"/>
          </w:tcPr>
          <w:p w14:paraId="4BDC1146" w14:textId="77777777" w:rsidR="007701BE" w:rsidRPr="00B54567" w:rsidRDefault="007701BE" w:rsidP="00874B2D">
            <w:pPr>
              <w:ind w:left="1169" w:right="-1440"/>
              <w:rPr>
                <w:b/>
                <w:sz w:val="18"/>
                <w:szCs w:val="18"/>
                <w:lang w:val="es-ES_tradnl"/>
              </w:rPr>
            </w:pPr>
            <w:r w:rsidRPr="00B54567">
              <w:rPr>
                <w:b/>
                <w:sz w:val="18"/>
                <w:szCs w:val="18"/>
                <w:lang w:val="es-ES_tradnl"/>
              </w:rPr>
              <w:t>TIPO DE GASTO</w:t>
            </w:r>
          </w:p>
        </w:tc>
        <w:tc>
          <w:tcPr>
            <w:tcW w:w="1843" w:type="dxa"/>
          </w:tcPr>
          <w:p w14:paraId="548F9055" w14:textId="77777777" w:rsidR="007701BE" w:rsidRPr="00B54567" w:rsidRDefault="007701BE" w:rsidP="00874B2D">
            <w:pPr>
              <w:jc w:val="center"/>
              <w:rPr>
                <w:b/>
                <w:sz w:val="18"/>
                <w:szCs w:val="18"/>
                <w:lang w:val="es-ES_tradnl"/>
              </w:rPr>
            </w:pPr>
            <w:r w:rsidRPr="00B54567">
              <w:rPr>
                <w:b/>
                <w:sz w:val="18"/>
                <w:szCs w:val="18"/>
                <w:lang w:val="es-ES_tradnl"/>
              </w:rPr>
              <w:t>APROPIACIÓN</w:t>
            </w:r>
          </w:p>
          <w:p w14:paraId="22A0E7EB" w14:textId="77777777" w:rsidR="007701BE" w:rsidRPr="00B54567" w:rsidRDefault="007701BE" w:rsidP="00874B2D">
            <w:pPr>
              <w:jc w:val="center"/>
              <w:rPr>
                <w:b/>
                <w:sz w:val="18"/>
                <w:szCs w:val="18"/>
                <w:lang w:val="es-ES_tradnl"/>
              </w:rPr>
            </w:pPr>
            <w:r w:rsidRPr="00B54567">
              <w:rPr>
                <w:b/>
                <w:sz w:val="18"/>
                <w:szCs w:val="18"/>
                <w:lang w:val="es-ES_tradnl"/>
              </w:rPr>
              <w:t>DEFINITIVA</w:t>
            </w:r>
          </w:p>
          <w:p w14:paraId="11EDF073" w14:textId="77777777" w:rsidR="007701BE" w:rsidRPr="00B54567" w:rsidRDefault="007701BE" w:rsidP="00874B2D">
            <w:pPr>
              <w:jc w:val="center"/>
              <w:rPr>
                <w:b/>
                <w:sz w:val="18"/>
                <w:szCs w:val="18"/>
                <w:lang w:val="es-ES_tradnl"/>
              </w:rPr>
            </w:pPr>
            <w:r w:rsidRPr="00B54567">
              <w:rPr>
                <w:b/>
                <w:sz w:val="18"/>
                <w:szCs w:val="18"/>
                <w:lang w:val="es-ES_tradnl"/>
              </w:rPr>
              <w:t>(1)</w:t>
            </w:r>
          </w:p>
          <w:p w14:paraId="702E2997" w14:textId="77777777" w:rsidR="007701BE" w:rsidRPr="00B54567" w:rsidRDefault="007701BE" w:rsidP="00874B2D">
            <w:pPr>
              <w:jc w:val="center"/>
              <w:rPr>
                <w:b/>
                <w:sz w:val="18"/>
                <w:szCs w:val="18"/>
                <w:lang w:val="es-ES_tradnl"/>
              </w:rPr>
            </w:pPr>
          </w:p>
        </w:tc>
        <w:tc>
          <w:tcPr>
            <w:tcW w:w="1984" w:type="dxa"/>
          </w:tcPr>
          <w:p w14:paraId="35FE8070" w14:textId="77777777" w:rsidR="007701BE" w:rsidRPr="00B54567" w:rsidRDefault="007701BE" w:rsidP="00874B2D">
            <w:pPr>
              <w:ind w:left="145" w:right="184"/>
              <w:jc w:val="center"/>
              <w:rPr>
                <w:b/>
                <w:sz w:val="18"/>
                <w:szCs w:val="18"/>
                <w:lang w:val="es-ES_tradnl"/>
              </w:rPr>
            </w:pPr>
            <w:r w:rsidRPr="00B54567">
              <w:rPr>
                <w:b/>
                <w:sz w:val="18"/>
                <w:szCs w:val="18"/>
                <w:lang w:val="es-ES_tradnl"/>
              </w:rPr>
              <w:t>EJECUCIÓN</w:t>
            </w:r>
          </w:p>
          <w:p w14:paraId="7F9228D1" w14:textId="77777777" w:rsidR="007701BE" w:rsidRPr="00B54567" w:rsidRDefault="007701BE" w:rsidP="00874B2D">
            <w:pPr>
              <w:ind w:right="34"/>
              <w:jc w:val="center"/>
              <w:rPr>
                <w:b/>
                <w:sz w:val="18"/>
                <w:szCs w:val="18"/>
                <w:lang w:val="es-ES_tradnl"/>
              </w:rPr>
            </w:pPr>
            <w:r w:rsidRPr="00B54567">
              <w:rPr>
                <w:b/>
                <w:sz w:val="18"/>
                <w:szCs w:val="18"/>
                <w:lang w:val="es-ES_tradnl"/>
              </w:rPr>
              <w:t>COMPROMISOS</w:t>
            </w:r>
          </w:p>
          <w:p w14:paraId="2534DBDA" w14:textId="77777777" w:rsidR="007701BE" w:rsidRPr="00B54567" w:rsidRDefault="007701BE" w:rsidP="00874B2D">
            <w:pPr>
              <w:ind w:right="34"/>
              <w:jc w:val="center"/>
              <w:rPr>
                <w:b/>
                <w:sz w:val="18"/>
                <w:szCs w:val="18"/>
                <w:lang w:val="es-ES_tradnl"/>
              </w:rPr>
            </w:pPr>
            <w:r w:rsidRPr="00B54567">
              <w:rPr>
                <w:b/>
                <w:sz w:val="18"/>
                <w:szCs w:val="18"/>
                <w:lang w:val="es-ES_tradnl"/>
              </w:rPr>
              <w:t>(2)</w:t>
            </w:r>
          </w:p>
        </w:tc>
        <w:tc>
          <w:tcPr>
            <w:tcW w:w="1985" w:type="dxa"/>
          </w:tcPr>
          <w:p w14:paraId="77E312D5" w14:textId="77777777" w:rsidR="007701BE" w:rsidRPr="00B54567" w:rsidRDefault="007701BE" w:rsidP="00874B2D">
            <w:pPr>
              <w:ind w:left="25" w:right="34"/>
              <w:jc w:val="center"/>
              <w:rPr>
                <w:b/>
                <w:sz w:val="18"/>
                <w:szCs w:val="18"/>
                <w:lang w:val="es-ES_tradnl"/>
              </w:rPr>
            </w:pPr>
            <w:r w:rsidRPr="00B54567">
              <w:rPr>
                <w:b/>
                <w:sz w:val="18"/>
                <w:szCs w:val="18"/>
                <w:lang w:val="es-ES_tradnl"/>
              </w:rPr>
              <w:t>PÉRDIDAS DE</w:t>
            </w:r>
          </w:p>
          <w:p w14:paraId="5D567102" w14:textId="77777777" w:rsidR="007701BE" w:rsidRPr="00B54567" w:rsidRDefault="007701BE" w:rsidP="00874B2D">
            <w:pPr>
              <w:ind w:right="34"/>
              <w:jc w:val="center"/>
              <w:rPr>
                <w:b/>
                <w:sz w:val="18"/>
                <w:szCs w:val="18"/>
                <w:lang w:val="es-ES_tradnl"/>
              </w:rPr>
            </w:pPr>
            <w:r w:rsidRPr="00B54567">
              <w:rPr>
                <w:b/>
                <w:sz w:val="18"/>
                <w:szCs w:val="18"/>
                <w:lang w:val="es-ES_tradnl"/>
              </w:rPr>
              <w:t>APROPIACIÓN</w:t>
            </w:r>
          </w:p>
          <w:p w14:paraId="583A4ED7" w14:textId="77777777" w:rsidR="007701BE" w:rsidRPr="00B54567" w:rsidRDefault="007701BE" w:rsidP="00874B2D">
            <w:pPr>
              <w:ind w:right="34"/>
              <w:jc w:val="center"/>
              <w:rPr>
                <w:b/>
                <w:sz w:val="18"/>
                <w:szCs w:val="18"/>
                <w:lang w:val="es-ES_tradnl"/>
              </w:rPr>
            </w:pPr>
            <w:r w:rsidRPr="00B54567">
              <w:rPr>
                <w:b/>
                <w:sz w:val="18"/>
                <w:szCs w:val="18"/>
                <w:lang w:val="es-ES_tradnl"/>
              </w:rPr>
              <w:t>3 = (1-2)</w:t>
            </w:r>
          </w:p>
        </w:tc>
      </w:tr>
      <w:tr w:rsidR="007701BE" w:rsidRPr="00B54567" w14:paraId="6B3E19A0" w14:textId="77777777" w:rsidTr="00874B2D">
        <w:tc>
          <w:tcPr>
            <w:tcW w:w="4111" w:type="dxa"/>
          </w:tcPr>
          <w:p w14:paraId="2DE6A6ED" w14:textId="77777777" w:rsidR="007701BE" w:rsidRPr="00B54567" w:rsidRDefault="007701BE" w:rsidP="00874B2D">
            <w:pPr>
              <w:ind w:right="-1440"/>
              <w:jc w:val="both"/>
              <w:rPr>
                <w:b/>
                <w:sz w:val="16"/>
                <w:szCs w:val="16"/>
                <w:lang w:val="es-ES_tradnl"/>
              </w:rPr>
            </w:pPr>
            <w:r w:rsidRPr="00B54567">
              <w:rPr>
                <w:b/>
                <w:sz w:val="16"/>
                <w:szCs w:val="16"/>
                <w:lang w:val="es-ES_tradnl"/>
              </w:rPr>
              <w:t>FUNCIONAMIENTO</w:t>
            </w:r>
          </w:p>
        </w:tc>
        <w:tc>
          <w:tcPr>
            <w:tcW w:w="1843" w:type="dxa"/>
            <w:shd w:val="clear" w:color="auto" w:fill="auto"/>
          </w:tcPr>
          <w:p w14:paraId="049E8F3E" w14:textId="77777777" w:rsidR="007701BE" w:rsidRPr="00B54567" w:rsidRDefault="007701BE" w:rsidP="00874B2D">
            <w:pPr>
              <w:jc w:val="right"/>
              <w:rPr>
                <w:rFonts w:eastAsia="Calibri"/>
                <w:sz w:val="16"/>
                <w:szCs w:val="16"/>
                <w:lang w:val="es-CO"/>
              </w:rPr>
            </w:pPr>
            <w:r>
              <w:rPr>
                <w:rFonts w:eastAsia="Calibri"/>
                <w:sz w:val="16"/>
                <w:szCs w:val="16"/>
                <w:lang w:val="es-CO"/>
              </w:rPr>
              <w:t>1.373.560</w:t>
            </w:r>
          </w:p>
        </w:tc>
        <w:tc>
          <w:tcPr>
            <w:tcW w:w="1984" w:type="dxa"/>
            <w:shd w:val="clear" w:color="auto" w:fill="auto"/>
          </w:tcPr>
          <w:p w14:paraId="51E9F964" w14:textId="77777777" w:rsidR="007701BE" w:rsidRPr="00B54567" w:rsidRDefault="007701BE" w:rsidP="00874B2D">
            <w:pPr>
              <w:jc w:val="right"/>
              <w:rPr>
                <w:rFonts w:eastAsia="Calibri"/>
                <w:sz w:val="16"/>
                <w:szCs w:val="16"/>
                <w:lang w:val="es-CO"/>
              </w:rPr>
            </w:pPr>
            <w:r>
              <w:rPr>
                <w:rFonts w:eastAsia="Calibri"/>
                <w:sz w:val="16"/>
                <w:szCs w:val="16"/>
                <w:lang w:val="es-CO"/>
              </w:rPr>
              <w:t>1.361.865</w:t>
            </w:r>
          </w:p>
        </w:tc>
        <w:tc>
          <w:tcPr>
            <w:tcW w:w="1985" w:type="dxa"/>
          </w:tcPr>
          <w:p w14:paraId="18115031" w14:textId="77777777" w:rsidR="007701BE" w:rsidRPr="00B54567" w:rsidRDefault="007701BE" w:rsidP="00874B2D">
            <w:pPr>
              <w:pStyle w:val="Prrafodelista"/>
              <w:ind w:left="0"/>
              <w:jc w:val="right"/>
              <w:rPr>
                <w:b/>
                <w:sz w:val="16"/>
                <w:szCs w:val="16"/>
              </w:rPr>
            </w:pPr>
            <w:r>
              <w:rPr>
                <w:b/>
                <w:sz w:val="16"/>
                <w:szCs w:val="16"/>
              </w:rPr>
              <w:t>7.846</w:t>
            </w:r>
          </w:p>
        </w:tc>
      </w:tr>
      <w:tr w:rsidR="007701BE" w:rsidRPr="00B54567" w14:paraId="1A5B99DF" w14:textId="77777777" w:rsidTr="00874B2D">
        <w:tc>
          <w:tcPr>
            <w:tcW w:w="4111" w:type="dxa"/>
          </w:tcPr>
          <w:p w14:paraId="486A074F" w14:textId="77777777" w:rsidR="007701BE" w:rsidRPr="00B54567" w:rsidRDefault="007701BE" w:rsidP="00874B2D">
            <w:pPr>
              <w:ind w:right="-1440"/>
              <w:jc w:val="both"/>
              <w:rPr>
                <w:sz w:val="16"/>
                <w:szCs w:val="16"/>
                <w:lang w:val="es-ES_tradnl"/>
              </w:rPr>
            </w:pPr>
            <w:r w:rsidRPr="00B54567">
              <w:rPr>
                <w:sz w:val="16"/>
                <w:szCs w:val="16"/>
                <w:lang w:val="es-ES_tradnl"/>
              </w:rPr>
              <w:t>Gastos de personal</w:t>
            </w:r>
          </w:p>
        </w:tc>
        <w:tc>
          <w:tcPr>
            <w:tcW w:w="1843" w:type="dxa"/>
            <w:shd w:val="clear" w:color="auto" w:fill="auto"/>
          </w:tcPr>
          <w:p w14:paraId="26A74907" w14:textId="77777777" w:rsidR="007701BE" w:rsidRPr="00B54567" w:rsidRDefault="007701BE" w:rsidP="00874B2D">
            <w:pPr>
              <w:jc w:val="right"/>
              <w:rPr>
                <w:rFonts w:eastAsia="Calibri"/>
                <w:sz w:val="16"/>
                <w:szCs w:val="16"/>
                <w:lang w:val="es-CO"/>
              </w:rPr>
            </w:pPr>
            <w:r>
              <w:rPr>
                <w:rFonts w:eastAsia="Calibri"/>
                <w:sz w:val="16"/>
                <w:szCs w:val="16"/>
                <w:lang w:val="es-CO"/>
              </w:rPr>
              <w:t>29.248</w:t>
            </w:r>
          </w:p>
        </w:tc>
        <w:tc>
          <w:tcPr>
            <w:tcW w:w="1984" w:type="dxa"/>
            <w:shd w:val="clear" w:color="auto" w:fill="auto"/>
          </w:tcPr>
          <w:p w14:paraId="7AA95786" w14:textId="77777777" w:rsidR="007701BE" w:rsidRPr="00B54567" w:rsidRDefault="007701BE" w:rsidP="00874B2D">
            <w:pPr>
              <w:jc w:val="right"/>
              <w:rPr>
                <w:rFonts w:eastAsia="Calibri"/>
                <w:sz w:val="16"/>
                <w:szCs w:val="16"/>
                <w:lang w:val="es-CO"/>
              </w:rPr>
            </w:pPr>
            <w:r>
              <w:rPr>
                <w:rFonts w:eastAsia="Calibri"/>
                <w:sz w:val="16"/>
                <w:szCs w:val="16"/>
                <w:lang w:val="es-CO"/>
              </w:rPr>
              <w:t>26.399</w:t>
            </w:r>
          </w:p>
        </w:tc>
        <w:tc>
          <w:tcPr>
            <w:tcW w:w="1985" w:type="dxa"/>
          </w:tcPr>
          <w:p w14:paraId="4D8FA28B" w14:textId="77777777" w:rsidR="007701BE" w:rsidRPr="00B54567" w:rsidRDefault="007701BE" w:rsidP="00874B2D">
            <w:pPr>
              <w:pStyle w:val="Prrafodelista"/>
              <w:ind w:left="0"/>
              <w:jc w:val="right"/>
              <w:rPr>
                <w:sz w:val="16"/>
                <w:szCs w:val="16"/>
              </w:rPr>
            </w:pPr>
            <w:r>
              <w:rPr>
                <w:sz w:val="16"/>
                <w:szCs w:val="16"/>
              </w:rPr>
              <w:t>2.849</w:t>
            </w:r>
          </w:p>
        </w:tc>
      </w:tr>
      <w:tr w:rsidR="007701BE" w:rsidRPr="00B54567" w14:paraId="2A257CBB" w14:textId="77777777" w:rsidTr="00874B2D">
        <w:tc>
          <w:tcPr>
            <w:tcW w:w="4111" w:type="dxa"/>
          </w:tcPr>
          <w:p w14:paraId="472ABEA7" w14:textId="77777777" w:rsidR="007701BE" w:rsidRPr="00B54567" w:rsidRDefault="007701BE"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shd w:val="clear" w:color="auto" w:fill="auto"/>
          </w:tcPr>
          <w:p w14:paraId="4DE0E0D0" w14:textId="77777777" w:rsidR="007701BE" w:rsidRPr="00B54567" w:rsidRDefault="007701BE" w:rsidP="00874B2D">
            <w:pPr>
              <w:jc w:val="right"/>
              <w:rPr>
                <w:rFonts w:eastAsia="Calibri"/>
                <w:sz w:val="16"/>
                <w:szCs w:val="16"/>
                <w:lang w:val="es-CO"/>
              </w:rPr>
            </w:pPr>
            <w:r>
              <w:rPr>
                <w:rFonts w:eastAsia="Calibri"/>
                <w:sz w:val="16"/>
                <w:szCs w:val="16"/>
                <w:lang w:val="es-CO"/>
              </w:rPr>
              <w:t>122.056</w:t>
            </w:r>
          </w:p>
        </w:tc>
        <w:tc>
          <w:tcPr>
            <w:tcW w:w="1984" w:type="dxa"/>
            <w:shd w:val="clear" w:color="auto" w:fill="auto"/>
          </w:tcPr>
          <w:p w14:paraId="471D64BA" w14:textId="77777777" w:rsidR="007701BE" w:rsidRPr="00B54567" w:rsidRDefault="007701BE" w:rsidP="00874B2D">
            <w:pPr>
              <w:jc w:val="right"/>
              <w:rPr>
                <w:rFonts w:eastAsia="Calibri"/>
                <w:sz w:val="16"/>
                <w:szCs w:val="16"/>
                <w:lang w:val="es-CO"/>
              </w:rPr>
            </w:pPr>
            <w:r>
              <w:rPr>
                <w:rFonts w:eastAsia="Calibri"/>
                <w:sz w:val="16"/>
                <w:szCs w:val="16"/>
                <w:lang w:val="es-CO"/>
              </w:rPr>
              <w:t>113.504</w:t>
            </w:r>
          </w:p>
        </w:tc>
        <w:tc>
          <w:tcPr>
            <w:tcW w:w="1985" w:type="dxa"/>
          </w:tcPr>
          <w:p w14:paraId="4DAE1341" w14:textId="77777777" w:rsidR="007701BE" w:rsidRPr="00B54567" w:rsidRDefault="007701BE" w:rsidP="00874B2D">
            <w:pPr>
              <w:pStyle w:val="Prrafodelista"/>
              <w:ind w:left="0"/>
              <w:jc w:val="right"/>
              <w:rPr>
                <w:sz w:val="16"/>
                <w:szCs w:val="16"/>
              </w:rPr>
            </w:pPr>
            <w:r>
              <w:rPr>
                <w:sz w:val="16"/>
                <w:szCs w:val="16"/>
              </w:rPr>
              <w:t>4.898</w:t>
            </w:r>
          </w:p>
        </w:tc>
      </w:tr>
      <w:tr w:rsidR="007701BE" w:rsidRPr="00B54567" w14:paraId="2D240754" w14:textId="77777777" w:rsidTr="00874B2D">
        <w:tc>
          <w:tcPr>
            <w:tcW w:w="4111" w:type="dxa"/>
          </w:tcPr>
          <w:p w14:paraId="7B2EDCC9" w14:textId="77777777" w:rsidR="007701BE" w:rsidRPr="00B54567" w:rsidRDefault="007701BE" w:rsidP="00874B2D">
            <w:pPr>
              <w:ind w:right="-1440"/>
              <w:jc w:val="both"/>
              <w:rPr>
                <w:sz w:val="16"/>
                <w:szCs w:val="16"/>
                <w:lang w:val="es-ES_tradnl"/>
              </w:rPr>
            </w:pPr>
            <w:r w:rsidRPr="00B54567">
              <w:rPr>
                <w:sz w:val="16"/>
                <w:szCs w:val="16"/>
                <w:lang w:val="es-ES_tradnl"/>
              </w:rPr>
              <w:t>Transferencias</w:t>
            </w:r>
          </w:p>
        </w:tc>
        <w:tc>
          <w:tcPr>
            <w:tcW w:w="1843" w:type="dxa"/>
            <w:shd w:val="clear" w:color="auto" w:fill="auto"/>
          </w:tcPr>
          <w:p w14:paraId="4FD8F677" w14:textId="77777777" w:rsidR="007701BE" w:rsidRPr="00B54567" w:rsidRDefault="007701BE" w:rsidP="00874B2D">
            <w:pPr>
              <w:jc w:val="right"/>
              <w:rPr>
                <w:rFonts w:eastAsia="Calibri"/>
                <w:sz w:val="16"/>
                <w:szCs w:val="16"/>
                <w:lang w:val="es-CO"/>
              </w:rPr>
            </w:pPr>
            <w:r>
              <w:rPr>
                <w:rFonts w:eastAsia="Calibri"/>
                <w:sz w:val="16"/>
                <w:szCs w:val="16"/>
                <w:lang w:val="es-CO"/>
              </w:rPr>
              <w:t>1.1218.584</w:t>
            </w:r>
          </w:p>
        </w:tc>
        <w:tc>
          <w:tcPr>
            <w:tcW w:w="1984" w:type="dxa"/>
            <w:shd w:val="clear" w:color="auto" w:fill="auto"/>
          </w:tcPr>
          <w:p w14:paraId="51741F5A" w14:textId="77777777" w:rsidR="007701BE" w:rsidRPr="00B54567" w:rsidRDefault="007701BE" w:rsidP="00874B2D">
            <w:pPr>
              <w:jc w:val="right"/>
              <w:rPr>
                <w:rFonts w:eastAsia="Calibri"/>
                <w:sz w:val="16"/>
                <w:szCs w:val="16"/>
                <w:lang w:val="es-CO"/>
              </w:rPr>
            </w:pPr>
            <w:r>
              <w:rPr>
                <w:rFonts w:eastAsia="Calibri"/>
                <w:sz w:val="16"/>
                <w:szCs w:val="16"/>
                <w:lang w:val="es-CO"/>
              </w:rPr>
              <w:t>1.218.487</w:t>
            </w:r>
          </w:p>
        </w:tc>
        <w:tc>
          <w:tcPr>
            <w:tcW w:w="1985" w:type="dxa"/>
          </w:tcPr>
          <w:p w14:paraId="6EE39DA7" w14:textId="77777777" w:rsidR="007701BE" w:rsidRPr="00B54567" w:rsidRDefault="007701BE" w:rsidP="00874B2D">
            <w:pPr>
              <w:pStyle w:val="Prrafodelista"/>
              <w:ind w:left="0"/>
              <w:jc w:val="right"/>
              <w:rPr>
                <w:sz w:val="16"/>
                <w:szCs w:val="16"/>
              </w:rPr>
            </w:pPr>
            <w:r>
              <w:rPr>
                <w:sz w:val="16"/>
                <w:szCs w:val="16"/>
              </w:rPr>
              <w:t>99</w:t>
            </w:r>
          </w:p>
        </w:tc>
      </w:tr>
      <w:tr w:rsidR="007701BE" w:rsidRPr="00B54567" w14:paraId="5512565C" w14:textId="77777777" w:rsidTr="00874B2D">
        <w:tc>
          <w:tcPr>
            <w:tcW w:w="4111" w:type="dxa"/>
          </w:tcPr>
          <w:p w14:paraId="5A39FE80" w14:textId="77777777" w:rsidR="007701BE" w:rsidRPr="00B54567" w:rsidRDefault="007701BE" w:rsidP="00874B2D">
            <w:pPr>
              <w:jc w:val="both"/>
              <w:rPr>
                <w:sz w:val="16"/>
                <w:szCs w:val="16"/>
                <w:lang w:val="es-ES_tradnl"/>
              </w:rPr>
            </w:pPr>
            <w:r w:rsidRPr="00B54567">
              <w:rPr>
                <w:rFonts w:eastAsia="Calibri"/>
                <w:sz w:val="16"/>
                <w:szCs w:val="16"/>
              </w:rPr>
              <w:t>Gastos por tributos, multas, sanciones e intereses de mora</w:t>
            </w:r>
          </w:p>
        </w:tc>
        <w:tc>
          <w:tcPr>
            <w:tcW w:w="1843" w:type="dxa"/>
            <w:shd w:val="clear" w:color="auto" w:fill="auto"/>
          </w:tcPr>
          <w:p w14:paraId="7DE55E4C" w14:textId="77777777" w:rsidR="007701BE" w:rsidRPr="00B54567" w:rsidRDefault="007701BE" w:rsidP="00874B2D">
            <w:pPr>
              <w:jc w:val="right"/>
              <w:rPr>
                <w:rFonts w:eastAsia="Calibri"/>
                <w:sz w:val="16"/>
                <w:szCs w:val="16"/>
                <w:lang w:val="es-CO"/>
              </w:rPr>
            </w:pPr>
            <w:r w:rsidRPr="00D96BF4">
              <w:rPr>
                <w:rFonts w:eastAsia="Calibri"/>
                <w:sz w:val="16"/>
                <w:szCs w:val="16"/>
                <w:highlight w:val="yellow"/>
                <w:lang w:val="es-CO"/>
              </w:rPr>
              <w:t>3.672</w:t>
            </w:r>
          </w:p>
        </w:tc>
        <w:tc>
          <w:tcPr>
            <w:tcW w:w="1984" w:type="dxa"/>
            <w:shd w:val="clear" w:color="auto" w:fill="auto"/>
          </w:tcPr>
          <w:p w14:paraId="635F75BB" w14:textId="77777777" w:rsidR="007701BE" w:rsidRPr="00B54567" w:rsidRDefault="007701BE" w:rsidP="00874B2D">
            <w:pPr>
              <w:jc w:val="right"/>
              <w:rPr>
                <w:rFonts w:eastAsia="Calibri"/>
                <w:sz w:val="16"/>
                <w:szCs w:val="16"/>
                <w:lang w:val="es-CO"/>
              </w:rPr>
            </w:pPr>
            <w:r>
              <w:rPr>
                <w:rFonts w:eastAsia="Calibri"/>
                <w:sz w:val="16"/>
                <w:szCs w:val="16"/>
                <w:lang w:val="es-CO"/>
              </w:rPr>
              <w:t>3.672</w:t>
            </w:r>
          </w:p>
        </w:tc>
        <w:tc>
          <w:tcPr>
            <w:tcW w:w="1985" w:type="dxa"/>
          </w:tcPr>
          <w:p w14:paraId="603464F8" w14:textId="77777777" w:rsidR="007701BE" w:rsidRPr="00B54567" w:rsidRDefault="007701BE" w:rsidP="00874B2D">
            <w:pPr>
              <w:pStyle w:val="Prrafodelista"/>
              <w:ind w:left="0"/>
              <w:jc w:val="right"/>
              <w:rPr>
                <w:sz w:val="16"/>
                <w:szCs w:val="16"/>
              </w:rPr>
            </w:pPr>
            <w:r>
              <w:rPr>
                <w:sz w:val="16"/>
                <w:szCs w:val="16"/>
              </w:rPr>
              <w:t>0</w:t>
            </w:r>
          </w:p>
        </w:tc>
      </w:tr>
      <w:tr w:rsidR="007701BE" w:rsidRPr="00B54567" w14:paraId="1AF9643C" w14:textId="77777777" w:rsidTr="00874B2D">
        <w:tc>
          <w:tcPr>
            <w:tcW w:w="4111" w:type="dxa"/>
          </w:tcPr>
          <w:p w14:paraId="3B87E036" w14:textId="77777777" w:rsidR="007701BE" w:rsidRPr="00B54567" w:rsidRDefault="007701BE" w:rsidP="00874B2D">
            <w:pPr>
              <w:ind w:right="-1440"/>
              <w:jc w:val="both"/>
              <w:rPr>
                <w:b/>
                <w:sz w:val="16"/>
                <w:szCs w:val="16"/>
                <w:lang w:val="es-ES_tradnl"/>
              </w:rPr>
            </w:pPr>
            <w:r w:rsidRPr="00B54567">
              <w:rPr>
                <w:b/>
                <w:sz w:val="16"/>
                <w:szCs w:val="16"/>
                <w:lang w:val="es-ES_tradnl"/>
              </w:rPr>
              <w:t>INVERSIÓN</w:t>
            </w:r>
          </w:p>
        </w:tc>
        <w:tc>
          <w:tcPr>
            <w:tcW w:w="1843" w:type="dxa"/>
            <w:shd w:val="clear" w:color="auto" w:fill="auto"/>
          </w:tcPr>
          <w:p w14:paraId="66B15AD2" w14:textId="77777777" w:rsidR="007701BE" w:rsidRPr="00B54567" w:rsidRDefault="007701BE" w:rsidP="00874B2D">
            <w:pPr>
              <w:jc w:val="right"/>
              <w:rPr>
                <w:rFonts w:eastAsia="Calibri"/>
                <w:sz w:val="16"/>
                <w:szCs w:val="16"/>
                <w:lang w:val="es-CO"/>
              </w:rPr>
            </w:pPr>
            <w:r>
              <w:rPr>
                <w:rFonts w:eastAsia="Calibri"/>
                <w:sz w:val="16"/>
                <w:szCs w:val="16"/>
                <w:lang w:val="es-CO"/>
              </w:rPr>
              <w:t>498.919</w:t>
            </w:r>
          </w:p>
        </w:tc>
        <w:tc>
          <w:tcPr>
            <w:tcW w:w="1984" w:type="dxa"/>
            <w:shd w:val="clear" w:color="auto" w:fill="auto"/>
          </w:tcPr>
          <w:p w14:paraId="3CF61703" w14:textId="77777777" w:rsidR="007701BE" w:rsidRPr="00B54567" w:rsidRDefault="007701BE" w:rsidP="00874B2D">
            <w:pPr>
              <w:jc w:val="right"/>
              <w:rPr>
                <w:rFonts w:eastAsia="Calibri"/>
                <w:sz w:val="16"/>
                <w:szCs w:val="16"/>
                <w:lang w:val="es-CO"/>
              </w:rPr>
            </w:pPr>
            <w:r>
              <w:rPr>
                <w:rFonts w:eastAsia="Calibri"/>
                <w:sz w:val="16"/>
                <w:szCs w:val="16"/>
                <w:lang w:val="es-CO"/>
              </w:rPr>
              <w:t>472.343</w:t>
            </w:r>
          </w:p>
        </w:tc>
        <w:tc>
          <w:tcPr>
            <w:tcW w:w="1985" w:type="dxa"/>
          </w:tcPr>
          <w:p w14:paraId="47DD9712" w14:textId="77777777" w:rsidR="007701BE" w:rsidRPr="00B54567" w:rsidRDefault="007701BE" w:rsidP="00874B2D">
            <w:pPr>
              <w:pStyle w:val="Prrafodelista"/>
              <w:ind w:left="0"/>
              <w:jc w:val="right"/>
              <w:rPr>
                <w:b/>
                <w:sz w:val="16"/>
                <w:szCs w:val="16"/>
              </w:rPr>
            </w:pPr>
            <w:r>
              <w:rPr>
                <w:b/>
                <w:sz w:val="16"/>
                <w:szCs w:val="16"/>
              </w:rPr>
              <w:t>13.620</w:t>
            </w:r>
          </w:p>
        </w:tc>
      </w:tr>
      <w:tr w:rsidR="007701BE" w:rsidRPr="00B54567" w14:paraId="709955C6" w14:textId="77777777" w:rsidTr="00874B2D">
        <w:tc>
          <w:tcPr>
            <w:tcW w:w="4111" w:type="dxa"/>
          </w:tcPr>
          <w:p w14:paraId="6C870B57" w14:textId="77777777" w:rsidR="007701BE" w:rsidRPr="00B54567" w:rsidRDefault="007701BE"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shd w:val="clear" w:color="auto" w:fill="auto"/>
          </w:tcPr>
          <w:p w14:paraId="13CAF5A1" w14:textId="77777777" w:rsidR="007701BE" w:rsidRPr="00B54567" w:rsidRDefault="007701BE" w:rsidP="00874B2D">
            <w:pPr>
              <w:jc w:val="right"/>
              <w:rPr>
                <w:rFonts w:eastAsia="Calibri"/>
                <w:b/>
                <w:sz w:val="16"/>
                <w:szCs w:val="16"/>
                <w:lang w:val="es-CO"/>
              </w:rPr>
            </w:pPr>
            <w:r>
              <w:rPr>
                <w:rFonts w:eastAsia="Calibri"/>
                <w:b/>
                <w:sz w:val="16"/>
                <w:szCs w:val="16"/>
                <w:lang w:val="es-CO"/>
              </w:rPr>
              <w:t>1.872.479</w:t>
            </w:r>
          </w:p>
        </w:tc>
        <w:tc>
          <w:tcPr>
            <w:tcW w:w="1984" w:type="dxa"/>
            <w:shd w:val="clear" w:color="auto" w:fill="auto"/>
          </w:tcPr>
          <w:p w14:paraId="6C3DE00D" w14:textId="77777777" w:rsidR="007701BE" w:rsidRPr="00B54567" w:rsidRDefault="007701BE" w:rsidP="00874B2D">
            <w:pPr>
              <w:jc w:val="right"/>
              <w:rPr>
                <w:rFonts w:eastAsia="Calibri"/>
                <w:b/>
                <w:sz w:val="16"/>
                <w:szCs w:val="16"/>
                <w:lang w:val="es-CO"/>
              </w:rPr>
            </w:pPr>
            <w:r>
              <w:rPr>
                <w:rFonts w:eastAsia="Calibri"/>
                <w:b/>
                <w:sz w:val="16"/>
                <w:szCs w:val="16"/>
                <w:lang w:val="es-CO"/>
              </w:rPr>
              <w:t>1.834.208</w:t>
            </w:r>
          </w:p>
        </w:tc>
        <w:tc>
          <w:tcPr>
            <w:tcW w:w="1985" w:type="dxa"/>
          </w:tcPr>
          <w:p w14:paraId="1CC94644" w14:textId="77777777" w:rsidR="007701BE" w:rsidRPr="00B54567" w:rsidRDefault="007701BE" w:rsidP="00874B2D">
            <w:pPr>
              <w:pStyle w:val="Prrafodelista"/>
              <w:ind w:left="0"/>
              <w:jc w:val="right"/>
              <w:rPr>
                <w:b/>
                <w:sz w:val="16"/>
                <w:szCs w:val="16"/>
                <w:u w:val="single"/>
              </w:rPr>
            </w:pPr>
            <w:r>
              <w:rPr>
                <w:b/>
                <w:sz w:val="16"/>
                <w:szCs w:val="16"/>
                <w:u w:val="single"/>
              </w:rPr>
              <w:t>21.465</w:t>
            </w:r>
          </w:p>
        </w:tc>
      </w:tr>
    </w:tbl>
    <w:p w14:paraId="457C7A2D" w14:textId="77777777" w:rsidR="007701BE" w:rsidRDefault="007701BE" w:rsidP="007701BE">
      <w:pPr>
        <w:tabs>
          <w:tab w:val="left" w:pos="875"/>
        </w:tabs>
        <w:rPr>
          <w:b/>
          <w:sz w:val="24"/>
        </w:rPr>
      </w:pPr>
    </w:p>
    <w:p w14:paraId="5367E3E4" w14:textId="77777777" w:rsidR="007701BE" w:rsidRPr="008665B4" w:rsidRDefault="007701BE" w:rsidP="007701BE">
      <w:pPr>
        <w:tabs>
          <w:tab w:val="left" w:pos="875"/>
        </w:tabs>
        <w:jc w:val="both"/>
        <w:rPr>
          <w:bCs/>
          <w:sz w:val="24"/>
        </w:rPr>
      </w:pPr>
      <w:r>
        <w:rPr>
          <w:b/>
          <w:sz w:val="24"/>
        </w:rPr>
        <w:t xml:space="preserve">NOTA: </w:t>
      </w:r>
      <w:r w:rsidRPr="008665B4">
        <w:rPr>
          <w:bCs/>
          <w:sz w:val="24"/>
        </w:rPr>
        <w:t xml:space="preserve">Esta auditoria observa que la columna de ejecución de compromisos no corresponde a los valores presentados en el cuadro anterior. Cuál es la razón para que se presenten estas diferencias en las cifras </w:t>
      </w:r>
    </w:p>
    <w:p w14:paraId="539E8FF9" w14:textId="77777777" w:rsidR="007701BE" w:rsidRDefault="007701BE" w:rsidP="007701BE">
      <w:pPr>
        <w:tabs>
          <w:tab w:val="left" w:pos="875"/>
        </w:tabs>
        <w:rPr>
          <w:b/>
          <w:sz w:val="24"/>
        </w:rPr>
      </w:pPr>
    </w:p>
    <w:p w14:paraId="05061DC0" w14:textId="77777777" w:rsidR="007701BE" w:rsidRDefault="007701BE" w:rsidP="007701BE">
      <w:pPr>
        <w:tabs>
          <w:tab w:val="left" w:pos="875"/>
        </w:tabs>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56AFFD81" w14:textId="77777777" w:rsidR="007701BE" w:rsidRPr="00B54567" w:rsidRDefault="007701BE" w:rsidP="007701BE">
      <w:pPr>
        <w:tabs>
          <w:tab w:val="left" w:pos="875"/>
        </w:tabs>
        <w:rPr>
          <w:sz w:val="24"/>
        </w:rPr>
      </w:pPr>
    </w:p>
    <w:tbl>
      <w:tblPr>
        <w:tblStyle w:val="Tablaconcuadrcula"/>
        <w:tblW w:w="9923" w:type="dxa"/>
        <w:tblInd w:w="-5" w:type="dxa"/>
        <w:tblLook w:val="04A0" w:firstRow="1" w:lastRow="0" w:firstColumn="1" w:lastColumn="0" w:noHBand="0" w:noVBand="1"/>
      </w:tblPr>
      <w:tblGrid>
        <w:gridCol w:w="8080"/>
        <w:gridCol w:w="1843"/>
      </w:tblGrid>
      <w:tr w:rsidR="007701BE" w:rsidRPr="00B54567" w14:paraId="4760D9F5" w14:textId="77777777" w:rsidTr="00874B2D">
        <w:tc>
          <w:tcPr>
            <w:tcW w:w="8080" w:type="dxa"/>
          </w:tcPr>
          <w:p w14:paraId="389D24E4" w14:textId="77777777" w:rsidR="007701BE" w:rsidRPr="00B54567" w:rsidRDefault="007701BE"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843" w:type="dxa"/>
          </w:tcPr>
          <w:p w14:paraId="7F9D0F4C" w14:textId="77777777" w:rsidR="007701BE" w:rsidRPr="00B54567" w:rsidRDefault="007701BE" w:rsidP="00874B2D">
            <w:pPr>
              <w:tabs>
                <w:tab w:val="left" w:pos="875"/>
              </w:tabs>
              <w:jc w:val="right"/>
              <w:rPr>
                <w:sz w:val="18"/>
                <w:szCs w:val="18"/>
              </w:rPr>
            </w:pPr>
            <w:r>
              <w:rPr>
                <w:sz w:val="18"/>
                <w:szCs w:val="18"/>
              </w:rPr>
              <w:t>679.934</w:t>
            </w:r>
          </w:p>
        </w:tc>
      </w:tr>
      <w:tr w:rsidR="007701BE" w:rsidRPr="00B54567" w14:paraId="291F8012" w14:textId="77777777" w:rsidTr="00874B2D">
        <w:tc>
          <w:tcPr>
            <w:tcW w:w="8080" w:type="dxa"/>
          </w:tcPr>
          <w:p w14:paraId="699675E0" w14:textId="77777777" w:rsidR="007701BE" w:rsidRPr="00B54567" w:rsidRDefault="007701BE" w:rsidP="00874B2D">
            <w:pPr>
              <w:tabs>
                <w:tab w:val="left" w:pos="875"/>
              </w:tabs>
              <w:ind w:right="157"/>
              <w:rPr>
                <w:sz w:val="18"/>
                <w:szCs w:val="18"/>
              </w:rPr>
            </w:pPr>
            <w:r w:rsidRPr="00B54567">
              <w:rPr>
                <w:sz w:val="20"/>
                <w:szCs w:val="20"/>
                <w:lang w:val="es-ES_tradnl"/>
              </w:rPr>
              <w:t>Cuentas por pagar constituidas a 31 de diciembre de 2024</w:t>
            </w:r>
          </w:p>
        </w:tc>
        <w:tc>
          <w:tcPr>
            <w:tcW w:w="1843" w:type="dxa"/>
          </w:tcPr>
          <w:p w14:paraId="4C350577" w14:textId="77777777" w:rsidR="007701BE" w:rsidRPr="00B54567" w:rsidRDefault="007701BE" w:rsidP="00874B2D">
            <w:pPr>
              <w:tabs>
                <w:tab w:val="left" w:pos="875"/>
              </w:tabs>
              <w:jc w:val="right"/>
              <w:rPr>
                <w:sz w:val="18"/>
                <w:szCs w:val="18"/>
              </w:rPr>
            </w:pPr>
            <w:r>
              <w:rPr>
                <w:sz w:val="18"/>
                <w:szCs w:val="18"/>
              </w:rPr>
              <w:t>0</w:t>
            </w:r>
          </w:p>
        </w:tc>
      </w:tr>
      <w:tr w:rsidR="007701BE" w:rsidRPr="00B54567" w14:paraId="26AECBF4" w14:textId="77777777" w:rsidTr="00874B2D">
        <w:tc>
          <w:tcPr>
            <w:tcW w:w="8080" w:type="dxa"/>
          </w:tcPr>
          <w:p w14:paraId="38810436" w14:textId="77777777" w:rsidR="007701BE" w:rsidRPr="00B54567" w:rsidRDefault="007701BE" w:rsidP="00874B2D">
            <w:pPr>
              <w:tabs>
                <w:tab w:val="left" w:pos="875"/>
              </w:tabs>
              <w:ind w:right="157"/>
              <w:rPr>
                <w:sz w:val="18"/>
                <w:szCs w:val="18"/>
              </w:rPr>
            </w:pPr>
            <w:r w:rsidRPr="00B54567">
              <w:rPr>
                <w:b/>
                <w:sz w:val="20"/>
                <w:szCs w:val="20"/>
                <w:lang w:val="es-ES_tradnl"/>
              </w:rPr>
              <w:lastRenderedPageBreak/>
              <w:t>TOTAL REZAGO PRESUPUESTAL CONSTITUIDO A 31 DE DICIEMBRE DE 2024</w:t>
            </w:r>
          </w:p>
        </w:tc>
        <w:tc>
          <w:tcPr>
            <w:tcW w:w="1843" w:type="dxa"/>
          </w:tcPr>
          <w:p w14:paraId="488B6502" w14:textId="77777777" w:rsidR="007701BE" w:rsidRPr="00B54567" w:rsidRDefault="007701BE" w:rsidP="00874B2D">
            <w:pPr>
              <w:tabs>
                <w:tab w:val="left" w:pos="875"/>
              </w:tabs>
              <w:jc w:val="right"/>
              <w:rPr>
                <w:b/>
                <w:sz w:val="18"/>
                <w:szCs w:val="18"/>
                <w:u w:val="single"/>
              </w:rPr>
            </w:pPr>
            <w:r>
              <w:rPr>
                <w:b/>
                <w:sz w:val="18"/>
                <w:szCs w:val="18"/>
                <w:u w:val="single"/>
              </w:rPr>
              <w:t>679.934</w:t>
            </w:r>
          </w:p>
        </w:tc>
      </w:tr>
    </w:tbl>
    <w:p w14:paraId="1AD31B65" w14:textId="77777777" w:rsidR="007701BE" w:rsidRPr="00B54567" w:rsidRDefault="007701BE" w:rsidP="007701BE">
      <w:pPr>
        <w:pStyle w:val="Textoindependiente"/>
        <w:spacing w:before="3"/>
      </w:pPr>
    </w:p>
    <w:p w14:paraId="2FCEBDAC" w14:textId="77777777" w:rsidR="007701BE" w:rsidRDefault="007701BE" w:rsidP="007701BE">
      <w:pPr>
        <w:pStyle w:val="Textoindependiente"/>
        <w:spacing w:before="3"/>
        <w:jc w:val="both"/>
        <w:rPr>
          <w:b/>
          <w:sz w:val="28"/>
          <w:szCs w:val="28"/>
        </w:rPr>
      </w:pPr>
      <w:r w:rsidRPr="009E43DA">
        <w:rPr>
          <w:b/>
          <w:sz w:val="28"/>
          <w:szCs w:val="28"/>
        </w:rPr>
        <w:t xml:space="preserve">- ¿Para la vigencia fiscal 2024, su entidad dio cumplimiento a lo establecido en el artículo 78 del Decreto Ley 111 de 1996 sobre el límite para constituir reservas para gastos de funcionamiento del 2% y para gastos de inversión del 15%? </w:t>
      </w:r>
    </w:p>
    <w:p w14:paraId="294F2A01" w14:textId="77777777" w:rsidR="007701BE" w:rsidRPr="009E43DA" w:rsidRDefault="007701BE" w:rsidP="007701BE">
      <w:pPr>
        <w:pStyle w:val="Textoindependiente"/>
        <w:spacing w:before="3"/>
        <w:jc w:val="both"/>
        <w:rPr>
          <w:b/>
          <w:sz w:val="28"/>
          <w:szCs w:val="28"/>
        </w:rPr>
      </w:pPr>
    </w:p>
    <w:p w14:paraId="5D0B3CE2" w14:textId="77777777" w:rsidR="007701BE" w:rsidRDefault="007701BE" w:rsidP="007701BE">
      <w:pPr>
        <w:pStyle w:val="Textoindependiente"/>
        <w:spacing w:before="3"/>
        <w:jc w:val="both"/>
      </w:pPr>
      <w:r>
        <w:rPr>
          <w:b/>
        </w:rPr>
        <w:t xml:space="preserve">La entidad informa: </w:t>
      </w:r>
      <w:r>
        <w:t>En la constitución de reservas se sobrepasó el límite establecido en el artículo citado, toda vez que se presentaron algunas novedades que afectaron el cumplimiento de la norma. Una de las situaciones se relaciona con compromisos por valor de $225.289.988.112,98 que cumplían requisitos para constituir Cuentas por Pagar, pero no se obtuvo aprobación de PAC que permitirá realizar el proceso de pago y por lo tanto se hizo necesario constituir este valor en reservas presupuestales.</w:t>
      </w:r>
    </w:p>
    <w:p w14:paraId="132B7FBF" w14:textId="77777777" w:rsidR="007701BE" w:rsidRDefault="007701BE" w:rsidP="007701BE">
      <w:pPr>
        <w:pStyle w:val="Textoindependiente"/>
        <w:spacing w:before="3"/>
        <w:jc w:val="both"/>
      </w:pPr>
    </w:p>
    <w:p w14:paraId="06D08D78" w14:textId="77777777" w:rsidR="007701BE" w:rsidRDefault="007701BE" w:rsidP="007701BE">
      <w:pPr>
        <w:pStyle w:val="Textoindependiente"/>
        <w:spacing w:before="3"/>
        <w:jc w:val="both"/>
        <w:rPr>
          <w:lang w:val="es-CO"/>
        </w:rPr>
      </w:pPr>
      <w:r w:rsidRPr="003869E7">
        <w:rPr>
          <w:b/>
          <w:bCs/>
          <w:lang w:val="es-CO"/>
        </w:rPr>
        <w:t>La Oficina Asesora de Planeación y Desarrollo</w:t>
      </w:r>
      <w:r>
        <w:rPr>
          <w:b/>
          <w:bCs/>
          <w:lang w:val="es-CO"/>
        </w:rPr>
        <w:t xml:space="preserve">. </w:t>
      </w:r>
      <w:r w:rsidRPr="003869E7">
        <w:rPr>
          <w:lang w:val="es-CO"/>
        </w:rPr>
        <w:t xml:space="preserve">Mediante memorando </w:t>
      </w:r>
      <w:proofErr w:type="spellStart"/>
      <w:r w:rsidRPr="003869E7">
        <w:rPr>
          <w:lang w:val="es-CO"/>
        </w:rPr>
        <w:t>N°</w:t>
      </w:r>
      <w:proofErr w:type="spellEnd"/>
      <w:r w:rsidRPr="003869E7">
        <w:rPr>
          <w:lang w:val="es-CO"/>
        </w:rPr>
        <w:t xml:space="preserve"> </w:t>
      </w:r>
      <w:r>
        <w:rPr>
          <w:lang w:val="es-CO"/>
        </w:rPr>
        <w:t>I</w:t>
      </w:r>
      <w:r w:rsidRPr="003869E7">
        <w:rPr>
          <w:lang w:val="es-CO"/>
        </w:rPr>
        <w:t>-2024- 004850, solicitó a la Dirección General la autorización de la constitución de la reserva presupuestal al Contrato No.101/2024, cuyo objeto es: "Contratar la migración del servicio en la nube del software para la administración del Sistema Integrado de Gestión Institucional</w:t>
      </w:r>
      <w:r>
        <w:rPr>
          <w:lang w:val="es-CO"/>
        </w:rPr>
        <w:t xml:space="preserve"> </w:t>
      </w:r>
      <w:r w:rsidRPr="003869E7">
        <w:rPr>
          <w:lang w:val="es-CO"/>
        </w:rPr>
        <w:t>- SIGI de la USPEC, con soporte, actualización de versión, horas ingeniero, mantenimiento preventivo y correctivo."</w:t>
      </w:r>
    </w:p>
    <w:p w14:paraId="09CFE839" w14:textId="77777777" w:rsidR="007701BE" w:rsidRPr="003869E7" w:rsidRDefault="007701BE" w:rsidP="007701BE">
      <w:pPr>
        <w:pStyle w:val="Textoindependiente"/>
        <w:spacing w:before="3"/>
        <w:jc w:val="both"/>
        <w:rPr>
          <w:lang w:val="es-CO"/>
        </w:rPr>
      </w:pPr>
    </w:p>
    <w:p w14:paraId="080C8BF5" w14:textId="77777777" w:rsidR="007701BE" w:rsidRDefault="007701BE" w:rsidP="007701BE">
      <w:pPr>
        <w:pStyle w:val="Textoindependiente"/>
        <w:spacing w:before="3"/>
        <w:jc w:val="both"/>
        <w:rPr>
          <w:lang w:val="es-CO"/>
        </w:rPr>
      </w:pPr>
      <w:r w:rsidRPr="003869E7">
        <w:rPr>
          <w:lang w:val="es-CO"/>
        </w:rPr>
        <w:t xml:space="preserve">En consecuencia, la Dirección general mediante memorando </w:t>
      </w:r>
      <w:proofErr w:type="spellStart"/>
      <w:r w:rsidRPr="003869E7">
        <w:rPr>
          <w:lang w:val="es-CO"/>
        </w:rPr>
        <w:t>N°</w:t>
      </w:r>
      <w:proofErr w:type="spellEnd"/>
      <w:r w:rsidRPr="003869E7">
        <w:rPr>
          <w:lang w:val="es-CO"/>
        </w:rPr>
        <w:t xml:space="preserve"> I-2024-004945 y al evidenciarse que el principio de anualidad presupuestal contiene excepciones que se aplican con el fin de dar continuidad al objeto contractual, y que de acuerdo con el artículo 89 del Estatuto Orgánico de Presupuesto, al cierre de cada vigencia fiscal se constituyen reservas presupuestales con los compromisos que al 31 de diciembre no se haya cumplido, siempre y cuando estén legalmente contraídos y desarrollen el objeto de la apropiación, lo que permite que aunque la ejecución del contrato no se haya terminado, es decir no sea aún exigible su pago, se reserve del presupuesto para que este entre, a título de reserva, en el nuevo presupuesto y así el pago con estos dineros en la siguiente vigencia fiscal sea posible. Por lo que es necesario solicitar que los Registros Presupuestales que se expidan con vigencias del 2023 para el contrato en referencia sean constituidos como reserva presupuestal para garantizar su</w:t>
      </w:r>
      <w:r>
        <w:rPr>
          <w:lang w:val="es-CO"/>
        </w:rPr>
        <w:t xml:space="preserve"> ejecución en la próxima vigencia.</w:t>
      </w:r>
    </w:p>
    <w:p w14:paraId="6461E0C9" w14:textId="77777777" w:rsidR="007701BE" w:rsidRDefault="007701BE" w:rsidP="007701BE">
      <w:pPr>
        <w:pStyle w:val="Textoindependiente"/>
        <w:spacing w:before="3"/>
        <w:jc w:val="both"/>
        <w:rPr>
          <w:lang w:val="es-CO"/>
        </w:rPr>
      </w:pPr>
    </w:p>
    <w:p w14:paraId="19F9745C" w14:textId="77777777" w:rsidR="007701BE" w:rsidRPr="003869E7" w:rsidRDefault="007701BE" w:rsidP="007701BE">
      <w:pPr>
        <w:pStyle w:val="Textoindependiente"/>
        <w:spacing w:before="3"/>
        <w:jc w:val="both"/>
        <w:rPr>
          <w:lang w:val="en-US"/>
        </w:rPr>
      </w:pPr>
      <w:r w:rsidRPr="003869E7">
        <w:rPr>
          <w:lang w:val="en-US"/>
        </w:rPr>
        <w:t>1. MEN N° I-2024- 004850 - PDF</w:t>
      </w:r>
    </w:p>
    <w:p w14:paraId="11F1B222" w14:textId="77777777" w:rsidR="007701BE" w:rsidRPr="004654F8" w:rsidRDefault="007701BE" w:rsidP="007701BE">
      <w:pPr>
        <w:pStyle w:val="Textoindependiente"/>
        <w:spacing w:before="3"/>
        <w:jc w:val="both"/>
        <w:rPr>
          <w:lang w:val="en-US"/>
        </w:rPr>
      </w:pPr>
      <w:r w:rsidRPr="004654F8">
        <w:rPr>
          <w:lang w:val="en-US"/>
        </w:rPr>
        <w:t>2.</w:t>
      </w:r>
      <w:r w:rsidRPr="004654F8">
        <w:rPr>
          <w:sz w:val="22"/>
          <w:szCs w:val="22"/>
          <w:lang w:val="en-US"/>
        </w:rPr>
        <w:t xml:space="preserve"> </w:t>
      </w:r>
      <w:r w:rsidRPr="004654F8">
        <w:rPr>
          <w:lang w:val="en-US"/>
        </w:rPr>
        <w:t>MEN N° I-2023- 004945 - PDF</w:t>
      </w:r>
    </w:p>
    <w:p w14:paraId="004B8B7C" w14:textId="77777777" w:rsidR="007701BE" w:rsidRPr="004654F8" w:rsidRDefault="007701BE" w:rsidP="007701BE">
      <w:pPr>
        <w:pStyle w:val="Textoindependiente"/>
        <w:spacing w:before="3"/>
        <w:jc w:val="both"/>
        <w:rPr>
          <w:lang w:val="en-US"/>
        </w:rPr>
      </w:pPr>
    </w:p>
    <w:p w14:paraId="6D32D24F" w14:textId="77777777" w:rsidR="007701BE" w:rsidRDefault="007701BE" w:rsidP="007701BE">
      <w:pPr>
        <w:pStyle w:val="Textoindependiente"/>
        <w:spacing w:before="3"/>
        <w:jc w:val="both"/>
      </w:pPr>
      <w:r w:rsidRPr="00BA76E4">
        <w:rPr>
          <w:b/>
        </w:rPr>
        <w:t>Dirección de Infraestructura – Subdirección de Seguimiento a la Infraestructura.</w:t>
      </w:r>
      <w:r>
        <w:rPr>
          <w:b/>
        </w:rPr>
        <w:t xml:space="preserve"> </w:t>
      </w:r>
      <w:r w:rsidRPr="007D620F">
        <w:t>Teniendo en cuenta la solicitud de información, es importante anotar que los recursos que maneja la Subdirección de Seguimiento a la infraestructura son de inversión y se enmarcan en la ejecución del proyecto aprobado por el DNP y numerado con el BPIN 2018011000329 cuyo objeto es el de “CONSTRUCCION, AMPLIACION DE INFRAESTRUCTURA PARA GENERACION DE CUPOS EN LOS ESTABLECIMINETOS DE RECLUSION DEL ORDEN NACIONAL”.</w:t>
      </w:r>
    </w:p>
    <w:p w14:paraId="51BB1EBB" w14:textId="77777777" w:rsidR="007701BE" w:rsidRDefault="007701BE" w:rsidP="007701BE">
      <w:pPr>
        <w:pStyle w:val="Textoindependiente"/>
        <w:spacing w:before="3"/>
        <w:jc w:val="both"/>
      </w:pPr>
    </w:p>
    <w:p w14:paraId="1296C1BB" w14:textId="77777777" w:rsidR="007701BE" w:rsidRDefault="007701BE" w:rsidP="007701BE">
      <w:pPr>
        <w:pStyle w:val="Textoindependiente"/>
        <w:spacing w:before="3"/>
        <w:jc w:val="both"/>
      </w:pPr>
      <w:r w:rsidRPr="007D620F">
        <w:t xml:space="preserve">Para la vigencia 2024, la USPEC comprometió recursos de inversión por valor de CUATROCIENTOS OCHENTA Y CINCO MIL DOCIENTOS NOVENTA Y NUEVE MILLONES </w:t>
      </w:r>
      <w:r w:rsidRPr="007D620F">
        <w:lastRenderedPageBreak/>
        <w:t>DE PESOS ($485.299.000.000,</w:t>
      </w:r>
      <w:r>
        <w:t>00</w:t>
      </w:r>
      <w:r w:rsidRPr="007D620F">
        <w:t xml:space="preserve">) </w:t>
      </w:r>
    </w:p>
    <w:p w14:paraId="3C92D596" w14:textId="77777777" w:rsidR="007701BE" w:rsidRDefault="007701BE" w:rsidP="007701BE">
      <w:pPr>
        <w:pStyle w:val="Textoindependiente"/>
        <w:spacing w:before="3"/>
        <w:jc w:val="both"/>
      </w:pPr>
    </w:p>
    <w:p w14:paraId="6818AD3D" w14:textId="77777777" w:rsidR="007701BE" w:rsidRDefault="007701BE" w:rsidP="007701BE">
      <w:pPr>
        <w:pStyle w:val="Textoindependiente"/>
        <w:spacing w:before="3"/>
        <w:jc w:val="both"/>
      </w:pPr>
      <w:r w:rsidRPr="007D620F">
        <w:t>Finalizando la misma vigencia y terminando la revisión de las obligaciones, la subdirección solicitó la constitución de reserva por un valor de DOSCIENTOS TREINTA MIL MILLONES NOVECIENTOS CINCUENTA Y SEIS MILLONES OCHOCIENTOS SETENTA Y SEIS MIL SETECIENTOS OCHENTA Y DOS PESOS CON 60/100 ($230.956.876.782,60)</w:t>
      </w:r>
      <w:r>
        <w:t>.</w:t>
      </w:r>
    </w:p>
    <w:p w14:paraId="15BADD85" w14:textId="77777777" w:rsidR="007701BE" w:rsidRDefault="007701BE" w:rsidP="007701BE">
      <w:pPr>
        <w:pStyle w:val="Textoindependiente"/>
        <w:spacing w:before="3"/>
        <w:jc w:val="both"/>
      </w:pPr>
    </w:p>
    <w:p w14:paraId="3CD1016C" w14:textId="56679D22" w:rsidR="007701BE" w:rsidRDefault="007701BE" w:rsidP="007701BE">
      <w:pPr>
        <w:pStyle w:val="Textoindependiente"/>
        <w:spacing w:before="3"/>
        <w:jc w:val="both"/>
        <w:rPr>
          <w:b/>
          <w:u w:val="single"/>
        </w:rPr>
      </w:pPr>
      <w:r w:rsidRPr="00E20D19">
        <w:rPr>
          <w:b/>
          <w:u w:val="single"/>
        </w:rPr>
        <w:t>Así las cosas, para la vigencia 2025, la subdirección de seguimiento a la infraestructura, constituyo reservas 2024 por un porcentaje del 47,60 % del total de los recursos de inversión de la USPEC, situación que nos exige realizar las siguientes explicaciones:</w:t>
      </w:r>
    </w:p>
    <w:p w14:paraId="6004096D" w14:textId="77777777" w:rsidR="00E751F9" w:rsidRPr="00E20D19" w:rsidRDefault="00E751F9" w:rsidP="007701BE">
      <w:pPr>
        <w:pStyle w:val="Textoindependiente"/>
        <w:spacing w:before="3"/>
        <w:jc w:val="both"/>
        <w:rPr>
          <w:b/>
          <w:u w:val="single"/>
        </w:rPr>
      </w:pPr>
    </w:p>
    <w:p w14:paraId="3930585D" w14:textId="77777777" w:rsidR="007701BE" w:rsidRDefault="007701BE" w:rsidP="0022366E">
      <w:pPr>
        <w:pStyle w:val="Textoindependiente"/>
        <w:numPr>
          <w:ilvl w:val="0"/>
          <w:numId w:val="1"/>
        </w:numPr>
        <w:spacing w:before="3"/>
        <w:jc w:val="both"/>
      </w:pPr>
      <w:r w:rsidRPr="00E20D19">
        <w:rPr>
          <w:b/>
          <w:u w:val="single"/>
        </w:rPr>
        <w:t>En el mes de diciembre del 2024, la subdirección solicitó PAC de vigencia por un valor de SETENTA Y SIETE MIL TRESCIENTOS CINCUENTA Y NUEVE MILLONES CINCUENTA MIL TRESCIENTOS OCHENTA Y NUEVE PESOS CON 37/100 ($77.359.050.389.37) para atender obligaciones, sin embargo, el Ministerio de Hacienda no giró los recursos a la entidad</w:t>
      </w:r>
      <w:r w:rsidRPr="007D620F">
        <w:t xml:space="preserve">. </w:t>
      </w:r>
    </w:p>
    <w:p w14:paraId="0EBAB03F" w14:textId="77777777" w:rsidR="007701BE" w:rsidRDefault="007701BE" w:rsidP="007701BE">
      <w:pPr>
        <w:pStyle w:val="Textoindependiente"/>
        <w:spacing w:before="3"/>
        <w:ind w:left="720"/>
        <w:jc w:val="both"/>
      </w:pPr>
    </w:p>
    <w:p w14:paraId="2B0806CD" w14:textId="77777777" w:rsidR="007701BE" w:rsidRDefault="007701BE" w:rsidP="007701BE">
      <w:pPr>
        <w:pStyle w:val="Textoindependiente"/>
        <w:spacing w:before="3"/>
        <w:jc w:val="both"/>
      </w:pPr>
      <w:r w:rsidRPr="007D620F">
        <w:t>En el evento en que la subdirección contara con estos recursos, la Reserva constituida seria, para el 2025, el 31,64%</w:t>
      </w:r>
    </w:p>
    <w:p w14:paraId="6DF9BCDD" w14:textId="77777777" w:rsidR="007701BE" w:rsidRDefault="007701BE" w:rsidP="007701BE">
      <w:pPr>
        <w:pStyle w:val="Textoindependiente"/>
        <w:spacing w:before="3"/>
        <w:jc w:val="both"/>
      </w:pPr>
    </w:p>
    <w:p w14:paraId="20CF54B0" w14:textId="77777777" w:rsidR="007701BE" w:rsidRDefault="007701BE" w:rsidP="0022366E">
      <w:pPr>
        <w:pStyle w:val="Textoindependiente"/>
        <w:numPr>
          <w:ilvl w:val="0"/>
          <w:numId w:val="1"/>
        </w:numPr>
        <w:spacing w:before="3"/>
        <w:jc w:val="both"/>
      </w:pPr>
      <w:r w:rsidRPr="007D620F">
        <w:t>La reserva constituida esta soportada en la ejecución sin obligación en la vigencia 2024 de</w:t>
      </w:r>
      <w:r>
        <w:t xml:space="preserve"> </w:t>
      </w:r>
      <w:r w:rsidRPr="007D620F">
        <w:t>un total de</w:t>
      </w:r>
      <w:r>
        <w:t xml:space="preserve"> </w:t>
      </w:r>
      <w:r w:rsidRPr="007D620F">
        <w:t>18 proyectos</w:t>
      </w:r>
      <w:r>
        <w:t>.</w:t>
      </w:r>
    </w:p>
    <w:p w14:paraId="4CF094B7" w14:textId="77777777" w:rsidR="007701BE" w:rsidRDefault="007701BE" w:rsidP="007701BE">
      <w:pPr>
        <w:pStyle w:val="Textoindependiente"/>
        <w:spacing w:before="3"/>
        <w:jc w:val="both"/>
      </w:pPr>
    </w:p>
    <w:p w14:paraId="448613D6" w14:textId="77777777" w:rsidR="007701BE" w:rsidRPr="009E43DA" w:rsidRDefault="007701BE" w:rsidP="007701BE">
      <w:pPr>
        <w:tabs>
          <w:tab w:val="left" w:pos="875"/>
        </w:tabs>
        <w:ind w:right="-50"/>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66B3CD09" w14:textId="77777777" w:rsidR="007701BE" w:rsidRPr="00B54567" w:rsidRDefault="007701BE" w:rsidP="007701BE">
      <w:pPr>
        <w:tabs>
          <w:tab w:val="left" w:pos="875"/>
        </w:tabs>
        <w:ind w:left="-142" w:right="-50"/>
        <w:jc w:val="both"/>
        <w:rPr>
          <w:sz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985"/>
        <w:gridCol w:w="2137"/>
        <w:gridCol w:w="2390"/>
      </w:tblGrid>
      <w:tr w:rsidR="007701BE" w:rsidRPr="00B54567" w14:paraId="6655392F" w14:textId="77777777" w:rsidTr="00874B2D">
        <w:trPr>
          <w:jc w:val="center"/>
        </w:trPr>
        <w:tc>
          <w:tcPr>
            <w:tcW w:w="3406" w:type="dxa"/>
            <w:shd w:val="clear" w:color="auto" w:fill="auto"/>
            <w:vAlign w:val="center"/>
          </w:tcPr>
          <w:p w14:paraId="1ACDB960" w14:textId="77777777" w:rsidR="007701BE" w:rsidRPr="00B54567" w:rsidRDefault="007701BE" w:rsidP="00874B2D">
            <w:pPr>
              <w:ind w:left="142"/>
              <w:jc w:val="center"/>
              <w:rPr>
                <w:b/>
                <w:sz w:val="20"/>
                <w:szCs w:val="20"/>
                <w:lang w:val="es-ES_tradnl"/>
              </w:rPr>
            </w:pPr>
            <w:r w:rsidRPr="00B54567">
              <w:rPr>
                <w:b/>
                <w:sz w:val="20"/>
                <w:szCs w:val="20"/>
                <w:lang w:val="es-ES_tradnl"/>
              </w:rPr>
              <w:t>DESCRIPCIÓN</w:t>
            </w:r>
          </w:p>
        </w:tc>
        <w:tc>
          <w:tcPr>
            <w:tcW w:w="1985" w:type="dxa"/>
            <w:shd w:val="clear" w:color="auto" w:fill="auto"/>
          </w:tcPr>
          <w:p w14:paraId="614D48F4" w14:textId="77777777" w:rsidR="007701BE" w:rsidRPr="00B54567" w:rsidRDefault="007701BE" w:rsidP="00874B2D">
            <w:pPr>
              <w:ind w:left="142"/>
              <w:jc w:val="center"/>
              <w:rPr>
                <w:b/>
                <w:sz w:val="20"/>
                <w:szCs w:val="20"/>
                <w:lang w:val="es-ES_tradnl"/>
              </w:rPr>
            </w:pPr>
            <w:r w:rsidRPr="00B54567">
              <w:rPr>
                <w:b/>
                <w:sz w:val="20"/>
                <w:szCs w:val="20"/>
                <w:lang w:val="es-ES_tradnl"/>
              </w:rPr>
              <w:t>REZAGO PRESUPUESTAL CONSTITUIDO</w:t>
            </w:r>
          </w:p>
          <w:p w14:paraId="6CF49181" w14:textId="77777777" w:rsidR="007701BE" w:rsidRPr="00B54567" w:rsidRDefault="007701BE" w:rsidP="00874B2D">
            <w:pPr>
              <w:ind w:left="142"/>
              <w:jc w:val="center"/>
              <w:rPr>
                <w:b/>
                <w:sz w:val="20"/>
                <w:szCs w:val="20"/>
                <w:lang w:val="es-ES_tradnl"/>
              </w:rPr>
            </w:pPr>
            <w:r w:rsidRPr="00B54567">
              <w:rPr>
                <w:b/>
                <w:sz w:val="20"/>
                <w:szCs w:val="20"/>
                <w:lang w:val="es-ES_tradnl"/>
              </w:rPr>
              <w:t>a 31-12-2023</w:t>
            </w:r>
          </w:p>
          <w:p w14:paraId="7D7EEC09" w14:textId="77777777" w:rsidR="007701BE" w:rsidRPr="00B54567" w:rsidRDefault="007701BE" w:rsidP="00874B2D">
            <w:pPr>
              <w:ind w:left="142"/>
              <w:jc w:val="center"/>
              <w:rPr>
                <w:b/>
                <w:sz w:val="20"/>
                <w:szCs w:val="20"/>
                <w:lang w:val="es-ES_tradnl"/>
              </w:rPr>
            </w:pPr>
          </w:p>
        </w:tc>
        <w:tc>
          <w:tcPr>
            <w:tcW w:w="2137" w:type="dxa"/>
            <w:shd w:val="clear" w:color="auto" w:fill="auto"/>
          </w:tcPr>
          <w:p w14:paraId="0931FDF3" w14:textId="77777777" w:rsidR="007701BE" w:rsidRPr="00B54567" w:rsidRDefault="007701BE" w:rsidP="00874B2D">
            <w:pPr>
              <w:ind w:left="142"/>
              <w:jc w:val="center"/>
              <w:rPr>
                <w:b/>
                <w:sz w:val="20"/>
                <w:szCs w:val="20"/>
                <w:lang w:val="es-ES_tradnl"/>
              </w:rPr>
            </w:pPr>
            <w:r w:rsidRPr="00B54567">
              <w:rPr>
                <w:b/>
                <w:sz w:val="20"/>
                <w:szCs w:val="20"/>
                <w:lang w:val="es-ES_tradnl"/>
              </w:rPr>
              <w:t>REZAGO PRESUPUESTAL 2023 EJECUTADO</w:t>
            </w:r>
          </w:p>
          <w:p w14:paraId="5DE7FD50" w14:textId="77777777" w:rsidR="007701BE" w:rsidRPr="00B54567" w:rsidRDefault="007701BE" w:rsidP="00874B2D">
            <w:pPr>
              <w:ind w:left="142"/>
              <w:jc w:val="center"/>
              <w:rPr>
                <w:b/>
                <w:sz w:val="20"/>
                <w:szCs w:val="20"/>
                <w:lang w:val="es-ES_tradnl"/>
              </w:rPr>
            </w:pPr>
            <w:r w:rsidRPr="00B54567">
              <w:rPr>
                <w:b/>
                <w:sz w:val="20"/>
                <w:szCs w:val="20"/>
                <w:lang w:val="es-ES_tradnl"/>
              </w:rPr>
              <w:t>A 31-12-2024</w:t>
            </w:r>
          </w:p>
        </w:tc>
        <w:tc>
          <w:tcPr>
            <w:tcW w:w="2390" w:type="dxa"/>
            <w:shd w:val="clear" w:color="auto" w:fill="auto"/>
          </w:tcPr>
          <w:p w14:paraId="27EDBC15" w14:textId="77777777" w:rsidR="007701BE" w:rsidRPr="00B54567" w:rsidRDefault="007701BE" w:rsidP="00874B2D">
            <w:pPr>
              <w:ind w:left="142"/>
              <w:jc w:val="center"/>
              <w:rPr>
                <w:b/>
                <w:sz w:val="20"/>
                <w:szCs w:val="20"/>
                <w:lang w:val="es-ES_tradnl"/>
              </w:rPr>
            </w:pPr>
            <w:r w:rsidRPr="00B54567">
              <w:rPr>
                <w:b/>
                <w:sz w:val="20"/>
                <w:szCs w:val="20"/>
                <w:lang w:val="es-ES_tradnl"/>
              </w:rPr>
              <w:t>% de EJECUCIÓN REZAGO PRESUPUESTAL 2023</w:t>
            </w:r>
            <w:r>
              <w:rPr>
                <w:b/>
                <w:sz w:val="20"/>
                <w:szCs w:val="20"/>
                <w:lang w:val="es-ES_tradnl"/>
              </w:rPr>
              <w:t xml:space="preserve"> </w:t>
            </w:r>
            <w:r w:rsidRPr="00B54567">
              <w:rPr>
                <w:b/>
                <w:sz w:val="20"/>
                <w:szCs w:val="20"/>
                <w:lang w:val="es-ES_tradnl"/>
              </w:rPr>
              <w:t>a 31-12-2024</w:t>
            </w:r>
          </w:p>
        </w:tc>
      </w:tr>
      <w:tr w:rsidR="007701BE" w:rsidRPr="00B54567" w14:paraId="6E1D97D1" w14:textId="77777777" w:rsidTr="00874B2D">
        <w:trPr>
          <w:jc w:val="center"/>
        </w:trPr>
        <w:tc>
          <w:tcPr>
            <w:tcW w:w="3406" w:type="dxa"/>
            <w:shd w:val="clear" w:color="auto" w:fill="auto"/>
          </w:tcPr>
          <w:p w14:paraId="6E7FABD2" w14:textId="77777777" w:rsidR="007701BE" w:rsidRPr="00B54567" w:rsidRDefault="007701BE" w:rsidP="00874B2D">
            <w:pPr>
              <w:jc w:val="both"/>
              <w:rPr>
                <w:sz w:val="20"/>
                <w:szCs w:val="20"/>
                <w:lang w:val="es-ES_tradnl"/>
              </w:rPr>
            </w:pPr>
            <w:r w:rsidRPr="00B54567">
              <w:rPr>
                <w:sz w:val="20"/>
                <w:szCs w:val="20"/>
                <w:lang w:val="es-ES_tradnl"/>
              </w:rPr>
              <w:t>Reservas Presupuestales 2023</w:t>
            </w:r>
          </w:p>
        </w:tc>
        <w:tc>
          <w:tcPr>
            <w:tcW w:w="1985" w:type="dxa"/>
            <w:shd w:val="clear" w:color="auto" w:fill="auto"/>
          </w:tcPr>
          <w:p w14:paraId="32EF78C6" w14:textId="77777777" w:rsidR="007701BE" w:rsidRPr="00B54567" w:rsidRDefault="007701BE" w:rsidP="00874B2D">
            <w:pPr>
              <w:ind w:left="142"/>
              <w:jc w:val="right"/>
              <w:rPr>
                <w:sz w:val="20"/>
                <w:szCs w:val="20"/>
                <w:lang w:val="es-ES_tradnl"/>
              </w:rPr>
            </w:pPr>
            <w:r>
              <w:rPr>
                <w:sz w:val="20"/>
                <w:szCs w:val="20"/>
                <w:lang w:val="es-ES_tradnl"/>
              </w:rPr>
              <w:t>491.759</w:t>
            </w:r>
          </w:p>
        </w:tc>
        <w:tc>
          <w:tcPr>
            <w:tcW w:w="2137" w:type="dxa"/>
            <w:shd w:val="clear" w:color="auto" w:fill="auto"/>
          </w:tcPr>
          <w:p w14:paraId="27F9038C" w14:textId="77777777" w:rsidR="007701BE" w:rsidRPr="00B54567" w:rsidRDefault="007701BE" w:rsidP="00874B2D">
            <w:pPr>
              <w:ind w:left="142"/>
              <w:jc w:val="right"/>
              <w:rPr>
                <w:sz w:val="20"/>
                <w:szCs w:val="20"/>
                <w:lang w:val="es-ES_tradnl"/>
              </w:rPr>
            </w:pPr>
            <w:r>
              <w:rPr>
                <w:sz w:val="20"/>
                <w:szCs w:val="20"/>
                <w:lang w:val="es-ES_tradnl"/>
              </w:rPr>
              <w:t>373.852</w:t>
            </w:r>
          </w:p>
        </w:tc>
        <w:tc>
          <w:tcPr>
            <w:tcW w:w="2390" w:type="dxa"/>
          </w:tcPr>
          <w:p w14:paraId="1709CD81" w14:textId="77777777" w:rsidR="007701BE" w:rsidRPr="00B54567" w:rsidRDefault="007701BE" w:rsidP="00874B2D">
            <w:pPr>
              <w:ind w:left="142"/>
              <w:jc w:val="center"/>
              <w:rPr>
                <w:sz w:val="20"/>
                <w:szCs w:val="20"/>
                <w:lang w:val="es-ES_tradnl"/>
              </w:rPr>
            </w:pPr>
            <w:r>
              <w:rPr>
                <w:sz w:val="20"/>
                <w:szCs w:val="20"/>
                <w:lang w:val="es-ES_tradnl"/>
              </w:rPr>
              <w:t>76,02</w:t>
            </w:r>
            <w:r w:rsidRPr="00B54567">
              <w:rPr>
                <w:sz w:val="20"/>
                <w:szCs w:val="20"/>
                <w:lang w:val="es-ES_tradnl"/>
              </w:rPr>
              <w:t>%</w:t>
            </w:r>
          </w:p>
        </w:tc>
      </w:tr>
      <w:tr w:rsidR="007701BE" w:rsidRPr="00B54567" w14:paraId="5A610793" w14:textId="77777777" w:rsidTr="00874B2D">
        <w:trPr>
          <w:jc w:val="center"/>
        </w:trPr>
        <w:tc>
          <w:tcPr>
            <w:tcW w:w="3406" w:type="dxa"/>
            <w:shd w:val="clear" w:color="auto" w:fill="auto"/>
          </w:tcPr>
          <w:p w14:paraId="0056117C" w14:textId="77777777" w:rsidR="007701BE" w:rsidRPr="00B54567" w:rsidRDefault="007701BE" w:rsidP="00874B2D">
            <w:pPr>
              <w:jc w:val="both"/>
              <w:rPr>
                <w:sz w:val="20"/>
                <w:szCs w:val="20"/>
                <w:lang w:val="es-ES_tradnl"/>
              </w:rPr>
            </w:pPr>
            <w:r w:rsidRPr="00B54567">
              <w:rPr>
                <w:sz w:val="20"/>
                <w:szCs w:val="20"/>
                <w:lang w:val="es-ES_tradnl"/>
              </w:rPr>
              <w:t>Cuentas por Pagar 2023</w:t>
            </w:r>
          </w:p>
        </w:tc>
        <w:tc>
          <w:tcPr>
            <w:tcW w:w="1985" w:type="dxa"/>
            <w:shd w:val="clear" w:color="auto" w:fill="auto"/>
          </w:tcPr>
          <w:p w14:paraId="00E96C89" w14:textId="77777777" w:rsidR="007701BE" w:rsidRPr="00B54567" w:rsidRDefault="007701BE" w:rsidP="00874B2D">
            <w:pPr>
              <w:ind w:left="142"/>
              <w:jc w:val="right"/>
              <w:rPr>
                <w:sz w:val="20"/>
                <w:szCs w:val="20"/>
                <w:lang w:val="es-ES_tradnl"/>
              </w:rPr>
            </w:pPr>
            <w:r>
              <w:rPr>
                <w:sz w:val="20"/>
                <w:szCs w:val="20"/>
                <w:lang w:val="es-ES_tradnl"/>
              </w:rPr>
              <w:t>141</w:t>
            </w:r>
          </w:p>
        </w:tc>
        <w:tc>
          <w:tcPr>
            <w:tcW w:w="2137" w:type="dxa"/>
            <w:shd w:val="clear" w:color="auto" w:fill="auto"/>
          </w:tcPr>
          <w:p w14:paraId="15F576E0" w14:textId="77777777" w:rsidR="007701BE" w:rsidRPr="00B54567" w:rsidRDefault="007701BE" w:rsidP="00874B2D">
            <w:pPr>
              <w:ind w:left="142"/>
              <w:jc w:val="right"/>
              <w:rPr>
                <w:sz w:val="20"/>
                <w:szCs w:val="20"/>
                <w:lang w:val="es-ES_tradnl"/>
              </w:rPr>
            </w:pPr>
            <w:r>
              <w:rPr>
                <w:sz w:val="20"/>
                <w:szCs w:val="20"/>
                <w:lang w:val="es-ES_tradnl"/>
              </w:rPr>
              <w:t>141</w:t>
            </w:r>
          </w:p>
        </w:tc>
        <w:tc>
          <w:tcPr>
            <w:tcW w:w="2390" w:type="dxa"/>
          </w:tcPr>
          <w:p w14:paraId="04DE2C95" w14:textId="77777777" w:rsidR="007701BE" w:rsidRPr="00B54567" w:rsidRDefault="007701BE" w:rsidP="00874B2D">
            <w:pPr>
              <w:ind w:left="142"/>
              <w:jc w:val="center"/>
              <w:rPr>
                <w:sz w:val="20"/>
                <w:szCs w:val="20"/>
                <w:lang w:val="es-ES_tradnl"/>
              </w:rPr>
            </w:pPr>
            <w:r>
              <w:rPr>
                <w:sz w:val="20"/>
                <w:szCs w:val="20"/>
                <w:lang w:val="es-ES_tradnl"/>
              </w:rPr>
              <w:t>100</w:t>
            </w:r>
            <w:r w:rsidRPr="00B54567">
              <w:rPr>
                <w:sz w:val="20"/>
                <w:szCs w:val="20"/>
                <w:lang w:val="es-ES_tradnl"/>
              </w:rPr>
              <w:t>%</w:t>
            </w:r>
          </w:p>
        </w:tc>
      </w:tr>
      <w:tr w:rsidR="007701BE" w:rsidRPr="00B54567" w14:paraId="1F538476" w14:textId="77777777" w:rsidTr="00874B2D">
        <w:trPr>
          <w:jc w:val="center"/>
        </w:trPr>
        <w:tc>
          <w:tcPr>
            <w:tcW w:w="3406" w:type="dxa"/>
            <w:shd w:val="clear" w:color="auto" w:fill="auto"/>
          </w:tcPr>
          <w:p w14:paraId="576C7C20" w14:textId="77777777" w:rsidR="007701BE" w:rsidRPr="00B54567" w:rsidRDefault="007701BE" w:rsidP="00874B2D">
            <w:pPr>
              <w:jc w:val="both"/>
              <w:rPr>
                <w:b/>
                <w:sz w:val="20"/>
                <w:szCs w:val="20"/>
                <w:lang w:val="es-ES_tradnl"/>
              </w:rPr>
            </w:pPr>
            <w:r w:rsidRPr="00B54567">
              <w:rPr>
                <w:b/>
                <w:sz w:val="20"/>
                <w:szCs w:val="20"/>
                <w:lang w:val="es-ES_tradnl"/>
              </w:rPr>
              <w:t>TOTAL REZAGO PRESUPUESTAL CONSTITUIDO EN 2023 Y EJECUTADO EN 2024</w:t>
            </w:r>
          </w:p>
        </w:tc>
        <w:tc>
          <w:tcPr>
            <w:tcW w:w="1985" w:type="dxa"/>
            <w:shd w:val="clear" w:color="auto" w:fill="auto"/>
          </w:tcPr>
          <w:p w14:paraId="77E2BCC6" w14:textId="77777777" w:rsidR="007701BE" w:rsidRPr="00B54567" w:rsidRDefault="007701BE" w:rsidP="00874B2D">
            <w:pPr>
              <w:ind w:left="142"/>
              <w:jc w:val="right"/>
              <w:rPr>
                <w:b/>
                <w:sz w:val="20"/>
                <w:szCs w:val="20"/>
                <w:lang w:val="es-ES_tradnl"/>
              </w:rPr>
            </w:pPr>
            <w:r>
              <w:rPr>
                <w:b/>
                <w:sz w:val="20"/>
                <w:szCs w:val="20"/>
                <w:lang w:val="es-ES_tradnl"/>
              </w:rPr>
              <w:t>491.900</w:t>
            </w:r>
          </w:p>
        </w:tc>
        <w:tc>
          <w:tcPr>
            <w:tcW w:w="2137" w:type="dxa"/>
            <w:shd w:val="clear" w:color="auto" w:fill="auto"/>
          </w:tcPr>
          <w:p w14:paraId="50710060" w14:textId="77777777" w:rsidR="007701BE" w:rsidRPr="00B54567" w:rsidRDefault="007701BE" w:rsidP="00874B2D">
            <w:pPr>
              <w:ind w:left="142"/>
              <w:jc w:val="right"/>
              <w:rPr>
                <w:b/>
                <w:sz w:val="20"/>
                <w:szCs w:val="20"/>
                <w:lang w:val="es-ES_tradnl"/>
              </w:rPr>
            </w:pPr>
            <w:r>
              <w:rPr>
                <w:b/>
                <w:sz w:val="20"/>
                <w:szCs w:val="20"/>
                <w:lang w:val="es-ES_tradnl"/>
              </w:rPr>
              <w:t>373.993</w:t>
            </w:r>
          </w:p>
        </w:tc>
        <w:tc>
          <w:tcPr>
            <w:tcW w:w="2390" w:type="dxa"/>
          </w:tcPr>
          <w:p w14:paraId="1A2833E0" w14:textId="77777777" w:rsidR="007701BE" w:rsidRPr="00B54567" w:rsidRDefault="007701BE" w:rsidP="00874B2D">
            <w:pPr>
              <w:ind w:left="142"/>
              <w:jc w:val="center"/>
              <w:rPr>
                <w:b/>
                <w:sz w:val="20"/>
                <w:szCs w:val="20"/>
                <w:u w:val="single"/>
                <w:lang w:val="es-ES_tradnl"/>
              </w:rPr>
            </w:pPr>
          </w:p>
          <w:p w14:paraId="135AD96A" w14:textId="77777777" w:rsidR="007701BE" w:rsidRPr="00B54567" w:rsidRDefault="007701BE" w:rsidP="00874B2D">
            <w:pPr>
              <w:ind w:left="142"/>
              <w:jc w:val="center"/>
              <w:rPr>
                <w:b/>
                <w:sz w:val="20"/>
                <w:szCs w:val="20"/>
                <w:u w:val="single"/>
                <w:lang w:val="es-ES_tradnl"/>
              </w:rPr>
            </w:pPr>
            <w:r>
              <w:rPr>
                <w:b/>
                <w:sz w:val="20"/>
                <w:szCs w:val="20"/>
                <w:u w:val="single"/>
                <w:lang w:val="es-ES_tradnl"/>
              </w:rPr>
              <w:t>76,03</w:t>
            </w:r>
            <w:r w:rsidRPr="00B54567">
              <w:rPr>
                <w:b/>
                <w:sz w:val="20"/>
                <w:szCs w:val="20"/>
                <w:u w:val="single"/>
                <w:lang w:val="es-ES_tradnl"/>
              </w:rPr>
              <w:t>%</w:t>
            </w:r>
          </w:p>
        </w:tc>
      </w:tr>
    </w:tbl>
    <w:p w14:paraId="620D6B3F" w14:textId="77777777" w:rsidR="007701BE" w:rsidRDefault="007701BE" w:rsidP="007701BE">
      <w:pPr>
        <w:pStyle w:val="Prrafodelista"/>
        <w:ind w:left="0"/>
        <w:rPr>
          <w:b/>
          <w:sz w:val="24"/>
          <w:szCs w:val="24"/>
          <w:lang w:val="es-MX"/>
        </w:rPr>
      </w:pPr>
    </w:p>
    <w:p w14:paraId="37D83B8F" w14:textId="77777777" w:rsidR="007701BE" w:rsidRDefault="007701BE" w:rsidP="007701BE">
      <w:pPr>
        <w:pStyle w:val="Prrafodelista"/>
        <w:ind w:left="0"/>
        <w:rPr>
          <w:bCs/>
          <w:sz w:val="24"/>
          <w:szCs w:val="24"/>
          <w:lang w:val="es-MX"/>
        </w:rPr>
      </w:pPr>
      <w:r>
        <w:rPr>
          <w:b/>
          <w:sz w:val="24"/>
          <w:szCs w:val="24"/>
          <w:lang w:val="es-MX"/>
        </w:rPr>
        <w:t xml:space="preserve">NOTA: </w:t>
      </w:r>
      <w:r w:rsidRPr="008665B4">
        <w:rPr>
          <w:bCs/>
          <w:sz w:val="24"/>
          <w:szCs w:val="24"/>
          <w:lang w:val="es-MX"/>
        </w:rPr>
        <w:t>Esta auditoria considera que las cifras no están presentadas en miles de pesos como lo indica la entidad.</w:t>
      </w:r>
    </w:p>
    <w:p w14:paraId="7D71B776" w14:textId="77777777" w:rsidR="007701BE" w:rsidRPr="008665B4" w:rsidRDefault="007701BE" w:rsidP="007701BE">
      <w:pPr>
        <w:pStyle w:val="Prrafodelista"/>
        <w:ind w:left="0"/>
        <w:rPr>
          <w:bCs/>
          <w:sz w:val="24"/>
          <w:szCs w:val="24"/>
          <w:lang w:val="es-MX"/>
        </w:rPr>
      </w:pPr>
    </w:p>
    <w:p w14:paraId="0E9813E5" w14:textId="77777777" w:rsidR="007701BE" w:rsidRPr="009E43DA" w:rsidRDefault="007701BE" w:rsidP="00845CDD">
      <w:pPr>
        <w:pStyle w:val="Prrafodelista"/>
        <w:tabs>
          <w:tab w:val="left" w:pos="875"/>
        </w:tabs>
        <w:ind w:left="0" w:right="-50"/>
        <w:jc w:val="both"/>
        <w:rPr>
          <w:rFonts w:ascii="Times New Roman" w:hAnsi="Times New Roman"/>
          <w:sz w:val="28"/>
          <w:szCs w:val="28"/>
        </w:rPr>
      </w:pPr>
      <w:r>
        <w:rPr>
          <w:b/>
          <w:sz w:val="28"/>
          <w:szCs w:val="28"/>
        </w:rPr>
        <w:t xml:space="preserve">- </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7B3FEC90" w14:textId="77777777" w:rsidR="007701BE" w:rsidRPr="009E43DA" w:rsidRDefault="007701BE" w:rsidP="007701BE">
      <w:pPr>
        <w:pStyle w:val="Prrafodelista"/>
        <w:tabs>
          <w:tab w:val="left" w:pos="875"/>
        </w:tabs>
        <w:ind w:left="-142" w:right="-50"/>
        <w:rPr>
          <w:rFonts w:ascii="Times New Roman" w:hAnsi="Times New Roman"/>
          <w:sz w:val="24"/>
        </w:rPr>
      </w:pPr>
    </w:p>
    <w:tbl>
      <w:tblPr>
        <w:tblStyle w:val="Tablaconcuadrcula"/>
        <w:tblW w:w="9923" w:type="dxa"/>
        <w:tblInd w:w="-5" w:type="dxa"/>
        <w:tblLook w:val="04A0" w:firstRow="1" w:lastRow="0" w:firstColumn="1" w:lastColumn="0" w:noHBand="0" w:noVBand="1"/>
      </w:tblPr>
      <w:tblGrid>
        <w:gridCol w:w="709"/>
        <w:gridCol w:w="3260"/>
        <w:gridCol w:w="5954"/>
      </w:tblGrid>
      <w:tr w:rsidR="007701BE" w:rsidRPr="00B54567" w14:paraId="6D387998" w14:textId="77777777" w:rsidTr="00874B2D">
        <w:tc>
          <w:tcPr>
            <w:tcW w:w="709" w:type="dxa"/>
          </w:tcPr>
          <w:p w14:paraId="5E634F3D" w14:textId="77777777" w:rsidR="007701BE" w:rsidRPr="00B54567" w:rsidRDefault="007701BE" w:rsidP="00874B2D">
            <w:pPr>
              <w:tabs>
                <w:tab w:val="left" w:pos="875"/>
              </w:tabs>
              <w:ind w:right="-50"/>
              <w:jc w:val="center"/>
              <w:rPr>
                <w:b/>
                <w:sz w:val="20"/>
                <w:szCs w:val="20"/>
              </w:rPr>
            </w:pPr>
            <w:proofErr w:type="spellStart"/>
            <w:r w:rsidRPr="00B54567">
              <w:rPr>
                <w:b/>
                <w:sz w:val="20"/>
                <w:szCs w:val="20"/>
              </w:rPr>
              <w:t>N°</w:t>
            </w:r>
            <w:proofErr w:type="spellEnd"/>
          </w:p>
        </w:tc>
        <w:tc>
          <w:tcPr>
            <w:tcW w:w="3260" w:type="dxa"/>
          </w:tcPr>
          <w:p w14:paraId="22E3CBFA" w14:textId="77777777" w:rsidR="007701BE" w:rsidRPr="00B54567" w:rsidRDefault="007701BE" w:rsidP="00874B2D">
            <w:pPr>
              <w:tabs>
                <w:tab w:val="left" w:pos="875"/>
              </w:tabs>
              <w:ind w:right="-50"/>
              <w:jc w:val="center"/>
              <w:rPr>
                <w:b/>
                <w:sz w:val="20"/>
                <w:szCs w:val="20"/>
              </w:rPr>
            </w:pPr>
            <w:r w:rsidRPr="00B54567">
              <w:rPr>
                <w:b/>
                <w:sz w:val="20"/>
                <w:szCs w:val="20"/>
              </w:rPr>
              <w:t>Limitaciones del Sistema SIIF II Nación a 31/12/2024</w:t>
            </w:r>
          </w:p>
          <w:p w14:paraId="1814F01E" w14:textId="77777777" w:rsidR="007701BE" w:rsidRPr="00B54567" w:rsidRDefault="007701BE" w:rsidP="00874B2D">
            <w:pPr>
              <w:tabs>
                <w:tab w:val="left" w:pos="875"/>
              </w:tabs>
              <w:ind w:right="-50"/>
              <w:jc w:val="center"/>
              <w:rPr>
                <w:b/>
                <w:sz w:val="20"/>
                <w:szCs w:val="20"/>
              </w:rPr>
            </w:pPr>
          </w:p>
        </w:tc>
        <w:tc>
          <w:tcPr>
            <w:tcW w:w="5954" w:type="dxa"/>
          </w:tcPr>
          <w:p w14:paraId="764C6E82" w14:textId="77777777" w:rsidR="007701BE" w:rsidRPr="00B54567" w:rsidRDefault="007701BE" w:rsidP="00874B2D">
            <w:pPr>
              <w:tabs>
                <w:tab w:val="left" w:pos="875"/>
              </w:tabs>
              <w:ind w:right="-50"/>
              <w:jc w:val="center"/>
              <w:rPr>
                <w:b/>
                <w:sz w:val="20"/>
                <w:szCs w:val="20"/>
              </w:rPr>
            </w:pPr>
            <w:r w:rsidRPr="00B54567">
              <w:rPr>
                <w:b/>
                <w:sz w:val="20"/>
                <w:szCs w:val="20"/>
              </w:rPr>
              <w:t>Descripción de la limitación</w:t>
            </w:r>
          </w:p>
        </w:tc>
      </w:tr>
      <w:tr w:rsidR="007701BE" w:rsidRPr="00B54567" w14:paraId="768E48C3" w14:textId="77777777" w:rsidTr="00874B2D">
        <w:tc>
          <w:tcPr>
            <w:tcW w:w="709" w:type="dxa"/>
          </w:tcPr>
          <w:p w14:paraId="2A9DAC8A" w14:textId="77777777" w:rsidR="007701BE" w:rsidRPr="00B54567" w:rsidRDefault="007701BE" w:rsidP="00874B2D">
            <w:pPr>
              <w:tabs>
                <w:tab w:val="left" w:pos="875"/>
              </w:tabs>
              <w:ind w:right="-50"/>
              <w:jc w:val="center"/>
              <w:rPr>
                <w:b/>
                <w:sz w:val="20"/>
                <w:szCs w:val="20"/>
              </w:rPr>
            </w:pPr>
            <w:r w:rsidRPr="00B54567">
              <w:rPr>
                <w:b/>
                <w:sz w:val="20"/>
                <w:szCs w:val="20"/>
              </w:rPr>
              <w:t>1</w:t>
            </w:r>
          </w:p>
        </w:tc>
        <w:tc>
          <w:tcPr>
            <w:tcW w:w="3260" w:type="dxa"/>
          </w:tcPr>
          <w:p w14:paraId="7DF0E865" w14:textId="77777777" w:rsidR="007701BE" w:rsidRPr="00B54567" w:rsidRDefault="007701BE" w:rsidP="00874B2D">
            <w:pPr>
              <w:tabs>
                <w:tab w:val="left" w:pos="875"/>
              </w:tabs>
              <w:ind w:right="-50"/>
              <w:jc w:val="both"/>
              <w:rPr>
                <w:b/>
                <w:sz w:val="20"/>
                <w:szCs w:val="20"/>
              </w:rPr>
            </w:pPr>
            <w:r w:rsidRPr="00B54567">
              <w:rPr>
                <w:b/>
                <w:sz w:val="20"/>
                <w:szCs w:val="20"/>
              </w:rPr>
              <w:t>Administrativas:</w:t>
            </w:r>
          </w:p>
        </w:tc>
        <w:tc>
          <w:tcPr>
            <w:tcW w:w="5954" w:type="dxa"/>
          </w:tcPr>
          <w:p w14:paraId="1E1068B9" w14:textId="77777777" w:rsidR="007701BE" w:rsidRPr="00B54567" w:rsidRDefault="007701BE" w:rsidP="00874B2D">
            <w:pPr>
              <w:tabs>
                <w:tab w:val="left" w:pos="875"/>
              </w:tabs>
              <w:ind w:right="-50"/>
              <w:jc w:val="both"/>
              <w:rPr>
                <w:sz w:val="20"/>
                <w:szCs w:val="20"/>
              </w:rPr>
            </w:pPr>
            <w:r>
              <w:rPr>
                <w:sz w:val="20"/>
                <w:szCs w:val="20"/>
              </w:rPr>
              <w:t>No tiene integrado el aplicativo de la nómina de la entidad</w:t>
            </w:r>
          </w:p>
        </w:tc>
      </w:tr>
      <w:tr w:rsidR="007701BE" w:rsidRPr="00B54567" w14:paraId="43EE053E" w14:textId="77777777" w:rsidTr="00874B2D">
        <w:tc>
          <w:tcPr>
            <w:tcW w:w="709" w:type="dxa"/>
          </w:tcPr>
          <w:p w14:paraId="4B8A4C96" w14:textId="77777777" w:rsidR="007701BE" w:rsidRPr="00B54567" w:rsidRDefault="007701BE" w:rsidP="00874B2D">
            <w:pPr>
              <w:tabs>
                <w:tab w:val="left" w:pos="875"/>
              </w:tabs>
              <w:ind w:right="-50"/>
              <w:jc w:val="center"/>
              <w:rPr>
                <w:b/>
                <w:sz w:val="20"/>
                <w:szCs w:val="20"/>
              </w:rPr>
            </w:pPr>
            <w:r w:rsidRPr="00B54567">
              <w:rPr>
                <w:b/>
                <w:sz w:val="20"/>
                <w:szCs w:val="20"/>
              </w:rPr>
              <w:lastRenderedPageBreak/>
              <w:t>2</w:t>
            </w:r>
          </w:p>
        </w:tc>
        <w:tc>
          <w:tcPr>
            <w:tcW w:w="3260" w:type="dxa"/>
          </w:tcPr>
          <w:p w14:paraId="13A8F820" w14:textId="77777777" w:rsidR="007701BE" w:rsidRPr="00B54567" w:rsidRDefault="007701BE" w:rsidP="00874B2D">
            <w:pPr>
              <w:tabs>
                <w:tab w:val="left" w:pos="875"/>
              </w:tabs>
              <w:ind w:right="-50"/>
              <w:jc w:val="both"/>
              <w:rPr>
                <w:b/>
                <w:sz w:val="20"/>
                <w:szCs w:val="20"/>
              </w:rPr>
            </w:pPr>
            <w:r w:rsidRPr="00B54567">
              <w:rPr>
                <w:b/>
                <w:sz w:val="20"/>
                <w:szCs w:val="20"/>
              </w:rPr>
              <w:t>Técnicas:</w:t>
            </w:r>
          </w:p>
        </w:tc>
        <w:tc>
          <w:tcPr>
            <w:tcW w:w="5954" w:type="dxa"/>
          </w:tcPr>
          <w:p w14:paraId="5443B11A" w14:textId="77777777" w:rsidR="007701BE" w:rsidRPr="00B54567" w:rsidRDefault="007701BE" w:rsidP="00874B2D">
            <w:pPr>
              <w:tabs>
                <w:tab w:val="left" w:pos="875"/>
              </w:tabs>
              <w:ind w:right="-50"/>
              <w:jc w:val="both"/>
              <w:rPr>
                <w:sz w:val="20"/>
                <w:szCs w:val="20"/>
              </w:rPr>
            </w:pPr>
            <w:r>
              <w:rPr>
                <w:sz w:val="20"/>
                <w:szCs w:val="20"/>
              </w:rPr>
              <w:t>Las frecuentes caídas del sistema especialmente año finalizar la vigencia, toda vez que ocasionan traumatismos en el ciclo normal del proceso financiero</w:t>
            </w:r>
          </w:p>
        </w:tc>
      </w:tr>
      <w:tr w:rsidR="007701BE" w:rsidRPr="00B54567" w14:paraId="732EA09B" w14:textId="77777777" w:rsidTr="00874B2D">
        <w:tc>
          <w:tcPr>
            <w:tcW w:w="709" w:type="dxa"/>
          </w:tcPr>
          <w:p w14:paraId="1D4BEA5A" w14:textId="77777777" w:rsidR="007701BE" w:rsidRPr="00B54567" w:rsidRDefault="007701BE" w:rsidP="00874B2D">
            <w:pPr>
              <w:tabs>
                <w:tab w:val="left" w:pos="875"/>
              </w:tabs>
              <w:ind w:right="-50"/>
              <w:jc w:val="center"/>
              <w:rPr>
                <w:b/>
                <w:sz w:val="20"/>
                <w:szCs w:val="20"/>
              </w:rPr>
            </w:pPr>
            <w:r w:rsidRPr="00B54567">
              <w:rPr>
                <w:b/>
                <w:sz w:val="20"/>
                <w:szCs w:val="20"/>
              </w:rPr>
              <w:t>3</w:t>
            </w:r>
          </w:p>
        </w:tc>
        <w:tc>
          <w:tcPr>
            <w:tcW w:w="3260" w:type="dxa"/>
          </w:tcPr>
          <w:p w14:paraId="046A3579" w14:textId="77777777" w:rsidR="007701BE" w:rsidRPr="00B54567" w:rsidRDefault="007701BE" w:rsidP="00874B2D">
            <w:pPr>
              <w:tabs>
                <w:tab w:val="left" w:pos="875"/>
              </w:tabs>
              <w:ind w:right="-50"/>
              <w:jc w:val="both"/>
              <w:rPr>
                <w:b/>
                <w:sz w:val="20"/>
                <w:szCs w:val="20"/>
              </w:rPr>
            </w:pPr>
            <w:r w:rsidRPr="00B54567">
              <w:rPr>
                <w:b/>
                <w:sz w:val="20"/>
                <w:szCs w:val="20"/>
              </w:rPr>
              <w:t>Operativas:</w:t>
            </w:r>
          </w:p>
        </w:tc>
        <w:tc>
          <w:tcPr>
            <w:tcW w:w="5954" w:type="dxa"/>
          </w:tcPr>
          <w:p w14:paraId="79920DF6" w14:textId="77777777" w:rsidR="007701BE" w:rsidRPr="00B54567" w:rsidRDefault="007701BE" w:rsidP="00874B2D">
            <w:pPr>
              <w:tabs>
                <w:tab w:val="left" w:pos="875"/>
              </w:tabs>
              <w:ind w:right="-50"/>
              <w:jc w:val="both"/>
              <w:rPr>
                <w:sz w:val="20"/>
                <w:szCs w:val="20"/>
              </w:rPr>
            </w:pPr>
            <w:r>
              <w:rPr>
                <w:sz w:val="20"/>
                <w:szCs w:val="20"/>
              </w:rPr>
              <w:t>Cuando se expide un CDP global no permite que varios usuarios de manera simultánea expidan COMPROMISOS con cargo al mismo CDP</w:t>
            </w:r>
          </w:p>
        </w:tc>
      </w:tr>
      <w:tr w:rsidR="007701BE" w:rsidRPr="00B54567" w14:paraId="1CF56F6F" w14:textId="77777777" w:rsidTr="00874B2D">
        <w:tc>
          <w:tcPr>
            <w:tcW w:w="709" w:type="dxa"/>
          </w:tcPr>
          <w:p w14:paraId="5ED45F74" w14:textId="77777777" w:rsidR="007701BE" w:rsidRPr="00B54567" w:rsidRDefault="007701BE" w:rsidP="00874B2D">
            <w:pPr>
              <w:tabs>
                <w:tab w:val="left" w:pos="875"/>
              </w:tabs>
              <w:ind w:right="-50"/>
              <w:jc w:val="center"/>
              <w:rPr>
                <w:b/>
                <w:sz w:val="20"/>
                <w:szCs w:val="20"/>
              </w:rPr>
            </w:pPr>
            <w:r>
              <w:rPr>
                <w:b/>
                <w:sz w:val="20"/>
                <w:szCs w:val="20"/>
              </w:rPr>
              <w:t>4</w:t>
            </w:r>
          </w:p>
        </w:tc>
        <w:tc>
          <w:tcPr>
            <w:tcW w:w="3260" w:type="dxa"/>
          </w:tcPr>
          <w:p w14:paraId="145EDCCE" w14:textId="77777777" w:rsidR="007701BE" w:rsidRPr="00B54567" w:rsidRDefault="007701BE" w:rsidP="00874B2D">
            <w:pPr>
              <w:tabs>
                <w:tab w:val="left" w:pos="875"/>
              </w:tabs>
              <w:ind w:right="-50"/>
              <w:jc w:val="both"/>
              <w:rPr>
                <w:b/>
                <w:sz w:val="20"/>
                <w:szCs w:val="20"/>
              </w:rPr>
            </w:pPr>
            <w:r w:rsidRPr="00B54567">
              <w:rPr>
                <w:b/>
                <w:sz w:val="20"/>
                <w:szCs w:val="20"/>
              </w:rPr>
              <w:t>Otras:</w:t>
            </w:r>
          </w:p>
        </w:tc>
        <w:tc>
          <w:tcPr>
            <w:tcW w:w="5954" w:type="dxa"/>
          </w:tcPr>
          <w:p w14:paraId="16498163" w14:textId="77777777" w:rsidR="007701BE" w:rsidRPr="00B54567" w:rsidRDefault="007701BE" w:rsidP="00874B2D">
            <w:pPr>
              <w:tabs>
                <w:tab w:val="left" w:pos="875"/>
              </w:tabs>
              <w:ind w:right="-50"/>
              <w:jc w:val="both"/>
              <w:rPr>
                <w:sz w:val="20"/>
                <w:szCs w:val="20"/>
              </w:rPr>
            </w:pPr>
            <w:r>
              <w:rPr>
                <w:sz w:val="20"/>
                <w:szCs w:val="20"/>
              </w:rPr>
              <w:t>El sistema no emite movimientos presupuestales por tercero</w:t>
            </w:r>
          </w:p>
        </w:tc>
      </w:tr>
    </w:tbl>
    <w:p w14:paraId="0EC0BF35" w14:textId="77777777" w:rsidR="007701BE" w:rsidRDefault="007701BE" w:rsidP="007701BE">
      <w:pPr>
        <w:tabs>
          <w:tab w:val="left" w:pos="875"/>
        </w:tabs>
        <w:ind w:left="-142" w:right="-50"/>
        <w:jc w:val="both"/>
        <w:rPr>
          <w:rFonts w:ascii="Times New Roman" w:hAnsi="Times New Roman"/>
          <w:sz w:val="24"/>
        </w:rPr>
      </w:pPr>
    </w:p>
    <w:p w14:paraId="13740B7B" w14:textId="77777777" w:rsidR="007701BE" w:rsidRDefault="007701BE" w:rsidP="007701BE">
      <w:pPr>
        <w:pStyle w:val="Textoindependiente"/>
        <w:ind w:right="-50"/>
        <w:jc w:val="both"/>
        <w:rPr>
          <w:b/>
          <w:bCs/>
        </w:rPr>
      </w:pPr>
      <w:r w:rsidRPr="0043073D">
        <w:rPr>
          <w:b/>
          <w:bCs/>
        </w:rPr>
        <w:t xml:space="preserve">1.2.2. Limitaciones y deficiencias de tipo operativo o administrativo que tienen impacto contable. </w:t>
      </w:r>
    </w:p>
    <w:p w14:paraId="65E91C23" w14:textId="77777777" w:rsidR="007701BE" w:rsidRDefault="007701BE" w:rsidP="007701BE">
      <w:pPr>
        <w:pStyle w:val="Textoindependiente"/>
        <w:ind w:right="-50"/>
        <w:jc w:val="both"/>
        <w:rPr>
          <w:b/>
          <w:bCs/>
        </w:rPr>
      </w:pPr>
    </w:p>
    <w:p w14:paraId="3AE95C3B" w14:textId="77777777" w:rsidR="007701BE" w:rsidRDefault="007701BE" w:rsidP="007701BE">
      <w:pPr>
        <w:pStyle w:val="Textoindependiente"/>
        <w:ind w:right="-50"/>
        <w:jc w:val="both"/>
        <w:rPr>
          <w:b/>
          <w:bCs/>
        </w:rPr>
      </w:pPr>
      <w:r w:rsidRPr="0043073D">
        <w:rPr>
          <w:b/>
          <w:bCs/>
        </w:rPr>
        <w:t xml:space="preserve">1.2.2.1. SIIF Nación. </w:t>
      </w:r>
    </w:p>
    <w:p w14:paraId="25842465" w14:textId="77777777" w:rsidR="007701BE" w:rsidRDefault="007701BE" w:rsidP="007701BE">
      <w:pPr>
        <w:pStyle w:val="Textoindependiente"/>
        <w:ind w:right="-50"/>
        <w:jc w:val="both"/>
        <w:rPr>
          <w:b/>
          <w:bCs/>
        </w:rPr>
      </w:pPr>
    </w:p>
    <w:p w14:paraId="5974EBD0" w14:textId="77777777" w:rsidR="007701BE" w:rsidRDefault="007701BE" w:rsidP="0022366E">
      <w:pPr>
        <w:pStyle w:val="Textoindependiente"/>
        <w:numPr>
          <w:ilvl w:val="0"/>
          <w:numId w:val="2"/>
        </w:numPr>
        <w:ind w:right="-50"/>
        <w:jc w:val="both"/>
        <w:rPr>
          <w:bCs/>
        </w:rPr>
      </w:pPr>
      <w:r w:rsidRPr="0043073D">
        <w:rPr>
          <w:bCs/>
        </w:rPr>
        <w:t>No cuenta con un módulo para el manejo y control de cuentas “</w:t>
      </w:r>
      <w:r>
        <w:rPr>
          <w:bCs/>
        </w:rPr>
        <w:t>I</w:t>
      </w:r>
      <w:r w:rsidRPr="0043073D">
        <w:rPr>
          <w:bCs/>
        </w:rPr>
        <w:t>nventarios”, “</w:t>
      </w:r>
      <w:r>
        <w:rPr>
          <w:bCs/>
        </w:rPr>
        <w:t>P</w:t>
      </w:r>
      <w:r w:rsidRPr="0043073D">
        <w:rPr>
          <w:bCs/>
        </w:rPr>
        <w:t>ropiedades, planta y equipo” y “</w:t>
      </w:r>
      <w:r>
        <w:rPr>
          <w:bCs/>
        </w:rPr>
        <w:t>B</w:t>
      </w:r>
      <w:r w:rsidRPr="0043073D">
        <w:rPr>
          <w:bCs/>
        </w:rPr>
        <w:t xml:space="preserve">ienes intangibles”, que requieren de un seguimiento individualizado y de cálculos de deterioro, depreciación y amortización. </w:t>
      </w:r>
    </w:p>
    <w:p w14:paraId="75878272" w14:textId="77777777" w:rsidR="007701BE" w:rsidRDefault="007701BE" w:rsidP="007701BE">
      <w:pPr>
        <w:pStyle w:val="Textoindependiente"/>
        <w:ind w:left="720" w:right="-50"/>
        <w:jc w:val="both"/>
        <w:rPr>
          <w:bCs/>
        </w:rPr>
      </w:pPr>
    </w:p>
    <w:p w14:paraId="6AA4413A" w14:textId="77777777" w:rsidR="007701BE" w:rsidRDefault="007701BE" w:rsidP="0022366E">
      <w:pPr>
        <w:pStyle w:val="Textoindependiente"/>
        <w:numPr>
          <w:ilvl w:val="0"/>
          <w:numId w:val="2"/>
        </w:numPr>
        <w:ind w:right="-50"/>
        <w:jc w:val="both"/>
        <w:rPr>
          <w:bCs/>
        </w:rPr>
      </w:pPr>
      <w:r w:rsidRPr="00D219EE">
        <w:rPr>
          <w:bCs/>
        </w:rPr>
        <w:t xml:space="preserve">Las obligaciones asociadas a pagos de contratos y/o convenios son registradas en el SIIF con el atributo contable diferente a “Ninguno”, razón por lo cual sólo se genera el registro contable al momento en que se realiza el pago. En razón de lo anterior y para efectos de control, se requiere elaborar un registro contable manual en las cuentas de orden acreedoras. </w:t>
      </w:r>
    </w:p>
    <w:p w14:paraId="3A674AFA" w14:textId="77777777" w:rsidR="007701BE" w:rsidRDefault="007701BE" w:rsidP="007701BE">
      <w:pPr>
        <w:pStyle w:val="Prrafodelista"/>
        <w:rPr>
          <w:bCs/>
        </w:rPr>
      </w:pPr>
    </w:p>
    <w:p w14:paraId="27B42ACB" w14:textId="77777777" w:rsidR="007701BE" w:rsidRPr="00D219EE" w:rsidRDefault="007701BE" w:rsidP="0022366E">
      <w:pPr>
        <w:pStyle w:val="Textoindependiente"/>
        <w:numPr>
          <w:ilvl w:val="0"/>
          <w:numId w:val="2"/>
        </w:numPr>
        <w:ind w:right="-50"/>
        <w:jc w:val="both"/>
        <w:rPr>
          <w:bCs/>
        </w:rPr>
      </w:pPr>
      <w:r w:rsidRPr="00D219EE">
        <w:rPr>
          <w:bCs/>
        </w:rPr>
        <w:t>Los reportes de obligaciones presupuestales no permiten identificar en su impresión las cuentas contables afectadas, situación que impide identificar si la imputación contable fue adecuada para evitar asientos contables manuales de corrección.</w:t>
      </w:r>
    </w:p>
    <w:p w14:paraId="45DA7CA5" w14:textId="77777777" w:rsidR="007701BE" w:rsidRPr="0043073D" w:rsidRDefault="007701BE" w:rsidP="007701BE">
      <w:pPr>
        <w:pStyle w:val="Textoindependiente"/>
        <w:ind w:right="-50"/>
        <w:jc w:val="both"/>
        <w:rPr>
          <w:bCs/>
        </w:rPr>
      </w:pPr>
    </w:p>
    <w:p w14:paraId="69ECAA0B" w14:textId="77777777" w:rsidR="007701BE" w:rsidRDefault="007701BE" w:rsidP="0022366E">
      <w:pPr>
        <w:pStyle w:val="Textoindependiente"/>
        <w:numPr>
          <w:ilvl w:val="0"/>
          <w:numId w:val="2"/>
        </w:numPr>
        <w:ind w:right="-50"/>
        <w:jc w:val="both"/>
        <w:rPr>
          <w:bCs/>
        </w:rPr>
      </w:pPr>
      <w:r w:rsidRPr="0043073D">
        <w:rPr>
          <w:bCs/>
        </w:rPr>
        <w:t xml:space="preserve">No genera cuentas auxiliares por períodos acumulados por tercero, por lo que se deben generar los auxiliares por cada mes y cada tercero lo que dificulta la gestión de verificación de información para depuración y análisis bajo estos criterios. </w:t>
      </w:r>
    </w:p>
    <w:p w14:paraId="37445B9C" w14:textId="77777777" w:rsidR="007701BE" w:rsidRDefault="007701BE" w:rsidP="007701BE">
      <w:pPr>
        <w:pStyle w:val="Prrafodelista"/>
        <w:rPr>
          <w:bCs/>
        </w:rPr>
      </w:pPr>
    </w:p>
    <w:p w14:paraId="547B53ED" w14:textId="77777777" w:rsidR="007701BE" w:rsidRDefault="007701BE" w:rsidP="0022366E">
      <w:pPr>
        <w:pStyle w:val="Textoindependiente"/>
        <w:numPr>
          <w:ilvl w:val="0"/>
          <w:numId w:val="2"/>
        </w:numPr>
        <w:ind w:right="-50"/>
        <w:jc w:val="both"/>
        <w:rPr>
          <w:bCs/>
        </w:rPr>
      </w:pPr>
      <w:r w:rsidRPr="0043073D">
        <w:rPr>
          <w:bCs/>
        </w:rPr>
        <w:t>No se cuenta con un módulo para el manejo y control de las cuentas “</w:t>
      </w:r>
      <w:r>
        <w:rPr>
          <w:bCs/>
        </w:rPr>
        <w:t>A</w:t>
      </w:r>
      <w:r w:rsidRPr="0043073D">
        <w:rPr>
          <w:bCs/>
        </w:rPr>
        <w:t>nticipos” y “</w:t>
      </w:r>
      <w:r>
        <w:rPr>
          <w:bCs/>
        </w:rPr>
        <w:t>R</w:t>
      </w:r>
      <w:r w:rsidRPr="0043073D">
        <w:rPr>
          <w:bCs/>
        </w:rPr>
        <w:t>ecursos entregados en administración”, que requieren de un seguimiento por número de contrato o convenio y por proyecto razón por la cual se requiere su control en hojas de cálculo de Excel</w:t>
      </w:r>
    </w:p>
    <w:p w14:paraId="1A4F864A" w14:textId="77777777" w:rsidR="007701BE" w:rsidRPr="00B54567" w:rsidRDefault="007701BE" w:rsidP="007701BE">
      <w:pPr>
        <w:tabs>
          <w:tab w:val="left" w:pos="875"/>
        </w:tabs>
        <w:ind w:left="-142" w:right="-50"/>
        <w:jc w:val="both"/>
        <w:rPr>
          <w:rFonts w:ascii="Times New Roman" w:hAnsi="Times New Roman"/>
          <w:sz w:val="24"/>
        </w:rPr>
      </w:pPr>
    </w:p>
    <w:p w14:paraId="77DF7A87" w14:textId="77777777" w:rsidR="007701BE" w:rsidRDefault="007701BE" w:rsidP="007701BE">
      <w:pPr>
        <w:jc w:val="both"/>
        <w:rPr>
          <w:b/>
          <w:bCs/>
          <w:sz w:val="28"/>
          <w:szCs w:val="28"/>
        </w:rPr>
      </w:pPr>
      <w:r w:rsidRPr="00AE6BE0">
        <w:rPr>
          <w:b/>
          <w:bCs/>
          <w:sz w:val="28"/>
          <w:szCs w:val="28"/>
        </w:rPr>
        <w:t>-La entidad informa que, a 31 de diciembre de 202</w:t>
      </w:r>
      <w:r>
        <w:rPr>
          <w:b/>
          <w:bCs/>
          <w:sz w:val="28"/>
          <w:szCs w:val="28"/>
        </w:rPr>
        <w:t>4,</w:t>
      </w:r>
      <w:r w:rsidRPr="00AE6BE0">
        <w:rPr>
          <w:b/>
          <w:bCs/>
          <w:sz w:val="28"/>
          <w:szCs w:val="28"/>
        </w:rPr>
        <w:t xml:space="preserve"> presento las siguientes Limitaciones en la aplicación de los Clasificadores Presupuestales:</w:t>
      </w:r>
    </w:p>
    <w:p w14:paraId="536C8F58" w14:textId="77777777" w:rsidR="007701BE" w:rsidRDefault="007701BE" w:rsidP="007701BE">
      <w:pPr>
        <w:jc w:val="both"/>
        <w:rPr>
          <w:i/>
          <w:sz w:val="18"/>
        </w:rPr>
      </w:pPr>
    </w:p>
    <w:tbl>
      <w:tblPr>
        <w:tblStyle w:val="Tablaconcuadrcula"/>
        <w:tblW w:w="9923" w:type="dxa"/>
        <w:tblInd w:w="-5" w:type="dxa"/>
        <w:tblLook w:val="04A0" w:firstRow="1" w:lastRow="0" w:firstColumn="1" w:lastColumn="0" w:noHBand="0" w:noVBand="1"/>
      </w:tblPr>
      <w:tblGrid>
        <w:gridCol w:w="709"/>
        <w:gridCol w:w="9214"/>
      </w:tblGrid>
      <w:tr w:rsidR="007701BE" w:rsidRPr="00B54567" w14:paraId="42372514" w14:textId="77777777" w:rsidTr="00874B2D">
        <w:tc>
          <w:tcPr>
            <w:tcW w:w="709" w:type="dxa"/>
          </w:tcPr>
          <w:p w14:paraId="06C3F804" w14:textId="77777777" w:rsidR="007701BE" w:rsidRPr="00B54567" w:rsidRDefault="007701BE" w:rsidP="00874B2D">
            <w:pPr>
              <w:tabs>
                <w:tab w:val="left" w:pos="875"/>
              </w:tabs>
              <w:ind w:right="-50"/>
              <w:jc w:val="center"/>
              <w:rPr>
                <w:b/>
                <w:sz w:val="20"/>
                <w:szCs w:val="20"/>
              </w:rPr>
            </w:pPr>
            <w:proofErr w:type="spellStart"/>
            <w:r w:rsidRPr="00B54567">
              <w:rPr>
                <w:b/>
                <w:sz w:val="20"/>
                <w:szCs w:val="20"/>
              </w:rPr>
              <w:t>N°</w:t>
            </w:r>
            <w:proofErr w:type="spellEnd"/>
          </w:p>
        </w:tc>
        <w:tc>
          <w:tcPr>
            <w:tcW w:w="9214" w:type="dxa"/>
          </w:tcPr>
          <w:p w14:paraId="270E6B26" w14:textId="77777777" w:rsidR="007701BE" w:rsidRPr="00B54567" w:rsidRDefault="007701BE" w:rsidP="00874B2D">
            <w:pPr>
              <w:tabs>
                <w:tab w:val="left" w:pos="875"/>
              </w:tabs>
              <w:ind w:right="-50"/>
              <w:jc w:val="center"/>
              <w:rPr>
                <w:b/>
                <w:sz w:val="20"/>
                <w:szCs w:val="20"/>
              </w:rPr>
            </w:pPr>
            <w:r w:rsidRPr="00B54567">
              <w:rPr>
                <w:b/>
                <w:sz w:val="20"/>
                <w:szCs w:val="20"/>
              </w:rPr>
              <w:t xml:space="preserve">Limitaciones en la aplicación de los Clasificadores Presupuestales durante </w:t>
            </w:r>
          </w:p>
          <w:p w14:paraId="6F316565" w14:textId="77777777" w:rsidR="007701BE" w:rsidRPr="00B54567" w:rsidRDefault="007701BE" w:rsidP="00874B2D">
            <w:pPr>
              <w:tabs>
                <w:tab w:val="left" w:pos="875"/>
              </w:tabs>
              <w:ind w:right="-50"/>
              <w:jc w:val="center"/>
              <w:rPr>
                <w:b/>
                <w:sz w:val="20"/>
                <w:szCs w:val="20"/>
              </w:rPr>
            </w:pPr>
            <w:r w:rsidRPr="00B54567">
              <w:rPr>
                <w:b/>
                <w:sz w:val="20"/>
                <w:szCs w:val="20"/>
              </w:rPr>
              <w:t>la vigencia fiscal 2024</w:t>
            </w:r>
          </w:p>
          <w:p w14:paraId="550BD6AA" w14:textId="77777777" w:rsidR="007701BE" w:rsidRPr="00B54567" w:rsidRDefault="007701BE" w:rsidP="00874B2D">
            <w:pPr>
              <w:tabs>
                <w:tab w:val="left" w:pos="875"/>
              </w:tabs>
              <w:ind w:right="-50"/>
              <w:jc w:val="center"/>
              <w:rPr>
                <w:b/>
                <w:sz w:val="20"/>
                <w:szCs w:val="20"/>
              </w:rPr>
            </w:pPr>
          </w:p>
        </w:tc>
      </w:tr>
      <w:tr w:rsidR="007701BE" w:rsidRPr="00B54567" w14:paraId="2D9C904F" w14:textId="77777777" w:rsidTr="00874B2D">
        <w:tc>
          <w:tcPr>
            <w:tcW w:w="709" w:type="dxa"/>
          </w:tcPr>
          <w:p w14:paraId="58964AA1" w14:textId="77777777" w:rsidR="007701BE" w:rsidRPr="00B54567" w:rsidRDefault="007701BE" w:rsidP="00874B2D">
            <w:pPr>
              <w:tabs>
                <w:tab w:val="left" w:pos="875"/>
              </w:tabs>
              <w:ind w:right="-50"/>
              <w:jc w:val="center"/>
              <w:rPr>
                <w:b/>
                <w:sz w:val="20"/>
                <w:szCs w:val="20"/>
              </w:rPr>
            </w:pPr>
            <w:r w:rsidRPr="00B54567">
              <w:rPr>
                <w:b/>
                <w:sz w:val="20"/>
                <w:szCs w:val="20"/>
              </w:rPr>
              <w:t>1</w:t>
            </w:r>
          </w:p>
        </w:tc>
        <w:tc>
          <w:tcPr>
            <w:tcW w:w="9214" w:type="dxa"/>
          </w:tcPr>
          <w:p w14:paraId="18B9DE94" w14:textId="77777777" w:rsidR="007701BE" w:rsidRPr="002E14E6" w:rsidRDefault="007701BE" w:rsidP="00874B2D">
            <w:pPr>
              <w:tabs>
                <w:tab w:val="left" w:pos="875"/>
              </w:tabs>
              <w:ind w:right="-50"/>
              <w:jc w:val="both"/>
              <w:rPr>
                <w:sz w:val="20"/>
                <w:szCs w:val="20"/>
              </w:rPr>
            </w:pPr>
            <w:r w:rsidRPr="002E14E6">
              <w:rPr>
                <w:sz w:val="20"/>
                <w:szCs w:val="20"/>
              </w:rPr>
              <w:t>Dificultad a la hora de consultar lo relacionado con clasificadores porque la búsqueda se hace dispendiosa y no se encuentra en un solo documento</w:t>
            </w:r>
          </w:p>
        </w:tc>
      </w:tr>
      <w:tr w:rsidR="007701BE" w:rsidRPr="00B54567" w14:paraId="73103858" w14:textId="77777777" w:rsidTr="00874B2D">
        <w:tc>
          <w:tcPr>
            <w:tcW w:w="709" w:type="dxa"/>
          </w:tcPr>
          <w:p w14:paraId="6A58F78B" w14:textId="77777777" w:rsidR="007701BE" w:rsidRPr="00B54567" w:rsidRDefault="007701BE" w:rsidP="00874B2D">
            <w:pPr>
              <w:tabs>
                <w:tab w:val="left" w:pos="875"/>
              </w:tabs>
              <w:ind w:right="-50"/>
              <w:jc w:val="center"/>
              <w:rPr>
                <w:b/>
                <w:sz w:val="20"/>
                <w:szCs w:val="20"/>
              </w:rPr>
            </w:pPr>
            <w:r>
              <w:rPr>
                <w:b/>
                <w:sz w:val="20"/>
                <w:szCs w:val="20"/>
              </w:rPr>
              <w:t>2</w:t>
            </w:r>
          </w:p>
        </w:tc>
        <w:tc>
          <w:tcPr>
            <w:tcW w:w="9214" w:type="dxa"/>
          </w:tcPr>
          <w:p w14:paraId="721D8F52" w14:textId="77777777" w:rsidR="007701BE" w:rsidRPr="002E14E6" w:rsidRDefault="007701BE" w:rsidP="00874B2D">
            <w:pPr>
              <w:tabs>
                <w:tab w:val="left" w:pos="875"/>
              </w:tabs>
              <w:ind w:right="-50"/>
              <w:jc w:val="both"/>
              <w:rPr>
                <w:sz w:val="20"/>
                <w:szCs w:val="20"/>
              </w:rPr>
            </w:pPr>
            <w:r w:rsidRPr="002E14E6">
              <w:rPr>
                <w:sz w:val="20"/>
                <w:szCs w:val="20"/>
              </w:rPr>
              <w:t>Falta de capacitación frecuente sobre el tema de clasificadores que permita actualizar a los usuarios sobre el uso de esta herramienta</w:t>
            </w:r>
          </w:p>
        </w:tc>
      </w:tr>
    </w:tbl>
    <w:p w14:paraId="504E760A" w14:textId="77777777" w:rsidR="007701BE" w:rsidRPr="008665B4" w:rsidRDefault="007701BE" w:rsidP="007701BE">
      <w:pPr>
        <w:jc w:val="both"/>
        <w:rPr>
          <w:sz w:val="24"/>
          <w:szCs w:val="24"/>
        </w:rPr>
      </w:pPr>
    </w:p>
    <w:p w14:paraId="6D133107" w14:textId="77777777" w:rsidR="007701BE" w:rsidRDefault="007701BE" w:rsidP="007701BE">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144CB9C1" w14:textId="77777777" w:rsidR="007701BE" w:rsidRDefault="007701BE" w:rsidP="007701BE">
      <w:pPr>
        <w:pStyle w:val="Textoindependiente"/>
        <w:ind w:left="218" w:right="-50"/>
        <w:jc w:val="both"/>
        <w:rPr>
          <w:b/>
          <w:sz w:val="28"/>
          <w:szCs w:val="28"/>
        </w:rPr>
      </w:pPr>
    </w:p>
    <w:p w14:paraId="5E7EDD47" w14:textId="77777777" w:rsidR="007701BE" w:rsidRDefault="007701BE" w:rsidP="007701BE">
      <w:pPr>
        <w:pStyle w:val="Textoindependiente"/>
        <w:ind w:right="-50"/>
        <w:jc w:val="both"/>
        <w:rPr>
          <w:b/>
          <w:sz w:val="28"/>
          <w:szCs w:val="28"/>
        </w:rPr>
      </w:pPr>
      <w:r w:rsidRPr="00D65F09">
        <w:rPr>
          <w:b/>
          <w:sz w:val="28"/>
          <w:szCs w:val="28"/>
        </w:rPr>
        <w:t xml:space="preserve">-Una vez revisados los estados financieros, las notas (Revelaciones) a los </w:t>
      </w:r>
      <w:r w:rsidRPr="00D65F09">
        <w:rPr>
          <w:b/>
          <w:sz w:val="28"/>
          <w:szCs w:val="28"/>
        </w:rPr>
        <w:lastRenderedPageBreak/>
        <w:t>estados financieros y el informe sobre saldos y movimientos se encontraron las siguientes cuentas con sus respectivos saldos, así:</w:t>
      </w:r>
    </w:p>
    <w:p w14:paraId="43FBE787" w14:textId="77777777" w:rsidR="007701BE" w:rsidRDefault="007701BE" w:rsidP="007701BE">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7701BE" w:rsidRPr="00FF673A" w14:paraId="1AC4FFF1" w14:textId="77777777" w:rsidTr="00874B2D">
        <w:tc>
          <w:tcPr>
            <w:tcW w:w="1134" w:type="dxa"/>
          </w:tcPr>
          <w:p w14:paraId="31EDEDC0" w14:textId="77777777" w:rsidR="007701BE" w:rsidRPr="00FF673A" w:rsidRDefault="007701BE" w:rsidP="00874B2D">
            <w:pPr>
              <w:jc w:val="center"/>
              <w:rPr>
                <w:b/>
                <w:sz w:val="20"/>
                <w:szCs w:val="20"/>
                <w:lang w:val="es-ES_tradnl"/>
              </w:rPr>
            </w:pPr>
            <w:r w:rsidRPr="00FF673A">
              <w:rPr>
                <w:b/>
                <w:sz w:val="20"/>
                <w:szCs w:val="20"/>
                <w:lang w:val="es-ES_tradnl"/>
              </w:rPr>
              <w:t>CÓDIGO</w:t>
            </w:r>
          </w:p>
        </w:tc>
        <w:tc>
          <w:tcPr>
            <w:tcW w:w="6379" w:type="dxa"/>
          </w:tcPr>
          <w:p w14:paraId="0FC6B213" w14:textId="77777777" w:rsidR="007701BE" w:rsidRPr="00FF673A" w:rsidRDefault="007701BE" w:rsidP="00874B2D">
            <w:pPr>
              <w:jc w:val="center"/>
              <w:rPr>
                <w:b/>
                <w:sz w:val="20"/>
                <w:szCs w:val="20"/>
                <w:lang w:val="es-ES_tradnl"/>
              </w:rPr>
            </w:pPr>
            <w:r w:rsidRPr="00FF673A">
              <w:rPr>
                <w:b/>
                <w:sz w:val="20"/>
                <w:szCs w:val="20"/>
                <w:lang w:val="es-ES_tradnl"/>
              </w:rPr>
              <w:t>NOMBRE CUENTA</w:t>
            </w:r>
          </w:p>
        </w:tc>
        <w:tc>
          <w:tcPr>
            <w:tcW w:w="2410" w:type="dxa"/>
          </w:tcPr>
          <w:p w14:paraId="54AA35C7" w14:textId="77777777" w:rsidR="007701BE" w:rsidRPr="00FF673A" w:rsidRDefault="007701BE" w:rsidP="00874B2D">
            <w:pPr>
              <w:jc w:val="center"/>
              <w:rPr>
                <w:b/>
                <w:sz w:val="20"/>
                <w:szCs w:val="20"/>
                <w:lang w:val="es-ES_tradnl"/>
              </w:rPr>
            </w:pPr>
            <w:r w:rsidRPr="00FF673A">
              <w:rPr>
                <w:b/>
                <w:sz w:val="20"/>
                <w:szCs w:val="20"/>
                <w:lang w:val="es-ES_tradnl"/>
              </w:rPr>
              <w:t xml:space="preserve">SALDO A </w:t>
            </w:r>
          </w:p>
          <w:p w14:paraId="20DDF9F2" w14:textId="77777777" w:rsidR="007701BE" w:rsidRPr="00FF673A" w:rsidRDefault="007701BE"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7ECA8CE8" w14:textId="77777777" w:rsidR="007701BE" w:rsidRDefault="007701BE" w:rsidP="00874B2D">
            <w:pPr>
              <w:jc w:val="center"/>
              <w:rPr>
                <w:b/>
                <w:sz w:val="20"/>
                <w:szCs w:val="20"/>
                <w:lang w:val="es-ES_tradnl"/>
              </w:rPr>
            </w:pPr>
            <w:r>
              <w:rPr>
                <w:b/>
                <w:sz w:val="20"/>
                <w:szCs w:val="20"/>
                <w:lang w:val="es-ES_tradnl"/>
              </w:rPr>
              <w:t>(Pesos)</w:t>
            </w:r>
          </w:p>
          <w:p w14:paraId="3B8C91E0" w14:textId="77777777" w:rsidR="007701BE" w:rsidRPr="00FF673A" w:rsidRDefault="007701BE" w:rsidP="00874B2D">
            <w:pPr>
              <w:jc w:val="center"/>
              <w:rPr>
                <w:b/>
                <w:sz w:val="20"/>
                <w:szCs w:val="20"/>
                <w:lang w:val="es-ES_tradnl"/>
              </w:rPr>
            </w:pPr>
          </w:p>
        </w:tc>
      </w:tr>
      <w:tr w:rsidR="007701BE" w:rsidRPr="00FF673A" w14:paraId="2ECAA10C" w14:textId="77777777" w:rsidTr="00874B2D">
        <w:tc>
          <w:tcPr>
            <w:tcW w:w="1134" w:type="dxa"/>
          </w:tcPr>
          <w:p w14:paraId="129B718F" w14:textId="77777777" w:rsidR="007701BE" w:rsidRPr="00FF673A" w:rsidRDefault="007701BE" w:rsidP="00874B2D">
            <w:pPr>
              <w:jc w:val="center"/>
              <w:rPr>
                <w:b/>
                <w:sz w:val="20"/>
                <w:szCs w:val="20"/>
                <w:lang w:val="es-ES_tradnl"/>
              </w:rPr>
            </w:pPr>
            <w:r>
              <w:rPr>
                <w:b/>
                <w:sz w:val="20"/>
                <w:szCs w:val="20"/>
                <w:lang w:val="es-ES_tradnl"/>
              </w:rPr>
              <w:t>310902</w:t>
            </w:r>
          </w:p>
        </w:tc>
        <w:tc>
          <w:tcPr>
            <w:tcW w:w="6379" w:type="dxa"/>
          </w:tcPr>
          <w:p w14:paraId="7060267B" w14:textId="77777777" w:rsidR="007701BE" w:rsidRPr="005214F3" w:rsidRDefault="007701BE"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33B12AFB" w14:textId="77777777" w:rsidR="007701BE" w:rsidRPr="00FF673A" w:rsidRDefault="007701BE" w:rsidP="00874B2D">
            <w:pPr>
              <w:jc w:val="right"/>
              <w:rPr>
                <w:b/>
                <w:sz w:val="20"/>
                <w:szCs w:val="20"/>
                <w:lang w:val="es-ES_tradnl"/>
              </w:rPr>
            </w:pPr>
            <w:r>
              <w:rPr>
                <w:b/>
                <w:sz w:val="20"/>
                <w:szCs w:val="20"/>
                <w:lang w:val="es-ES_tradnl"/>
              </w:rPr>
              <w:t>(2.039.278.245.020,43)</w:t>
            </w:r>
          </w:p>
        </w:tc>
      </w:tr>
      <w:tr w:rsidR="007701BE" w:rsidRPr="00FF673A" w14:paraId="4EF99084" w14:textId="77777777" w:rsidTr="00874B2D">
        <w:tc>
          <w:tcPr>
            <w:tcW w:w="1134" w:type="dxa"/>
          </w:tcPr>
          <w:p w14:paraId="2E91163D" w14:textId="77777777" w:rsidR="007701BE" w:rsidRPr="00FF673A" w:rsidRDefault="007701BE" w:rsidP="00874B2D">
            <w:pPr>
              <w:jc w:val="center"/>
              <w:rPr>
                <w:b/>
                <w:sz w:val="20"/>
                <w:szCs w:val="20"/>
                <w:lang w:val="es-ES_tradnl"/>
              </w:rPr>
            </w:pPr>
            <w:r>
              <w:rPr>
                <w:b/>
                <w:sz w:val="20"/>
                <w:szCs w:val="20"/>
                <w:lang w:val="es-ES_tradnl"/>
              </w:rPr>
              <w:t>310500</w:t>
            </w:r>
          </w:p>
        </w:tc>
        <w:tc>
          <w:tcPr>
            <w:tcW w:w="6379" w:type="dxa"/>
          </w:tcPr>
          <w:p w14:paraId="0F0EE393" w14:textId="77777777" w:rsidR="007701BE" w:rsidRPr="005214F3" w:rsidRDefault="007701BE" w:rsidP="00874B2D">
            <w:pPr>
              <w:rPr>
                <w:color w:val="000000" w:themeColor="text1"/>
                <w:sz w:val="20"/>
                <w:szCs w:val="20"/>
                <w:lang w:val="es-ES_tradnl"/>
              </w:rPr>
            </w:pPr>
            <w:r w:rsidRPr="005214F3">
              <w:rPr>
                <w:color w:val="000000" w:themeColor="text1"/>
                <w:sz w:val="20"/>
                <w:szCs w:val="20"/>
                <w:lang w:val="es-ES_tradnl"/>
              </w:rPr>
              <w:t>Capital fiscal negativo</w:t>
            </w:r>
          </w:p>
        </w:tc>
        <w:tc>
          <w:tcPr>
            <w:tcW w:w="2410" w:type="dxa"/>
          </w:tcPr>
          <w:p w14:paraId="493D47D5" w14:textId="77777777" w:rsidR="007701BE" w:rsidRPr="00FF673A" w:rsidRDefault="007701BE" w:rsidP="00874B2D">
            <w:pPr>
              <w:jc w:val="right"/>
              <w:rPr>
                <w:b/>
                <w:sz w:val="20"/>
                <w:szCs w:val="20"/>
                <w:lang w:val="es-ES_tradnl"/>
              </w:rPr>
            </w:pPr>
            <w:r>
              <w:rPr>
                <w:b/>
                <w:sz w:val="20"/>
                <w:szCs w:val="20"/>
                <w:lang w:val="es-ES_tradnl"/>
              </w:rPr>
              <w:t>(14.753.431.962,15)</w:t>
            </w:r>
          </w:p>
        </w:tc>
      </w:tr>
      <w:tr w:rsidR="007701BE" w:rsidRPr="00FF673A" w14:paraId="009CF1E6" w14:textId="77777777" w:rsidTr="00874B2D">
        <w:tc>
          <w:tcPr>
            <w:tcW w:w="1134" w:type="dxa"/>
          </w:tcPr>
          <w:p w14:paraId="572A057F" w14:textId="77777777" w:rsidR="007701BE" w:rsidRPr="00542342" w:rsidRDefault="007701BE" w:rsidP="00874B2D">
            <w:pPr>
              <w:jc w:val="center"/>
              <w:rPr>
                <w:b/>
                <w:sz w:val="20"/>
                <w:szCs w:val="20"/>
                <w:lang w:val="es-ES_tradnl"/>
              </w:rPr>
            </w:pPr>
            <w:r>
              <w:rPr>
                <w:b/>
                <w:sz w:val="20"/>
                <w:szCs w:val="20"/>
                <w:lang w:val="es-ES_tradnl"/>
              </w:rPr>
              <w:t>163700</w:t>
            </w:r>
          </w:p>
        </w:tc>
        <w:tc>
          <w:tcPr>
            <w:tcW w:w="6379" w:type="dxa"/>
          </w:tcPr>
          <w:p w14:paraId="0221C869" w14:textId="77777777" w:rsidR="007701BE" w:rsidRPr="003135FB" w:rsidRDefault="007701BE"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65120D81" w14:textId="77777777" w:rsidR="007701BE" w:rsidRPr="00FF673A" w:rsidRDefault="007701BE" w:rsidP="00874B2D">
            <w:pPr>
              <w:jc w:val="right"/>
              <w:rPr>
                <w:b/>
                <w:sz w:val="20"/>
                <w:szCs w:val="20"/>
                <w:lang w:val="es-ES_tradnl"/>
              </w:rPr>
            </w:pPr>
            <w:r>
              <w:rPr>
                <w:b/>
                <w:sz w:val="20"/>
                <w:szCs w:val="20"/>
                <w:lang w:val="es-ES_tradnl"/>
              </w:rPr>
              <w:t>16.547.094,00</w:t>
            </w:r>
          </w:p>
        </w:tc>
      </w:tr>
      <w:tr w:rsidR="007701BE" w:rsidRPr="00FF673A" w14:paraId="6DD6B93B" w14:textId="77777777" w:rsidTr="00874B2D">
        <w:tc>
          <w:tcPr>
            <w:tcW w:w="1134" w:type="dxa"/>
          </w:tcPr>
          <w:p w14:paraId="1FF8BB7B" w14:textId="77777777" w:rsidR="007701BE" w:rsidRPr="00542342" w:rsidRDefault="007701BE" w:rsidP="00874B2D">
            <w:pPr>
              <w:jc w:val="center"/>
              <w:rPr>
                <w:b/>
                <w:sz w:val="20"/>
                <w:szCs w:val="20"/>
                <w:lang w:val="es-ES_tradnl"/>
              </w:rPr>
            </w:pPr>
            <w:r>
              <w:rPr>
                <w:b/>
                <w:sz w:val="20"/>
                <w:szCs w:val="20"/>
                <w:lang w:val="es-ES_tradnl"/>
              </w:rPr>
              <w:t>190603</w:t>
            </w:r>
          </w:p>
        </w:tc>
        <w:tc>
          <w:tcPr>
            <w:tcW w:w="6379" w:type="dxa"/>
          </w:tcPr>
          <w:p w14:paraId="243D16A2" w14:textId="77777777" w:rsidR="007701BE" w:rsidRPr="005214F3" w:rsidRDefault="007701BE" w:rsidP="00874B2D">
            <w:pPr>
              <w:rPr>
                <w:color w:val="000000" w:themeColor="text1"/>
                <w:sz w:val="20"/>
                <w:szCs w:val="20"/>
                <w:lang w:val="es-ES_tradnl"/>
              </w:rPr>
            </w:pPr>
            <w:r w:rsidRPr="005214F3">
              <w:rPr>
                <w:color w:val="000000" w:themeColor="text1"/>
                <w:sz w:val="20"/>
                <w:szCs w:val="20"/>
                <w:lang w:val="es-ES_tradnl"/>
              </w:rPr>
              <w:t>Avances para viáticos y gastos de viaje</w:t>
            </w:r>
          </w:p>
        </w:tc>
        <w:tc>
          <w:tcPr>
            <w:tcW w:w="2410" w:type="dxa"/>
          </w:tcPr>
          <w:p w14:paraId="569A05A0" w14:textId="77777777" w:rsidR="007701BE" w:rsidRPr="00FF673A" w:rsidRDefault="007701BE" w:rsidP="00874B2D">
            <w:pPr>
              <w:jc w:val="right"/>
              <w:rPr>
                <w:b/>
                <w:sz w:val="20"/>
                <w:szCs w:val="20"/>
                <w:lang w:val="es-ES_tradnl"/>
              </w:rPr>
            </w:pPr>
            <w:r>
              <w:rPr>
                <w:b/>
                <w:sz w:val="20"/>
                <w:szCs w:val="20"/>
                <w:lang w:val="es-ES_tradnl"/>
              </w:rPr>
              <w:t>1.290.708,00</w:t>
            </w:r>
          </w:p>
        </w:tc>
      </w:tr>
      <w:tr w:rsidR="007701BE" w:rsidRPr="00FF673A" w14:paraId="072A9A7F" w14:textId="77777777" w:rsidTr="00874B2D">
        <w:tc>
          <w:tcPr>
            <w:tcW w:w="1134" w:type="dxa"/>
          </w:tcPr>
          <w:p w14:paraId="618CF661" w14:textId="77777777" w:rsidR="007701BE" w:rsidRPr="00542342" w:rsidRDefault="007701BE" w:rsidP="00874B2D">
            <w:pPr>
              <w:jc w:val="center"/>
              <w:rPr>
                <w:b/>
                <w:sz w:val="20"/>
                <w:szCs w:val="20"/>
                <w:lang w:val="es-ES_tradnl"/>
              </w:rPr>
            </w:pPr>
            <w:r>
              <w:rPr>
                <w:b/>
                <w:sz w:val="20"/>
                <w:szCs w:val="20"/>
                <w:lang w:val="es-ES_tradnl"/>
              </w:rPr>
              <w:t>240720</w:t>
            </w:r>
          </w:p>
        </w:tc>
        <w:tc>
          <w:tcPr>
            <w:tcW w:w="6379" w:type="dxa"/>
          </w:tcPr>
          <w:p w14:paraId="77D4E171" w14:textId="77777777" w:rsidR="007701BE" w:rsidRPr="005214F3" w:rsidRDefault="007701BE"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3CD9B612" w14:textId="77777777" w:rsidR="007701BE" w:rsidRPr="00FF673A" w:rsidRDefault="007701BE" w:rsidP="00874B2D">
            <w:pPr>
              <w:jc w:val="right"/>
              <w:rPr>
                <w:b/>
                <w:sz w:val="20"/>
                <w:szCs w:val="20"/>
                <w:lang w:val="es-ES_tradnl"/>
              </w:rPr>
            </w:pPr>
            <w:r>
              <w:rPr>
                <w:b/>
                <w:sz w:val="20"/>
                <w:szCs w:val="20"/>
                <w:lang w:val="es-ES_tradnl"/>
              </w:rPr>
              <w:t>32.992.247,21</w:t>
            </w:r>
          </w:p>
        </w:tc>
      </w:tr>
      <w:tr w:rsidR="007701BE" w:rsidRPr="00FF673A" w14:paraId="3C2414AA" w14:textId="77777777" w:rsidTr="00874B2D">
        <w:tc>
          <w:tcPr>
            <w:tcW w:w="1134" w:type="dxa"/>
          </w:tcPr>
          <w:p w14:paraId="0875B855" w14:textId="77777777" w:rsidR="007701BE" w:rsidRDefault="007701BE" w:rsidP="00874B2D">
            <w:pPr>
              <w:jc w:val="center"/>
              <w:rPr>
                <w:b/>
                <w:sz w:val="20"/>
                <w:szCs w:val="20"/>
                <w:lang w:val="es-ES_tradnl"/>
              </w:rPr>
            </w:pPr>
            <w:r>
              <w:rPr>
                <w:b/>
                <w:sz w:val="20"/>
                <w:szCs w:val="20"/>
                <w:lang w:val="es-ES_tradnl"/>
              </w:rPr>
              <w:t>836100</w:t>
            </w:r>
          </w:p>
        </w:tc>
        <w:tc>
          <w:tcPr>
            <w:tcW w:w="6379" w:type="dxa"/>
          </w:tcPr>
          <w:p w14:paraId="272D3F37" w14:textId="77777777" w:rsidR="007701BE" w:rsidRPr="005214F3" w:rsidRDefault="007701BE" w:rsidP="00874B2D">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0DDEEC83" w14:textId="77777777" w:rsidR="007701BE" w:rsidRPr="00FF673A" w:rsidRDefault="007701BE" w:rsidP="00874B2D">
            <w:pPr>
              <w:jc w:val="right"/>
              <w:rPr>
                <w:b/>
                <w:sz w:val="20"/>
                <w:szCs w:val="20"/>
                <w:lang w:val="es-ES_tradnl"/>
              </w:rPr>
            </w:pPr>
            <w:r>
              <w:rPr>
                <w:b/>
                <w:sz w:val="20"/>
                <w:szCs w:val="20"/>
                <w:lang w:val="es-ES_tradnl"/>
              </w:rPr>
              <w:t>5.250.141,20</w:t>
            </w:r>
          </w:p>
        </w:tc>
      </w:tr>
      <w:tr w:rsidR="007701BE" w:rsidRPr="00FF673A" w14:paraId="3D6C764A" w14:textId="77777777" w:rsidTr="00874B2D">
        <w:tc>
          <w:tcPr>
            <w:tcW w:w="1134" w:type="dxa"/>
          </w:tcPr>
          <w:p w14:paraId="4F3984A4" w14:textId="77777777" w:rsidR="007701BE" w:rsidRPr="00542342" w:rsidRDefault="007701BE" w:rsidP="00874B2D">
            <w:pPr>
              <w:jc w:val="center"/>
              <w:rPr>
                <w:b/>
                <w:sz w:val="20"/>
                <w:szCs w:val="20"/>
                <w:lang w:val="es-ES_tradnl"/>
              </w:rPr>
            </w:pPr>
            <w:r>
              <w:rPr>
                <w:b/>
                <w:sz w:val="20"/>
                <w:szCs w:val="20"/>
                <w:lang w:val="es-ES_tradnl"/>
              </w:rPr>
              <w:t>912000</w:t>
            </w:r>
          </w:p>
        </w:tc>
        <w:tc>
          <w:tcPr>
            <w:tcW w:w="6379" w:type="dxa"/>
          </w:tcPr>
          <w:p w14:paraId="6CA25AF9" w14:textId="77777777" w:rsidR="007701BE" w:rsidRPr="005214F3" w:rsidRDefault="007701BE"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2B88E2AB" w14:textId="77777777" w:rsidR="007701BE" w:rsidRPr="00FF673A" w:rsidRDefault="007701BE" w:rsidP="00874B2D">
            <w:pPr>
              <w:jc w:val="right"/>
              <w:rPr>
                <w:b/>
                <w:sz w:val="20"/>
                <w:szCs w:val="20"/>
                <w:lang w:val="es-ES_tradnl"/>
              </w:rPr>
            </w:pPr>
            <w:r>
              <w:rPr>
                <w:b/>
                <w:sz w:val="20"/>
                <w:szCs w:val="20"/>
                <w:lang w:val="es-ES_tradnl"/>
              </w:rPr>
              <w:t>983.608.361.337,00</w:t>
            </w:r>
          </w:p>
        </w:tc>
      </w:tr>
    </w:tbl>
    <w:p w14:paraId="0502C942" w14:textId="77777777" w:rsidR="007701BE" w:rsidRDefault="007701BE" w:rsidP="007701BE">
      <w:pPr>
        <w:pStyle w:val="Textoindependiente"/>
        <w:ind w:right="-50"/>
        <w:jc w:val="both"/>
        <w:rPr>
          <w:b/>
          <w:sz w:val="28"/>
          <w:szCs w:val="28"/>
        </w:rPr>
      </w:pPr>
    </w:p>
    <w:p w14:paraId="56EF8A52" w14:textId="77777777" w:rsidR="007701BE" w:rsidRDefault="007701BE" w:rsidP="007701BE">
      <w:pPr>
        <w:jc w:val="both"/>
        <w:rPr>
          <w:b/>
          <w:sz w:val="28"/>
          <w:szCs w:val="28"/>
          <w:lang w:val="es-MX"/>
        </w:rPr>
      </w:pPr>
      <w:r>
        <w:rPr>
          <w:b/>
          <w:sz w:val="28"/>
          <w:szCs w:val="28"/>
          <w:lang w:val="es-MX"/>
        </w:rPr>
        <w:t>- Saldos a 31 de diciembre de 2024 de la SUBCUENTA OTROS 000090:</w:t>
      </w:r>
    </w:p>
    <w:p w14:paraId="3E9A3F1C" w14:textId="77777777" w:rsidR="007701BE" w:rsidRDefault="007701BE" w:rsidP="007701BE">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7701BE" w:rsidRPr="00FF673A" w14:paraId="17561794" w14:textId="77777777" w:rsidTr="00874B2D">
        <w:tc>
          <w:tcPr>
            <w:tcW w:w="1134" w:type="dxa"/>
          </w:tcPr>
          <w:p w14:paraId="3E73EE69" w14:textId="77777777" w:rsidR="007701BE" w:rsidRPr="00FF673A" w:rsidRDefault="007701BE" w:rsidP="00874B2D">
            <w:pPr>
              <w:jc w:val="center"/>
              <w:rPr>
                <w:b/>
                <w:sz w:val="20"/>
                <w:szCs w:val="20"/>
                <w:lang w:val="es-ES_tradnl"/>
              </w:rPr>
            </w:pPr>
            <w:r w:rsidRPr="00FF673A">
              <w:rPr>
                <w:b/>
                <w:sz w:val="20"/>
                <w:szCs w:val="20"/>
                <w:lang w:val="es-ES_tradnl"/>
              </w:rPr>
              <w:t>CÓDIGO</w:t>
            </w:r>
          </w:p>
        </w:tc>
        <w:tc>
          <w:tcPr>
            <w:tcW w:w="6379" w:type="dxa"/>
          </w:tcPr>
          <w:p w14:paraId="008E18CD" w14:textId="77777777" w:rsidR="007701BE" w:rsidRPr="00FF673A" w:rsidRDefault="007701BE" w:rsidP="00874B2D">
            <w:pPr>
              <w:jc w:val="center"/>
              <w:rPr>
                <w:b/>
                <w:sz w:val="20"/>
                <w:szCs w:val="20"/>
                <w:lang w:val="es-ES_tradnl"/>
              </w:rPr>
            </w:pPr>
            <w:r w:rsidRPr="00FF673A">
              <w:rPr>
                <w:b/>
                <w:sz w:val="20"/>
                <w:szCs w:val="20"/>
                <w:lang w:val="es-ES_tradnl"/>
              </w:rPr>
              <w:t>NOMBRE CUENTA</w:t>
            </w:r>
          </w:p>
        </w:tc>
        <w:tc>
          <w:tcPr>
            <w:tcW w:w="2410" w:type="dxa"/>
          </w:tcPr>
          <w:p w14:paraId="665A1E1A" w14:textId="77777777" w:rsidR="007701BE" w:rsidRPr="00FF673A" w:rsidRDefault="007701BE" w:rsidP="00874B2D">
            <w:pPr>
              <w:jc w:val="center"/>
              <w:rPr>
                <w:b/>
                <w:sz w:val="20"/>
                <w:szCs w:val="20"/>
                <w:lang w:val="es-ES_tradnl"/>
              </w:rPr>
            </w:pPr>
            <w:r w:rsidRPr="00FF673A">
              <w:rPr>
                <w:b/>
                <w:sz w:val="20"/>
                <w:szCs w:val="20"/>
                <w:lang w:val="es-ES_tradnl"/>
              </w:rPr>
              <w:t xml:space="preserve">SALDO A </w:t>
            </w:r>
          </w:p>
          <w:p w14:paraId="2A41BD0A" w14:textId="77777777" w:rsidR="007701BE" w:rsidRPr="00FF673A" w:rsidRDefault="007701BE"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36FDF5A9" w14:textId="77777777" w:rsidR="007701BE" w:rsidRDefault="007701BE" w:rsidP="00874B2D">
            <w:pPr>
              <w:jc w:val="center"/>
              <w:rPr>
                <w:b/>
                <w:sz w:val="20"/>
                <w:szCs w:val="20"/>
                <w:lang w:val="es-ES_tradnl"/>
              </w:rPr>
            </w:pPr>
            <w:r>
              <w:rPr>
                <w:b/>
                <w:sz w:val="20"/>
                <w:szCs w:val="20"/>
                <w:lang w:val="es-ES_tradnl"/>
              </w:rPr>
              <w:t>(Pesos)</w:t>
            </w:r>
          </w:p>
          <w:p w14:paraId="47C623BE" w14:textId="77777777" w:rsidR="007701BE" w:rsidRPr="00FF673A" w:rsidRDefault="007701BE" w:rsidP="00874B2D">
            <w:pPr>
              <w:jc w:val="center"/>
              <w:rPr>
                <w:b/>
                <w:sz w:val="20"/>
                <w:szCs w:val="20"/>
                <w:lang w:val="es-ES_tradnl"/>
              </w:rPr>
            </w:pPr>
          </w:p>
        </w:tc>
      </w:tr>
      <w:tr w:rsidR="007701BE" w:rsidRPr="00FF673A" w14:paraId="6AA43BA6" w14:textId="77777777" w:rsidTr="00874B2D">
        <w:tc>
          <w:tcPr>
            <w:tcW w:w="1134" w:type="dxa"/>
          </w:tcPr>
          <w:p w14:paraId="5CD33D4A" w14:textId="77777777" w:rsidR="007701BE" w:rsidRPr="00FF673A" w:rsidRDefault="007701BE" w:rsidP="00874B2D">
            <w:pPr>
              <w:jc w:val="center"/>
              <w:rPr>
                <w:b/>
                <w:sz w:val="20"/>
                <w:szCs w:val="20"/>
                <w:lang w:val="es-ES_tradnl"/>
              </w:rPr>
            </w:pPr>
            <w:r w:rsidRPr="00141D49">
              <w:rPr>
                <w:b/>
                <w:sz w:val="20"/>
                <w:szCs w:val="20"/>
                <w:lang w:val="es-ES_tradnl"/>
              </w:rPr>
              <w:t>138490</w:t>
            </w:r>
          </w:p>
        </w:tc>
        <w:tc>
          <w:tcPr>
            <w:tcW w:w="6379" w:type="dxa"/>
          </w:tcPr>
          <w:p w14:paraId="2EE32663" w14:textId="77777777" w:rsidR="007701BE" w:rsidRPr="005E55B4" w:rsidRDefault="007701BE" w:rsidP="00874B2D">
            <w:pPr>
              <w:rPr>
                <w:sz w:val="20"/>
                <w:szCs w:val="20"/>
                <w:lang w:val="es-ES_tradnl"/>
              </w:rPr>
            </w:pPr>
          </w:p>
        </w:tc>
        <w:tc>
          <w:tcPr>
            <w:tcW w:w="2410" w:type="dxa"/>
          </w:tcPr>
          <w:p w14:paraId="5B446A05" w14:textId="77777777" w:rsidR="007701BE" w:rsidRPr="00FF673A" w:rsidRDefault="007701BE" w:rsidP="00874B2D">
            <w:pPr>
              <w:jc w:val="right"/>
              <w:rPr>
                <w:b/>
                <w:sz w:val="20"/>
                <w:szCs w:val="20"/>
                <w:lang w:val="es-ES_tradnl"/>
              </w:rPr>
            </w:pPr>
            <w:r>
              <w:rPr>
                <w:b/>
                <w:sz w:val="20"/>
                <w:szCs w:val="20"/>
                <w:lang w:val="es-ES_tradnl"/>
              </w:rPr>
              <w:t>9.902.408,53</w:t>
            </w:r>
          </w:p>
        </w:tc>
      </w:tr>
      <w:tr w:rsidR="007701BE" w:rsidRPr="00FF673A" w14:paraId="4EB6B56A" w14:textId="77777777" w:rsidTr="00874B2D">
        <w:tc>
          <w:tcPr>
            <w:tcW w:w="1134" w:type="dxa"/>
          </w:tcPr>
          <w:p w14:paraId="3991367B" w14:textId="77777777" w:rsidR="007701BE" w:rsidRPr="00FF673A" w:rsidRDefault="007701BE" w:rsidP="00874B2D">
            <w:pPr>
              <w:jc w:val="center"/>
              <w:rPr>
                <w:b/>
                <w:sz w:val="20"/>
                <w:szCs w:val="20"/>
                <w:lang w:val="es-ES_tradnl"/>
              </w:rPr>
            </w:pPr>
            <w:r>
              <w:rPr>
                <w:b/>
                <w:sz w:val="20"/>
                <w:szCs w:val="20"/>
                <w:lang w:val="es-ES_tradnl"/>
              </w:rPr>
              <w:t>190590</w:t>
            </w:r>
          </w:p>
        </w:tc>
        <w:tc>
          <w:tcPr>
            <w:tcW w:w="6379" w:type="dxa"/>
          </w:tcPr>
          <w:p w14:paraId="12E3EB19" w14:textId="77777777" w:rsidR="007701BE" w:rsidRPr="005E55B4" w:rsidRDefault="007701BE" w:rsidP="00874B2D">
            <w:pPr>
              <w:rPr>
                <w:sz w:val="20"/>
                <w:szCs w:val="20"/>
                <w:lang w:val="es-ES_tradnl"/>
              </w:rPr>
            </w:pPr>
          </w:p>
        </w:tc>
        <w:tc>
          <w:tcPr>
            <w:tcW w:w="2410" w:type="dxa"/>
          </w:tcPr>
          <w:p w14:paraId="4CBECC76" w14:textId="77777777" w:rsidR="007701BE" w:rsidRPr="00FF673A" w:rsidRDefault="007701BE" w:rsidP="00874B2D">
            <w:pPr>
              <w:jc w:val="right"/>
              <w:rPr>
                <w:b/>
                <w:sz w:val="20"/>
                <w:szCs w:val="20"/>
                <w:lang w:val="es-ES_tradnl"/>
              </w:rPr>
            </w:pPr>
            <w:r>
              <w:rPr>
                <w:b/>
                <w:sz w:val="20"/>
                <w:szCs w:val="20"/>
                <w:lang w:val="es-ES_tradnl"/>
              </w:rPr>
              <w:t>242.377.235,37</w:t>
            </w:r>
          </w:p>
        </w:tc>
      </w:tr>
      <w:tr w:rsidR="007701BE" w:rsidRPr="00FF673A" w14:paraId="0EF134D5" w14:textId="77777777" w:rsidTr="00874B2D">
        <w:tc>
          <w:tcPr>
            <w:tcW w:w="1134" w:type="dxa"/>
          </w:tcPr>
          <w:p w14:paraId="525A8896" w14:textId="77777777" w:rsidR="007701BE" w:rsidRPr="00FF673A" w:rsidRDefault="007701BE" w:rsidP="00874B2D">
            <w:pPr>
              <w:jc w:val="center"/>
              <w:rPr>
                <w:b/>
                <w:sz w:val="20"/>
                <w:szCs w:val="20"/>
                <w:lang w:val="es-ES_tradnl"/>
              </w:rPr>
            </w:pPr>
            <w:r>
              <w:rPr>
                <w:b/>
                <w:sz w:val="20"/>
                <w:szCs w:val="20"/>
                <w:lang w:val="es-ES_tradnl"/>
              </w:rPr>
              <w:t>240790</w:t>
            </w:r>
          </w:p>
        </w:tc>
        <w:tc>
          <w:tcPr>
            <w:tcW w:w="6379" w:type="dxa"/>
          </w:tcPr>
          <w:p w14:paraId="7636BD9A" w14:textId="77777777" w:rsidR="007701BE" w:rsidRPr="005E55B4" w:rsidRDefault="007701BE" w:rsidP="00874B2D">
            <w:pPr>
              <w:rPr>
                <w:sz w:val="20"/>
                <w:szCs w:val="20"/>
                <w:lang w:val="es-ES_tradnl"/>
              </w:rPr>
            </w:pPr>
          </w:p>
        </w:tc>
        <w:tc>
          <w:tcPr>
            <w:tcW w:w="2410" w:type="dxa"/>
          </w:tcPr>
          <w:p w14:paraId="2D14B85B" w14:textId="77777777" w:rsidR="007701BE" w:rsidRPr="00FF673A" w:rsidRDefault="007701BE" w:rsidP="00874B2D">
            <w:pPr>
              <w:jc w:val="right"/>
              <w:rPr>
                <w:b/>
                <w:sz w:val="20"/>
                <w:szCs w:val="20"/>
                <w:lang w:val="es-ES_tradnl"/>
              </w:rPr>
            </w:pPr>
            <w:r>
              <w:rPr>
                <w:b/>
                <w:sz w:val="20"/>
                <w:szCs w:val="20"/>
                <w:lang w:val="es-ES_tradnl"/>
              </w:rPr>
              <w:t>39.043.603.275,52</w:t>
            </w:r>
          </w:p>
        </w:tc>
      </w:tr>
      <w:tr w:rsidR="007701BE" w:rsidRPr="00FF673A" w14:paraId="775B168A" w14:textId="77777777" w:rsidTr="00874B2D">
        <w:tc>
          <w:tcPr>
            <w:tcW w:w="1134" w:type="dxa"/>
          </w:tcPr>
          <w:p w14:paraId="56848494" w14:textId="77777777" w:rsidR="007701BE" w:rsidRPr="00FF673A" w:rsidRDefault="007701BE" w:rsidP="00874B2D">
            <w:pPr>
              <w:jc w:val="center"/>
              <w:rPr>
                <w:b/>
                <w:sz w:val="20"/>
                <w:szCs w:val="20"/>
                <w:lang w:val="es-ES_tradnl"/>
              </w:rPr>
            </w:pPr>
            <w:r>
              <w:rPr>
                <w:b/>
                <w:sz w:val="20"/>
                <w:szCs w:val="20"/>
                <w:lang w:val="es-ES_tradnl"/>
              </w:rPr>
              <w:t>242490</w:t>
            </w:r>
          </w:p>
        </w:tc>
        <w:tc>
          <w:tcPr>
            <w:tcW w:w="6379" w:type="dxa"/>
          </w:tcPr>
          <w:p w14:paraId="34DEFA42" w14:textId="77777777" w:rsidR="007701BE" w:rsidRPr="005E55B4" w:rsidRDefault="007701BE" w:rsidP="00874B2D">
            <w:pPr>
              <w:rPr>
                <w:sz w:val="20"/>
                <w:szCs w:val="20"/>
                <w:lang w:val="es-ES_tradnl"/>
              </w:rPr>
            </w:pPr>
          </w:p>
        </w:tc>
        <w:tc>
          <w:tcPr>
            <w:tcW w:w="2410" w:type="dxa"/>
          </w:tcPr>
          <w:p w14:paraId="69337D4E" w14:textId="77777777" w:rsidR="007701BE" w:rsidRPr="00FF673A" w:rsidRDefault="007701BE" w:rsidP="00874B2D">
            <w:pPr>
              <w:jc w:val="right"/>
              <w:rPr>
                <w:b/>
                <w:sz w:val="20"/>
                <w:szCs w:val="20"/>
                <w:lang w:val="es-ES_tradnl"/>
              </w:rPr>
            </w:pPr>
            <w:r>
              <w:rPr>
                <w:b/>
                <w:sz w:val="20"/>
                <w:szCs w:val="20"/>
                <w:lang w:val="es-ES_tradnl"/>
              </w:rPr>
              <w:t>13.541.336,70</w:t>
            </w:r>
          </w:p>
        </w:tc>
      </w:tr>
      <w:tr w:rsidR="007701BE" w:rsidRPr="00FF673A" w14:paraId="72A8BB40" w14:textId="77777777" w:rsidTr="00874B2D">
        <w:tc>
          <w:tcPr>
            <w:tcW w:w="1134" w:type="dxa"/>
          </w:tcPr>
          <w:p w14:paraId="7C7C99F9" w14:textId="77777777" w:rsidR="007701BE" w:rsidRPr="00FF673A" w:rsidRDefault="007701BE" w:rsidP="00874B2D">
            <w:pPr>
              <w:jc w:val="center"/>
              <w:rPr>
                <w:b/>
                <w:sz w:val="20"/>
                <w:szCs w:val="20"/>
                <w:lang w:val="es-ES_tradnl"/>
              </w:rPr>
            </w:pPr>
            <w:r>
              <w:rPr>
                <w:b/>
                <w:sz w:val="20"/>
                <w:szCs w:val="20"/>
                <w:lang w:val="es-ES_tradnl"/>
              </w:rPr>
              <w:t>243690</w:t>
            </w:r>
          </w:p>
        </w:tc>
        <w:tc>
          <w:tcPr>
            <w:tcW w:w="6379" w:type="dxa"/>
          </w:tcPr>
          <w:p w14:paraId="532BF0BF" w14:textId="77777777" w:rsidR="007701BE" w:rsidRPr="005E55B4" w:rsidRDefault="007701BE" w:rsidP="00874B2D">
            <w:pPr>
              <w:rPr>
                <w:sz w:val="20"/>
                <w:szCs w:val="20"/>
                <w:lang w:val="es-ES_tradnl"/>
              </w:rPr>
            </w:pPr>
          </w:p>
        </w:tc>
        <w:tc>
          <w:tcPr>
            <w:tcW w:w="2410" w:type="dxa"/>
          </w:tcPr>
          <w:p w14:paraId="57BFC300" w14:textId="77777777" w:rsidR="007701BE" w:rsidRPr="00FF673A" w:rsidRDefault="007701BE" w:rsidP="00874B2D">
            <w:pPr>
              <w:jc w:val="right"/>
              <w:rPr>
                <w:b/>
                <w:sz w:val="20"/>
                <w:szCs w:val="20"/>
                <w:lang w:val="es-ES_tradnl"/>
              </w:rPr>
            </w:pPr>
            <w:r>
              <w:rPr>
                <w:b/>
                <w:sz w:val="20"/>
                <w:szCs w:val="20"/>
                <w:lang w:val="es-ES_tradnl"/>
              </w:rPr>
              <w:t>16.798.455,99</w:t>
            </w:r>
          </w:p>
        </w:tc>
      </w:tr>
      <w:tr w:rsidR="007701BE" w:rsidRPr="00FF673A" w14:paraId="512E8968" w14:textId="77777777" w:rsidTr="00874B2D">
        <w:tc>
          <w:tcPr>
            <w:tcW w:w="1134" w:type="dxa"/>
          </w:tcPr>
          <w:p w14:paraId="4E2487CD" w14:textId="77777777" w:rsidR="007701BE" w:rsidRPr="00FF673A" w:rsidRDefault="007701BE" w:rsidP="00874B2D">
            <w:pPr>
              <w:jc w:val="center"/>
              <w:rPr>
                <w:b/>
                <w:sz w:val="20"/>
                <w:szCs w:val="20"/>
                <w:lang w:val="es-ES_tradnl"/>
              </w:rPr>
            </w:pPr>
            <w:r>
              <w:rPr>
                <w:b/>
                <w:sz w:val="20"/>
                <w:szCs w:val="20"/>
                <w:lang w:val="es-ES_tradnl"/>
              </w:rPr>
              <w:t>480890</w:t>
            </w:r>
          </w:p>
        </w:tc>
        <w:tc>
          <w:tcPr>
            <w:tcW w:w="6379" w:type="dxa"/>
          </w:tcPr>
          <w:p w14:paraId="6A7A9F8F" w14:textId="77777777" w:rsidR="007701BE" w:rsidRPr="005E55B4" w:rsidRDefault="007701BE" w:rsidP="00874B2D">
            <w:pPr>
              <w:rPr>
                <w:sz w:val="20"/>
                <w:szCs w:val="20"/>
                <w:lang w:val="es-ES_tradnl"/>
              </w:rPr>
            </w:pPr>
          </w:p>
        </w:tc>
        <w:tc>
          <w:tcPr>
            <w:tcW w:w="2410" w:type="dxa"/>
          </w:tcPr>
          <w:p w14:paraId="7D4813DA" w14:textId="77777777" w:rsidR="007701BE" w:rsidRPr="00FF673A" w:rsidRDefault="007701BE" w:rsidP="00874B2D">
            <w:pPr>
              <w:jc w:val="right"/>
              <w:rPr>
                <w:b/>
                <w:sz w:val="20"/>
                <w:szCs w:val="20"/>
                <w:lang w:val="es-ES_tradnl"/>
              </w:rPr>
            </w:pPr>
            <w:r>
              <w:rPr>
                <w:b/>
                <w:sz w:val="20"/>
                <w:szCs w:val="20"/>
                <w:lang w:val="es-ES_tradnl"/>
              </w:rPr>
              <w:t>378.898.904,57</w:t>
            </w:r>
          </w:p>
        </w:tc>
      </w:tr>
      <w:tr w:rsidR="007701BE" w:rsidRPr="00FF673A" w14:paraId="1BE84583" w14:textId="77777777" w:rsidTr="00874B2D">
        <w:tc>
          <w:tcPr>
            <w:tcW w:w="1134" w:type="dxa"/>
          </w:tcPr>
          <w:p w14:paraId="015A3453" w14:textId="77777777" w:rsidR="007701BE" w:rsidRPr="00FF673A" w:rsidRDefault="007701BE" w:rsidP="00874B2D">
            <w:pPr>
              <w:jc w:val="center"/>
              <w:rPr>
                <w:b/>
                <w:sz w:val="20"/>
                <w:szCs w:val="20"/>
                <w:lang w:val="es-ES_tradnl"/>
              </w:rPr>
            </w:pPr>
            <w:r>
              <w:rPr>
                <w:b/>
                <w:sz w:val="20"/>
                <w:szCs w:val="20"/>
                <w:lang w:val="es-ES_tradnl"/>
              </w:rPr>
              <w:t>510790</w:t>
            </w:r>
          </w:p>
        </w:tc>
        <w:tc>
          <w:tcPr>
            <w:tcW w:w="6379" w:type="dxa"/>
          </w:tcPr>
          <w:p w14:paraId="7C9609F3" w14:textId="77777777" w:rsidR="007701BE" w:rsidRPr="005E55B4" w:rsidRDefault="007701BE" w:rsidP="00874B2D">
            <w:pPr>
              <w:rPr>
                <w:sz w:val="20"/>
                <w:szCs w:val="20"/>
                <w:lang w:val="es-ES_tradnl"/>
              </w:rPr>
            </w:pPr>
          </w:p>
        </w:tc>
        <w:tc>
          <w:tcPr>
            <w:tcW w:w="2410" w:type="dxa"/>
          </w:tcPr>
          <w:p w14:paraId="23089927" w14:textId="77777777" w:rsidR="007701BE" w:rsidRPr="00FF673A" w:rsidRDefault="007701BE" w:rsidP="00874B2D">
            <w:pPr>
              <w:jc w:val="right"/>
              <w:rPr>
                <w:b/>
                <w:sz w:val="20"/>
                <w:szCs w:val="20"/>
                <w:lang w:val="es-ES_tradnl"/>
              </w:rPr>
            </w:pPr>
            <w:r>
              <w:rPr>
                <w:b/>
                <w:sz w:val="20"/>
                <w:szCs w:val="20"/>
                <w:lang w:val="es-ES_tradnl"/>
              </w:rPr>
              <w:t>279.038.578,00</w:t>
            </w:r>
          </w:p>
        </w:tc>
      </w:tr>
      <w:tr w:rsidR="007701BE" w:rsidRPr="00FF673A" w14:paraId="6A3741F3" w14:textId="77777777" w:rsidTr="00874B2D">
        <w:tc>
          <w:tcPr>
            <w:tcW w:w="1134" w:type="dxa"/>
          </w:tcPr>
          <w:p w14:paraId="38BF6BFC" w14:textId="77777777" w:rsidR="007701BE" w:rsidRPr="00FF673A" w:rsidRDefault="007701BE" w:rsidP="00874B2D">
            <w:pPr>
              <w:jc w:val="center"/>
              <w:rPr>
                <w:b/>
                <w:sz w:val="20"/>
                <w:szCs w:val="20"/>
                <w:lang w:val="es-ES_tradnl"/>
              </w:rPr>
            </w:pPr>
            <w:r>
              <w:rPr>
                <w:b/>
                <w:sz w:val="20"/>
                <w:szCs w:val="20"/>
                <w:lang w:val="es-ES_tradnl"/>
              </w:rPr>
              <w:t>510890</w:t>
            </w:r>
          </w:p>
        </w:tc>
        <w:tc>
          <w:tcPr>
            <w:tcW w:w="6379" w:type="dxa"/>
          </w:tcPr>
          <w:p w14:paraId="229E81A2" w14:textId="77777777" w:rsidR="007701BE" w:rsidRPr="005E55B4" w:rsidRDefault="007701BE" w:rsidP="00874B2D">
            <w:pPr>
              <w:rPr>
                <w:sz w:val="20"/>
                <w:szCs w:val="20"/>
                <w:lang w:val="es-ES_tradnl"/>
              </w:rPr>
            </w:pPr>
          </w:p>
        </w:tc>
        <w:tc>
          <w:tcPr>
            <w:tcW w:w="2410" w:type="dxa"/>
          </w:tcPr>
          <w:p w14:paraId="35DFEA96" w14:textId="77777777" w:rsidR="007701BE" w:rsidRPr="00FF673A" w:rsidRDefault="007701BE" w:rsidP="00874B2D">
            <w:pPr>
              <w:jc w:val="right"/>
              <w:rPr>
                <w:b/>
                <w:sz w:val="20"/>
                <w:szCs w:val="20"/>
                <w:lang w:val="es-ES_tradnl"/>
              </w:rPr>
            </w:pPr>
            <w:r>
              <w:rPr>
                <w:b/>
                <w:sz w:val="20"/>
                <w:szCs w:val="20"/>
                <w:lang w:val="es-ES_tradnl"/>
              </w:rPr>
              <w:t>7.265.800,00</w:t>
            </w:r>
          </w:p>
        </w:tc>
      </w:tr>
      <w:tr w:rsidR="007701BE" w:rsidRPr="00FF673A" w14:paraId="7D7928B9" w14:textId="77777777" w:rsidTr="00874B2D">
        <w:tc>
          <w:tcPr>
            <w:tcW w:w="1134" w:type="dxa"/>
          </w:tcPr>
          <w:p w14:paraId="64E9EFBA" w14:textId="77777777" w:rsidR="007701BE" w:rsidRPr="00FF673A" w:rsidRDefault="007701BE" w:rsidP="00874B2D">
            <w:pPr>
              <w:jc w:val="center"/>
              <w:rPr>
                <w:b/>
                <w:sz w:val="20"/>
                <w:szCs w:val="20"/>
                <w:lang w:val="es-ES_tradnl"/>
              </w:rPr>
            </w:pPr>
            <w:r>
              <w:rPr>
                <w:b/>
                <w:sz w:val="20"/>
                <w:szCs w:val="20"/>
                <w:lang w:val="es-ES_tradnl"/>
              </w:rPr>
              <w:t>542390</w:t>
            </w:r>
          </w:p>
        </w:tc>
        <w:tc>
          <w:tcPr>
            <w:tcW w:w="6379" w:type="dxa"/>
          </w:tcPr>
          <w:p w14:paraId="7D9E9459" w14:textId="77777777" w:rsidR="007701BE" w:rsidRPr="005E55B4" w:rsidRDefault="007701BE" w:rsidP="00874B2D">
            <w:pPr>
              <w:rPr>
                <w:sz w:val="20"/>
                <w:szCs w:val="20"/>
                <w:lang w:val="es-ES_tradnl"/>
              </w:rPr>
            </w:pPr>
          </w:p>
        </w:tc>
        <w:tc>
          <w:tcPr>
            <w:tcW w:w="2410" w:type="dxa"/>
          </w:tcPr>
          <w:p w14:paraId="47AE1C1C" w14:textId="77777777" w:rsidR="007701BE" w:rsidRPr="00FF673A" w:rsidRDefault="007701BE" w:rsidP="00874B2D">
            <w:pPr>
              <w:jc w:val="right"/>
              <w:rPr>
                <w:b/>
                <w:sz w:val="20"/>
                <w:szCs w:val="20"/>
                <w:lang w:val="es-ES_tradnl"/>
              </w:rPr>
            </w:pPr>
            <w:r>
              <w:rPr>
                <w:b/>
                <w:sz w:val="20"/>
                <w:szCs w:val="20"/>
                <w:lang w:val="es-ES_tradnl"/>
              </w:rPr>
              <w:t>693.609.004.548,20</w:t>
            </w:r>
          </w:p>
        </w:tc>
      </w:tr>
      <w:tr w:rsidR="007701BE" w:rsidRPr="00FF673A" w14:paraId="341572A8" w14:textId="77777777" w:rsidTr="00874B2D">
        <w:tc>
          <w:tcPr>
            <w:tcW w:w="1134" w:type="dxa"/>
          </w:tcPr>
          <w:p w14:paraId="2C1C3725" w14:textId="77777777" w:rsidR="007701BE" w:rsidRPr="00FF673A" w:rsidRDefault="007701BE" w:rsidP="00874B2D">
            <w:pPr>
              <w:jc w:val="center"/>
              <w:rPr>
                <w:b/>
                <w:sz w:val="20"/>
                <w:szCs w:val="20"/>
                <w:lang w:val="es-ES_tradnl"/>
              </w:rPr>
            </w:pPr>
            <w:r>
              <w:rPr>
                <w:b/>
                <w:sz w:val="20"/>
                <w:szCs w:val="20"/>
                <w:lang w:val="es-ES_tradnl"/>
              </w:rPr>
              <w:t>572290</w:t>
            </w:r>
          </w:p>
        </w:tc>
        <w:tc>
          <w:tcPr>
            <w:tcW w:w="6379" w:type="dxa"/>
          </w:tcPr>
          <w:p w14:paraId="517C5CAF" w14:textId="77777777" w:rsidR="007701BE" w:rsidRPr="005E55B4" w:rsidRDefault="007701BE" w:rsidP="00874B2D">
            <w:pPr>
              <w:rPr>
                <w:sz w:val="20"/>
                <w:szCs w:val="20"/>
                <w:lang w:val="es-ES_tradnl"/>
              </w:rPr>
            </w:pPr>
          </w:p>
        </w:tc>
        <w:tc>
          <w:tcPr>
            <w:tcW w:w="2410" w:type="dxa"/>
          </w:tcPr>
          <w:p w14:paraId="2AFC820A" w14:textId="77777777" w:rsidR="007701BE" w:rsidRPr="00FF673A" w:rsidRDefault="007701BE" w:rsidP="00874B2D">
            <w:pPr>
              <w:jc w:val="right"/>
              <w:rPr>
                <w:b/>
                <w:sz w:val="20"/>
                <w:szCs w:val="20"/>
                <w:lang w:val="es-ES_tradnl"/>
              </w:rPr>
            </w:pPr>
            <w:r>
              <w:rPr>
                <w:b/>
                <w:sz w:val="20"/>
                <w:szCs w:val="20"/>
                <w:lang w:val="es-ES_tradnl"/>
              </w:rPr>
              <w:t>149.332.012.996,81</w:t>
            </w:r>
          </w:p>
        </w:tc>
      </w:tr>
      <w:tr w:rsidR="007701BE" w:rsidRPr="00FF673A" w14:paraId="00B6E7DE" w14:textId="77777777" w:rsidTr="00874B2D">
        <w:tc>
          <w:tcPr>
            <w:tcW w:w="1134" w:type="dxa"/>
          </w:tcPr>
          <w:p w14:paraId="35DC5346" w14:textId="77777777" w:rsidR="007701BE" w:rsidRPr="00FF673A" w:rsidRDefault="007701BE" w:rsidP="00874B2D">
            <w:pPr>
              <w:jc w:val="center"/>
              <w:rPr>
                <w:b/>
                <w:sz w:val="20"/>
                <w:szCs w:val="20"/>
                <w:lang w:val="es-ES_tradnl"/>
              </w:rPr>
            </w:pPr>
            <w:r>
              <w:rPr>
                <w:b/>
                <w:sz w:val="20"/>
                <w:szCs w:val="20"/>
                <w:lang w:val="es-ES_tradnl"/>
              </w:rPr>
              <w:t>589090</w:t>
            </w:r>
          </w:p>
        </w:tc>
        <w:tc>
          <w:tcPr>
            <w:tcW w:w="6379" w:type="dxa"/>
          </w:tcPr>
          <w:p w14:paraId="60737FC4" w14:textId="77777777" w:rsidR="007701BE" w:rsidRPr="005E55B4" w:rsidRDefault="007701BE" w:rsidP="00874B2D">
            <w:pPr>
              <w:rPr>
                <w:sz w:val="20"/>
                <w:szCs w:val="20"/>
                <w:lang w:val="es-ES_tradnl"/>
              </w:rPr>
            </w:pPr>
          </w:p>
        </w:tc>
        <w:tc>
          <w:tcPr>
            <w:tcW w:w="2410" w:type="dxa"/>
          </w:tcPr>
          <w:p w14:paraId="49F96C27" w14:textId="77777777" w:rsidR="007701BE" w:rsidRPr="00FF673A" w:rsidRDefault="007701BE" w:rsidP="00874B2D">
            <w:pPr>
              <w:jc w:val="right"/>
              <w:rPr>
                <w:b/>
                <w:sz w:val="20"/>
                <w:szCs w:val="20"/>
                <w:lang w:val="es-ES_tradnl"/>
              </w:rPr>
            </w:pPr>
            <w:r>
              <w:rPr>
                <w:b/>
                <w:sz w:val="20"/>
                <w:szCs w:val="20"/>
                <w:lang w:val="es-ES_tradnl"/>
              </w:rPr>
              <w:t>41.217,54</w:t>
            </w:r>
          </w:p>
        </w:tc>
      </w:tr>
      <w:tr w:rsidR="007701BE" w:rsidRPr="00FF673A" w14:paraId="22E37E41" w14:textId="77777777" w:rsidTr="00874B2D">
        <w:tc>
          <w:tcPr>
            <w:tcW w:w="1134" w:type="dxa"/>
          </w:tcPr>
          <w:p w14:paraId="03E9DF02" w14:textId="77777777" w:rsidR="007701BE" w:rsidRPr="00FF673A" w:rsidRDefault="007701BE" w:rsidP="00874B2D">
            <w:pPr>
              <w:jc w:val="center"/>
              <w:rPr>
                <w:b/>
                <w:sz w:val="20"/>
                <w:szCs w:val="20"/>
                <w:lang w:val="es-ES_tradnl"/>
              </w:rPr>
            </w:pPr>
            <w:r>
              <w:rPr>
                <w:b/>
                <w:sz w:val="20"/>
                <w:szCs w:val="20"/>
                <w:lang w:val="es-ES_tradnl"/>
              </w:rPr>
              <w:t>831590</w:t>
            </w:r>
          </w:p>
        </w:tc>
        <w:tc>
          <w:tcPr>
            <w:tcW w:w="6379" w:type="dxa"/>
          </w:tcPr>
          <w:p w14:paraId="3E1CFB69" w14:textId="77777777" w:rsidR="007701BE" w:rsidRPr="005E55B4" w:rsidRDefault="007701BE" w:rsidP="00874B2D">
            <w:pPr>
              <w:rPr>
                <w:sz w:val="20"/>
                <w:szCs w:val="20"/>
                <w:lang w:val="es-ES_tradnl"/>
              </w:rPr>
            </w:pPr>
          </w:p>
        </w:tc>
        <w:tc>
          <w:tcPr>
            <w:tcW w:w="2410" w:type="dxa"/>
          </w:tcPr>
          <w:p w14:paraId="78E5CC82" w14:textId="77777777" w:rsidR="007701BE" w:rsidRPr="00FF673A" w:rsidRDefault="007701BE" w:rsidP="00874B2D">
            <w:pPr>
              <w:jc w:val="right"/>
              <w:rPr>
                <w:b/>
                <w:sz w:val="20"/>
                <w:szCs w:val="20"/>
                <w:lang w:val="es-ES_tradnl"/>
              </w:rPr>
            </w:pPr>
            <w:r>
              <w:rPr>
                <w:b/>
                <w:sz w:val="20"/>
                <w:szCs w:val="20"/>
                <w:lang w:val="es-ES_tradnl"/>
              </w:rPr>
              <w:t>121.709.653,90</w:t>
            </w:r>
          </w:p>
        </w:tc>
      </w:tr>
      <w:tr w:rsidR="007701BE" w:rsidRPr="00FF673A" w14:paraId="7301D5B8" w14:textId="77777777" w:rsidTr="00874B2D">
        <w:tc>
          <w:tcPr>
            <w:tcW w:w="1134" w:type="dxa"/>
          </w:tcPr>
          <w:p w14:paraId="0C6F542A" w14:textId="77777777" w:rsidR="007701BE" w:rsidRPr="00FF673A" w:rsidRDefault="007701BE" w:rsidP="00874B2D">
            <w:pPr>
              <w:jc w:val="center"/>
              <w:rPr>
                <w:b/>
                <w:sz w:val="20"/>
                <w:szCs w:val="20"/>
                <w:lang w:val="es-ES_tradnl"/>
              </w:rPr>
            </w:pPr>
            <w:r>
              <w:rPr>
                <w:b/>
                <w:sz w:val="20"/>
                <w:szCs w:val="20"/>
                <w:lang w:val="es-ES_tradnl"/>
              </w:rPr>
              <w:t>839090</w:t>
            </w:r>
          </w:p>
        </w:tc>
        <w:tc>
          <w:tcPr>
            <w:tcW w:w="6379" w:type="dxa"/>
          </w:tcPr>
          <w:p w14:paraId="25FC8CDA" w14:textId="77777777" w:rsidR="007701BE" w:rsidRPr="005E55B4" w:rsidRDefault="007701BE" w:rsidP="00874B2D">
            <w:pPr>
              <w:rPr>
                <w:sz w:val="20"/>
                <w:szCs w:val="20"/>
                <w:lang w:val="es-ES_tradnl"/>
              </w:rPr>
            </w:pPr>
          </w:p>
        </w:tc>
        <w:tc>
          <w:tcPr>
            <w:tcW w:w="2410" w:type="dxa"/>
          </w:tcPr>
          <w:p w14:paraId="64B44682" w14:textId="77777777" w:rsidR="007701BE" w:rsidRPr="00FF673A" w:rsidRDefault="007701BE" w:rsidP="00874B2D">
            <w:pPr>
              <w:jc w:val="right"/>
              <w:rPr>
                <w:b/>
                <w:sz w:val="20"/>
                <w:szCs w:val="20"/>
                <w:lang w:val="es-ES_tradnl"/>
              </w:rPr>
            </w:pPr>
            <w:r>
              <w:rPr>
                <w:b/>
                <w:sz w:val="20"/>
                <w:szCs w:val="20"/>
                <w:lang w:val="es-ES_tradnl"/>
              </w:rPr>
              <w:t>5.476.675,31</w:t>
            </w:r>
          </w:p>
        </w:tc>
      </w:tr>
      <w:tr w:rsidR="007701BE" w:rsidRPr="00FF673A" w14:paraId="1D984B5A" w14:textId="77777777" w:rsidTr="00874B2D">
        <w:tc>
          <w:tcPr>
            <w:tcW w:w="1134" w:type="dxa"/>
          </w:tcPr>
          <w:p w14:paraId="2870F4A6" w14:textId="77777777" w:rsidR="007701BE" w:rsidRPr="00FF673A" w:rsidRDefault="007701BE" w:rsidP="00874B2D">
            <w:pPr>
              <w:jc w:val="center"/>
              <w:rPr>
                <w:b/>
                <w:sz w:val="20"/>
                <w:szCs w:val="20"/>
                <w:lang w:val="es-ES_tradnl"/>
              </w:rPr>
            </w:pPr>
            <w:r>
              <w:rPr>
                <w:b/>
                <w:sz w:val="20"/>
                <w:szCs w:val="20"/>
                <w:lang w:val="es-ES_tradnl"/>
              </w:rPr>
              <w:t>891590</w:t>
            </w:r>
          </w:p>
        </w:tc>
        <w:tc>
          <w:tcPr>
            <w:tcW w:w="6379" w:type="dxa"/>
          </w:tcPr>
          <w:p w14:paraId="10664113" w14:textId="77777777" w:rsidR="007701BE" w:rsidRPr="005E55B4" w:rsidRDefault="007701BE" w:rsidP="00874B2D">
            <w:pPr>
              <w:rPr>
                <w:sz w:val="20"/>
                <w:szCs w:val="20"/>
                <w:lang w:val="es-ES_tradnl"/>
              </w:rPr>
            </w:pPr>
          </w:p>
        </w:tc>
        <w:tc>
          <w:tcPr>
            <w:tcW w:w="2410" w:type="dxa"/>
          </w:tcPr>
          <w:p w14:paraId="3DDB354B" w14:textId="77777777" w:rsidR="007701BE" w:rsidRPr="00FF673A" w:rsidRDefault="007701BE" w:rsidP="00874B2D">
            <w:pPr>
              <w:jc w:val="right"/>
              <w:rPr>
                <w:b/>
                <w:sz w:val="20"/>
                <w:szCs w:val="20"/>
                <w:lang w:val="es-ES_tradnl"/>
              </w:rPr>
            </w:pPr>
            <w:r>
              <w:rPr>
                <w:b/>
                <w:sz w:val="20"/>
                <w:szCs w:val="20"/>
                <w:lang w:val="es-ES_tradnl"/>
              </w:rPr>
              <w:t>(5.476.675,31)</w:t>
            </w:r>
          </w:p>
        </w:tc>
      </w:tr>
      <w:tr w:rsidR="007701BE" w:rsidRPr="00FF673A" w14:paraId="4C18EDE0" w14:textId="77777777" w:rsidTr="00874B2D">
        <w:tc>
          <w:tcPr>
            <w:tcW w:w="1134" w:type="dxa"/>
          </w:tcPr>
          <w:p w14:paraId="768F6BA5" w14:textId="77777777" w:rsidR="007701BE" w:rsidRPr="00FF673A" w:rsidRDefault="007701BE" w:rsidP="00874B2D">
            <w:pPr>
              <w:jc w:val="center"/>
              <w:rPr>
                <w:b/>
                <w:sz w:val="20"/>
                <w:szCs w:val="20"/>
                <w:lang w:val="es-ES_tradnl"/>
              </w:rPr>
            </w:pPr>
            <w:r>
              <w:rPr>
                <w:b/>
                <w:sz w:val="20"/>
                <w:szCs w:val="20"/>
                <w:lang w:val="es-ES_tradnl"/>
              </w:rPr>
              <w:t>930690</w:t>
            </w:r>
          </w:p>
        </w:tc>
        <w:tc>
          <w:tcPr>
            <w:tcW w:w="6379" w:type="dxa"/>
          </w:tcPr>
          <w:p w14:paraId="7721A2BB" w14:textId="77777777" w:rsidR="007701BE" w:rsidRPr="005E55B4" w:rsidRDefault="007701BE" w:rsidP="00874B2D">
            <w:pPr>
              <w:rPr>
                <w:sz w:val="20"/>
                <w:szCs w:val="20"/>
                <w:lang w:val="es-ES_tradnl"/>
              </w:rPr>
            </w:pPr>
          </w:p>
        </w:tc>
        <w:tc>
          <w:tcPr>
            <w:tcW w:w="2410" w:type="dxa"/>
          </w:tcPr>
          <w:p w14:paraId="606CE1A2" w14:textId="77777777" w:rsidR="007701BE" w:rsidRPr="00FF673A" w:rsidRDefault="007701BE" w:rsidP="00874B2D">
            <w:pPr>
              <w:jc w:val="right"/>
              <w:rPr>
                <w:b/>
                <w:sz w:val="20"/>
                <w:szCs w:val="20"/>
                <w:lang w:val="es-ES_tradnl"/>
              </w:rPr>
            </w:pPr>
            <w:r>
              <w:rPr>
                <w:b/>
                <w:sz w:val="20"/>
                <w:szCs w:val="20"/>
                <w:lang w:val="es-ES_tradnl"/>
              </w:rPr>
              <w:t>21.800.000,00</w:t>
            </w:r>
          </w:p>
        </w:tc>
      </w:tr>
    </w:tbl>
    <w:p w14:paraId="736A8509" w14:textId="77777777" w:rsidR="007701BE" w:rsidRDefault="007701BE" w:rsidP="007701BE">
      <w:pPr>
        <w:pStyle w:val="Textoindependiente"/>
        <w:ind w:right="-50"/>
        <w:jc w:val="both"/>
        <w:rPr>
          <w:b/>
        </w:rPr>
      </w:pPr>
    </w:p>
    <w:p w14:paraId="587EA23B" w14:textId="77777777" w:rsidR="007701BE" w:rsidRPr="00B01309" w:rsidRDefault="007701BE" w:rsidP="007701BE">
      <w:pPr>
        <w:pStyle w:val="Textoindependiente"/>
        <w:ind w:right="-50"/>
        <w:jc w:val="both"/>
      </w:pPr>
      <w:r>
        <w:rPr>
          <w:b/>
        </w:rPr>
        <w:t xml:space="preserve">NOTA: </w:t>
      </w:r>
      <w:r w:rsidRPr="00B01309">
        <w:t>La entidad no envía el formato de saldos y movimientos con sus respectivos nombres de las cuentas, tal cual lo solicita la CGN.</w:t>
      </w:r>
    </w:p>
    <w:p w14:paraId="0D2283EF" w14:textId="77777777" w:rsidR="007701BE" w:rsidRDefault="007701BE" w:rsidP="007701BE">
      <w:pPr>
        <w:pStyle w:val="Textoindependiente"/>
        <w:ind w:right="-50"/>
        <w:jc w:val="both"/>
        <w:rPr>
          <w:b/>
        </w:rPr>
      </w:pPr>
    </w:p>
    <w:p w14:paraId="002C1AC8" w14:textId="77777777" w:rsidR="007701BE" w:rsidRDefault="007701BE" w:rsidP="007701BE">
      <w:pPr>
        <w:pStyle w:val="Textoindependiente"/>
        <w:ind w:right="-50"/>
        <w:jc w:val="both"/>
        <w:rPr>
          <w:b/>
        </w:rPr>
      </w:pPr>
      <w:r>
        <w:rPr>
          <w:b/>
        </w:rPr>
        <w:t>-</w:t>
      </w:r>
      <w:r w:rsidRPr="00A57374">
        <w:rPr>
          <w:b/>
        </w:rPr>
        <w:t xml:space="preserve">NOTA 5 - EFECTIVO Y EQUIVALENTES AL EFECTIVO: 5.1. Depósito en Instituciones financieras. </w:t>
      </w:r>
    </w:p>
    <w:p w14:paraId="370C0B8D" w14:textId="77777777" w:rsidR="007701BE" w:rsidRDefault="007701BE" w:rsidP="007701BE">
      <w:pPr>
        <w:pStyle w:val="Textoindependiente"/>
        <w:ind w:right="-50"/>
        <w:jc w:val="both"/>
        <w:rPr>
          <w:b/>
        </w:rPr>
      </w:pPr>
    </w:p>
    <w:p w14:paraId="6423F019" w14:textId="77777777" w:rsidR="007701BE" w:rsidRPr="00A57374" w:rsidRDefault="007701BE" w:rsidP="007701BE">
      <w:pPr>
        <w:pStyle w:val="Textoindependiente"/>
        <w:ind w:right="-50"/>
        <w:jc w:val="both"/>
        <w:rPr>
          <w:b/>
        </w:rPr>
      </w:pPr>
      <w:r w:rsidRPr="00A57374">
        <w:rPr>
          <w:b/>
        </w:rPr>
        <w:t>-NOTA 7 - CUENTAS POR COBRAR</w:t>
      </w:r>
      <w:r>
        <w:rPr>
          <w:b/>
        </w:rPr>
        <w:t>.</w:t>
      </w:r>
    </w:p>
    <w:p w14:paraId="51BEC912" w14:textId="77777777" w:rsidR="007701BE" w:rsidRDefault="007701BE" w:rsidP="007701BE">
      <w:pPr>
        <w:pStyle w:val="Textoindependiente"/>
        <w:ind w:right="-50"/>
        <w:jc w:val="both"/>
      </w:pPr>
    </w:p>
    <w:p w14:paraId="1F349726" w14:textId="77777777" w:rsidR="007701BE" w:rsidRPr="0077334F" w:rsidRDefault="007701BE" w:rsidP="007701BE">
      <w:pPr>
        <w:pStyle w:val="Textoindependiente"/>
        <w:ind w:right="-50"/>
        <w:jc w:val="both"/>
      </w:pPr>
      <w:r w:rsidRPr="0077334F">
        <w:rPr>
          <w:b/>
        </w:rPr>
        <w:t>7.4 Otras cuentas por cobrar</w:t>
      </w:r>
      <w:r>
        <w:rPr>
          <w:b/>
        </w:rPr>
        <w:t>.</w:t>
      </w:r>
      <w:r w:rsidRPr="0077334F">
        <w:rPr>
          <w:b/>
        </w:rPr>
        <w:t xml:space="preserve"> </w:t>
      </w:r>
      <w:r w:rsidRPr="0077334F">
        <w:t>El saldo a 31 de diciembre de 2024 es de $163.461.546.342,5 y las siguientes son las cuentas que lo conforman:</w:t>
      </w:r>
    </w:p>
    <w:p w14:paraId="3F975DF4" w14:textId="77777777" w:rsidR="007701BE" w:rsidRDefault="007701BE" w:rsidP="007701BE">
      <w:pPr>
        <w:pStyle w:val="Textoindependiente"/>
        <w:ind w:right="-50"/>
        <w:jc w:val="both"/>
        <w:rPr>
          <w:b/>
        </w:rPr>
      </w:pPr>
    </w:p>
    <w:p w14:paraId="2CFC289E" w14:textId="77777777" w:rsidR="007701BE" w:rsidRDefault="007701BE" w:rsidP="007701BE">
      <w:pPr>
        <w:pStyle w:val="Textoindependiente"/>
        <w:ind w:right="-50"/>
        <w:jc w:val="both"/>
        <w:rPr>
          <w:b/>
        </w:rPr>
      </w:pPr>
      <w:r w:rsidRPr="00032404">
        <w:rPr>
          <w:b/>
          <w:noProof/>
          <w:lang w:val="es-CO" w:eastAsia="es-CO"/>
        </w:rPr>
        <w:lastRenderedPageBreak/>
        <w:drawing>
          <wp:inline distT="0" distB="0" distL="0" distR="0" wp14:anchorId="67446FBF" wp14:editId="477FCF26">
            <wp:extent cx="5676900" cy="2009775"/>
            <wp:effectExtent l="0" t="0" r="0" b="9525"/>
            <wp:docPr id="1587617599" name="Imagen 158761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6900" cy="2009775"/>
                    </a:xfrm>
                    <a:prstGeom prst="rect">
                      <a:avLst/>
                    </a:prstGeom>
                  </pic:spPr>
                </pic:pic>
              </a:graphicData>
            </a:graphic>
          </wp:inline>
        </w:drawing>
      </w:r>
    </w:p>
    <w:p w14:paraId="60AEFA1B" w14:textId="77777777" w:rsidR="007701BE" w:rsidRDefault="007701BE" w:rsidP="007701BE">
      <w:pPr>
        <w:pStyle w:val="Textoindependiente"/>
        <w:ind w:right="-50"/>
        <w:jc w:val="both"/>
        <w:rPr>
          <w:b/>
        </w:rPr>
      </w:pPr>
      <w:r w:rsidRPr="00032404">
        <w:rPr>
          <w:b/>
          <w:noProof/>
          <w:lang w:val="es-CO" w:eastAsia="es-CO"/>
        </w:rPr>
        <w:drawing>
          <wp:inline distT="0" distB="0" distL="0" distR="0" wp14:anchorId="0D3AB9B4" wp14:editId="20F2DA27">
            <wp:extent cx="5695950" cy="476250"/>
            <wp:effectExtent l="0" t="0" r="0" b="0"/>
            <wp:docPr id="1441286720" name="Imagen 144128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5950" cy="476250"/>
                    </a:xfrm>
                    <a:prstGeom prst="rect">
                      <a:avLst/>
                    </a:prstGeom>
                  </pic:spPr>
                </pic:pic>
              </a:graphicData>
            </a:graphic>
          </wp:inline>
        </w:drawing>
      </w:r>
    </w:p>
    <w:p w14:paraId="33BDCD4E" w14:textId="77777777" w:rsidR="007701BE" w:rsidRDefault="007701BE" w:rsidP="007701BE">
      <w:pPr>
        <w:pStyle w:val="Textoindependiente"/>
        <w:ind w:right="-50"/>
        <w:jc w:val="both"/>
        <w:rPr>
          <w:b/>
        </w:rPr>
      </w:pPr>
    </w:p>
    <w:p w14:paraId="1379E79B" w14:textId="77777777" w:rsidR="007701BE" w:rsidRPr="009366A6" w:rsidRDefault="007701BE" w:rsidP="007701BE">
      <w:pPr>
        <w:pStyle w:val="Textoindependiente"/>
        <w:ind w:right="-50"/>
        <w:jc w:val="both"/>
      </w:pPr>
      <w:r w:rsidRPr="009366A6">
        <w:rPr>
          <w:b/>
        </w:rPr>
        <w:t>138426 Pago por cuenta de terceros</w:t>
      </w:r>
      <w:r>
        <w:rPr>
          <w:b/>
        </w:rPr>
        <w:t>.</w:t>
      </w:r>
      <w:r w:rsidRPr="009366A6">
        <w:rPr>
          <w:b/>
        </w:rPr>
        <w:t xml:space="preserve"> </w:t>
      </w:r>
      <w:r w:rsidRPr="009366A6">
        <w:t>El saldo de esta cuenta a diciembre 31 de 2024 por valor de $58.819.680,7 corresponde al valor de las indemnizaciones por incapacidades superiores a dos (2) días y licencias pendientes de reintegro a la Dirección del Tesoro Nacional – DTN a favor de la USPEC, por parte de las diferentes entidades Empresas Promotoras de Salud y Administradora de Riesgos Laborales, esta cuenta se encuentra en proceso conciliatorio entre áreas.</w:t>
      </w:r>
    </w:p>
    <w:p w14:paraId="46B6D69D" w14:textId="77777777" w:rsidR="007701BE" w:rsidRPr="009366A6" w:rsidRDefault="007701BE" w:rsidP="007701BE">
      <w:pPr>
        <w:pStyle w:val="Textoindependiente"/>
        <w:ind w:right="-50"/>
        <w:jc w:val="both"/>
      </w:pPr>
    </w:p>
    <w:p w14:paraId="6F540C70" w14:textId="77777777" w:rsidR="007701BE" w:rsidRPr="00064A98" w:rsidRDefault="007701BE" w:rsidP="007701BE">
      <w:pPr>
        <w:pStyle w:val="Textoindependiente"/>
        <w:ind w:right="-50"/>
        <w:jc w:val="both"/>
      </w:pPr>
      <w:r w:rsidRPr="009366A6">
        <w:rPr>
          <w:b/>
        </w:rPr>
        <w:t>138435- Otros intereses de mora</w:t>
      </w:r>
      <w:r>
        <w:rPr>
          <w:b/>
        </w:rPr>
        <w:t>.</w:t>
      </w:r>
      <w:r w:rsidRPr="009366A6">
        <w:rPr>
          <w:b/>
        </w:rPr>
        <w:t xml:space="preserve"> </w:t>
      </w:r>
      <w:r w:rsidRPr="00064A98">
        <w:t xml:space="preserve">El saldo a 31 de diciembre de 2024 asciende a $12.443.442,2 corresponde a: </w:t>
      </w:r>
      <w:r>
        <w:t>C</w:t>
      </w:r>
      <w:r w:rsidRPr="00064A98">
        <w:t>ausación intereses de mora desde el 07 jun 2018 al 31 dic 2024, que tienen que ver con el "</w:t>
      </w:r>
      <w:r>
        <w:t>P</w:t>
      </w:r>
      <w:r w:rsidRPr="00064A98">
        <w:t>ago de los rendimientos financieros por el periodo comprendido entre el 4 de octubre de 2017 y el 6 de junio de 2018, originados por la demora en la devolución de los $185.156.478 correspondientes al saldo del contrato 327 de 2016 celebrado entre la USPEC y la bolsa mercantil de Colombia, liquidados con la tasa de interés corriente certificado, por la superintendencia financiera de Colombia para esas fechas objeto de la liquidación"</w:t>
      </w:r>
    </w:p>
    <w:p w14:paraId="066E28DD" w14:textId="77777777" w:rsidR="007701BE" w:rsidRDefault="007701BE" w:rsidP="007701BE">
      <w:pPr>
        <w:pStyle w:val="Textoindependiente"/>
        <w:ind w:right="-50"/>
        <w:jc w:val="both"/>
        <w:rPr>
          <w:b/>
        </w:rPr>
      </w:pPr>
    </w:p>
    <w:p w14:paraId="4B2269A5" w14:textId="77777777" w:rsidR="007701BE" w:rsidRDefault="007701BE" w:rsidP="007701BE">
      <w:pPr>
        <w:pStyle w:val="Textoindependiente"/>
        <w:ind w:right="-50"/>
        <w:jc w:val="both"/>
        <w:rPr>
          <w:b/>
        </w:rPr>
      </w:pPr>
      <w:r w:rsidRPr="009366A6">
        <w:rPr>
          <w:b/>
        </w:rPr>
        <w:t>138490 - Otras cuentas por cobrar</w:t>
      </w:r>
      <w:r>
        <w:rPr>
          <w:b/>
        </w:rPr>
        <w:t>.</w:t>
      </w:r>
    </w:p>
    <w:p w14:paraId="023BC419" w14:textId="77777777" w:rsidR="007701BE" w:rsidRDefault="007701BE" w:rsidP="007701BE">
      <w:pPr>
        <w:pStyle w:val="Textoindependiente"/>
        <w:ind w:right="-50"/>
        <w:jc w:val="both"/>
        <w:rPr>
          <w:b/>
        </w:rPr>
      </w:pPr>
    </w:p>
    <w:p w14:paraId="49DEAECD" w14:textId="77777777" w:rsidR="007701BE" w:rsidRDefault="007701BE" w:rsidP="0022366E">
      <w:pPr>
        <w:pStyle w:val="Textoindependiente"/>
        <w:numPr>
          <w:ilvl w:val="0"/>
          <w:numId w:val="3"/>
        </w:numPr>
        <w:ind w:right="-50"/>
        <w:jc w:val="both"/>
      </w:pPr>
      <w:r w:rsidRPr="00064A98">
        <w:t>COMISIONISTAS FINANCIEROS AGROPECUARIOS S.A. por valor de $6.474.471,00 y corresponde a causación rendimientos que tienen que ver con "</w:t>
      </w:r>
      <w:r>
        <w:t>E</w:t>
      </w:r>
      <w:r w:rsidRPr="00064A98">
        <w:t xml:space="preserve">l pago de los rendimientos financieros por el periodo comprendido entre el 4 de octubre de 2017 y el 6 de junio de 2018, originados por la demora en la devolución de los $185.156.478 correspondientes al saldo del contrato 327 de 2016 celebrado entre la USPEC y la bolsa mercantil de Colombia, liquidados con la tasa de interés corriente certificado, por la superintendencia financiera de Colombia para esas fechas objeto de la liquidación" </w:t>
      </w:r>
    </w:p>
    <w:p w14:paraId="7EE4BF65" w14:textId="77777777" w:rsidR="007701BE" w:rsidRPr="00064A98" w:rsidRDefault="007701BE" w:rsidP="007701BE">
      <w:pPr>
        <w:pStyle w:val="Textoindependiente"/>
        <w:ind w:right="-50"/>
        <w:jc w:val="both"/>
      </w:pPr>
    </w:p>
    <w:p w14:paraId="288F7D21" w14:textId="77777777" w:rsidR="007701BE" w:rsidRDefault="007701BE" w:rsidP="007701BE">
      <w:pPr>
        <w:pStyle w:val="Textoindependiente"/>
        <w:ind w:right="-50"/>
        <w:jc w:val="both"/>
        <w:rPr>
          <w:b/>
        </w:rPr>
      </w:pPr>
      <w:r>
        <w:rPr>
          <w:b/>
        </w:rPr>
        <w:t>-</w:t>
      </w:r>
      <w:r w:rsidRPr="00B71944">
        <w:rPr>
          <w:b/>
        </w:rPr>
        <w:t>NOTA 9 – INVENTARIOS</w:t>
      </w:r>
      <w:r>
        <w:rPr>
          <w:b/>
        </w:rPr>
        <w:t>.</w:t>
      </w:r>
    </w:p>
    <w:p w14:paraId="23C02325" w14:textId="77777777" w:rsidR="007701BE" w:rsidRDefault="007701BE" w:rsidP="007701BE">
      <w:pPr>
        <w:pStyle w:val="Textoindependiente"/>
        <w:ind w:right="-50"/>
        <w:jc w:val="both"/>
        <w:rPr>
          <w:b/>
        </w:rPr>
      </w:pPr>
    </w:p>
    <w:p w14:paraId="1D111936" w14:textId="77777777" w:rsidR="007701BE" w:rsidRPr="00912F30" w:rsidRDefault="007701BE" w:rsidP="007701BE">
      <w:pPr>
        <w:pStyle w:val="Textoindependiente"/>
        <w:ind w:right="-50"/>
        <w:jc w:val="both"/>
      </w:pPr>
      <w:r w:rsidRPr="00B71944">
        <w:rPr>
          <w:b/>
        </w:rPr>
        <w:t>9.2 - Construcciones en proceso</w:t>
      </w:r>
      <w:r>
        <w:rPr>
          <w:b/>
        </w:rPr>
        <w:t>.</w:t>
      </w:r>
      <w:r w:rsidRPr="00B71944">
        <w:rPr>
          <w:b/>
        </w:rPr>
        <w:t xml:space="preserve"> </w:t>
      </w:r>
      <w:r w:rsidRPr="00912F30">
        <w:t xml:space="preserve">En este sentido los valores relacionados a continuación permanecen en esta cuenta de inventarios en proceso hasta que la obra de construcción finalice y sea entregada al INPEC, adicionalmente se indica que el estado de los contratos fue informado mediante el formulario “GF-FO-045 Resumen Inventarios Anticipos y Recursos Entregados en Administración” del “GF-MA-003 Manual de Recursos Sujetos a Legalización </w:t>
      </w:r>
      <w:r w:rsidRPr="00912F30">
        <w:lastRenderedPageBreak/>
        <w:t xml:space="preserve">Contable” por las áreas ejecutoras y supervisoras de los contratos suscritos. </w:t>
      </w:r>
    </w:p>
    <w:p w14:paraId="3400ED22" w14:textId="77777777" w:rsidR="007701BE" w:rsidRPr="00912F30" w:rsidRDefault="007701BE" w:rsidP="007701BE">
      <w:pPr>
        <w:pStyle w:val="Textoindependiente"/>
        <w:ind w:right="-50"/>
        <w:jc w:val="both"/>
      </w:pPr>
    </w:p>
    <w:p w14:paraId="2295F3E4" w14:textId="77777777" w:rsidR="007701BE" w:rsidRPr="00912F30" w:rsidRDefault="007701BE" w:rsidP="007701BE">
      <w:pPr>
        <w:pStyle w:val="Textoindependiente"/>
        <w:ind w:right="-50"/>
        <w:jc w:val="both"/>
      </w:pPr>
      <w:r w:rsidRPr="00912F30">
        <w:t xml:space="preserve">El saldo de esta cuenta a 31 de diciembre de 2024 es de $560.085.771.694,02 conformado por el saldo en la cuenta 152002 de los siguientes contratos: </w:t>
      </w:r>
    </w:p>
    <w:p w14:paraId="6DBA30B1" w14:textId="77777777" w:rsidR="007701BE" w:rsidRDefault="007701BE" w:rsidP="007701BE">
      <w:pPr>
        <w:pStyle w:val="Textoindependiente"/>
        <w:ind w:right="-50"/>
        <w:jc w:val="both"/>
        <w:rPr>
          <w:b/>
        </w:rPr>
      </w:pPr>
    </w:p>
    <w:p w14:paraId="1AEADF5A" w14:textId="77777777" w:rsidR="007701BE" w:rsidRDefault="007701BE" w:rsidP="007701BE">
      <w:pPr>
        <w:pStyle w:val="Textoindependiente"/>
        <w:ind w:right="-50"/>
        <w:jc w:val="both"/>
        <w:rPr>
          <w:b/>
        </w:rPr>
      </w:pPr>
      <w:r w:rsidRPr="00B71944">
        <w:rPr>
          <w:b/>
        </w:rPr>
        <w:t xml:space="preserve">CONSORCIO SERVICIOS PENITENCIARIOS CONTRATO 219-2013 por valor de $65.221.350.526,83, </w:t>
      </w:r>
      <w:r w:rsidRPr="00912F30">
        <w:t xml:space="preserve">Objeto: Construcción de un sector de mediana seguridad y obras conexas en el establecimiento penitenciario y carcelario de Buga - Valle del Cauca, mediante el sistema de precios unitarios fijos sin formula de reajuste, de acuerdo con los estudios, diseños, planos y especificaciones suministrados por la SPC. </w:t>
      </w:r>
      <w:r w:rsidRPr="00B80D41">
        <w:rPr>
          <w:b/>
          <w:u w:val="single"/>
        </w:rPr>
        <w:t>Contrato de obra suspendido, actualmente se encuentra en revisión de la documentación para el reinicio de la obra. Porcentaje de ejecución 87%</w:t>
      </w:r>
      <w:r w:rsidRPr="00912F30">
        <w:t>.</w:t>
      </w:r>
      <w:r w:rsidRPr="00B71944">
        <w:rPr>
          <w:b/>
        </w:rPr>
        <w:t xml:space="preserve"> </w:t>
      </w:r>
    </w:p>
    <w:p w14:paraId="3F874CA6" w14:textId="77777777" w:rsidR="007701BE" w:rsidRDefault="007701BE" w:rsidP="007701BE">
      <w:pPr>
        <w:pStyle w:val="Textoindependiente"/>
        <w:ind w:right="-50"/>
        <w:jc w:val="both"/>
        <w:rPr>
          <w:b/>
        </w:rPr>
      </w:pPr>
    </w:p>
    <w:p w14:paraId="449444AF" w14:textId="77777777" w:rsidR="007701BE" w:rsidRDefault="007701BE" w:rsidP="007701BE">
      <w:pPr>
        <w:pStyle w:val="Textoindependiente"/>
        <w:ind w:right="-50"/>
        <w:jc w:val="both"/>
        <w:rPr>
          <w:b/>
        </w:rPr>
      </w:pPr>
      <w:r w:rsidRPr="00B71944">
        <w:rPr>
          <w:b/>
        </w:rPr>
        <w:t xml:space="preserve">ENTERRITORIO CONVENIO DE GERENCIA DE PROYECTOS 216144-2016 por valor en cuenta de $52.424.006.771,86 </w:t>
      </w:r>
      <w:r w:rsidRPr="00912F30">
        <w:t>El Fondo Financiero de Proyectos de Desarrollo - FONADE, se compromete con la Unidad de Servicios Penitenciarios y Carcelarios - USPEC, de acuerdo con los parámetros de</w:t>
      </w:r>
      <w:r>
        <w:t xml:space="preserve"> </w:t>
      </w:r>
      <w:r w:rsidRPr="0068474D">
        <w:t xml:space="preserve">la Línea de Negocios de Gerencia de Proyectos, a realizar la Gerencia para la construcción e interventoría, ampliación de cupos, y mantenimiento de la infraestructura carcelaria y penitenciaria de orden nivel Nacional requerida por la USPEC, lo que supone adelantar estudios, diseños, demolición, mantenimiento, suministro, mejoramiento, conservación y ampliación, así como la elaboración del Plan Maestro de infraestructura en materia Penitenciaria y Carcelaria, </w:t>
      </w:r>
      <w:r w:rsidRPr="003A74F3">
        <w:rPr>
          <w:b/>
          <w:u w:val="single"/>
        </w:rPr>
        <w:t xml:space="preserve">de acuerdo con la información de los diseños que presenta la USPEC. Construcción del nuevo ERON Pereira Fase 1, Contrato en ejecución, a la fecha del cierre de la vigencia 2024 la supervisión del contrato interadministrativo notifica que aún no se han finalizado todas las obras y alcances del contrato, en especial el ERON de </w:t>
      </w:r>
      <w:proofErr w:type="spellStart"/>
      <w:r w:rsidRPr="003A74F3">
        <w:rPr>
          <w:b/>
          <w:u w:val="single"/>
        </w:rPr>
        <w:t>Pilamo</w:t>
      </w:r>
      <w:proofErr w:type="spellEnd"/>
      <w:r w:rsidRPr="003A74F3">
        <w:rPr>
          <w:b/>
          <w:u w:val="single"/>
        </w:rPr>
        <w:t>, uno de los alcances más significativos desde el punto de vista del valor del contrato, una vez se terminen las obras pendientes y se cuente con su respectivas acta de recibo y liquidación, se procederá a legalizar los recursos faltantes</w:t>
      </w:r>
      <w:r w:rsidRPr="0068474D">
        <w:rPr>
          <w:b/>
        </w:rPr>
        <w:t xml:space="preserve">. </w:t>
      </w:r>
    </w:p>
    <w:p w14:paraId="071BD940" w14:textId="77777777" w:rsidR="007701BE" w:rsidRDefault="007701BE" w:rsidP="007701BE">
      <w:pPr>
        <w:pStyle w:val="Textoindependiente"/>
        <w:ind w:right="-50"/>
        <w:jc w:val="both"/>
        <w:rPr>
          <w:b/>
        </w:rPr>
      </w:pPr>
    </w:p>
    <w:p w14:paraId="526A2066" w14:textId="77777777" w:rsidR="007701BE" w:rsidRPr="008575AB" w:rsidRDefault="007701BE" w:rsidP="007701BE">
      <w:pPr>
        <w:pStyle w:val="Textoindependiente"/>
        <w:ind w:right="-50"/>
        <w:jc w:val="both"/>
        <w:rPr>
          <w:b/>
          <w:u w:val="single"/>
        </w:rPr>
      </w:pPr>
      <w:r w:rsidRPr="0068474D">
        <w:rPr>
          <w:b/>
        </w:rPr>
        <w:t xml:space="preserve">CONSORCIO P Y D CULLMEN CONTRATO 166 DE 2018 por valor $1.607.866.282,93 </w:t>
      </w:r>
      <w:r w:rsidRPr="0068474D">
        <w:t>Objeto: Contratar la consultoría, para le elaboración de estudios y diseños técnicos, arquitectónicos, trámites y permisos para la construcción del ERON EPMSC Riohacha en el departamento de la Guajira. Fecha de finalización 9 de diciembre de 2019. Contrato de consultoría: Se perdió competencia para liquidar. La USPEC expidió Resol. 173 del 21 de marzo 2024 por la cual se declara la ocurrencia del siniestro de calidad del servicio del contrato 166 de 2018 y Resol. 703 del 16 agosto 2024 por medio de la cual se resuelve un recurso de reposición interpuesto en contra la Resol. 173 del 21 de marzo 2024 por la</w:t>
      </w:r>
      <w:r>
        <w:t xml:space="preserve"> </w:t>
      </w:r>
      <w:r w:rsidRPr="0068474D">
        <w:t xml:space="preserve">cual resuelve reponer en todas sus partes el acto administrativo contenido en la resolución 173 del 21 de marzo 2024. </w:t>
      </w:r>
      <w:r w:rsidRPr="008575AB">
        <w:rPr>
          <w:b/>
          <w:u w:val="single"/>
        </w:rPr>
        <w:t xml:space="preserve">Actualmente la USPEC se encuentra en proceso de cobro jurídico. Contrato asociado al contrato de obra 276-2020 Nuevo ERON en Riohacha (Contrato en ejecución). </w:t>
      </w:r>
    </w:p>
    <w:p w14:paraId="4C69D314" w14:textId="77777777" w:rsidR="007701BE" w:rsidRPr="008575AB" w:rsidRDefault="007701BE" w:rsidP="007701BE">
      <w:pPr>
        <w:pStyle w:val="Textoindependiente"/>
        <w:ind w:right="-50"/>
        <w:jc w:val="both"/>
        <w:rPr>
          <w:b/>
          <w:u w:val="single"/>
        </w:rPr>
      </w:pPr>
    </w:p>
    <w:p w14:paraId="12D380EF" w14:textId="77777777" w:rsidR="007701BE" w:rsidRDefault="007701BE" w:rsidP="007701BE">
      <w:pPr>
        <w:pStyle w:val="Textoindependiente"/>
        <w:ind w:right="-50"/>
        <w:jc w:val="both"/>
        <w:rPr>
          <w:b/>
        </w:rPr>
      </w:pPr>
      <w:r w:rsidRPr="0068474D">
        <w:rPr>
          <w:b/>
        </w:rPr>
        <w:t xml:space="preserve">CONECTA CL 097 CONTRATO 327 DE 2019 por valor de $1.551.510.373,34 </w:t>
      </w:r>
      <w:r w:rsidRPr="0068474D">
        <w:t xml:space="preserve">Objeto: En virtud del contrato el contratista se obliga por sus propios medios con plena autonomía técnica y administrativa, a realizar la interventoría técnica, administrativa, jurídica y financiera al contrato de obras, equipamiento, montajes, suministros y demás actividades necesarias para la implementación del proyecto de infraestructura modular penitenciaria en los establecimientos de reclusión del orden nacional: Grupo 2 EPMSC Barranquilla, de acuerdo a las especificaciones técnicas definidas por la entidad. Reinicio el 8 de junio de 2020, La fase 2 de </w:t>
      </w:r>
      <w:r w:rsidRPr="0068474D">
        <w:lastRenderedPageBreak/>
        <w:t xml:space="preserve">la interventoría se culminó el 18 de julio y se inició la fase 3 entrega de informes finales, documentación de cierre de los contratos y actividades de recibo final de obra. </w:t>
      </w:r>
      <w:r w:rsidRPr="00340E7E">
        <w:rPr>
          <w:b/>
          <w:u w:val="single"/>
        </w:rPr>
        <w:t>Contrato de interventoría con Acta de liquidación pendiente de pago.</w:t>
      </w:r>
      <w:r w:rsidRPr="0068474D">
        <w:rPr>
          <w:b/>
        </w:rPr>
        <w:t xml:space="preserve"> </w:t>
      </w:r>
    </w:p>
    <w:p w14:paraId="5705FC0F" w14:textId="77777777" w:rsidR="007701BE" w:rsidRDefault="007701BE" w:rsidP="007701BE">
      <w:pPr>
        <w:pStyle w:val="Textoindependiente"/>
        <w:ind w:right="-50"/>
        <w:jc w:val="both"/>
        <w:rPr>
          <w:b/>
        </w:rPr>
      </w:pPr>
    </w:p>
    <w:p w14:paraId="1BA39DDF" w14:textId="77777777" w:rsidR="007701BE" w:rsidRPr="0068474D" w:rsidRDefault="007701BE" w:rsidP="007701BE">
      <w:pPr>
        <w:pStyle w:val="Textoindependiente"/>
        <w:ind w:right="-50"/>
        <w:jc w:val="both"/>
      </w:pPr>
      <w:r w:rsidRPr="0068474D">
        <w:rPr>
          <w:b/>
        </w:rPr>
        <w:t xml:space="preserve">GNG INGENIERÍA SAS CONTRATO 328 DE 2019 por valor de $1.726.369.954,36, </w:t>
      </w:r>
      <w:r w:rsidRPr="0068474D">
        <w:t xml:space="preserve">Objeto: En virtud del contrato el contratista se obliga por sus propios medios con plena autonomía técnica y administrativa, a realizar la interventoría técnica, administrativa, jurídica y financiera al contrato de obras, equipamiento, montajes, suministros y demás actividades necesarias para la implementación del proyecto de infraestructura modular penitenciaria en los establecimientos de reclusión del orden nacional: Grupo 3 EPMSC Cartagena, de acuerdo a las especificaciones técnicas definidas por la entidad. El contrato de obra termino el 12 de noviembre de 2022, a la fecha el contrato en proceso de liquidación. </w:t>
      </w:r>
      <w:r w:rsidRPr="000432E0">
        <w:rPr>
          <w:b/>
          <w:u w:val="single"/>
        </w:rPr>
        <w:t>Se procedió inicialmente a liquidar el contrato de obra 306-2019, posteriormente se realizó el recibo a satisfacción de la interventoría, como la revisión documental del proyecto para continuar con el trámite de liquidación de la misma</w:t>
      </w:r>
      <w:r w:rsidRPr="0068474D">
        <w:t xml:space="preserve">. </w:t>
      </w:r>
    </w:p>
    <w:p w14:paraId="6EEC465B" w14:textId="77777777" w:rsidR="007701BE" w:rsidRDefault="007701BE" w:rsidP="007701BE">
      <w:pPr>
        <w:pStyle w:val="Textoindependiente"/>
        <w:ind w:right="-50"/>
        <w:jc w:val="both"/>
        <w:rPr>
          <w:b/>
        </w:rPr>
      </w:pPr>
    </w:p>
    <w:p w14:paraId="795402CC" w14:textId="77777777" w:rsidR="007701BE" w:rsidRPr="0068474D" w:rsidRDefault="007701BE" w:rsidP="007701BE">
      <w:pPr>
        <w:pStyle w:val="Textoindependiente"/>
        <w:ind w:right="-50"/>
        <w:jc w:val="both"/>
      </w:pPr>
      <w:r w:rsidRPr="0068474D">
        <w:rPr>
          <w:b/>
        </w:rPr>
        <w:t xml:space="preserve">CONSORCIO SAN JERÓNIMO CONTRATO 319 DE 2019 por valor de $23.360.805.628,25 </w:t>
      </w:r>
      <w:r w:rsidRPr="0068474D">
        <w:t xml:space="preserve">Objeto: En virtud del contrato el contratista se obliga por sus propios medios con plena autonomía para las obras, equipamiento, montaje suministros y demás actividades necesarias para la implementación del proyecto de infraestructura modular penitenciaria en el EPMSC Cartagena, de conformidad con las especificaciones técnicas definidas por la entidad. Contrato de obra liquidado. </w:t>
      </w:r>
      <w:r w:rsidRPr="004B5B42">
        <w:rPr>
          <w:b/>
          <w:u w:val="single"/>
        </w:rPr>
        <w:t>El contrato de obra terminó el 12 de noviembre de 2022. Contrato de obra con Acta de liquidación pendiente de pago</w:t>
      </w:r>
      <w:r>
        <w:rPr>
          <w:b/>
          <w:u w:val="single"/>
        </w:rPr>
        <w:t>.</w:t>
      </w:r>
    </w:p>
    <w:p w14:paraId="26FC4220" w14:textId="77777777" w:rsidR="007701BE" w:rsidRDefault="007701BE" w:rsidP="007701BE">
      <w:pPr>
        <w:pStyle w:val="Textoindependiente"/>
        <w:ind w:right="-50"/>
        <w:jc w:val="both"/>
        <w:rPr>
          <w:b/>
        </w:rPr>
      </w:pPr>
    </w:p>
    <w:p w14:paraId="36817C66" w14:textId="77777777" w:rsidR="007701BE" w:rsidRPr="00132E85" w:rsidRDefault="007701BE" w:rsidP="007701BE">
      <w:pPr>
        <w:pStyle w:val="Textoindependiente"/>
        <w:ind w:right="-50"/>
        <w:jc w:val="both"/>
      </w:pPr>
      <w:r w:rsidRPr="00132E85">
        <w:rPr>
          <w:b/>
        </w:rPr>
        <w:t xml:space="preserve">CONSORCIO GP – OLAGUER CONTRATO 307 DE 2019 por valor de $26.716.737.664,28 </w:t>
      </w:r>
      <w:r w:rsidRPr="00132E85">
        <w:t xml:space="preserve">objeto: En virtud del contrato el contratista se obliga por sus propios medios con plena autonomía técnica y administrativa a ejecutar las obras, equipamiento, montajes, suministros, y demás actividades necesarias para la implementación del proyecto de infraestructura modular penitenciaria en el establecimiento de reclusión del orden nacional: EPMS-CAS-ERM-JP Itagüí, de conformidad con las especificaciones técnicas, en proceso de liquidación. </w:t>
      </w:r>
      <w:r w:rsidRPr="00E674F6">
        <w:rPr>
          <w:b/>
          <w:u w:val="single"/>
        </w:rPr>
        <w:t>Contrato de obra con Acta de liquidación pendiente de pago</w:t>
      </w:r>
      <w:r>
        <w:t>.</w:t>
      </w:r>
      <w:r w:rsidRPr="00132E85">
        <w:t xml:space="preserve"> </w:t>
      </w:r>
    </w:p>
    <w:p w14:paraId="208E266E" w14:textId="77777777" w:rsidR="007701BE" w:rsidRPr="00132E85" w:rsidRDefault="007701BE" w:rsidP="007701BE">
      <w:pPr>
        <w:pStyle w:val="Textoindependiente"/>
        <w:ind w:right="-50"/>
        <w:jc w:val="both"/>
      </w:pPr>
    </w:p>
    <w:p w14:paraId="0865077B" w14:textId="77777777" w:rsidR="007701BE" w:rsidRPr="008E6E5B" w:rsidRDefault="007701BE" w:rsidP="007701BE">
      <w:pPr>
        <w:pStyle w:val="Textoindependiente"/>
        <w:ind w:right="-50"/>
        <w:jc w:val="both"/>
      </w:pPr>
      <w:r w:rsidRPr="008E6E5B">
        <w:rPr>
          <w:b/>
        </w:rPr>
        <w:t xml:space="preserve">MEDINA &amp; RIVERA INGENIEROS ASOCIADOS SOCIEDAD POR ACCIONES SIMPLIFICADA SAS CONTRATO 329 DE 2019 por valor de $2.288.528.634,64 </w:t>
      </w:r>
      <w:r w:rsidRPr="008E6E5B">
        <w:t xml:space="preserve">objeto: En virtud del contrato el contratista se obliga por sus propios medios con plena autonomía técnica y administrativa, a realizar la interventoría técnica, administrativa, jurídica y financiera al contrato de obra, para la construcción y equipamiento del establecimiento del orden nacional ERON- Renacimiento de mediana seguridad etapa I, en Sabanas de San Ángel, Departamento del Magdalena, para lo cual se complementará los estudios, diseños, planos y especificaciones suministrados por la USPEC, de acuerdo a las especificaciones definidas por la entidad. </w:t>
      </w:r>
      <w:r w:rsidRPr="00E674F6">
        <w:rPr>
          <w:b/>
          <w:u w:val="single"/>
        </w:rPr>
        <w:t>Contrato de interventoría con Acta de liquidación pendiente de pago</w:t>
      </w:r>
      <w:r w:rsidRPr="008E6E5B">
        <w:t xml:space="preserve">. </w:t>
      </w:r>
    </w:p>
    <w:p w14:paraId="26DCB208" w14:textId="77777777" w:rsidR="007701BE" w:rsidRDefault="007701BE" w:rsidP="007701BE">
      <w:pPr>
        <w:pStyle w:val="Textoindependiente"/>
        <w:ind w:right="-50"/>
        <w:jc w:val="both"/>
        <w:rPr>
          <w:b/>
        </w:rPr>
      </w:pPr>
    </w:p>
    <w:p w14:paraId="7BA6A728" w14:textId="77777777" w:rsidR="007701BE" w:rsidRPr="008E6E5B" w:rsidRDefault="007701BE" w:rsidP="007701BE">
      <w:pPr>
        <w:pStyle w:val="Textoindependiente"/>
        <w:ind w:right="-50"/>
        <w:jc w:val="both"/>
      </w:pPr>
      <w:r w:rsidRPr="008E6E5B">
        <w:rPr>
          <w:b/>
        </w:rPr>
        <w:t xml:space="preserve">CONTEIN SAS CONTRATO 306 DE 2019 por valor de $23.818.855.217 </w:t>
      </w:r>
      <w:r w:rsidRPr="008E6E5B">
        <w:t xml:space="preserve">objeto: En virtud del contrato el contratista se obliga por sus propios medios con plena autonomía técnica y administrativa a ejecutar las obras, equipamiento, montajes, suministros, y demás actividades necesarias para la implementación del proyecto de infraestructura modular penitenciaria en el establecimiento de reclusión del orden nacional: EPMSC Barranquilla, de conformidad con las especificaciones técnicas. la fase 2 de obra se culminó el 18 de julio y se inició la fase 3 entrega </w:t>
      </w:r>
      <w:r w:rsidRPr="008E6E5B">
        <w:lastRenderedPageBreak/>
        <w:t xml:space="preserve">de informes finales y actividades de recibo final de obra, </w:t>
      </w:r>
      <w:r w:rsidRPr="00E674F6">
        <w:rPr>
          <w:b/>
          <w:u w:val="single"/>
        </w:rPr>
        <w:t>el contrato finalizó el 28 de agosto de 2022. Contrato de obra con Acta de liquidación pendiente de pago</w:t>
      </w:r>
      <w:r w:rsidRPr="008E6E5B">
        <w:t xml:space="preserve">. </w:t>
      </w:r>
    </w:p>
    <w:p w14:paraId="4367A9F5" w14:textId="77777777" w:rsidR="007701BE" w:rsidRDefault="007701BE" w:rsidP="007701BE">
      <w:pPr>
        <w:pStyle w:val="Textoindependiente"/>
        <w:ind w:right="-50"/>
        <w:jc w:val="both"/>
        <w:rPr>
          <w:b/>
        </w:rPr>
      </w:pPr>
    </w:p>
    <w:p w14:paraId="7AF002BA" w14:textId="77777777" w:rsidR="007701BE" w:rsidRPr="009D1A9B" w:rsidRDefault="007701BE" w:rsidP="007701BE">
      <w:pPr>
        <w:pStyle w:val="Textoindependiente"/>
        <w:ind w:right="-50"/>
        <w:jc w:val="both"/>
      </w:pPr>
      <w:r w:rsidRPr="009D1A9B">
        <w:rPr>
          <w:b/>
        </w:rPr>
        <w:t xml:space="preserve">ARQUITECTURA Y URBANISMO SXXI SAS CONTRATO 281 DE 2020 por valor de $150.873.237,00 </w:t>
      </w:r>
      <w:r w:rsidRPr="009D1A9B">
        <w:t xml:space="preserve">objeto: En virtud del contrato Arquitectura y Urbanismo SXXI SAS se obliga por sus propios medios con plena autonomía, a realizar la interventoría técnica, administrativa jurídica y financiera a la consultoría para la elaboración de los estudios, diseños, valoración, tramites y permisos que faciliten la construcción del EPMSC “Establecimiento Penitenciario de Mediana Seguridad y Carcelario” de Cali, Valle del Cauca, de acuerdo con las especificaciones y exigencias aceptadas desde la etapa precontractual que hacen parte integral del presente contrato. </w:t>
      </w:r>
      <w:r w:rsidRPr="00E51518">
        <w:rPr>
          <w:b/>
          <w:u w:val="single"/>
        </w:rPr>
        <w:t>El contrato se reinició el 8 de marzo de 2023 y se acordó realizar la liquidación anticipada del contrato junto con la interventoría para continuar con el proceso de liquidación bilateral. Contrato de interventoría a la consultoría: En proceso de liquidación. Contrato de interventoría a la consultoría: en proceso de liquidación. Se procedió inicialmente a liquidar el contrato de obra 279-2020 el día 12 de agosto de 2024, posteriormente se realizó el recibo a satisfacción de la interventoría, como la revisión documental del proyecto para continuar con el trámite de liquidación de la misma</w:t>
      </w:r>
      <w:r w:rsidRPr="009D1A9B">
        <w:t xml:space="preserve">. </w:t>
      </w:r>
    </w:p>
    <w:p w14:paraId="64A59AE5" w14:textId="77777777" w:rsidR="007701BE" w:rsidRDefault="007701BE" w:rsidP="007701BE">
      <w:pPr>
        <w:pStyle w:val="Textoindependiente"/>
        <w:ind w:right="-50"/>
        <w:jc w:val="both"/>
        <w:rPr>
          <w:b/>
        </w:rPr>
      </w:pPr>
    </w:p>
    <w:p w14:paraId="403430D0" w14:textId="77777777" w:rsidR="007701BE" w:rsidRPr="009D1A9B" w:rsidRDefault="007701BE" w:rsidP="007701BE">
      <w:pPr>
        <w:pStyle w:val="Textoindependiente"/>
        <w:ind w:right="-50"/>
        <w:jc w:val="both"/>
      </w:pPr>
      <w:r w:rsidRPr="009D1A9B">
        <w:rPr>
          <w:b/>
        </w:rPr>
        <w:t xml:space="preserve">CONSORCIO INTERVENTORÍA CAMIS CONTRATO 135 DE 2018 por valor de $65.012.447,32 </w:t>
      </w:r>
      <w:r w:rsidRPr="009D1A9B">
        <w:t xml:space="preserve">objeto: Interventoría técnica, administrativa, contable, jurídica y financiera de las actividades de construcción y dotación del CAMIS Yarumal en el Departamento de Antioquia. Todo de conformidad al pliego de condiciones y la propuesta que hace parte integral del presente contrato. Todo de conformidad al pliego de condiciones y la propuesta que hace parte integral del presente contrato. </w:t>
      </w:r>
      <w:r w:rsidRPr="00FD2D94">
        <w:rPr>
          <w:b/>
          <w:u w:val="single"/>
        </w:rPr>
        <w:t xml:space="preserve">Liquidado y pagado (NO ejecutado $1.838.738.706,91) Interventoría </w:t>
      </w:r>
      <w:proofErr w:type="spellStart"/>
      <w:r w:rsidRPr="00FD2D94">
        <w:rPr>
          <w:b/>
          <w:u w:val="single"/>
        </w:rPr>
        <w:t>Cto</w:t>
      </w:r>
      <w:proofErr w:type="spellEnd"/>
      <w:r w:rsidRPr="00FD2D94">
        <w:rPr>
          <w:b/>
          <w:u w:val="single"/>
        </w:rPr>
        <w:t xml:space="preserve"> Derivado 01 al convenio marco 393-2017. En proceso de traslado al INPEC. Contrato asociado al contrato de obra 393-2017 - 1 - liquidación en proceso</w:t>
      </w:r>
      <w:r>
        <w:rPr>
          <w:b/>
          <w:u w:val="single"/>
        </w:rPr>
        <w:t>.</w:t>
      </w:r>
      <w:r w:rsidRPr="00FD2D94">
        <w:rPr>
          <w:b/>
          <w:u w:val="single"/>
        </w:rPr>
        <w:t xml:space="preserve"> judicial</w:t>
      </w:r>
      <w:r w:rsidRPr="009D1A9B">
        <w:t xml:space="preserve"> </w:t>
      </w:r>
    </w:p>
    <w:p w14:paraId="2D416B70" w14:textId="77777777" w:rsidR="007701BE" w:rsidRDefault="007701BE" w:rsidP="007701BE">
      <w:pPr>
        <w:pStyle w:val="Textoindependiente"/>
        <w:ind w:right="-50"/>
        <w:jc w:val="both"/>
        <w:rPr>
          <w:b/>
        </w:rPr>
      </w:pPr>
    </w:p>
    <w:p w14:paraId="41C3734A" w14:textId="77777777" w:rsidR="007701BE" w:rsidRDefault="007701BE" w:rsidP="007701BE">
      <w:pPr>
        <w:pStyle w:val="Textoindependiente"/>
        <w:ind w:right="-50"/>
        <w:jc w:val="both"/>
      </w:pPr>
      <w:r w:rsidRPr="009D1A9B">
        <w:rPr>
          <w:b/>
        </w:rPr>
        <w:t>ZION CONSTRUCCIONES SAS CONTRATO 261 DE 2021 por valor de $813.065.410,34</w:t>
      </w:r>
      <w:r>
        <w:rPr>
          <w:b/>
        </w:rPr>
        <w:t>.</w:t>
      </w:r>
      <w:r w:rsidRPr="009D1A9B">
        <w:rPr>
          <w:b/>
        </w:rPr>
        <w:t xml:space="preserve"> </w:t>
      </w:r>
      <w:r w:rsidRPr="009D1A9B">
        <w:t>Objeto: Se obliga por sus propios medios con plena autonomía, a cumplir con ¨</w:t>
      </w:r>
      <w:r>
        <w:t>E</w:t>
      </w:r>
      <w:r w:rsidRPr="009D1A9B">
        <w:t xml:space="preserve">jecución de las obras complementarias para optimizar la integración física del sector antiguo con las nuevas estructuras de ampliación en el EPMSC Ipiales¨ de acuerdo con las especificaciones y exigencias aceptadas desde la etapa precontractual que hacen parte integral del presente contrato. </w:t>
      </w:r>
      <w:r w:rsidRPr="008824EB">
        <w:rPr>
          <w:b/>
          <w:u w:val="single"/>
        </w:rPr>
        <w:t>El contrato termino el 17 de mayo de 2022 y con acta de recibo de obras el 7 de junio de 2022, Contrato en proceso de liquidación. En aprobación de las pólizas de acuerdo al acta de terminación para continuar con el trámite de la liquidación. Contrato asociado al contrato de obra 401 de 2014</w:t>
      </w:r>
      <w:r w:rsidRPr="00766805">
        <w:t xml:space="preserve">. </w:t>
      </w:r>
    </w:p>
    <w:p w14:paraId="022AC24A" w14:textId="77777777" w:rsidR="007701BE" w:rsidRPr="00766805" w:rsidRDefault="007701BE" w:rsidP="007701BE">
      <w:pPr>
        <w:pStyle w:val="Textoindependiente"/>
        <w:ind w:right="-50"/>
        <w:jc w:val="both"/>
      </w:pPr>
    </w:p>
    <w:p w14:paraId="3D6C53A5" w14:textId="77777777" w:rsidR="007701BE" w:rsidRPr="00766805" w:rsidRDefault="007701BE" w:rsidP="007701BE">
      <w:pPr>
        <w:pStyle w:val="Textoindependiente"/>
        <w:ind w:right="-50"/>
        <w:jc w:val="both"/>
      </w:pPr>
      <w:r w:rsidRPr="00766805">
        <w:rPr>
          <w:b/>
        </w:rPr>
        <w:t xml:space="preserve">CONSORCIO SAN JOSÉ, CONTRATO 399 DE 2021 por valor de $10.504.060.388,75 cuyo </w:t>
      </w:r>
      <w:r w:rsidRPr="00766805">
        <w:t xml:space="preserve">objeto es En virtud del contrato el Consorcio San José, se obliga por sus propios medios con plena autonomía, a cumplir con la construcción de un bloque de alojamiento de guardia y obras complementarias en los establecimientos EPAMS Girón y EPMSC Ipiales, por el sistema de precios unitarios con formula de ajuste, para lo cual se requiere actualizar y complementar los estudios, diseños, planos y especificaciones suministrados por la USPEC – Grupo Girón, </w:t>
      </w:r>
      <w:r w:rsidRPr="00260E8E">
        <w:rPr>
          <w:b/>
          <w:u w:val="single"/>
        </w:rPr>
        <w:t>de acuerdo con las especificaciones y exigencias aceptadas desde la etapa precontractual que hacen parte integral del presente Contrato de obra suspendido, porcentaje ejecución 92,01%.</w:t>
      </w:r>
      <w:r w:rsidRPr="00766805">
        <w:t xml:space="preserve"> </w:t>
      </w:r>
    </w:p>
    <w:p w14:paraId="7FD1B4B6" w14:textId="77777777" w:rsidR="007701BE" w:rsidRPr="00766805" w:rsidRDefault="007701BE" w:rsidP="007701BE">
      <w:pPr>
        <w:pStyle w:val="Textoindependiente"/>
        <w:ind w:right="-50"/>
        <w:jc w:val="both"/>
      </w:pPr>
    </w:p>
    <w:p w14:paraId="2B0E9DCF" w14:textId="77777777" w:rsidR="007701BE" w:rsidRPr="00EE1B01" w:rsidRDefault="007701BE" w:rsidP="007701BE">
      <w:pPr>
        <w:pStyle w:val="Textoindependiente"/>
        <w:ind w:right="-50"/>
        <w:jc w:val="both"/>
        <w:rPr>
          <w:b/>
          <w:u w:val="single"/>
        </w:rPr>
      </w:pPr>
      <w:r w:rsidRPr="00766805">
        <w:rPr>
          <w:b/>
        </w:rPr>
        <w:lastRenderedPageBreak/>
        <w:t xml:space="preserve">TERMEC LTDA. CONTRATO 253 DE 2022 por valor de $89.433.593,08, </w:t>
      </w:r>
      <w:r w:rsidRPr="00766805">
        <w:t xml:space="preserve">Objeto: Construcción de un cuarto frío de congelación y reparaciones locativas en el rancho de la estructura </w:t>
      </w:r>
      <w:proofErr w:type="spellStart"/>
      <w:r w:rsidRPr="00766805">
        <w:t>iii</w:t>
      </w:r>
      <w:proofErr w:type="spellEnd"/>
      <w:r w:rsidRPr="00766805">
        <w:t xml:space="preserve"> – para el establecimiento COBOG – La Picota. </w:t>
      </w:r>
      <w:r w:rsidRPr="00EE1B01">
        <w:rPr>
          <w:b/>
          <w:u w:val="single"/>
        </w:rPr>
        <w:t xml:space="preserve">Terminado y en trámite de liquidación. </w:t>
      </w:r>
    </w:p>
    <w:p w14:paraId="6AC8D30E" w14:textId="77777777" w:rsidR="007701BE" w:rsidRDefault="007701BE" w:rsidP="007701BE">
      <w:pPr>
        <w:pStyle w:val="Textoindependiente"/>
        <w:ind w:right="-50"/>
        <w:jc w:val="both"/>
        <w:rPr>
          <w:b/>
        </w:rPr>
      </w:pPr>
    </w:p>
    <w:p w14:paraId="3555BD84" w14:textId="77777777" w:rsidR="007701BE" w:rsidRDefault="007701BE" w:rsidP="007701BE">
      <w:pPr>
        <w:pStyle w:val="Textoindependiente"/>
        <w:ind w:right="-50"/>
        <w:jc w:val="both"/>
        <w:rPr>
          <w:b/>
        </w:rPr>
      </w:pPr>
      <w:r w:rsidRPr="00766805">
        <w:rPr>
          <w:b/>
        </w:rPr>
        <w:t xml:space="preserve">EMPRESA MOBILIARIA Y DE SERVICIOS LOGÍSTICOS DE CUNDINAMARCA CONTRATO 286 DE 2022 por valor de $2.755.131.735,75 </w:t>
      </w:r>
      <w:r w:rsidRPr="00766805">
        <w:t xml:space="preserve">Objeto: Interventoría técnica, administrativa, contable, jurídica y financiera para las actividades necesarias de operación, mantenimiento y atención de emergencias de las plantas de tratamiento de agua potable y/o residual de los ERON a cargo del INPEC. </w:t>
      </w:r>
      <w:r w:rsidRPr="005B757C">
        <w:rPr>
          <w:b/>
          <w:u w:val="single"/>
        </w:rPr>
        <w:t>Terminado y en trámite de liquidación</w:t>
      </w:r>
      <w:r w:rsidRPr="00766805">
        <w:t>.</w:t>
      </w:r>
      <w:r w:rsidRPr="00766805">
        <w:rPr>
          <w:b/>
        </w:rPr>
        <w:t xml:space="preserve"> </w:t>
      </w:r>
    </w:p>
    <w:p w14:paraId="35544D7E" w14:textId="77777777" w:rsidR="007701BE" w:rsidRDefault="007701BE" w:rsidP="007701BE">
      <w:pPr>
        <w:pStyle w:val="Textoindependiente"/>
        <w:ind w:right="-50"/>
        <w:jc w:val="both"/>
        <w:rPr>
          <w:b/>
        </w:rPr>
      </w:pPr>
    </w:p>
    <w:p w14:paraId="7E2D9AC2" w14:textId="77777777" w:rsidR="007701BE" w:rsidRDefault="007701BE" w:rsidP="007701BE">
      <w:pPr>
        <w:pStyle w:val="Textoindependiente"/>
        <w:ind w:right="-50"/>
        <w:jc w:val="both"/>
        <w:rPr>
          <w:b/>
        </w:rPr>
      </w:pPr>
      <w:r>
        <w:rPr>
          <w:b/>
        </w:rPr>
        <w:t>1</w:t>
      </w:r>
      <w:r w:rsidRPr="00F14F52">
        <w:rPr>
          <w:b/>
        </w:rPr>
        <w:t>90604 - Anticipo para adquisición de bienes y servicios:</w:t>
      </w:r>
    </w:p>
    <w:p w14:paraId="36970953" w14:textId="77777777" w:rsidR="007701BE" w:rsidRDefault="007701BE" w:rsidP="007701BE">
      <w:pPr>
        <w:pStyle w:val="Textoindependiente"/>
        <w:ind w:right="-50"/>
        <w:jc w:val="both"/>
        <w:rPr>
          <w:b/>
        </w:rPr>
      </w:pPr>
    </w:p>
    <w:p w14:paraId="5B4D90F0" w14:textId="77777777" w:rsidR="007701BE" w:rsidRDefault="007701BE" w:rsidP="007701BE">
      <w:pPr>
        <w:pStyle w:val="Textoindependiente"/>
        <w:ind w:right="-50"/>
        <w:jc w:val="both"/>
        <w:rPr>
          <w:b/>
        </w:rPr>
      </w:pPr>
      <w:r w:rsidRPr="00C81204">
        <w:rPr>
          <w:b/>
        </w:rPr>
        <w:t xml:space="preserve">El saldo de esta cuenta al 31 de diciembre del corriente 2024 es de $252.583.853.654,59 siguiente es el detalle, que la conforma: </w:t>
      </w:r>
    </w:p>
    <w:p w14:paraId="49BE3495" w14:textId="77777777" w:rsidR="007701BE" w:rsidRDefault="007701BE" w:rsidP="007701BE">
      <w:pPr>
        <w:pStyle w:val="Textoindependiente"/>
        <w:ind w:right="-50"/>
        <w:jc w:val="both"/>
        <w:rPr>
          <w:b/>
        </w:rPr>
      </w:pPr>
    </w:p>
    <w:p w14:paraId="20F41977" w14:textId="77777777" w:rsidR="007701BE" w:rsidRPr="00C81204" w:rsidRDefault="007701BE" w:rsidP="0022366E">
      <w:pPr>
        <w:pStyle w:val="Textoindependiente"/>
        <w:numPr>
          <w:ilvl w:val="0"/>
          <w:numId w:val="4"/>
        </w:numPr>
        <w:ind w:right="-50"/>
        <w:jc w:val="both"/>
      </w:pPr>
      <w:r w:rsidRPr="00C81204">
        <w:rPr>
          <w:b/>
        </w:rPr>
        <w:t xml:space="preserve">Contrato 175 de 2017 Consorcio del Sur, saldo anticipo $2.153.238.229,91, </w:t>
      </w:r>
      <w:r w:rsidRPr="00C81204">
        <w:t xml:space="preserve">Objeto: Fortalecimiento de la infraestructura física de los establecimientos de reclusión del orden nacional a cargo del INPEC. Grupo 6: EC Santafé de Antioquia, EPMSC La Ceja, EPMSC Sonsón, EPMSC Támesis, EPMSC Titiribí, EPMSC Andes, EPMSC Quibdó, EPMSC Túquerres, EPMSC La Unión, EPMSC Ipiales, EPMSC Mocoa. Contrato terminado el pasado 20 de mayo de 2019. La Fiduciaria efectuó la devolución del saldo de los recursos por$829.230.827. </w:t>
      </w:r>
      <w:r w:rsidRPr="00F60C5C">
        <w:rPr>
          <w:b/>
          <w:u w:val="single"/>
        </w:rPr>
        <w:t>Actualmente se encuentra en proceso de incumplimiento, con un avance físico del 8,25%, se radico la solicitud ante el área Contractual para el debido proceso</w:t>
      </w:r>
      <w:r w:rsidRPr="00C81204">
        <w:t xml:space="preserve">. </w:t>
      </w:r>
    </w:p>
    <w:p w14:paraId="4F819BD5" w14:textId="77777777" w:rsidR="007701BE" w:rsidRDefault="007701BE" w:rsidP="007701BE">
      <w:pPr>
        <w:pStyle w:val="Textoindependiente"/>
        <w:ind w:left="720" w:right="-50"/>
        <w:jc w:val="both"/>
        <w:rPr>
          <w:b/>
        </w:rPr>
      </w:pPr>
    </w:p>
    <w:p w14:paraId="3A441DA9" w14:textId="77777777" w:rsidR="007701BE" w:rsidRPr="00494B62" w:rsidRDefault="007701BE" w:rsidP="0022366E">
      <w:pPr>
        <w:pStyle w:val="Textoindependiente"/>
        <w:numPr>
          <w:ilvl w:val="0"/>
          <w:numId w:val="4"/>
        </w:numPr>
        <w:ind w:right="-50"/>
        <w:jc w:val="both"/>
      </w:pPr>
      <w:r w:rsidRPr="00C81204">
        <w:rPr>
          <w:b/>
        </w:rPr>
        <w:t xml:space="preserve">Contrato 219 de 2013 Consorcio Servicios Penitenciarios, saldo anticipo $2.016.226.759,00 </w:t>
      </w:r>
      <w:r w:rsidRPr="00C81204">
        <w:t>Objeto: Construcción de un sector de mediana seguridad y obras conexas en el Establecimiento Carcelario Penitenciario de Buga - Valle del Cauca, mediante el sistema</w:t>
      </w:r>
      <w:r>
        <w:t xml:space="preserve"> </w:t>
      </w:r>
      <w:r w:rsidRPr="00494B62">
        <w:t xml:space="preserve">de precios unitarios fijos sin formula de reajuste de acuerdo con los estudios, diseños, planos y especificaciones suministradas por la USPEC. </w:t>
      </w:r>
    </w:p>
    <w:p w14:paraId="6232A9B8" w14:textId="77777777" w:rsidR="007701BE" w:rsidRPr="00494B62" w:rsidRDefault="007701BE" w:rsidP="007701BE">
      <w:pPr>
        <w:pStyle w:val="Prrafodelista"/>
      </w:pPr>
    </w:p>
    <w:p w14:paraId="4CA5E311" w14:textId="77777777" w:rsidR="007701BE" w:rsidRPr="00494B62" w:rsidRDefault="007701BE" w:rsidP="007701BE">
      <w:pPr>
        <w:pStyle w:val="Textoindependiente"/>
        <w:ind w:left="720" w:right="-50"/>
        <w:jc w:val="both"/>
      </w:pPr>
      <w:r w:rsidRPr="00494B62">
        <w:t xml:space="preserve">El contrato fue suspendido desde el 2018 y conto con cuatro prorrogas a la suspensión, la última de estas condicionó el reinicio a el inicio de la ejecución de la nueva Interventoría que sería contratada por la USPEC, no obstante, en el mes de abril de 2019, el contratista inicio el proceso contencioso administrativo de medio de control de controversias contractuales ante el Tribunal Contencioso Administrativo del Valle de Cauca el cual a la fecha se encuentra en curso. El 13 de enero de 2022 el Honorable Tribunal Administrativo del Valle del Cauca dispone ADMITIR la demanda de reconvención en medio de control de Nulidad y Restablecimiento del Derecho, interpuesta por la UNIDAD DE SERVICIOS PENITENCIARIOS Y CARCELARIOS USPEC, por medio de apoderado judicial, en contra del CONSORCIO DE SERVICIOS PENITENCIAROS CSP. Así las cosas, la entidad presento demanda de reconvención o en su defecto contrademanda con el fin de que en el mismo proceso se lleva a cabo los dos procesos en uno solo, con el fin de dejar en claro las diferencias surtidas en el contrato 219 de 2014. El 20 de enero de 2022, el apoderado de la contraparte interpone recurso de reposición contra el auto que admite la demanda de Reconvención. El 25 de enero de 2023, el despacho judicial RECHAZA el recurso de reposición interpuesto por </w:t>
      </w:r>
      <w:r w:rsidRPr="00494B62">
        <w:lastRenderedPageBreak/>
        <w:t xml:space="preserve">la contraparte. El 24 de enero de 2023, la parte afectada interpone otro recurso de reposición contra el auto de Rechazo del recurso, evidenciando actuaciones dilatorias dentro del proceso. </w:t>
      </w:r>
    </w:p>
    <w:p w14:paraId="1304DA3F" w14:textId="77777777" w:rsidR="007701BE" w:rsidRPr="00494B62" w:rsidRDefault="007701BE" w:rsidP="007701BE">
      <w:pPr>
        <w:pStyle w:val="Textoindependiente"/>
        <w:ind w:left="720" w:right="-50"/>
        <w:jc w:val="both"/>
      </w:pPr>
    </w:p>
    <w:p w14:paraId="3C3558E9" w14:textId="15EA7FE7" w:rsidR="007701BE" w:rsidRDefault="007701BE" w:rsidP="007701BE">
      <w:pPr>
        <w:pStyle w:val="Textoindependiente"/>
        <w:ind w:left="720" w:right="-50"/>
        <w:jc w:val="both"/>
      </w:pPr>
      <w:r w:rsidRPr="00494B62">
        <w:t>El 19 de abril de 2023, el Consorcio contesta la demanda de reconvención formulando excepciones de las que se corrieron traslado el día 17 de julio de 2023. El día 17 de julio de 2023, en donde se presenta oposición a las excepciones presentadas por el Consorcio. El 3 de octubre de 2023, el despacho fijo Audiencia inicial la AUDIENCIA INICIAL la cual tuvo lugar en la fecha del 16 de noviembre de 2023 a luces de lo contenido en el artículo 180 de la Ley 1437 de 2011; audiencia dentro de la cual el despacho decretó pruebas documentales, testimoniales y dictámenes consideraros útiles y pertinentes para el proceso. Es así que, en el ACTA DE AUDIENCIA INICIAL el despacho estableció lo siguiente: “Teniendo en cuenta que se hace necesario el recaudo de prueba la pericial, la recepción de prueba testimonial e interrogatorio de parte que se ha decretado, se fija el JUEVES QUINCE (15) DE FEBRERO DE DOS MIL VEINTICUATRO (2024), A LAS NUEVE DE LA MAÑANA (9:00 A.M.), la celebración de la AUDIENCIA DE PRUEBAS. Las partes quedan notificadas en estrados.” El 14 de febrero de 2024 se realiza solicitud de suspensión del proceso de común acuerdo, en los términos del numeral 2 del artículo 161 del Código General del Proceso y del artículo 9 de la Ley 2213 de 2022, desde el 14 de febrero de 2024 hasta el 2 de abril del mismo año, ambas fechas incluidas.</w:t>
      </w:r>
    </w:p>
    <w:p w14:paraId="60398A92" w14:textId="77777777" w:rsidR="00E751F9" w:rsidRPr="00494B62" w:rsidRDefault="00E751F9" w:rsidP="007701BE">
      <w:pPr>
        <w:pStyle w:val="Textoindependiente"/>
        <w:ind w:left="720" w:right="-50"/>
        <w:jc w:val="both"/>
      </w:pPr>
    </w:p>
    <w:p w14:paraId="65A0BB0F" w14:textId="77777777" w:rsidR="007701BE" w:rsidRPr="00494B62" w:rsidRDefault="007701BE" w:rsidP="0022366E">
      <w:pPr>
        <w:pStyle w:val="Textoindependiente"/>
        <w:numPr>
          <w:ilvl w:val="0"/>
          <w:numId w:val="4"/>
        </w:numPr>
        <w:ind w:right="-50"/>
        <w:jc w:val="both"/>
      </w:pPr>
      <w:r w:rsidRPr="00494B62">
        <w:rPr>
          <w:b/>
        </w:rPr>
        <w:t xml:space="preserve">Contrato 230 de 2019 Unión Temporal Avante por valor de $54.834.515,80 </w:t>
      </w:r>
      <w:r w:rsidRPr="00494B62">
        <w:t xml:space="preserve">Objeto: Mantenimiento general recurrente de la infraestructura física del primer grupo de atención en los ERON a cargo del INPEC. Grupo 16: EPC Yopal, EPMSC Granada, EPMSC RM Villavicencio. reinicio 28 de junio y se prorrogo hasta el 25 de septiembre del 2021. </w:t>
      </w:r>
    </w:p>
    <w:p w14:paraId="6235152D" w14:textId="77777777" w:rsidR="007701BE" w:rsidRDefault="007701BE" w:rsidP="007701BE">
      <w:pPr>
        <w:pStyle w:val="Textoindependiente"/>
        <w:ind w:right="-50"/>
        <w:jc w:val="both"/>
        <w:rPr>
          <w:b/>
        </w:rPr>
      </w:pPr>
    </w:p>
    <w:p w14:paraId="297A3A50" w14:textId="77777777" w:rsidR="007701BE" w:rsidRPr="00494B62" w:rsidRDefault="007701BE" w:rsidP="0022366E">
      <w:pPr>
        <w:pStyle w:val="Textoindependiente"/>
        <w:numPr>
          <w:ilvl w:val="0"/>
          <w:numId w:val="4"/>
        </w:numPr>
        <w:ind w:right="-50"/>
        <w:jc w:val="both"/>
      </w:pPr>
      <w:r w:rsidRPr="00494B62">
        <w:rPr>
          <w:b/>
        </w:rPr>
        <w:t xml:space="preserve">Contrato 226 de 2019 Consorcio D.E.S. 2019 por valor de $33.081.763,00 </w:t>
      </w:r>
      <w:r w:rsidRPr="00494B62">
        <w:t>Objeto: Mantenimiento general recurrente de la infraestructura física del primer grupo de atención en los ERON a cargo del INPEC Grupo 15: EP Florencia (Las Heliconias), EPMSC Florencia (</w:t>
      </w:r>
      <w:proofErr w:type="spellStart"/>
      <w:r w:rsidRPr="00494B62">
        <w:t>Cunduy</w:t>
      </w:r>
      <w:proofErr w:type="spellEnd"/>
      <w:r w:rsidRPr="00494B62">
        <w:t xml:space="preserve">). </w:t>
      </w:r>
      <w:r w:rsidRPr="00D04724">
        <w:rPr>
          <w:b/>
          <w:u w:val="single"/>
        </w:rPr>
        <w:t>En proceso de liquidación</w:t>
      </w:r>
      <w:r w:rsidRPr="00494B62">
        <w:t xml:space="preserve">. </w:t>
      </w:r>
    </w:p>
    <w:p w14:paraId="511BD62B" w14:textId="77777777" w:rsidR="007701BE" w:rsidRDefault="007701BE" w:rsidP="007701BE">
      <w:pPr>
        <w:pStyle w:val="Prrafodelista"/>
        <w:rPr>
          <w:b/>
        </w:rPr>
      </w:pPr>
    </w:p>
    <w:p w14:paraId="33F417EC" w14:textId="77777777" w:rsidR="007701BE" w:rsidRDefault="007701BE" w:rsidP="0022366E">
      <w:pPr>
        <w:pStyle w:val="Textoindependiente"/>
        <w:numPr>
          <w:ilvl w:val="0"/>
          <w:numId w:val="4"/>
        </w:numPr>
        <w:ind w:right="-50"/>
        <w:jc w:val="both"/>
      </w:pPr>
      <w:r w:rsidRPr="00CD77B6">
        <w:rPr>
          <w:b/>
        </w:rPr>
        <w:t xml:space="preserve">Contrato 279 de 2022 Consorcio Obras MG por valor de $1.607.973.019,45 </w:t>
      </w:r>
      <w:r w:rsidRPr="00CD77B6">
        <w:t xml:space="preserve">Objeto: Construcción de la infraestructura de ampliación, alojamiento de guardia, un sector de cerramiento perimetral y obras complementarias en el establecimiento EPMSC Cartagena, Departamento de Bolívar, para lo que se requiere complementar los estudios, diseños, planos y especificaciones suministrados por la USPEC. Se encuentra en ejecución, </w:t>
      </w:r>
      <w:r w:rsidRPr="00D04724">
        <w:rPr>
          <w:b/>
          <w:u w:val="single"/>
        </w:rPr>
        <w:t>con un avance de obra de 39.54% a corte de junio 30 de 2024</w:t>
      </w:r>
      <w:r>
        <w:t>.</w:t>
      </w:r>
      <w:r w:rsidRPr="00CD77B6">
        <w:t xml:space="preserve"> </w:t>
      </w:r>
    </w:p>
    <w:p w14:paraId="36468C94" w14:textId="77777777" w:rsidR="007701BE" w:rsidRDefault="007701BE" w:rsidP="007701BE">
      <w:pPr>
        <w:pStyle w:val="Prrafodelista"/>
      </w:pPr>
    </w:p>
    <w:p w14:paraId="4B8BED6B" w14:textId="77777777" w:rsidR="007701BE" w:rsidRPr="00D04724" w:rsidRDefault="007701BE" w:rsidP="007701BE">
      <w:pPr>
        <w:pStyle w:val="Textoindependiente"/>
        <w:ind w:left="720" w:right="-50"/>
        <w:jc w:val="both"/>
        <w:rPr>
          <w:b/>
        </w:rPr>
      </w:pPr>
      <w:r w:rsidRPr="00D04724">
        <w:rPr>
          <w:b/>
        </w:rPr>
        <w:t>¿Cuál fue el avance a 31 de diciembre de 2024?</w:t>
      </w:r>
    </w:p>
    <w:p w14:paraId="5220120A" w14:textId="77777777" w:rsidR="007701BE" w:rsidRDefault="007701BE" w:rsidP="007701BE">
      <w:pPr>
        <w:pStyle w:val="Prrafodelista"/>
        <w:rPr>
          <w:b/>
        </w:rPr>
      </w:pPr>
    </w:p>
    <w:p w14:paraId="3360E040" w14:textId="77777777" w:rsidR="007701BE" w:rsidRDefault="007701BE" w:rsidP="0022366E">
      <w:pPr>
        <w:pStyle w:val="Textoindependiente"/>
        <w:numPr>
          <w:ilvl w:val="0"/>
          <w:numId w:val="4"/>
        </w:numPr>
        <w:ind w:right="-50"/>
        <w:jc w:val="both"/>
      </w:pPr>
      <w:r w:rsidRPr="00CD77B6">
        <w:rPr>
          <w:b/>
        </w:rPr>
        <w:t xml:space="preserve">Contrato 444 de 2022 Unión Temporal Estructural Calarcá por valor de $5.580.212.109,92 </w:t>
      </w:r>
      <w:r w:rsidRPr="00CD77B6">
        <w:t xml:space="preserve">Objeto: Construcción de la infraestructura de ampliación, garitas, cerramiento perimetral, cuarto de control y obras complementarias en el establecimiento EPMSC Calarcá, departamento de Quindío, para lo que se requiere complementar los estudios, diseños, planos y especificaciones suministrados por la </w:t>
      </w:r>
      <w:proofErr w:type="spellStart"/>
      <w:r w:rsidRPr="00CD77B6">
        <w:t>uspec</w:t>
      </w:r>
      <w:proofErr w:type="spellEnd"/>
      <w:r w:rsidRPr="00CD77B6">
        <w:t xml:space="preserve"> y realizar el suministro e instalación de equipos complementarios y mobiliario para el sistema de integración electrónica. Con corte a 30 de junio Se encuentra en ejecución, con un </w:t>
      </w:r>
      <w:r w:rsidRPr="00CD77B6">
        <w:lastRenderedPageBreak/>
        <w:t xml:space="preserve">avance de obra de 36%. </w:t>
      </w:r>
    </w:p>
    <w:p w14:paraId="2687D031" w14:textId="77777777" w:rsidR="007701BE" w:rsidRDefault="007701BE" w:rsidP="007701BE">
      <w:pPr>
        <w:pStyle w:val="Textoindependiente"/>
        <w:ind w:left="720" w:right="-50"/>
        <w:jc w:val="both"/>
        <w:rPr>
          <w:b/>
        </w:rPr>
      </w:pPr>
    </w:p>
    <w:p w14:paraId="434AB294" w14:textId="77777777" w:rsidR="007701BE" w:rsidRPr="00D04724" w:rsidRDefault="007701BE" w:rsidP="007701BE">
      <w:pPr>
        <w:pStyle w:val="Textoindependiente"/>
        <w:ind w:left="720" w:right="-50"/>
        <w:jc w:val="both"/>
        <w:rPr>
          <w:b/>
        </w:rPr>
      </w:pPr>
      <w:r w:rsidRPr="00D04724">
        <w:rPr>
          <w:b/>
        </w:rPr>
        <w:t>¿Cuál fue el avance a 31 de diciembre de 2024?</w:t>
      </w:r>
    </w:p>
    <w:p w14:paraId="23B1BC3F" w14:textId="77777777" w:rsidR="007701BE" w:rsidRPr="00CD77B6" w:rsidRDefault="007701BE" w:rsidP="007701BE">
      <w:pPr>
        <w:pStyle w:val="Textoindependiente"/>
        <w:ind w:left="720" w:right="-50"/>
        <w:jc w:val="both"/>
      </w:pPr>
    </w:p>
    <w:p w14:paraId="748F869D" w14:textId="77777777" w:rsidR="007701BE" w:rsidRDefault="007701BE" w:rsidP="0022366E">
      <w:pPr>
        <w:pStyle w:val="Textoindependiente"/>
        <w:numPr>
          <w:ilvl w:val="0"/>
          <w:numId w:val="4"/>
        </w:numPr>
        <w:ind w:right="-50"/>
        <w:jc w:val="both"/>
      </w:pPr>
      <w:r w:rsidRPr="00CD77B6">
        <w:rPr>
          <w:b/>
        </w:rPr>
        <w:t xml:space="preserve">Contrato 222 de 2023 Consorcio 2C USPEC por valor de $4.150.991.527,50 </w:t>
      </w:r>
      <w:r w:rsidRPr="00CD77B6">
        <w:t xml:space="preserve">Objeto: Construcción de un pabellón para mujeres, alojamiento de guardia y obras complementarias en el EPMSC ERE PSM Barranquilla, Departamento del Atlántico, para lo que se requiere complementar los estudios, diseños, planos y especificaciones suministrados por la USPEC. A corte 30 de junio Se encuentra en ejecución con avance de 30%. </w:t>
      </w:r>
    </w:p>
    <w:p w14:paraId="412C2B0C" w14:textId="77777777" w:rsidR="007701BE" w:rsidRDefault="007701BE" w:rsidP="007701BE">
      <w:pPr>
        <w:pStyle w:val="Textoindependiente"/>
        <w:ind w:left="720" w:right="-50"/>
        <w:jc w:val="both"/>
        <w:rPr>
          <w:b/>
        </w:rPr>
      </w:pPr>
    </w:p>
    <w:p w14:paraId="567C487F" w14:textId="77777777" w:rsidR="007701BE" w:rsidRPr="00D04724" w:rsidRDefault="007701BE" w:rsidP="007701BE">
      <w:pPr>
        <w:pStyle w:val="Textoindependiente"/>
        <w:ind w:left="720" w:right="-50"/>
        <w:jc w:val="both"/>
        <w:rPr>
          <w:b/>
        </w:rPr>
      </w:pPr>
      <w:r w:rsidRPr="00D04724">
        <w:rPr>
          <w:b/>
        </w:rPr>
        <w:t>¿Cuál fue el avance a 31 de diciembre de 2024?</w:t>
      </w:r>
    </w:p>
    <w:p w14:paraId="78F60181" w14:textId="77777777" w:rsidR="007701BE" w:rsidRDefault="007701BE" w:rsidP="007701BE">
      <w:pPr>
        <w:pStyle w:val="Prrafodelista"/>
        <w:rPr>
          <w:b/>
        </w:rPr>
      </w:pPr>
    </w:p>
    <w:p w14:paraId="10A4BC1C" w14:textId="77777777" w:rsidR="007701BE" w:rsidRPr="00096C4B" w:rsidRDefault="007701BE" w:rsidP="0022366E">
      <w:pPr>
        <w:pStyle w:val="Textoindependiente"/>
        <w:numPr>
          <w:ilvl w:val="0"/>
          <w:numId w:val="4"/>
        </w:numPr>
        <w:ind w:right="-50"/>
        <w:jc w:val="both"/>
      </w:pPr>
      <w:r w:rsidRPr="00096C4B">
        <w:rPr>
          <w:b/>
        </w:rPr>
        <w:t xml:space="preserve">Contrato 263 de 2015 JOSE LEONEL GAMBOA CAMACHO, saldo anticipo $16.447.208,84. </w:t>
      </w:r>
      <w:r w:rsidRPr="00096C4B">
        <w:t>Suministro e instalación puesta en marcha de sistema de tratamiento, mantenimiento y operación de sistema de captación (</w:t>
      </w:r>
      <w:r>
        <w:t>P</w:t>
      </w:r>
      <w:r w:rsidRPr="00096C4B">
        <w:t xml:space="preserve">ozo de bombeo). </w:t>
      </w:r>
      <w:r w:rsidRPr="00D04724">
        <w:rPr>
          <w:b/>
          <w:u w:val="single"/>
        </w:rPr>
        <w:t>Mediante resolución No. 000427 del 20 de junio de 2018 se declaró incumplimiento del contrato y se ordenó hacer efectiva la cláusula penal pecuniaria por $168.343.150 equivalente al 20% del contrato de obra.</w:t>
      </w:r>
    </w:p>
    <w:p w14:paraId="67283670" w14:textId="77777777" w:rsidR="007701BE" w:rsidRDefault="007701BE" w:rsidP="007701BE">
      <w:pPr>
        <w:pStyle w:val="Textoindependiente"/>
        <w:ind w:right="-50"/>
        <w:jc w:val="both"/>
        <w:rPr>
          <w:b/>
        </w:rPr>
      </w:pPr>
      <w:r>
        <w:rPr>
          <w:b/>
        </w:rPr>
        <w:t>-</w:t>
      </w:r>
      <w:r w:rsidRPr="00096C4B">
        <w:rPr>
          <w:b/>
        </w:rPr>
        <w:t>190801- Recursos entregados en administración</w:t>
      </w:r>
      <w:r>
        <w:rPr>
          <w:b/>
        </w:rPr>
        <w:t>.</w:t>
      </w:r>
      <w:r w:rsidRPr="00096C4B">
        <w:rPr>
          <w:b/>
        </w:rPr>
        <w:t xml:space="preserve"> </w:t>
      </w:r>
    </w:p>
    <w:p w14:paraId="0CBD62FF" w14:textId="77777777" w:rsidR="007701BE" w:rsidRDefault="007701BE" w:rsidP="007701BE">
      <w:pPr>
        <w:pStyle w:val="Textoindependiente"/>
        <w:ind w:right="-50"/>
        <w:jc w:val="both"/>
        <w:rPr>
          <w:b/>
        </w:rPr>
      </w:pPr>
    </w:p>
    <w:p w14:paraId="588B9139" w14:textId="77777777" w:rsidR="007701BE" w:rsidRPr="00096C4B" w:rsidRDefault="007701BE" w:rsidP="007701BE">
      <w:pPr>
        <w:pStyle w:val="Textoindependiente"/>
        <w:ind w:right="-50"/>
        <w:jc w:val="both"/>
      </w:pPr>
      <w:r w:rsidRPr="00096C4B">
        <w:t xml:space="preserve">El saldo a 31 de diciembre de 2024 es de $315.528.909.410,25, a continuación, se presenta el detalle de los contratos y/o convenios que se encuentran registrados en esta subcuenta: </w:t>
      </w:r>
    </w:p>
    <w:p w14:paraId="7D4F2792" w14:textId="77777777" w:rsidR="007701BE" w:rsidRDefault="007701BE" w:rsidP="007701BE">
      <w:pPr>
        <w:pStyle w:val="Textoindependiente"/>
        <w:ind w:right="-50"/>
        <w:jc w:val="both"/>
        <w:rPr>
          <w:b/>
        </w:rPr>
      </w:pPr>
    </w:p>
    <w:p w14:paraId="60AE1382" w14:textId="77777777" w:rsidR="007701BE" w:rsidRPr="00096C4B" w:rsidRDefault="007701BE" w:rsidP="007701BE">
      <w:pPr>
        <w:pStyle w:val="Textoindependiente"/>
        <w:ind w:right="-50"/>
        <w:jc w:val="both"/>
      </w:pPr>
      <w:r w:rsidRPr="00096C4B">
        <w:rPr>
          <w:b/>
        </w:rPr>
        <w:t>AGENCIA LOGÍSTICA DE LAS FUERZAS MILITARES CONVENIOS 202 Y 227 DE 2013 DE POR VALOR DE $110.427.525,69.</w:t>
      </w:r>
      <w:r>
        <w:rPr>
          <w:b/>
        </w:rPr>
        <w:t xml:space="preserve"> </w:t>
      </w:r>
      <w:r w:rsidRPr="00096C4B">
        <w:t xml:space="preserve">Convenios 202 de 2013 Agencia Logística de las Fuerzas Militares Objeto Aunar esfuerzos técnicos, logísticos, legales, financieros, administrativos y económicos para la generación de 608 nuevos cupos en el EPMSC Tierra Alta – Córdoba, de conformidad con los diseños y planos avalados por el INPEC, de acuerdo con los parámetros señalados en el anexo técnico que hace parte integral del presente convenio y las directrices emitidas por el comité técnico del Convenio Marco 068 de 2013. </w:t>
      </w:r>
    </w:p>
    <w:p w14:paraId="112F4BA7" w14:textId="77777777" w:rsidR="007701BE" w:rsidRPr="00096C4B" w:rsidRDefault="007701BE" w:rsidP="007701BE">
      <w:pPr>
        <w:pStyle w:val="Textoindependiente"/>
        <w:ind w:right="-50"/>
        <w:jc w:val="both"/>
      </w:pPr>
    </w:p>
    <w:p w14:paraId="5E760EF2" w14:textId="77777777" w:rsidR="007701BE" w:rsidRDefault="007701BE" w:rsidP="007701BE">
      <w:pPr>
        <w:pStyle w:val="Textoindependiente"/>
        <w:ind w:right="-50"/>
        <w:jc w:val="both"/>
      </w:pPr>
      <w:r w:rsidRPr="00096C4B">
        <w:t xml:space="preserve">Convenio 227 de 2013 Agencia Logística de las Fuerzas Militares Objeto Aunar esfuerzos técnicos, logísticos, legales, financieros, administrativos y económicos para la generación de 1200 cupos en el EPMSC La Pola - Guaduas, de conformidad con los diseños y planos aprobados avalados por INPEC, de acuerdo con los parámetros señalados en el anexo técnico que hace parte integral del presente convenio y las directrices dadas por el comité técnico del Convenio Marco N. 068-2013 </w:t>
      </w:r>
    </w:p>
    <w:p w14:paraId="72284C7A" w14:textId="77777777" w:rsidR="007701BE" w:rsidRDefault="007701BE" w:rsidP="007701BE">
      <w:pPr>
        <w:pStyle w:val="Textoindependiente"/>
        <w:ind w:right="-50"/>
        <w:jc w:val="both"/>
      </w:pPr>
    </w:p>
    <w:p w14:paraId="0F0ADA1C" w14:textId="77777777" w:rsidR="007701BE" w:rsidRPr="00096C4B" w:rsidRDefault="007701BE" w:rsidP="007701BE">
      <w:pPr>
        <w:pStyle w:val="Textoindependiente"/>
        <w:ind w:right="-50"/>
        <w:jc w:val="both"/>
      </w:pPr>
      <w:r w:rsidRPr="00096C4B">
        <w:t xml:space="preserve">En referencia a los convenios Interadministrativos 202 y 227 con la Agencia Logística de las Fuerzas Militares, se suscribió acta mediante la cual se acordó la devolución de los recursos en 4 desembolsos de los cuales ya realizaron la totalidad. </w:t>
      </w:r>
      <w:r w:rsidRPr="00D04724">
        <w:rPr>
          <w:b/>
          <w:u w:val="single"/>
        </w:rPr>
        <w:t>Sin embargo, cabe resaltar que queda un saldo por legalizar de $110.427.525,69 valor que se encuentra en proceso de conciliación de la ejecución para la liquidación final</w:t>
      </w:r>
      <w:r w:rsidRPr="00096C4B">
        <w:t>.</w:t>
      </w:r>
    </w:p>
    <w:p w14:paraId="2E5E2C54" w14:textId="77777777" w:rsidR="007701BE" w:rsidRPr="00096C4B" w:rsidRDefault="007701BE" w:rsidP="007701BE">
      <w:pPr>
        <w:pStyle w:val="Textoindependiente"/>
        <w:ind w:right="-50"/>
        <w:jc w:val="both"/>
      </w:pPr>
    </w:p>
    <w:p w14:paraId="6DD76948" w14:textId="77777777" w:rsidR="007701BE" w:rsidRDefault="007701BE" w:rsidP="007701BE">
      <w:pPr>
        <w:pStyle w:val="Textoindependiente"/>
        <w:ind w:right="-50"/>
        <w:jc w:val="both"/>
      </w:pPr>
      <w:r w:rsidRPr="00096C4B">
        <w:t xml:space="preserve">Se realizaron liquidaciones unilaterales de los contratos, de acuerdo a los siguientes actos administrativos: </w:t>
      </w:r>
    </w:p>
    <w:p w14:paraId="7BEED608" w14:textId="77777777" w:rsidR="007701BE" w:rsidRDefault="007701BE" w:rsidP="007701BE">
      <w:pPr>
        <w:pStyle w:val="Textoindependiente"/>
        <w:ind w:right="-50"/>
        <w:jc w:val="both"/>
      </w:pPr>
    </w:p>
    <w:p w14:paraId="1495D9E2" w14:textId="77777777" w:rsidR="007701BE" w:rsidRDefault="007701BE" w:rsidP="007701BE">
      <w:pPr>
        <w:pStyle w:val="Textoindependiente"/>
        <w:ind w:right="-50"/>
        <w:jc w:val="both"/>
      </w:pPr>
      <w:r w:rsidRPr="00096C4B">
        <w:lastRenderedPageBreak/>
        <w:t xml:space="preserve">Resolución 00299 del 11 de junio de 2020. Por medio de la cual se liquida unilateralmente el convenio interadministrativo No.202 de 2013, suscrito entre la USPEC, INPEC, Ministerio de Defensa Ejercito Nacional y la Agencia de Logística de las Fuerzas Militares </w:t>
      </w:r>
    </w:p>
    <w:p w14:paraId="53D47902" w14:textId="77777777" w:rsidR="007701BE" w:rsidRDefault="007701BE" w:rsidP="007701BE">
      <w:pPr>
        <w:pStyle w:val="Textoindependiente"/>
        <w:ind w:right="-50"/>
        <w:jc w:val="both"/>
      </w:pPr>
    </w:p>
    <w:p w14:paraId="19332DA0" w14:textId="77777777" w:rsidR="007701BE" w:rsidRDefault="007701BE" w:rsidP="007701BE">
      <w:pPr>
        <w:pStyle w:val="Textoindependiente"/>
        <w:ind w:right="-50"/>
        <w:jc w:val="both"/>
      </w:pPr>
      <w:r w:rsidRPr="00096C4B">
        <w:t xml:space="preserve">Resolución 000300 del 11 de junio de 2020. Por medio de la cual se liquida unilateralmente el convenio interadministrativo No.227 de 2013, suscrito entre la USPEC, INPEC, Ministerio de Defensa Ejercito Nacional y la Agencia de Logística de las Fuerzas Militares </w:t>
      </w:r>
    </w:p>
    <w:p w14:paraId="5B6A1C2E" w14:textId="77777777" w:rsidR="007701BE" w:rsidRDefault="007701BE" w:rsidP="007701BE">
      <w:pPr>
        <w:pStyle w:val="Textoindependiente"/>
        <w:ind w:right="-50"/>
        <w:jc w:val="both"/>
      </w:pPr>
    </w:p>
    <w:p w14:paraId="10C7EE60" w14:textId="77777777" w:rsidR="007701BE" w:rsidRDefault="007701BE" w:rsidP="007701BE">
      <w:pPr>
        <w:pStyle w:val="Textoindependiente"/>
        <w:ind w:right="-50"/>
        <w:jc w:val="both"/>
      </w:pPr>
      <w:r w:rsidRPr="00096C4B">
        <w:t xml:space="preserve">Mediante Resolución No. 004 del 6 de enero de 2021, se resolvió recurso de reposición en contra de la Resolución de liquidación unilateral No. 299 del 2020, donde se resolvió: </w:t>
      </w:r>
    </w:p>
    <w:p w14:paraId="61108E4C" w14:textId="77777777" w:rsidR="007701BE" w:rsidRDefault="007701BE" w:rsidP="007701BE">
      <w:pPr>
        <w:pStyle w:val="Textoindependiente"/>
        <w:ind w:right="-50" w:firstLine="708"/>
        <w:jc w:val="both"/>
      </w:pPr>
    </w:p>
    <w:p w14:paraId="532FE701" w14:textId="77777777" w:rsidR="007701BE" w:rsidRDefault="007701BE" w:rsidP="007701BE">
      <w:pPr>
        <w:pStyle w:val="Textoindependiente"/>
        <w:ind w:right="-50" w:firstLine="708"/>
        <w:jc w:val="both"/>
      </w:pPr>
      <w:r w:rsidRPr="00096C4B">
        <w:t xml:space="preserve">El EJÉRCITO debe pagar a la USPEC la suma de $866.305.185,97 </w:t>
      </w:r>
    </w:p>
    <w:p w14:paraId="6FBDF2B1" w14:textId="77777777" w:rsidR="007701BE" w:rsidRDefault="007701BE" w:rsidP="007701BE">
      <w:pPr>
        <w:pStyle w:val="Textoindependiente"/>
        <w:ind w:right="-50" w:firstLine="708"/>
        <w:jc w:val="both"/>
      </w:pPr>
      <w:r w:rsidRPr="00096C4B">
        <w:t xml:space="preserve">AGENCIA LOGÍSTICA debe devolver a la USPEC la suma de $105.735.529,90. </w:t>
      </w:r>
    </w:p>
    <w:p w14:paraId="65146EA1" w14:textId="77777777" w:rsidR="007701BE" w:rsidRDefault="007701BE" w:rsidP="007701BE">
      <w:pPr>
        <w:pStyle w:val="Textoindependiente"/>
        <w:ind w:right="-50"/>
        <w:jc w:val="both"/>
      </w:pPr>
    </w:p>
    <w:p w14:paraId="5BE4F9EB" w14:textId="77777777" w:rsidR="007701BE" w:rsidRDefault="007701BE" w:rsidP="007701BE">
      <w:pPr>
        <w:pStyle w:val="Textoindependiente"/>
        <w:ind w:right="-50"/>
        <w:jc w:val="both"/>
      </w:pPr>
      <w:r w:rsidRPr="00096C4B">
        <w:t xml:space="preserve">Mediante resolución No. 003 del 6 de enero de 2021, se resolvió recurso de reposición en contra de Resolución de liquidación unilateral No. 300 del 2020, donde se resolvió: </w:t>
      </w:r>
    </w:p>
    <w:p w14:paraId="7A5487A1" w14:textId="77777777" w:rsidR="007701BE" w:rsidRDefault="007701BE" w:rsidP="007701BE">
      <w:pPr>
        <w:pStyle w:val="Textoindependiente"/>
        <w:ind w:right="-50" w:firstLine="708"/>
        <w:jc w:val="both"/>
      </w:pPr>
      <w:r w:rsidRPr="00096C4B">
        <w:t xml:space="preserve">AGENCIA LOGÍSTICA debe devolver a la USPEC la suma de $5.159.415,19 </w:t>
      </w:r>
    </w:p>
    <w:p w14:paraId="17E434D6" w14:textId="77777777" w:rsidR="007701BE" w:rsidRDefault="007701BE" w:rsidP="007701BE">
      <w:pPr>
        <w:pStyle w:val="Textoindependiente"/>
        <w:ind w:right="-50"/>
        <w:jc w:val="both"/>
      </w:pPr>
    </w:p>
    <w:p w14:paraId="28CBA746" w14:textId="77777777" w:rsidR="007701BE" w:rsidRPr="00D04724" w:rsidRDefault="007701BE" w:rsidP="007701BE">
      <w:pPr>
        <w:pStyle w:val="Textoindependiente"/>
        <w:ind w:right="-50"/>
        <w:jc w:val="both"/>
        <w:rPr>
          <w:b/>
          <w:u w:val="single"/>
        </w:rPr>
      </w:pPr>
      <w:r w:rsidRPr="00D04724">
        <w:rPr>
          <w:b/>
          <w:u w:val="single"/>
        </w:rPr>
        <w:t>Estos valores deben ser cobrados por la Oficina Asesora Jurídica de la USPEC por medio de proceso ejecutivo, Contrato liquidado, En proceso jurídico para recuperar recursos</w:t>
      </w:r>
      <w:r>
        <w:rPr>
          <w:b/>
          <w:u w:val="single"/>
        </w:rPr>
        <w:t>.</w:t>
      </w:r>
    </w:p>
    <w:p w14:paraId="27DCDE61" w14:textId="77777777" w:rsidR="007701BE" w:rsidRDefault="007701BE" w:rsidP="007701BE">
      <w:pPr>
        <w:pStyle w:val="Textoindependiente"/>
        <w:ind w:right="-50"/>
        <w:jc w:val="both"/>
        <w:rPr>
          <w:b/>
        </w:rPr>
      </w:pPr>
    </w:p>
    <w:p w14:paraId="5F4C00AF" w14:textId="77777777" w:rsidR="007701BE" w:rsidRPr="00EC4D32" w:rsidRDefault="007701BE" w:rsidP="007701BE">
      <w:pPr>
        <w:pStyle w:val="Textoindependiente"/>
        <w:ind w:right="-50"/>
        <w:jc w:val="both"/>
      </w:pPr>
      <w:r w:rsidRPr="00EC4D32">
        <w:rPr>
          <w:b/>
        </w:rPr>
        <w:t xml:space="preserve">ENTERRITORIO CONTRATO 216144 DE 2016 FONADE, saldo recursos en administración $261.782.834.971,98. </w:t>
      </w:r>
      <w:r w:rsidRPr="00EC4D32">
        <w:t xml:space="preserve">Convenio Interadministrativo de gerencia de proyectos suscrito con El Fondo Financiero de Proyectos de Desarrollo - FONADE, se compromete con la Unidad de Servicios Penitenciarios y Carcelarios - USPEC, de acuerdo con los parámetros de la Línea de Negocios de Gerencia de Proyectos, a realizar la Gerencia para para la construcción e interventoría, ampliación de cupos, y mantenimiento de la infraestructura carcelaria y penitenciaria de orden nivel Nacional requerida por la USPEC, lo que supone adelantar estudios, diseños, demolición, mantenimiento, suministro, mejoramiento, conservación y ampliación, así como la elaboración del Plan Maestro de infraestructura en materia Penitenciaria y Carcelaria, de acuerdo con la información de los diseños que presenta la USPEC. Construcción del nuevo ERON Pereira Fase 1 </w:t>
      </w:r>
    </w:p>
    <w:p w14:paraId="01C3246D" w14:textId="77777777" w:rsidR="007701BE" w:rsidRDefault="007701BE" w:rsidP="007701BE">
      <w:pPr>
        <w:pStyle w:val="Textoindependiente"/>
        <w:ind w:right="-50"/>
        <w:jc w:val="both"/>
        <w:rPr>
          <w:b/>
        </w:rPr>
      </w:pPr>
    </w:p>
    <w:p w14:paraId="36591DD3" w14:textId="77777777" w:rsidR="007701BE" w:rsidRDefault="007701BE" w:rsidP="007701BE">
      <w:pPr>
        <w:pStyle w:val="Textoindependiente"/>
        <w:ind w:right="-50"/>
        <w:jc w:val="both"/>
      </w:pPr>
      <w:r w:rsidRPr="00D04724">
        <w:rPr>
          <w:b/>
          <w:u w:val="single"/>
        </w:rPr>
        <w:t xml:space="preserve">Contrato en ejecución, a la fecha del cierre de la vigencia 2024 la supervisión del contrato interadministrativo notifica que aún no se han finalizado todas las obras y alcances del contrato, en especial el ERON de </w:t>
      </w:r>
      <w:proofErr w:type="spellStart"/>
      <w:r w:rsidRPr="00D04724">
        <w:rPr>
          <w:b/>
          <w:u w:val="single"/>
        </w:rPr>
        <w:t>Pilamo</w:t>
      </w:r>
      <w:proofErr w:type="spellEnd"/>
      <w:r w:rsidRPr="00D04724">
        <w:rPr>
          <w:b/>
          <w:u w:val="single"/>
        </w:rPr>
        <w:t>, uno de los alcances más significativos desde el punto de vista del valor del contrato, una vez se terminen las obras pendientes y se cuente con su respectiva acta de recibo y liquidación, se procederá a legalizar los recursos faltantes</w:t>
      </w:r>
      <w:r>
        <w:t>.</w:t>
      </w:r>
    </w:p>
    <w:p w14:paraId="13D9F249" w14:textId="77777777" w:rsidR="007701BE" w:rsidRDefault="007701BE" w:rsidP="007701BE">
      <w:pPr>
        <w:pStyle w:val="Textoindependiente"/>
        <w:ind w:right="-50"/>
        <w:jc w:val="both"/>
      </w:pPr>
    </w:p>
    <w:p w14:paraId="2B30A1B4" w14:textId="77777777" w:rsidR="007701BE" w:rsidRDefault="007701BE" w:rsidP="007701BE">
      <w:pPr>
        <w:pStyle w:val="Textoindependiente"/>
        <w:ind w:right="-50"/>
        <w:jc w:val="both"/>
      </w:pPr>
      <w:r w:rsidRPr="00EC4D32">
        <w:rPr>
          <w:b/>
        </w:rPr>
        <w:t>EMPRESA DE VIVIENDA DE ANTIOQUIA – VIVA, CONTRATO 393 DE 2017 saldo recursos en administración $43.100.595.198,00.</w:t>
      </w:r>
      <w:r w:rsidRPr="00EC4D32">
        <w:t xml:space="preserve"> Objeto: Aunar esfuerzos técnicos, administrativos y financieros con el propósito de cofinanciar y ejecutar un proyecto consistente en la construcción, adecuación y dotación de un establecimiento de reclusión, tipo colonia agrícola CAMIS, destinado a albergar a la población privada de la libertad. </w:t>
      </w:r>
      <w:r w:rsidRPr="00D04724">
        <w:rPr>
          <w:b/>
          <w:u w:val="single"/>
        </w:rPr>
        <w:t>Se encuentra en ejecución</w:t>
      </w:r>
      <w:r w:rsidRPr="00EC4D32">
        <w:t xml:space="preserve">. </w:t>
      </w:r>
      <w:r w:rsidRPr="00D04724">
        <w:rPr>
          <w:b/>
          <w:u w:val="single"/>
        </w:rPr>
        <w:t>Fecha de finalización 19 de enero 2019</w:t>
      </w:r>
      <w:r w:rsidRPr="00EC4D32">
        <w:t xml:space="preserve">. </w:t>
      </w:r>
    </w:p>
    <w:p w14:paraId="03B83F4D" w14:textId="77777777" w:rsidR="007701BE" w:rsidRDefault="007701BE" w:rsidP="007701BE">
      <w:pPr>
        <w:pStyle w:val="Textoindependiente"/>
        <w:ind w:right="-50"/>
        <w:jc w:val="both"/>
      </w:pPr>
    </w:p>
    <w:p w14:paraId="4E611655" w14:textId="77777777" w:rsidR="007701BE" w:rsidRDefault="007701BE" w:rsidP="007701BE">
      <w:pPr>
        <w:pStyle w:val="Textoindependiente"/>
        <w:ind w:right="-50"/>
        <w:jc w:val="both"/>
      </w:pPr>
      <w:r w:rsidRPr="00776135">
        <w:rPr>
          <w:b/>
          <w:u w:val="single"/>
        </w:rPr>
        <w:t>Suspendido desde el 28 de enero de 2019</w:t>
      </w:r>
      <w:r w:rsidRPr="00EC4D32">
        <w:t xml:space="preserve">. Se presentó propuesta de Contrato de </w:t>
      </w:r>
      <w:r w:rsidRPr="00EC4D32">
        <w:lastRenderedPageBreak/>
        <w:t xml:space="preserve">Transacción al INPEC, se está a la espera del documento de observaciones o ajustes por parte de los ellos. Se admite demanda del Departamento de Antioquia y del Municipio de Medellín, en primera instancia en el ejercicio del medio de control de controversias contractuales, el 10 de noviembre de 2022, por parte del Tribunal Administrativo de Antioquia, en contra de la Nación, el Ministerio de Justicia y del Derecho, el INPEC y la USPEC. Actualmente el Proceso de controversias contractuales se adelanta ante el Tribunal Administrativo de Antioquia. Contrato en Liquidación judicial </w:t>
      </w:r>
    </w:p>
    <w:p w14:paraId="7DA29EE8" w14:textId="77777777" w:rsidR="007701BE" w:rsidRDefault="007701BE" w:rsidP="007701BE">
      <w:pPr>
        <w:pStyle w:val="Textoindependiente"/>
        <w:ind w:right="-50"/>
        <w:jc w:val="both"/>
      </w:pPr>
    </w:p>
    <w:p w14:paraId="62B716ED" w14:textId="77777777" w:rsidR="007701BE" w:rsidRDefault="007701BE" w:rsidP="007701BE">
      <w:pPr>
        <w:pStyle w:val="Textoindependiente"/>
        <w:ind w:right="-50"/>
        <w:jc w:val="both"/>
      </w:pPr>
      <w:r w:rsidRPr="00EC4D32">
        <w:rPr>
          <w:b/>
        </w:rPr>
        <w:t>AGENCIA NACIONAL INMOBILIARIA VIRGILIO BARCO VARGAS CONTRATO 173 DE 2017, saldo recursos en administración $3.879.585.772,18,</w:t>
      </w:r>
      <w:r w:rsidRPr="00EC4D32">
        <w:t xml:space="preserve"> </w:t>
      </w:r>
      <w:r>
        <w:t>E</w:t>
      </w:r>
      <w:r w:rsidRPr="00EC4D32">
        <w:t>l valor girado como recurso en administración fue de $2.916.398.301,00,el cual al cierre presenta un mayor valor por concepto de rendimientos financieros, dado que de conformidad con el convenio interadministrativo derivado No. 01, Convenio marco 173, suscrito entre la Agencia Nacional Inmobiliaria Virgilio Barco Vargas, la Unidad de servicios penitenciarios y carcelarios USPEC, El Instituto Nacional y Carcelario INPEC, menciona en su “</w:t>
      </w:r>
      <w:r>
        <w:t>N</w:t>
      </w:r>
      <w:r w:rsidRPr="00EC4D32">
        <w:t xml:space="preserve">umeral 14. Los rendimientos que se generen se administrarán y destinarán al mismo fin del aporte inicial. En consecuencia, con la vinculación de los recursos al patrimonio constituido mediante Fiducia Mercantil y la adquisición del correlativo derecho fiduciario a favor de la entidad pública aportante como beneficiaria, se entiende ejecutado el presupuesto de la respectiva entidad”. </w:t>
      </w:r>
    </w:p>
    <w:p w14:paraId="42C23E83" w14:textId="77777777" w:rsidR="007701BE" w:rsidRDefault="007701BE" w:rsidP="007701BE">
      <w:pPr>
        <w:pStyle w:val="Textoindependiente"/>
        <w:ind w:right="-50"/>
        <w:jc w:val="both"/>
      </w:pPr>
      <w:r w:rsidRPr="00776135">
        <w:rPr>
          <w:b/>
          <w:u w:val="single"/>
        </w:rPr>
        <w:t>A la fecha no se han completado los productos, esto debido al cambio normativo que ha generado inestabilidad en el desarrollo durante la ejecución del proyecto (POT Bogotá), por tal razón no ha sido posible por parte de la consultoría adelantar legalización de los respectivos recursos</w:t>
      </w:r>
      <w:r w:rsidRPr="00EC4D32">
        <w:t xml:space="preserve">. </w:t>
      </w:r>
    </w:p>
    <w:p w14:paraId="30E4FEE2" w14:textId="77777777" w:rsidR="007701BE" w:rsidRDefault="007701BE" w:rsidP="007701BE">
      <w:pPr>
        <w:pStyle w:val="Textoindependiente"/>
        <w:ind w:right="-50"/>
        <w:jc w:val="both"/>
      </w:pPr>
    </w:p>
    <w:p w14:paraId="5C12EF07" w14:textId="77777777" w:rsidR="007701BE" w:rsidRDefault="007701BE" w:rsidP="007701BE">
      <w:pPr>
        <w:pStyle w:val="Textoindependiente"/>
        <w:ind w:right="-50"/>
        <w:jc w:val="both"/>
      </w:pPr>
      <w:r w:rsidRPr="00BA50CD">
        <w:rPr>
          <w:b/>
        </w:rPr>
        <w:t>INSTITUTO DE DESARROLLO URBANO – CONVENIO INTERADMINISTRATIVO 1690 DE 2020 por valor de $5.830.363.894,00</w:t>
      </w:r>
      <w:r w:rsidRPr="00EC4D32">
        <w:t xml:space="preserve"> </w:t>
      </w:r>
      <w:r>
        <w:t>C</w:t>
      </w:r>
      <w:r w:rsidRPr="00EC4D32">
        <w:t xml:space="preserve">uyo objeto es aunar esfuerzos administrativos, financieros y técnicos para adelantar la elaboración de estudios y diseño, construcción del cerramiento, adecuación de acceso y obras complementarias en el predio del Complejo COMEB la Picota por afectación vial para la ampliación troncal caracas. </w:t>
      </w:r>
      <w:r w:rsidRPr="00776135">
        <w:rPr>
          <w:b/>
          <w:u w:val="single"/>
        </w:rPr>
        <w:t>Convenio en liquidación.</w:t>
      </w:r>
      <w:r w:rsidRPr="00EC4D32">
        <w:t xml:space="preserve"> </w:t>
      </w:r>
    </w:p>
    <w:p w14:paraId="5D68D1F5" w14:textId="77777777" w:rsidR="007701BE" w:rsidRDefault="007701BE" w:rsidP="007701BE">
      <w:pPr>
        <w:pStyle w:val="Textoindependiente"/>
        <w:ind w:right="-50"/>
        <w:jc w:val="both"/>
      </w:pPr>
    </w:p>
    <w:p w14:paraId="194B8BDB" w14:textId="77777777" w:rsidR="007701BE" w:rsidRDefault="007701BE" w:rsidP="007701BE">
      <w:pPr>
        <w:pStyle w:val="Textoindependiente"/>
        <w:ind w:right="-50"/>
        <w:jc w:val="both"/>
      </w:pPr>
      <w:r w:rsidRPr="00DE4C28">
        <w:rPr>
          <w:b/>
        </w:rPr>
        <w:t>190803- Encargo Fiduciario – Fiducia de administración y pagos</w:t>
      </w:r>
      <w:r>
        <w:rPr>
          <w:b/>
        </w:rPr>
        <w:t>.</w:t>
      </w:r>
      <w:r w:rsidRPr="00DE4C28">
        <w:rPr>
          <w:b/>
        </w:rPr>
        <w:t xml:space="preserve"> </w:t>
      </w:r>
      <w:r w:rsidRPr="00DE4C28">
        <w:t xml:space="preserve">El saldo a 31 de diciembre de 2024 es de $1.153.095.156.516,92, a continuación, se presenta el detalle de los contratos y/o convenios que se encuentran registrados en esta subcuenta: </w:t>
      </w:r>
    </w:p>
    <w:p w14:paraId="024120F6" w14:textId="77777777" w:rsidR="007701BE" w:rsidRDefault="007701BE" w:rsidP="007701BE">
      <w:pPr>
        <w:pStyle w:val="Textoindependiente"/>
        <w:ind w:right="-50"/>
        <w:jc w:val="both"/>
      </w:pPr>
    </w:p>
    <w:p w14:paraId="179A2D06" w14:textId="77777777" w:rsidR="007701BE" w:rsidRDefault="007701BE" w:rsidP="007701BE">
      <w:pPr>
        <w:pStyle w:val="Textoindependiente"/>
        <w:ind w:right="-50"/>
        <w:jc w:val="both"/>
      </w:pPr>
      <w:r w:rsidRPr="00DE4C28">
        <w:rPr>
          <w:b/>
        </w:rPr>
        <w:t>FIDUCIARIA CENTRAL S.A. – CONTRATO 200 DE 2021 por valor de $469.451.722.226.02</w:t>
      </w:r>
      <w:r w:rsidRPr="00DE4C28">
        <w:t xml:space="preserve"> Objeto: Celebrar un contrato de fiducia mercantil de administración y pagos de los recursos del Fondo Nacional de Salud de las personas privadas de la libertad, destinados a la celebración de contratos derivados y pagos necesarios para la atención integral en salud y la prevención de la enfermedad y la promoción de la salud a la PPL a cargo del INPEC. </w:t>
      </w:r>
      <w:r w:rsidRPr="00776135">
        <w:rPr>
          <w:b/>
          <w:u w:val="single"/>
        </w:rPr>
        <w:t>En proceso de validación de cifras, para empezar a proyectar resoluciones de legalización y traslado de los pagos efectivos por prestación del servicio de salud a la PPL, lo cual se realizará en primer semestre de 2025</w:t>
      </w:r>
      <w:r w:rsidRPr="00DE4C28">
        <w:t xml:space="preserve">. </w:t>
      </w:r>
    </w:p>
    <w:p w14:paraId="10BE06BE" w14:textId="77777777" w:rsidR="007701BE" w:rsidRDefault="007701BE" w:rsidP="007701BE">
      <w:pPr>
        <w:pStyle w:val="Textoindependiente"/>
        <w:ind w:right="-50"/>
        <w:jc w:val="both"/>
      </w:pPr>
    </w:p>
    <w:p w14:paraId="65155D0B" w14:textId="77777777" w:rsidR="007701BE" w:rsidRDefault="007701BE" w:rsidP="007701BE">
      <w:pPr>
        <w:pStyle w:val="Textoindependiente"/>
        <w:ind w:right="-50"/>
        <w:jc w:val="both"/>
      </w:pPr>
      <w:r w:rsidRPr="00DE4C28">
        <w:rPr>
          <w:b/>
        </w:rPr>
        <w:t>FIDUCIARIA CENTRAL S.A. – CONTRATO 059 DE 2023 por valor de $442.929.155.405,22</w:t>
      </w:r>
      <w:r w:rsidRPr="00DE4C28">
        <w:t xml:space="preserve"> Objeto: Suscribir un contrato de fiducia mercantil para la administración y pagos de los recursos del Fondo Nacional de Salud de las personas privadas de la libertad, destinados a la celebración de contratos derivados y pagos necesarios para la atención integral en salud y la </w:t>
      </w:r>
      <w:r w:rsidRPr="00DE4C28">
        <w:lastRenderedPageBreak/>
        <w:t xml:space="preserve">prevención de la enfermedad, la promoción y mantenimiento de la salud de la población privada de la libertad - PPL a cargo del INPEC. </w:t>
      </w:r>
      <w:r w:rsidRPr="00776135">
        <w:rPr>
          <w:b/>
          <w:u w:val="single"/>
        </w:rPr>
        <w:t>En proceso de validación cifras, para empezar a proyectar resoluciones de legalización y traslado de los pagos efectivos por prestación del servicio de salud a la PPL, lo cual se realizará en primer semestre de 2025</w:t>
      </w:r>
      <w:r>
        <w:t>.</w:t>
      </w:r>
    </w:p>
    <w:p w14:paraId="7F9F6DC5" w14:textId="77777777" w:rsidR="007701BE" w:rsidRDefault="007701BE" w:rsidP="007701BE">
      <w:pPr>
        <w:pStyle w:val="Textoindependiente"/>
        <w:ind w:right="-50"/>
        <w:jc w:val="both"/>
      </w:pPr>
    </w:p>
    <w:p w14:paraId="22432BA9" w14:textId="77777777" w:rsidR="007701BE" w:rsidRPr="00DE4C28" w:rsidRDefault="007701BE" w:rsidP="007701BE">
      <w:pPr>
        <w:pStyle w:val="Textoindependiente"/>
        <w:ind w:right="-50"/>
        <w:jc w:val="both"/>
      </w:pPr>
      <w:r w:rsidRPr="00DE4C28">
        <w:rPr>
          <w:b/>
        </w:rPr>
        <w:t>FIDUCIARIA LA PREVISORA S.A. – CONTRATO 158 DE 2024 por valor de $238.385.640.814,40</w:t>
      </w:r>
      <w:r w:rsidRPr="00DE4C28">
        <w:t xml:space="preserve"> Objeto: Suscribir un contrato de fiducia mercantil para la administración de los recursos del fondo nacional de salud de las personas privadas de la libertad y los correspondientes pagos derivados de la celebración y supervisión de los contratos necesarios para la atención integral en salud, prevención de la enfermedad, la promoción y mantenimiento de la salud de la población privada de la libertad a cargo del INPEC. En ejecución, </w:t>
      </w:r>
      <w:r w:rsidRPr="00776135">
        <w:rPr>
          <w:b/>
          <w:u w:val="single"/>
        </w:rPr>
        <w:t>pendiente revisión y validación de cifras y valores pagados por prestación de servicios de salud a la PPL 2024</w:t>
      </w:r>
      <w:r w:rsidRPr="00DE4C28">
        <w:t>.</w:t>
      </w:r>
    </w:p>
    <w:p w14:paraId="05EEA713" w14:textId="77777777" w:rsidR="007701BE" w:rsidRDefault="007701BE" w:rsidP="007701BE">
      <w:pPr>
        <w:pStyle w:val="Textoindependiente"/>
        <w:ind w:right="-50"/>
        <w:jc w:val="both"/>
        <w:rPr>
          <w:b/>
        </w:rPr>
      </w:pPr>
    </w:p>
    <w:p w14:paraId="2F8C2B9E" w14:textId="77777777" w:rsidR="007701BE" w:rsidRDefault="007701BE" w:rsidP="007701BE">
      <w:pPr>
        <w:pStyle w:val="Textoindependiente"/>
        <w:ind w:right="-50"/>
        <w:jc w:val="both"/>
        <w:rPr>
          <w:b/>
        </w:rPr>
      </w:pPr>
      <w:r>
        <w:rPr>
          <w:b/>
        </w:rPr>
        <w:t>-</w:t>
      </w:r>
      <w:r w:rsidRPr="00E9135C">
        <w:rPr>
          <w:b/>
        </w:rPr>
        <w:t>NOTA 21 – CUENTAS POR PAGAR</w:t>
      </w:r>
      <w:r>
        <w:rPr>
          <w:b/>
        </w:rPr>
        <w:t>.</w:t>
      </w:r>
    </w:p>
    <w:p w14:paraId="2F720A37" w14:textId="77777777" w:rsidR="007701BE" w:rsidRDefault="007701BE" w:rsidP="007701BE">
      <w:pPr>
        <w:pStyle w:val="Textoindependiente"/>
        <w:ind w:right="-50"/>
        <w:jc w:val="both"/>
        <w:rPr>
          <w:b/>
        </w:rPr>
      </w:pPr>
    </w:p>
    <w:p w14:paraId="44FEB433" w14:textId="77777777" w:rsidR="007701BE" w:rsidRPr="005E0B67" w:rsidRDefault="007701BE" w:rsidP="007701BE">
      <w:pPr>
        <w:pStyle w:val="Textoindependiente"/>
        <w:ind w:right="-50"/>
        <w:jc w:val="both"/>
      </w:pPr>
      <w:r w:rsidRPr="005E0B67">
        <w:rPr>
          <w:b/>
        </w:rPr>
        <w:t>2460 – Créditos judiciales</w:t>
      </w:r>
      <w:r>
        <w:rPr>
          <w:b/>
        </w:rPr>
        <w:t xml:space="preserve">. </w:t>
      </w:r>
      <w:r w:rsidRPr="005E0B67">
        <w:t xml:space="preserve">El saldo de esta cuenta a 31 de diciembre de 2024 es de </w:t>
      </w:r>
      <w:r>
        <w:t>m</w:t>
      </w:r>
      <w:r w:rsidRPr="005E0B67">
        <w:t>il ochocientos ocho millones ochocientos dieciocho mil ciento ochenta y ocho pesos con veintitrés CVS $1.808.818.188,23 corresponde al valor de las obligaciones por concepto de fallos en contra de la USPEC, debidamente ejecutoriados, así como los mandamientos ejecutivos, conciliaciones administrativas y otras órdenes judiciales impartidas a favor de terceros.</w:t>
      </w:r>
    </w:p>
    <w:p w14:paraId="7A53E8A8" w14:textId="77777777" w:rsidR="007701BE" w:rsidRDefault="007701BE" w:rsidP="007701BE">
      <w:pPr>
        <w:pStyle w:val="Textoindependiente"/>
        <w:ind w:right="-50"/>
        <w:jc w:val="both"/>
        <w:rPr>
          <w:b/>
        </w:rPr>
      </w:pPr>
    </w:p>
    <w:p w14:paraId="001176F6" w14:textId="77777777" w:rsidR="007701BE" w:rsidRDefault="007701BE" w:rsidP="007701BE">
      <w:pPr>
        <w:pStyle w:val="Textoindependiente"/>
        <w:ind w:right="-50"/>
        <w:jc w:val="center"/>
        <w:rPr>
          <w:b/>
        </w:rPr>
      </w:pPr>
      <w:r w:rsidRPr="005E0B67">
        <w:rPr>
          <w:b/>
          <w:noProof/>
          <w:lang w:val="es-CO" w:eastAsia="es-CO"/>
        </w:rPr>
        <w:drawing>
          <wp:inline distT="0" distB="0" distL="0" distR="0" wp14:anchorId="1FA7C0A5" wp14:editId="01962F72">
            <wp:extent cx="5185041" cy="809625"/>
            <wp:effectExtent l="0" t="0" r="0" b="0"/>
            <wp:docPr id="1441286721" name="Imagen 144128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73595" cy="839067"/>
                    </a:xfrm>
                    <a:prstGeom prst="rect">
                      <a:avLst/>
                    </a:prstGeom>
                  </pic:spPr>
                </pic:pic>
              </a:graphicData>
            </a:graphic>
          </wp:inline>
        </w:drawing>
      </w:r>
    </w:p>
    <w:p w14:paraId="390D6DA5" w14:textId="77777777" w:rsidR="007701BE" w:rsidRDefault="007701BE" w:rsidP="007701BE">
      <w:pPr>
        <w:pStyle w:val="Textoindependiente"/>
        <w:ind w:right="-50"/>
        <w:jc w:val="both"/>
        <w:rPr>
          <w:b/>
        </w:rPr>
      </w:pPr>
    </w:p>
    <w:p w14:paraId="53342836" w14:textId="77777777" w:rsidR="007701BE" w:rsidRPr="005E0B67" w:rsidRDefault="007701BE" w:rsidP="007701BE">
      <w:pPr>
        <w:pStyle w:val="Textoindependiente"/>
        <w:ind w:right="-50"/>
        <w:jc w:val="both"/>
      </w:pPr>
      <w:r w:rsidRPr="005E0B67">
        <w:rPr>
          <w:b/>
        </w:rPr>
        <w:t>2490 -Otras cuentas por pagar</w:t>
      </w:r>
      <w:r>
        <w:rPr>
          <w:b/>
        </w:rPr>
        <w:t xml:space="preserve">. </w:t>
      </w:r>
      <w:r w:rsidRPr="005E0B67">
        <w:t>El saldo de esta cuenta a 31 de diciembre de 2024 por valor de $1.128.041.919,17 está representado principalmente por prestación de servicios, que quedaron por pagar al cierre del trimestre informado.</w:t>
      </w:r>
    </w:p>
    <w:p w14:paraId="12F77BDB" w14:textId="77777777" w:rsidR="007701BE" w:rsidRDefault="007701BE" w:rsidP="007701BE">
      <w:pPr>
        <w:pStyle w:val="Textoindependiente"/>
        <w:ind w:right="-50"/>
        <w:jc w:val="both"/>
        <w:rPr>
          <w:b/>
        </w:rPr>
      </w:pPr>
    </w:p>
    <w:p w14:paraId="3B574B0A" w14:textId="77777777" w:rsidR="007701BE" w:rsidRDefault="007701BE" w:rsidP="007701BE">
      <w:pPr>
        <w:pStyle w:val="Textoindependiente"/>
        <w:ind w:right="-50"/>
        <w:jc w:val="center"/>
        <w:rPr>
          <w:b/>
        </w:rPr>
      </w:pPr>
      <w:r w:rsidRPr="005E0B67">
        <w:rPr>
          <w:b/>
          <w:noProof/>
          <w:lang w:val="es-CO" w:eastAsia="es-CO"/>
        </w:rPr>
        <w:drawing>
          <wp:inline distT="0" distB="0" distL="0" distR="0" wp14:anchorId="79A6D00C" wp14:editId="0F885FF0">
            <wp:extent cx="5153025" cy="1502964"/>
            <wp:effectExtent l="0" t="0" r="0" b="2540"/>
            <wp:docPr id="1441286722" name="Imagen 144128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2093" cy="1561025"/>
                    </a:xfrm>
                    <a:prstGeom prst="rect">
                      <a:avLst/>
                    </a:prstGeom>
                  </pic:spPr>
                </pic:pic>
              </a:graphicData>
            </a:graphic>
          </wp:inline>
        </w:drawing>
      </w:r>
    </w:p>
    <w:p w14:paraId="1EE6873E" w14:textId="77777777" w:rsidR="007701BE" w:rsidRDefault="007701BE" w:rsidP="007701BE">
      <w:pPr>
        <w:pStyle w:val="Textoindependiente"/>
        <w:ind w:right="-50"/>
        <w:jc w:val="both"/>
        <w:rPr>
          <w:b/>
        </w:rPr>
      </w:pPr>
    </w:p>
    <w:p w14:paraId="0CDF0961" w14:textId="77777777" w:rsidR="007701BE" w:rsidRDefault="007701BE" w:rsidP="007701BE">
      <w:pPr>
        <w:pStyle w:val="Textoindependiente"/>
        <w:ind w:right="-50"/>
        <w:jc w:val="both"/>
        <w:rPr>
          <w:b/>
        </w:rPr>
      </w:pPr>
      <w:r>
        <w:rPr>
          <w:b/>
        </w:rPr>
        <w:t>-</w:t>
      </w:r>
      <w:r w:rsidRPr="007F29FC">
        <w:rPr>
          <w:b/>
        </w:rPr>
        <w:t xml:space="preserve">NOTA 23 </w:t>
      </w:r>
      <w:r>
        <w:rPr>
          <w:b/>
        </w:rPr>
        <w:t>–</w:t>
      </w:r>
      <w:r w:rsidRPr="007F29FC">
        <w:rPr>
          <w:b/>
        </w:rPr>
        <w:t xml:space="preserve"> PROVISIONES</w:t>
      </w:r>
      <w:r>
        <w:rPr>
          <w:b/>
        </w:rPr>
        <w:t>.</w:t>
      </w:r>
      <w:r w:rsidRPr="007F29FC">
        <w:rPr>
          <w:b/>
        </w:rPr>
        <w:t xml:space="preserve"> </w:t>
      </w:r>
    </w:p>
    <w:p w14:paraId="63777606" w14:textId="77777777" w:rsidR="007701BE" w:rsidRDefault="007701BE" w:rsidP="007701BE">
      <w:pPr>
        <w:pStyle w:val="Textoindependiente"/>
        <w:ind w:right="-50"/>
        <w:jc w:val="both"/>
        <w:rPr>
          <w:b/>
        </w:rPr>
      </w:pPr>
    </w:p>
    <w:p w14:paraId="78F7AF53" w14:textId="77777777" w:rsidR="007701BE" w:rsidRDefault="007701BE" w:rsidP="007701BE">
      <w:pPr>
        <w:pStyle w:val="Textoindependiente"/>
        <w:ind w:right="-50"/>
        <w:jc w:val="both"/>
      </w:pPr>
      <w:r w:rsidRPr="007F29FC">
        <w:rPr>
          <w:b/>
        </w:rPr>
        <w:t>23.1. Litigios y demandas</w:t>
      </w:r>
      <w:r>
        <w:rPr>
          <w:b/>
        </w:rPr>
        <w:t xml:space="preserve">. </w:t>
      </w:r>
      <w:r w:rsidRPr="007F29FC">
        <w:t>Esta cuenta representa el valor estimado de las obligaciones originadas por litigios y demandas en contra de la USPEC respecto de las cuales se considera que existe una “</w:t>
      </w:r>
      <w:r w:rsidRPr="00613CED">
        <w:rPr>
          <w:b/>
          <w:bCs/>
        </w:rPr>
        <w:t>A</w:t>
      </w:r>
      <w:r w:rsidRPr="004112EB">
        <w:rPr>
          <w:b/>
        </w:rPr>
        <w:t>lta”</w:t>
      </w:r>
      <w:r w:rsidRPr="007F29FC">
        <w:t xml:space="preserve"> probabilidad de pérdida y en consecuencia una obligación “probable” de erogación de recursos. </w:t>
      </w:r>
    </w:p>
    <w:p w14:paraId="510DF99D" w14:textId="77777777" w:rsidR="007701BE" w:rsidRDefault="007701BE" w:rsidP="007701BE">
      <w:pPr>
        <w:pStyle w:val="Textoindependiente"/>
        <w:ind w:right="-50"/>
        <w:jc w:val="both"/>
      </w:pPr>
    </w:p>
    <w:p w14:paraId="202DDC9F" w14:textId="77777777" w:rsidR="007701BE" w:rsidRDefault="007701BE" w:rsidP="007701BE">
      <w:pPr>
        <w:pStyle w:val="Textoindependiente"/>
        <w:ind w:right="-50"/>
        <w:jc w:val="both"/>
        <w:rPr>
          <w:b/>
        </w:rPr>
      </w:pPr>
      <w:r w:rsidRPr="007F29FC">
        <w:lastRenderedPageBreak/>
        <w:t>La calificación de la probabilidad de pérdida de los procesos es realizada por la Oficina Asesora Jurídica de la USPEC conforme a lo establecido en la metodología señalada en la Resolución 353 de 1 de noviembre de 2016 expedida por la Agencia Nacional de Defensa Jurídica del Estado, adoptada por la USPEC mediante Resolución 000661 de fecha 28 de agosto de 2018 e incorporada en los lineamientos establecidos en la política de operación elaborada con base en el marco normativo para entidades de gobierno Manual “Calificación del Riesgo y probabilidad de pérdida y reconocimiento contable de procesos jurídicos” de la USPEC, documento que se encuentra publicado en la página de la entidad en el enlace:</w:t>
      </w:r>
      <w:r w:rsidRPr="007F29FC">
        <w:rPr>
          <w:b/>
        </w:rPr>
        <w:t xml:space="preserve"> </w:t>
      </w:r>
      <w:hyperlink r:id="rId12" w:history="1">
        <w:r w:rsidRPr="003E47D0">
          <w:rPr>
            <w:rStyle w:val="Hipervnculo"/>
            <w:b/>
          </w:rPr>
          <w:t>https://www.uspec.gov.co/wp-content/uploads/2018/11/A2-MA-02- Manual_-</w:t>
        </w:r>
        <w:proofErr w:type="spellStart"/>
        <w:r w:rsidRPr="003E47D0">
          <w:rPr>
            <w:rStyle w:val="Hipervnculo"/>
            <w:b/>
          </w:rPr>
          <w:t>Calificacion</w:t>
        </w:r>
        <w:proofErr w:type="spellEnd"/>
        <w:r w:rsidRPr="003E47D0">
          <w:rPr>
            <w:rStyle w:val="Hipervnculo"/>
            <w:b/>
          </w:rPr>
          <w:t>-_</w:t>
        </w:r>
        <w:proofErr w:type="spellStart"/>
        <w:r w:rsidRPr="003E47D0">
          <w:rPr>
            <w:rStyle w:val="Hipervnculo"/>
            <w:b/>
          </w:rPr>
          <w:t>del_Riesgo</w:t>
        </w:r>
        <w:proofErr w:type="spellEnd"/>
        <w:r w:rsidRPr="003E47D0">
          <w:rPr>
            <w:rStyle w:val="Hipervnculo"/>
            <w:b/>
          </w:rPr>
          <w:t>--probabilidad_de_Perdida_y_Reconocimiento_Contable_de_Procesos_Juridicos_V01.pdf</w:t>
        </w:r>
      </w:hyperlink>
    </w:p>
    <w:p w14:paraId="1A757869" w14:textId="77777777" w:rsidR="007701BE" w:rsidRPr="007F29FC" w:rsidRDefault="007701BE" w:rsidP="007701BE">
      <w:pPr>
        <w:pStyle w:val="Textoindependiente"/>
        <w:ind w:right="-50"/>
        <w:jc w:val="both"/>
        <w:rPr>
          <w:b/>
        </w:rPr>
      </w:pPr>
    </w:p>
    <w:p w14:paraId="279913E9" w14:textId="77777777" w:rsidR="007701BE" w:rsidRPr="004112EB" w:rsidRDefault="007701BE" w:rsidP="007701BE">
      <w:pPr>
        <w:pStyle w:val="Textoindependiente"/>
        <w:ind w:right="-50"/>
        <w:jc w:val="both"/>
      </w:pPr>
      <w:r w:rsidRPr="004112EB">
        <w:t>Para el cierre del periodo contable de la vigencia 2024</w:t>
      </w:r>
      <w:r>
        <w:t>,</w:t>
      </w:r>
      <w:r w:rsidRPr="004112EB">
        <w:t xml:space="preserve"> esta partida presenta un incremento del 16, 4% y una variación absoluta de quince mil cincuenta y un millones sesenta mil novecientos noventa y nueve pesos MCTE $15.051.060.999</w:t>
      </w:r>
      <w:r>
        <w:t>.</w:t>
      </w:r>
    </w:p>
    <w:p w14:paraId="369D9B3A" w14:textId="77777777" w:rsidR="007701BE" w:rsidRPr="004112EB" w:rsidRDefault="007701BE" w:rsidP="007701BE">
      <w:pPr>
        <w:pStyle w:val="Textoindependiente"/>
        <w:ind w:right="-50"/>
        <w:jc w:val="both"/>
      </w:pPr>
    </w:p>
    <w:p w14:paraId="5758C1C8" w14:textId="77777777" w:rsidR="007701BE" w:rsidRDefault="007701BE" w:rsidP="007701BE">
      <w:pPr>
        <w:pStyle w:val="Textoindependiente"/>
        <w:ind w:right="-50"/>
        <w:jc w:val="center"/>
        <w:rPr>
          <w:b/>
        </w:rPr>
      </w:pPr>
      <w:r w:rsidRPr="004112EB">
        <w:rPr>
          <w:b/>
          <w:noProof/>
          <w:lang w:val="es-CO" w:eastAsia="es-CO"/>
        </w:rPr>
        <w:drawing>
          <wp:inline distT="0" distB="0" distL="0" distR="0" wp14:anchorId="7DD537B3" wp14:editId="77C6D319">
            <wp:extent cx="5416738" cy="923925"/>
            <wp:effectExtent l="0" t="0" r="0" b="0"/>
            <wp:docPr id="1441286723" name="Imagen 144128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2632" cy="935164"/>
                    </a:xfrm>
                    <a:prstGeom prst="rect">
                      <a:avLst/>
                    </a:prstGeom>
                  </pic:spPr>
                </pic:pic>
              </a:graphicData>
            </a:graphic>
          </wp:inline>
        </w:drawing>
      </w:r>
    </w:p>
    <w:p w14:paraId="1FA4F0D0" w14:textId="77777777" w:rsidR="00E751F9" w:rsidRDefault="00E751F9" w:rsidP="007701BE">
      <w:pPr>
        <w:pStyle w:val="Textoindependiente"/>
        <w:ind w:right="-50"/>
        <w:jc w:val="both"/>
        <w:rPr>
          <w:b/>
        </w:rPr>
      </w:pPr>
    </w:p>
    <w:p w14:paraId="030EFAF7" w14:textId="1A85F216" w:rsidR="007701BE" w:rsidRDefault="007701BE" w:rsidP="007701BE">
      <w:pPr>
        <w:pStyle w:val="Textoindependiente"/>
        <w:ind w:right="-50"/>
        <w:jc w:val="both"/>
        <w:rPr>
          <w:b/>
        </w:rPr>
      </w:pPr>
      <w:r w:rsidRPr="004112EB">
        <w:rPr>
          <w:b/>
        </w:rPr>
        <w:t>Anexo 23.1 Litigios y demandas</w:t>
      </w:r>
      <w:r>
        <w:rPr>
          <w:b/>
        </w:rPr>
        <w:t>.</w:t>
      </w:r>
    </w:p>
    <w:p w14:paraId="70BE7905" w14:textId="77777777" w:rsidR="007701BE" w:rsidRDefault="007701BE" w:rsidP="007701BE">
      <w:pPr>
        <w:pStyle w:val="Textoindependiente"/>
        <w:ind w:right="-50"/>
        <w:jc w:val="both"/>
        <w:rPr>
          <w:b/>
        </w:rPr>
      </w:pPr>
    </w:p>
    <w:p w14:paraId="5635A3DD" w14:textId="77777777" w:rsidR="007701BE" w:rsidRDefault="007701BE" w:rsidP="007701BE">
      <w:pPr>
        <w:pStyle w:val="Textoindependiente"/>
        <w:ind w:right="-50"/>
        <w:jc w:val="center"/>
        <w:rPr>
          <w:b/>
        </w:rPr>
      </w:pPr>
      <w:r w:rsidRPr="004112EB">
        <w:rPr>
          <w:b/>
          <w:noProof/>
          <w:lang w:val="es-CO" w:eastAsia="es-CO"/>
        </w:rPr>
        <w:lastRenderedPageBreak/>
        <w:drawing>
          <wp:inline distT="0" distB="0" distL="0" distR="0" wp14:anchorId="219D56B4" wp14:editId="2C13EB2B">
            <wp:extent cx="5724525" cy="5028836"/>
            <wp:effectExtent l="0" t="0" r="0" b="635"/>
            <wp:docPr id="1441286724" name="Imagen 144128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8791" cy="5041369"/>
                    </a:xfrm>
                    <a:prstGeom prst="rect">
                      <a:avLst/>
                    </a:prstGeom>
                  </pic:spPr>
                </pic:pic>
              </a:graphicData>
            </a:graphic>
          </wp:inline>
        </w:drawing>
      </w:r>
    </w:p>
    <w:p w14:paraId="62DC272E" w14:textId="77777777" w:rsidR="007701BE" w:rsidRDefault="007701BE" w:rsidP="007701BE">
      <w:pPr>
        <w:pStyle w:val="Textoindependiente"/>
        <w:ind w:right="-50"/>
        <w:jc w:val="both"/>
        <w:rPr>
          <w:b/>
        </w:rPr>
      </w:pPr>
    </w:p>
    <w:p w14:paraId="32D7FE02" w14:textId="77777777" w:rsidR="007701BE" w:rsidRPr="004112EB" w:rsidRDefault="007701BE" w:rsidP="007701BE">
      <w:pPr>
        <w:pStyle w:val="Textoindependiente"/>
        <w:ind w:right="-50"/>
        <w:jc w:val="both"/>
      </w:pPr>
      <w:r w:rsidRPr="004112EB">
        <w:t>La siguiente es la relación de tos procesos jurídicos que fueron calificados por la oficina asesora jurídica con calificación “</w:t>
      </w:r>
      <w:r>
        <w:t>A</w:t>
      </w:r>
      <w:r w:rsidRPr="004112EB">
        <w:t>lta” lo que representa una obligación “</w:t>
      </w:r>
      <w:r>
        <w:t>P</w:t>
      </w:r>
      <w:r w:rsidRPr="004112EB">
        <w:t>robable” dado que la probabilidad de perdida es superior al 50%:</w:t>
      </w:r>
    </w:p>
    <w:p w14:paraId="23385497" w14:textId="77777777" w:rsidR="007701BE" w:rsidRPr="004112EB" w:rsidRDefault="007701BE" w:rsidP="007701BE">
      <w:pPr>
        <w:pStyle w:val="Textoindependiente"/>
        <w:ind w:right="-50"/>
        <w:jc w:val="both"/>
      </w:pPr>
    </w:p>
    <w:p w14:paraId="4311F1BB" w14:textId="77777777" w:rsidR="007701BE" w:rsidRDefault="007701BE" w:rsidP="007701BE">
      <w:pPr>
        <w:pStyle w:val="Textoindependiente"/>
        <w:ind w:right="-50"/>
        <w:jc w:val="both"/>
        <w:rPr>
          <w:b/>
        </w:rPr>
      </w:pPr>
    </w:p>
    <w:p w14:paraId="22737AB6" w14:textId="77777777" w:rsidR="007701BE" w:rsidRDefault="007701BE" w:rsidP="007701BE">
      <w:pPr>
        <w:pStyle w:val="Textoindependiente"/>
        <w:ind w:right="-50"/>
        <w:jc w:val="both"/>
        <w:rPr>
          <w:b/>
        </w:rPr>
      </w:pPr>
    </w:p>
    <w:p w14:paraId="4337618C" w14:textId="77777777" w:rsidR="007701BE" w:rsidRDefault="007701BE" w:rsidP="007701BE">
      <w:pPr>
        <w:pStyle w:val="Textoindependiente"/>
        <w:ind w:right="-50"/>
        <w:jc w:val="both"/>
        <w:rPr>
          <w:b/>
        </w:rPr>
      </w:pPr>
    </w:p>
    <w:p w14:paraId="3EA61200" w14:textId="77777777" w:rsidR="007701BE" w:rsidRDefault="007701BE" w:rsidP="007701BE">
      <w:pPr>
        <w:pStyle w:val="Textoindependiente"/>
        <w:ind w:right="-50"/>
        <w:jc w:val="center"/>
        <w:rPr>
          <w:b/>
        </w:rPr>
      </w:pPr>
      <w:r w:rsidRPr="003D3DD9">
        <w:rPr>
          <w:b/>
          <w:noProof/>
          <w:lang w:val="es-CO" w:eastAsia="es-CO"/>
        </w:rPr>
        <w:lastRenderedPageBreak/>
        <w:drawing>
          <wp:inline distT="0" distB="0" distL="0" distR="0" wp14:anchorId="133197CE" wp14:editId="709982BD">
            <wp:extent cx="5676900" cy="6067425"/>
            <wp:effectExtent l="0" t="0" r="0" b="9525"/>
            <wp:docPr id="1441286725" name="Imagen 144128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6900" cy="6067425"/>
                    </a:xfrm>
                    <a:prstGeom prst="rect">
                      <a:avLst/>
                    </a:prstGeom>
                  </pic:spPr>
                </pic:pic>
              </a:graphicData>
            </a:graphic>
          </wp:inline>
        </w:drawing>
      </w:r>
    </w:p>
    <w:p w14:paraId="040D5130" w14:textId="77777777" w:rsidR="007701BE" w:rsidRDefault="007701BE" w:rsidP="007701BE">
      <w:pPr>
        <w:pStyle w:val="Textoindependiente"/>
        <w:ind w:right="-50"/>
        <w:jc w:val="both"/>
        <w:rPr>
          <w:b/>
        </w:rPr>
      </w:pPr>
    </w:p>
    <w:p w14:paraId="0DF040FC" w14:textId="77777777" w:rsidR="007701BE" w:rsidRDefault="007701BE" w:rsidP="007701BE">
      <w:pPr>
        <w:pStyle w:val="Textoindependiente"/>
        <w:ind w:right="-50"/>
        <w:jc w:val="center"/>
        <w:rPr>
          <w:b/>
        </w:rPr>
      </w:pPr>
      <w:r w:rsidRPr="003D3DD9">
        <w:rPr>
          <w:b/>
          <w:noProof/>
          <w:lang w:val="es-CO" w:eastAsia="es-CO"/>
        </w:rPr>
        <w:lastRenderedPageBreak/>
        <w:drawing>
          <wp:inline distT="0" distB="0" distL="0" distR="0" wp14:anchorId="4C3982BF" wp14:editId="5559BD6A">
            <wp:extent cx="5676900" cy="7077075"/>
            <wp:effectExtent l="0" t="0" r="0" b="9525"/>
            <wp:docPr id="1441286726" name="Imagen 144128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76900" cy="7077075"/>
                    </a:xfrm>
                    <a:prstGeom prst="rect">
                      <a:avLst/>
                    </a:prstGeom>
                  </pic:spPr>
                </pic:pic>
              </a:graphicData>
            </a:graphic>
          </wp:inline>
        </w:drawing>
      </w:r>
    </w:p>
    <w:p w14:paraId="54F9ACE8" w14:textId="77777777" w:rsidR="007701BE" w:rsidRDefault="007701BE" w:rsidP="007701BE">
      <w:pPr>
        <w:pStyle w:val="Textoindependiente"/>
        <w:ind w:right="-50"/>
        <w:jc w:val="both"/>
        <w:rPr>
          <w:b/>
        </w:rPr>
      </w:pPr>
    </w:p>
    <w:p w14:paraId="096B2450" w14:textId="77777777" w:rsidR="007701BE" w:rsidRDefault="007701BE" w:rsidP="007701BE">
      <w:pPr>
        <w:pStyle w:val="Textoindependiente"/>
        <w:ind w:right="-50"/>
        <w:jc w:val="both"/>
        <w:rPr>
          <w:b/>
        </w:rPr>
      </w:pPr>
    </w:p>
    <w:p w14:paraId="6E5CD758" w14:textId="77777777" w:rsidR="007701BE" w:rsidRDefault="007701BE" w:rsidP="007701BE">
      <w:pPr>
        <w:pStyle w:val="Textoindependiente"/>
        <w:ind w:right="-50"/>
        <w:jc w:val="center"/>
        <w:rPr>
          <w:b/>
        </w:rPr>
      </w:pPr>
      <w:r w:rsidRPr="003D3DD9">
        <w:rPr>
          <w:b/>
          <w:noProof/>
          <w:lang w:val="es-CO" w:eastAsia="es-CO"/>
        </w:rPr>
        <w:lastRenderedPageBreak/>
        <w:drawing>
          <wp:inline distT="0" distB="0" distL="0" distR="0" wp14:anchorId="6EC47827" wp14:editId="0242588C">
            <wp:extent cx="5667375" cy="5762625"/>
            <wp:effectExtent l="0" t="0" r="9525" b="9525"/>
            <wp:docPr id="1441286727" name="Imagen 144128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67375" cy="5762625"/>
                    </a:xfrm>
                    <a:prstGeom prst="rect">
                      <a:avLst/>
                    </a:prstGeom>
                  </pic:spPr>
                </pic:pic>
              </a:graphicData>
            </a:graphic>
          </wp:inline>
        </w:drawing>
      </w:r>
    </w:p>
    <w:p w14:paraId="7ABE3357" w14:textId="77777777" w:rsidR="007701BE" w:rsidRDefault="007701BE" w:rsidP="007701BE">
      <w:pPr>
        <w:pStyle w:val="Textoindependiente"/>
        <w:ind w:right="-50"/>
        <w:jc w:val="both"/>
        <w:rPr>
          <w:b/>
        </w:rPr>
      </w:pPr>
    </w:p>
    <w:p w14:paraId="6DC491DB" w14:textId="77777777" w:rsidR="007701BE" w:rsidRDefault="007701BE" w:rsidP="007701BE">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291C6523" w14:textId="77777777" w:rsidR="007701BE" w:rsidRDefault="007701BE" w:rsidP="007701BE">
      <w:pPr>
        <w:pStyle w:val="Textoindependiente"/>
        <w:ind w:right="-50"/>
        <w:jc w:val="both"/>
        <w:rPr>
          <w:b/>
          <w:sz w:val="28"/>
          <w:szCs w:val="28"/>
        </w:rPr>
      </w:pPr>
    </w:p>
    <w:p w14:paraId="4160BCD1" w14:textId="77777777" w:rsidR="007701BE" w:rsidRPr="009B2CA9" w:rsidRDefault="007701BE" w:rsidP="007701BE">
      <w:pPr>
        <w:pStyle w:val="Textoindependiente"/>
        <w:ind w:left="-142" w:right="162"/>
        <w:jc w:val="center"/>
        <w:rPr>
          <w:b/>
        </w:rPr>
      </w:pPr>
      <w:r w:rsidRPr="009B2CA9">
        <w:rPr>
          <w:b/>
        </w:rPr>
        <w:t>Deudores Morosos del Estado del Nivel Nacional</w:t>
      </w:r>
    </w:p>
    <w:p w14:paraId="3738743E" w14:textId="77777777" w:rsidR="007701BE" w:rsidRPr="009B2CA9" w:rsidRDefault="007701BE" w:rsidP="007701BE">
      <w:pPr>
        <w:pStyle w:val="Textoindependiente"/>
        <w:ind w:left="-142" w:right="162"/>
        <w:jc w:val="center"/>
        <w:rPr>
          <w:b/>
        </w:rPr>
      </w:pPr>
      <w:r w:rsidRPr="009B2CA9">
        <w:rPr>
          <w:b/>
        </w:rPr>
        <w:t>Noviembre 30 de 202</w:t>
      </w:r>
      <w:r>
        <w:rPr>
          <w:b/>
        </w:rPr>
        <w:t>4</w:t>
      </w:r>
    </w:p>
    <w:p w14:paraId="0BD051F5" w14:textId="77777777" w:rsidR="007701BE" w:rsidRDefault="007701BE" w:rsidP="007701BE">
      <w:pPr>
        <w:pStyle w:val="Textoindependiente"/>
        <w:ind w:left="-142" w:right="162"/>
        <w:jc w:val="center"/>
        <w:rPr>
          <w:b/>
        </w:rPr>
      </w:pPr>
      <w:r w:rsidRPr="009B2CA9">
        <w:rPr>
          <w:b/>
        </w:rPr>
        <w:t>Cifras en miles de millones de pesos</w:t>
      </w:r>
    </w:p>
    <w:p w14:paraId="51E4D8E7" w14:textId="77777777" w:rsidR="007701BE" w:rsidRDefault="007701BE" w:rsidP="007701BE">
      <w:pPr>
        <w:pStyle w:val="Textoindependiente"/>
        <w:ind w:left="-142" w:right="162"/>
        <w:jc w:val="center"/>
        <w:rPr>
          <w: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2600"/>
        <w:gridCol w:w="3046"/>
      </w:tblGrid>
      <w:tr w:rsidR="007701BE" w:rsidRPr="00E20EF9" w14:paraId="290EF64F" w14:textId="77777777" w:rsidTr="00874B2D">
        <w:trPr>
          <w:trHeight w:val="562"/>
        </w:trPr>
        <w:tc>
          <w:tcPr>
            <w:tcW w:w="3980" w:type="dxa"/>
            <w:shd w:val="clear" w:color="auto" w:fill="auto"/>
            <w:vAlign w:val="center"/>
          </w:tcPr>
          <w:p w14:paraId="5361F8E6" w14:textId="77777777" w:rsidR="007701BE" w:rsidRDefault="007701BE" w:rsidP="00874B2D">
            <w:pPr>
              <w:ind w:right="164"/>
              <w:jc w:val="center"/>
              <w:rPr>
                <w:rFonts w:eastAsia="Arial MT"/>
                <w:b/>
                <w:sz w:val="18"/>
                <w:szCs w:val="18"/>
              </w:rPr>
            </w:pPr>
            <w:r w:rsidRPr="00E20EF9">
              <w:rPr>
                <w:rFonts w:eastAsia="Arial MT"/>
                <w:b/>
                <w:sz w:val="18"/>
                <w:szCs w:val="18"/>
              </w:rPr>
              <w:t xml:space="preserve">DEUDORES MOROSOS DEL ESTADO </w:t>
            </w:r>
          </w:p>
          <w:p w14:paraId="7096675E" w14:textId="77777777" w:rsidR="007701BE" w:rsidRPr="00E20EF9" w:rsidRDefault="007701BE" w:rsidP="00874B2D">
            <w:pPr>
              <w:ind w:right="164"/>
              <w:jc w:val="center"/>
              <w:rPr>
                <w:rFonts w:eastAsia="Arial MT"/>
                <w:b/>
                <w:sz w:val="18"/>
                <w:szCs w:val="18"/>
              </w:rPr>
            </w:pPr>
            <w:r w:rsidRPr="00E20EF9">
              <w:rPr>
                <w:rFonts w:eastAsia="Arial MT"/>
                <w:b/>
                <w:sz w:val="18"/>
                <w:szCs w:val="18"/>
              </w:rPr>
              <w:t>POR TIPO DE PERSONA</w:t>
            </w:r>
          </w:p>
          <w:p w14:paraId="55087CDB" w14:textId="77777777" w:rsidR="007701BE" w:rsidRPr="00E20EF9" w:rsidRDefault="007701BE" w:rsidP="00874B2D">
            <w:pPr>
              <w:ind w:right="164"/>
              <w:jc w:val="center"/>
              <w:rPr>
                <w:rFonts w:eastAsia="Arial MT"/>
                <w:b/>
                <w:sz w:val="18"/>
                <w:szCs w:val="18"/>
              </w:rPr>
            </w:pPr>
            <w:r w:rsidRPr="00E20EF9">
              <w:rPr>
                <w:rFonts w:eastAsia="Arial MT"/>
                <w:b/>
                <w:sz w:val="18"/>
                <w:szCs w:val="18"/>
              </w:rPr>
              <w:t>NIVEL NACIONAL</w:t>
            </w:r>
          </w:p>
          <w:p w14:paraId="41AAB334" w14:textId="77777777" w:rsidR="007701BE" w:rsidRPr="00E20EF9" w:rsidRDefault="007701BE" w:rsidP="00874B2D">
            <w:pPr>
              <w:ind w:right="164"/>
              <w:jc w:val="center"/>
              <w:rPr>
                <w:rFonts w:eastAsia="Arial MT"/>
                <w:b/>
                <w:sz w:val="18"/>
                <w:szCs w:val="18"/>
              </w:rPr>
            </w:pPr>
          </w:p>
        </w:tc>
        <w:tc>
          <w:tcPr>
            <w:tcW w:w="2600" w:type="dxa"/>
            <w:shd w:val="clear" w:color="auto" w:fill="auto"/>
            <w:vAlign w:val="center"/>
          </w:tcPr>
          <w:p w14:paraId="4CA99CF8" w14:textId="77777777" w:rsidR="007701BE" w:rsidRPr="00E20EF9" w:rsidRDefault="007701BE" w:rsidP="00874B2D">
            <w:pPr>
              <w:ind w:right="164"/>
              <w:jc w:val="center"/>
              <w:rPr>
                <w:rFonts w:eastAsia="Arial MT"/>
                <w:b/>
                <w:sz w:val="18"/>
                <w:szCs w:val="18"/>
              </w:rPr>
            </w:pPr>
            <w:r w:rsidRPr="00E20EF9">
              <w:rPr>
                <w:rFonts w:eastAsia="Arial MT"/>
                <w:b/>
                <w:sz w:val="18"/>
                <w:szCs w:val="18"/>
              </w:rPr>
              <w:t>No. DE PERSONAS</w:t>
            </w:r>
          </w:p>
        </w:tc>
        <w:tc>
          <w:tcPr>
            <w:tcW w:w="3046" w:type="dxa"/>
            <w:shd w:val="clear" w:color="auto" w:fill="auto"/>
            <w:vAlign w:val="center"/>
          </w:tcPr>
          <w:p w14:paraId="21F7B016" w14:textId="77777777" w:rsidR="007701BE" w:rsidRPr="00E20EF9" w:rsidRDefault="007701BE" w:rsidP="00874B2D">
            <w:pPr>
              <w:ind w:right="164"/>
              <w:jc w:val="center"/>
              <w:rPr>
                <w:rFonts w:eastAsia="Arial MT"/>
                <w:b/>
                <w:sz w:val="18"/>
                <w:szCs w:val="18"/>
              </w:rPr>
            </w:pPr>
            <w:r w:rsidRPr="00E20EF9">
              <w:rPr>
                <w:rFonts w:eastAsia="Arial MT"/>
                <w:b/>
                <w:sz w:val="18"/>
                <w:szCs w:val="18"/>
              </w:rPr>
              <w:t>VALOR TOTAL POR TIPO DE PERSONA, DEUDORES MOROSOS DEL ESTADO</w:t>
            </w:r>
          </w:p>
          <w:p w14:paraId="362AF53D" w14:textId="77777777" w:rsidR="007701BE" w:rsidRPr="00E20EF9" w:rsidRDefault="007701BE" w:rsidP="00874B2D">
            <w:pPr>
              <w:ind w:right="164"/>
              <w:jc w:val="center"/>
              <w:rPr>
                <w:rFonts w:eastAsia="Arial MT"/>
                <w:b/>
                <w:sz w:val="18"/>
                <w:szCs w:val="18"/>
              </w:rPr>
            </w:pPr>
            <w:r w:rsidRPr="00E20EF9">
              <w:rPr>
                <w:rFonts w:eastAsia="Arial MT"/>
                <w:b/>
                <w:sz w:val="18"/>
                <w:szCs w:val="18"/>
              </w:rPr>
              <w:t>NIVEL NACIONAL</w:t>
            </w:r>
          </w:p>
        </w:tc>
      </w:tr>
      <w:tr w:rsidR="007701BE" w:rsidRPr="00E20EF9" w14:paraId="0D49E6E6" w14:textId="77777777" w:rsidTr="00874B2D">
        <w:trPr>
          <w:trHeight w:val="296"/>
        </w:trPr>
        <w:tc>
          <w:tcPr>
            <w:tcW w:w="3980" w:type="dxa"/>
            <w:vAlign w:val="center"/>
          </w:tcPr>
          <w:p w14:paraId="3E0C03AD" w14:textId="77777777" w:rsidR="007701BE" w:rsidRPr="00E20EF9" w:rsidRDefault="007701BE" w:rsidP="00874B2D">
            <w:pPr>
              <w:ind w:right="164"/>
              <w:jc w:val="center"/>
              <w:rPr>
                <w:rFonts w:eastAsia="Arial MT"/>
                <w:b/>
                <w:sz w:val="18"/>
                <w:szCs w:val="18"/>
              </w:rPr>
            </w:pPr>
            <w:r w:rsidRPr="00E20EF9">
              <w:rPr>
                <w:rFonts w:eastAsia="Arial MT"/>
                <w:b/>
                <w:sz w:val="18"/>
                <w:szCs w:val="18"/>
              </w:rPr>
              <w:t>NATURALES</w:t>
            </w:r>
          </w:p>
        </w:tc>
        <w:tc>
          <w:tcPr>
            <w:tcW w:w="2600" w:type="dxa"/>
            <w:vAlign w:val="center"/>
          </w:tcPr>
          <w:p w14:paraId="6DF5C88E" w14:textId="77777777" w:rsidR="007701BE" w:rsidRPr="00E20EF9" w:rsidRDefault="007701BE" w:rsidP="00874B2D">
            <w:pPr>
              <w:ind w:right="164"/>
              <w:jc w:val="center"/>
              <w:rPr>
                <w:rFonts w:eastAsia="Arial MT"/>
                <w:sz w:val="18"/>
                <w:szCs w:val="18"/>
              </w:rPr>
            </w:pPr>
            <w:r>
              <w:rPr>
                <w:rFonts w:eastAsia="Arial MT"/>
                <w:sz w:val="18"/>
                <w:szCs w:val="18"/>
              </w:rPr>
              <w:t>2</w:t>
            </w:r>
          </w:p>
        </w:tc>
        <w:tc>
          <w:tcPr>
            <w:tcW w:w="3046" w:type="dxa"/>
            <w:vAlign w:val="center"/>
          </w:tcPr>
          <w:p w14:paraId="091BDF15" w14:textId="77777777" w:rsidR="007701BE" w:rsidRPr="00E20EF9" w:rsidRDefault="007701BE" w:rsidP="00874B2D">
            <w:pPr>
              <w:ind w:right="164"/>
              <w:jc w:val="right"/>
              <w:rPr>
                <w:rFonts w:eastAsia="Arial MT"/>
                <w:sz w:val="18"/>
                <w:szCs w:val="18"/>
              </w:rPr>
            </w:pPr>
            <w:r w:rsidRPr="00E20EF9">
              <w:rPr>
                <w:rFonts w:eastAsia="Arial MT"/>
                <w:sz w:val="18"/>
                <w:szCs w:val="18"/>
              </w:rPr>
              <w:t>$</w:t>
            </w:r>
            <w:r>
              <w:rPr>
                <w:rFonts w:eastAsia="Arial MT"/>
                <w:sz w:val="18"/>
                <w:szCs w:val="18"/>
              </w:rPr>
              <w:t>0.030</w:t>
            </w:r>
            <w:r w:rsidRPr="00E20EF9">
              <w:rPr>
                <w:rFonts w:eastAsia="Arial MT"/>
                <w:sz w:val="18"/>
                <w:szCs w:val="18"/>
              </w:rPr>
              <w:t xml:space="preserve"> </w:t>
            </w:r>
          </w:p>
        </w:tc>
      </w:tr>
      <w:tr w:rsidR="007701BE" w:rsidRPr="00E20EF9" w14:paraId="048902E1" w14:textId="77777777" w:rsidTr="00874B2D">
        <w:trPr>
          <w:trHeight w:val="254"/>
        </w:trPr>
        <w:tc>
          <w:tcPr>
            <w:tcW w:w="3980" w:type="dxa"/>
            <w:vAlign w:val="center"/>
          </w:tcPr>
          <w:p w14:paraId="672BB6DB" w14:textId="77777777" w:rsidR="007701BE" w:rsidRPr="00E20EF9" w:rsidRDefault="007701BE" w:rsidP="00874B2D">
            <w:pPr>
              <w:ind w:right="164"/>
              <w:jc w:val="center"/>
              <w:rPr>
                <w:rFonts w:eastAsia="Arial MT"/>
                <w:b/>
                <w:sz w:val="18"/>
                <w:szCs w:val="18"/>
              </w:rPr>
            </w:pPr>
            <w:r w:rsidRPr="00E20EF9">
              <w:rPr>
                <w:rFonts w:eastAsia="Arial MT"/>
                <w:b/>
                <w:sz w:val="18"/>
                <w:szCs w:val="18"/>
              </w:rPr>
              <w:t>JURIDICAS</w:t>
            </w:r>
          </w:p>
        </w:tc>
        <w:tc>
          <w:tcPr>
            <w:tcW w:w="2600" w:type="dxa"/>
            <w:vAlign w:val="center"/>
          </w:tcPr>
          <w:p w14:paraId="1312DD55" w14:textId="77777777" w:rsidR="007701BE" w:rsidRPr="00E20EF9" w:rsidRDefault="007701BE" w:rsidP="00874B2D">
            <w:pPr>
              <w:ind w:right="164"/>
              <w:jc w:val="center"/>
              <w:rPr>
                <w:rFonts w:eastAsia="Arial MT"/>
                <w:sz w:val="18"/>
                <w:szCs w:val="18"/>
              </w:rPr>
            </w:pPr>
          </w:p>
        </w:tc>
        <w:tc>
          <w:tcPr>
            <w:tcW w:w="3046" w:type="dxa"/>
            <w:vAlign w:val="center"/>
          </w:tcPr>
          <w:p w14:paraId="55C1BD53" w14:textId="77777777" w:rsidR="007701BE" w:rsidRPr="00E20EF9" w:rsidRDefault="007701BE" w:rsidP="00874B2D">
            <w:pPr>
              <w:ind w:right="164"/>
              <w:jc w:val="right"/>
              <w:rPr>
                <w:rFonts w:eastAsia="Arial MT"/>
                <w:sz w:val="18"/>
                <w:szCs w:val="18"/>
              </w:rPr>
            </w:pPr>
            <w:r w:rsidRPr="00E20EF9">
              <w:rPr>
                <w:rFonts w:eastAsia="Arial MT"/>
                <w:sz w:val="18"/>
                <w:szCs w:val="18"/>
              </w:rPr>
              <w:t>$</w:t>
            </w:r>
          </w:p>
        </w:tc>
      </w:tr>
      <w:tr w:rsidR="007701BE" w:rsidRPr="00E20EF9" w14:paraId="19D93C4B" w14:textId="77777777" w:rsidTr="00874B2D">
        <w:trPr>
          <w:trHeight w:val="392"/>
        </w:trPr>
        <w:tc>
          <w:tcPr>
            <w:tcW w:w="3980" w:type="dxa"/>
            <w:vAlign w:val="center"/>
          </w:tcPr>
          <w:p w14:paraId="17403088" w14:textId="77777777" w:rsidR="007701BE" w:rsidRPr="00E20EF9" w:rsidRDefault="007701BE" w:rsidP="00874B2D">
            <w:pPr>
              <w:ind w:right="164"/>
              <w:jc w:val="center"/>
              <w:rPr>
                <w:rFonts w:eastAsia="Arial MT"/>
                <w:b/>
                <w:sz w:val="18"/>
                <w:szCs w:val="18"/>
              </w:rPr>
            </w:pPr>
            <w:r w:rsidRPr="00E20EF9">
              <w:rPr>
                <w:rFonts w:eastAsia="Arial MT"/>
                <w:b/>
                <w:sz w:val="18"/>
                <w:szCs w:val="18"/>
              </w:rPr>
              <w:lastRenderedPageBreak/>
              <w:t>TOTAL PERSONAS NATURALES MÁS JURÍDICAS</w:t>
            </w:r>
          </w:p>
        </w:tc>
        <w:tc>
          <w:tcPr>
            <w:tcW w:w="2600" w:type="dxa"/>
            <w:vAlign w:val="center"/>
          </w:tcPr>
          <w:p w14:paraId="14928D21" w14:textId="77777777" w:rsidR="007701BE" w:rsidRPr="00E20EF9" w:rsidRDefault="007701BE" w:rsidP="00874B2D">
            <w:pPr>
              <w:ind w:right="164"/>
              <w:jc w:val="center"/>
              <w:rPr>
                <w:rFonts w:eastAsia="Arial MT"/>
                <w:sz w:val="18"/>
                <w:szCs w:val="18"/>
                <w:u w:val="single"/>
              </w:rPr>
            </w:pPr>
            <w:r w:rsidRPr="00E20EF9">
              <w:rPr>
                <w:rFonts w:eastAsia="Arial MT"/>
                <w:sz w:val="18"/>
                <w:szCs w:val="18"/>
                <w:u w:val="single"/>
              </w:rPr>
              <w:t>No</w:t>
            </w:r>
            <w:r>
              <w:rPr>
                <w:rFonts w:eastAsia="Arial MT"/>
                <w:sz w:val="18"/>
                <w:szCs w:val="18"/>
                <w:u w:val="single"/>
              </w:rPr>
              <w:t xml:space="preserve"> 2</w:t>
            </w:r>
            <w:r w:rsidRPr="00E20EF9">
              <w:rPr>
                <w:rFonts w:eastAsia="Arial MT"/>
                <w:sz w:val="18"/>
                <w:szCs w:val="18"/>
                <w:u w:val="single"/>
              </w:rPr>
              <w:t xml:space="preserve">. </w:t>
            </w:r>
          </w:p>
        </w:tc>
        <w:tc>
          <w:tcPr>
            <w:tcW w:w="3046" w:type="dxa"/>
            <w:vAlign w:val="center"/>
          </w:tcPr>
          <w:p w14:paraId="553CD58C" w14:textId="77777777" w:rsidR="007701BE" w:rsidRPr="00E20EF9" w:rsidRDefault="007701BE" w:rsidP="00874B2D">
            <w:pPr>
              <w:ind w:right="164"/>
              <w:jc w:val="right"/>
              <w:rPr>
                <w:rFonts w:eastAsia="Arial MT"/>
                <w:sz w:val="18"/>
                <w:szCs w:val="18"/>
              </w:rPr>
            </w:pPr>
            <w:r w:rsidRPr="00E20EF9">
              <w:rPr>
                <w:rFonts w:eastAsia="Arial MT"/>
                <w:sz w:val="18"/>
                <w:szCs w:val="18"/>
              </w:rPr>
              <w:t>$</w:t>
            </w:r>
            <w:r>
              <w:rPr>
                <w:rFonts w:eastAsia="Arial MT"/>
                <w:sz w:val="18"/>
                <w:szCs w:val="18"/>
              </w:rPr>
              <w:t>0.030</w:t>
            </w:r>
          </w:p>
        </w:tc>
      </w:tr>
      <w:tr w:rsidR="007701BE" w:rsidRPr="00E20EF9" w14:paraId="3E6E334E" w14:textId="77777777" w:rsidTr="00874B2D">
        <w:trPr>
          <w:trHeight w:val="431"/>
        </w:trPr>
        <w:tc>
          <w:tcPr>
            <w:tcW w:w="3980" w:type="dxa"/>
            <w:vAlign w:val="center"/>
          </w:tcPr>
          <w:p w14:paraId="3DEADA52" w14:textId="77777777" w:rsidR="007701BE" w:rsidRPr="00E20EF9" w:rsidRDefault="007701BE" w:rsidP="00874B2D">
            <w:pPr>
              <w:ind w:right="164"/>
              <w:jc w:val="center"/>
              <w:rPr>
                <w:rFonts w:eastAsia="Arial MT"/>
                <w:b/>
                <w:sz w:val="18"/>
                <w:szCs w:val="18"/>
              </w:rPr>
            </w:pPr>
            <w:r w:rsidRPr="00E20EF9">
              <w:rPr>
                <w:rFonts w:eastAsia="Arial MT"/>
                <w:b/>
                <w:sz w:val="18"/>
                <w:szCs w:val="18"/>
              </w:rPr>
              <w:t>GRAN TOTAL BDME PERSONAS NATURALES MÁS JURÍDICAS A</w:t>
            </w:r>
          </w:p>
        </w:tc>
        <w:tc>
          <w:tcPr>
            <w:tcW w:w="2600" w:type="dxa"/>
            <w:vAlign w:val="center"/>
          </w:tcPr>
          <w:p w14:paraId="75C643CB" w14:textId="77777777" w:rsidR="007701BE" w:rsidRPr="00E20EF9" w:rsidRDefault="007701BE" w:rsidP="00874B2D">
            <w:pPr>
              <w:ind w:right="164"/>
              <w:jc w:val="center"/>
              <w:rPr>
                <w:rFonts w:eastAsia="Arial MT"/>
                <w:b/>
                <w:sz w:val="18"/>
                <w:szCs w:val="18"/>
                <w:u w:val="single"/>
              </w:rPr>
            </w:pPr>
            <w:r>
              <w:rPr>
                <w:rFonts w:eastAsia="Arial MT"/>
                <w:b/>
                <w:sz w:val="18"/>
                <w:szCs w:val="18"/>
                <w:u w:val="single"/>
              </w:rPr>
              <w:t>2</w:t>
            </w:r>
          </w:p>
        </w:tc>
        <w:tc>
          <w:tcPr>
            <w:tcW w:w="3046" w:type="dxa"/>
            <w:vAlign w:val="center"/>
          </w:tcPr>
          <w:p w14:paraId="5223B1F0" w14:textId="77777777" w:rsidR="007701BE" w:rsidRPr="00E20EF9" w:rsidRDefault="007701BE" w:rsidP="00874B2D">
            <w:pPr>
              <w:ind w:right="164"/>
              <w:jc w:val="right"/>
              <w:rPr>
                <w:rFonts w:eastAsia="Arial MT"/>
                <w:b/>
                <w:sz w:val="18"/>
                <w:szCs w:val="18"/>
                <w:u w:val="single"/>
              </w:rPr>
            </w:pPr>
            <w:r w:rsidRPr="00E20EF9">
              <w:rPr>
                <w:rFonts w:eastAsia="Arial MT"/>
                <w:b/>
                <w:sz w:val="18"/>
                <w:szCs w:val="18"/>
                <w:u w:val="single"/>
              </w:rPr>
              <w:t>$</w:t>
            </w:r>
            <w:r>
              <w:rPr>
                <w:rFonts w:eastAsia="Arial MT"/>
                <w:b/>
                <w:sz w:val="18"/>
                <w:szCs w:val="18"/>
                <w:u w:val="single"/>
              </w:rPr>
              <w:t>0.030</w:t>
            </w:r>
          </w:p>
        </w:tc>
      </w:tr>
    </w:tbl>
    <w:p w14:paraId="24B31F7D" w14:textId="77777777" w:rsidR="007701BE" w:rsidRDefault="007701BE" w:rsidP="007701BE">
      <w:pPr>
        <w:pStyle w:val="Textoindependiente"/>
        <w:ind w:left="-142" w:right="162"/>
        <w:jc w:val="center"/>
        <w:rPr>
          <w:b/>
        </w:rPr>
      </w:pPr>
    </w:p>
    <w:p w14:paraId="06CBC452" w14:textId="77777777" w:rsidR="007701BE" w:rsidRPr="00FD2C26" w:rsidRDefault="007701BE" w:rsidP="007701BE">
      <w:pPr>
        <w:jc w:val="both"/>
        <w:rPr>
          <w:b/>
          <w:bCs/>
          <w:sz w:val="28"/>
          <w:szCs w:val="28"/>
        </w:rPr>
      </w:pPr>
      <w:r w:rsidRPr="00FD2C26">
        <w:rPr>
          <w:b/>
          <w:bCs/>
          <w:sz w:val="28"/>
          <w:szCs w:val="28"/>
        </w:rPr>
        <w:t xml:space="preserve">-Limitaciones </w:t>
      </w:r>
      <w:r>
        <w:rPr>
          <w:b/>
          <w:bCs/>
          <w:sz w:val="28"/>
          <w:szCs w:val="28"/>
        </w:rPr>
        <w:t xml:space="preserve">que </w:t>
      </w:r>
      <w:r w:rsidRPr="00FD2C26">
        <w:rPr>
          <w:b/>
          <w:bCs/>
          <w:sz w:val="28"/>
          <w:szCs w:val="28"/>
        </w:rPr>
        <w:t xml:space="preserve">se han presentado durante el proceso de aplicación de los marcos normativos – NICSP expedidos por la Contaduría General de la Nación de acuerdo con la naturaleza de </w:t>
      </w:r>
      <w:r>
        <w:rPr>
          <w:b/>
          <w:bCs/>
          <w:sz w:val="28"/>
          <w:szCs w:val="28"/>
        </w:rPr>
        <w:t>la</w:t>
      </w:r>
      <w:r w:rsidRPr="00FD2C26">
        <w:rPr>
          <w:b/>
          <w:bCs/>
          <w:sz w:val="28"/>
          <w:szCs w:val="28"/>
        </w:rPr>
        <w:t xml:space="preserve"> entidad a 31 de diciembre de 202</w:t>
      </w:r>
      <w:r>
        <w:rPr>
          <w:b/>
          <w:bCs/>
          <w:sz w:val="28"/>
          <w:szCs w:val="28"/>
        </w:rPr>
        <w:t>4.</w:t>
      </w:r>
      <w:r w:rsidRPr="00FD2C26">
        <w:rPr>
          <w:b/>
          <w:bCs/>
          <w:sz w:val="28"/>
          <w:szCs w:val="28"/>
        </w:rPr>
        <w:t xml:space="preserve"> </w:t>
      </w:r>
    </w:p>
    <w:p w14:paraId="52374352" w14:textId="77777777" w:rsidR="007701BE" w:rsidRPr="00B54567" w:rsidRDefault="007701BE" w:rsidP="007701BE">
      <w:pPr>
        <w:pStyle w:val="Textoindependiente"/>
        <w:spacing w:before="92"/>
        <w:ind w:left="257" w:right="176"/>
        <w:jc w:val="both"/>
        <w:rPr>
          <w:b/>
        </w:rPr>
      </w:pPr>
    </w:p>
    <w:tbl>
      <w:tblPr>
        <w:tblStyle w:val="Tablaconcuadrcula"/>
        <w:tblW w:w="9923" w:type="dxa"/>
        <w:tblInd w:w="-5" w:type="dxa"/>
        <w:tblLook w:val="04A0" w:firstRow="1" w:lastRow="0" w:firstColumn="1" w:lastColumn="0" w:noHBand="0" w:noVBand="1"/>
      </w:tblPr>
      <w:tblGrid>
        <w:gridCol w:w="583"/>
        <w:gridCol w:w="3386"/>
        <w:gridCol w:w="5954"/>
      </w:tblGrid>
      <w:tr w:rsidR="007701BE" w:rsidRPr="00B54567" w14:paraId="321AFD1D" w14:textId="77777777" w:rsidTr="00874B2D">
        <w:tc>
          <w:tcPr>
            <w:tcW w:w="583" w:type="dxa"/>
          </w:tcPr>
          <w:p w14:paraId="2D1E9035" w14:textId="77777777" w:rsidR="007701BE" w:rsidRPr="00B54567" w:rsidRDefault="007701BE" w:rsidP="00874B2D">
            <w:pPr>
              <w:tabs>
                <w:tab w:val="left" w:pos="875"/>
              </w:tabs>
              <w:ind w:right="-50"/>
              <w:jc w:val="center"/>
              <w:rPr>
                <w:b/>
                <w:sz w:val="20"/>
                <w:szCs w:val="20"/>
              </w:rPr>
            </w:pPr>
            <w:proofErr w:type="spellStart"/>
            <w:r w:rsidRPr="00B54567">
              <w:rPr>
                <w:b/>
                <w:sz w:val="20"/>
                <w:szCs w:val="20"/>
              </w:rPr>
              <w:t>N°</w:t>
            </w:r>
            <w:proofErr w:type="spellEnd"/>
          </w:p>
        </w:tc>
        <w:tc>
          <w:tcPr>
            <w:tcW w:w="3386" w:type="dxa"/>
          </w:tcPr>
          <w:p w14:paraId="088F1EEB" w14:textId="77777777" w:rsidR="007701BE" w:rsidRPr="00B54567" w:rsidRDefault="007701BE" w:rsidP="00874B2D">
            <w:pPr>
              <w:tabs>
                <w:tab w:val="left" w:pos="875"/>
              </w:tabs>
              <w:ind w:right="-50"/>
              <w:jc w:val="center"/>
              <w:rPr>
                <w:b/>
                <w:sz w:val="20"/>
                <w:szCs w:val="20"/>
              </w:rPr>
            </w:pPr>
            <w:r w:rsidRPr="00B54567">
              <w:rPr>
                <w:b/>
                <w:sz w:val="20"/>
                <w:szCs w:val="20"/>
              </w:rPr>
              <w:t xml:space="preserve">Limitaciones detectadas por su entidad en la aplicación del Marco Normativo - NICSP </w:t>
            </w:r>
          </w:p>
          <w:p w14:paraId="75A1D2CB" w14:textId="77777777" w:rsidR="007701BE" w:rsidRDefault="007701BE" w:rsidP="00874B2D">
            <w:pPr>
              <w:tabs>
                <w:tab w:val="left" w:pos="875"/>
              </w:tabs>
              <w:ind w:right="-50"/>
              <w:jc w:val="center"/>
              <w:rPr>
                <w:b/>
                <w:sz w:val="20"/>
                <w:szCs w:val="20"/>
              </w:rPr>
            </w:pPr>
            <w:r w:rsidRPr="00B54567">
              <w:rPr>
                <w:b/>
                <w:sz w:val="20"/>
                <w:szCs w:val="20"/>
              </w:rPr>
              <w:t>a 31/12/2024</w:t>
            </w:r>
          </w:p>
          <w:p w14:paraId="5C20A324" w14:textId="77777777" w:rsidR="007701BE" w:rsidRPr="00B54567" w:rsidRDefault="007701BE" w:rsidP="00874B2D">
            <w:pPr>
              <w:tabs>
                <w:tab w:val="left" w:pos="875"/>
              </w:tabs>
              <w:ind w:right="-50"/>
              <w:jc w:val="center"/>
              <w:rPr>
                <w:b/>
                <w:sz w:val="20"/>
                <w:szCs w:val="20"/>
              </w:rPr>
            </w:pPr>
          </w:p>
        </w:tc>
        <w:tc>
          <w:tcPr>
            <w:tcW w:w="5954" w:type="dxa"/>
          </w:tcPr>
          <w:p w14:paraId="6B1F7D68" w14:textId="77777777" w:rsidR="007701BE" w:rsidRPr="00B54567" w:rsidRDefault="007701BE" w:rsidP="00874B2D">
            <w:pPr>
              <w:tabs>
                <w:tab w:val="left" w:pos="875"/>
              </w:tabs>
              <w:ind w:right="-50"/>
              <w:jc w:val="center"/>
              <w:rPr>
                <w:b/>
                <w:sz w:val="20"/>
                <w:szCs w:val="20"/>
              </w:rPr>
            </w:pPr>
            <w:r w:rsidRPr="00B54567">
              <w:rPr>
                <w:b/>
                <w:sz w:val="20"/>
                <w:szCs w:val="20"/>
              </w:rPr>
              <w:t>Descripción de la limitación</w:t>
            </w:r>
          </w:p>
        </w:tc>
      </w:tr>
      <w:tr w:rsidR="007701BE" w:rsidRPr="00B54567" w14:paraId="560F1CE4" w14:textId="77777777" w:rsidTr="00874B2D">
        <w:tc>
          <w:tcPr>
            <w:tcW w:w="583" w:type="dxa"/>
          </w:tcPr>
          <w:p w14:paraId="506CFE9A" w14:textId="77777777" w:rsidR="007701BE" w:rsidRPr="00B54567" w:rsidRDefault="007701BE" w:rsidP="00874B2D">
            <w:pPr>
              <w:tabs>
                <w:tab w:val="left" w:pos="875"/>
              </w:tabs>
              <w:ind w:right="-50"/>
              <w:jc w:val="center"/>
              <w:rPr>
                <w:b/>
                <w:sz w:val="20"/>
                <w:szCs w:val="20"/>
              </w:rPr>
            </w:pPr>
            <w:r w:rsidRPr="00B54567">
              <w:rPr>
                <w:b/>
                <w:sz w:val="20"/>
                <w:szCs w:val="20"/>
              </w:rPr>
              <w:t>1</w:t>
            </w:r>
          </w:p>
        </w:tc>
        <w:tc>
          <w:tcPr>
            <w:tcW w:w="3386" w:type="dxa"/>
          </w:tcPr>
          <w:p w14:paraId="00703536" w14:textId="77777777" w:rsidR="007701BE" w:rsidRPr="00B54567" w:rsidRDefault="007701BE" w:rsidP="00874B2D">
            <w:pPr>
              <w:tabs>
                <w:tab w:val="left" w:pos="875"/>
              </w:tabs>
              <w:ind w:right="-50"/>
              <w:jc w:val="both"/>
              <w:rPr>
                <w:b/>
                <w:sz w:val="20"/>
                <w:szCs w:val="20"/>
              </w:rPr>
            </w:pPr>
            <w:r w:rsidRPr="00B54567">
              <w:rPr>
                <w:b/>
                <w:sz w:val="20"/>
                <w:szCs w:val="20"/>
              </w:rPr>
              <w:t>Normativas:</w:t>
            </w:r>
          </w:p>
        </w:tc>
        <w:tc>
          <w:tcPr>
            <w:tcW w:w="5954" w:type="dxa"/>
          </w:tcPr>
          <w:p w14:paraId="6BB6153B" w14:textId="77777777" w:rsidR="007701BE" w:rsidRDefault="007701BE" w:rsidP="00874B2D">
            <w:pPr>
              <w:tabs>
                <w:tab w:val="left" w:pos="875"/>
              </w:tabs>
              <w:ind w:right="-50"/>
              <w:jc w:val="both"/>
              <w:rPr>
                <w:sz w:val="20"/>
                <w:szCs w:val="20"/>
              </w:rPr>
            </w:pPr>
            <w:r>
              <w:rPr>
                <w:sz w:val="20"/>
                <w:szCs w:val="20"/>
              </w:rPr>
              <w:t>La USPEC, fue clasificada por su naturaleza con el Marco Normativo de la Resolución 533 de 2015, en este sentido se precisa que la entidad tiene características de procedimiento y ejecución particulares por su naturaleza y misionalidad, que revisten de conceptos específicos aplicados al marco normativo para entidades de gobierno que aún no han sido regulados por la Contaduría General, en tal sentido se solicitan consultas expresas a la CGN para ser aplicadas en la USPEC y en ausencia de la promulgación estas son de desconocimiento ante los entes de control.</w:t>
            </w:r>
          </w:p>
          <w:p w14:paraId="4359769D" w14:textId="77777777" w:rsidR="007701BE" w:rsidRDefault="007701BE" w:rsidP="00874B2D">
            <w:pPr>
              <w:tabs>
                <w:tab w:val="left" w:pos="875"/>
              </w:tabs>
              <w:ind w:right="-50"/>
              <w:jc w:val="both"/>
              <w:rPr>
                <w:sz w:val="20"/>
                <w:szCs w:val="20"/>
              </w:rPr>
            </w:pPr>
          </w:p>
          <w:p w14:paraId="5A2845EB" w14:textId="77777777" w:rsidR="007701BE" w:rsidRPr="00B54567" w:rsidRDefault="007701BE" w:rsidP="00874B2D">
            <w:pPr>
              <w:tabs>
                <w:tab w:val="left" w:pos="875"/>
              </w:tabs>
              <w:ind w:right="-50"/>
              <w:jc w:val="both"/>
              <w:rPr>
                <w:sz w:val="20"/>
                <w:szCs w:val="20"/>
              </w:rPr>
            </w:pPr>
            <w:r>
              <w:rPr>
                <w:sz w:val="20"/>
                <w:szCs w:val="20"/>
              </w:rPr>
              <w:t>Cuando se han presentado temas de los cuales se requiere precisar mejor su manejo contable se han solicitados mesas y conceptos desde su aplicación a la Contaduría General de la Nación</w:t>
            </w:r>
          </w:p>
        </w:tc>
      </w:tr>
      <w:tr w:rsidR="007701BE" w:rsidRPr="00B54567" w14:paraId="14973B97" w14:textId="77777777" w:rsidTr="00874B2D">
        <w:tc>
          <w:tcPr>
            <w:tcW w:w="583" w:type="dxa"/>
          </w:tcPr>
          <w:p w14:paraId="1CD42C79" w14:textId="77777777" w:rsidR="007701BE" w:rsidRPr="00B54567" w:rsidRDefault="007701BE" w:rsidP="00874B2D">
            <w:pPr>
              <w:tabs>
                <w:tab w:val="left" w:pos="875"/>
              </w:tabs>
              <w:ind w:right="-50"/>
              <w:jc w:val="center"/>
              <w:rPr>
                <w:b/>
                <w:sz w:val="20"/>
                <w:szCs w:val="20"/>
              </w:rPr>
            </w:pPr>
            <w:r w:rsidRPr="00B54567">
              <w:rPr>
                <w:b/>
                <w:sz w:val="20"/>
                <w:szCs w:val="20"/>
              </w:rPr>
              <w:t>2</w:t>
            </w:r>
          </w:p>
        </w:tc>
        <w:tc>
          <w:tcPr>
            <w:tcW w:w="3386" w:type="dxa"/>
          </w:tcPr>
          <w:p w14:paraId="12BAE90A" w14:textId="77777777" w:rsidR="007701BE" w:rsidRPr="00B54567" w:rsidRDefault="007701BE" w:rsidP="00874B2D">
            <w:pPr>
              <w:tabs>
                <w:tab w:val="left" w:pos="875"/>
              </w:tabs>
              <w:ind w:right="-50"/>
              <w:jc w:val="both"/>
              <w:rPr>
                <w:b/>
                <w:sz w:val="20"/>
                <w:szCs w:val="20"/>
              </w:rPr>
            </w:pPr>
            <w:r w:rsidRPr="00B54567">
              <w:rPr>
                <w:b/>
                <w:sz w:val="20"/>
                <w:szCs w:val="20"/>
              </w:rPr>
              <w:t>Académicas:</w:t>
            </w:r>
          </w:p>
        </w:tc>
        <w:tc>
          <w:tcPr>
            <w:tcW w:w="5954" w:type="dxa"/>
          </w:tcPr>
          <w:p w14:paraId="278AD843" w14:textId="77777777" w:rsidR="007701BE" w:rsidRPr="00B54567" w:rsidRDefault="007701BE" w:rsidP="00874B2D">
            <w:pPr>
              <w:tabs>
                <w:tab w:val="left" w:pos="875"/>
              </w:tabs>
              <w:ind w:right="-50"/>
              <w:jc w:val="both"/>
              <w:rPr>
                <w:sz w:val="20"/>
                <w:szCs w:val="20"/>
              </w:rPr>
            </w:pPr>
            <w:r>
              <w:rPr>
                <w:sz w:val="20"/>
                <w:szCs w:val="20"/>
              </w:rPr>
              <w:t>Capacitaciones practicas a todos los funcionarios de la subdirección financiera en todos los aspectos contables aplicados a la USPEC, y en el ámbito general, talleres a la totalidad de funcionarios de la entidad a fin de involucrarlos en el proceso contable como política institucional.</w:t>
            </w:r>
          </w:p>
        </w:tc>
      </w:tr>
      <w:tr w:rsidR="007701BE" w:rsidRPr="00B54567" w14:paraId="7F6F1CBC" w14:textId="77777777" w:rsidTr="00874B2D">
        <w:tc>
          <w:tcPr>
            <w:tcW w:w="583" w:type="dxa"/>
          </w:tcPr>
          <w:p w14:paraId="08D5BAA5" w14:textId="77777777" w:rsidR="007701BE" w:rsidRPr="00B54567" w:rsidRDefault="007701BE" w:rsidP="00874B2D">
            <w:pPr>
              <w:tabs>
                <w:tab w:val="left" w:pos="875"/>
              </w:tabs>
              <w:ind w:right="-50"/>
              <w:jc w:val="center"/>
              <w:rPr>
                <w:b/>
                <w:sz w:val="20"/>
                <w:szCs w:val="20"/>
              </w:rPr>
            </w:pPr>
            <w:r w:rsidRPr="00B54567">
              <w:rPr>
                <w:b/>
                <w:sz w:val="20"/>
                <w:szCs w:val="20"/>
              </w:rPr>
              <w:t>3</w:t>
            </w:r>
          </w:p>
        </w:tc>
        <w:tc>
          <w:tcPr>
            <w:tcW w:w="3386" w:type="dxa"/>
          </w:tcPr>
          <w:p w14:paraId="0A65F48E" w14:textId="77777777" w:rsidR="007701BE" w:rsidRPr="00B54567" w:rsidRDefault="007701BE" w:rsidP="00874B2D">
            <w:pPr>
              <w:tabs>
                <w:tab w:val="left" w:pos="875"/>
              </w:tabs>
              <w:ind w:right="-50"/>
              <w:jc w:val="both"/>
              <w:rPr>
                <w:b/>
                <w:sz w:val="20"/>
                <w:szCs w:val="20"/>
              </w:rPr>
            </w:pPr>
            <w:r w:rsidRPr="00B54567">
              <w:rPr>
                <w:b/>
                <w:sz w:val="20"/>
                <w:szCs w:val="20"/>
              </w:rPr>
              <w:t>Técnicas:</w:t>
            </w:r>
          </w:p>
        </w:tc>
        <w:tc>
          <w:tcPr>
            <w:tcW w:w="5954" w:type="dxa"/>
          </w:tcPr>
          <w:p w14:paraId="0463B04D" w14:textId="77777777" w:rsidR="007701BE" w:rsidRPr="00B54567" w:rsidRDefault="007701BE" w:rsidP="00874B2D">
            <w:pPr>
              <w:tabs>
                <w:tab w:val="left" w:pos="875"/>
              </w:tabs>
              <w:ind w:right="-50"/>
              <w:jc w:val="both"/>
              <w:rPr>
                <w:sz w:val="20"/>
                <w:szCs w:val="20"/>
              </w:rPr>
            </w:pPr>
            <w:r>
              <w:rPr>
                <w:sz w:val="20"/>
                <w:szCs w:val="20"/>
              </w:rPr>
              <w:t>Fortalecer los conocimientos a todos los funcionarios profesionales y asistenciales de los procesos contables y sus características de información</w:t>
            </w:r>
          </w:p>
        </w:tc>
      </w:tr>
      <w:tr w:rsidR="007701BE" w:rsidRPr="00B54567" w14:paraId="3D6C7D31" w14:textId="77777777" w:rsidTr="00874B2D">
        <w:tc>
          <w:tcPr>
            <w:tcW w:w="583" w:type="dxa"/>
          </w:tcPr>
          <w:p w14:paraId="64AE6349" w14:textId="77777777" w:rsidR="007701BE" w:rsidRPr="00B54567" w:rsidRDefault="007701BE" w:rsidP="00874B2D">
            <w:pPr>
              <w:tabs>
                <w:tab w:val="left" w:pos="875"/>
              </w:tabs>
              <w:ind w:right="-50"/>
              <w:jc w:val="center"/>
              <w:rPr>
                <w:b/>
                <w:sz w:val="20"/>
                <w:szCs w:val="20"/>
              </w:rPr>
            </w:pPr>
            <w:r w:rsidRPr="00B54567">
              <w:rPr>
                <w:b/>
                <w:sz w:val="20"/>
                <w:szCs w:val="20"/>
              </w:rPr>
              <w:t>4</w:t>
            </w:r>
          </w:p>
        </w:tc>
        <w:tc>
          <w:tcPr>
            <w:tcW w:w="3386" w:type="dxa"/>
          </w:tcPr>
          <w:p w14:paraId="1123E5A1" w14:textId="77777777" w:rsidR="007701BE" w:rsidRPr="00B54567" w:rsidRDefault="007701BE" w:rsidP="00874B2D">
            <w:pPr>
              <w:tabs>
                <w:tab w:val="left" w:pos="875"/>
              </w:tabs>
              <w:ind w:right="-50"/>
              <w:jc w:val="both"/>
              <w:rPr>
                <w:b/>
                <w:sz w:val="20"/>
                <w:szCs w:val="20"/>
              </w:rPr>
            </w:pPr>
            <w:r w:rsidRPr="00B54567">
              <w:rPr>
                <w:b/>
                <w:sz w:val="20"/>
                <w:szCs w:val="20"/>
              </w:rPr>
              <w:t>Operativas:</w:t>
            </w:r>
          </w:p>
        </w:tc>
        <w:tc>
          <w:tcPr>
            <w:tcW w:w="5954" w:type="dxa"/>
          </w:tcPr>
          <w:p w14:paraId="292CF980" w14:textId="3B694497" w:rsidR="007701BE" w:rsidRPr="00B54567" w:rsidRDefault="007701BE" w:rsidP="00874B2D">
            <w:pPr>
              <w:tabs>
                <w:tab w:val="left" w:pos="875"/>
              </w:tabs>
              <w:ind w:right="-50"/>
              <w:jc w:val="both"/>
              <w:rPr>
                <w:sz w:val="20"/>
                <w:szCs w:val="20"/>
              </w:rPr>
            </w:pPr>
            <w:r>
              <w:rPr>
                <w:sz w:val="20"/>
                <w:szCs w:val="20"/>
              </w:rPr>
              <w:t xml:space="preserve">Mejorar el flujo y </w:t>
            </w:r>
            <w:r w:rsidR="00E751F9">
              <w:rPr>
                <w:sz w:val="20"/>
                <w:szCs w:val="20"/>
              </w:rPr>
              <w:t>calidad de</w:t>
            </w:r>
            <w:r>
              <w:rPr>
                <w:sz w:val="20"/>
                <w:szCs w:val="20"/>
              </w:rPr>
              <w:t xml:space="preserve"> la información</w:t>
            </w:r>
          </w:p>
        </w:tc>
      </w:tr>
      <w:tr w:rsidR="007701BE" w:rsidRPr="00B54567" w14:paraId="5D72F4FD" w14:textId="77777777" w:rsidTr="00874B2D">
        <w:tc>
          <w:tcPr>
            <w:tcW w:w="583" w:type="dxa"/>
          </w:tcPr>
          <w:p w14:paraId="060B848A" w14:textId="77777777" w:rsidR="007701BE" w:rsidRPr="00B54567" w:rsidRDefault="007701BE" w:rsidP="00874B2D">
            <w:pPr>
              <w:tabs>
                <w:tab w:val="left" w:pos="875"/>
              </w:tabs>
              <w:ind w:right="-50"/>
              <w:jc w:val="center"/>
              <w:rPr>
                <w:b/>
                <w:sz w:val="20"/>
                <w:szCs w:val="20"/>
              </w:rPr>
            </w:pPr>
            <w:r w:rsidRPr="00B54567">
              <w:rPr>
                <w:b/>
                <w:sz w:val="20"/>
                <w:szCs w:val="20"/>
              </w:rPr>
              <w:t>5</w:t>
            </w:r>
          </w:p>
        </w:tc>
        <w:tc>
          <w:tcPr>
            <w:tcW w:w="3386" w:type="dxa"/>
          </w:tcPr>
          <w:p w14:paraId="02E85D68" w14:textId="77777777" w:rsidR="007701BE" w:rsidRPr="00B54567" w:rsidRDefault="007701BE" w:rsidP="00874B2D">
            <w:pPr>
              <w:tabs>
                <w:tab w:val="left" w:pos="875"/>
              </w:tabs>
              <w:ind w:right="-50"/>
              <w:jc w:val="both"/>
              <w:rPr>
                <w:b/>
                <w:sz w:val="20"/>
                <w:szCs w:val="20"/>
              </w:rPr>
            </w:pPr>
            <w:r w:rsidRPr="00B54567">
              <w:rPr>
                <w:b/>
                <w:sz w:val="20"/>
                <w:szCs w:val="20"/>
              </w:rPr>
              <w:t>Presupuestales:</w:t>
            </w:r>
          </w:p>
        </w:tc>
        <w:tc>
          <w:tcPr>
            <w:tcW w:w="5954" w:type="dxa"/>
          </w:tcPr>
          <w:p w14:paraId="275405E5" w14:textId="77777777" w:rsidR="007701BE" w:rsidRPr="00B54567" w:rsidRDefault="007701BE" w:rsidP="00874B2D">
            <w:pPr>
              <w:tabs>
                <w:tab w:val="left" w:pos="875"/>
              </w:tabs>
              <w:ind w:right="-50"/>
              <w:jc w:val="both"/>
              <w:rPr>
                <w:sz w:val="20"/>
                <w:szCs w:val="20"/>
              </w:rPr>
            </w:pPr>
            <w:r>
              <w:rPr>
                <w:sz w:val="20"/>
                <w:szCs w:val="20"/>
              </w:rPr>
              <w:t>Presupuesto limitado</w:t>
            </w:r>
          </w:p>
        </w:tc>
      </w:tr>
      <w:tr w:rsidR="007701BE" w:rsidRPr="00B54567" w14:paraId="04AADD7E" w14:textId="77777777" w:rsidTr="00874B2D">
        <w:tc>
          <w:tcPr>
            <w:tcW w:w="583" w:type="dxa"/>
          </w:tcPr>
          <w:p w14:paraId="1E2D73BD" w14:textId="77777777" w:rsidR="007701BE" w:rsidRPr="00B54567" w:rsidRDefault="007701BE" w:rsidP="00874B2D">
            <w:pPr>
              <w:tabs>
                <w:tab w:val="left" w:pos="875"/>
              </w:tabs>
              <w:ind w:right="-50"/>
              <w:jc w:val="center"/>
              <w:rPr>
                <w:b/>
                <w:sz w:val="20"/>
                <w:szCs w:val="20"/>
              </w:rPr>
            </w:pPr>
            <w:r w:rsidRPr="00B54567">
              <w:rPr>
                <w:b/>
                <w:sz w:val="20"/>
                <w:szCs w:val="20"/>
              </w:rPr>
              <w:t>6</w:t>
            </w:r>
          </w:p>
        </w:tc>
        <w:tc>
          <w:tcPr>
            <w:tcW w:w="3386" w:type="dxa"/>
          </w:tcPr>
          <w:p w14:paraId="50BDEDBB" w14:textId="77777777" w:rsidR="007701BE" w:rsidRPr="00B54567" w:rsidRDefault="007701BE" w:rsidP="00874B2D">
            <w:pPr>
              <w:tabs>
                <w:tab w:val="left" w:pos="875"/>
              </w:tabs>
              <w:ind w:right="-50"/>
              <w:jc w:val="both"/>
              <w:rPr>
                <w:b/>
                <w:sz w:val="20"/>
                <w:szCs w:val="20"/>
              </w:rPr>
            </w:pPr>
            <w:r w:rsidRPr="00B54567">
              <w:rPr>
                <w:b/>
                <w:sz w:val="20"/>
                <w:szCs w:val="20"/>
              </w:rPr>
              <w:t>Otras</w:t>
            </w:r>
          </w:p>
        </w:tc>
        <w:tc>
          <w:tcPr>
            <w:tcW w:w="5954" w:type="dxa"/>
          </w:tcPr>
          <w:p w14:paraId="2155F122" w14:textId="77777777" w:rsidR="007701BE" w:rsidRDefault="007701BE" w:rsidP="00874B2D">
            <w:pPr>
              <w:tabs>
                <w:tab w:val="left" w:pos="875"/>
              </w:tabs>
              <w:ind w:right="-50"/>
              <w:jc w:val="both"/>
              <w:rPr>
                <w:sz w:val="20"/>
                <w:szCs w:val="20"/>
              </w:rPr>
            </w:pPr>
            <w:r>
              <w:rPr>
                <w:sz w:val="20"/>
                <w:szCs w:val="20"/>
              </w:rPr>
              <w:t>Hay procesos que requieren conceptos previos a falta de regulación.</w:t>
            </w:r>
          </w:p>
          <w:p w14:paraId="791062CA" w14:textId="77777777" w:rsidR="007701BE" w:rsidRPr="00B54567" w:rsidRDefault="007701BE" w:rsidP="00874B2D">
            <w:pPr>
              <w:tabs>
                <w:tab w:val="left" w:pos="875"/>
              </w:tabs>
              <w:ind w:right="-50"/>
              <w:jc w:val="both"/>
              <w:rPr>
                <w:sz w:val="20"/>
                <w:szCs w:val="20"/>
              </w:rPr>
            </w:pPr>
            <w:r>
              <w:rPr>
                <w:sz w:val="20"/>
                <w:szCs w:val="20"/>
              </w:rPr>
              <w:t>El tiempo que transcurre entre la emisión del concepto y el cierre financiero es crucial para las entidades</w:t>
            </w:r>
          </w:p>
        </w:tc>
      </w:tr>
    </w:tbl>
    <w:p w14:paraId="29FFD2DD" w14:textId="77777777" w:rsidR="007701BE" w:rsidRDefault="007701BE" w:rsidP="007701BE">
      <w:pPr>
        <w:pStyle w:val="Textoindependiente"/>
        <w:ind w:right="-50"/>
        <w:jc w:val="both"/>
        <w:rPr>
          <w:b/>
        </w:rPr>
      </w:pPr>
    </w:p>
    <w:p w14:paraId="56492294" w14:textId="77777777" w:rsidR="007701BE" w:rsidRDefault="007701BE" w:rsidP="007701BE">
      <w:pPr>
        <w:pStyle w:val="Textoindependiente"/>
        <w:ind w:right="-50"/>
        <w:jc w:val="both"/>
        <w:rPr>
          <w:b/>
        </w:rPr>
      </w:pPr>
      <w:r w:rsidRPr="006E2EA7">
        <w:rPr>
          <w:b/>
        </w:rPr>
        <w:t xml:space="preserve">-CORRECCIÓN DE ERRORES DEL PERIODO CONTABLE ANTERIOR. </w:t>
      </w:r>
    </w:p>
    <w:p w14:paraId="4EC06DBE" w14:textId="77777777" w:rsidR="007701BE" w:rsidRDefault="007701BE" w:rsidP="007701BE">
      <w:pPr>
        <w:pStyle w:val="Textoindependiente"/>
        <w:ind w:right="-50"/>
        <w:jc w:val="both"/>
        <w:rPr>
          <w:b/>
        </w:rPr>
      </w:pPr>
    </w:p>
    <w:p w14:paraId="473EF408" w14:textId="77777777" w:rsidR="007701BE" w:rsidRPr="006E2EA7" w:rsidRDefault="007701BE" w:rsidP="007701BE">
      <w:pPr>
        <w:pStyle w:val="Textoindependiente"/>
        <w:ind w:right="-50"/>
        <w:jc w:val="both"/>
      </w:pPr>
      <w:r w:rsidRPr="006E2EA7">
        <w:rPr>
          <w:b/>
        </w:rPr>
        <w:t xml:space="preserve">La USPEC: </w:t>
      </w:r>
      <w:r w:rsidRPr="006E2EA7">
        <w:t>Informa, que no se realizaron Corrección de Errores del período contable anterior, pero en la Nota 3.3 y Nota 27 Patrimonio hablan de correcciones, pero no indican si hubo impacto fiscal o no.</w:t>
      </w:r>
    </w:p>
    <w:p w14:paraId="5524A0DC" w14:textId="77777777" w:rsidR="007701BE" w:rsidRDefault="007701BE" w:rsidP="007701BE">
      <w:pPr>
        <w:pStyle w:val="Textoindependiente"/>
        <w:ind w:right="-50"/>
        <w:jc w:val="both"/>
        <w:rPr>
          <w:b/>
        </w:rPr>
      </w:pPr>
    </w:p>
    <w:p w14:paraId="793BFC79" w14:textId="77777777" w:rsidR="007701BE" w:rsidRPr="006E2EA7" w:rsidRDefault="007701BE" w:rsidP="007701BE">
      <w:pPr>
        <w:pStyle w:val="Textoindependiente"/>
        <w:ind w:right="-50"/>
        <w:jc w:val="both"/>
        <w:rPr>
          <w:b/>
        </w:rPr>
      </w:pPr>
      <w:r>
        <w:rPr>
          <w:b/>
        </w:rPr>
        <w:t>-</w:t>
      </w:r>
      <w:r w:rsidRPr="006E2EA7">
        <w:rPr>
          <w:b/>
        </w:rPr>
        <w:t xml:space="preserve">En las notas a los Estados Financieros </w:t>
      </w:r>
      <w:r>
        <w:rPr>
          <w:b/>
        </w:rPr>
        <w:t xml:space="preserve">de </w:t>
      </w:r>
      <w:r w:rsidRPr="006E2EA7">
        <w:rPr>
          <w:b/>
        </w:rPr>
        <w:t xml:space="preserve">la entidad </w:t>
      </w:r>
      <w:r>
        <w:rPr>
          <w:b/>
        </w:rPr>
        <w:t xml:space="preserve">encontramos </w:t>
      </w:r>
      <w:r w:rsidRPr="006E2EA7">
        <w:rPr>
          <w:b/>
        </w:rPr>
        <w:t>lo siguiente:</w:t>
      </w:r>
    </w:p>
    <w:p w14:paraId="0D51A506" w14:textId="77777777" w:rsidR="007701BE" w:rsidRDefault="007701BE" w:rsidP="007701BE">
      <w:pPr>
        <w:pStyle w:val="Textoindependiente"/>
        <w:ind w:right="-50"/>
        <w:jc w:val="both"/>
        <w:rPr>
          <w:b/>
        </w:rPr>
      </w:pPr>
    </w:p>
    <w:p w14:paraId="10347C6C" w14:textId="77777777" w:rsidR="007701BE" w:rsidRDefault="007701BE" w:rsidP="007701BE">
      <w:pPr>
        <w:pStyle w:val="Textoindependiente"/>
        <w:jc w:val="both"/>
      </w:pPr>
      <w:r w:rsidRPr="006E2EA7">
        <w:rPr>
          <w:b/>
        </w:rPr>
        <w:t xml:space="preserve">3.3. Correcciones Contables: </w:t>
      </w:r>
      <w:r w:rsidRPr="006E2EA7">
        <w:t xml:space="preserve">En cumplimiento al concepto con radicado CGN </w:t>
      </w:r>
      <w:proofErr w:type="spellStart"/>
      <w:r w:rsidRPr="006E2EA7">
        <w:t>N°</w:t>
      </w:r>
      <w:proofErr w:type="spellEnd"/>
      <w:r w:rsidRPr="006E2EA7">
        <w:t xml:space="preserve"> </w:t>
      </w:r>
      <w:r w:rsidRPr="006E2EA7">
        <w:lastRenderedPageBreak/>
        <w:t xml:space="preserve">20202000040091 de fecha: 03-08-2020; durante la vigencia 2023 se efectuaron registros contables por corrección de errores, los cuales de acuerdo con su concepto y naturaleza fueron registrados en las cuentas 310901002 y 310902002, cuyo detalle se encuentra en la nota 27. </w:t>
      </w:r>
    </w:p>
    <w:p w14:paraId="4895F946" w14:textId="77777777" w:rsidR="007701BE" w:rsidRDefault="007701BE" w:rsidP="007701BE">
      <w:pPr>
        <w:pStyle w:val="Textoindependiente"/>
        <w:jc w:val="both"/>
      </w:pPr>
    </w:p>
    <w:p w14:paraId="3C88DB8E" w14:textId="77777777" w:rsidR="007701BE" w:rsidRPr="006E2EA7" w:rsidRDefault="007701BE" w:rsidP="007701BE">
      <w:pPr>
        <w:pStyle w:val="Textoindependiente"/>
        <w:jc w:val="both"/>
      </w:pPr>
      <w:r w:rsidRPr="006E2EA7">
        <w:rPr>
          <w:b/>
        </w:rPr>
        <w:t>NOTA 27 – PATRIMONIO</w:t>
      </w:r>
      <w:r>
        <w:rPr>
          <w:b/>
        </w:rPr>
        <w:t xml:space="preserve">. </w:t>
      </w:r>
      <w:r w:rsidRPr="006E2EA7">
        <w:t>La cuenta que presenta mayor variación en el patrimonio es la cuenta 3.1.09.02-Perdidas o déficit acumulados, esto originado por la reclasificación del valor de disminución en la provisión de los procesos jurídicos de la vigencia anterior 2023 de acuerdo con el “Procedimiento Contable para el Registro de los procesos judiciales, arbitrajes, conciliaciones extrajudiciales y embargos sobre cuentas bancarias” de la Contaduría General de la Nación, y en los valores de bienes y servicios, principalmente servicio de alimentación, el cual ha sido registrado en contabilidad durante este año, pero corresponde a servicio recibido durante el año anterior. El reconocimiento de esos valores en la cuenta de patrimonio 310902 se realizó en cumplimiento del marco normativo para entidades de gobierno resolución 533 de 2015 y sus modificatorios expedido por la Contaduría General de la Nación. Fue registrado como corrección de errores de un período contable anterior</w:t>
      </w:r>
    </w:p>
    <w:p w14:paraId="695BAA5B" w14:textId="77777777" w:rsidR="007701BE" w:rsidRDefault="007701BE" w:rsidP="007701BE">
      <w:pPr>
        <w:pStyle w:val="Textoindependiente"/>
        <w:ind w:right="-50"/>
        <w:jc w:val="both"/>
        <w:rPr>
          <w:b/>
        </w:rPr>
      </w:pPr>
    </w:p>
    <w:p w14:paraId="7CA341BE" w14:textId="77777777" w:rsidR="007701BE" w:rsidRDefault="007701BE" w:rsidP="007701BE">
      <w:pPr>
        <w:pStyle w:val="Textoindependiente"/>
        <w:ind w:right="-50"/>
        <w:jc w:val="both"/>
        <w:rPr>
          <w:b/>
        </w:rPr>
      </w:pPr>
      <w:r w:rsidRPr="00B54567">
        <w:rPr>
          <w:b/>
        </w:rPr>
        <w:t xml:space="preserve">- DEPURACIÓN DE OPERACIONES RECÍPROCAS. </w:t>
      </w:r>
    </w:p>
    <w:p w14:paraId="1E1E0A51" w14:textId="77777777" w:rsidR="007701BE" w:rsidRDefault="007701BE" w:rsidP="007701BE">
      <w:pPr>
        <w:pStyle w:val="Textoindependiente"/>
        <w:ind w:right="-50"/>
        <w:jc w:val="both"/>
        <w:rPr>
          <w:b/>
        </w:rPr>
      </w:pPr>
    </w:p>
    <w:p w14:paraId="017E754F" w14:textId="77777777" w:rsidR="007701BE" w:rsidRDefault="007701BE" w:rsidP="007701BE">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6B670DCC" w14:textId="77777777" w:rsidR="007701BE" w:rsidRDefault="007701BE" w:rsidP="007701BE">
      <w:pPr>
        <w:pStyle w:val="Textoindependiente"/>
        <w:ind w:right="-50"/>
        <w:jc w:val="both"/>
        <w:rPr>
          <w:bCs/>
        </w:rPr>
      </w:pPr>
    </w:p>
    <w:p w14:paraId="6B892A7E" w14:textId="77777777" w:rsidR="007701BE" w:rsidRDefault="007701BE" w:rsidP="007701BE">
      <w:pPr>
        <w:pStyle w:val="Textoindependiente"/>
        <w:ind w:right="-50"/>
        <w:jc w:val="both"/>
        <w:rPr>
          <w:bCs/>
        </w:rPr>
      </w:pPr>
      <w:r w:rsidRPr="00504175">
        <w:rPr>
          <w:b/>
          <w:bCs/>
        </w:rPr>
        <w:t>La entidad informa:</w:t>
      </w:r>
      <w:r>
        <w:rPr>
          <w:bCs/>
        </w:rPr>
        <w:t xml:space="preserve"> En lo relacionado con las </w:t>
      </w:r>
      <w:r w:rsidRPr="007C5E7D">
        <w:rPr>
          <w:bCs/>
        </w:rPr>
        <w:t xml:space="preserve">operaciones reciprocas </w:t>
      </w:r>
      <w:r>
        <w:rPr>
          <w:bCs/>
        </w:rPr>
        <w:t>se vienen adelantando conciliaciones co</w:t>
      </w:r>
      <w:r w:rsidRPr="007C5E7D">
        <w:rPr>
          <w:bCs/>
        </w:rPr>
        <w:t xml:space="preserve">n entidades como son Dirección del Tesoro Nacional, Superintendencia de Notariado y Registro, INPEC, entre otras, </w:t>
      </w:r>
      <w:r w:rsidRPr="00D219EE">
        <w:rPr>
          <w:b/>
          <w:bCs/>
          <w:u w:val="single"/>
        </w:rPr>
        <w:t>lo que representa un 90% de todas las partidas</w:t>
      </w:r>
      <w:r>
        <w:rPr>
          <w:bCs/>
        </w:rPr>
        <w:t>, las demás cifras se encuentran plenamente identificadas con registros contables pendientes o en otras cuentas que no aplican reglas de eliminación en las otras entidades públicas contables adicionalmente existen partidas que pertenecen en el reporte de la Contaduría por encontrase pendiente de legalización por parte de las diferentes entidades publicas</w:t>
      </w:r>
    </w:p>
    <w:p w14:paraId="083011FF" w14:textId="77777777" w:rsidR="007701BE" w:rsidRPr="007C5E7D" w:rsidRDefault="007701BE" w:rsidP="007701BE">
      <w:pPr>
        <w:pStyle w:val="Textoindependiente"/>
        <w:ind w:right="-50"/>
        <w:jc w:val="both"/>
        <w:rPr>
          <w:bCs/>
        </w:rPr>
      </w:pPr>
    </w:p>
    <w:p w14:paraId="372F1E9B" w14:textId="77777777" w:rsidR="007701BE" w:rsidRDefault="007701BE" w:rsidP="007701BE">
      <w:pPr>
        <w:pStyle w:val="Textoindependiente"/>
        <w:ind w:right="-50"/>
        <w:jc w:val="both"/>
        <w:rPr>
          <w:b/>
          <w:bCs/>
          <w:sz w:val="28"/>
          <w:szCs w:val="28"/>
        </w:rPr>
      </w:pPr>
      <w:r w:rsidRPr="001D402D">
        <w:rPr>
          <w:b/>
          <w:bCs/>
          <w:sz w:val="28"/>
          <w:szCs w:val="28"/>
        </w:rPr>
        <w:t>C.- DE ORDEN ADMINISTRATIVO.</w:t>
      </w:r>
    </w:p>
    <w:p w14:paraId="25B5F847" w14:textId="77777777" w:rsidR="007701BE" w:rsidRDefault="007701BE" w:rsidP="007701BE">
      <w:pPr>
        <w:pStyle w:val="Textoindependiente"/>
        <w:ind w:right="-50"/>
        <w:jc w:val="both"/>
        <w:rPr>
          <w:b/>
          <w:bCs/>
          <w:sz w:val="28"/>
          <w:szCs w:val="28"/>
        </w:rPr>
      </w:pPr>
    </w:p>
    <w:p w14:paraId="510278B5" w14:textId="77777777" w:rsidR="007701BE" w:rsidRDefault="007701BE" w:rsidP="007701BE">
      <w:pPr>
        <w:pStyle w:val="Textoindependiente"/>
        <w:ind w:right="-50"/>
        <w:jc w:val="both"/>
        <w:rPr>
          <w:b/>
          <w:bCs/>
        </w:rPr>
      </w:pPr>
      <w:r w:rsidRPr="0043073D">
        <w:rPr>
          <w:b/>
          <w:bCs/>
        </w:rPr>
        <w:t xml:space="preserve">1.2.2. Limitaciones y deficiencias de tipo operativo o administrativo que tienen impacto contable. </w:t>
      </w:r>
    </w:p>
    <w:p w14:paraId="66DDAB71" w14:textId="77777777" w:rsidR="007701BE" w:rsidRDefault="007701BE" w:rsidP="007701BE">
      <w:pPr>
        <w:pStyle w:val="Textoindependiente"/>
        <w:ind w:right="-50"/>
        <w:jc w:val="both"/>
        <w:rPr>
          <w:b/>
          <w:bCs/>
        </w:rPr>
      </w:pPr>
    </w:p>
    <w:p w14:paraId="6106F945" w14:textId="77777777" w:rsidR="007701BE" w:rsidRDefault="007701BE" w:rsidP="007701BE">
      <w:pPr>
        <w:pStyle w:val="Textoindependiente"/>
        <w:ind w:right="-50"/>
        <w:jc w:val="both"/>
        <w:rPr>
          <w:bCs/>
        </w:rPr>
      </w:pPr>
      <w:r w:rsidRPr="0043073D">
        <w:rPr>
          <w:b/>
          <w:bCs/>
        </w:rPr>
        <w:t xml:space="preserve"> 1.2.2.2. Limitaciones de tipo administrativo. </w:t>
      </w:r>
      <w:r w:rsidRPr="0043073D">
        <w:rPr>
          <w:bCs/>
        </w:rPr>
        <w:t>Si bien es cierto que la USPEC</w:t>
      </w:r>
      <w:r>
        <w:rPr>
          <w:bCs/>
        </w:rPr>
        <w:t>,</w:t>
      </w:r>
      <w:r w:rsidRPr="0043073D">
        <w:rPr>
          <w:bCs/>
        </w:rPr>
        <w:t xml:space="preserve"> elaboró las políticas contables y de operación con la participación de las dependencias proveedoras de información contable, la Subdirección Financiera a través de su Grupo de Contabilidad, debe interactuar con las dependencias ejecutoras del presupuesto de la Entidad para obtener una información contable con los atributos requeridos, para obtener unos estados financieros que cumplan con las características de relevancia y representación fiel.</w:t>
      </w:r>
    </w:p>
    <w:p w14:paraId="6395C97F" w14:textId="77777777" w:rsidR="007701BE" w:rsidRDefault="007701BE" w:rsidP="007701BE">
      <w:pPr>
        <w:pStyle w:val="Textoindependiente"/>
        <w:ind w:right="-50"/>
        <w:jc w:val="both"/>
        <w:rPr>
          <w:bCs/>
        </w:rPr>
      </w:pPr>
    </w:p>
    <w:p w14:paraId="045FE987" w14:textId="77777777" w:rsidR="007701BE" w:rsidRDefault="007701BE" w:rsidP="0022366E">
      <w:pPr>
        <w:pStyle w:val="Textoindependiente"/>
        <w:numPr>
          <w:ilvl w:val="0"/>
          <w:numId w:val="2"/>
        </w:numPr>
        <w:ind w:right="-50"/>
        <w:jc w:val="both"/>
        <w:rPr>
          <w:bCs/>
        </w:rPr>
      </w:pPr>
      <w:r w:rsidRPr="0043073D">
        <w:rPr>
          <w:bCs/>
        </w:rPr>
        <w:t>No se cuenta con personal profesional y técnico suficiente, para realizar los procesos de conciliaciones de saldos, con cada una de las áreas proveedoras de información, así mismo, por cada una de las cuentas contables.</w:t>
      </w:r>
    </w:p>
    <w:p w14:paraId="6E8E9218" w14:textId="77777777" w:rsidR="007701BE" w:rsidRDefault="007701BE" w:rsidP="007701BE">
      <w:pPr>
        <w:pStyle w:val="Textoindependiente"/>
        <w:ind w:left="720" w:right="-50"/>
        <w:jc w:val="both"/>
        <w:rPr>
          <w:bCs/>
        </w:rPr>
      </w:pPr>
    </w:p>
    <w:p w14:paraId="6E878971" w14:textId="77777777" w:rsidR="007701BE" w:rsidRPr="0043073D" w:rsidRDefault="007701BE" w:rsidP="0022366E">
      <w:pPr>
        <w:pStyle w:val="Textoindependiente"/>
        <w:numPr>
          <w:ilvl w:val="0"/>
          <w:numId w:val="2"/>
        </w:numPr>
        <w:ind w:right="-50"/>
        <w:jc w:val="both"/>
        <w:rPr>
          <w:bCs/>
        </w:rPr>
      </w:pPr>
      <w:r w:rsidRPr="0043073D">
        <w:rPr>
          <w:bCs/>
        </w:rPr>
        <w:t>No se cuenta con un grupo especializado de planta en la USPEC</w:t>
      </w:r>
      <w:r>
        <w:rPr>
          <w:bCs/>
        </w:rPr>
        <w:t>,</w:t>
      </w:r>
      <w:r w:rsidRPr="0043073D">
        <w:rPr>
          <w:bCs/>
        </w:rPr>
        <w:t xml:space="preserve"> para el tema </w:t>
      </w:r>
      <w:r w:rsidRPr="0043073D">
        <w:rPr>
          <w:bCs/>
        </w:rPr>
        <w:lastRenderedPageBreak/>
        <w:t>Tributario, la entidad es responsable en la liquidación, registro, elaboración y reporte de declaraciones tributarias, e información exógena, a nivel Nacional, Distrital y Municipal.</w:t>
      </w:r>
    </w:p>
    <w:p w14:paraId="60B0B573" w14:textId="77777777" w:rsidR="007701BE" w:rsidRPr="0043073D" w:rsidRDefault="007701BE" w:rsidP="007701BE">
      <w:pPr>
        <w:pStyle w:val="Textoindependiente"/>
        <w:ind w:right="-50"/>
        <w:jc w:val="both"/>
        <w:rPr>
          <w:bCs/>
        </w:rPr>
      </w:pPr>
    </w:p>
    <w:p w14:paraId="762DF14A" w14:textId="77777777" w:rsidR="007701BE" w:rsidRPr="001D402D" w:rsidRDefault="007701BE" w:rsidP="007701BE">
      <w:pPr>
        <w:pStyle w:val="Textoindependiente"/>
        <w:ind w:right="-50"/>
        <w:jc w:val="both"/>
        <w:rPr>
          <w:b/>
          <w:bCs/>
          <w:sz w:val="28"/>
          <w:szCs w:val="28"/>
        </w:rPr>
      </w:pPr>
      <w:r>
        <w:rPr>
          <w:b/>
          <w:bCs/>
          <w:sz w:val="28"/>
          <w:szCs w:val="28"/>
        </w:rPr>
        <w:t>D</w:t>
      </w:r>
      <w:r w:rsidRPr="001D402D">
        <w:rPr>
          <w:b/>
          <w:bCs/>
          <w:sz w:val="28"/>
          <w:szCs w:val="28"/>
        </w:rPr>
        <w:t>.- INFORME DE LA AUTOCALIFICACIÓN DEL SISTEMA DE CONTROL INTERNO CONTABLE:</w:t>
      </w:r>
    </w:p>
    <w:p w14:paraId="5B8E8F07" w14:textId="77777777" w:rsidR="007701BE" w:rsidRDefault="007701BE" w:rsidP="007701BE">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7701BE" w:rsidRPr="00E648AF" w14:paraId="14126AD6" w14:textId="77777777" w:rsidTr="00874B2D">
        <w:tc>
          <w:tcPr>
            <w:tcW w:w="4981" w:type="dxa"/>
          </w:tcPr>
          <w:p w14:paraId="0711F629" w14:textId="77777777" w:rsidR="007701BE" w:rsidRPr="00E648AF" w:rsidRDefault="007701BE" w:rsidP="00874B2D">
            <w:pPr>
              <w:jc w:val="center"/>
              <w:rPr>
                <w:b/>
                <w:sz w:val="24"/>
                <w:szCs w:val="24"/>
                <w:lang w:val="es-MX"/>
              </w:rPr>
            </w:pPr>
            <w:r w:rsidRPr="00E648AF">
              <w:rPr>
                <w:b/>
                <w:sz w:val="24"/>
                <w:szCs w:val="24"/>
                <w:lang w:val="es-MX"/>
              </w:rPr>
              <w:t>AUTOCALIFICACIÓN</w:t>
            </w:r>
          </w:p>
        </w:tc>
        <w:tc>
          <w:tcPr>
            <w:tcW w:w="4981" w:type="dxa"/>
          </w:tcPr>
          <w:p w14:paraId="571D249C" w14:textId="77777777" w:rsidR="007701BE" w:rsidRPr="00E648AF" w:rsidRDefault="007701BE" w:rsidP="00874B2D">
            <w:pPr>
              <w:jc w:val="center"/>
              <w:rPr>
                <w:b/>
                <w:sz w:val="24"/>
                <w:szCs w:val="24"/>
                <w:u w:val="single"/>
                <w:lang w:val="es-MX"/>
              </w:rPr>
            </w:pPr>
            <w:r>
              <w:rPr>
                <w:b/>
                <w:sz w:val="24"/>
                <w:szCs w:val="24"/>
                <w:u w:val="single"/>
                <w:lang w:val="es-MX"/>
              </w:rPr>
              <w:t>3.13</w:t>
            </w:r>
          </w:p>
        </w:tc>
      </w:tr>
    </w:tbl>
    <w:p w14:paraId="21995861" w14:textId="77777777" w:rsidR="007701BE" w:rsidRDefault="007701BE" w:rsidP="007701BE">
      <w:pPr>
        <w:pStyle w:val="Textoindependiente"/>
        <w:ind w:right="-50"/>
        <w:jc w:val="both"/>
        <w:rPr>
          <w:b/>
          <w:bCs/>
          <w:sz w:val="28"/>
          <w:szCs w:val="28"/>
        </w:rPr>
      </w:pPr>
    </w:p>
    <w:p w14:paraId="12E04367" w14:textId="77777777" w:rsidR="007701BE" w:rsidRDefault="007701BE" w:rsidP="007701BE">
      <w:pPr>
        <w:pStyle w:val="Textoindependiente"/>
        <w:ind w:right="-50"/>
        <w:jc w:val="both"/>
        <w:rPr>
          <w:b/>
          <w:bCs/>
          <w:sz w:val="28"/>
          <w:szCs w:val="28"/>
        </w:rPr>
      </w:pPr>
      <w:r>
        <w:rPr>
          <w:b/>
          <w:bCs/>
          <w:sz w:val="28"/>
          <w:szCs w:val="28"/>
        </w:rPr>
        <w:t>Del informe enviado retomamos lo siguiente:</w:t>
      </w:r>
    </w:p>
    <w:p w14:paraId="408688CE" w14:textId="77777777" w:rsidR="007701BE" w:rsidRDefault="007701BE" w:rsidP="007701BE">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7701BE" w:rsidRPr="00740FF1" w14:paraId="37506029" w14:textId="77777777" w:rsidTr="00874B2D">
        <w:tc>
          <w:tcPr>
            <w:tcW w:w="562" w:type="dxa"/>
          </w:tcPr>
          <w:p w14:paraId="043B1E22" w14:textId="77777777" w:rsidR="007701BE" w:rsidRPr="00740FF1" w:rsidRDefault="007701BE"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6AFFA2EA" w14:textId="77777777" w:rsidR="007701BE" w:rsidRPr="00E648AF" w:rsidRDefault="007701BE" w:rsidP="00874B2D">
            <w:pPr>
              <w:jc w:val="center"/>
              <w:rPr>
                <w:b/>
                <w:sz w:val="24"/>
                <w:szCs w:val="24"/>
                <w:lang w:val="es-MX"/>
              </w:rPr>
            </w:pPr>
            <w:r w:rsidRPr="00E648AF">
              <w:rPr>
                <w:b/>
                <w:sz w:val="24"/>
                <w:szCs w:val="24"/>
                <w:lang w:val="es-MX"/>
              </w:rPr>
              <w:t>DEBILIDADES</w:t>
            </w:r>
          </w:p>
          <w:p w14:paraId="6C19DD6C" w14:textId="77777777" w:rsidR="007701BE" w:rsidRPr="00740FF1" w:rsidRDefault="007701BE" w:rsidP="00874B2D">
            <w:pPr>
              <w:jc w:val="center"/>
              <w:rPr>
                <w:b/>
                <w:sz w:val="20"/>
                <w:szCs w:val="20"/>
                <w:lang w:val="es-MX"/>
              </w:rPr>
            </w:pPr>
          </w:p>
        </w:tc>
      </w:tr>
      <w:tr w:rsidR="007701BE" w:rsidRPr="00740FF1" w14:paraId="0ED7FDFC" w14:textId="77777777" w:rsidTr="00874B2D">
        <w:tc>
          <w:tcPr>
            <w:tcW w:w="562" w:type="dxa"/>
          </w:tcPr>
          <w:p w14:paraId="2185DC57" w14:textId="77777777" w:rsidR="007701BE" w:rsidRPr="00740FF1" w:rsidRDefault="007701BE" w:rsidP="00874B2D">
            <w:pPr>
              <w:jc w:val="center"/>
              <w:rPr>
                <w:b/>
                <w:sz w:val="20"/>
                <w:szCs w:val="20"/>
                <w:lang w:val="es-MX"/>
              </w:rPr>
            </w:pPr>
            <w:r w:rsidRPr="00740FF1">
              <w:rPr>
                <w:b/>
                <w:sz w:val="20"/>
                <w:szCs w:val="20"/>
                <w:lang w:val="es-MX"/>
              </w:rPr>
              <w:t>1</w:t>
            </w:r>
          </w:p>
        </w:tc>
        <w:tc>
          <w:tcPr>
            <w:tcW w:w="9400" w:type="dxa"/>
          </w:tcPr>
          <w:p w14:paraId="2762A81C" w14:textId="77777777" w:rsidR="007701BE" w:rsidRPr="005E01E8" w:rsidRDefault="007701BE" w:rsidP="00874B2D">
            <w:pPr>
              <w:jc w:val="both"/>
              <w:rPr>
                <w:sz w:val="20"/>
                <w:szCs w:val="20"/>
                <w:lang w:val="es-MX"/>
              </w:rPr>
            </w:pPr>
            <w:r w:rsidRPr="005E01E8">
              <w:rPr>
                <w:sz w:val="20"/>
                <w:szCs w:val="20"/>
                <w:lang w:val="es-MX"/>
              </w:rPr>
              <w:t>Debilidades en el control interno contable por parte del Comité de sostenibilidad contable al no funcionar como un órgano asesor para el proceso contable, en cuanto a la permanente depuración y cumplimiento en la periodicidad y seguimiento de acuerdo con lo aprobado en las reuniones tal como sé que establece en la normativa.</w:t>
            </w:r>
          </w:p>
        </w:tc>
      </w:tr>
      <w:tr w:rsidR="007701BE" w:rsidRPr="00740FF1" w14:paraId="48DCDC0C" w14:textId="77777777" w:rsidTr="00874B2D">
        <w:tc>
          <w:tcPr>
            <w:tcW w:w="562" w:type="dxa"/>
          </w:tcPr>
          <w:p w14:paraId="0F376EC9" w14:textId="77777777" w:rsidR="007701BE" w:rsidRPr="00740FF1" w:rsidRDefault="007701BE" w:rsidP="00874B2D">
            <w:pPr>
              <w:jc w:val="center"/>
              <w:rPr>
                <w:b/>
                <w:sz w:val="20"/>
                <w:szCs w:val="20"/>
                <w:lang w:val="es-MX"/>
              </w:rPr>
            </w:pPr>
            <w:r w:rsidRPr="00740FF1">
              <w:rPr>
                <w:b/>
                <w:sz w:val="20"/>
                <w:szCs w:val="20"/>
                <w:lang w:val="es-MX"/>
              </w:rPr>
              <w:t>2</w:t>
            </w:r>
          </w:p>
        </w:tc>
        <w:tc>
          <w:tcPr>
            <w:tcW w:w="9400" w:type="dxa"/>
          </w:tcPr>
          <w:p w14:paraId="5CA1DE5F" w14:textId="77777777" w:rsidR="007701BE" w:rsidRPr="005E01E8" w:rsidRDefault="007701BE" w:rsidP="00874B2D">
            <w:pPr>
              <w:jc w:val="both"/>
              <w:rPr>
                <w:sz w:val="20"/>
                <w:szCs w:val="20"/>
                <w:lang w:val="es-MX"/>
              </w:rPr>
            </w:pPr>
            <w:r w:rsidRPr="005E01E8">
              <w:rPr>
                <w:sz w:val="20"/>
                <w:szCs w:val="20"/>
                <w:lang w:val="es-MX"/>
              </w:rPr>
              <w:t>Deficiencia en la revisión de manera periódica de las cuentas reciprocas con otras entidades, a fin de conciliar la información.</w:t>
            </w:r>
          </w:p>
        </w:tc>
      </w:tr>
      <w:tr w:rsidR="007701BE" w:rsidRPr="00740FF1" w14:paraId="1EE9BF21" w14:textId="77777777" w:rsidTr="00874B2D">
        <w:tc>
          <w:tcPr>
            <w:tcW w:w="562" w:type="dxa"/>
          </w:tcPr>
          <w:p w14:paraId="5BF283A9" w14:textId="77777777" w:rsidR="007701BE" w:rsidRPr="00740FF1" w:rsidRDefault="007701BE" w:rsidP="00874B2D">
            <w:pPr>
              <w:jc w:val="center"/>
              <w:rPr>
                <w:b/>
                <w:sz w:val="20"/>
                <w:szCs w:val="20"/>
                <w:lang w:val="es-MX"/>
              </w:rPr>
            </w:pPr>
            <w:r w:rsidRPr="00740FF1">
              <w:rPr>
                <w:b/>
                <w:sz w:val="20"/>
                <w:szCs w:val="20"/>
                <w:lang w:val="es-MX"/>
              </w:rPr>
              <w:t>3</w:t>
            </w:r>
          </w:p>
        </w:tc>
        <w:tc>
          <w:tcPr>
            <w:tcW w:w="9400" w:type="dxa"/>
          </w:tcPr>
          <w:p w14:paraId="01B1D94B" w14:textId="77777777" w:rsidR="007701BE" w:rsidRPr="005E01E8" w:rsidRDefault="007701BE" w:rsidP="00874B2D">
            <w:pPr>
              <w:jc w:val="both"/>
              <w:rPr>
                <w:sz w:val="20"/>
                <w:szCs w:val="20"/>
                <w:lang w:val="es-MX"/>
              </w:rPr>
            </w:pPr>
            <w:r w:rsidRPr="005E01E8">
              <w:rPr>
                <w:sz w:val="20"/>
                <w:szCs w:val="20"/>
                <w:lang w:val="es-MX"/>
              </w:rPr>
              <w:t>Si bien es cierto que la Entidad cuenta con el Manual de Políticas Contables, no se encuentran actualizadas de acuerdo con la normatividad expedida por la Contaduría General de la Nación.</w:t>
            </w:r>
          </w:p>
        </w:tc>
      </w:tr>
      <w:tr w:rsidR="007701BE" w:rsidRPr="00740FF1" w14:paraId="17E886AB" w14:textId="77777777" w:rsidTr="00874B2D">
        <w:tc>
          <w:tcPr>
            <w:tcW w:w="562" w:type="dxa"/>
          </w:tcPr>
          <w:p w14:paraId="08562744" w14:textId="77777777" w:rsidR="007701BE" w:rsidRPr="00740FF1" w:rsidRDefault="007701BE" w:rsidP="00874B2D">
            <w:pPr>
              <w:jc w:val="center"/>
              <w:rPr>
                <w:b/>
                <w:sz w:val="20"/>
                <w:szCs w:val="20"/>
                <w:lang w:val="es-MX"/>
              </w:rPr>
            </w:pPr>
            <w:r w:rsidRPr="00740FF1">
              <w:rPr>
                <w:b/>
                <w:sz w:val="20"/>
                <w:szCs w:val="20"/>
                <w:lang w:val="es-MX"/>
              </w:rPr>
              <w:t>4</w:t>
            </w:r>
          </w:p>
        </w:tc>
        <w:tc>
          <w:tcPr>
            <w:tcW w:w="9400" w:type="dxa"/>
          </w:tcPr>
          <w:p w14:paraId="6C2D10C0" w14:textId="77777777" w:rsidR="007701BE" w:rsidRPr="005E01E8" w:rsidRDefault="007701BE" w:rsidP="00874B2D">
            <w:pPr>
              <w:jc w:val="both"/>
              <w:rPr>
                <w:sz w:val="20"/>
                <w:szCs w:val="20"/>
                <w:lang w:val="es-MX"/>
              </w:rPr>
            </w:pPr>
            <w:r w:rsidRPr="005E01E8">
              <w:rPr>
                <w:sz w:val="20"/>
                <w:szCs w:val="20"/>
                <w:lang w:val="es-MX"/>
              </w:rPr>
              <w:t>A pesar que existen las directrices para la presentación oportuna de la información financiera, algunas áreas que reportan información al proceso contable, no lo hacen de manera oportuna.</w:t>
            </w:r>
          </w:p>
        </w:tc>
      </w:tr>
      <w:tr w:rsidR="007701BE" w:rsidRPr="00740FF1" w14:paraId="587149E4" w14:textId="77777777" w:rsidTr="00874B2D">
        <w:tc>
          <w:tcPr>
            <w:tcW w:w="562" w:type="dxa"/>
          </w:tcPr>
          <w:p w14:paraId="4E831DC5" w14:textId="77777777" w:rsidR="007701BE" w:rsidRPr="00740FF1" w:rsidRDefault="007701BE" w:rsidP="00874B2D">
            <w:pPr>
              <w:jc w:val="center"/>
              <w:rPr>
                <w:b/>
                <w:sz w:val="20"/>
                <w:szCs w:val="20"/>
                <w:lang w:val="es-MX"/>
              </w:rPr>
            </w:pPr>
            <w:r>
              <w:rPr>
                <w:b/>
                <w:sz w:val="20"/>
                <w:szCs w:val="20"/>
                <w:lang w:val="es-MX"/>
              </w:rPr>
              <w:t>5</w:t>
            </w:r>
          </w:p>
        </w:tc>
        <w:tc>
          <w:tcPr>
            <w:tcW w:w="9400" w:type="dxa"/>
          </w:tcPr>
          <w:p w14:paraId="1719EBA1" w14:textId="77777777" w:rsidR="007701BE" w:rsidRPr="005E01E8" w:rsidRDefault="007701BE" w:rsidP="00874B2D">
            <w:pPr>
              <w:jc w:val="both"/>
              <w:rPr>
                <w:sz w:val="20"/>
                <w:szCs w:val="20"/>
                <w:lang w:val="es-MX"/>
              </w:rPr>
            </w:pPr>
            <w:r w:rsidRPr="005E01E8">
              <w:rPr>
                <w:sz w:val="20"/>
                <w:szCs w:val="20"/>
                <w:lang w:val="es-MX"/>
              </w:rPr>
              <w:t>Falta de documentación que refleje la operatividad contable y la articulación con las áreas entorno a los soportes adecuados, controles de la operación, periodicidad de entrega y responsables.</w:t>
            </w:r>
          </w:p>
        </w:tc>
      </w:tr>
      <w:tr w:rsidR="007701BE" w:rsidRPr="00740FF1" w14:paraId="0701107A" w14:textId="77777777" w:rsidTr="00874B2D">
        <w:tc>
          <w:tcPr>
            <w:tcW w:w="562" w:type="dxa"/>
          </w:tcPr>
          <w:p w14:paraId="0D2C97D5" w14:textId="77777777" w:rsidR="007701BE" w:rsidRPr="00740FF1" w:rsidRDefault="007701BE" w:rsidP="00874B2D">
            <w:pPr>
              <w:jc w:val="center"/>
              <w:rPr>
                <w:b/>
                <w:sz w:val="20"/>
                <w:szCs w:val="20"/>
                <w:lang w:val="es-MX"/>
              </w:rPr>
            </w:pPr>
            <w:r>
              <w:rPr>
                <w:b/>
                <w:sz w:val="20"/>
                <w:szCs w:val="20"/>
                <w:lang w:val="es-MX"/>
              </w:rPr>
              <w:t>6</w:t>
            </w:r>
          </w:p>
        </w:tc>
        <w:tc>
          <w:tcPr>
            <w:tcW w:w="9400" w:type="dxa"/>
          </w:tcPr>
          <w:p w14:paraId="02C97E5B" w14:textId="77777777" w:rsidR="007701BE" w:rsidRPr="005E01E8" w:rsidRDefault="007701BE" w:rsidP="00874B2D">
            <w:pPr>
              <w:jc w:val="both"/>
              <w:rPr>
                <w:sz w:val="20"/>
                <w:szCs w:val="20"/>
                <w:lang w:val="es-MX"/>
              </w:rPr>
            </w:pPr>
            <w:r w:rsidRPr="005E01E8">
              <w:rPr>
                <w:sz w:val="20"/>
                <w:szCs w:val="20"/>
                <w:lang w:val="es-MX"/>
              </w:rPr>
              <w:t xml:space="preserve">Inoportunidad en las conciliaciones, falta de controles que conducen a la falta de legalización de los anticipos entregados a los contratistas como </w:t>
            </w:r>
            <w:proofErr w:type="spellStart"/>
            <w:r w:rsidRPr="005E01E8">
              <w:rPr>
                <w:sz w:val="20"/>
                <w:szCs w:val="20"/>
                <w:lang w:val="es-MX"/>
              </w:rPr>
              <w:t>Enterritorio</w:t>
            </w:r>
            <w:proofErr w:type="spellEnd"/>
            <w:r w:rsidRPr="005E01E8">
              <w:rPr>
                <w:sz w:val="20"/>
                <w:szCs w:val="20"/>
                <w:lang w:val="es-MX"/>
              </w:rPr>
              <w:t>, Fondo Nacional de Salud.</w:t>
            </w:r>
          </w:p>
        </w:tc>
      </w:tr>
      <w:tr w:rsidR="007701BE" w:rsidRPr="00740FF1" w14:paraId="38DC7DEB" w14:textId="77777777" w:rsidTr="00874B2D">
        <w:tc>
          <w:tcPr>
            <w:tcW w:w="562" w:type="dxa"/>
          </w:tcPr>
          <w:p w14:paraId="4EE1BA44" w14:textId="77777777" w:rsidR="007701BE" w:rsidRPr="00740FF1" w:rsidRDefault="007701BE" w:rsidP="00874B2D">
            <w:pPr>
              <w:jc w:val="center"/>
              <w:rPr>
                <w:b/>
                <w:sz w:val="20"/>
                <w:szCs w:val="20"/>
                <w:lang w:val="es-MX"/>
              </w:rPr>
            </w:pPr>
            <w:r>
              <w:rPr>
                <w:b/>
                <w:sz w:val="20"/>
                <w:szCs w:val="20"/>
                <w:lang w:val="es-MX"/>
              </w:rPr>
              <w:t>7</w:t>
            </w:r>
          </w:p>
        </w:tc>
        <w:tc>
          <w:tcPr>
            <w:tcW w:w="9400" w:type="dxa"/>
          </w:tcPr>
          <w:p w14:paraId="44B3980A" w14:textId="77777777" w:rsidR="007701BE" w:rsidRPr="005E01E8" w:rsidRDefault="007701BE" w:rsidP="00874B2D">
            <w:pPr>
              <w:jc w:val="both"/>
              <w:rPr>
                <w:sz w:val="20"/>
                <w:szCs w:val="20"/>
                <w:lang w:val="es-MX"/>
              </w:rPr>
            </w:pPr>
            <w:r w:rsidRPr="005E01E8">
              <w:rPr>
                <w:sz w:val="20"/>
                <w:szCs w:val="20"/>
                <w:lang w:val="es-MX"/>
              </w:rPr>
              <w:t>Inadecuado reflejo de las provisiones de los procesos judiciales. Inoportunidad en la entrega y legalización de activos al INPEC.</w:t>
            </w:r>
          </w:p>
        </w:tc>
      </w:tr>
      <w:tr w:rsidR="007701BE" w:rsidRPr="00740FF1" w14:paraId="7A0FD60A" w14:textId="77777777" w:rsidTr="00874B2D">
        <w:tc>
          <w:tcPr>
            <w:tcW w:w="562" w:type="dxa"/>
          </w:tcPr>
          <w:p w14:paraId="7DD76261" w14:textId="77777777" w:rsidR="007701BE" w:rsidRPr="00740FF1" w:rsidRDefault="007701BE" w:rsidP="00874B2D">
            <w:pPr>
              <w:jc w:val="center"/>
              <w:rPr>
                <w:b/>
                <w:sz w:val="20"/>
                <w:szCs w:val="20"/>
                <w:lang w:val="es-MX"/>
              </w:rPr>
            </w:pPr>
            <w:r>
              <w:rPr>
                <w:b/>
                <w:sz w:val="20"/>
                <w:szCs w:val="20"/>
                <w:lang w:val="es-MX"/>
              </w:rPr>
              <w:t>8</w:t>
            </w:r>
          </w:p>
        </w:tc>
        <w:tc>
          <w:tcPr>
            <w:tcW w:w="9400" w:type="dxa"/>
          </w:tcPr>
          <w:p w14:paraId="4AE6246A" w14:textId="77777777" w:rsidR="007701BE" w:rsidRPr="005E01E8" w:rsidRDefault="007701BE" w:rsidP="00874B2D">
            <w:pPr>
              <w:jc w:val="both"/>
              <w:rPr>
                <w:sz w:val="20"/>
                <w:szCs w:val="20"/>
                <w:lang w:val="es-MX"/>
              </w:rPr>
            </w:pPr>
            <w:r w:rsidRPr="005E01E8">
              <w:rPr>
                <w:sz w:val="20"/>
                <w:szCs w:val="20"/>
                <w:lang w:val="es-MX"/>
              </w:rPr>
              <w:t>Debilidad en la solicitud y realización de capacitaciones que contribuyan al fortalecimiento y mejoramiento de competencias y habilidades</w:t>
            </w:r>
          </w:p>
        </w:tc>
      </w:tr>
      <w:tr w:rsidR="007701BE" w:rsidRPr="00740FF1" w14:paraId="734A647D" w14:textId="77777777" w:rsidTr="00874B2D">
        <w:tc>
          <w:tcPr>
            <w:tcW w:w="562" w:type="dxa"/>
          </w:tcPr>
          <w:p w14:paraId="4C932E2D" w14:textId="77777777" w:rsidR="007701BE" w:rsidRPr="00740FF1" w:rsidRDefault="007701BE" w:rsidP="00874B2D">
            <w:pPr>
              <w:jc w:val="center"/>
              <w:rPr>
                <w:b/>
                <w:sz w:val="20"/>
                <w:szCs w:val="20"/>
                <w:lang w:val="es-MX"/>
              </w:rPr>
            </w:pPr>
            <w:r>
              <w:rPr>
                <w:b/>
                <w:sz w:val="20"/>
                <w:szCs w:val="20"/>
                <w:lang w:val="es-MX"/>
              </w:rPr>
              <w:t>9</w:t>
            </w:r>
          </w:p>
        </w:tc>
        <w:tc>
          <w:tcPr>
            <w:tcW w:w="9400" w:type="dxa"/>
          </w:tcPr>
          <w:p w14:paraId="455F4798" w14:textId="77777777" w:rsidR="007701BE" w:rsidRPr="005E01E8" w:rsidRDefault="007701BE" w:rsidP="00874B2D">
            <w:pPr>
              <w:jc w:val="both"/>
              <w:rPr>
                <w:sz w:val="20"/>
                <w:szCs w:val="20"/>
                <w:lang w:val="es-MX"/>
              </w:rPr>
            </w:pPr>
            <w:r w:rsidRPr="005E01E8">
              <w:rPr>
                <w:sz w:val="20"/>
                <w:szCs w:val="20"/>
                <w:lang w:val="es-MX"/>
              </w:rPr>
              <w:t>El proceso financiero no cuenta con un sistema de indicadores que permita analizar e interpretar la realidad financiera en la Entidad</w:t>
            </w:r>
          </w:p>
        </w:tc>
      </w:tr>
      <w:tr w:rsidR="007701BE" w:rsidRPr="00740FF1" w14:paraId="32514B49" w14:textId="77777777" w:rsidTr="00874B2D">
        <w:tc>
          <w:tcPr>
            <w:tcW w:w="562" w:type="dxa"/>
          </w:tcPr>
          <w:p w14:paraId="07FDFA30" w14:textId="77777777" w:rsidR="007701BE" w:rsidRPr="00740FF1" w:rsidRDefault="007701BE" w:rsidP="00874B2D">
            <w:pPr>
              <w:jc w:val="center"/>
              <w:rPr>
                <w:b/>
                <w:sz w:val="20"/>
                <w:szCs w:val="20"/>
                <w:lang w:val="es-MX"/>
              </w:rPr>
            </w:pPr>
            <w:r>
              <w:rPr>
                <w:b/>
                <w:sz w:val="20"/>
                <w:szCs w:val="20"/>
                <w:lang w:val="es-MX"/>
              </w:rPr>
              <w:t>10</w:t>
            </w:r>
          </w:p>
        </w:tc>
        <w:tc>
          <w:tcPr>
            <w:tcW w:w="9400" w:type="dxa"/>
          </w:tcPr>
          <w:p w14:paraId="3573B0C5" w14:textId="77777777" w:rsidR="007701BE" w:rsidRPr="005E01E8" w:rsidRDefault="007701BE" w:rsidP="00874B2D">
            <w:pPr>
              <w:jc w:val="both"/>
              <w:rPr>
                <w:sz w:val="20"/>
                <w:szCs w:val="20"/>
                <w:lang w:val="es-MX"/>
              </w:rPr>
            </w:pPr>
            <w:r w:rsidRPr="005E01E8">
              <w:rPr>
                <w:sz w:val="20"/>
                <w:szCs w:val="20"/>
                <w:lang w:val="es-MX"/>
              </w:rPr>
              <w:t>En cuanto a la rendición de cuentas se debe fortalecer e incluir al proceso financiero para que los EEFF se presenten a las partes interesadas y permitan demostrar la ejecución por parte de la Dirección</w:t>
            </w:r>
          </w:p>
        </w:tc>
      </w:tr>
    </w:tbl>
    <w:p w14:paraId="73C20190" w14:textId="77777777" w:rsidR="007701BE" w:rsidRDefault="007701BE" w:rsidP="007701BE">
      <w:pPr>
        <w:pStyle w:val="Textoindependiente"/>
        <w:ind w:right="-50"/>
        <w:jc w:val="both"/>
        <w:rPr>
          <w:b/>
          <w:bCs/>
          <w:sz w:val="28"/>
          <w:szCs w:val="28"/>
        </w:rPr>
      </w:pPr>
    </w:p>
    <w:p w14:paraId="74C2ED8A" w14:textId="77777777" w:rsidR="007701BE" w:rsidRDefault="007701BE" w:rsidP="007701BE">
      <w:pPr>
        <w:jc w:val="both"/>
        <w:rPr>
          <w:b/>
          <w:sz w:val="28"/>
          <w:szCs w:val="28"/>
          <w:lang w:val="es-MX"/>
        </w:rPr>
      </w:pPr>
      <w:r>
        <w:rPr>
          <w:b/>
          <w:sz w:val="28"/>
          <w:szCs w:val="28"/>
          <w:lang w:val="es-MX"/>
        </w:rPr>
        <w:t>Del citado informe retomamos las siguientes recomendaciones:</w:t>
      </w:r>
    </w:p>
    <w:p w14:paraId="751FCDA0" w14:textId="77777777" w:rsidR="007701BE" w:rsidRDefault="007701BE" w:rsidP="007701BE">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7701BE" w:rsidRPr="00740FF1" w14:paraId="4C930AFF" w14:textId="77777777" w:rsidTr="00874B2D">
        <w:tc>
          <w:tcPr>
            <w:tcW w:w="562" w:type="dxa"/>
          </w:tcPr>
          <w:p w14:paraId="60207520" w14:textId="77777777" w:rsidR="007701BE" w:rsidRPr="00740FF1" w:rsidRDefault="007701BE"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583A2C28" w14:textId="77777777" w:rsidR="007701BE" w:rsidRPr="00E648AF" w:rsidRDefault="007701BE" w:rsidP="00874B2D">
            <w:pPr>
              <w:jc w:val="center"/>
              <w:rPr>
                <w:b/>
                <w:sz w:val="24"/>
                <w:szCs w:val="24"/>
                <w:lang w:val="es-MX"/>
              </w:rPr>
            </w:pPr>
            <w:r w:rsidRPr="00E648AF">
              <w:rPr>
                <w:b/>
                <w:sz w:val="24"/>
                <w:szCs w:val="24"/>
                <w:lang w:val="es-MX"/>
              </w:rPr>
              <w:t>RECOMENDACIONES</w:t>
            </w:r>
          </w:p>
          <w:p w14:paraId="4ABCEB13" w14:textId="77777777" w:rsidR="007701BE" w:rsidRPr="00740FF1" w:rsidRDefault="007701BE" w:rsidP="00874B2D">
            <w:pPr>
              <w:jc w:val="center"/>
              <w:rPr>
                <w:b/>
                <w:sz w:val="20"/>
                <w:szCs w:val="20"/>
                <w:lang w:val="es-MX"/>
              </w:rPr>
            </w:pPr>
          </w:p>
        </w:tc>
      </w:tr>
      <w:tr w:rsidR="007701BE" w:rsidRPr="00740FF1" w14:paraId="19AED211" w14:textId="77777777" w:rsidTr="00874B2D">
        <w:tc>
          <w:tcPr>
            <w:tcW w:w="562" w:type="dxa"/>
          </w:tcPr>
          <w:p w14:paraId="4019C356" w14:textId="77777777" w:rsidR="007701BE" w:rsidRPr="00740FF1" w:rsidRDefault="007701BE" w:rsidP="00874B2D">
            <w:pPr>
              <w:jc w:val="center"/>
              <w:rPr>
                <w:b/>
                <w:sz w:val="20"/>
                <w:szCs w:val="20"/>
                <w:lang w:val="es-MX"/>
              </w:rPr>
            </w:pPr>
            <w:r w:rsidRPr="00740FF1">
              <w:rPr>
                <w:b/>
                <w:sz w:val="20"/>
                <w:szCs w:val="20"/>
                <w:lang w:val="es-MX"/>
              </w:rPr>
              <w:t>1</w:t>
            </w:r>
          </w:p>
        </w:tc>
        <w:tc>
          <w:tcPr>
            <w:tcW w:w="9400" w:type="dxa"/>
          </w:tcPr>
          <w:p w14:paraId="376786E5" w14:textId="77777777" w:rsidR="007701BE" w:rsidRPr="0062784D" w:rsidRDefault="007701BE" w:rsidP="00874B2D">
            <w:pPr>
              <w:jc w:val="both"/>
              <w:rPr>
                <w:sz w:val="20"/>
                <w:szCs w:val="20"/>
                <w:lang w:val="es-MX"/>
              </w:rPr>
            </w:pPr>
            <w:r w:rsidRPr="0062784D">
              <w:rPr>
                <w:sz w:val="20"/>
                <w:szCs w:val="20"/>
                <w:lang w:val="es-MX"/>
              </w:rPr>
              <w:t>Se recomienda que el personal del área financiera se capacite de manera permanente para el cumplimiento de la normatividad conforme al marco normativo para entidades de gobierno.</w:t>
            </w:r>
          </w:p>
        </w:tc>
      </w:tr>
      <w:tr w:rsidR="007701BE" w:rsidRPr="00740FF1" w14:paraId="7F0495E5" w14:textId="77777777" w:rsidTr="00874B2D">
        <w:tc>
          <w:tcPr>
            <w:tcW w:w="562" w:type="dxa"/>
          </w:tcPr>
          <w:p w14:paraId="62BD859B" w14:textId="77777777" w:rsidR="007701BE" w:rsidRPr="00740FF1" w:rsidRDefault="007701BE" w:rsidP="00874B2D">
            <w:pPr>
              <w:jc w:val="center"/>
              <w:rPr>
                <w:b/>
                <w:sz w:val="20"/>
                <w:szCs w:val="20"/>
                <w:lang w:val="es-MX"/>
              </w:rPr>
            </w:pPr>
            <w:r w:rsidRPr="00740FF1">
              <w:rPr>
                <w:b/>
                <w:sz w:val="20"/>
                <w:szCs w:val="20"/>
                <w:lang w:val="es-MX"/>
              </w:rPr>
              <w:t>2</w:t>
            </w:r>
          </w:p>
        </w:tc>
        <w:tc>
          <w:tcPr>
            <w:tcW w:w="9400" w:type="dxa"/>
          </w:tcPr>
          <w:p w14:paraId="1BBB6453" w14:textId="77777777" w:rsidR="007701BE" w:rsidRPr="0062784D" w:rsidRDefault="007701BE" w:rsidP="00874B2D">
            <w:pPr>
              <w:jc w:val="both"/>
              <w:rPr>
                <w:sz w:val="20"/>
                <w:szCs w:val="20"/>
                <w:lang w:val="es-MX"/>
              </w:rPr>
            </w:pPr>
            <w:r w:rsidRPr="0062784D">
              <w:rPr>
                <w:sz w:val="20"/>
                <w:szCs w:val="20"/>
                <w:lang w:val="es-MX"/>
              </w:rPr>
              <w:t>Se recomienda realizar un plan de mejoramiento con los resultados de este informe, para identificar las causas e implementar acciones correctivas efectivas.</w:t>
            </w:r>
          </w:p>
        </w:tc>
      </w:tr>
      <w:tr w:rsidR="007701BE" w:rsidRPr="00740FF1" w14:paraId="28E0AB7B" w14:textId="77777777" w:rsidTr="00874B2D">
        <w:tc>
          <w:tcPr>
            <w:tcW w:w="562" w:type="dxa"/>
          </w:tcPr>
          <w:p w14:paraId="6DF778E9" w14:textId="77777777" w:rsidR="007701BE" w:rsidRPr="00740FF1" w:rsidRDefault="007701BE" w:rsidP="00874B2D">
            <w:pPr>
              <w:jc w:val="center"/>
              <w:rPr>
                <w:b/>
                <w:sz w:val="20"/>
                <w:szCs w:val="20"/>
                <w:lang w:val="es-MX"/>
              </w:rPr>
            </w:pPr>
            <w:r w:rsidRPr="00740FF1">
              <w:rPr>
                <w:b/>
                <w:sz w:val="20"/>
                <w:szCs w:val="20"/>
                <w:lang w:val="es-MX"/>
              </w:rPr>
              <w:t>3</w:t>
            </w:r>
          </w:p>
        </w:tc>
        <w:tc>
          <w:tcPr>
            <w:tcW w:w="9400" w:type="dxa"/>
          </w:tcPr>
          <w:p w14:paraId="49E67343" w14:textId="77777777" w:rsidR="007701BE" w:rsidRPr="0062784D" w:rsidRDefault="007701BE" w:rsidP="00874B2D">
            <w:pPr>
              <w:jc w:val="both"/>
              <w:rPr>
                <w:sz w:val="20"/>
                <w:szCs w:val="20"/>
                <w:lang w:val="es-MX"/>
              </w:rPr>
            </w:pPr>
            <w:r w:rsidRPr="0062784D">
              <w:rPr>
                <w:sz w:val="20"/>
                <w:szCs w:val="20"/>
                <w:lang w:val="es-MX"/>
              </w:rPr>
              <w:t>Se recomienda que tanto las políticas contables como los diferentes manuales y procedimientos, sean revisados periódicamente y actualizados conforme a la última normatividad aplicable</w:t>
            </w:r>
          </w:p>
        </w:tc>
      </w:tr>
      <w:tr w:rsidR="007701BE" w:rsidRPr="00740FF1" w14:paraId="7467C44F" w14:textId="77777777" w:rsidTr="00874B2D">
        <w:tc>
          <w:tcPr>
            <w:tcW w:w="562" w:type="dxa"/>
          </w:tcPr>
          <w:p w14:paraId="4E1F54DD" w14:textId="77777777" w:rsidR="007701BE" w:rsidRPr="00740FF1" w:rsidRDefault="007701BE" w:rsidP="00874B2D">
            <w:pPr>
              <w:jc w:val="center"/>
              <w:rPr>
                <w:b/>
                <w:sz w:val="20"/>
                <w:szCs w:val="20"/>
                <w:lang w:val="es-MX"/>
              </w:rPr>
            </w:pPr>
            <w:r w:rsidRPr="00740FF1">
              <w:rPr>
                <w:b/>
                <w:sz w:val="20"/>
                <w:szCs w:val="20"/>
                <w:lang w:val="es-MX"/>
              </w:rPr>
              <w:t>4</w:t>
            </w:r>
          </w:p>
        </w:tc>
        <w:tc>
          <w:tcPr>
            <w:tcW w:w="9400" w:type="dxa"/>
          </w:tcPr>
          <w:p w14:paraId="2307918E" w14:textId="77777777" w:rsidR="007701BE" w:rsidRPr="0062784D" w:rsidRDefault="007701BE" w:rsidP="00874B2D">
            <w:pPr>
              <w:jc w:val="both"/>
              <w:rPr>
                <w:sz w:val="20"/>
                <w:szCs w:val="20"/>
                <w:lang w:val="es-MX"/>
              </w:rPr>
            </w:pPr>
            <w:r w:rsidRPr="0062784D">
              <w:rPr>
                <w:sz w:val="20"/>
                <w:szCs w:val="20"/>
                <w:lang w:val="es-MX"/>
              </w:rPr>
              <w:t>Se recomienda que las capacitaciones referentes en materia tributaria y contable sean de calidad, con el fin de que la entidad esté a la vanguardia con las últimas modificaciones tributarias y contables</w:t>
            </w:r>
          </w:p>
        </w:tc>
      </w:tr>
      <w:tr w:rsidR="007701BE" w:rsidRPr="00740FF1" w14:paraId="3815003A" w14:textId="77777777" w:rsidTr="00874B2D">
        <w:tc>
          <w:tcPr>
            <w:tcW w:w="562" w:type="dxa"/>
          </w:tcPr>
          <w:p w14:paraId="4BE2EEBA" w14:textId="77777777" w:rsidR="007701BE" w:rsidRPr="00740FF1" w:rsidRDefault="007701BE" w:rsidP="00874B2D">
            <w:pPr>
              <w:jc w:val="center"/>
              <w:rPr>
                <w:b/>
                <w:sz w:val="20"/>
                <w:szCs w:val="20"/>
                <w:lang w:val="es-MX"/>
              </w:rPr>
            </w:pPr>
            <w:r>
              <w:rPr>
                <w:b/>
                <w:sz w:val="20"/>
                <w:szCs w:val="20"/>
                <w:lang w:val="es-MX"/>
              </w:rPr>
              <w:t>5</w:t>
            </w:r>
          </w:p>
        </w:tc>
        <w:tc>
          <w:tcPr>
            <w:tcW w:w="9400" w:type="dxa"/>
          </w:tcPr>
          <w:p w14:paraId="5BED424A" w14:textId="77777777" w:rsidR="007701BE" w:rsidRPr="0062784D" w:rsidRDefault="007701BE" w:rsidP="00874B2D">
            <w:pPr>
              <w:jc w:val="both"/>
              <w:rPr>
                <w:sz w:val="20"/>
                <w:szCs w:val="20"/>
                <w:lang w:val="es-MX"/>
              </w:rPr>
            </w:pPr>
            <w:r w:rsidRPr="0062784D">
              <w:rPr>
                <w:sz w:val="20"/>
                <w:szCs w:val="20"/>
                <w:lang w:val="es-MX"/>
              </w:rPr>
              <w:t>De acuerdo con lo consultado al Ministerio de Hacienda (SIIF) ellos indican que se puede realizar la solicitud para la inclusión de terceros en las cuentas que se requieran y ellos consultan con la Contaduría General de la Nación para identificar la viabilidad de la parametrización</w:t>
            </w:r>
          </w:p>
        </w:tc>
      </w:tr>
      <w:tr w:rsidR="007701BE" w:rsidRPr="00740FF1" w14:paraId="1AFF4369" w14:textId="77777777" w:rsidTr="00874B2D">
        <w:tc>
          <w:tcPr>
            <w:tcW w:w="562" w:type="dxa"/>
          </w:tcPr>
          <w:p w14:paraId="18B687C4" w14:textId="77777777" w:rsidR="007701BE" w:rsidRPr="00740FF1" w:rsidRDefault="007701BE" w:rsidP="00874B2D">
            <w:pPr>
              <w:jc w:val="center"/>
              <w:rPr>
                <w:b/>
                <w:sz w:val="20"/>
                <w:szCs w:val="20"/>
                <w:lang w:val="es-MX"/>
              </w:rPr>
            </w:pPr>
            <w:r>
              <w:rPr>
                <w:b/>
                <w:sz w:val="20"/>
                <w:szCs w:val="20"/>
                <w:lang w:val="es-MX"/>
              </w:rPr>
              <w:t>6</w:t>
            </w:r>
          </w:p>
        </w:tc>
        <w:tc>
          <w:tcPr>
            <w:tcW w:w="9400" w:type="dxa"/>
          </w:tcPr>
          <w:p w14:paraId="2D8323C0" w14:textId="77777777" w:rsidR="007701BE" w:rsidRPr="0062784D" w:rsidRDefault="007701BE" w:rsidP="00874B2D">
            <w:pPr>
              <w:jc w:val="both"/>
              <w:rPr>
                <w:sz w:val="20"/>
                <w:szCs w:val="20"/>
                <w:lang w:val="es-MX"/>
              </w:rPr>
            </w:pPr>
            <w:r w:rsidRPr="0062784D">
              <w:rPr>
                <w:sz w:val="20"/>
                <w:szCs w:val="20"/>
                <w:lang w:val="es-MX"/>
              </w:rPr>
              <w:t>Implementar un sistema de indicadores financieros que permita analizar y reflejar la realidad económica de la Entidad</w:t>
            </w:r>
          </w:p>
        </w:tc>
      </w:tr>
      <w:tr w:rsidR="007701BE" w:rsidRPr="00740FF1" w14:paraId="7EF4B0A3" w14:textId="77777777" w:rsidTr="00874B2D">
        <w:tc>
          <w:tcPr>
            <w:tcW w:w="562" w:type="dxa"/>
          </w:tcPr>
          <w:p w14:paraId="4DC9D1A2" w14:textId="77777777" w:rsidR="007701BE" w:rsidRPr="00740FF1" w:rsidRDefault="007701BE" w:rsidP="00874B2D">
            <w:pPr>
              <w:jc w:val="center"/>
              <w:rPr>
                <w:b/>
                <w:sz w:val="20"/>
                <w:szCs w:val="20"/>
                <w:lang w:val="es-MX"/>
              </w:rPr>
            </w:pPr>
            <w:r>
              <w:rPr>
                <w:b/>
                <w:sz w:val="20"/>
                <w:szCs w:val="20"/>
                <w:lang w:val="es-MX"/>
              </w:rPr>
              <w:lastRenderedPageBreak/>
              <w:t>7</w:t>
            </w:r>
          </w:p>
        </w:tc>
        <w:tc>
          <w:tcPr>
            <w:tcW w:w="9400" w:type="dxa"/>
          </w:tcPr>
          <w:p w14:paraId="527C206C" w14:textId="77777777" w:rsidR="007701BE" w:rsidRPr="0062784D" w:rsidRDefault="007701BE" w:rsidP="00874B2D">
            <w:pPr>
              <w:jc w:val="both"/>
              <w:rPr>
                <w:sz w:val="20"/>
                <w:szCs w:val="20"/>
                <w:lang w:val="es-MX"/>
              </w:rPr>
            </w:pPr>
            <w:r w:rsidRPr="0062784D">
              <w:rPr>
                <w:sz w:val="20"/>
                <w:szCs w:val="20"/>
                <w:lang w:val="es-MX"/>
              </w:rPr>
              <w:t xml:space="preserve">Realizar y documentar las capacitaciones que se generan al personal que ingresa al proceso contable en la Entidad, frente al manual de políticas contable y las demás establecidas por la Entidad.  </w:t>
            </w:r>
          </w:p>
        </w:tc>
      </w:tr>
    </w:tbl>
    <w:p w14:paraId="0C296284" w14:textId="77777777" w:rsidR="007701BE" w:rsidRDefault="007701BE" w:rsidP="007701BE">
      <w:pPr>
        <w:pStyle w:val="Textoindependiente"/>
        <w:ind w:right="-50"/>
        <w:jc w:val="both"/>
        <w:rPr>
          <w:b/>
          <w:bCs/>
          <w:sz w:val="28"/>
          <w:szCs w:val="28"/>
        </w:rPr>
      </w:pPr>
    </w:p>
    <w:p w14:paraId="2AB51AD3" w14:textId="77777777" w:rsidR="007701BE" w:rsidRDefault="007701BE" w:rsidP="007701BE">
      <w:pPr>
        <w:jc w:val="both"/>
        <w:rPr>
          <w:b/>
          <w:bCs/>
          <w:sz w:val="24"/>
          <w:szCs w:val="24"/>
          <w:lang w:val="es-CO"/>
        </w:rPr>
      </w:pPr>
      <w:r w:rsidRPr="00712490">
        <w:rPr>
          <w:b/>
          <w:bCs/>
          <w:sz w:val="24"/>
          <w:szCs w:val="24"/>
          <w:lang w:val="es-CO"/>
        </w:rPr>
        <w:t xml:space="preserve">NOTA: LA ENTIDAD ENVIA LA MATRIZ DE AUTOEVALUACIÓN DEL SISTEMA DE CONTROL INTERNO CONTABLE CON ACTIVIDADES DE CONTROL REALIZADAS </w:t>
      </w:r>
      <w:r w:rsidRPr="00712490">
        <w:rPr>
          <w:b/>
          <w:bCs/>
          <w:sz w:val="24"/>
          <w:szCs w:val="24"/>
          <w:u w:val="single"/>
          <w:lang w:val="es-CO"/>
        </w:rPr>
        <w:t>EN FORMA PARCIAL Y OTRAS SIMPLEMENTE INFORMAN QUE NO SE REALIZARON</w:t>
      </w:r>
      <w:r w:rsidRPr="00712490">
        <w:rPr>
          <w:b/>
          <w:bCs/>
          <w:sz w:val="24"/>
          <w:szCs w:val="24"/>
          <w:lang w:val="es-CO"/>
        </w:rPr>
        <w:t>.</w:t>
      </w:r>
    </w:p>
    <w:p w14:paraId="00D2E553" w14:textId="77777777" w:rsidR="007701BE" w:rsidRPr="00712490" w:rsidRDefault="007701BE" w:rsidP="007701BE">
      <w:pPr>
        <w:jc w:val="both"/>
        <w:rPr>
          <w:b/>
          <w:bCs/>
          <w:sz w:val="24"/>
          <w:szCs w:val="24"/>
          <w:lang w:val="es-CO"/>
        </w:rPr>
      </w:pPr>
    </w:p>
    <w:p w14:paraId="35B45E5F" w14:textId="77777777" w:rsidR="007701BE" w:rsidRDefault="007701BE" w:rsidP="007701BE">
      <w:pPr>
        <w:pStyle w:val="Ttulo1"/>
        <w:spacing w:before="93"/>
        <w:ind w:left="0" w:right="-50"/>
        <w:rPr>
          <w:sz w:val="28"/>
          <w:szCs w:val="28"/>
        </w:rPr>
      </w:pPr>
      <w:r>
        <w:rPr>
          <w:sz w:val="28"/>
          <w:szCs w:val="28"/>
        </w:rPr>
        <w:t xml:space="preserve">E.- </w:t>
      </w:r>
      <w:r w:rsidRPr="002534FE">
        <w:rPr>
          <w:sz w:val="28"/>
          <w:szCs w:val="28"/>
        </w:rPr>
        <w:t>SEGUIMIENTO AL PLAN O PLANES DE MEJORAMIENTO SUSCRITOS CON LA CGR A 31 DE DICIEMBRE DE 2024:</w:t>
      </w:r>
    </w:p>
    <w:p w14:paraId="63952559" w14:textId="77777777" w:rsidR="007701BE" w:rsidRPr="00B54567" w:rsidRDefault="007701BE" w:rsidP="007701BE">
      <w:pPr>
        <w:pStyle w:val="Ttulo1"/>
        <w:spacing w:before="93"/>
        <w:ind w:left="0" w:right="-50"/>
      </w:pPr>
    </w:p>
    <w:tbl>
      <w:tblPr>
        <w:tblStyle w:val="Tablaconcuadrcula"/>
        <w:tblW w:w="9923" w:type="dxa"/>
        <w:tblInd w:w="-5" w:type="dxa"/>
        <w:tblLook w:val="04A0" w:firstRow="1" w:lastRow="0" w:firstColumn="1" w:lastColumn="0" w:noHBand="0" w:noVBand="1"/>
      </w:tblPr>
      <w:tblGrid>
        <w:gridCol w:w="1696"/>
        <w:gridCol w:w="2530"/>
        <w:gridCol w:w="1870"/>
        <w:gridCol w:w="1842"/>
        <w:gridCol w:w="1985"/>
      </w:tblGrid>
      <w:tr w:rsidR="007701BE" w:rsidRPr="00B54567" w14:paraId="47F81590" w14:textId="77777777" w:rsidTr="00874B2D">
        <w:tc>
          <w:tcPr>
            <w:tcW w:w="1696" w:type="dxa"/>
          </w:tcPr>
          <w:p w14:paraId="6BC6AD88" w14:textId="77777777" w:rsidR="007701BE" w:rsidRPr="00B54567" w:rsidRDefault="007701BE" w:rsidP="00874B2D">
            <w:pPr>
              <w:pStyle w:val="Ttulo1"/>
              <w:ind w:left="0" w:right="-50"/>
              <w:jc w:val="center"/>
              <w:outlineLvl w:val="0"/>
              <w:rPr>
                <w:sz w:val="20"/>
                <w:szCs w:val="20"/>
              </w:rPr>
            </w:pPr>
            <w:r w:rsidRPr="00B54567">
              <w:rPr>
                <w:sz w:val="20"/>
                <w:szCs w:val="20"/>
              </w:rPr>
              <w:t xml:space="preserve">TOTAL, HALLAZGOS SEGÚN LA </w:t>
            </w:r>
          </w:p>
          <w:p w14:paraId="3FFC3151" w14:textId="77777777" w:rsidR="007701BE" w:rsidRPr="00B54567" w:rsidRDefault="007701BE" w:rsidP="00874B2D">
            <w:pPr>
              <w:pStyle w:val="Ttulo1"/>
              <w:ind w:left="0" w:right="-50"/>
              <w:jc w:val="center"/>
              <w:outlineLvl w:val="0"/>
              <w:rPr>
                <w:sz w:val="20"/>
                <w:szCs w:val="20"/>
              </w:rPr>
            </w:pPr>
            <w:r w:rsidRPr="00B54567">
              <w:rPr>
                <w:sz w:val="20"/>
                <w:szCs w:val="20"/>
              </w:rPr>
              <w:t>CGR</w:t>
            </w:r>
          </w:p>
          <w:p w14:paraId="48FCD474" w14:textId="77777777" w:rsidR="007701BE" w:rsidRPr="00B54567" w:rsidRDefault="007701BE" w:rsidP="00874B2D">
            <w:pPr>
              <w:pStyle w:val="Ttulo1"/>
              <w:ind w:left="0" w:right="-50"/>
              <w:jc w:val="center"/>
              <w:outlineLvl w:val="0"/>
              <w:rPr>
                <w:sz w:val="20"/>
                <w:szCs w:val="20"/>
              </w:rPr>
            </w:pPr>
          </w:p>
          <w:p w14:paraId="266F52CA" w14:textId="77777777" w:rsidR="007701BE" w:rsidRPr="00B54567" w:rsidRDefault="007701BE" w:rsidP="00874B2D">
            <w:pPr>
              <w:pStyle w:val="Ttulo1"/>
              <w:ind w:left="0" w:right="-50"/>
              <w:jc w:val="center"/>
              <w:outlineLvl w:val="0"/>
              <w:rPr>
                <w:sz w:val="20"/>
                <w:szCs w:val="20"/>
              </w:rPr>
            </w:pPr>
          </w:p>
        </w:tc>
        <w:tc>
          <w:tcPr>
            <w:tcW w:w="2530" w:type="dxa"/>
          </w:tcPr>
          <w:p w14:paraId="17C7D166" w14:textId="77777777" w:rsidR="007701BE" w:rsidRPr="00B54567" w:rsidRDefault="007701BE"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67B8EA81" w14:textId="77777777" w:rsidR="007701BE" w:rsidRPr="00B54567" w:rsidRDefault="007701BE" w:rsidP="00874B2D">
            <w:pPr>
              <w:pStyle w:val="Ttulo1"/>
              <w:ind w:left="0" w:right="-50"/>
              <w:jc w:val="center"/>
              <w:outlineLvl w:val="0"/>
              <w:rPr>
                <w:sz w:val="20"/>
                <w:szCs w:val="20"/>
              </w:rPr>
            </w:pPr>
          </w:p>
        </w:tc>
        <w:tc>
          <w:tcPr>
            <w:tcW w:w="1870" w:type="dxa"/>
          </w:tcPr>
          <w:p w14:paraId="3C093666" w14:textId="77777777" w:rsidR="007701BE" w:rsidRPr="00B54567" w:rsidRDefault="007701BE" w:rsidP="00874B2D">
            <w:pPr>
              <w:pStyle w:val="Ttulo1"/>
              <w:ind w:left="0" w:right="-50"/>
              <w:jc w:val="center"/>
              <w:outlineLvl w:val="0"/>
              <w:rPr>
                <w:sz w:val="20"/>
                <w:szCs w:val="20"/>
              </w:rPr>
            </w:pPr>
            <w:r w:rsidRPr="00B54567">
              <w:rPr>
                <w:sz w:val="20"/>
                <w:szCs w:val="20"/>
              </w:rPr>
              <w:t>TOTAL, DE METAS CUMPLIDAS</w:t>
            </w:r>
          </w:p>
          <w:p w14:paraId="4878B13C" w14:textId="77777777" w:rsidR="007701BE" w:rsidRPr="00B54567" w:rsidRDefault="007701BE" w:rsidP="00874B2D">
            <w:pPr>
              <w:pStyle w:val="Ttulo1"/>
              <w:ind w:left="0" w:right="-50"/>
              <w:jc w:val="center"/>
              <w:outlineLvl w:val="0"/>
              <w:rPr>
                <w:sz w:val="20"/>
                <w:szCs w:val="20"/>
              </w:rPr>
            </w:pPr>
            <w:r w:rsidRPr="00B54567">
              <w:rPr>
                <w:sz w:val="20"/>
                <w:szCs w:val="20"/>
              </w:rPr>
              <w:t xml:space="preserve"> A 31/12/2024</w:t>
            </w:r>
          </w:p>
        </w:tc>
        <w:tc>
          <w:tcPr>
            <w:tcW w:w="1842" w:type="dxa"/>
          </w:tcPr>
          <w:p w14:paraId="59341DE4" w14:textId="77777777" w:rsidR="007701BE" w:rsidRPr="00B54567" w:rsidRDefault="007701BE" w:rsidP="00874B2D">
            <w:pPr>
              <w:pStyle w:val="Ttulo1"/>
              <w:ind w:left="0" w:right="-50"/>
              <w:jc w:val="center"/>
              <w:outlineLvl w:val="0"/>
              <w:rPr>
                <w:sz w:val="20"/>
                <w:szCs w:val="20"/>
              </w:rPr>
            </w:pPr>
            <w:r w:rsidRPr="00B54567">
              <w:rPr>
                <w:sz w:val="20"/>
                <w:szCs w:val="20"/>
              </w:rPr>
              <w:t>CUMPLIMIENTO DEL PLAN EN %</w:t>
            </w:r>
          </w:p>
          <w:p w14:paraId="3F6B9E87" w14:textId="77777777" w:rsidR="007701BE" w:rsidRPr="00B54567" w:rsidRDefault="007701BE" w:rsidP="00874B2D">
            <w:pPr>
              <w:pStyle w:val="Ttulo1"/>
              <w:ind w:left="0" w:right="-50"/>
              <w:jc w:val="center"/>
              <w:outlineLvl w:val="0"/>
              <w:rPr>
                <w:sz w:val="20"/>
                <w:szCs w:val="20"/>
              </w:rPr>
            </w:pPr>
            <w:r w:rsidRPr="00B54567">
              <w:rPr>
                <w:sz w:val="20"/>
                <w:szCs w:val="20"/>
              </w:rPr>
              <w:t xml:space="preserve"> A 31/12/2024</w:t>
            </w:r>
          </w:p>
        </w:tc>
        <w:tc>
          <w:tcPr>
            <w:tcW w:w="1985" w:type="dxa"/>
          </w:tcPr>
          <w:p w14:paraId="1EAD6DB2" w14:textId="77777777" w:rsidR="007701BE" w:rsidRPr="00B54567" w:rsidRDefault="007701BE" w:rsidP="00874B2D">
            <w:pPr>
              <w:pStyle w:val="Ttulo1"/>
              <w:ind w:left="0" w:right="-50"/>
              <w:jc w:val="center"/>
              <w:outlineLvl w:val="0"/>
              <w:rPr>
                <w:sz w:val="20"/>
                <w:szCs w:val="20"/>
              </w:rPr>
            </w:pPr>
            <w:r w:rsidRPr="00B54567">
              <w:rPr>
                <w:sz w:val="20"/>
                <w:szCs w:val="20"/>
              </w:rPr>
              <w:t xml:space="preserve">AVANCE DEL PLAN EN % </w:t>
            </w:r>
          </w:p>
          <w:p w14:paraId="7E561888" w14:textId="77777777" w:rsidR="007701BE" w:rsidRPr="00B54567" w:rsidRDefault="007701BE" w:rsidP="00874B2D">
            <w:pPr>
              <w:pStyle w:val="Ttulo1"/>
              <w:ind w:left="0" w:right="-50"/>
              <w:jc w:val="center"/>
              <w:outlineLvl w:val="0"/>
              <w:rPr>
                <w:sz w:val="20"/>
                <w:szCs w:val="20"/>
              </w:rPr>
            </w:pPr>
            <w:r w:rsidRPr="00B54567">
              <w:rPr>
                <w:sz w:val="20"/>
                <w:szCs w:val="20"/>
              </w:rPr>
              <w:t>A 31/12/2024</w:t>
            </w:r>
          </w:p>
        </w:tc>
      </w:tr>
      <w:tr w:rsidR="007701BE" w:rsidRPr="00B54567" w14:paraId="37EE031F" w14:textId="77777777" w:rsidTr="00874B2D">
        <w:tc>
          <w:tcPr>
            <w:tcW w:w="1696" w:type="dxa"/>
          </w:tcPr>
          <w:p w14:paraId="13600E68" w14:textId="77777777" w:rsidR="007701BE" w:rsidRPr="00B54567" w:rsidRDefault="007701BE" w:rsidP="00874B2D">
            <w:pPr>
              <w:pStyle w:val="Ttulo1"/>
              <w:ind w:left="0" w:right="-50"/>
              <w:jc w:val="center"/>
              <w:outlineLvl w:val="0"/>
              <w:rPr>
                <w:sz w:val="20"/>
                <w:szCs w:val="20"/>
              </w:rPr>
            </w:pPr>
            <w:r>
              <w:rPr>
                <w:sz w:val="20"/>
                <w:szCs w:val="20"/>
              </w:rPr>
              <w:t>439</w:t>
            </w:r>
          </w:p>
        </w:tc>
        <w:tc>
          <w:tcPr>
            <w:tcW w:w="2530" w:type="dxa"/>
          </w:tcPr>
          <w:p w14:paraId="67155E22" w14:textId="77777777" w:rsidR="007701BE" w:rsidRPr="00B54567" w:rsidRDefault="007701BE" w:rsidP="00874B2D">
            <w:pPr>
              <w:pStyle w:val="Ttulo1"/>
              <w:ind w:left="0" w:right="-50"/>
              <w:jc w:val="center"/>
              <w:outlineLvl w:val="0"/>
              <w:rPr>
                <w:sz w:val="20"/>
                <w:szCs w:val="20"/>
              </w:rPr>
            </w:pPr>
            <w:r>
              <w:rPr>
                <w:sz w:val="20"/>
                <w:szCs w:val="20"/>
              </w:rPr>
              <w:t>477</w:t>
            </w:r>
          </w:p>
        </w:tc>
        <w:tc>
          <w:tcPr>
            <w:tcW w:w="1870" w:type="dxa"/>
          </w:tcPr>
          <w:p w14:paraId="39C91A97" w14:textId="77777777" w:rsidR="007701BE" w:rsidRPr="00B54567" w:rsidRDefault="007701BE" w:rsidP="00874B2D">
            <w:pPr>
              <w:pStyle w:val="Ttulo1"/>
              <w:ind w:left="0" w:right="-50"/>
              <w:jc w:val="center"/>
              <w:outlineLvl w:val="0"/>
              <w:rPr>
                <w:sz w:val="20"/>
                <w:szCs w:val="20"/>
              </w:rPr>
            </w:pPr>
            <w:r>
              <w:rPr>
                <w:sz w:val="20"/>
                <w:szCs w:val="20"/>
              </w:rPr>
              <w:t>287</w:t>
            </w:r>
          </w:p>
        </w:tc>
        <w:tc>
          <w:tcPr>
            <w:tcW w:w="1842" w:type="dxa"/>
          </w:tcPr>
          <w:p w14:paraId="730DDD55" w14:textId="77777777" w:rsidR="007701BE" w:rsidRPr="00B54567" w:rsidRDefault="007701BE" w:rsidP="00874B2D">
            <w:pPr>
              <w:pStyle w:val="Ttulo1"/>
              <w:ind w:left="0" w:right="-50"/>
              <w:jc w:val="center"/>
              <w:outlineLvl w:val="0"/>
              <w:rPr>
                <w:sz w:val="20"/>
                <w:szCs w:val="20"/>
                <w:u w:val="single"/>
              </w:rPr>
            </w:pPr>
            <w:r>
              <w:rPr>
                <w:sz w:val="20"/>
                <w:szCs w:val="20"/>
                <w:u w:val="single"/>
              </w:rPr>
              <w:t>60,17%</w:t>
            </w:r>
          </w:p>
        </w:tc>
        <w:tc>
          <w:tcPr>
            <w:tcW w:w="1985" w:type="dxa"/>
          </w:tcPr>
          <w:p w14:paraId="75F0F4D8" w14:textId="77777777" w:rsidR="007701BE" w:rsidRPr="00B54567" w:rsidRDefault="007701BE" w:rsidP="00874B2D">
            <w:pPr>
              <w:pStyle w:val="Ttulo1"/>
              <w:ind w:left="0" w:right="-50"/>
              <w:jc w:val="center"/>
              <w:outlineLvl w:val="0"/>
              <w:rPr>
                <w:sz w:val="20"/>
                <w:szCs w:val="20"/>
                <w:u w:val="single"/>
              </w:rPr>
            </w:pPr>
            <w:r>
              <w:rPr>
                <w:sz w:val="20"/>
                <w:szCs w:val="20"/>
                <w:u w:val="single"/>
              </w:rPr>
              <w:t>39,83%</w:t>
            </w:r>
          </w:p>
        </w:tc>
      </w:tr>
    </w:tbl>
    <w:p w14:paraId="40FA9175" w14:textId="77777777" w:rsidR="007701BE" w:rsidRDefault="007701BE" w:rsidP="007701BE">
      <w:pPr>
        <w:jc w:val="both"/>
        <w:rPr>
          <w:sz w:val="24"/>
          <w:szCs w:val="24"/>
          <w:lang w:val="es-MX"/>
        </w:rPr>
      </w:pPr>
    </w:p>
    <w:p w14:paraId="67AAFD22" w14:textId="77777777" w:rsidR="007701BE" w:rsidRPr="00712490" w:rsidRDefault="007701BE" w:rsidP="007701BE">
      <w:pPr>
        <w:jc w:val="both"/>
        <w:rPr>
          <w:b/>
          <w:sz w:val="24"/>
          <w:szCs w:val="24"/>
          <w:u w:val="single"/>
          <w:lang w:val="es-MX"/>
        </w:rPr>
      </w:pPr>
      <w:r w:rsidRPr="00712490">
        <w:rPr>
          <w:b/>
          <w:sz w:val="24"/>
          <w:szCs w:val="24"/>
          <w:u w:val="single"/>
          <w:lang w:val="es-MX"/>
        </w:rPr>
        <w:t>Como resultado del seguimiento y evaluación se encuentran actividades sin culminar o que no han subsanado las inconsistencias o incumplimientos que dieron origen a los hallazgos comunicado por la CGR, lo anterior asciende a la suma de 167 hallazgos abiertos, con 190 acciones formuladas para atender los mismos.</w:t>
      </w:r>
    </w:p>
    <w:p w14:paraId="25BDF412" w14:textId="77777777" w:rsidR="007701BE" w:rsidRDefault="007701BE" w:rsidP="007701BE">
      <w:pPr>
        <w:jc w:val="both"/>
        <w:rPr>
          <w:sz w:val="24"/>
          <w:szCs w:val="24"/>
          <w:lang w:val="es-MX"/>
        </w:rPr>
      </w:pPr>
    </w:p>
    <w:p w14:paraId="03490D8A" w14:textId="77777777" w:rsidR="007701BE" w:rsidRPr="0099375B" w:rsidRDefault="007701BE" w:rsidP="007701BE">
      <w:pPr>
        <w:jc w:val="both"/>
        <w:rPr>
          <w:b/>
          <w:bCs/>
          <w:sz w:val="24"/>
          <w:szCs w:val="24"/>
        </w:rPr>
      </w:pPr>
      <w:r w:rsidRPr="0099375B">
        <w:rPr>
          <w:b/>
          <w:sz w:val="24"/>
          <w:szCs w:val="24"/>
          <w:lang w:val="es-MX"/>
        </w:rPr>
        <w:t xml:space="preserve">-Del informe </w:t>
      </w:r>
      <w:r w:rsidRPr="0099375B">
        <w:rPr>
          <w:b/>
          <w:bCs/>
          <w:sz w:val="24"/>
          <w:szCs w:val="24"/>
        </w:rPr>
        <w:t>ejecutivo sobre el seguimiento y verificación de la EFICIENCIA y EFICACIA de las acciones realizadas, en cumplimiento al Plan o Planes de Mejoramiento suscritos con el ente de control retomamos lo siguiente:</w:t>
      </w:r>
    </w:p>
    <w:p w14:paraId="2499270C" w14:textId="77777777" w:rsidR="007701BE" w:rsidRDefault="007701BE" w:rsidP="007701BE">
      <w:pPr>
        <w:jc w:val="both"/>
        <w:rPr>
          <w:sz w:val="24"/>
          <w:szCs w:val="24"/>
          <w:lang w:val="es-MX"/>
        </w:rPr>
      </w:pPr>
    </w:p>
    <w:p w14:paraId="227BCEE1" w14:textId="77777777" w:rsidR="007701BE" w:rsidRPr="0099375B" w:rsidRDefault="007701BE" w:rsidP="007701BE">
      <w:pPr>
        <w:jc w:val="both"/>
        <w:rPr>
          <w:b/>
          <w:sz w:val="24"/>
          <w:szCs w:val="24"/>
        </w:rPr>
      </w:pPr>
      <w:r w:rsidRPr="0099375B">
        <w:rPr>
          <w:b/>
          <w:sz w:val="24"/>
          <w:szCs w:val="24"/>
        </w:rPr>
        <w:t>CONCLUSIONES</w:t>
      </w:r>
      <w:r>
        <w:rPr>
          <w:b/>
          <w:sz w:val="24"/>
          <w:szCs w:val="24"/>
        </w:rPr>
        <w:t>:</w:t>
      </w:r>
    </w:p>
    <w:p w14:paraId="02BC5E37" w14:textId="77777777" w:rsidR="007701BE" w:rsidRPr="0099375B" w:rsidRDefault="007701BE" w:rsidP="007701BE">
      <w:pPr>
        <w:jc w:val="both"/>
        <w:rPr>
          <w:sz w:val="24"/>
          <w:szCs w:val="24"/>
        </w:rPr>
      </w:pPr>
    </w:p>
    <w:p w14:paraId="0F771A9B" w14:textId="77777777" w:rsidR="007701BE" w:rsidRPr="00D219EE" w:rsidRDefault="007701BE" w:rsidP="007701BE">
      <w:pPr>
        <w:jc w:val="both"/>
        <w:rPr>
          <w:sz w:val="24"/>
          <w:szCs w:val="24"/>
        </w:rPr>
      </w:pPr>
      <w:r w:rsidRPr="00D219EE">
        <w:rPr>
          <w:bCs/>
          <w:sz w:val="24"/>
          <w:szCs w:val="24"/>
        </w:rPr>
        <w:t>1.-</w:t>
      </w:r>
      <w:r w:rsidRPr="001D402D">
        <w:rPr>
          <w:b/>
          <w:bCs/>
          <w:sz w:val="28"/>
          <w:szCs w:val="28"/>
        </w:rPr>
        <w:t xml:space="preserve"> </w:t>
      </w:r>
      <w:r w:rsidRPr="00D219EE">
        <w:rPr>
          <w:sz w:val="24"/>
          <w:szCs w:val="24"/>
        </w:rPr>
        <w:t xml:space="preserve">Finalizando el segundo semestre del 2024, la Oficina de Control Interno en función al rol de asesoría y acompañamiento, adelantó mediante mesas de trabajo con las áreas responsables de los hallazgos, trabajo articulado en el cual se revisó, analizó y realizó seguimiento a las acciones, actividades definidas y las evidencias aportadas; lo cual permitió un avance significativo en gestionar 272 hallazgos con 287 acciones con concepto de solicitud de cierre para la CGR. </w:t>
      </w:r>
    </w:p>
    <w:p w14:paraId="768DA562" w14:textId="15B72598" w:rsidR="009F68D9" w:rsidRDefault="009F68D9" w:rsidP="007A08F1"/>
    <w:p w14:paraId="535C1124" w14:textId="77777777" w:rsidR="00E751F9" w:rsidRDefault="00E751F9" w:rsidP="00E751F9">
      <w:pPr>
        <w:tabs>
          <w:tab w:val="left" w:pos="2265"/>
          <w:tab w:val="left" w:pos="5293"/>
          <w:tab w:val="left" w:pos="7458"/>
          <w:tab w:val="left" w:pos="9541"/>
        </w:tabs>
        <w:spacing w:before="92"/>
        <w:ind w:right="49"/>
        <w:jc w:val="both"/>
        <w:rPr>
          <w:b/>
          <w:sz w:val="28"/>
          <w:szCs w:val="28"/>
        </w:rPr>
      </w:pPr>
      <w:bookmarkStart w:id="7"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0E0A7224" w14:textId="4E4C605D" w:rsidR="00E751F9" w:rsidRDefault="00E751F9" w:rsidP="00E751F9">
      <w:pPr>
        <w:tabs>
          <w:tab w:val="left" w:pos="2265"/>
          <w:tab w:val="left" w:pos="5293"/>
          <w:tab w:val="left" w:pos="7458"/>
          <w:tab w:val="left" w:pos="9541"/>
        </w:tabs>
        <w:spacing w:before="92"/>
        <w:ind w:right="49"/>
        <w:jc w:val="both"/>
        <w:rPr>
          <w:b/>
          <w:sz w:val="28"/>
          <w:szCs w:val="28"/>
        </w:rPr>
      </w:pPr>
    </w:p>
    <w:p w14:paraId="6319B83C" w14:textId="77777777" w:rsidR="00D059DB" w:rsidRPr="00B54567" w:rsidRDefault="00D059DB" w:rsidP="00E751F9">
      <w:pPr>
        <w:tabs>
          <w:tab w:val="left" w:pos="2265"/>
          <w:tab w:val="left" w:pos="5293"/>
          <w:tab w:val="left" w:pos="7458"/>
          <w:tab w:val="left" w:pos="9541"/>
        </w:tabs>
        <w:spacing w:before="92"/>
        <w:ind w:right="49"/>
        <w:jc w:val="both"/>
        <w:rPr>
          <w:b/>
          <w:sz w:val="28"/>
          <w:szCs w:val="28"/>
        </w:rPr>
      </w:pPr>
    </w:p>
    <w:p w14:paraId="41C97D4F" w14:textId="1926A6A9" w:rsidR="00E751F9" w:rsidRPr="00B54567" w:rsidRDefault="00E751F9" w:rsidP="00E751F9">
      <w:pPr>
        <w:tabs>
          <w:tab w:val="left" w:pos="8985"/>
        </w:tabs>
        <w:ind w:right="49"/>
        <w:jc w:val="both"/>
        <w:rPr>
          <w:b/>
          <w:sz w:val="28"/>
          <w:szCs w:val="28"/>
        </w:rPr>
      </w:pPr>
      <w:r w:rsidRPr="00B54567">
        <w:rPr>
          <w:b/>
          <w:sz w:val="28"/>
          <w:szCs w:val="28"/>
        </w:rPr>
        <w:lastRenderedPageBreak/>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8" w:history="1">
        <w:r w:rsidR="001F1E97"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9" w:history="1">
        <w:r w:rsidRPr="00B54567">
          <w:rPr>
            <w:rStyle w:val="Hipervnculo"/>
            <w:b/>
            <w:sz w:val="28"/>
            <w:szCs w:val="28"/>
            <w:u w:val="thick" w:color="0000FF"/>
          </w:rPr>
          <w:t>fabian.trujillo@camara.gov.co</w:t>
        </w:r>
      </w:hyperlink>
    </w:p>
    <w:p w14:paraId="69D91C4F" w14:textId="77777777" w:rsidR="00E751F9" w:rsidRPr="00B54567" w:rsidRDefault="00E751F9" w:rsidP="00E751F9">
      <w:pPr>
        <w:tabs>
          <w:tab w:val="left" w:pos="8985"/>
        </w:tabs>
        <w:ind w:right="49"/>
        <w:jc w:val="both"/>
        <w:rPr>
          <w:b/>
          <w:sz w:val="28"/>
          <w:szCs w:val="28"/>
        </w:rPr>
      </w:pPr>
    </w:p>
    <w:p w14:paraId="491FF005" w14:textId="77777777" w:rsidR="00E751F9" w:rsidRDefault="00E751F9" w:rsidP="00E751F9">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6947CA2D" w14:textId="6CBDB793" w:rsidR="00E751F9" w:rsidRDefault="00E751F9" w:rsidP="00E751F9">
      <w:pPr>
        <w:tabs>
          <w:tab w:val="left" w:pos="834"/>
        </w:tabs>
        <w:spacing w:before="91"/>
        <w:ind w:right="49"/>
        <w:jc w:val="both"/>
        <w:rPr>
          <w:b/>
          <w:spacing w:val="-15"/>
          <w:sz w:val="28"/>
          <w:szCs w:val="28"/>
        </w:rPr>
      </w:pPr>
    </w:p>
    <w:p w14:paraId="4538842E" w14:textId="77777777" w:rsidR="00D059DB" w:rsidRDefault="00D059DB" w:rsidP="00E751F9">
      <w:pPr>
        <w:tabs>
          <w:tab w:val="left" w:pos="834"/>
        </w:tabs>
        <w:spacing w:before="91"/>
        <w:ind w:right="49"/>
        <w:jc w:val="both"/>
        <w:rPr>
          <w:b/>
          <w:spacing w:val="-15"/>
          <w:sz w:val="28"/>
          <w:szCs w:val="28"/>
        </w:rPr>
      </w:pPr>
    </w:p>
    <w:p w14:paraId="022422CD" w14:textId="77777777" w:rsidR="00E751F9" w:rsidRPr="009D3600" w:rsidRDefault="00E751F9" w:rsidP="00E751F9">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3F57CF04" w14:textId="2433A344" w:rsidR="00E751F9" w:rsidRDefault="00E751F9" w:rsidP="00E751F9">
      <w:pPr>
        <w:pStyle w:val="Textoindependiente"/>
        <w:ind w:right="49"/>
        <w:rPr>
          <w:sz w:val="28"/>
          <w:szCs w:val="28"/>
        </w:rPr>
      </w:pPr>
    </w:p>
    <w:p w14:paraId="6C0B3746" w14:textId="77777777" w:rsidR="00D059DB" w:rsidRDefault="00D059DB" w:rsidP="00E751F9">
      <w:pPr>
        <w:pStyle w:val="Textoindependiente"/>
        <w:ind w:right="49"/>
        <w:rPr>
          <w:sz w:val="28"/>
          <w:szCs w:val="28"/>
        </w:rPr>
      </w:pPr>
    </w:p>
    <w:p w14:paraId="45BC126A" w14:textId="77777777" w:rsidR="00EF05C1" w:rsidRPr="00B54567" w:rsidRDefault="00EF05C1" w:rsidP="00E751F9">
      <w:pPr>
        <w:pStyle w:val="Textoindependiente"/>
        <w:ind w:right="49"/>
        <w:rPr>
          <w:sz w:val="28"/>
          <w:szCs w:val="28"/>
        </w:rPr>
      </w:pPr>
    </w:p>
    <w:p w14:paraId="53C45F50" w14:textId="6635D708" w:rsidR="00E751F9" w:rsidRDefault="00E751F9" w:rsidP="00845CDD">
      <w:pPr>
        <w:pStyle w:val="Textoindependiente"/>
        <w:ind w:right="49"/>
        <w:rPr>
          <w:sz w:val="28"/>
          <w:szCs w:val="28"/>
        </w:rPr>
      </w:pPr>
      <w:r w:rsidRPr="00B54567">
        <w:rPr>
          <w:sz w:val="28"/>
          <w:szCs w:val="28"/>
        </w:rPr>
        <w:t>Atentamente,</w:t>
      </w:r>
    </w:p>
    <w:p w14:paraId="3A873C20" w14:textId="711A78E1" w:rsidR="00845CDD" w:rsidRDefault="00845CDD" w:rsidP="00845CDD">
      <w:pPr>
        <w:pStyle w:val="Textoindependiente"/>
        <w:ind w:right="49"/>
        <w:rPr>
          <w:sz w:val="28"/>
          <w:szCs w:val="28"/>
        </w:rPr>
      </w:pPr>
    </w:p>
    <w:p w14:paraId="1F9C471A" w14:textId="4960718F" w:rsidR="00845CDD" w:rsidRDefault="00845CDD" w:rsidP="00845CDD">
      <w:pPr>
        <w:pStyle w:val="Textoindependiente"/>
        <w:ind w:right="49"/>
        <w:rPr>
          <w:sz w:val="28"/>
          <w:szCs w:val="28"/>
        </w:rPr>
      </w:pPr>
    </w:p>
    <w:p w14:paraId="13F14EDF" w14:textId="2B6B8546" w:rsidR="00845CDD" w:rsidRDefault="00845CDD" w:rsidP="00845CDD">
      <w:pPr>
        <w:pStyle w:val="Textoindependiente"/>
        <w:ind w:right="49"/>
        <w:rPr>
          <w:sz w:val="28"/>
          <w:szCs w:val="28"/>
        </w:rPr>
      </w:pPr>
    </w:p>
    <w:p w14:paraId="56E4941D" w14:textId="1A12F388" w:rsidR="00845CDD" w:rsidRDefault="00845CDD" w:rsidP="00845CDD">
      <w:pPr>
        <w:pStyle w:val="Textoindependiente"/>
        <w:ind w:right="49"/>
        <w:rPr>
          <w:sz w:val="28"/>
          <w:szCs w:val="28"/>
        </w:rPr>
      </w:pPr>
    </w:p>
    <w:p w14:paraId="354D2A7E" w14:textId="77777777" w:rsidR="003E1D1C" w:rsidRDefault="003E1D1C" w:rsidP="003E1D1C">
      <w:pPr>
        <w:pStyle w:val="Textoindependiente"/>
        <w:jc w:val="center"/>
        <w:rPr>
          <w:i/>
          <w:iCs/>
        </w:rPr>
      </w:pPr>
      <w:r>
        <w:rPr>
          <w:i/>
          <w:iCs/>
        </w:rPr>
        <w:t>Original firmado</w:t>
      </w:r>
    </w:p>
    <w:p w14:paraId="64155776" w14:textId="21C92668" w:rsidR="00845CDD" w:rsidRDefault="00845CDD" w:rsidP="00845CDD">
      <w:pPr>
        <w:pStyle w:val="Textoindependiente"/>
        <w:ind w:right="49"/>
        <w:rPr>
          <w:sz w:val="28"/>
          <w:szCs w:val="28"/>
        </w:rPr>
      </w:pPr>
    </w:p>
    <w:p w14:paraId="3CD323C5" w14:textId="77777777" w:rsidR="00845CDD" w:rsidRPr="00B54567" w:rsidRDefault="00845CDD" w:rsidP="00845CDD">
      <w:pPr>
        <w:pStyle w:val="Textoindependiente"/>
        <w:ind w:right="49"/>
        <w:rPr>
          <w:b/>
        </w:rPr>
      </w:pPr>
    </w:p>
    <w:p w14:paraId="2F895735" w14:textId="77777777" w:rsidR="00E751F9" w:rsidRPr="00B54567" w:rsidRDefault="00E751F9" w:rsidP="00E751F9">
      <w:pPr>
        <w:ind w:left="-567"/>
        <w:jc w:val="center"/>
        <w:rPr>
          <w:b/>
          <w:sz w:val="24"/>
          <w:szCs w:val="24"/>
        </w:rPr>
      </w:pPr>
      <w:r w:rsidRPr="00B54567">
        <w:rPr>
          <w:b/>
          <w:sz w:val="24"/>
          <w:szCs w:val="24"/>
        </w:rPr>
        <w:t>VICTOR ANDRÉS TOVAR TRUJILLO</w:t>
      </w:r>
    </w:p>
    <w:p w14:paraId="42E3493F" w14:textId="77777777" w:rsidR="00E751F9" w:rsidRPr="00B54567" w:rsidRDefault="00E751F9" w:rsidP="00E751F9">
      <w:pPr>
        <w:ind w:left="-567"/>
        <w:jc w:val="center"/>
        <w:rPr>
          <w:b/>
          <w:sz w:val="24"/>
        </w:rPr>
      </w:pPr>
      <w:r w:rsidRPr="00B54567">
        <w:rPr>
          <w:b/>
          <w:sz w:val="24"/>
          <w:szCs w:val="24"/>
        </w:rPr>
        <w:t>Secretario General</w:t>
      </w:r>
      <w:r w:rsidRPr="00B54567">
        <w:rPr>
          <w:b/>
          <w:sz w:val="24"/>
        </w:rPr>
        <w:t xml:space="preserve"> </w:t>
      </w:r>
    </w:p>
    <w:p w14:paraId="247DCA2F" w14:textId="77777777" w:rsidR="00E751F9" w:rsidRPr="00B54567" w:rsidRDefault="00E751F9" w:rsidP="00E751F9">
      <w:pPr>
        <w:ind w:left="2268" w:right="2640"/>
        <w:jc w:val="center"/>
        <w:rPr>
          <w:b/>
          <w:sz w:val="24"/>
        </w:rPr>
      </w:pPr>
      <w:r w:rsidRPr="00B54567">
        <w:rPr>
          <w:b/>
          <w:sz w:val="24"/>
        </w:rPr>
        <w:t xml:space="preserve">Comisión Legal de Cuentas </w:t>
      </w:r>
    </w:p>
    <w:p w14:paraId="08C22DD1" w14:textId="77777777" w:rsidR="00E751F9" w:rsidRPr="00B54567" w:rsidRDefault="00E751F9" w:rsidP="00E751F9">
      <w:pPr>
        <w:ind w:left="2268" w:right="2640"/>
        <w:jc w:val="center"/>
        <w:rPr>
          <w:b/>
          <w:sz w:val="24"/>
        </w:rPr>
      </w:pPr>
      <w:r w:rsidRPr="00B54567">
        <w:rPr>
          <w:b/>
          <w:sz w:val="24"/>
        </w:rPr>
        <w:t>Cámara de Representantes</w:t>
      </w:r>
    </w:p>
    <w:p w14:paraId="1C645C02" w14:textId="77777777" w:rsidR="00E751F9" w:rsidRPr="00B54567" w:rsidRDefault="00E751F9" w:rsidP="00E751F9">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512A6B3A" w14:textId="77777777" w:rsidR="00E751F9" w:rsidRDefault="00E751F9" w:rsidP="00E751F9">
      <w:pPr>
        <w:ind w:left="1411" w:right="1900"/>
        <w:jc w:val="center"/>
        <w:rPr>
          <w:b/>
          <w:sz w:val="24"/>
        </w:rPr>
      </w:pPr>
      <w:r w:rsidRPr="00B54567">
        <w:rPr>
          <w:b/>
          <w:sz w:val="24"/>
        </w:rPr>
        <w:t>Bogotá D.C.</w:t>
      </w:r>
      <w:r>
        <w:rPr>
          <w:b/>
          <w:sz w:val="24"/>
        </w:rPr>
        <w:t xml:space="preserve"> </w:t>
      </w:r>
    </w:p>
    <w:p w14:paraId="63607A3E" w14:textId="77777777" w:rsidR="00E751F9" w:rsidRDefault="00E751F9" w:rsidP="00E751F9">
      <w:pPr>
        <w:ind w:left="1411" w:right="1900"/>
        <w:jc w:val="center"/>
        <w:rPr>
          <w:b/>
          <w:sz w:val="24"/>
        </w:rPr>
      </w:pPr>
    </w:p>
    <w:p w14:paraId="073E8521" w14:textId="77777777" w:rsidR="00E751F9" w:rsidRDefault="00E751F9" w:rsidP="00E751F9">
      <w:pPr>
        <w:ind w:left="1411" w:right="1900"/>
        <w:jc w:val="center"/>
        <w:rPr>
          <w:b/>
          <w:sz w:val="24"/>
        </w:rPr>
      </w:pPr>
    </w:p>
    <w:bookmarkEnd w:id="7"/>
    <w:p w14:paraId="0485E5FC" w14:textId="77777777" w:rsidR="00E751F9" w:rsidRPr="00F07556" w:rsidRDefault="00E751F9" w:rsidP="00E751F9">
      <w:pPr>
        <w:rPr>
          <w:b/>
          <w:bCs/>
          <w:sz w:val="24"/>
          <w:szCs w:val="24"/>
        </w:rPr>
      </w:pPr>
    </w:p>
    <w:p w14:paraId="2E29FD61" w14:textId="77777777" w:rsidR="00E751F9" w:rsidRPr="007A08F1" w:rsidRDefault="00E751F9" w:rsidP="007A08F1"/>
    <w:sectPr w:rsidR="00E751F9" w:rsidRPr="007A08F1" w:rsidSect="00343CF3">
      <w:footerReference w:type="default" r:id="rId2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17BD" w14:textId="77777777" w:rsidR="007B7D68" w:rsidRDefault="007B7D68" w:rsidP="00EE11A4">
      <w:r>
        <w:separator/>
      </w:r>
    </w:p>
  </w:endnote>
  <w:endnote w:type="continuationSeparator" w:id="0">
    <w:p w14:paraId="144354CD" w14:textId="77777777" w:rsidR="007B7D68" w:rsidRDefault="007B7D68" w:rsidP="00EE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463353"/>
      <w:docPartObj>
        <w:docPartGallery w:val="Page Numbers (Bottom of Page)"/>
        <w:docPartUnique/>
      </w:docPartObj>
    </w:sdtPr>
    <w:sdtEndPr/>
    <w:sdtContent>
      <w:p w14:paraId="26F5242E" w14:textId="6E68BDED" w:rsidR="00EE11A4" w:rsidRDefault="00EE11A4">
        <w:pPr>
          <w:pStyle w:val="Piedepgina"/>
          <w:jc w:val="center"/>
        </w:pPr>
        <w:r>
          <w:fldChar w:fldCharType="begin"/>
        </w:r>
        <w:r>
          <w:instrText>PAGE   \* MERGEFORMAT</w:instrText>
        </w:r>
        <w:r>
          <w:fldChar w:fldCharType="separate"/>
        </w:r>
        <w:r>
          <w:t>2</w:t>
        </w:r>
        <w:r>
          <w:fldChar w:fldCharType="end"/>
        </w:r>
      </w:p>
    </w:sdtContent>
  </w:sdt>
  <w:p w14:paraId="640C2EE7" w14:textId="77777777" w:rsidR="00EE11A4" w:rsidRDefault="00EE11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D5CC" w14:textId="77777777" w:rsidR="007B7D68" w:rsidRDefault="007B7D68" w:rsidP="00EE11A4">
      <w:r>
        <w:separator/>
      </w:r>
    </w:p>
  </w:footnote>
  <w:footnote w:type="continuationSeparator" w:id="0">
    <w:p w14:paraId="7E95AD02" w14:textId="77777777" w:rsidR="007B7D68" w:rsidRDefault="007B7D68" w:rsidP="00EE1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10902"/>
    <w:multiLevelType w:val="hybridMultilevel"/>
    <w:tmpl w:val="8148368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E100B36"/>
    <w:multiLevelType w:val="hybridMultilevel"/>
    <w:tmpl w:val="75269A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3ED4DEA"/>
    <w:multiLevelType w:val="hybridMultilevel"/>
    <w:tmpl w:val="34A065CA"/>
    <w:lvl w:ilvl="0" w:tplc="C4940C90">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9535F19"/>
    <w:multiLevelType w:val="hybridMultilevel"/>
    <w:tmpl w:val="7EEE14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501B0"/>
    <w:rsid w:val="001F1E97"/>
    <w:rsid w:val="0022366E"/>
    <w:rsid w:val="00274EA6"/>
    <w:rsid w:val="00293A2D"/>
    <w:rsid w:val="002A5676"/>
    <w:rsid w:val="002B5E0A"/>
    <w:rsid w:val="00343CF3"/>
    <w:rsid w:val="003E1D1C"/>
    <w:rsid w:val="004B6160"/>
    <w:rsid w:val="004F6DE5"/>
    <w:rsid w:val="00567589"/>
    <w:rsid w:val="005F6830"/>
    <w:rsid w:val="006D1729"/>
    <w:rsid w:val="007701BE"/>
    <w:rsid w:val="007A08F1"/>
    <w:rsid w:val="007A14D9"/>
    <w:rsid w:val="007B6FFD"/>
    <w:rsid w:val="007B7D68"/>
    <w:rsid w:val="00845CDD"/>
    <w:rsid w:val="009F68D9"/>
    <w:rsid w:val="00C97D4D"/>
    <w:rsid w:val="00D059DB"/>
    <w:rsid w:val="00E751F9"/>
    <w:rsid w:val="00E76114"/>
    <w:rsid w:val="00EB1518"/>
    <w:rsid w:val="00EE11A4"/>
    <w:rsid w:val="00EF05C1"/>
    <w:rsid w:val="00F557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293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57197">
      <w:bodyDiv w:val="1"/>
      <w:marLeft w:val="0"/>
      <w:marRight w:val="0"/>
      <w:marTop w:val="0"/>
      <w:marBottom w:val="0"/>
      <w:divBdr>
        <w:top w:val="none" w:sz="0" w:space="0" w:color="auto"/>
        <w:left w:val="none" w:sz="0" w:space="0" w:color="auto"/>
        <w:bottom w:val="none" w:sz="0" w:space="0" w:color="auto"/>
        <w:right w:val="none" w:sz="0" w:space="0" w:color="auto"/>
      </w:divBdr>
    </w:div>
    <w:div w:id="832986263">
      <w:bodyDiv w:val="1"/>
      <w:marLeft w:val="0"/>
      <w:marRight w:val="0"/>
      <w:marTop w:val="0"/>
      <w:marBottom w:val="0"/>
      <w:divBdr>
        <w:top w:val="none" w:sz="0" w:space="0" w:color="auto"/>
        <w:left w:val="none" w:sz="0" w:space="0" w:color="auto"/>
        <w:bottom w:val="none" w:sz="0" w:space="0" w:color="auto"/>
        <w:right w:val="none" w:sz="0" w:space="0" w:color="auto"/>
      </w:divBdr>
    </w:div>
    <w:div w:id="2064088665">
      <w:bodyDiv w:val="1"/>
      <w:marLeft w:val="0"/>
      <w:marRight w:val="0"/>
      <w:marTop w:val="0"/>
      <w:marBottom w:val="0"/>
      <w:divBdr>
        <w:top w:val="none" w:sz="0" w:space="0" w:color="auto"/>
        <w:left w:val="none" w:sz="0" w:space="0" w:color="auto"/>
        <w:bottom w:val="none" w:sz="0" w:space="0" w:color="auto"/>
        <w:right w:val="none" w:sz="0" w:space="0" w:color="auto"/>
      </w:divBdr>
    </w:div>
    <w:div w:id="21308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mailto:comision.leg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spec.gov.co/wp-content/uploads/2018/11/A2-MA-02-%20Manual_-Calificacion-_del_Riesgo--probabilidad_de_Perdida_y_Reconocimiento_Contable_de_Procesos_Juridicos_V01.pdf"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yperlink" Target="mailto:fabian.trujillo@camara.gov.c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9990</Words>
  <Characters>54949</Characters>
  <Application>Microsoft Office Word</Application>
  <DocSecurity>0</DocSecurity>
  <Lines>457</Lines>
  <Paragraphs>129</Paragraphs>
  <ScaleCrop>false</ScaleCrop>
  <Company/>
  <LinksUpToDate>false</LinksUpToDate>
  <CharactersWithSpaces>64810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17</cp:revision>
  <cp:lastPrinted>2025-09-09T20:08:00Z</cp:lastPrinted>
  <dcterms:created xsi:type="dcterms:W3CDTF">2025-09-02T18:41:00Z</dcterms:created>
  <dcterms:modified xsi:type="dcterms:W3CDTF">2025-09-09T20:56:00Z</dcterms:modified>
</cp:coreProperties>
</file>