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4D" w:rsidRDefault="005A0B6A">
      <w:pPr>
        <w:spacing w:after="200"/>
        <w:jc w:val="both"/>
        <w:rPr>
          <w:sz w:val="24"/>
          <w:szCs w:val="24"/>
        </w:rPr>
      </w:pPr>
      <w:r>
        <w:rPr>
          <w:sz w:val="24"/>
          <w:szCs w:val="24"/>
        </w:rPr>
        <w:t xml:space="preserve">Bogotá D.C., </w:t>
      </w:r>
      <w:r w:rsidR="00BF6E08">
        <w:rPr>
          <w:sz w:val="24"/>
          <w:szCs w:val="24"/>
        </w:rPr>
        <w:t xml:space="preserve">septiembre </w:t>
      </w:r>
      <w:r w:rsidR="001D2111">
        <w:rPr>
          <w:sz w:val="24"/>
          <w:szCs w:val="24"/>
        </w:rPr>
        <w:t>2</w:t>
      </w:r>
      <w:r w:rsidR="005C3826">
        <w:rPr>
          <w:sz w:val="24"/>
          <w:szCs w:val="24"/>
        </w:rPr>
        <w:t>4</w:t>
      </w:r>
      <w:r>
        <w:rPr>
          <w:sz w:val="24"/>
          <w:szCs w:val="24"/>
        </w:rPr>
        <w:t xml:space="preserve"> de 2025</w:t>
      </w:r>
    </w:p>
    <w:p w:rsidR="00087F4D" w:rsidRDefault="005A0B6A">
      <w:pPr>
        <w:spacing w:after="200"/>
        <w:jc w:val="both"/>
        <w:rPr>
          <w:sz w:val="24"/>
          <w:szCs w:val="24"/>
        </w:rPr>
      </w:pPr>
      <w:r>
        <w:rPr>
          <w:sz w:val="24"/>
          <w:szCs w:val="24"/>
        </w:rPr>
        <w:t xml:space="preserve"> </w:t>
      </w:r>
    </w:p>
    <w:p w:rsidR="00087F4D" w:rsidRDefault="005A0B6A">
      <w:pPr>
        <w:jc w:val="both"/>
        <w:rPr>
          <w:sz w:val="24"/>
          <w:szCs w:val="24"/>
        </w:rPr>
      </w:pPr>
      <w:r>
        <w:rPr>
          <w:sz w:val="24"/>
          <w:szCs w:val="24"/>
        </w:rPr>
        <w:t>Doctor</w:t>
      </w:r>
    </w:p>
    <w:p w:rsidR="00087F4D" w:rsidRDefault="005A0B6A">
      <w:pPr>
        <w:jc w:val="both"/>
        <w:rPr>
          <w:b/>
          <w:sz w:val="24"/>
          <w:szCs w:val="24"/>
        </w:rPr>
      </w:pPr>
      <w:r>
        <w:rPr>
          <w:b/>
          <w:sz w:val="24"/>
          <w:szCs w:val="24"/>
        </w:rPr>
        <w:t>JAIME LUIS LACOUTURE PEÑALOZA</w:t>
      </w:r>
    </w:p>
    <w:p w:rsidR="00087F4D" w:rsidRDefault="005A0B6A">
      <w:pPr>
        <w:jc w:val="both"/>
        <w:rPr>
          <w:sz w:val="24"/>
          <w:szCs w:val="24"/>
        </w:rPr>
      </w:pPr>
      <w:r>
        <w:rPr>
          <w:sz w:val="24"/>
          <w:szCs w:val="24"/>
        </w:rPr>
        <w:t>Secretario General</w:t>
      </w:r>
    </w:p>
    <w:p w:rsidR="00087F4D" w:rsidRDefault="005A0B6A">
      <w:pPr>
        <w:jc w:val="both"/>
        <w:rPr>
          <w:sz w:val="24"/>
          <w:szCs w:val="24"/>
        </w:rPr>
      </w:pPr>
      <w:r>
        <w:rPr>
          <w:sz w:val="24"/>
          <w:szCs w:val="24"/>
        </w:rPr>
        <w:t>Cámara de Representantes</w:t>
      </w:r>
    </w:p>
    <w:p w:rsidR="00087F4D" w:rsidRDefault="005A0B6A">
      <w:pPr>
        <w:spacing w:after="200"/>
        <w:jc w:val="both"/>
        <w:rPr>
          <w:sz w:val="24"/>
          <w:szCs w:val="24"/>
        </w:rPr>
      </w:pPr>
      <w:r>
        <w:rPr>
          <w:sz w:val="24"/>
          <w:szCs w:val="24"/>
        </w:rPr>
        <w:t>Congreso de la República</w:t>
      </w:r>
    </w:p>
    <w:p w:rsidR="00087F4D" w:rsidRDefault="00087F4D">
      <w:pPr>
        <w:spacing w:after="200"/>
        <w:jc w:val="both"/>
        <w:rPr>
          <w:sz w:val="24"/>
          <w:szCs w:val="24"/>
        </w:rPr>
      </w:pPr>
    </w:p>
    <w:p w:rsidR="00087F4D" w:rsidRDefault="00087F4D">
      <w:pPr>
        <w:spacing w:after="200"/>
        <w:jc w:val="both"/>
        <w:rPr>
          <w:sz w:val="24"/>
          <w:szCs w:val="24"/>
        </w:rPr>
      </w:pPr>
    </w:p>
    <w:p w:rsidR="00087F4D" w:rsidRDefault="005A0B6A" w:rsidP="001D2111">
      <w:pPr>
        <w:spacing w:after="200"/>
        <w:ind w:left="2268" w:hanging="991"/>
        <w:jc w:val="both"/>
        <w:rPr>
          <w:i/>
          <w:sz w:val="24"/>
          <w:szCs w:val="24"/>
        </w:rPr>
      </w:pPr>
      <w:r>
        <w:rPr>
          <w:b/>
          <w:sz w:val="24"/>
          <w:szCs w:val="24"/>
        </w:rPr>
        <w:t>Asunto:</w:t>
      </w:r>
      <w:r>
        <w:rPr>
          <w:sz w:val="24"/>
          <w:szCs w:val="24"/>
        </w:rPr>
        <w:t xml:space="preserve"> Radicación del Proyecto de Ley “</w:t>
      </w:r>
      <w:r w:rsidR="001D2111" w:rsidRPr="001D2111">
        <w:rPr>
          <w:i/>
          <w:sz w:val="24"/>
          <w:szCs w:val="24"/>
        </w:rPr>
        <w:t>Por medio de la cual se reconoce la obesidad y el sobrepeso como enfermedades crónicas y se establecen lineamientos para su prevención, diagnóstico temprano, manejo integral y seguimiento, y se dictan otras disposiciones</w:t>
      </w:r>
      <w:r>
        <w:rPr>
          <w:i/>
          <w:sz w:val="24"/>
          <w:szCs w:val="24"/>
        </w:rPr>
        <w:t>”.</w:t>
      </w:r>
    </w:p>
    <w:p w:rsidR="00087F4D" w:rsidRDefault="00087F4D">
      <w:pPr>
        <w:spacing w:after="200"/>
        <w:ind w:left="2835"/>
        <w:jc w:val="both"/>
        <w:rPr>
          <w:sz w:val="24"/>
          <w:szCs w:val="24"/>
        </w:rPr>
      </w:pPr>
    </w:p>
    <w:p w:rsidR="00087F4D" w:rsidRDefault="005A0B6A">
      <w:pPr>
        <w:spacing w:after="200"/>
        <w:jc w:val="both"/>
        <w:rPr>
          <w:sz w:val="24"/>
          <w:szCs w:val="24"/>
        </w:rPr>
      </w:pPr>
      <w:r>
        <w:rPr>
          <w:sz w:val="24"/>
          <w:szCs w:val="24"/>
        </w:rPr>
        <w:t>Respetado Doctor:</w:t>
      </w:r>
    </w:p>
    <w:p w:rsidR="00087F4D" w:rsidRDefault="005A0B6A">
      <w:pPr>
        <w:spacing w:after="200"/>
        <w:jc w:val="both"/>
        <w:rPr>
          <w:sz w:val="24"/>
          <w:szCs w:val="24"/>
        </w:rPr>
      </w:pPr>
      <w:r>
        <w:rPr>
          <w:sz w:val="24"/>
          <w:szCs w:val="24"/>
        </w:rPr>
        <w:t xml:space="preserve">En cumplimiento de mi deber constitucional y legal, actuando en consecuencia con lo establecido por las disposiciones de los artículos 139 y 140 de la Ley 5ª de 1992, y en mi calidad de Congresista de la República de Colombia, me permito radicar ante su despacho el presente Proyecto de Ley para darle el trámite pertinente ante la Cámara de Representantes. </w:t>
      </w:r>
    </w:p>
    <w:p w:rsidR="00087F4D" w:rsidRDefault="005A0B6A">
      <w:pPr>
        <w:spacing w:after="200"/>
        <w:jc w:val="both"/>
        <w:rPr>
          <w:sz w:val="24"/>
          <w:szCs w:val="24"/>
        </w:rPr>
      </w:pPr>
      <w:r>
        <w:rPr>
          <w:sz w:val="24"/>
          <w:szCs w:val="24"/>
        </w:rPr>
        <w:t>Cordialmente,</w:t>
      </w:r>
    </w:p>
    <w:tbl>
      <w:tblPr>
        <w:tblStyle w:val="Tablaconcuadrcula"/>
        <w:tblW w:w="0" w:type="auto"/>
        <w:tblLook w:val="04A0" w:firstRow="1" w:lastRow="0" w:firstColumn="1" w:lastColumn="0" w:noHBand="0" w:noVBand="1"/>
      </w:tblPr>
      <w:tblGrid>
        <w:gridCol w:w="4675"/>
        <w:gridCol w:w="4675"/>
      </w:tblGrid>
      <w:tr w:rsidR="00BC1E82" w:rsidTr="00EC648B">
        <w:tc>
          <w:tcPr>
            <w:tcW w:w="4675" w:type="dxa"/>
          </w:tcPr>
          <w:p w:rsidR="00BC1E82" w:rsidRDefault="00BC1E82" w:rsidP="00EC648B">
            <w:pPr>
              <w:rPr>
                <w:b/>
                <w:szCs w:val="24"/>
              </w:rPr>
            </w:pPr>
          </w:p>
          <w:p w:rsidR="00BC1E82" w:rsidRDefault="00BC1E82" w:rsidP="00EC648B">
            <w:pPr>
              <w:rPr>
                <w:b/>
                <w:szCs w:val="24"/>
              </w:rPr>
            </w:pPr>
          </w:p>
          <w:p w:rsidR="00BC1E82" w:rsidRDefault="00BC1E82" w:rsidP="00EC648B">
            <w:pPr>
              <w:rPr>
                <w:b/>
                <w:szCs w:val="24"/>
              </w:rPr>
            </w:pPr>
          </w:p>
          <w:p w:rsidR="00BC1E82" w:rsidRDefault="00BC1E82" w:rsidP="00EC648B">
            <w:pPr>
              <w:rPr>
                <w:b/>
                <w:szCs w:val="24"/>
              </w:rPr>
            </w:pPr>
          </w:p>
          <w:p w:rsidR="00BC1E82" w:rsidRDefault="00BC1E82" w:rsidP="00EC648B">
            <w:pPr>
              <w:rPr>
                <w:b/>
                <w:szCs w:val="24"/>
              </w:rPr>
            </w:pPr>
          </w:p>
          <w:p w:rsidR="00BC1E82" w:rsidRPr="00BC1E82" w:rsidRDefault="00BC1E82" w:rsidP="00EC648B">
            <w:pPr>
              <w:rPr>
                <w:b/>
                <w:szCs w:val="24"/>
              </w:rPr>
            </w:pPr>
            <w:r w:rsidRPr="00BC1E82">
              <w:rPr>
                <w:b/>
                <w:szCs w:val="24"/>
              </w:rPr>
              <w:t>JUAN CAMILO LONDOÑO BARRERA</w:t>
            </w:r>
          </w:p>
          <w:p w:rsidR="00BC1E82" w:rsidRPr="00BC1E82" w:rsidRDefault="00BC1E82" w:rsidP="00EC648B">
            <w:pPr>
              <w:rPr>
                <w:sz w:val="20"/>
                <w:szCs w:val="24"/>
              </w:rPr>
            </w:pPr>
            <w:r w:rsidRPr="00BC1E82">
              <w:rPr>
                <w:sz w:val="20"/>
                <w:szCs w:val="24"/>
              </w:rPr>
              <w:t>Representante a la Cámara por Antioquia</w:t>
            </w:r>
          </w:p>
          <w:p w:rsidR="00BC1E82" w:rsidRPr="00BC1E82" w:rsidRDefault="00BC1E82" w:rsidP="00EC648B">
            <w:pPr>
              <w:rPr>
                <w:szCs w:val="24"/>
              </w:rPr>
            </w:pPr>
            <w:r w:rsidRPr="00BC1E82">
              <w:rPr>
                <w:sz w:val="20"/>
                <w:szCs w:val="24"/>
              </w:rPr>
              <w:t>Partido Alianza Verde</w:t>
            </w:r>
          </w:p>
        </w:tc>
        <w:tc>
          <w:tcPr>
            <w:tcW w:w="4675" w:type="dxa"/>
          </w:tcPr>
          <w:p w:rsidR="00BC1E82" w:rsidRDefault="00BC1E82" w:rsidP="00EC648B">
            <w:pPr>
              <w:spacing w:before="240" w:after="240"/>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bl>
    <w:p w:rsidR="00087F4D" w:rsidRDefault="005A0B6A">
      <w:pPr>
        <w:spacing w:after="200"/>
        <w:jc w:val="center"/>
        <w:rPr>
          <w:b/>
          <w:sz w:val="24"/>
          <w:szCs w:val="24"/>
        </w:rPr>
      </w:pPr>
      <w:r>
        <w:rPr>
          <w:b/>
          <w:sz w:val="24"/>
          <w:szCs w:val="24"/>
        </w:rPr>
        <w:lastRenderedPageBreak/>
        <w:t xml:space="preserve">PROYECTO DE LEY No. _____ DE 2025 </w:t>
      </w:r>
    </w:p>
    <w:p w:rsidR="00087F4D" w:rsidRDefault="005A0B6A">
      <w:pPr>
        <w:jc w:val="center"/>
        <w:rPr>
          <w:b/>
          <w:sz w:val="24"/>
          <w:szCs w:val="24"/>
        </w:rPr>
      </w:pPr>
      <w:r>
        <w:rPr>
          <w:b/>
          <w:sz w:val="24"/>
          <w:szCs w:val="24"/>
        </w:rPr>
        <w:t>“</w:t>
      </w:r>
      <w:r w:rsidR="001D2111" w:rsidRPr="001D2111">
        <w:rPr>
          <w:b/>
          <w:sz w:val="24"/>
          <w:szCs w:val="24"/>
        </w:rPr>
        <w:t>POR MEDIO DE LA CUAL SE RECONOCE LA OBESIDAD Y EL SOBREPESO COMO ENFERMEDADES CRÓNICAS Y SE ESTABLECEN LINEAMIENTOS PARA SU PREVENCIÓN, DIAGNÓSTICO TEMPRANO, MANEJO INTEGRAL Y SEGUIMIENTO, Y SE DICTAN OTRAS DISPOSICIONES</w:t>
      </w:r>
      <w:r>
        <w:rPr>
          <w:b/>
          <w:sz w:val="24"/>
          <w:szCs w:val="24"/>
        </w:rPr>
        <w:t>”</w:t>
      </w:r>
    </w:p>
    <w:p w:rsidR="00087F4D" w:rsidRDefault="00087F4D" w:rsidP="001D2111">
      <w:pPr>
        <w:spacing w:after="240"/>
        <w:jc w:val="center"/>
        <w:rPr>
          <w:b/>
          <w:sz w:val="24"/>
          <w:szCs w:val="24"/>
        </w:rPr>
      </w:pPr>
    </w:p>
    <w:p w:rsidR="00087F4D" w:rsidRDefault="005A0B6A">
      <w:pPr>
        <w:jc w:val="center"/>
        <w:rPr>
          <w:b/>
          <w:sz w:val="24"/>
          <w:szCs w:val="24"/>
        </w:rPr>
      </w:pPr>
      <w:r>
        <w:rPr>
          <w:b/>
          <w:sz w:val="24"/>
          <w:szCs w:val="24"/>
        </w:rPr>
        <w:t>El Congreso de Colombia,</w:t>
      </w:r>
    </w:p>
    <w:p w:rsidR="00087F4D" w:rsidRDefault="005A0B6A">
      <w:pPr>
        <w:jc w:val="center"/>
        <w:rPr>
          <w:b/>
          <w:sz w:val="24"/>
          <w:szCs w:val="24"/>
        </w:rPr>
      </w:pPr>
      <w:r>
        <w:rPr>
          <w:b/>
          <w:sz w:val="24"/>
          <w:szCs w:val="24"/>
        </w:rPr>
        <w:t>DECRETA</w:t>
      </w:r>
    </w:p>
    <w:p w:rsidR="00087F4D" w:rsidRDefault="00087F4D">
      <w:pPr>
        <w:spacing w:after="240"/>
        <w:jc w:val="both"/>
        <w:rPr>
          <w:b/>
          <w:sz w:val="24"/>
          <w:szCs w:val="24"/>
        </w:rPr>
      </w:pPr>
    </w:p>
    <w:p w:rsidR="00087F4D" w:rsidRDefault="00C15D41">
      <w:pPr>
        <w:spacing w:after="240"/>
        <w:jc w:val="center"/>
        <w:rPr>
          <w:b/>
          <w:sz w:val="24"/>
          <w:szCs w:val="24"/>
        </w:rPr>
      </w:pPr>
      <w:r>
        <w:rPr>
          <w:b/>
          <w:sz w:val="24"/>
          <w:szCs w:val="24"/>
        </w:rPr>
        <w:t xml:space="preserve">CAPÍTULO I </w:t>
      </w:r>
      <w:r>
        <w:rPr>
          <w:b/>
          <w:sz w:val="24"/>
          <w:szCs w:val="24"/>
        </w:rPr>
        <w:br/>
        <w:t xml:space="preserve">OBJETO, PRINCIPIOS Y DEFINICIONES </w:t>
      </w:r>
    </w:p>
    <w:p w:rsidR="00087F4D" w:rsidRDefault="005A0B6A">
      <w:pPr>
        <w:spacing w:after="240"/>
        <w:jc w:val="both"/>
        <w:rPr>
          <w:sz w:val="24"/>
          <w:szCs w:val="24"/>
        </w:rPr>
      </w:pPr>
      <w:r>
        <w:rPr>
          <w:b/>
          <w:sz w:val="24"/>
          <w:szCs w:val="24"/>
        </w:rPr>
        <w:t xml:space="preserve">Artículo 1. Objeto. </w:t>
      </w:r>
      <w:r>
        <w:rPr>
          <w:sz w:val="24"/>
          <w:szCs w:val="24"/>
        </w:rPr>
        <w:t xml:space="preserve">La presente Ley tiene por objeto el reconocimiento de la obesidad y el sobrepeso como enfermedades crónicas, multifactoriales, asociadas a determinantes sociales, psicológicos, culturales y ambientales, así como establecer lineamientos para su prevención, detección temprana, tratamiento integral y seguimiento, con enfoque de curso de vida, priorizando acciones de promoción de la salud y prevención de la enfermedad. </w:t>
      </w:r>
    </w:p>
    <w:p w:rsidR="00087F4D" w:rsidRDefault="005A0B6A">
      <w:pPr>
        <w:spacing w:after="240"/>
        <w:jc w:val="both"/>
        <w:rPr>
          <w:sz w:val="24"/>
          <w:szCs w:val="24"/>
        </w:rPr>
      </w:pPr>
      <w:r>
        <w:rPr>
          <w:b/>
          <w:sz w:val="24"/>
          <w:szCs w:val="24"/>
        </w:rPr>
        <w:t xml:space="preserve">Artículo 2. Definiciones. </w:t>
      </w:r>
      <w:r>
        <w:rPr>
          <w:sz w:val="24"/>
          <w:szCs w:val="24"/>
        </w:rPr>
        <w:t>Para efectos de la presente Ley se establecen las siguientes definiciones:</w:t>
      </w:r>
    </w:p>
    <w:p w:rsidR="00087F4D" w:rsidRPr="00576E42" w:rsidRDefault="00154E9F" w:rsidP="00B34C9F">
      <w:pPr>
        <w:numPr>
          <w:ilvl w:val="0"/>
          <w:numId w:val="6"/>
        </w:numPr>
        <w:spacing w:before="240"/>
        <w:ind w:left="426"/>
        <w:jc w:val="both"/>
        <w:rPr>
          <w:b/>
          <w:sz w:val="24"/>
          <w:szCs w:val="24"/>
        </w:rPr>
      </w:pPr>
      <w:hyperlink r:id="rId8">
        <w:r w:rsidR="005A0B6A" w:rsidRPr="00576E42">
          <w:rPr>
            <w:b/>
            <w:sz w:val="24"/>
            <w:szCs w:val="24"/>
          </w:rPr>
          <w:t>Obesidad sarcopénica</w:t>
        </w:r>
        <w:r w:rsidR="00576E42">
          <w:rPr>
            <w:b/>
            <w:sz w:val="24"/>
            <w:szCs w:val="24"/>
          </w:rPr>
          <w:t>.</w:t>
        </w:r>
      </w:hyperlink>
      <w:r w:rsidR="005A0B6A" w:rsidRPr="00576E42">
        <w:rPr>
          <w:b/>
          <w:sz w:val="24"/>
          <w:szCs w:val="24"/>
        </w:rPr>
        <w:t xml:space="preserve"> </w:t>
      </w:r>
      <w:r w:rsidR="005A0B6A" w:rsidRPr="00576E42">
        <w:rPr>
          <w:sz w:val="24"/>
          <w:szCs w:val="24"/>
        </w:rPr>
        <w:t>Condición que combina exceso de grasa corporal con pérdida de masa y fuerza muscular, lo que incrementa riesgos metabólicos, funcionales y de gravedad en enfermedades crónicas.</w:t>
      </w:r>
    </w:p>
    <w:p w:rsidR="00087F4D" w:rsidRPr="00576E42" w:rsidRDefault="00154E9F" w:rsidP="00B34C9F">
      <w:pPr>
        <w:numPr>
          <w:ilvl w:val="0"/>
          <w:numId w:val="6"/>
        </w:numPr>
        <w:ind w:left="426"/>
        <w:jc w:val="both"/>
        <w:rPr>
          <w:b/>
          <w:sz w:val="24"/>
          <w:szCs w:val="24"/>
        </w:rPr>
      </w:pPr>
      <w:hyperlink r:id="rId9">
        <w:r w:rsidR="005A0B6A" w:rsidRPr="00576E42">
          <w:rPr>
            <w:b/>
            <w:sz w:val="24"/>
            <w:szCs w:val="24"/>
          </w:rPr>
          <w:t>Riesgo nutricional</w:t>
        </w:r>
        <w:r w:rsidR="00576E42">
          <w:rPr>
            <w:b/>
            <w:sz w:val="24"/>
            <w:szCs w:val="24"/>
          </w:rPr>
          <w:t>.</w:t>
        </w:r>
      </w:hyperlink>
      <w:r w:rsidR="005A0B6A" w:rsidRPr="00576E42">
        <w:rPr>
          <w:b/>
          <w:sz w:val="24"/>
          <w:szCs w:val="24"/>
        </w:rPr>
        <w:t xml:space="preserve"> </w:t>
      </w:r>
      <w:r w:rsidR="005A0B6A" w:rsidRPr="00576E42">
        <w:rPr>
          <w:sz w:val="24"/>
          <w:szCs w:val="24"/>
        </w:rPr>
        <w:t>Probabilidad de un efecto adverso en la salud derivado de ingestas insuficientes o excesivas de nutrientes o sustancias bioactivas, considerando la magnitud del daño potencial.</w:t>
      </w:r>
      <w:r w:rsidR="005A0B6A" w:rsidRPr="00576E42">
        <w:rPr>
          <w:b/>
          <w:sz w:val="24"/>
          <w:szCs w:val="24"/>
        </w:rPr>
        <w:t xml:space="preserve"> </w:t>
      </w:r>
    </w:p>
    <w:p w:rsidR="00087F4D" w:rsidRPr="00576E42" w:rsidRDefault="00154E9F" w:rsidP="00B34C9F">
      <w:pPr>
        <w:numPr>
          <w:ilvl w:val="0"/>
          <w:numId w:val="6"/>
        </w:numPr>
        <w:ind w:left="426"/>
        <w:jc w:val="both"/>
        <w:rPr>
          <w:b/>
          <w:sz w:val="24"/>
          <w:szCs w:val="24"/>
        </w:rPr>
      </w:pPr>
      <w:hyperlink r:id="rId10">
        <w:r w:rsidR="005A0B6A" w:rsidRPr="00576E42">
          <w:rPr>
            <w:b/>
            <w:sz w:val="24"/>
            <w:szCs w:val="24"/>
          </w:rPr>
          <w:t>Acompañamiento psicosocial</w:t>
        </w:r>
        <w:r w:rsidR="00576E42">
          <w:rPr>
            <w:b/>
            <w:sz w:val="24"/>
            <w:szCs w:val="24"/>
          </w:rPr>
          <w:t>.</w:t>
        </w:r>
      </w:hyperlink>
      <w:r w:rsidR="005A0B6A" w:rsidRPr="00576E42">
        <w:rPr>
          <w:sz w:val="24"/>
          <w:szCs w:val="24"/>
        </w:rPr>
        <w:t xml:space="preserve"> Conjunto de servicios y procesos interdisciplinarios que buscan prevenir, mitigar o superar impactos emocionales, sociales y psicológicos asociados a la obesidad, incluyendo intervenci</w:t>
      </w:r>
      <w:r w:rsidR="00576E42">
        <w:rPr>
          <w:sz w:val="24"/>
          <w:szCs w:val="24"/>
        </w:rPr>
        <w:t>ones contra la estigmatización.</w:t>
      </w:r>
    </w:p>
    <w:p w:rsidR="00B34C9F" w:rsidRDefault="00154E9F" w:rsidP="00B34C9F">
      <w:pPr>
        <w:numPr>
          <w:ilvl w:val="0"/>
          <w:numId w:val="6"/>
        </w:numPr>
        <w:ind w:left="426"/>
        <w:jc w:val="both"/>
        <w:rPr>
          <w:b/>
          <w:sz w:val="24"/>
          <w:szCs w:val="24"/>
        </w:rPr>
      </w:pPr>
      <w:hyperlink r:id="rId11">
        <w:r w:rsidR="005A0B6A" w:rsidRPr="00576E42">
          <w:rPr>
            <w:b/>
            <w:sz w:val="24"/>
            <w:szCs w:val="24"/>
          </w:rPr>
          <w:t>Entornos saludables</w:t>
        </w:r>
      </w:hyperlink>
      <w:r w:rsidR="00576E42">
        <w:rPr>
          <w:b/>
          <w:sz w:val="24"/>
          <w:szCs w:val="24"/>
        </w:rPr>
        <w:t>.</w:t>
      </w:r>
      <w:r w:rsidR="005A0B6A">
        <w:rPr>
          <w:b/>
          <w:sz w:val="24"/>
          <w:szCs w:val="24"/>
        </w:rPr>
        <w:t xml:space="preserve"> </w:t>
      </w:r>
      <w:r w:rsidR="005A0B6A">
        <w:rPr>
          <w:sz w:val="24"/>
          <w:szCs w:val="24"/>
        </w:rPr>
        <w:t xml:space="preserve">Son espacios urbanos o rurales en los que transcurre la vida cotidiana, donde las personas interactúan entre ellas y con el ambiente que las rodea, generando condiciones para el desarrollo </w:t>
      </w:r>
      <w:r w:rsidR="00576E42">
        <w:rPr>
          <w:sz w:val="24"/>
          <w:szCs w:val="24"/>
        </w:rPr>
        <w:t>humano sustentable y sostenible</w:t>
      </w:r>
      <w:r w:rsidR="005A0B6A">
        <w:rPr>
          <w:sz w:val="24"/>
          <w:szCs w:val="24"/>
        </w:rPr>
        <w:t xml:space="preserve">. En ellos se promueve la apropiación y la participación social, la construcción de políticas públicas, el mejoramiento de los ambientes y la educación para la salud, </w:t>
      </w:r>
      <w:r w:rsidR="005A0B6A">
        <w:rPr>
          <w:sz w:val="24"/>
          <w:szCs w:val="24"/>
        </w:rPr>
        <w:lastRenderedPageBreak/>
        <w:t>contribuyendo al bienestar y mejoramiento de la calidad de vida de los individuos y de la comunidad.</w:t>
      </w:r>
    </w:p>
    <w:p w:rsidR="00B34C9F" w:rsidRDefault="00154E9F" w:rsidP="00B34C9F">
      <w:pPr>
        <w:numPr>
          <w:ilvl w:val="0"/>
          <w:numId w:val="6"/>
        </w:numPr>
        <w:ind w:left="426"/>
        <w:jc w:val="both"/>
        <w:rPr>
          <w:b/>
          <w:sz w:val="24"/>
          <w:szCs w:val="24"/>
        </w:rPr>
      </w:pPr>
      <w:hyperlink r:id="rId12">
        <w:r w:rsidR="005A0B6A" w:rsidRPr="00B34C9F">
          <w:rPr>
            <w:b/>
            <w:sz w:val="24"/>
            <w:szCs w:val="24"/>
          </w:rPr>
          <w:t>Vigilancia nutricional</w:t>
        </w:r>
        <w:r w:rsidR="00B34C9F">
          <w:rPr>
            <w:b/>
            <w:sz w:val="24"/>
            <w:szCs w:val="24"/>
          </w:rPr>
          <w:t>.</w:t>
        </w:r>
      </w:hyperlink>
      <w:r w:rsidR="005A0B6A" w:rsidRPr="00B34C9F">
        <w:rPr>
          <w:b/>
          <w:sz w:val="24"/>
          <w:szCs w:val="24"/>
        </w:rPr>
        <w:t xml:space="preserve"> </w:t>
      </w:r>
      <w:r w:rsidR="005A0B6A" w:rsidRPr="00B34C9F">
        <w:rPr>
          <w:sz w:val="24"/>
          <w:szCs w:val="24"/>
        </w:rPr>
        <w:t>Seguimiento sistemático de indicadores nutricionales y alimentarios (deficiencias, excesos) para suministrar información al sistema de salud y guiar intervenciones.</w:t>
      </w:r>
    </w:p>
    <w:p w:rsidR="00087F4D" w:rsidRPr="00B34C9F" w:rsidRDefault="00154E9F" w:rsidP="00B34C9F">
      <w:pPr>
        <w:numPr>
          <w:ilvl w:val="0"/>
          <w:numId w:val="6"/>
        </w:numPr>
        <w:ind w:left="426"/>
        <w:jc w:val="both"/>
        <w:rPr>
          <w:b/>
          <w:sz w:val="24"/>
          <w:szCs w:val="24"/>
        </w:rPr>
      </w:pPr>
      <w:hyperlink r:id="rId13">
        <w:r w:rsidR="005A0B6A" w:rsidRPr="00B34C9F">
          <w:rPr>
            <w:b/>
            <w:sz w:val="24"/>
            <w:szCs w:val="24"/>
          </w:rPr>
          <w:t>Salud metabólica</w:t>
        </w:r>
        <w:r w:rsidR="00B34C9F">
          <w:rPr>
            <w:b/>
            <w:sz w:val="24"/>
            <w:szCs w:val="24"/>
          </w:rPr>
          <w:t>.</w:t>
        </w:r>
      </w:hyperlink>
      <w:r w:rsidR="005A0B6A" w:rsidRPr="00B34C9F">
        <w:rPr>
          <w:b/>
          <w:sz w:val="24"/>
          <w:szCs w:val="24"/>
        </w:rPr>
        <w:t xml:space="preserve"> </w:t>
      </w:r>
      <w:r w:rsidR="005A0B6A" w:rsidRPr="00B34C9F">
        <w:rPr>
          <w:sz w:val="24"/>
          <w:szCs w:val="24"/>
        </w:rPr>
        <w:t>La salud metabólica se refiere a la forma en que nuestro cuerpo procesa y utiliza los nutrientes de los alimentos que consumimos. Una buena salud metabólica es esencial para mantener un peso saludable, prevenir enfermedades crónicas y tener energía y vitalidad.</w:t>
      </w:r>
    </w:p>
    <w:p w:rsidR="00087F4D" w:rsidRPr="00B34C9F" w:rsidRDefault="00087F4D">
      <w:pPr>
        <w:jc w:val="both"/>
        <w:rPr>
          <w:sz w:val="24"/>
          <w:szCs w:val="24"/>
        </w:rPr>
      </w:pPr>
    </w:p>
    <w:p w:rsidR="00087F4D" w:rsidRDefault="005A0B6A">
      <w:pPr>
        <w:rPr>
          <w:sz w:val="24"/>
          <w:szCs w:val="24"/>
        </w:rPr>
      </w:pPr>
      <w:r w:rsidRPr="00B34C9F">
        <w:rPr>
          <w:b/>
          <w:sz w:val="24"/>
          <w:szCs w:val="24"/>
        </w:rPr>
        <w:t xml:space="preserve">Artículo 3. Principios. </w:t>
      </w:r>
      <w:r w:rsidRPr="00B34C9F">
        <w:rPr>
          <w:sz w:val="24"/>
          <w:szCs w:val="24"/>
        </w:rPr>
        <w:t xml:space="preserve">La implementación de la presente ley se regirá bajo los siguientes principios: </w:t>
      </w:r>
    </w:p>
    <w:p w:rsidR="00B34C9F" w:rsidRPr="00B34C9F" w:rsidRDefault="00B34C9F">
      <w:pPr>
        <w:rPr>
          <w:b/>
          <w:sz w:val="24"/>
          <w:szCs w:val="24"/>
        </w:rPr>
      </w:pPr>
    </w:p>
    <w:p w:rsidR="00087F4D" w:rsidRPr="00B34C9F" w:rsidRDefault="00154E9F" w:rsidP="00B34C9F">
      <w:pPr>
        <w:numPr>
          <w:ilvl w:val="0"/>
          <w:numId w:val="5"/>
        </w:numPr>
        <w:ind w:left="426"/>
        <w:jc w:val="both"/>
        <w:rPr>
          <w:b/>
          <w:sz w:val="24"/>
          <w:szCs w:val="24"/>
        </w:rPr>
      </w:pPr>
      <w:hyperlink r:id="rId14">
        <w:r w:rsidR="005A0B6A" w:rsidRPr="00B34C9F">
          <w:rPr>
            <w:b/>
            <w:sz w:val="24"/>
            <w:szCs w:val="24"/>
          </w:rPr>
          <w:t>Integralidad</w:t>
        </w:r>
        <w:r w:rsidR="00B34C9F">
          <w:rPr>
            <w:b/>
            <w:sz w:val="24"/>
            <w:szCs w:val="24"/>
          </w:rPr>
          <w:t>.</w:t>
        </w:r>
      </w:hyperlink>
      <w:r w:rsidR="005A0B6A" w:rsidRPr="00B34C9F">
        <w:rPr>
          <w:b/>
          <w:sz w:val="24"/>
          <w:szCs w:val="24"/>
        </w:rPr>
        <w:t xml:space="preserve"> </w:t>
      </w:r>
      <w:r w:rsidR="005A0B6A" w:rsidRPr="00B34C9F">
        <w:rPr>
          <w:sz w:val="24"/>
          <w:szCs w:val="24"/>
        </w:rPr>
        <w:t xml:space="preserve">Los servicios y tecnologías de salud deberán ser suministrados de manera completa para prevenir, paliar o curar la enfermedad, con independencia del origen de la enfermedad o condición de salud, del sistema de provisión, cubrimiento o financiación definido por el legislador. No podrá fragmentarse la responsabilidad en la prestación de un servicio de salud específico en desmedro de la salud del </w:t>
      </w:r>
      <w:r w:rsidR="00B34C9F" w:rsidRPr="00B34C9F">
        <w:rPr>
          <w:sz w:val="24"/>
          <w:szCs w:val="24"/>
        </w:rPr>
        <w:t>usuario. En</w:t>
      </w:r>
      <w:r w:rsidR="005A0B6A" w:rsidRPr="00B34C9F">
        <w:rPr>
          <w:sz w:val="24"/>
          <w:szCs w:val="24"/>
        </w:rPr>
        <w:t xml:space="preserve">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rsidR="00087F4D" w:rsidRPr="00B34C9F" w:rsidRDefault="00154E9F" w:rsidP="00B34C9F">
      <w:pPr>
        <w:numPr>
          <w:ilvl w:val="0"/>
          <w:numId w:val="5"/>
        </w:numPr>
        <w:ind w:left="426"/>
        <w:jc w:val="both"/>
        <w:rPr>
          <w:b/>
          <w:sz w:val="24"/>
          <w:szCs w:val="24"/>
        </w:rPr>
      </w:pPr>
      <w:hyperlink r:id="rId15">
        <w:r w:rsidR="005A0B6A" w:rsidRPr="00B34C9F">
          <w:rPr>
            <w:b/>
            <w:sz w:val="24"/>
            <w:szCs w:val="24"/>
          </w:rPr>
          <w:t>Equidad en salud</w:t>
        </w:r>
        <w:r w:rsidR="00B34C9F">
          <w:rPr>
            <w:b/>
            <w:sz w:val="24"/>
            <w:szCs w:val="24"/>
          </w:rPr>
          <w:t>.</w:t>
        </w:r>
        <w:r w:rsidR="005A0B6A" w:rsidRPr="00B34C9F">
          <w:rPr>
            <w:b/>
            <w:sz w:val="24"/>
            <w:szCs w:val="24"/>
          </w:rPr>
          <w:t xml:space="preserve"> </w:t>
        </w:r>
      </w:hyperlink>
      <w:r w:rsidR="005A0B6A" w:rsidRPr="00B34C9F">
        <w:rPr>
          <w:sz w:val="24"/>
          <w:szCs w:val="24"/>
        </w:rPr>
        <w:t>Es la ausencia de diferencias injustas y evitables en salud entre grupos poblacionales, originadas por determinantes sociales, económicos o geográficos. Implica priorizar recursos y acciones hacia quienes más los necesitan, no tratar a todos por igual sino según sus necesidades. Es un componente</w:t>
      </w:r>
      <w:r w:rsidR="00B34C9F">
        <w:rPr>
          <w:sz w:val="24"/>
          <w:szCs w:val="24"/>
        </w:rPr>
        <w:t xml:space="preserve"> esencial de la justicia social.</w:t>
      </w:r>
    </w:p>
    <w:p w:rsidR="00B34C9F" w:rsidRDefault="00154E9F" w:rsidP="00B34C9F">
      <w:pPr>
        <w:numPr>
          <w:ilvl w:val="0"/>
          <w:numId w:val="5"/>
        </w:numPr>
        <w:ind w:left="426"/>
        <w:jc w:val="both"/>
        <w:rPr>
          <w:b/>
          <w:sz w:val="24"/>
          <w:szCs w:val="24"/>
        </w:rPr>
      </w:pPr>
      <w:hyperlink r:id="rId16">
        <w:r w:rsidR="005A0B6A" w:rsidRPr="00B34C9F">
          <w:rPr>
            <w:b/>
            <w:sz w:val="24"/>
            <w:szCs w:val="24"/>
          </w:rPr>
          <w:t>Intersectorialidad</w:t>
        </w:r>
        <w:r w:rsidR="00B34C9F">
          <w:rPr>
            <w:b/>
            <w:sz w:val="24"/>
            <w:szCs w:val="24"/>
          </w:rPr>
          <w:t>.</w:t>
        </w:r>
      </w:hyperlink>
      <w:r w:rsidR="00B34C9F">
        <w:rPr>
          <w:b/>
          <w:sz w:val="24"/>
          <w:szCs w:val="24"/>
        </w:rPr>
        <w:t xml:space="preserve"> </w:t>
      </w:r>
      <w:r w:rsidR="005A0B6A">
        <w:rPr>
          <w:sz w:val="24"/>
          <w:szCs w:val="24"/>
        </w:rPr>
        <w:t>Consiste en la colaboración estructurada entre diferentes sectores y entidades (como salud, educación, transporte, ambiente, planeación territorial, etc.) para generar entornos saludables. Se concreta a través de acciones conjuntas que integran políticas públicas y servicios, clave en la prevención de enfermedades como la obesidad.</w:t>
      </w:r>
    </w:p>
    <w:p w:rsidR="00B34C9F" w:rsidRPr="00B34C9F" w:rsidRDefault="00154E9F" w:rsidP="00B34C9F">
      <w:pPr>
        <w:numPr>
          <w:ilvl w:val="0"/>
          <w:numId w:val="5"/>
        </w:numPr>
        <w:ind w:left="426"/>
        <w:jc w:val="both"/>
        <w:rPr>
          <w:b/>
          <w:sz w:val="24"/>
          <w:szCs w:val="24"/>
        </w:rPr>
      </w:pPr>
      <w:hyperlink r:id="rId17">
        <w:r w:rsidR="005A0B6A" w:rsidRPr="00B34C9F">
          <w:rPr>
            <w:b/>
            <w:sz w:val="24"/>
            <w:szCs w:val="24"/>
          </w:rPr>
          <w:t>Participación comunitaria y familiar</w:t>
        </w:r>
        <w:r w:rsidR="00B34C9F">
          <w:rPr>
            <w:b/>
            <w:sz w:val="24"/>
            <w:szCs w:val="24"/>
          </w:rPr>
          <w:t>.</w:t>
        </w:r>
        <w:r w:rsidR="005A0B6A" w:rsidRPr="00B34C9F">
          <w:rPr>
            <w:b/>
            <w:sz w:val="24"/>
            <w:szCs w:val="24"/>
          </w:rPr>
          <w:t xml:space="preserve"> </w:t>
        </w:r>
      </w:hyperlink>
      <w:r w:rsidR="00B34C9F">
        <w:rPr>
          <w:sz w:val="24"/>
          <w:szCs w:val="24"/>
        </w:rPr>
        <w:t>E</w:t>
      </w:r>
      <w:r w:rsidR="005A0B6A" w:rsidRPr="00B34C9F">
        <w:rPr>
          <w:sz w:val="24"/>
          <w:szCs w:val="24"/>
        </w:rPr>
        <w:t>s el derecho que tienen las organizaciones comunitarias para participar en las decisiones de planeación, gestión, evaluación y veeduría en salud.</w:t>
      </w:r>
    </w:p>
    <w:p w:rsidR="00B34C9F" w:rsidRDefault="00154E9F" w:rsidP="00B34C9F">
      <w:pPr>
        <w:numPr>
          <w:ilvl w:val="0"/>
          <w:numId w:val="5"/>
        </w:numPr>
        <w:ind w:left="426"/>
        <w:jc w:val="both"/>
        <w:rPr>
          <w:b/>
          <w:sz w:val="24"/>
          <w:szCs w:val="24"/>
        </w:rPr>
      </w:pPr>
      <w:hyperlink r:id="rId18">
        <w:r w:rsidR="005A0B6A" w:rsidRPr="00B34C9F">
          <w:rPr>
            <w:b/>
            <w:sz w:val="24"/>
            <w:szCs w:val="24"/>
          </w:rPr>
          <w:t>Prevención</w:t>
        </w:r>
      </w:hyperlink>
      <w:r w:rsidR="005A0B6A" w:rsidRPr="00B34C9F">
        <w:rPr>
          <w:b/>
          <w:sz w:val="24"/>
          <w:szCs w:val="24"/>
        </w:rPr>
        <w:t xml:space="preserve"> de la salud</w:t>
      </w:r>
      <w:r w:rsidR="00B34C9F">
        <w:t xml:space="preserve">. </w:t>
      </w:r>
      <w:r w:rsidR="005A0B6A" w:rsidRPr="00B34C9F">
        <w:rPr>
          <w:sz w:val="24"/>
          <w:szCs w:val="24"/>
        </w:rPr>
        <w:t>Busca dotar a las poblaciones de los medios para mejorar la salud y reducir inequidades, interviniendo sobre los determinantes sociales de la salud. Ambas están articuladas en políticas públicas del Ministerio de Salud de Colombia.</w:t>
      </w:r>
    </w:p>
    <w:p w:rsidR="00B34C9F" w:rsidRPr="00B34C9F" w:rsidRDefault="005A0B6A" w:rsidP="00B34C9F">
      <w:pPr>
        <w:numPr>
          <w:ilvl w:val="0"/>
          <w:numId w:val="5"/>
        </w:numPr>
        <w:ind w:left="426"/>
        <w:jc w:val="both"/>
        <w:rPr>
          <w:b/>
          <w:sz w:val="24"/>
          <w:szCs w:val="24"/>
        </w:rPr>
      </w:pPr>
      <w:r w:rsidRPr="00B34C9F">
        <w:rPr>
          <w:b/>
          <w:sz w:val="24"/>
          <w:szCs w:val="24"/>
        </w:rPr>
        <w:lastRenderedPageBreak/>
        <w:t>Promoción de la salud</w:t>
      </w:r>
      <w:r w:rsidR="00B34C9F">
        <w:rPr>
          <w:b/>
          <w:sz w:val="24"/>
          <w:szCs w:val="24"/>
        </w:rPr>
        <w:t>.</w:t>
      </w:r>
      <w:r w:rsidRPr="00B34C9F">
        <w:rPr>
          <w:sz w:val="24"/>
          <w:szCs w:val="24"/>
        </w:rPr>
        <w:t xml:space="preserve"> Es el proceso que permite a las personas aumentar el control sobre su propia salud, mediante un enfoque participativo e intersectorial que moviliza a comunidades e instituciones para crear condiciones favorables.</w:t>
      </w:r>
    </w:p>
    <w:p w:rsidR="00B34C9F" w:rsidRPr="00B34C9F" w:rsidRDefault="00154E9F" w:rsidP="00B34C9F">
      <w:pPr>
        <w:numPr>
          <w:ilvl w:val="0"/>
          <w:numId w:val="5"/>
        </w:numPr>
        <w:ind w:left="426"/>
        <w:jc w:val="both"/>
        <w:rPr>
          <w:b/>
          <w:sz w:val="24"/>
          <w:szCs w:val="24"/>
        </w:rPr>
      </w:pPr>
      <w:hyperlink r:id="rId19">
        <w:r w:rsidR="005A0B6A" w:rsidRPr="00B34C9F">
          <w:rPr>
            <w:b/>
            <w:sz w:val="24"/>
            <w:szCs w:val="24"/>
          </w:rPr>
          <w:t>Enfoque diferencial</w:t>
        </w:r>
        <w:r w:rsidR="00B34C9F">
          <w:rPr>
            <w:b/>
            <w:sz w:val="24"/>
            <w:szCs w:val="24"/>
          </w:rPr>
          <w:t>.</w:t>
        </w:r>
      </w:hyperlink>
      <w:r w:rsidR="005A0B6A" w:rsidRPr="00B34C9F">
        <w:rPr>
          <w:sz w:val="24"/>
          <w:szCs w:val="24"/>
        </w:rPr>
        <w:t xml:space="preserve"> Reconoce que distintos grupos (según edad, género, etnia, ubicación, condición socioeconómica, etc.) tienen trayectorias y necesidades específicas. Implica adaptar las políticas de salud de manera diferenciada para lograr equidad.</w:t>
      </w:r>
    </w:p>
    <w:p w:rsidR="00087F4D" w:rsidRPr="00B34C9F" w:rsidRDefault="00154E9F" w:rsidP="00C15D41">
      <w:pPr>
        <w:numPr>
          <w:ilvl w:val="0"/>
          <w:numId w:val="5"/>
        </w:numPr>
        <w:spacing w:after="240"/>
        <w:ind w:left="426"/>
        <w:jc w:val="both"/>
        <w:rPr>
          <w:b/>
          <w:sz w:val="24"/>
          <w:szCs w:val="24"/>
        </w:rPr>
      </w:pPr>
      <w:hyperlink r:id="rId20">
        <w:r w:rsidR="005A0B6A" w:rsidRPr="00B34C9F">
          <w:rPr>
            <w:b/>
            <w:sz w:val="24"/>
            <w:szCs w:val="24"/>
          </w:rPr>
          <w:t>Enfoque de curso de vida</w:t>
        </w:r>
        <w:r w:rsidR="00C15D41">
          <w:rPr>
            <w:b/>
            <w:sz w:val="24"/>
            <w:szCs w:val="24"/>
          </w:rPr>
          <w:t>.</w:t>
        </w:r>
      </w:hyperlink>
      <w:r w:rsidR="005A0B6A" w:rsidRPr="00B34C9F">
        <w:rPr>
          <w:b/>
          <w:sz w:val="24"/>
          <w:szCs w:val="24"/>
        </w:rPr>
        <w:t xml:space="preserve"> </w:t>
      </w:r>
      <w:r w:rsidR="005A0B6A" w:rsidRPr="00B34C9F">
        <w:rPr>
          <w:sz w:val="24"/>
          <w:szCs w:val="24"/>
        </w:rPr>
        <w:t>Perspectiva que entiende la salud y el bienestar de las personas como el resultado de una interacción dinámica entre factores biológicos, sociales, ambientales y conductuales que se acumulan y se interrelacionan a lo largo de las distintas etapas de la vida, desde la gestación hasta la vejez. Este enfoque reconoce que las condiciones y experiencias tempranas influyen en los riesgos y oportunidades futuras, y que intervenciones oportunas en momentos clave pueden modificar trayectorias, reducir inequidades y promover un desarrollo integral y saludable en cada fase del ciclo vital.</w:t>
      </w:r>
    </w:p>
    <w:p w:rsidR="00087F4D" w:rsidRDefault="00087F4D">
      <w:pPr>
        <w:jc w:val="center"/>
        <w:rPr>
          <w:b/>
          <w:sz w:val="24"/>
          <w:szCs w:val="24"/>
        </w:rPr>
      </w:pPr>
    </w:p>
    <w:p w:rsidR="00087F4D" w:rsidRDefault="00C15D41">
      <w:pPr>
        <w:jc w:val="center"/>
        <w:rPr>
          <w:b/>
          <w:sz w:val="24"/>
          <w:szCs w:val="24"/>
        </w:rPr>
      </w:pPr>
      <w:r>
        <w:rPr>
          <w:b/>
          <w:sz w:val="24"/>
          <w:szCs w:val="24"/>
        </w:rPr>
        <w:t xml:space="preserve">CAPÍTULO II </w:t>
      </w:r>
    </w:p>
    <w:p w:rsidR="00087F4D" w:rsidRDefault="00C15D41">
      <w:pPr>
        <w:jc w:val="center"/>
        <w:rPr>
          <w:b/>
          <w:sz w:val="24"/>
          <w:szCs w:val="24"/>
        </w:rPr>
      </w:pPr>
      <w:r>
        <w:rPr>
          <w:b/>
          <w:sz w:val="24"/>
          <w:szCs w:val="24"/>
        </w:rPr>
        <w:t>LINEAMIENTOS PARA LA PREVENCIÓN Y EL MANEJO INTEGRAL</w:t>
      </w:r>
    </w:p>
    <w:p w:rsidR="00C15D41" w:rsidRDefault="00C15D41" w:rsidP="001D2111">
      <w:pPr>
        <w:jc w:val="center"/>
        <w:rPr>
          <w:b/>
          <w:sz w:val="24"/>
          <w:szCs w:val="24"/>
        </w:rPr>
      </w:pPr>
    </w:p>
    <w:p w:rsidR="00087F4D" w:rsidRDefault="005A0B6A">
      <w:pPr>
        <w:jc w:val="both"/>
        <w:rPr>
          <w:sz w:val="24"/>
          <w:szCs w:val="24"/>
        </w:rPr>
      </w:pPr>
      <w:r>
        <w:rPr>
          <w:b/>
          <w:sz w:val="24"/>
          <w:szCs w:val="24"/>
        </w:rPr>
        <w:t>Artículo 4. Enfoque integral</w:t>
      </w:r>
      <w:r w:rsidR="00C15D41">
        <w:rPr>
          <w:b/>
          <w:sz w:val="24"/>
          <w:szCs w:val="24"/>
        </w:rPr>
        <w:t>.</w:t>
      </w:r>
      <w:r>
        <w:rPr>
          <w:b/>
          <w:sz w:val="24"/>
          <w:szCs w:val="24"/>
        </w:rPr>
        <w:t xml:space="preserve"> </w:t>
      </w:r>
      <w:r>
        <w:rPr>
          <w:sz w:val="24"/>
          <w:szCs w:val="24"/>
        </w:rPr>
        <w:t>El abordaje del sobrepeso y la obesidad incluirá acciones en nutrición clínica, promoción de la actividad física, salud mental, acompañamiento psicosocial, educación alimentaria y creación de entornos saludables.</w:t>
      </w:r>
    </w:p>
    <w:p w:rsidR="00087F4D" w:rsidRDefault="005A0B6A">
      <w:pPr>
        <w:spacing w:before="240" w:after="240"/>
        <w:jc w:val="both"/>
        <w:rPr>
          <w:sz w:val="24"/>
          <w:szCs w:val="24"/>
        </w:rPr>
      </w:pPr>
      <w:r>
        <w:rPr>
          <w:b/>
          <w:sz w:val="24"/>
          <w:szCs w:val="24"/>
        </w:rPr>
        <w:t>Artículo 5. Entorno laboral</w:t>
      </w:r>
      <w:r w:rsidR="00C15D41">
        <w:rPr>
          <w:b/>
          <w:sz w:val="24"/>
          <w:szCs w:val="24"/>
        </w:rPr>
        <w:t>.</w:t>
      </w:r>
      <w:r>
        <w:rPr>
          <w:b/>
          <w:sz w:val="24"/>
          <w:szCs w:val="24"/>
        </w:rPr>
        <w:t xml:space="preserve"> </w:t>
      </w:r>
      <w:r>
        <w:rPr>
          <w:sz w:val="24"/>
          <w:szCs w:val="24"/>
        </w:rPr>
        <w:t>Las entidades públicas y privadas deberán promover programas de bienestar laboral que incluya pausas activas, alimentación balanceada y campañas educativas sobre salud nutricional y actividad física.</w:t>
      </w:r>
    </w:p>
    <w:p w:rsidR="00087F4D" w:rsidRDefault="005A0B6A">
      <w:pPr>
        <w:spacing w:before="240" w:after="240"/>
        <w:jc w:val="both"/>
        <w:rPr>
          <w:sz w:val="24"/>
          <w:szCs w:val="24"/>
        </w:rPr>
      </w:pPr>
      <w:r>
        <w:rPr>
          <w:b/>
          <w:sz w:val="24"/>
          <w:szCs w:val="24"/>
        </w:rPr>
        <w:t>Artículo 6. Entorno educativo</w:t>
      </w:r>
      <w:r w:rsidR="00C15D41">
        <w:rPr>
          <w:b/>
          <w:sz w:val="24"/>
          <w:szCs w:val="24"/>
        </w:rPr>
        <w:t>.</w:t>
      </w:r>
      <w:r>
        <w:rPr>
          <w:b/>
          <w:sz w:val="24"/>
          <w:szCs w:val="24"/>
        </w:rPr>
        <w:t xml:space="preserve"> </w:t>
      </w:r>
      <w:r>
        <w:rPr>
          <w:sz w:val="24"/>
          <w:szCs w:val="24"/>
        </w:rPr>
        <w:t>Las instituciones de educación básica, secundaria y media académica oficiales y privadas deberán garantizar programas de educación nutricional, actividad física diaria adecuada por grupo etario, oferta alimentaria saludable y acompañamiento psicosocial.</w:t>
      </w:r>
    </w:p>
    <w:p w:rsidR="00087F4D" w:rsidRDefault="005A0B6A">
      <w:pPr>
        <w:spacing w:before="240" w:after="240"/>
        <w:jc w:val="both"/>
        <w:rPr>
          <w:sz w:val="24"/>
          <w:szCs w:val="24"/>
        </w:rPr>
      </w:pPr>
      <w:r>
        <w:rPr>
          <w:b/>
          <w:sz w:val="24"/>
          <w:szCs w:val="24"/>
        </w:rPr>
        <w:t>Artículo 7. Participación comunitaria y familiar</w:t>
      </w:r>
      <w:r w:rsidR="00C15D41">
        <w:rPr>
          <w:b/>
          <w:sz w:val="24"/>
          <w:szCs w:val="24"/>
        </w:rPr>
        <w:t>.</w:t>
      </w:r>
      <w:r>
        <w:rPr>
          <w:b/>
          <w:sz w:val="24"/>
          <w:szCs w:val="24"/>
        </w:rPr>
        <w:t xml:space="preserve"> </w:t>
      </w:r>
      <w:r>
        <w:rPr>
          <w:sz w:val="24"/>
          <w:szCs w:val="24"/>
        </w:rPr>
        <w:t xml:space="preserve">El Gobierno </w:t>
      </w:r>
      <w:r w:rsidR="00C15D41">
        <w:rPr>
          <w:sz w:val="24"/>
          <w:szCs w:val="24"/>
        </w:rPr>
        <w:t>n</w:t>
      </w:r>
      <w:r>
        <w:rPr>
          <w:sz w:val="24"/>
          <w:szCs w:val="24"/>
        </w:rPr>
        <w:t>acional promoverá espacios comunitarios y familiares que fortalezcan la adopción de hábitos saludables, priorizando poblaciones vulnerables y en la primera infancia.</w:t>
      </w:r>
    </w:p>
    <w:p w:rsidR="00C15D41" w:rsidRDefault="00C15D41" w:rsidP="00BC1E82">
      <w:pPr>
        <w:spacing w:before="240"/>
        <w:jc w:val="both"/>
        <w:rPr>
          <w:sz w:val="24"/>
          <w:szCs w:val="24"/>
        </w:rPr>
      </w:pPr>
    </w:p>
    <w:p w:rsidR="00087F4D" w:rsidRDefault="00C15D41" w:rsidP="00C15D41">
      <w:pPr>
        <w:jc w:val="center"/>
        <w:rPr>
          <w:b/>
          <w:sz w:val="24"/>
          <w:szCs w:val="24"/>
        </w:rPr>
      </w:pPr>
      <w:r>
        <w:rPr>
          <w:b/>
          <w:sz w:val="24"/>
          <w:szCs w:val="24"/>
        </w:rPr>
        <w:t>CAPÍTULO III</w:t>
      </w:r>
    </w:p>
    <w:p w:rsidR="00087F4D" w:rsidRDefault="00C15D41" w:rsidP="00C15D41">
      <w:pPr>
        <w:jc w:val="center"/>
        <w:rPr>
          <w:b/>
          <w:sz w:val="24"/>
          <w:szCs w:val="24"/>
        </w:rPr>
      </w:pPr>
      <w:r>
        <w:rPr>
          <w:b/>
          <w:sz w:val="24"/>
          <w:szCs w:val="24"/>
        </w:rPr>
        <w:t>INSTRUMENTOS DE GESTIÓN Y VIGILANCIA</w:t>
      </w:r>
    </w:p>
    <w:p w:rsidR="00087F4D" w:rsidRDefault="005A0B6A">
      <w:pPr>
        <w:spacing w:before="240" w:after="240"/>
        <w:jc w:val="both"/>
        <w:rPr>
          <w:sz w:val="24"/>
          <w:szCs w:val="24"/>
        </w:rPr>
      </w:pPr>
      <w:r w:rsidRPr="001D2111">
        <w:rPr>
          <w:b/>
          <w:sz w:val="24"/>
          <w:szCs w:val="24"/>
        </w:rPr>
        <w:lastRenderedPageBreak/>
        <w:t>Artículo 11. Sistema Nacional de Vigilancia Nutricional</w:t>
      </w:r>
      <w:r w:rsidR="004834D9" w:rsidRPr="001D2111">
        <w:rPr>
          <w:b/>
          <w:sz w:val="24"/>
          <w:szCs w:val="24"/>
        </w:rPr>
        <w:t>.</w:t>
      </w:r>
      <w:r w:rsidRPr="001D2111">
        <w:rPr>
          <w:b/>
          <w:sz w:val="24"/>
          <w:szCs w:val="24"/>
        </w:rPr>
        <w:t xml:space="preserve"> </w:t>
      </w:r>
      <w:r w:rsidRPr="001D2111">
        <w:rPr>
          <w:sz w:val="24"/>
          <w:szCs w:val="24"/>
        </w:rPr>
        <w:t>Créase el Sistema Nacional de Evaluación y Vigilancia Nutricional, coordinado por el Ministerio de Salud y Protección Social, que articulará la información proveniente de la Encuesta Nacional de Situación Nutricional (ENSIN) y de registros territoriales, con periodicidad no mayor a cinco (5) años.</w:t>
      </w:r>
    </w:p>
    <w:p w:rsidR="00087F4D" w:rsidRDefault="005A0B6A">
      <w:pPr>
        <w:spacing w:before="240" w:after="240"/>
        <w:jc w:val="both"/>
        <w:rPr>
          <w:sz w:val="24"/>
          <w:szCs w:val="24"/>
        </w:rPr>
      </w:pPr>
      <w:r>
        <w:rPr>
          <w:b/>
          <w:sz w:val="24"/>
          <w:szCs w:val="24"/>
        </w:rPr>
        <w:t>Artículo 12. Lineamientos técnicos y guías clínicas</w:t>
      </w:r>
      <w:r w:rsidR="00F11647">
        <w:rPr>
          <w:b/>
          <w:sz w:val="24"/>
          <w:szCs w:val="24"/>
        </w:rPr>
        <w:t>.</w:t>
      </w:r>
      <w:r>
        <w:rPr>
          <w:b/>
          <w:sz w:val="24"/>
          <w:szCs w:val="24"/>
        </w:rPr>
        <w:t xml:space="preserve"> </w:t>
      </w:r>
      <w:r>
        <w:rPr>
          <w:sz w:val="24"/>
          <w:szCs w:val="24"/>
        </w:rPr>
        <w:t>El Ministerio de Salud y Protección Social actualizará periódicamente las guías de práctica clínica y protocolos de atención para el manejo del sobrepeso y la obesidad, incluyendo componentes nutricionales, psicológicos, farmacológicos, procedimientos e intervenciones clínicas y de actividad física.</w:t>
      </w:r>
    </w:p>
    <w:p w:rsidR="00087F4D" w:rsidRDefault="005A0B6A">
      <w:pPr>
        <w:spacing w:before="240" w:after="240"/>
        <w:jc w:val="both"/>
        <w:rPr>
          <w:sz w:val="24"/>
          <w:szCs w:val="24"/>
        </w:rPr>
      </w:pPr>
      <w:r>
        <w:rPr>
          <w:b/>
          <w:sz w:val="24"/>
          <w:szCs w:val="24"/>
        </w:rPr>
        <w:t>Parágrafo 1</w:t>
      </w:r>
      <w:r w:rsidR="00F11647">
        <w:rPr>
          <w:b/>
          <w:sz w:val="24"/>
          <w:szCs w:val="24"/>
        </w:rPr>
        <w:t>.</w:t>
      </w:r>
      <w:r>
        <w:rPr>
          <w:sz w:val="24"/>
          <w:szCs w:val="24"/>
        </w:rPr>
        <w:t xml:space="preserve"> Para la actualización de las guías, el Ministerio</w:t>
      </w:r>
      <w:r w:rsidR="00F11647">
        <w:rPr>
          <w:sz w:val="24"/>
          <w:szCs w:val="24"/>
        </w:rPr>
        <w:t xml:space="preserve"> de Salud y Protección Social</w:t>
      </w:r>
      <w:r>
        <w:rPr>
          <w:sz w:val="24"/>
          <w:szCs w:val="24"/>
        </w:rPr>
        <w:t xml:space="preserve"> podrá adoptar lineamientos avalados por la Organización Mundial de la Salud (OMS), la Organización Panamericana de la Salud (OPS) u otras agencias internacionales. </w:t>
      </w:r>
    </w:p>
    <w:p w:rsidR="00087F4D" w:rsidRDefault="005A0B6A">
      <w:pPr>
        <w:spacing w:before="240" w:after="240"/>
        <w:jc w:val="both"/>
        <w:rPr>
          <w:sz w:val="24"/>
          <w:szCs w:val="24"/>
        </w:rPr>
      </w:pPr>
      <w:r>
        <w:rPr>
          <w:b/>
          <w:sz w:val="24"/>
          <w:szCs w:val="24"/>
        </w:rPr>
        <w:t>Parágrafo 2</w:t>
      </w:r>
      <w:r w:rsidR="00F11647">
        <w:rPr>
          <w:b/>
          <w:sz w:val="24"/>
          <w:szCs w:val="24"/>
        </w:rPr>
        <w:t>.</w:t>
      </w:r>
      <w:r>
        <w:rPr>
          <w:sz w:val="24"/>
          <w:szCs w:val="24"/>
        </w:rPr>
        <w:t xml:space="preserve"> El periodo de actualización de dichas guías no podrá </w:t>
      </w:r>
      <w:r w:rsidR="00F11647">
        <w:rPr>
          <w:sz w:val="24"/>
          <w:szCs w:val="24"/>
        </w:rPr>
        <w:t>ser mayor de</w:t>
      </w:r>
      <w:r>
        <w:rPr>
          <w:sz w:val="24"/>
          <w:szCs w:val="24"/>
        </w:rPr>
        <w:t xml:space="preserve"> cinco (5) años.</w:t>
      </w:r>
    </w:p>
    <w:p w:rsidR="00087F4D" w:rsidRDefault="005A0B6A">
      <w:pPr>
        <w:spacing w:before="240" w:after="240"/>
        <w:jc w:val="both"/>
        <w:rPr>
          <w:sz w:val="24"/>
          <w:szCs w:val="24"/>
        </w:rPr>
      </w:pPr>
      <w:r>
        <w:rPr>
          <w:b/>
          <w:sz w:val="24"/>
          <w:szCs w:val="24"/>
        </w:rPr>
        <w:t>Artículo 13. Financiamiento</w:t>
      </w:r>
      <w:r w:rsidR="00F11647">
        <w:rPr>
          <w:b/>
          <w:sz w:val="24"/>
          <w:szCs w:val="24"/>
        </w:rPr>
        <w:t>.</w:t>
      </w:r>
      <w:r>
        <w:rPr>
          <w:b/>
          <w:sz w:val="24"/>
          <w:szCs w:val="24"/>
        </w:rPr>
        <w:t xml:space="preserve"> </w:t>
      </w:r>
      <w:r>
        <w:rPr>
          <w:sz w:val="24"/>
          <w:szCs w:val="24"/>
        </w:rPr>
        <w:t xml:space="preserve">El Gobierno </w:t>
      </w:r>
      <w:r w:rsidR="00F11647">
        <w:rPr>
          <w:sz w:val="24"/>
          <w:szCs w:val="24"/>
        </w:rPr>
        <w:t>n</w:t>
      </w:r>
      <w:r>
        <w:rPr>
          <w:sz w:val="24"/>
          <w:szCs w:val="24"/>
        </w:rPr>
        <w:t xml:space="preserve">acional garantizará los recursos para la implementación de la presente </w:t>
      </w:r>
      <w:r w:rsidR="00F11647">
        <w:rPr>
          <w:sz w:val="24"/>
          <w:szCs w:val="24"/>
        </w:rPr>
        <w:t>L</w:t>
      </w:r>
      <w:r>
        <w:rPr>
          <w:sz w:val="24"/>
          <w:szCs w:val="24"/>
        </w:rPr>
        <w:t>ey mediante el Presupuesto General de la Nación y podrá apalancarse en fuentes adicionales de cooperación internacional y alianzas público-privadas.</w:t>
      </w:r>
    </w:p>
    <w:p w:rsidR="00F11647" w:rsidRDefault="00F11647" w:rsidP="00F11647">
      <w:pPr>
        <w:spacing w:before="240"/>
        <w:jc w:val="both"/>
        <w:rPr>
          <w:sz w:val="24"/>
          <w:szCs w:val="24"/>
        </w:rPr>
      </w:pPr>
    </w:p>
    <w:p w:rsidR="00087F4D" w:rsidRDefault="00F11647" w:rsidP="00F11647">
      <w:pPr>
        <w:jc w:val="center"/>
        <w:rPr>
          <w:b/>
          <w:sz w:val="24"/>
          <w:szCs w:val="24"/>
        </w:rPr>
      </w:pPr>
      <w:r>
        <w:rPr>
          <w:b/>
          <w:sz w:val="24"/>
          <w:szCs w:val="24"/>
        </w:rPr>
        <w:t xml:space="preserve">CAPÍTULO IV </w:t>
      </w:r>
    </w:p>
    <w:p w:rsidR="00087F4D" w:rsidRDefault="00F11647" w:rsidP="00F11647">
      <w:pPr>
        <w:spacing w:after="240"/>
        <w:jc w:val="center"/>
        <w:rPr>
          <w:b/>
          <w:sz w:val="24"/>
          <w:szCs w:val="24"/>
        </w:rPr>
      </w:pPr>
      <w:r>
        <w:rPr>
          <w:b/>
          <w:sz w:val="24"/>
          <w:szCs w:val="24"/>
        </w:rPr>
        <w:t>ACCESO Y ATENCIÓN EN SALUD</w:t>
      </w:r>
    </w:p>
    <w:p w:rsidR="00087F4D" w:rsidRDefault="005A0B6A">
      <w:pPr>
        <w:spacing w:before="240" w:after="240"/>
        <w:jc w:val="both"/>
        <w:rPr>
          <w:sz w:val="24"/>
          <w:szCs w:val="24"/>
        </w:rPr>
      </w:pPr>
      <w:r>
        <w:rPr>
          <w:b/>
          <w:sz w:val="24"/>
          <w:szCs w:val="24"/>
        </w:rPr>
        <w:t>Artículo 14. Detección y diagnóstico temprano</w:t>
      </w:r>
      <w:r w:rsidR="00153C9D">
        <w:rPr>
          <w:b/>
          <w:sz w:val="24"/>
          <w:szCs w:val="24"/>
        </w:rPr>
        <w:t>.</w:t>
      </w:r>
      <w:r>
        <w:rPr>
          <w:b/>
          <w:sz w:val="24"/>
          <w:szCs w:val="24"/>
        </w:rPr>
        <w:t xml:space="preserve"> </w:t>
      </w:r>
      <w:r>
        <w:rPr>
          <w:sz w:val="24"/>
          <w:szCs w:val="24"/>
        </w:rPr>
        <w:t xml:space="preserve">El Ministerio de Salud </w:t>
      </w:r>
      <w:r w:rsidR="00153C9D">
        <w:rPr>
          <w:sz w:val="24"/>
          <w:szCs w:val="24"/>
        </w:rPr>
        <w:t xml:space="preserve">y Protección Social </w:t>
      </w:r>
      <w:r>
        <w:rPr>
          <w:sz w:val="24"/>
          <w:szCs w:val="24"/>
        </w:rPr>
        <w:t>establecerá lineamientos para el tamizaje obligatorio de sobrepeso y obesidad desde la primera infancia. Las EPS, IPS o las entidades que hagan sus veces y entidades territoriales deberán garantizar el seguimiento periódico, mínimo cada dos (2) años en adultos y anualmente en población infantil y adolescente.</w:t>
      </w:r>
    </w:p>
    <w:p w:rsidR="00087F4D" w:rsidRDefault="005A0B6A">
      <w:pPr>
        <w:spacing w:before="240" w:after="240"/>
        <w:jc w:val="both"/>
        <w:rPr>
          <w:sz w:val="24"/>
          <w:szCs w:val="24"/>
        </w:rPr>
      </w:pPr>
      <w:r>
        <w:rPr>
          <w:b/>
          <w:sz w:val="24"/>
          <w:szCs w:val="24"/>
        </w:rPr>
        <w:t>Artículo 15. Atención psicológica</w:t>
      </w:r>
      <w:r w:rsidR="00153C9D">
        <w:rPr>
          <w:b/>
          <w:sz w:val="24"/>
          <w:szCs w:val="24"/>
        </w:rPr>
        <w:t>.</w:t>
      </w:r>
      <w:r>
        <w:rPr>
          <w:b/>
          <w:sz w:val="24"/>
          <w:szCs w:val="24"/>
        </w:rPr>
        <w:t xml:space="preserve"> </w:t>
      </w:r>
      <w:r>
        <w:rPr>
          <w:sz w:val="24"/>
          <w:szCs w:val="24"/>
        </w:rPr>
        <w:t xml:space="preserve">El manejo integral del sobrepeso y la obesidad deberá garantizar acceso oportuno a terapias psicológicas basadas en evidencia y acompañamiento psicosocial continuo. </w:t>
      </w:r>
    </w:p>
    <w:p w:rsidR="00087F4D" w:rsidRDefault="005A0B6A">
      <w:pPr>
        <w:spacing w:before="240" w:after="240"/>
        <w:jc w:val="both"/>
        <w:rPr>
          <w:sz w:val="24"/>
          <w:szCs w:val="24"/>
        </w:rPr>
      </w:pPr>
      <w:r>
        <w:rPr>
          <w:b/>
          <w:sz w:val="24"/>
          <w:szCs w:val="24"/>
        </w:rPr>
        <w:t>Parágrafo</w:t>
      </w:r>
      <w:r w:rsidR="00153C9D">
        <w:rPr>
          <w:b/>
          <w:sz w:val="24"/>
          <w:szCs w:val="24"/>
        </w:rPr>
        <w:t>.</w:t>
      </w:r>
      <w:r>
        <w:rPr>
          <w:sz w:val="24"/>
          <w:szCs w:val="24"/>
        </w:rPr>
        <w:t xml:space="preserve"> Los programas de salud nacionales y territoriales que se formulen para el manejo integral del sobrepeso y la obesidad deberán </w:t>
      </w:r>
      <w:r w:rsidR="00153C9D">
        <w:rPr>
          <w:sz w:val="24"/>
          <w:szCs w:val="24"/>
        </w:rPr>
        <w:t>incluir</w:t>
      </w:r>
      <w:r>
        <w:rPr>
          <w:sz w:val="24"/>
          <w:szCs w:val="24"/>
        </w:rPr>
        <w:t xml:space="preserve"> estrategias de atención </w:t>
      </w:r>
      <w:r w:rsidR="00153C9D">
        <w:rPr>
          <w:sz w:val="24"/>
          <w:szCs w:val="24"/>
        </w:rPr>
        <w:lastRenderedPageBreak/>
        <w:t>psicológica</w:t>
      </w:r>
      <w:r>
        <w:rPr>
          <w:sz w:val="24"/>
          <w:szCs w:val="24"/>
        </w:rPr>
        <w:t xml:space="preserve"> para los pacientes </w:t>
      </w:r>
      <w:r w:rsidR="00153C9D">
        <w:rPr>
          <w:sz w:val="24"/>
          <w:szCs w:val="24"/>
        </w:rPr>
        <w:t>diagnosticados</w:t>
      </w:r>
      <w:r>
        <w:rPr>
          <w:sz w:val="24"/>
          <w:szCs w:val="24"/>
        </w:rPr>
        <w:t xml:space="preserve">, así como estrategias contra la estigmatización y discriminación de las personas con sobrepeso u obesidad. </w:t>
      </w:r>
    </w:p>
    <w:p w:rsidR="00087F4D" w:rsidRDefault="005A0B6A">
      <w:pPr>
        <w:spacing w:before="240" w:after="240"/>
        <w:jc w:val="both"/>
        <w:rPr>
          <w:sz w:val="24"/>
          <w:szCs w:val="24"/>
        </w:rPr>
      </w:pPr>
      <w:r>
        <w:rPr>
          <w:b/>
          <w:sz w:val="24"/>
          <w:szCs w:val="24"/>
        </w:rPr>
        <w:t>Artículo 16. Acceso a tratamientos</w:t>
      </w:r>
      <w:r w:rsidR="00153C9D">
        <w:rPr>
          <w:b/>
          <w:sz w:val="24"/>
          <w:szCs w:val="24"/>
        </w:rPr>
        <w:t>.</w:t>
      </w:r>
      <w:r>
        <w:rPr>
          <w:b/>
          <w:sz w:val="24"/>
          <w:szCs w:val="24"/>
        </w:rPr>
        <w:t xml:space="preserve"> </w:t>
      </w:r>
      <w:r w:rsidR="00153C9D">
        <w:rPr>
          <w:sz w:val="24"/>
          <w:szCs w:val="24"/>
        </w:rPr>
        <w:t>E</w:t>
      </w:r>
      <w:r>
        <w:rPr>
          <w:sz w:val="24"/>
          <w:szCs w:val="24"/>
        </w:rPr>
        <w:t xml:space="preserve">l Gobierno </w:t>
      </w:r>
      <w:r w:rsidR="00153C9D">
        <w:rPr>
          <w:sz w:val="24"/>
          <w:szCs w:val="24"/>
        </w:rPr>
        <w:t>n</w:t>
      </w:r>
      <w:r>
        <w:rPr>
          <w:sz w:val="24"/>
          <w:szCs w:val="24"/>
        </w:rPr>
        <w:t>acional garantizará el acceso a tecnologías en salud y tratamientos disponibles en el país y que se requieran para el manejo integral de la obesidad, respetando el principio de autonomía médica y procurando equidad en el acceso.</w:t>
      </w:r>
    </w:p>
    <w:p w:rsidR="00087F4D" w:rsidRDefault="005A0B6A">
      <w:pPr>
        <w:spacing w:before="240" w:after="240"/>
        <w:jc w:val="both"/>
        <w:rPr>
          <w:sz w:val="24"/>
          <w:szCs w:val="24"/>
        </w:rPr>
      </w:pPr>
      <w:r>
        <w:rPr>
          <w:b/>
          <w:sz w:val="24"/>
          <w:szCs w:val="24"/>
        </w:rPr>
        <w:t>Artículo 17. Prescripción de actividad física</w:t>
      </w:r>
      <w:r w:rsidR="00153C9D">
        <w:rPr>
          <w:b/>
          <w:sz w:val="24"/>
          <w:szCs w:val="24"/>
        </w:rPr>
        <w:t>.</w:t>
      </w:r>
      <w:r>
        <w:rPr>
          <w:b/>
          <w:sz w:val="24"/>
          <w:szCs w:val="24"/>
        </w:rPr>
        <w:t xml:space="preserve"> </w:t>
      </w:r>
      <w:r w:rsidR="00153C9D">
        <w:rPr>
          <w:sz w:val="24"/>
          <w:szCs w:val="24"/>
        </w:rPr>
        <w:t>E</w:t>
      </w:r>
      <w:r>
        <w:rPr>
          <w:sz w:val="24"/>
          <w:szCs w:val="24"/>
        </w:rPr>
        <w:t xml:space="preserve">n los planes de manejo prescritos para pacientes con sobrepeso y obesidad se deberá remitir al paciente con profesionales de la salud especialistas en deporte para su valoración y respectiva prescripción de actividad física. </w:t>
      </w:r>
    </w:p>
    <w:p w:rsidR="00087F4D" w:rsidRDefault="005A0B6A">
      <w:pPr>
        <w:spacing w:before="240" w:after="240"/>
        <w:jc w:val="both"/>
        <w:rPr>
          <w:sz w:val="24"/>
          <w:szCs w:val="24"/>
        </w:rPr>
      </w:pPr>
      <w:r>
        <w:rPr>
          <w:b/>
          <w:sz w:val="24"/>
          <w:szCs w:val="24"/>
        </w:rPr>
        <w:t>Parágrafo</w:t>
      </w:r>
      <w:r w:rsidR="00153C9D">
        <w:rPr>
          <w:b/>
          <w:sz w:val="24"/>
          <w:szCs w:val="24"/>
        </w:rPr>
        <w:t>.</w:t>
      </w:r>
      <w:r>
        <w:rPr>
          <w:sz w:val="24"/>
          <w:szCs w:val="24"/>
        </w:rPr>
        <w:t xml:space="preserve"> El Ministerio de Salud y Protección Social en coordinación con el Ministerio del Deporte, desarrollarán conjuntamente los lineamientos a que haya lugar para optimizar y garantizar la prescripción de actividad física como parte fundamental del manejo integral del sobrepeso y la obesidad. </w:t>
      </w:r>
    </w:p>
    <w:p w:rsidR="00153C9D" w:rsidRDefault="00153C9D" w:rsidP="00153C9D">
      <w:pPr>
        <w:spacing w:before="240"/>
        <w:jc w:val="both"/>
        <w:rPr>
          <w:sz w:val="24"/>
          <w:szCs w:val="24"/>
        </w:rPr>
      </w:pPr>
    </w:p>
    <w:p w:rsidR="00087F4D" w:rsidRDefault="005A0B6A" w:rsidP="00153C9D">
      <w:pPr>
        <w:jc w:val="center"/>
        <w:rPr>
          <w:b/>
          <w:sz w:val="24"/>
          <w:szCs w:val="24"/>
        </w:rPr>
      </w:pPr>
      <w:r>
        <w:rPr>
          <w:b/>
          <w:sz w:val="24"/>
          <w:szCs w:val="24"/>
        </w:rPr>
        <w:t>C</w:t>
      </w:r>
      <w:r w:rsidR="00153C9D">
        <w:rPr>
          <w:b/>
          <w:sz w:val="24"/>
          <w:szCs w:val="24"/>
        </w:rPr>
        <w:t>APÍTULO V</w:t>
      </w:r>
    </w:p>
    <w:p w:rsidR="00087F4D" w:rsidRDefault="00153C9D" w:rsidP="00153C9D">
      <w:pPr>
        <w:spacing w:after="240"/>
        <w:jc w:val="center"/>
        <w:rPr>
          <w:b/>
          <w:sz w:val="24"/>
          <w:szCs w:val="24"/>
        </w:rPr>
      </w:pPr>
      <w:r>
        <w:rPr>
          <w:b/>
          <w:sz w:val="24"/>
          <w:szCs w:val="24"/>
        </w:rPr>
        <w:t>ARTICULACIÓN INTERSECTORIAL Y DISPOSICIONES FINALES</w:t>
      </w:r>
    </w:p>
    <w:p w:rsidR="00087F4D" w:rsidRDefault="005A0B6A">
      <w:pPr>
        <w:spacing w:before="240" w:after="240"/>
        <w:jc w:val="both"/>
        <w:rPr>
          <w:sz w:val="24"/>
          <w:szCs w:val="24"/>
        </w:rPr>
      </w:pPr>
      <w:r>
        <w:rPr>
          <w:b/>
          <w:sz w:val="24"/>
          <w:szCs w:val="24"/>
        </w:rPr>
        <w:t>Artículo 17. Coordinación intersectorial</w:t>
      </w:r>
      <w:r w:rsidR="00153C9D">
        <w:rPr>
          <w:b/>
          <w:sz w:val="24"/>
          <w:szCs w:val="24"/>
        </w:rPr>
        <w:t>.</w:t>
      </w:r>
      <w:r>
        <w:rPr>
          <w:b/>
          <w:sz w:val="24"/>
          <w:szCs w:val="24"/>
        </w:rPr>
        <w:t xml:space="preserve"> </w:t>
      </w:r>
      <w:r>
        <w:rPr>
          <w:sz w:val="24"/>
          <w:szCs w:val="24"/>
        </w:rPr>
        <w:t xml:space="preserve">El Ministerio de Salud y Protección Social liderará la articulación con los sectores de educación, trabajo, transporte, </w:t>
      </w:r>
      <w:r w:rsidR="00153C9D">
        <w:rPr>
          <w:sz w:val="24"/>
          <w:szCs w:val="24"/>
        </w:rPr>
        <w:t>deporte,</w:t>
      </w:r>
      <w:r>
        <w:rPr>
          <w:sz w:val="24"/>
          <w:szCs w:val="24"/>
        </w:rPr>
        <w:t xml:space="preserve"> planeación territorial y el sector privado. </w:t>
      </w:r>
    </w:p>
    <w:p w:rsidR="00087F4D" w:rsidRDefault="005A0B6A">
      <w:pPr>
        <w:spacing w:before="240" w:after="240"/>
        <w:jc w:val="both"/>
        <w:rPr>
          <w:sz w:val="24"/>
          <w:szCs w:val="24"/>
        </w:rPr>
      </w:pPr>
      <w:r>
        <w:rPr>
          <w:b/>
          <w:sz w:val="24"/>
          <w:szCs w:val="24"/>
        </w:rPr>
        <w:t>Artículo 18. Reglamentación</w:t>
      </w:r>
      <w:r w:rsidR="00153C9D">
        <w:rPr>
          <w:b/>
          <w:sz w:val="24"/>
          <w:szCs w:val="24"/>
        </w:rPr>
        <w:t>.</w:t>
      </w:r>
      <w:r>
        <w:rPr>
          <w:b/>
          <w:sz w:val="24"/>
          <w:szCs w:val="24"/>
        </w:rPr>
        <w:t xml:space="preserve"> </w:t>
      </w:r>
      <w:r>
        <w:rPr>
          <w:sz w:val="24"/>
          <w:szCs w:val="24"/>
        </w:rPr>
        <w:t xml:space="preserve">El Gobierno </w:t>
      </w:r>
      <w:r w:rsidR="00153C9D">
        <w:rPr>
          <w:sz w:val="24"/>
          <w:szCs w:val="24"/>
        </w:rPr>
        <w:t>n</w:t>
      </w:r>
      <w:r>
        <w:rPr>
          <w:sz w:val="24"/>
          <w:szCs w:val="24"/>
        </w:rPr>
        <w:t xml:space="preserve">acional reglamentará la presente </w:t>
      </w:r>
      <w:r w:rsidR="00916F0F">
        <w:rPr>
          <w:sz w:val="24"/>
          <w:szCs w:val="24"/>
        </w:rPr>
        <w:t>L</w:t>
      </w:r>
      <w:r>
        <w:rPr>
          <w:sz w:val="24"/>
          <w:szCs w:val="24"/>
        </w:rPr>
        <w:t>ey dentro de los doce (12) meses siguientes a su sanción.</w:t>
      </w:r>
    </w:p>
    <w:p w:rsidR="00087F4D" w:rsidRDefault="005A0B6A">
      <w:pPr>
        <w:spacing w:before="240" w:after="240"/>
        <w:jc w:val="both"/>
        <w:rPr>
          <w:sz w:val="24"/>
          <w:szCs w:val="24"/>
        </w:rPr>
      </w:pPr>
      <w:r>
        <w:rPr>
          <w:b/>
          <w:sz w:val="24"/>
          <w:szCs w:val="24"/>
        </w:rPr>
        <w:t>Artículo 19. Vigencia y derogatorias</w:t>
      </w:r>
      <w:r w:rsidR="00153C9D">
        <w:rPr>
          <w:b/>
          <w:sz w:val="24"/>
          <w:szCs w:val="24"/>
        </w:rPr>
        <w:t>.</w:t>
      </w:r>
      <w:r>
        <w:rPr>
          <w:b/>
          <w:sz w:val="24"/>
          <w:szCs w:val="24"/>
        </w:rPr>
        <w:t xml:space="preserve"> </w:t>
      </w:r>
      <w:r>
        <w:rPr>
          <w:sz w:val="24"/>
          <w:szCs w:val="24"/>
        </w:rPr>
        <w:t xml:space="preserve">La presente </w:t>
      </w:r>
      <w:r w:rsidR="00916F0F">
        <w:rPr>
          <w:sz w:val="24"/>
          <w:szCs w:val="24"/>
        </w:rPr>
        <w:t>L</w:t>
      </w:r>
      <w:r>
        <w:rPr>
          <w:sz w:val="24"/>
          <w:szCs w:val="24"/>
        </w:rPr>
        <w:t>ey rige a partir de su promulgación y deroga las disposiciones que le sean contrarias.</w:t>
      </w:r>
    </w:p>
    <w:p w:rsidR="00BC1E82" w:rsidRDefault="00BC1E82">
      <w:pPr>
        <w:pBdr>
          <w:top w:val="nil"/>
          <w:left w:val="nil"/>
          <w:bottom w:val="nil"/>
          <w:right w:val="nil"/>
          <w:between w:val="nil"/>
        </w:pBdr>
        <w:spacing w:after="200"/>
        <w:jc w:val="both"/>
        <w:rPr>
          <w:sz w:val="24"/>
          <w:szCs w:val="24"/>
        </w:rPr>
      </w:pPr>
    </w:p>
    <w:p w:rsidR="00087F4D" w:rsidRDefault="005A0B6A">
      <w:pPr>
        <w:pBdr>
          <w:top w:val="nil"/>
          <w:left w:val="nil"/>
          <w:bottom w:val="nil"/>
          <w:right w:val="nil"/>
          <w:between w:val="nil"/>
        </w:pBdr>
        <w:spacing w:after="200"/>
        <w:jc w:val="both"/>
        <w:rPr>
          <w:sz w:val="24"/>
          <w:szCs w:val="24"/>
        </w:rPr>
      </w:pPr>
      <w:r>
        <w:rPr>
          <w:sz w:val="24"/>
          <w:szCs w:val="24"/>
        </w:rPr>
        <w:t xml:space="preserve">De los honorables congresistas, </w:t>
      </w:r>
    </w:p>
    <w:tbl>
      <w:tblPr>
        <w:tblStyle w:val="Tablaconcuadrcula"/>
        <w:tblW w:w="0" w:type="auto"/>
        <w:tblLook w:val="04A0" w:firstRow="1" w:lastRow="0" w:firstColumn="1" w:lastColumn="0" w:noHBand="0" w:noVBand="1"/>
      </w:tblPr>
      <w:tblGrid>
        <w:gridCol w:w="4675"/>
        <w:gridCol w:w="4675"/>
      </w:tblGrid>
      <w:tr w:rsidR="00BC1E82" w:rsidTr="00EC648B">
        <w:tc>
          <w:tcPr>
            <w:tcW w:w="4675" w:type="dxa"/>
          </w:tcPr>
          <w:p w:rsidR="00BC1E82" w:rsidRDefault="00BC1E82" w:rsidP="00EC648B">
            <w:pPr>
              <w:rPr>
                <w:b/>
                <w:szCs w:val="24"/>
              </w:rPr>
            </w:pPr>
          </w:p>
          <w:p w:rsidR="00BC1E82" w:rsidRDefault="00BC1E82" w:rsidP="00EC648B">
            <w:pPr>
              <w:rPr>
                <w:b/>
                <w:szCs w:val="24"/>
              </w:rPr>
            </w:pPr>
          </w:p>
          <w:p w:rsidR="00BC1E82" w:rsidRDefault="00BC1E82" w:rsidP="00EC648B">
            <w:pPr>
              <w:rPr>
                <w:b/>
                <w:szCs w:val="24"/>
              </w:rPr>
            </w:pPr>
          </w:p>
          <w:p w:rsidR="00BC1E82" w:rsidRDefault="00BC1E82" w:rsidP="00EC648B">
            <w:pPr>
              <w:rPr>
                <w:b/>
                <w:szCs w:val="24"/>
              </w:rPr>
            </w:pPr>
          </w:p>
          <w:p w:rsidR="00BC1E82" w:rsidRPr="00BC1E82" w:rsidRDefault="00BC1E82" w:rsidP="00EC648B">
            <w:pPr>
              <w:rPr>
                <w:b/>
                <w:szCs w:val="24"/>
              </w:rPr>
            </w:pPr>
            <w:r w:rsidRPr="00BC1E82">
              <w:rPr>
                <w:b/>
                <w:szCs w:val="24"/>
              </w:rPr>
              <w:t>JUAN CAMILO LONDOÑO BARRERA</w:t>
            </w:r>
          </w:p>
          <w:p w:rsidR="00BC1E82" w:rsidRPr="00BC1E82" w:rsidRDefault="00BC1E82" w:rsidP="00EC648B">
            <w:pPr>
              <w:rPr>
                <w:sz w:val="20"/>
                <w:szCs w:val="24"/>
              </w:rPr>
            </w:pPr>
            <w:r w:rsidRPr="00BC1E82">
              <w:rPr>
                <w:sz w:val="20"/>
                <w:szCs w:val="24"/>
              </w:rPr>
              <w:t>Representante a la Cámara por Antioquia</w:t>
            </w:r>
          </w:p>
          <w:p w:rsidR="00BC1E82" w:rsidRPr="00BC1E82" w:rsidRDefault="00BC1E82" w:rsidP="00EC648B">
            <w:pPr>
              <w:rPr>
                <w:szCs w:val="24"/>
              </w:rPr>
            </w:pPr>
            <w:r w:rsidRPr="00BC1E82">
              <w:rPr>
                <w:sz w:val="20"/>
                <w:szCs w:val="24"/>
              </w:rPr>
              <w:t>Partido Alianza Verde</w:t>
            </w:r>
          </w:p>
        </w:tc>
        <w:tc>
          <w:tcPr>
            <w:tcW w:w="4675" w:type="dxa"/>
          </w:tcPr>
          <w:p w:rsidR="00BC1E82" w:rsidRDefault="00BC1E82" w:rsidP="00EC648B">
            <w:pPr>
              <w:spacing w:before="240" w:after="240"/>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r w:rsidR="00BC1E82" w:rsidTr="00EC648B">
        <w:tc>
          <w:tcPr>
            <w:tcW w:w="4675" w:type="dxa"/>
          </w:tcPr>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p w:rsidR="00BC1E82" w:rsidRDefault="00BC1E82" w:rsidP="00EC648B">
            <w:pPr>
              <w:jc w:val="both"/>
            </w:pPr>
          </w:p>
        </w:tc>
        <w:tc>
          <w:tcPr>
            <w:tcW w:w="4675" w:type="dxa"/>
          </w:tcPr>
          <w:p w:rsidR="00BC1E82" w:rsidRDefault="00BC1E82" w:rsidP="00EC648B">
            <w:pPr>
              <w:jc w:val="both"/>
            </w:pPr>
          </w:p>
        </w:tc>
      </w:tr>
    </w:tbl>
    <w:p w:rsidR="00087F4D" w:rsidRDefault="005A0B6A">
      <w:pPr>
        <w:spacing w:after="200"/>
        <w:jc w:val="center"/>
        <w:rPr>
          <w:b/>
          <w:sz w:val="24"/>
          <w:szCs w:val="24"/>
        </w:rPr>
      </w:pPr>
      <w:r>
        <w:rPr>
          <w:b/>
          <w:sz w:val="24"/>
          <w:szCs w:val="24"/>
        </w:rPr>
        <w:lastRenderedPageBreak/>
        <w:t>EXPOSICIÓN DE MOTIVOS</w:t>
      </w:r>
    </w:p>
    <w:p w:rsidR="00087F4D" w:rsidRDefault="005A0B6A">
      <w:pPr>
        <w:spacing w:after="200"/>
        <w:jc w:val="center"/>
        <w:rPr>
          <w:b/>
          <w:sz w:val="24"/>
          <w:szCs w:val="24"/>
        </w:rPr>
      </w:pPr>
      <w:r>
        <w:rPr>
          <w:b/>
          <w:sz w:val="24"/>
          <w:szCs w:val="24"/>
        </w:rPr>
        <w:t>“</w:t>
      </w:r>
      <w:r w:rsidR="004B6DA4" w:rsidRPr="004B6DA4">
        <w:rPr>
          <w:b/>
          <w:sz w:val="24"/>
          <w:szCs w:val="24"/>
        </w:rPr>
        <w:t>POR MEDIO DE LA CUAL SE RECONOCE LA OBESIDAD Y EL SOBREPESO COMO ENFERMEDADES CRÓNICAS Y SE ESTABLECEN LINEAMIENTOS PARA SU PREVENCIÓN, DIAGNÓSTICO TEMPRANO, MANEJO INTEGRAL Y SEGUIMIENTO, Y SE DICTAN OTRAS DISPOSICIONES</w:t>
      </w:r>
      <w:r>
        <w:rPr>
          <w:b/>
          <w:sz w:val="24"/>
          <w:szCs w:val="24"/>
        </w:rPr>
        <w:t>”</w:t>
      </w:r>
    </w:p>
    <w:p w:rsidR="00916F0F" w:rsidRDefault="00916F0F">
      <w:pPr>
        <w:spacing w:after="200"/>
        <w:jc w:val="center"/>
        <w:rPr>
          <w:b/>
          <w:sz w:val="24"/>
          <w:szCs w:val="24"/>
        </w:rPr>
      </w:pPr>
    </w:p>
    <w:p w:rsidR="00087F4D" w:rsidRDefault="005A0B6A">
      <w:pPr>
        <w:spacing w:before="240" w:after="200"/>
        <w:jc w:val="both"/>
        <w:rPr>
          <w:color w:val="FF0000"/>
          <w:sz w:val="24"/>
          <w:szCs w:val="24"/>
        </w:rPr>
      </w:pPr>
      <w:r>
        <w:rPr>
          <w:sz w:val="24"/>
          <w:szCs w:val="24"/>
        </w:rPr>
        <w:t xml:space="preserve">La presente exposición de motivos está compuesta por cinco </w:t>
      </w:r>
      <w:r w:rsidRPr="00BC1E82">
        <w:rPr>
          <w:sz w:val="24"/>
          <w:szCs w:val="24"/>
        </w:rPr>
        <w:t>(5</w:t>
      </w:r>
      <w:r>
        <w:rPr>
          <w:sz w:val="24"/>
          <w:szCs w:val="24"/>
        </w:rPr>
        <w:t xml:space="preserve">) apartes: </w:t>
      </w:r>
    </w:p>
    <w:p w:rsidR="00087F4D" w:rsidRDefault="005A0B6A">
      <w:pPr>
        <w:numPr>
          <w:ilvl w:val="0"/>
          <w:numId w:val="1"/>
        </w:numPr>
        <w:pBdr>
          <w:top w:val="nil"/>
          <w:left w:val="nil"/>
          <w:bottom w:val="nil"/>
          <w:right w:val="nil"/>
          <w:between w:val="nil"/>
        </w:pBdr>
        <w:jc w:val="both"/>
        <w:rPr>
          <w:color w:val="000000"/>
          <w:sz w:val="24"/>
          <w:szCs w:val="24"/>
        </w:rPr>
      </w:pPr>
      <w:r>
        <w:rPr>
          <w:color w:val="000000"/>
          <w:sz w:val="24"/>
          <w:szCs w:val="24"/>
        </w:rPr>
        <w:t>Objeto y síntesis del Proyecto de Ley</w:t>
      </w:r>
    </w:p>
    <w:p w:rsidR="00087F4D" w:rsidRDefault="005A0B6A">
      <w:pPr>
        <w:numPr>
          <w:ilvl w:val="0"/>
          <w:numId w:val="1"/>
        </w:numPr>
        <w:pBdr>
          <w:top w:val="nil"/>
          <w:left w:val="nil"/>
          <w:bottom w:val="nil"/>
          <w:right w:val="nil"/>
          <w:between w:val="nil"/>
        </w:pBdr>
        <w:jc w:val="both"/>
        <w:rPr>
          <w:color w:val="000000"/>
          <w:sz w:val="24"/>
          <w:szCs w:val="24"/>
        </w:rPr>
      </w:pPr>
      <w:r>
        <w:rPr>
          <w:color w:val="000000"/>
          <w:sz w:val="24"/>
          <w:szCs w:val="24"/>
        </w:rPr>
        <w:t>Justificación de la iniciativa</w:t>
      </w:r>
    </w:p>
    <w:p w:rsidR="00087F4D" w:rsidRDefault="005A0B6A">
      <w:pPr>
        <w:numPr>
          <w:ilvl w:val="0"/>
          <w:numId w:val="1"/>
        </w:numPr>
        <w:pBdr>
          <w:top w:val="nil"/>
          <w:left w:val="nil"/>
          <w:bottom w:val="nil"/>
          <w:right w:val="nil"/>
          <w:between w:val="nil"/>
        </w:pBdr>
        <w:jc w:val="both"/>
        <w:rPr>
          <w:color w:val="000000"/>
          <w:sz w:val="24"/>
          <w:szCs w:val="24"/>
        </w:rPr>
      </w:pPr>
      <w:r>
        <w:rPr>
          <w:color w:val="000000"/>
          <w:sz w:val="24"/>
          <w:szCs w:val="24"/>
        </w:rPr>
        <w:t>Fundamentos normativos</w:t>
      </w:r>
    </w:p>
    <w:p w:rsidR="00087F4D" w:rsidRDefault="005A0B6A">
      <w:pPr>
        <w:numPr>
          <w:ilvl w:val="0"/>
          <w:numId w:val="1"/>
        </w:numPr>
        <w:pBdr>
          <w:top w:val="nil"/>
          <w:left w:val="nil"/>
          <w:bottom w:val="nil"/>
          <w:right w:val="nil"/>
          <w:between w:val="nil"/>
        </w:pBdr>
        <w:jc w:val="both"/>
        <w:rPr>
          <w:color w:val="000000"/>
          <w:sz w:val="24"/>
          <w:szCs w:val="24"/>
        </w:rPr>
      </w:pPr>
      <w:r>
        <w:rPr>
          <w:color w:val="000000"/>
          <w:sz w:val="24"/>
          <w:szCs w:val="24"/>
        </w:rPr>
        <w:t>Conflictos de intereses</w:t>
      </w:r>
    </w:p>
    <w:p w:rsidR="00087F4D" w:rsidRDefault="005A0B6A">
      <w:pPr>
        <w:numPr>
          <w:ilvl w:val="0"/>
          <w:numId w:val="1"/>
        </w:numPr>
        <w:pBdr>
          <w:top w:val="nil"/>
          <w:left w:val="nil"/>
          <w:bottom w:val="nil"/>
          <w:right w:val="nil"/>
          <w:between w:val="nil"/>
        </w:pBdr>
        <w:spacing w:after="200"/>
        <w:jc w:val="both"/>
        <w:rPr>
          <w:color w:val="000000"/>
          <w:sz w:val="24"/>
          <w:szCs w:val="24"/>
        </w:rPr>
      </w:pPr>
      <w:r>
        <w:rPr>
          <w:color w:val="000000"/>
          <w:sz w:val="24"/>
          <w:szCs w:val="24"/>
        </w:rPr>
        <w:t>Impacto fiscal</w:t>
      </w:r>
    </w:p>
    <w:p w:rsidR="00087F4D" w:rsidRDefault="00087F4D">
      <w:pPr>
        <w:spacing w:after="200"/>
        <w:jc w:val="both"/>
        <w:rPr>
          <w:sz w:val="24"/>
          <w:szCs w:val="24"/>
        </w:rPr>
      </w:pPr>
    </w:p>
    <w:p w:rsidR="00087F4D" w:rsidRDefault="005A0B6A" w:rsidP="00A659EC">
      <w:pPr>
        <w:numPr>
          <w:ilvl w:val="0"/>
          <w:numId w:val="4"/>
        </w:numPr>
        <w:rPr>
          <w:b/>
          <w:sz w:val="24"/>
          <w:szCs w:val="24"/>
        </w:rPr>
      </w:pPr>
      <w:r>
        <w:rPr>
          <w:b/>
          <w:sz w:val="24"/>
          <w:szCs w:val="24"/>
        </w:rPr>
        <w:t>OBJETO Y SÍNTESIS DEL PROYECTO DE LEY</w:t>
      </w:r>
    </w:p>
    <w:p w:rsidR="00A659EC" w:rsidRDefault="00A659EC" w:rsidP="00A659EC">
      <w:pPr>
        <w:ind w:left="720"/>
        <w:rPr>
          <w:b/>
          <w:sz w:val="24"/>
          <w:szCs w:val="24"/>
        </w:rPr>
      </w:pPr>
    </w:p>
    <w:p w:rsidR="00087F4D" w:rsidRDefault="00A659EC" w:rsidP="005A0B6A">
      <w:pPr>
        <w:spacing w:after="200"/>
        <w:jc w:val="both"/>
        <w:rPr>
          <w:sz w:val="24"/>
          <w:szCs w:val="24"/>
        </w:rPr>
      </w:pPr>
      <w:r w:rsidRPr="00A659EC">
        <w:rPr>
          <w:sz w:val="24"/>
          <w:szCs w:val="24"/>
        </w:rPr>
        <w:t xml:space="preserve">La presente </w:t>
      </w:r>
      <w:r>
        <w:rPr>
          <w:sz w:val="24"/>
          <w:szCs w:val="24"/>
        </w:rPr>
        <w:t>iniciativa</w:t>
      </w:r>
      <w:r w:rsidRPr="00A659EC">
        <w:rPr>
          <w:sz w:val="24"/>
          <w:szCs w:val="24"/>
        </w:rPr>
        <w:t xml:space="preserve"> tiene por objeto el reconocimiento de la obesidad y el sobrepeso como enfermedades crónicas, multifactoriales, asociadas a determinantes sociales, psicológicos, culturales y ambientales, así como establecer lineamientos para su prevención, detección temprana, tratamiento integral y seguimiento, con enfoque de curso de vida, priorizando acciones de promoción de la salud y prevención de la enfermedad.</w:t>
      </w:r>
    </w:p>
    <w:p w:rsidR="00A659EC" w:rsidRPr="00A659EC" w:rsidRDefault="00A659EC" w:rsidP="005A0B6A">
      <w:pPr>
        <w:spacing w:after="200"/>
        <w:jc w:val="both"/>
        <w:rPr>
          <w:sz w:val="24"/>
          <w:szCs w:val="24"/>
        </w:rPr>
      </w:pPr>
    </w:p>
    <w:p w:rsidR="00087F4D" w:rsidRDefault="005A0B6A" w:rsidP="005A0B6A">
      <w:pPr>
        <w:numPr>
          <w:ilvl w:val="0"/>
          <w:numId w:val="4"/>
        </w:numPr>
        <w:rPr>
          <w:b/>
          <w:sz w:val="24"/>
          <w:szCs w:val="24"/>
        </w:rPr>
      </w:pPr>
      <w:r>
        <w:rPr>
          <w:b/>
          <w:sz w:val="24"/>
          <w:szCs w:val="24"/>
        </w:rPr>
        <w:t>JUSTIFICACIÓN DE LA INICIATIVA</w:t>
      </w:r>
    </w:p>
    <w:p w:rsidR="00087F4D" w:rsidRDefault="00087F4D" w:rsidP="005A0B6A">
      <w:pPr>
        <w:rPr>
          <w:b/>
          <w:sz w:val="24"/>
          <w:szCs w:val="24"/>
        </w:rPr>
      </w:pPr>
    </w:p>
    <w:p w:rsidR="00087F4D" w:rsidRDefault="005A0B6A" w:rsidP="005A0B6A">
      <w:pPr>
        <w:spacing w:before="240" w:after="240"/>
        <w:jc w:val="both"/>
        <w:rPr>
          <w:sz w:val="24"/>
          <w:szCs w:val="24"/>
        </w:rPr>
      </w:pPr>
      <w:r>
        <w:rPr>
          <w:sz w:val="24"/>
          <w:szCs w:val="24"/>
        </w:rPr>
        <w:t xml:space="preserve">La obesidad y el sobrepeso constituyen una de las amenazas más urgentes para la salud pública en Colombia. De acuerdo con el World Obesity Atlas 2024, se estima que para 2035 dos de cada cinco niños y adolescentes en el mundo vivirán con sobrepeso u obesidad, siendo la región de las Américas la más afectada. En Colombia, más del 56% de los adultos presentan estas condiciones, al igual que el 24,3% de niños y el 17,9% de adolescentes. </w:t>
      </w:r>
    </w:p>
    <w:p w:rsidR="00087F4D" w:rsidRDefault="005A0B6A" w:rsidP="005A0B6A">
      <w:pPr>
        <w:spacing w:before="240" w:after="240"/>
        <w:jc w:val="both"/>
        <w:rPr>
          <w:sz w:val="24"/>
          <w:szCs w:val="24"/>
        </w:rPr>
      </w:pPr>
      <w:r>
        <w:rPr>
          <w:sz w:val="24"/>
          <w:szCs w:val="24"/>
        </w:rPr>
        <w:t xml:space="preserve">Más allá de su vínculo con enfermedades crónicas como la diabetes o las cardiovasculares, la obesidad impacta de manera negativa la salud mental, la </w:t>
      </w:r>
      <w:r>
        <w:rPr>
          <w:sz w:val="24"/>
          <w:szCs w:val="24"/>
        </w:rPr>
        <w:lastRenderedPageBreak/>
        <w:t xml:space="preserve">productividad laboral y el desempeño académico. En sectores como el transporte, se han identificado riesgos asociados a la accidentalidad y la disminución del rendimiento físico por condiciones asociadas a la obesidad. </w:t>
      </w:r>
    </w:p>
    <w:p w:rsidR="00B049EB" w:rsidRPr="00B049EB" w:rsidRDefault="005A0B6A" w:rsidP="005A0B6A">
      <w:pPr>
        <w:spacing w:before="240" w:after="240"/>
        <w:jc w:val="both"/>
        <w:rPr>
          <w:sz w:val="24"/>
          <w:szCs w:val="24"/>
        </w:rPr>
      </w:pPr>
      <w:r>
        <w:rPr>
          <w:sz w:val="24"/>
          <w:szCs w:val="24"/>
        </w:rPr>
        <w:t xml:space="preserve">Además, las personas con sobrepeso experimentan limitaciones en espacios de trabajo que refuerzan el sedentarismo, falta de control del peso y barreras en salud mental. Aunque Colombia cuenta desde 2009 con la Ley 1355, que reconoce la obesidad como enfermedad crónica y promueve estrategias de prevención, hoy el país necesita un nuevo marco legal que responda a las realidades actuales. </w:t>
      </w:r>
      <w:r w:rsidR="00B049EB" w:rsidRPr="00B049EB">
        <w:rPr>
          <w:sz w:val="24"/>
          <w:szCs w:val="24"/>
        </w:rPr>
        <w:t>La</w:t>
      </w:r>
      <w:r w:rsidR="00B049EB">
        <w:rPr>
          <w:sz w:val="24"/>
          <w:szCs w:val="24"/>
        </w:rPr>
        <w:t xml:space="preserve"> </w:t>
      </w:r>
      <w:r w:rsidR="00B049EB" w:rsidRPr="00B049EB">
        <w:rPr>
          <w:sz w:val="24"/>
          <w:szCs w:val="24"/>
        </w:rPr>
        <w:t>implementación de la ley vigente ha sido limitada, y no contempla de forma</w:t>
      </w:r>
      <w:r w:rsidR="00B049EB">
        <w:rPr>
          <w:sz w:val="24"/>
          <w:szCs w:val="24"/>
        </w:rPr>
        <w:t xml:space="preserve"> </w:t>
      </w:r>
      <w:r w:rsidR="00B049EB" w:rsidRPr="00B049EB">
        <w:rPr>
          <w:sz w:val="24"/>
          <w:szCs w:val="24"/>
        </w:rPr>
        <w:t>suficiente elementos como:</w:t>
      </w:r>
    </w:p>
    <w:p w:rsidR="00B049EB" w:rsidRPr="00B049EB" w:rsidRDefault="00B049EB" w:rsidP="005A0B6A">
      <w:pPr>
        <w:pStyle w:val="Prrafodelista"/>
        <w:numPr>
          <w:ilvl w:val="0"/>
          <w:numId w:val="8"/>
        </w:numPr>
        <w:spacing w:before="240" w:after="240"/>
        <w:jc w:val="both"/>
        <w:rPr>
          <w:sz w:val="24"/>
          <w:szCs w:val="24"/>
        </w:rPr>
      </w:pPr>
      <w:r w:rsidRPr="00B049EB">
        <w:rPr>
          <w:sz w:val="24"/>
          <w:szCs w:val="24"/>
        </w:rPr>
        <w:t>El abordaje de la obesidad desde la salud mental,</w:t>
      </w:r>
    </w:p>
    <w:p w:rsidR="00B049EB" w:rsidRPr="00B049EB" w:rsidRDefault="00B049EB" w:rsidP="005A0B6A">
      <w:pPr>
        <w:pStyle w:val="Prrafodelista"/>
        <w:numPr>
          <w:ilvl w:val="0"/>
          <w:numId w:val="8"/>
        </w:numPr>
        <w:spacing w:before="240" w:after="240"/>
        <w:jc w:val="both"/>
        <w:rPr>
          <w:sz w:val="24"/>
          <w:szCs w:val="24"/>
        </w:rPr>
      </w:pPr>
      <w:r w:rsidRPr="00B049EB">
        <w:rPr>
          <w:sz w:val="24"/>
          <w:szCs w:val="24"/>
        </w:rPr>
        <w:t>El acompañamiento familiar y social,</w:t>
      </w:r>
    </w:p>
    <w:p w:rsidR="00B049EB" w:rsidRPr="00B049EB" w:rsidRDefault="00B049EB" w:rsidP="005A0B6A">
      <w:pPr>
        <w:pStyle w:val="Prrafodelista"/>
        <w:numPr>
          <w:ilvl w:val="0"/>
          <w:numId w:val="8"/>
        </w:numPr>
        <w:spacing w:before="240" w:after="240"/>
        <w:jc w:val="both"/>
        <w:rPr>
          <w:sz w:val="24"/>
          <w:szCs w:val="24"/>
        </w:rPr>
      </w:pPr>
      <w:r w:rsidRPr="00B049EB">
        <w:rPr>
          <w:sz w:val="24"/>
          <w:szCs w:val="24"/>
        </w:rPr>
        <w:t>El entorno laboral como espacio de intervención,</w:t>
      </w:r>
    </w:p>
    <w:p w:rsidR="00B049EB" w:rsidRPr="00B049EB" w:rsidRDefault="00B049EB" w:rsidP="005A0B6A">
      <w:pPr>
        <w:pStyle w:val="Prrafodelista"/>
        <w:numPr>
          <w:ilvl w:val="0"/>
          <w:numId w:val="8"/>
        </w:numPr>
        <w:spacing w:before="240" w:after="240"/>
        <w:jc w:val="both"/>
        <w:rPr>
          <w:sz w:val="24"/>
          <w:szCs w:val="24"/>
        </w:rPr>
      </w:pPr>
      <w:r w:rsidRPr="00B049EB">
        <w:rPr>
          <w:sz w:val="24"/>
          <w:szCs w:val="24"/>
        </w:rPr>
        <w:t>La educación como herramienta para la toma de decisiones,</w:t>
      </w:r>
    </w:p>
    <w:p w:rsidR="00B049EB" w:rsidRPr="00B049EB" w:rsidRDefault="00B049EB" w:rsidP="005A0B6A">
      <w:pPr>
        <w:pStyle w:val="Prrafodelista"/>
        <w:numPr>
          <w:ilvl w:val="0"/>
          <w:numId w:val="8"/>
        </w:numPr>
        <w:spacing w:before="240" w:after="240"/>
        <w:jc w:val="both"/>
        <w:rPr>
          <w:sz w:val="24"/>
          <w:szCs w:val="24"/>
        </w:rPr>
      </w:pPr>
      <w:r w:rsidRPr="00B049EB">
        <w:rPr>
          <w:sz w:val="24"/>
          <w:szCs w:val="24"/>
        </w:rPr>
        <w:t>Necesidad de un sistema robusto de monitoreo y vigilancia.</w:t>
      </w:r>
    </w:p>
    <w:p w:rsidR="00087F4D" w:rsidRDefault="00B049EB" w:rsidP="005A0B6A">
      <w:pPr>
        <w:spacing w:before="240" w:after="240"/>
        <w:jc w:val="both"/>
        <w:rPr>
          <w:sz w:val="24"/>
          <w:szCs w:val="24"/>
        </w:rPr>
      </w:pPr>
      <w:r w:rsidRPr="00B049EB">
        <w:rPr>
          <w:sz w:val="24"/>
          <w:szCs w:val="24"/>
        </w:rPr>
        <w:t>Experiencias internacionales como México, Argentina y España han demostrado que</w:t>
      </w:r>
      <w:r>
        <w:rPr>
          <w:sz w:val="24"/>
          <w:szCs w:val="24"/>
        </w:rPr>
        <w:t xml:space="preserve"> </w:t>
      </w:r>
      <w:r w:rsidRPr="00B049EB">
        <w:rPr>
          <w:sz w:val="24"/>
          <w:szCs w:val="24"/>
        </w:rPr>
        <w:t>un enfoque integral, multisectorial y empático, que combine componentes</w:t>
      </w:r>
      <w:r>
        <w:rPr>
          <w:sz w:val="24"/>
          <w:szCs w:val="24"/>
        </w:rPr>
        <w:t xml:space="preserve"> </w:t>
      </w:r>
      <w:r w:rsidRPr="00B049EB">
        <w:rPr>
          <w:sz w:val="24"/>
          <w:szCs w:val="24"/>
        </w:rPr>
        <w:t>nutricionales, psicológicos, físicos y educativos, es más efectivo que las políticas</w:t>
      </w:r>
      <w:r>
        <w:rPr>
          <w:sz w:val="24"/>
          <w:szCs w:val="24"/>
        </w:rPr>
        <w:t xml:space="preserve"> </w:t>
      </w:r>
      <w:r w:rsidRPr="00B049EB">
        <w:rPr>
          <w:sz w:val="24"/>
          <w:szCs w:val="24"/>
        </w:rPr>
        <w:t>basadas únicamente en la prohibición o la regulación del mercado.</w:t>
      </w:r>
    </w:p>
    <w:p w:rsidR="00B049EB" w:rsidRDefault="00B049EB" w:rsidP="00D45B1F">
      <w:pPr>
        <w:spacing w:before="240"/>
        <w:jc w:val="both"/>
        <w:rPr>
          <w:sz w:val="24"/>
          <w:szCs w:val="24"/>
        </w:rPr>
      </w:pPr>
      <w:r w:rsidRPr="00B049EB">
        <w:rPr>
          <w:sz w:val="24"/>
          <w:szCs w:val="24"/>
        </w:rPr>
        <w:t>Por eso, se propone avanzar hacia un nuevo proyecto de ley que actualice el</w:t>
      </w:r>
      <w:r>
        <w:rPr>
          <w:sz w:val="24"/>
          <w:szCs w:val="24"/>
        </w:rPr>
        <w:t xml:space="preserve"> </w:t>
      </w:r>
      <w:r w:rsidRPr="00B049EB">
        <w:rPr>
          <w:sz w:val="24"/>
          <w:szCs w:val="24"/>
        </w:rPr>
        <w:t>abordaje de la obesidad en Colombia y la integre como parte estructural de la</w:t>
      </w:r>
      <w:r>
        <w:rPr>
          <w:sz w:val="24"/>
          <w:szCs w:val="24"/>
        </w:rPr>
        <w:t xml:space="preserve"> </w:t>
      </w:r>
      <w:r w:rsidRPr="00B049EB">
        <w:rPr>
          <w:sz w:val="24"/>
          <w:szCs w:val="24"/>
        </w:rPr>
        <w:t>política pública en salud, educación, trabajo, y desarrollo social.</w:t>
      </w:r>
    </w:p>
    <w:p w:rsidR="00140CE3" w:rsidRPr="00B049EB" w:rsidRDefault="00140CE3" w:rsidP="00D45B1F">
      <w:pPr>
        <w:jc w:val="both"/>
        <w:rPr>
          <w:sz w:val="24"/>
          <w:szCs w:val="24"/>
        </w:rPr>
      </w:pPr>
    </w:p>
    <w:p w:rsidR="00087F4D" w:rsidRPr="00140CE3" w:rsidRDefault="00140CE3" w:rsidP="00D45B1F">
      <w:pPr>
        <w:spacing w:before="240" w:after="240"/>
        <w:ind w:left="284"/>
        <w:jc w:val="both"/>
        <w:rPr>
          <w:b/>
          <w:sz w:val="24"/>
          <w:szCs w:val="24"/>
        </w:rPr>
      </w:pPr>
      <w:r w:rsidRPr="00140CE3">
        <w:rPr>
          <w:b/>
          <w:sz w:val="24"/>
          <w:szCs w:val="24"/>
        </w:rPr>
        <w:t xml:space="preserve">2.1. </w:t>
      </w:r>
      <w:r w:rsidR="005A0B6A" w:rsidRPr="00140CE3">
        <w:rPr>
          <w:b/>
          <w:sz w:val="24"/>
          <w:szCs w:val="24"/>
        </w:rPr>
        <w:t>Panorama global de la Obesidad: una cr</w:t>
      </w:r>
      <w:r w:rsidRPr="00140CE3">
        <w:rPr>
          <w:b/>
          <w:sz w:val="24"/>
          <w:szCs w:val="24"/>
        </w:rPr>
        <w:t>isis de salud pública creciente</w:t>
      </w:r>
    </w:p>
    <w:p w:rsidR="00087F4D" w:rsidRDefault="005A0B6A" w:rsidP="005A0B6A">
      <w:pPr>
        <w:spacing w:before="240" w:after="240"/>
        <w:jc w:val="both"/>
        <w:rPr>
          <w:sz w:val="24"/>
          <w:szCs w:val="24"/>
        </w:rPr>
      </w:pPr>
      <w:r>
        <w:rPr>
          <w:sz w:val="24"/>
          <w:szCs w:val="24"/>
        </w:rPr>
        <w:t>La obesidad se ha posicionado como una de las principales enfermedades que amenazan la salud en el mundo entero en el siglo XXI. Clasificada como una enfermedad crónica, compleja y multifactorial, afecta a más de mil millones de personas en el mundo, de acuerdo con el World Obesity Atlas (2025). La transición epidemiológica y nutricional, el aumento del consumo de alimentos ultra procesados y la disminución de la actividad física, son factores claves para el crecimiento de esta problemática (Organización Mundial de la Salud, 2024).</w:t>
      </w:r>
    </w:p>
    <w:p w:rsidR="00087F4D" w:rsidRDefault="005A0B6A" w:rsidP="00D45B1F">
      <w:pPr>
        <w:jc w:val="both"/>
        <w:rPr>
          <w:sz w:val="24"/>
          <w:szCs w:val="24"/>
        </w:rPr>
      </w:pPr>
      <w:r>
        <w:rPr>
          <w:sz w:val="24"/>
          <w:szCs w:val="24"/>
        </w:rPr>
        <w:t xml:space="preserve">La importancia de abordar la obesidad desde un enfoque integral, como una enfermedad crónica, radica, entre otros aspectos, en que además es precursora con múltiples Enfermedades No Transmisibles (ENT), como la diabetes tipo 2, las enfermedades </w:t>
      </w:r>
      <w:r>
        <w:rPr>
          <w:sz w:val="24"/>
          <w:szCs w:val="24"/>
        </w:rPr>
        <w:lastRenderedPageBreak/>
        <w:t>cardiovasculares, diversos tipos de cáncer y problemas musculo esqueléticos. Adicionalmente, la obesidad tiene impactos negativos en la salud mental, la productividad laboral, los sistemas de salud y el desarrollo económico de los países. En ese sentido, se evidencia que la obesidad es más que una condición clínica individual, se trata, más bien, de una manifestación de sistemas alimentarios, urbanos, sanitarios y sociales disfuncionales.</w:t>
      </w:r>
    </w:p>
    <w:p w:rsidR="005A0B6A" w:rsidRDefault="005A0B6A" w:rsidP="00D45B1F">
      <w:pPr>
        <w:spacing w:before="240"/>
        <w:jc w:val="both"/>
        <w:rPr>
          <w:sz w:val="24"/>
          <w:szCs w:val="24"/>
        </w:rPr>
      </w:pPr>
    </w:p>
    <w:p w:rsidR="005A0B6A" w:rsidRDefault="005A0B6A" w:rsidP="00D45B1F">
      <w:pPr>
        <w:spacing w:after="240"/>
        <w:ind w:left="284"/>
        <w:jc w:val="both"/>
        <w:rPr>
          <w:b/>
          <w:sz w:val="24"/>
          <w:szCs w:val="24"/>
        </w:rPr>
      </w:pPr>
      <w:r>
        <w:rPr>
          <w:b/>
          <w:sz w:val="24"/>
          <w:szCs w:val="24"/>
        </w:rPr>
        <w:t>2.2. La obesidad en el mundo: cifras, tendencias y riesgos</w:t>
      </w:r>
    </w:p>
    <w:p w:rsidR="005A0B6A" w:rsidRDefault="005A0B6A" w:rsidP="005A0B6A">
      <w:pPr>
        <w:spacing w:after="24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De acuerdo con el World Obesity Atlas (2025), de mantenerse las tendencias actuales, para 2030, alrededor de 2,930 millones de personas adultas en el mundo vivirán con un Índice de Masa Corporal (IMC) superior a 25kg/m², es decir, con sobrepeso u obesidad. Esta cifra representa el 50% de la población adulta en el mundo. Entre estas, más de 1,100 millones vivirán con obesidad (IMC ≥ 30 kg/m²), de las cuales aproximadamente 385 millones presentarán un IMC ≥ 35 kg/m², umbral clínico que generalmente requiere de intervenciones médicas especializadas.</w:t>
      </w:r>
    </w:p>
    <w:p w:rsidR="00087F4D" w:rsidRPr="005A0B6A" w:rsidRDefault="005A0B6A" w:rsidP="005A0B6A">
      <w:pPr>
        <w:spacing w:after="240"/>
        <w:jc w:val="both"/>
        <w:rPr>
          <w:b/>
          <w:sz w:val="24"/>
          <w:szCs w:val="24"/>
        </w:rPr>
      </w:pPr>
      <w:r>
        <w:rPr>
          <w:sz w:val="24"/>
          <w:szCs w:val="24"/>
        </w:rPr>
        <w:t>Esta tendencia no se limita únicamente a los países desarrollados. Al contrario, las naciones de ingresos medios están experimentando el crecimiento más acelerado en los índices de obesidad, lo que genera un doble riesgo: por un lado, el aumento de la carga de enfermedades asociadas y, en segundo lugar, la debilidad de los sistemas de salud para responder a dicha carga. Esta situación amenaza los logros alcanzados en reducción de pobreza, equidad en salud y desarrollo sostenible.</w:t>
      </w:r>
    </w:p>
    <w:p w:rsidR="00087F4D" w:rsidRPr="005A0B6A" w:rsidRDefault="005A0B6A" w:rsidP="005A0B6A">
      <w:pPr>
        <w:spacing w:before="240"/>
        <w:jc w:val="center"/>
        <w:rPr>
          <w:b/>
          <w:szCs w:val="24"/>
        </w:rPr>
      </w:pPr>
      <w:r w:rsidRPr="005A0B6A">
        <w:rPr>
          <w:b/>
          <w:szCs w:val="24"/>
        </w:rPr>
        <w:t xml:space="preserve">Tabla. </w:t>
      </w:r>
      <w:r w:rsidRPr="005A0B6A">
        <w:rPr>
          <w:szCs w:val="24"/>
        </w:rPr>
        <w:t>Proyección de adultos con IMC alto por sexo (2010 - 2023)</w:t>
      </w:r>
    </w:p>
    <w:tbl>
      <w:tblPr>
        <w:tblStyle w:val="a"/>
        <w:tblW w:w="891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190"/>
        <w:gridCol w:w="2250"/>
        <w:gridCol w:w="2250"/>
        <w:gridCol w:w="2220"/>
      </w:tblGrid>
      <w:tr w:rsidR="00087F4D" w:rsidRPr="005A0B6A" w:rsidTr="005A0B6A">
        <w:trPr>
          <w:trHeight w:val="510"/>
          <w:jc w:val="center"/>
        </w:trPr>
        <w:tc>
          <w:tcPr>
            <w:tcW w:w="2190" w:type="dxa"/>
            <w:tcBorders>
              <w:top w:val="nil"/>
              <w:left w:val="nil"/>
              <w:bottom w:val="single" w:sz="8" w:space="0" w:color="60CAF3"/>
              <w:right w:val="nil"/>
            </w:tcBorders>
            <w:tcMar>
              <w:top w:w="0" w:type="dxa"/>
              <w:left w:w="100" w:type="dxa"/>
              <w:bottom w:w="0" w:type="dxa"/>
              <w:right w:w="100" w:type="dxa"/>
            </w:tcMar>
            <w:vAlign w:val="center"/>
          </w:tcPr>
          <w:p w:rsidR="00087F4D" w:rsidRPr="005A0B6A" w:rsidRDefault="005A0B6A" w:rsidP="005A0B6A">
            <w:pPr>
              <w:jc w:val="center"/>
              <w:rPr>
                <w:b/>
                <w:sz w:val="24"/>
                <w:szCs w:val="24"/>
              </w:rPr>
            </w:pPr>
            <w:r w:rsidRPr="005A0B6A">
              <w:rPr>
                <w:b/>
                <w:sz w:val="24"/>
                <w:szCs w:val="24"/>
              </w:rPr>
              <w:t>Año</w:t>
            </w:r>
          </w:p>
        </w:tc>
        <w:tc>
          <w:tcPr>
            <w:tcW w:w="2250" w:type="dxa"/>
            <w:tcBorders>
              <w:top w:val="nil"/>
              <w:left w:val="nil"/>
              <w:bottom w:val="single" w:sz="8" w:space="0" w:color="60CAF3"/>
              <w:right w:val="nil"/>
            </w:tcBorders>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Hombres (millones, %)</w:t>
            </w:r>
          </w:p>
        </w:tc>
        <w:tc>
          <w:tcPr>
            <w:tcW w:w="2250" w:type="dxa"/>
            <w:tcBorders>
              <w:top w:val="nil"/>
              <w:left w:val="nil"/>
              <w:bottom w:val="single" w:sz="8" w:space="0" w:color="60CAF3"/>
              <w:right w:val="nil"/>
            </w:tcBorders>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Mujeres (millones, %)</w:t>
            </w:r>
          </w:p>
        </w:tc>
        <w:tc>
          <w:tcPr>
            <w:tcW w:w="2220" w:type="dxa"/>
            <w:tcBorders>
              <w:top w:val="nil"/>
              <w:left w:val="nil"/>
              <w:bottom w:val="single" w:sz="8" w:space="0" w:color="60CAF3"/>
              <w:right w:val="nil"/>
            </w:tcBorders>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Total</w:t>
            </w:r>
            <w:r w:rsidRPr="005A0B6A">
              <w:rPr>
                <w:sz w:val="24"/>
              </w:rPr>
              <w:t>,</w:t>
            </w:r>
            <w:sdt>
              <w:sdtPr>
                <w:rPr>
                  <w:sz w:val="24"/>
                </w:rPr>
                <w:tag w:val="goog_rdk_1"/>
                <w:id w:val="1166157674"/>
              </w:sdtPr>
              <w:sdtEndPr/>
              <w:sdtContent>
                <w:r w:rsidRPr="005A0B6A">
                  <w:rPr>
                    <w:rFonts w:ascii="Arial Unicode MS" w:eastAsia="Arial Unicode MS" w:hAnsi="Arial Unicode MS" w:cs="Arial Unicode MS"/>
                    <w:b/>
                    <w:sz w:val="24"/>
                  </w:rPr>
                  <w:t xml:space="preserve"> adultos con IMC ≥25</w:t>
                </w:r>
              </w:sdtContent>
            </w:sdt>
          </w:p>
        </w:tc>
      </w:tr>
      <w:tr w:rsidR="00087F4D" w:rsidRPr="005A0B6A" w:rsidTr="005A0B6A">
        <w:trPr>
          <w:trHeight w:val="270"/>
          <w:jc w:val="center"/>
        </w:trPr>
        <w:tc>
          <w:tcPr>
            <w:tcW w:w="219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2010</w:t>
            </w:r>
          </w:p>
        </w:tc>
        <w:tc>
          <w:tcPr>
            <w:tcW w:w="225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786 (36%)</w:t>
            </w:r>
          </w:p>
        </w:tc>
        <w:tc>
          <w:tcPr>
            <w:tcW w:w="225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826 (37%)</w:t>
            </w:r>
          </w:p>
        </w:tc>
        <w:tc>
          <w:tcPr>
            <w:tcW w:w="222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1.612 millones</w:t>
            </w:r>
          </w:p>
        </w:tc>
      </w:tr>
      <w:tr w:rsidR="00087F4D" w:rsidRPr="005A0B6A" w:rsidTr="005A0B6A">
        <w:trPr>
          <w:trHeight w:val="255"/>
          <w:jc w:val="center"/>
        </w:trPr>
        <w:tc>
          <w:tcPr>
            <w:tcW w:w="2190" w:type="dxa"/>
            <w:tcBorders>
              <w:top w:val="nil"/>
              <w:left w:val="nil"/>
              <w:bottom w:val="nil"/>
              <w:right w:val="nil"/>
            </w:tcBorders>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2015</w:t>
            </w:r>
          </w:p>
        </w:tc>
        <w:tc>
          <w:tcPr>
            <w:tcW w:w="2250" w:type="dxa"/>
            <w:tcBorders>
              <w:top w:val="nil"/>
              <w:left w:val="nil"/>
              <w:bottom w:val="nil"/>
              <w:right w:val="nil"/>
            </w:tcBorders>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936 (39%)</w:t>
            </w:r>
          </w:p>
        </w:tc>
        <w:tc>
          <w:tcPr>
            <w:tcW w:w="2250" w:type="dxa"/>
            <w:tcBorders>
              <w:top w:val="nil"/>
              <w:left w:val="nil"/>
              <w:bottom w:val="nil"/>
              <w:right w:val="nil"/>
            </w:tcBorders>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968 (40%)</w:t>
            </w:r>
          </w:p>
        </w:tc>
        <w:tc>
          <w:tcPr>
            <w:tcW w:w="2220" w:type="dxa"/>
            <w:tcBorders>
              <w:top w:val="nil"/>
              <w:left w:val="nil"/>
              <w:bottom w:val="nil"/>
              <w:right w:val="nil"/>
            </w:tcBorders>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1.904 millones</w:t>
            </w:r>
          </w:p>
        </w:tc>
      </w:tr>
      <w:tr w:rsidR="00087F4D" w:rsidRPr="005A0B6A" w:rsidTr="005A0B6A">
        <w:trPr>
          <w:trHeight w:val="255"/>
          <w:jc w:val="center"/>
        </w:trPr>
        <w:tc>
          <w:tcPr>
            <w:tcW w:w="219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b/>
                <w:sz w:val="24"/>
              </w:rPr>
            </w:pPr>
            <w:r w:rsidRPr="005A0B6A">
              <w:rPr>
                <w:b/>
                <w:sz w:val="24"/>
              </w:rPr>
              <w:t>2030*</w:t>
            </w:r>
          </w:p>
        </w:tc>
        <w:tc>
          <w:tcPr>
            <w:tcW w:w="225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1.453 (50%)</w:t>
            </w:r>
          </w:p>
        </w:tc>
        <w:tc>
          <w:tcPr>
            <w:tcW w:w="225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1.477 (50%)</w:t>
            </w:r>
          </w:p>
        </w:tc>
        <w:tc>
          <w:tcPr>
            <w:tcW w:w="2220" w:type="dxa"/>
            <w:tcBorders>
              <w:top w:val="nil"/>
              <w:left w:val="nil"/>
              <w:bottom w:val="nil"/>
              <w:right w:val="nil"/>
            </w:tcBorders>
            <w:shd w:val="clear" w:color="auto" w:fill="CAEDFB"/>
            <w:tcMar>
              <w:top w:w="0" w:type="dxa"/>
              <w:left w:w="100" w:type="dxa"/>
              <w:bottom w:w="0" w:type="dxa"/>
              <w:right w:w="100" w:type="dxa"/>
            </w:tcMar>
            <w:vAlign w:val="center"/>
          </w:tcPr>
          <w:p w:rsidR="00087F4D" w:rsidRPr="005A0B6A" w:rsidRDefault="005A0B6A" w:rsidP="005A0B6A">
            <w:pPr>
              <w:jc w:val="center"/>
              <w:rPr>
                <w:sz w:val="24"/>
                <w:szCs w:val="24"/>
              </w:rPr>
            </w:pPr>
            <w:r w:rsidRPr="005A0B6A">
              <w:rPr>
                <w:sz w:val="24"/>
                <w:szCs w:val="24"/>
              </w:rPr>
              <w:t>2.930 millones</w:t>
            </w:r>
          </w:p>
        </w:tc>
      </w:tr>
    </w:tbl>
    <w:p w:rsidR="00087F4D" w:rsidRPr="005A0B6A" w:rsidRDefault="005A0B6A" w:rsidP="005A0B6A">
      <w:pPr>
        <w:jc w:val="center"/>
        <w:rPr>
          <w:sz w:val="16"/>
          <w:szCs w:val="18"/>
        </w:rPr>
      </w:pPr>
      <w:r w:rsidRPr="005A0B6A">
        <w:rPr>
          <w:sz w:val="16"/>
          <w:szCs w:val="18"/>
        </w:rPr>
        <w:t xml:space="preserve">Proyección. </w:t>
      </w:r>
      <w:r w:rsidRPr="005A0B6A">
        <w:rPr>
          <w:b/>
          <w:sz w:val="16"/>
          <w:szCs w:val="18"/>
        </w:rPr>
        <w:t>Fuente:</w:t>
      </w:r>
      <w:r w:rsidRPr="005A0B6A">
        <w:rPr>
          <w:sz w:val="16"/>
          <w:szCs w:val="18"/>
        </w:rPr>
        <w:t xml:space="preserve"> World Obesity Federation (2025)</w:t>
      </w:r>
    </w:p>
    <w:p w:rsidR="00087F4D" w:rsidRDefault="005A0B6A">
      <w:pPr>
        <w:spacing w:before="240" w:after="240"/>
        <w:jc w:val="both"/>
      </w:pPr>
      <w:r>
        <w:t>La obesidad está directamente relacionada con el aumento de Enfermedades No Transmisibles (ENT). En 2021 se estimó que el 15% de las muertes prematuras por ENT fueron atribuibles a un IMC elevado. Este porcentaje se eleva al 55% en el caso de la diabetes tipo 2 (Institute for Health Metrics, 2024).</w:t>
      </w:r>
    </w:p>
    <w:p w:rsidR="00BC1E82" w:rsidRDefault="00BC1E82">
      <w:pPr>
        <w:spacing w:before="240" w:after="240"/>
        <w:jc w:val="both"/>
      </w:pPr>
    </w:p>
    <w:p w:rsidR="00BC1E82" w:rsidRDefault="00BC1E82">
      <w:pPr>
        <w:spacing w:before="240" w:after="240"/>
        <w:jc w:val="both"/>
      </w:pPr>
    </w:p>
    <w:p w:rsidR="005A0B6A" w:rsidRPr="005A0B6A" w:rsidRDefault="005A0B6A" w:rsidP="005A0B6A">
      <w:pPr>
        <w:spacing w:before="240"/>
        <w:jc w:val="center"/>
      </w:pPr>
      <w:r>
        <w:rPr>
          <w:b/>
        </w:rPr>
        <w:lastRenderedPageBreak/>
        <w:t>Figura 1.</w:t>
      </w:r>
      <w:r>
        <w:t xml:space="preserve"> Proporción de muertes prematuras por IMC alto, por tipo de ENT (2021</w:t>
      </w:r>
    </w:p>
    <w:p w:rsidR="00087F4D" w:rsidRDefault="005A0B6A" w:rsidP="005A0B6A">
      <w:pPr>
        <w:jc w:val="center"/>
      </w:pPr>
      <w:r>
        <w:rPr>
          <w:noProof/>
        </w:rPr>
        <w:drawing>
          <wp:inline distT="114300" distB="114300" distL="114300" distR="114300">
            <wp:extent cx="5486400" cy="2886075"/>
            <wp:effectExtent l="0" t="0" r="0" b="9525"/>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1"/>
                    <a:srcRect t="17629"/>
                    <a:stretch/>
                  </pic:blipFill>
                  <pic:spPr bwMode="auto">
                    <a:xfrm>
                      <a:off x="0" y="0"/>
                      <a:ext cx="5486400" cy="2886075"/>
                    </a:xfrm>
                    <a:prstGeom prst="rect">
                      <a:avLst/>
                    </a:prstGeom>
                    <a:ln>
                      <a:noFill/>
                    </a:ln>
                    <a:extLst>
                      <a:ext uri="{53640926-AAD7-44D8-BBD7-CCE9431645EC}">
                        <a14:shadowObscured xmlns:a14="http://schemas.microsoft.com/office/drawing/2010/main"/>
                      </a:ext>
                    </a:extLst>
                  </pic:spPr>
                </pic:pic>
              </a:graphicData>
            </a:graphic>
          </wp:inline>
        </w:drawing>
      </w:r>
    </w:p>
    <w:p w:rsidR="00087F4D" w:rsidRPr="005A0B6A" w:rsidRDefault="005A0B6A" w:rsidP="005A0B6A">
      <w:pPr>
        <w:spacing w:after="240"/>
        <w:jc w:val="center"/>
        <w:rPr>
          <w:sz w:val="16"/>
        </w:rPr>
      </w:pPr>
      <w:r w:rsidRPr="005A0B6A">
        <w:rPr>
          <w:b/>
          <w:sz w:val="16"/>
        </w:rPr>
        <w:t>Fuente</w:t>
      </w:r>
      <w:r w:rsidRPr="005A0B6A">
        <w:rPr>
          <w:sz w:val="16"/>
        </w:rPr>
        <w:t>: Institute for Health Metrics (2024)</w:t>
      </w:r>
      <w:r>
        <w:rPr>
          <w:sz w:val="16"/>
        </w:rPr>
        <w:t>.</w:t>
      </w:r>
    </w:p>
    <w:p w:rsidR="00087F4D" w:rsidRDefault="005A0B6A">
      <w:pPr>
        <w:spacing w:before="240" w:after="240"/>
        <w:jc w:val="both"/>
      </w:pPr>
      <w:r>
        <w:t>Además de las muertes prematuras, la obesidad es responsable de 44,3 millones de años de vida vividos con discapacidad (YLD, por sus siglas en inglés), lo que representa el 27% del total de YLD por ENT a nivel global (World Obesity Federation, 2025).</w:t>
      </w:r>
    </w:p>
    <w:p w:rsidR="00087F4D" w:rsidRDefault="005A0B6A">
      <w:pPr>
        <w:spacing w:before="240" w:after="240"/>
        <w:jc w:val="both"/>
      </w:pPr>
      <w:r>
        <w:t>A pesar de estas cifras alarmantes, de acuerdo con la World Obesity Federation (2025), solo 13 países cuentan con sistemas de salud considerados como “preparados” para atender integralmente la obesidad. Entre 199 países analizados, solamente Tonga cumple 12 de los 13 indicadores de preparación para el tratamiento y prevención de la obesidad (Organización Mundial de la Salud, 2024). Los principales obstáculos incluyen: escaso reconocimiento de la obesidad como enfermedad, estigma social, bajos niveles de inversión en atención, prevención, y limitada capacitación del personal sanitario.</w:t>
      </w:r>
    </w:p>
    <w:p w:rsidR="00087F4D" w:rsidRDefault="005A0B6A">
      <w:pPr>
        <w:spacing w:before="240" w:after="240"/>
        <w:jc w:val="both"/>
      </w:pPr>
      <w:r>
        <w:t>De igual manera, se observa un incremento sostenido del sedentarismo y de dietas ultra procesadas, que son promovidas globalmente por industrias alimentarias a través de publicidad agresiva. Las diferencias de género, igualmente, son significativas: en todas las regiones del mundo, las mujeres tienen mayores tasas de inactividad física, de acuerdo con la Organización Mundial de la Salud (2024), lo que demanda respuestas con enfoque de género.</w:t>
      </w:r>
    </w:p>
    <w:p w:rsidR="00087F4D" w:rsidRDefault="005A0B6A">
      <w:pPr>
        <w:spacing w:before="240" w:after="240"/>
        <w:jc w:val="both"/>
      </w:pPr>
      <w:r>
        <w:t>Frente a esta crisis, la OMS propone un paquete técnico de medidas urgentes y costo-efectivas para detener la epidemia de obesidad. Estas incluyen regulaciones fiscales, entornos alimentarios saludables, educación nutricional y garantía de acceso a servicios de salud libres de estigmas.</w:t>
      </w:r>
    </w:p>
    <w:p w:rsidR="001B0AC4" w:rsidRDefault="001B0AC4" w:rsidP="00F05498">
      <w:pPr>
        <w:jc w:val="both"/>
      </w:pPr>
    </w:p>
    <w:p w:rsidR="00087F4D" w:rsidRDefault="001B0AC4" w:rsidP="00D45B1F">
      <w:pPr>
        <w:spacing w:after="240"/>
        <w:ind w:left="709" w:hanging="426"/>
        <w:jc w:val="both"/>
        <w:rPr>
          <w:b/>
          <w:sz w:val="24"/>
          <w:szCs w:val="24"/>
        </w:rPr>
      </w:pPr>
      <w:r>
        <w:rPr>
          <w:b/>
          <w:sz w:val="24"/>
          <w:szCs w:val="24"/>
        </w:rPr>
        <w:lastRenderedPageBreak/>
        <w:t xml:space="preserve">2.3. </w:t>
      </w:r>
      <w:r w:rsidR="005A0B6A">
        <w:rPr>
          <w:b/>
          <w:sz w:val="24"/>
          <w:szCs w:val="24"/>
        </w:rPr>
        <w:t>El panorama de la obesidad en Colombia: necesidad de respuesta inmediata a un problema en constante crecimiento</w:t>
      </w:r>
    </w:p>
    <w:p w:rsidR="00087F4D" w:rsidRDefault="005A0B6A">
      <w:pPr>
        <w:spacing w:before="240" w:after="240"/>
        <w:jc w:val="both"/>
        <w:rPr>
          <w:sz w:val="24"/>
          <w:szCs w:val="24"/>
        </w:rPr>
      </w:pPr>
      <w:r>
        <w:rPr>
          <w:sz w:val="24"/>
          <w:szCs w:val="24"/>
        </w:rPr>
        <w:t>Colombia, de acuerdo con la Universidad Nacional (2024), enfrenta una crisis creciente de malnutrición por exceso de peso. Por otra parte, de acuerdo con la Encuesta Nacional de Situación Nutricional de 2015, el 56% de los adultos vivían con sobrepeso u obesidad para ese momento. Aunque no se dispone de datos oficiales más recientes, distintas fuentes indican que esta cifra podría superar actualmente el 60%.</w:t>
      </w:r>
    </w:p>
    <w:p w:rsidR="00087F4D" w:rsidRDefault="005A0B6A">
      <w:pPr>
        <w:spacing w:before="240" w:after="240"/>
        <w:jc w:val="both"/>
        <w:rPr>
          <w:sz w:val="24"/>
          <w:szCs w:val="24"/>
        </w:rPr>
      </w:pPr>
      <w:r>
        <w:rPr>
          <w:sz w:val="24"/>
          <w:szCs w:val="24"/>
        </w:rPr>
        <w:t>El problema no se limita a la población adulta. La ENSIN 2015 mostraba ya una tendencia ascendente en niños, niñas y adolescentes:</w:t>
      </w:r>
    </w:p>
    <w:p w:rsidR="00087F4D" w:rsidRPr="006C3495" w:rsidRDefault="005A0B6A" w:rsidP="006C3495">
      <w:pPr>
        <w:pStyle w:val="Prrafodelista"/>
        <w:numPr>
          <w:ilvl w:val="0"/>
          <w:numId w:val="12"/>
        </w:numPr>
        <w:spacing w:before="240" w:after="240"/>
        <w:jc w:val="both"/>
        <w:rPr>
          <w:sz w:val="24"/>
          <w:szCs w:val="24"/>
        </w:rPr>
      </w:pPr>
      <w:r w:rsidRPr="006C3495">
        <w:rPr>
          <w:sz w:val="24"/>
          <w:szCs w:val="24"/>
        </w:rPr>
        <w:t>Niños/as menores de 05 años: 6,3% con exceso de peso</w:t>
      </w:r>
    </w:p>
    <w:p w:rsidR="00087F4D" w:rsidRPr="006C3495" w:rsidRDefault="005A0B6A" w:rsidP="006C3495">
      <w:pPr>
        <w:pStyle w:val="Prrafodelista"/>
        <w:numPr>
          <w:ilvl w:val="0"/>
          <w:numId w:val="12"/>
        </w:numPr>
        <w:spacing w:before="240" w:after="240"/>
        <w:jc w:val="both"/>
        <w:rPr>
          <w:sz w:val="24"/>
          <w:szCs w:val="24"/>
        </w:rPr>
      </w:pPr>
      <w:r w:rsidRPr="006C3495">
        <w:rPr>
          <w:sz w:val="24"/>
          <w:szCs w:val="24"/>
        </w:rPr>
        <w:t>Niños/as entre 05 y 12 años: 24,4%</w:t>
      </w:r>
    </w:p>
    <w:p w:rsidR="00087F4D" w:rsidRPr="006C3495" w:rsidRDefault="005A0B6A" w:rsidP="006C3495">
      <w:pPr>
        <w:pStyle w:val="Prrafodelista"/>
        <w:numPr>
          <w:ilvl w:val="0"/>
          <w:numId w:val="12"/>
        </w:numPr>
        <w:spacing w:before="240" w:after="240"/>
        <w:jc w:val="both"/>
        <w:rPr>
          <w:sz w:val="24"/>
          <w:szCs w:val="24"/>
        </w:rPr>
      </w:pPr>
      <w:r w:rsidRPr="006C3495">
        <w:rPr>
          <w:sz w:val="24"/>
          <w:szCs w:val="24"/>
        </w:rPr>
        <w:t>Adolescentes de 13 a 17 años: 17,9%</w:t>
      </w:r>
    </w:p>
    <w:p w:rsidR="00087F4D" w:rsidRDefault="005A0B6A">
      <w:pPr>
        <w:spacing w:before="240" w:after="240"/>
        <w:jc w:val="both"/>
        <w:rPr>
          <w:sz w:val="24"/>
          <w:szCs w:val="24"/>
        </w:rPr>
      </w:pPr>
      <w:r>
        <w:rPr>
          <w:sz w:val="24"/>
          <w:szCs w:val="24"/>
        </w:rPr>
        <w:t>En el caso bogotano, la capital del país, la situación se complejiza. En 2022, el Concejo de Bogotá, y con base en los resultados del Observatorio de Salud de Bogotá, alertó que más del 60% de los adultos y el 26% de los niños y niñas en edad escolar tenían exceso de peso. Estas cifras se agravan por la exposición a publicidad de alimentos poco saludables, la falta de espacios públicos adecuados para la actividad física y la baja educación nutricional en la población escolar.</w:t>
      </w:r>
    </w:p>
    <w:p w:rsidR="00087F4D" w:rsidRDefault="005A0B6A">
      <w:pPr>
        <w:spacing w:before="240" w:after="240"/>
        <w:jc w:val="both"/>
        <w:rPr>
          <w:sz w:val="24"/>
          <w:szCs w:val="24"/>
        </w:rPr>
      </w:pPr>
      <w:r>
        <w:rPr>
          <w:sz w:val="24"/>
          <w:szCs w:val="24"/>
        </w:rPr>
        <w:t xml:space="preserve">Aunque el país ha dado pasos importantes, como la </w:t>
      </w:r>
      <w:r w:rsidR="00F5232E">
        <w:rPr>
          <w:sz w:val="24"/>
          <w:szCs w:val="24"/>
        </w:rPr>
        <w:t>L</w:t>
      </w:r>
      <w:r>
        <w:rPr>
          <w:sz w:val="24"/>
          <w:szCs w:val="24"/>
        </w:rPr>
        <w:t xml:space="preserve">ey 1355 de 2009 (Ley General para el Manejo Integral de la Obesidad), o la </w:t>
      </w:r>
      <w:r w:rsidR="00F5232E">
        <w:rPr>
          <w:sz w:val="24"/>
          <w:szCs w:val="24"/>
        </w:rPr>
        <w:t>Ley 2120 de 2021 (</w:t>
      </w:r>
      <w:r>
        <w:rPr>
          <w:sz w:val="24"/>
          <w:szCs w:val="24"/>
        </w:rPr>
        <w:t>establece la implementación del e</w:t>
      </w:r>
      <w:r w:rsidR="00F5232E">
        <w:rPr>
          <w:sz w:val="24"/>
          <w:szCs w:val="24"/>
        </w:rPr>
        <w:t xml:space="preserve">tiquetado frontal de alimentos) </w:t>
      </w:r>
      <w:r>
        <w:rPr>
          <w:sz w:val="24"/>
          <w:szCs w:val="24"/>
        </w:rPr>
        <w:t>y el Plan Decenal de Salud Pública 2022 – 2031, persisten retos importantes en su implementación y monitoreo, especialmente a nivel territorial. A pesar de contar con estrategias nacional, estas no se traducen de manera consistente en programas locales sostenibles, lo que perpetúa las brechas regionales y socioeconómicas en los indicadores nutricionales.</w:t>
      </w:r>
    </w:p>
    <w:p w:rsidR="000D0947" w:rsidRDefault="000D0947">
      <w:pPr>
        <w:spacing w:before="240" w:after="240"/>
        <w:jc w:val="both"/>
        <w:rPr>
          <w:sz w:val="24"/>
          <w:szCs w:val="24"/>
        </w:rPr>
      </w:pPr>
      <w:r>
        <w:rPr>
          <w:rFonts w:ascii="Arial Unicode MS" w:eastAsia="Arial Unicode MS" w:hAnsi="Arial Unicode MS" w:cs="Arial Unicode MS"/>
          <w:sz w:val="24"/>
          <w:szCs w:val="24"/>
        </w:rPr>
        <w:t>La ENSIN 2015 reportó que el exceso de peso en adultos colombianos fue del 56,4%, con diferencias marcadas entre regiones. Por obesidad general (IMC ≥ 30 kg/m²), se observó una prevalencia del 18,7%, mayor en mujeres (22,4%) que en hombres (14,4%). Por regiones, fue más frecuente en Orinoquía–Amazonía (21,8%), Pacífica (21,0</w:t>
      </w:r>
      <w:r w:rsidR="00527836">
        <w:rPr>
          <w:rFonts w:ascii="Arial Unicode MS" w:eastAsia="Arial Unicode MS" w:hAnsi="Arial Unicode MS" w:cs="Arial Unicode MS"/>
          <w:sz w:val="24"/>
          <w:szCs w:val="24"/>
        </w:rPr>
        <w:t>%), y Atlántica (19,9</w:t>
      </w:r>
      <w:r>
        <w:rPr>
          <w:rFonts w:ascii="Arial Unicode MS" w:eastAsia="Arial Unicode MS" w:hAnsi="Arial Unicode MS" w:cs="Arial Unicode MS"/>
          <w:sz w:val="24"/>
          <w:szCs w:val="24"/>
        </w:rPr>
        <w:t>%)</w:t>
      </w:r>
    </w:p>
    <w:p w:rsidR="00087F4D" w:rsidRDefault="005A0B6A">
      <w:pPr>
        <w:spacing w:before="240" w:after="240"/>
        <w:jc w:val="both"/>
        <w:rPr>
          <w:sz w:val="24"/>
          <w:szCs w:val="24"/>
        </w:rPr>
      </w:pPr>
      <w:r>
        <w:rPr>
          <w:sz w:val="24"/>
          <w:szCs w:val="24"/>
        </w:rPr>
        <w:t xml:space="preserve">Los departamentos con </w:t>
      </w:r>
      <w:r w:rsidRPr="00875414">
        <w:rPr>
          <w:sz w:val="24"/>
          <w:szCs w:val="24"/>
        </w:rPr>
        <w:t>mayor</w:t>
      </w:r>
      <w:r w:rsidR="00527836" w:rsidRPr="00875414">
        <w:rPr>
          <w:sz w:val="24"/>
          <w:szCs w:val="24"/>
        </w:rPr>
        <w:t>es cifras reportadas de personas con</w:t>
      </w:r>
      <w:r>
        <w:rPr>
          <w:sz w:val="24"/>
          <w:szCs w:val="24"/>
        </w:rPr>
        <w:t xml:space="preserve"> exceso de pes</w:t>
      </w:r>
      <w:r w:rsidR="00527836">
        <w:rPr>
          <w:sz w:val="24"/>
          <w:szCs w:val="24"/>
        </w:rPr>
        <w:t>o fueron Amazonas (72,4</w:t>
      </w:r>
      <w:r>
        <w:rPr>
          <w:sz w:val="24"/>
          <w:szCs w:val="24"/>
        </w:rPr>
        <w:t xml:space="preserve">%), San Andrés (65,6%), Vichada (65,3%) y Guainía (64,1%). Se identificaron clústeres de obesidad abdominal en Antioquia, Córdoba, Bolívar, Sucre, </w:t>
      </w:r>
      <w:r>
        <w:rPr>
          <w:sz w:val="24"/>
          <w:szCs w:val="24"/>
        </w:rPr>
        <w:lastRenderedPageBreak/>
        <w:t>César y Magdalena. Además, más del 59% de mujeres y el 39% de hombres presentan obesidad abdominal, especialmente entre afrodescendientes (50,8%) e indígenas (66,2%).</w:t>
      </w:r>
    </w:p>
    <w:p w:rsidR="00087F4D" w:rsidRDefault="005A0B6A">
      <w:pPr>
        <w:spacing w:before="240" w:after="240"/>
        <w:jc w:val="both"/>
        <w:rPr>
          <w:sz w:val="24"/>
          <w:szCs w:val="24"/>
        </w:rPr>
      </w:pPr>
      <w:r>
        <w:rPr>
          <w:sz w:val="24"/>
          <w:szCs w:val="24"/>
        </w:rPr>
        <w:t>Uno de cada seis niños y adolescentes entre 5 y 17 años presenta sobrepeso u obesidad. La región Orinoquía–Amazonía destaca con una prevalencia del 25,3% en adolescentes, seguida por la Pacífica. Las mujeres adolescentes registran cifras superiores a los hombres.</w:t>
      </w:r>
    </w:p>
    <w:p w:rsidR="00087F4D" w:rsidRDefault="005A0B6A" w:rsidP="00B072FB">
      <w:pPr>
        <w:spacing w:before="240"/>
        <w:jc w:val="both"/>
        <w:rPr>
          <w:sz w:val="24"/>
          <w:szCs w:val="24"/>
        </w:rPr>
      </w:pPr>
      <w:r>
        <w:rPr>
          <w:sz w:val="24"/>
          <w:szCs w:val="24"/>
        </w:rPr>
        <w:t xml:space="preserve">Estos patrones están determinados por factores </w:t>
      </w:r>
      <w:r w:rsidR="00527836">
        <w:rPr>
          <w:sz w:val="24"/>
          <w:szCs w:val="24"/>
        </w:rPr>
        <w:t>socio geográficos</w:t>
      </w:r>
      <w:r>
        <w:rPr>
          <w:sz w:val="24"/>
          <w:szCs w:val="24"/>
        </w:rPr>
        <w:t xml:space="preserve"> como dietas altas en carbohidratos, bajo acceso a espacios públicos para actividad física, alto consumo de alimentos ultra procesados y desigualdades urbanas y rurales. Todo ello configura un entorno obesogénico, con implicaciones importantes para las políticas públicas.</w:t>
      </w:r>
    </w:p>
    <w:p w:rsidR="00527836" w:rsidRDefault="00527836" w:rsidP="00B072FB">
      <w:pPr>
        <w:jc w:val="both"/>
        <w:rPr>
          <w:sz w:val="24"/>
          <w:szCs w:val="24"/>
        </w:rPr>
      </w:pPr>
    </w:p>
    <w:p w:rsidR="00087F4D" w:rsidRDefault="00527836" w:rsidP="00D45B1F">
      <w:pPr>
        <w:spacing w:before="240" w:after="240"/>
        <w:ind w:left="284"/>
        <w:jc w:val="both"/>
        <w:rPr>
          <w:b/>
          <w:sz w:val="24"/>
          <w:szCs w:val="24"/>
        </w:rPr>
      </w:pPr>
      <w:r>
        <w:rPr>
          <w:b/>
          <w:sz w:val="24"/>
          <w:szCs w:val="24"/>
        </w:rPr>
        <w:t xml:space="preserve">2.4. </w:t>
      </w:r>
      <w:r w:rsidR="005A0B6A">
        <w:rPr>
          <w:b/>
          <w:sz w:val="24"/>
          <w:szCs w:val="24"/>
        </w:rPr>
        <w:t>Retos pendientes y articulación multisectorial</w:t>
      </w:r>
    </w:p>
    <w:p w:rsidR="00087F4D" w:rsidRDefault="005A0B6A">
      <w:pPr>
        <w:spacing w:before="240" w:after="240"/>
        <w:jc w:val="both"/>
        <w:rPr>
          <w:sz w:val="24"/>
          <w:szCs w:val="24"/>
        </w:rPr>
      </w:pPr>
      <w:r>
        <w:rPr>
          <w:sz w:val="24"/>
          <w:szCs w:val="24"/>
        </w:rPr>
        <w:t xml:space="preserve">A pesar de los avances normativos, persisten retos importantes en la implementación efectiva de políticas públicas para enfrentar la obesidad en Colombia. La persistencia de entornos </w:t>
      </w:r>
      <w:proofErr w:type="spellStart"/>
      <w:r>
        <w:rPr>
          <w:sz w:val="24"/>
          <w:szCs w:val="24"/>
        </w:rPr>
        <w:t>obesogénicos</w:t>
      </w:r>
      <w:proofErr w:type="spellEnd"/>
      <w:r>
        <w:rPr>
          <w:sz w:val="24"/>
          <w:szCs w:val="24"/>
        </w:rPr>
        <w:t>, el escaso acceso a espacios seguros para la actividad física, la publicidad masiva de alimentos ultra procesados y las desigualdades socioeconómicas siguen siendo barreras estructurales.</w:t>
      </w:r>
    </w:p>
    <w:p w:rsidR="00087F4D" w:rsidRDefault="005A0B6A">
      <w:pPr>
        <w:spacing w:before="240" w:after="240"/>
        <w:jc w:val="both"/>
        <w:rPr>
          <w:sz w:val="24"/>
          <w:szCs w:val="24"/>
        </w:rPr>
      </w:pPr>
      <w:r>
        <w:rPr>
          <w:sz w:val="24"/>
          <w:szCs w:val="24"/>
        </w:rPr>
        <w:t xml:space="preserve">El abordaje integral de esta problemática exige una </w:t>
      </w:r>
      <w:r>
        <w:rPr>
          <w:b/>
          <w:sz w:val="24"/>
          <w:szCs w:val="24"/>
        </w:rPr>
        <w:t>articulación multisectorial real</w:t>
      </w:r>
      <w:r>
        <w:rPr>
          <w:sz w:val="24"/>
          <w:szCs w:val="24"/>
        </w:rPr>
        <w:t xml:space="preserve"> que incluya a los ministerios de Salud, Educación, Agricultura, Cultura, Deporte y Transporte; así como al sector privado, el ámbito académico, las organizaciones de la sociedad civil y los gobiernos territoriales. La generación de entornos escolares y laborales saludables, la promoción de etiquetado nutricional claro, y la implementación de medidas fiscales y regulatorias sobre productos ultraprocesados son algunas de las acciones clave pendientes.</w:t>
      </w:r>
    </w:p>
    <w:p w:rsidR="00087F4D" w:rsidRDefault="005A0B6A" w:rsidP="008F23E2">
      <w:pPr>
        <w:spacing w:before="240"/>
        <w:jc w:val="both"/>
        <w:rPr>
          <w:sz w:val="24"/>
          <w:szCs w:val="24"/>
        </w:rPr>
      </w:pPr>
      <w:r>
        <w:rPr>
          <w:sz w:val="24"/>
          <w:szCs w:val="24"/>
        </w:rPr>
        <w:t>Por tanto, el reconocimiento normativo de la obesidad como enfermedad crónica, junto con una legislación específica que articule los esfuerzos de prevención, atención y garantía de derechos, representa un paso fundamental para revertir las alarmantes cifras actuales y garantizar el derecho a la salud y a una vida digna para la población colombiana.</w:t>
      </w:r>
    </w:p>
    <w:p w:rsidR="00087F4D" w:rsidRDefault="00B072FB" w:rsidP="00D45B1F">
      <w:pPr>
        <w:spacing w:before="240" w:after="240"/>
        <w:ind w:left="709" w:hanging="426"/>
        <w:jc w:val="both"/>
        <w:rPr>
          <w:b/>
          <w:sz w:val="24"/>
          <w:szCs w:val="24"/>
        </w:rPr>
      </w:pPr>
      <w:r>
        <w:rPr>
          <w:b/>
          <w:sz w:val="24"/>
          <w:szCs w:val="24"/>
        </w:rPr>
        <w:t>2.5. L</w:t>
      </w:r>
      <w:r w:rsidR="005A0B6A">
        <w:rPr>
          <w:b/>
          <w:sz w:val="24"/>
          <w:szCs w:val="24"/>
        </w:rPr>
        <w:t>a necesidad de actualizar el marco normativo en obesidad y avanzar en un abordaje integral de la enfermedad</w:t>
      </w:r>
    </w:p>
    <w:p w:rsidR="00087F4D" w:rsidRDefault="005A0B6A" w:rsidP="00D45B1F">
      <w:pPr>
        <w:spacing w:before="240"/>
        <w:jc w:val="both"/>
        <w:rPr>
          <w:sz w:val="24"/>
          <w:szCs w:val="24"/>
        </w:rPr>
      </w:pPr>
      <w:r>
        <w:rPr>
          <w:sz w:val="24"/>
          <w:szCs w:val="24"/>
        </w:rPr>
        <w:lastRenderedPageBreak/>
        <w:t>A pesar de los avances normativos, el marco legal vigente resulta insuficiente para responder a la complejidad de la obesidad en el país, al tratarse de una condición crónica, multifactorial y socialmente determinada. Por ello, es urgente una actualización en materia legislativa que articule acciones multisectoriales y adopte un enfoque integral de prevención, atención y seguimiento de la obesidad.</w:t>
      </w:r>
    </w:p>
    <w:p w:rsidR="00D45B1F" w:rsidRDefault="00D45B1F" w:rsidP="00D45B1F">
      <w:pPr>
        <w:jc w:val="both"/>
        <w:rPr>
          <w:sz w:val="24"/>
          <w:szCs w:val="24"/>
        </w:rPr>
      </w:pPr>
    </w:p>
    <w:p w:rsidR="00F05498" w:rsidRDefault="00D45B1F" w:rsidP="00D45B1F">
      <w:pPr>
        <w:spacing w:before="240" w:after="240"/>
        <w:ind w:left="284"/>
        <w:jc w:val="both"/>
        <w:rPr>
          <w:b/>
          <w:sz w:val="24"/>
          <w:szCs w:val="24"/>
        </w:rPr>
      </w:pPr>
      <w:r>
        <w:rPr>
          <w:b/>
          <w:sz w:val="24"/>
          <w:szCs w:val="24"/>
        </w:rPr>
        <w:t xml:space="preserve">2.6. </w:t>
      </w:r>
      <w:r w:rsidR="00F05498">
        <w:rPr>
          <w:b/>
          <w:sz w:val="24"/>
          <w:szCs w:val="24"/>
        </w:rPr>
        <w:t>Marco normativo y de política pública de la obesidad en Colombia</w:t>
      </w:r>
    </w:p>
    <w:p w:rsidR="00F05498" w:rsidRDefault="00F05498" w:rsidP="00F05498">
      <w:pPr>
        <w:spacing w:before="240" w:after="240"/>
        <w:jc w:val="both"/>
        <w:rPr>
          <w:sz w:val="24"/>
          <w:szCs w:val="24"/>
        </w:rPr>
      </w:pPr>
      <w:r>
        <w:rPr>
          <w:sz w:val="24"/>
          <w:szCs w:val="24"/>
        </w:rPr>
        <w:t>La obesidad se ha consolidado como uno de los principales desafíos de salud pública en el siglo XXI. En Colombia, esta problemática ha alcanzado niveles alarmantes: según la Encuesta Nacional de Situación Nutricional (ENSIN) 2015, más del 56% de los adultos, el 24,2% de los menores en edad escolar y el 17,9% de los adolescentes presentan sobrepeso u obesidad (Ministerio de Salud y Protección Social et al., 2017). Esta condición no solo representa un riesgo elevado para el desarrollo de enfermedades crónicas no transmisibles (ENT) como la diabetes tipo 2, enfermedades cardiovasculares y ciertos tipos de cáncer, sino que también conlleva una carga económica creciente para el sistema de salud y para los hogares, comprometiendo la calidad de vida de millones de personas.</w:t>
      </w:r>
    </w:p>
    <w:p w:rsidR="00F05498" w:rsidRDefault="00F05498" w:rsidP="00F05498">
      <w:pPr>
        <w:spacing w:before="240" w:after="240"/>
        <w:jc w:val="both"/>
        <w:rPr>
          <w:sz w:val="24"/>
          <w:szCs w:val="24"/>
        </w:rPr>
      </w:pPr>
      <w:r>
        <w:rPr>
          <w:sz w:val="24"/>
          <w:szCs w:val="24"/>
        </w:rPr>
        <w:t xml:space="preserve">En respuesta a esta crisis, el Estado colombiano ha avanzado en la formulación de un marco normativo y de política pública cada vez más robusto, encaminado a la prevención, atención integral y control del sobrepeso y la obesidad, desde un enfoque de derechos humanos, equidad, interseccionalidad y curso de vida. Este marco se encuentra alineado con los compromisos internacionales, como las metas de nutrición adoptadas por la Asamblea Mundial de la Salud (OMS, 2014), las cuales buscan, entre otros objetivos, </w:t>
      </w:r>
      <w:r w:rsidRPr="004318A2">
        <w:rPr>
          <w:b/>
          <w:sz w:val="24"/>
          <w:szCs w:val="24"/>
        </w:rPr>
        <w:t>detener el aumento de sobrepeso en la niñez al 2030</w:t>
      </w:r>
      <w:r>
        <w:rPr>
          <w:sz w:val="24"/>
          <w:szCs w:val="24"/>
        </w:rPr>
        <w:t>.</w:t>
      </w:r>
    </w:p>
    <w:p w:rsidR="00F05498" w:rsidRDefault="00F05498" w:rsidP="00F05498">
      <w:pPr>
        <w:spacing w:before="240" w:after="240"/>
        <w:jc w:val="both"/>
        <w:rPr>
          <w:sz w:val="24"/>
          <w:szCs w:val="24"/>
        </w:rPr>
      </w:pPr>
      <w:r>
        <w:rPr>
          <w:sz w:val="24"/>
          <w:szCs w:val="24"/>
        </w:rPr>
        <w:t xml:space="preserve">Uno de los hitos normativos más importantes fue la promulgación de la </w:t>
      </w:r>
      <w:r>
        <w:rPr>
          <w:b/>
          <w:sz w:val="24"/>
          <w:szCs w:val="24"/>
        </w:rPr>
        <w:t>Ley 1355 de 2009</w:t>
      </w:r>
      <w:r>
        <w:rPr>
          <w:sz w:val="24"/>
          <w:szCs w:val="24"/>
        </w:rPr>
        <w:t xml:space="preserve">, que declaró la obesidad como una enfermedad crónica y prioritaria en salud pública. Esta ley reconoce que el exceso de peso es un factor de riesgo directo para múltiples patologías y llama a implementar acciones intersectoriales para su abordaje. Posteriormente, la </w:t>
      </w:r>
      <w:r>
        <w:rPr>
          <w:b/>
          <w:sz w:val="24"/>
          <w:szCs w:val="24"/>
        </w:rPr>
        <w:t>Ley 2120 de 2021</w:t>
      </w:r>
      <w:r>
        <w:rPr>
          <w:sz w:val="24"/>
          <w:szCs w:val="24"/>
        </w:rPr>
        <w:t xml:space="preserve"> adoptó medidas para fomentar entornos alimentarios saludables, en un esfuerzo por prevenir las ENT a través de políticas que regulan la oferta de alimentos y promueven una alimentación equilibrada.</w:t>
      </w:r>
    </w:p>
    <w:p w:rsidR="00F05498" w:rsidRDefault="00F05498" w:rsidP="00F05498">
      <w:pPr>
        <w:spacing w:before="240" w:after="240"/>
        <w:jc w:val="both"/>
        <w:rPr>
          <w:sz w:val="24"/>
          <w:szCs w:val="24"/>
        </w:rPr>
      </w:pPr>
      <w:r>
        <w:rPr>
          <w:sz w:val="24"/>
          <w:szCs w:val="24"/>
        </w:rPr>
        <w:t xml:space="preserve">De forma más reciente, el </w:t>
      </w:r>
      <w:r>
        <w:rPr>
          <w:b/>
          <w:sz w:val="24"/>
          <w:szCs w:val="24"/>
        </w:rPr>
        <w:t>Acto Legislativo 01 de 2025</w:t>
      </w:r>
      <w:r>
        <w:rPr>
          <w:sz w:val="24"/>
          <w:szCs w:val="24"/>
        </w:rPr>
        <w:t xml:space="preserve"> modificó el artículo 65 de la Constitución Política, consagrando el derecho humano a una alimentación adecuada, con enfoque intercultural y territorial. Esta modificación constitucional representa un avance significativo al establecer obligaciones explícitas para el Estado en la garantía </w:t>
      </w:r>
      <w:r>
        <w:rPr>
          <w:sz w:val="24"/>
          <w:szCs w:val="24"/>
        </w:rPr>
        <w:lastRenderedPageBreak/>
        <w:t>progresiva del derecho a la alimentación, en todas sus dimensiones, incluida la prevención de la obesidad y otras formas de malnutrición.</w:t>
      </w:r>
    </w:p>
    <w:p w:rsidR="00F05498" w:rsidRDefault="00F05498" w:rsidP="00F05498">
      <w:pPr>
        <w:spacing w:before="240" w:after="240"/>
        <w:jc w:val="both"/>
        <w:rPr>
          <w:sz w:val="24"/>
          <w:szCs w:val="24"/>
        </w:rPr>
      </w:pPr>
      <w:r>
        <w:rPr>
          <w:sz w:val="24"/>
          <w:szCs w:val="24"/>
        </w:rPr>
        <w:t xml:space="preserve">Complementando estas disposiciones, la </w:t>
      </w:r>
      <w:r>
        <w:rPr>
          <w:b/>
          <w:sz w:val="24"/>
          <w:szCs w:val="24"/>
        </w:rPr>
        <w:t>Ley 2294 de 2023</w:t>
      </w:r>
      <w:r>
        <w:rPr>
          <w:sz w:val="24"/>
          <w:szCs w:val="24"/>
        </w:rPr>
        <w:t>, que contiene el Plan Nacional de Desarrollo 2022-2026, creó dos sistemas fundamentales: el Sistema Nacional de Seguimiento y Monitoreo de la Malnutrición, y el Sistema Nacional para la Garantía Progresiva del Derecho a la Alimentación. Ambos mecanismos permiten una mejor articulación institucional, monitoreo territorial y gestión de información para la toma de decisiones en política pública.</w:t>
      </w:r>
    </w:p>
    <w:p w:rsidR="00F05498" w:rsidRDefault="00F05498" w:rsidP="004318A2">
      <w:pPr>
        <w:spacing w:after="240"/>
        <w:jc w:val="both"/>
        <w:rPr>
          <w:sz w:val="24"/>
          <w:szCs w:val="24"/>
        </w:rPr>
      </w:pPr>
      <w:r>
        <w:rPr>
          <w:sz w:val="24"/>
          <w:szCs w:val="24"/>
        </w:rPr>
        <w:t xml:space="preserve">La obesidad, al ser una enfermedad multifactorial, requiere un abordaje integral que trascienda el sector salud. Documentos como el </w:t>
      </w:r>
      <w:r>
        <w:rPr>
          <w:b/>
          <w:sz w:val="24"/>
          <w:szCs w:val="24"/>
        </w:rPr>
        <w:t>Plan Decenal de Salud Pública 2022-2031</w:t>
      </w:r>
      <w:r>
        <w:rPr>
          <w:sz w:val="24"/>
          <w:szCs w:val="24"/>
        </w:rPr>
        <w:t xml:space="preserve"> reconocen esta necesidad al incorporar un enfoque de determinación social de la salud, que vincula los entornos alimentarios, el acceso a espacios para la actividad física, la educación nutricional, los sistemas de información y los determinantes estructurales como la pobreza, la desigualdad y el modelo urbano.</w:t>
      </w:r>
    </w:p>
    <w:p w:rsidR="00F05498" w:rsidRDefault="00F05498" w:rsidP="00F05498">
      <w:pPr>
        <w:spacing w:before="240" w:after="240"/>
        <w:jc w:val="both"/>
        <w:rPr>
          <w:sz w:val="24"/>
          <w:szCs w:val="24"/>
        </w:rPr>
      </w:pPr>
      <w:r>
        <w:rPr>
          <w:sz w:val="24"/>
          <w:szCs w:val="24"/>
        </w:rPr>
        <w:t xml:space="preserve">En el marco de este plan, se promueve el uso de </w:t>
      </w:r>
      <w:r>
        <w:rPr>
          <w:b/>
          <w:sz w:val="24"/>
          <w:szCs w:val="24"/>
        </w:rPr>
        <w:t>Rutas Integrales de Atención en Salud (RIAS)</w:t>
      </w:r>
      <w:r>
        <w:rPr>
          <w:sz w:val="24"/>
          <w:szCs w:val="24"/>
        </w:rPr>
        <w:t xml:space="preserve"> como herramienta operativa. Por ejemplo, la </w:t>
      </w:r>
      <w:r>
        <w:rPr>
          <w:b/>
          <w:sz w:val="24"/>
          <w:szCs w:val="24"/>
        </w:rPr>
        <w:t>Resolución 3280 de 2018</w:t>
      </w:r>
      <w:r>
        <w:rPr>
          <w:sz w:val="24"/>
          <w:szCs w:val="24"/>
        </w:rPr>
        <w:t xml:space="preserve"> establece lineamientos para la detección del riesgo de sobrepeso y obesidad a lo largo del curso de vida, desde la primera infancia hasta la adultez. Asimismo, la </w:t>
      </w:r>
      <w:r>
        <w:rPr>
          <w:b/>
          <w:sz w:val="24"/>
          <w:szCs w:val="24"/>
        </w:rPr>
        <w:t>Resolución 2465 de 2016</w:t>
      </w:r>
      <w:r>
        <w:rPr>
          <w:sz w:val="24"/>
          <w:szCs w:val="24"/>
        </w:rPr>
        <w:t xml:space="preserve"> estandariza los criterios antropométricos para el diagnóstico de exceso de peso, asegurando una identificación oportuna y homogénea.</w:t>
      </w:r>
    </w:p>
    <w:p w:rsidR="00F05498" w:rsidRDefault="00F05498" w:rsidP="00A34356">
      <w:pPr>
        <w:jc w:val="both"/>
        <w:rPr>
          <w:sz w:val="24"/>
          <w:szCs w:val="24"/>
        </w:rPr>
      </w:pPr>
      <w:r>
        <w:rPr>
          <w:sz w:val="24"/>
          <w:szCs w:val="24"/>
        </w:rPr>
        <w:t xml:space="preserve">Otro documento relevante es el </w:t>
      </w:r>
      <w:r>
        <w:rPr>
          <w:b/>
          <w:sz w:val="24"/>
          <w:szCs w:val="24"/>
        </w:rPr>
        <w:t>Plan Decenal de Lactancia Materna y Alimentación Complementaria 2021-2030</w:t>
      </w:r>
      <w:r>
        <w:rPr>
          <w:sz w:val="24"/>
          <w:szCs w:val="24"/>
        </w:rPr>
        <w:t>, que refuerza la importancia de la nutrición en los primeros mil días de vida como estrategia fundamental de prevención de la obesidad infantil, destacando el rol de la lactancia materna exclusiva y de la alimentación complementaria adecuada.</w:t>
      </w:r>
    </w:p>
    <w:p w:rsidR="00F05498" w:rsidRDefault="00F05498" w:rsidP="00A34356">
      <w:pPr>
        <w:spacing w:after="240"/>
        <w:jc w:val="both"/>
        <w:rPr>
          <w:b/>
          <w:sz w:val="24"/>
          <w:szCs w:val="24"/>
        </w:rPr>
      </w:pPr>
    </w:p>
    <w:p w:rsidR="00087F4D" w:rsidRDefault="00A34356" w:rsidP="00A34356">
      <w:pPr>
        <w:spacing w:after="240"/>
        <w:ind w:left="284"/>
        <w:jc w:val="both"/>
        <w:rPr>
          <w:b/>
          <w:sz w:val="24"/>
          <w:szCs w:val="24"/>
        </w:rPr>
      </w:pPr>
      <w:r>
        <w:rPr>
          <w:b/>
          <w:sz w:val="24"/>
          <w:szCs w:val="24"/>
        </w:rPr>
        <w:t xml:space="preserve">2.7. </w:t>
      </w:r>
      <w:r w:rsidR="005A0B6A">
        <w:rPr>
          <w:b/>
          <w:sz w:val="24"/>
          <w:szCs w:val="24"/>
        </w:rPr>
        <w:t>Limitaciones del marco normativo actual</w:t>
      </w:r>
    </w:p>
    <w:p w:rsidR="00087F4D" w:rsidRDefault="005A0B6A">
      <w:pPr>
        <w:spacing w:before="240" w:after="240"/>
        <w:jc w:val="both"/>
        <w:rPr>
          <w:sz w:val="24"/>
          <w:szCs w:val="24"/>
        </w:rPr>
      </w:pPr>
      <w:r>
        <w:rPr>
          <w:sz w:val="24"/>
          <w:szCs w:val="24"/>
        </w:rPr>
        <w:t>La Ley 1355 de 2009 representa un avance fundamental al reconocer la obesidad como una enfermedad crónica prioritaria en salud pública. Sin embargo, dicha norma ha tenido un enfoque principalmente declarativo y no ha logrado articular adecuadamente las políticas de salud pública con las de salud mental, educación, deporte, planeación urbana y comunicación social (Ministerio de Salud y Protección Social, 2023).</w:t>
      </w:r>
    </w:p>
    <w:p w:rsidR="00087F4D" w:rsidRDefault="005A0B6A">
      <w:pPr>
        <w:spacing w:before="240" w:after="240"/>
        <w:jc w:val="both"/>
        <w:rPr>
          <w:sz w:val="24"/>
          <w:szCs w:val="24"/>
        </w:rPr>
      </w:pPr>
      <w:r>
        <w:rPr>
          <w:sz w:val="24"/>
          <w:szCs w:val="24"/>
        </w:rPr>
        <w:lastRenderedPageBreak/>
        <w:t>Posteriormente, la Ley 2120 de 2021 sobre entornos alimentarios saludables y el Acto Legislativo 01 de 2025 que reconoce el derecho humano a una alimentación adecuada son avances loables, pero aún insuficientes para responder al carácter complejo y sistémico de la obesidad. La falta de una legislación integradora y operativa, con enfoque en el curso de vida, equidad y determinantes sociales, ha limitado el alcance de las acciones estatales.</w:t>
      </w:r>
    </w:p>
    <w:p w:rsidR="00087F4D" w:rsidRDefault="005A0B6A">
      <w:pPr>
        <w:spacing w:before="240" w:after="240"/>
        <w:jc w:val="both"/>
        <w:rPr>
          <w:sz w:val="24"/>
          <w:szCs w:val="24"/>
        </w:rPr>
      </w:pPr>
      <w:r>
        <w:rPr>
          <w:sz w:val="24"/>
          <w:szCs w:val="24"/>
        </w:rPr>
        <w:t>La obesidad no puede abordarse únicamente desde la clínica o la modificación individual de hábitos. Se trata de una enfermedad con determinantes biológicos, psicológicos, conductuales, sociales y ambientales (World Obesity Federation, 2025). En este sentido, organismos internacionales como la OMS y la World Obesity Federation han resaltado la necesidad de cambiar los sistemas sanitarios, alimentarios, educativos y de transporte para lograr vidas más saludables.</w:t>
      </w:r>
    </w:p>
    <w:p w:rsidR="00087F4D" w:rsidRDefault="005A0B6A" w:rsidP="006F5755">
      <w:pPr>
        <w:jc w:val="both"/>
        <w:rPr>
          <w:sz w:val="24"/>
          <w:szCs w:val="24"/>
        </w:rPr>
      </w:pPr>
      <w:r>
        <w:rPr>
          <w:sz w:val="24"/>
          <w:szCs w:val="24"/>
        </w:rPr>
        <w:t>Una nueva legislación debe propiciar un abordaje integral que articule estrategias de salud mental, nutrición, actividad física, regulación del entorno alimentario, tratamiento clínico y reducción del estigma social. La evidencia demuestra que ninguna intervención aislada tiene impacto sostenible en la reducción de la obesidad poblacional (Baile et al., 2020).</w:t>
      </w:r>
    </w:p>
    <w:p w:rsidR="006F5755" w:rsidRDefault="006F5755" w:rsidP="006F5755">
      <w:pPr>
        <w:spacing w:after="240"/>
        <w:jc w:val="both"/>
        <w:rPr>
          <w:sz w:val="24"/>
          <w:szCs w:val="24"/>
        </w:rPr>
      </w:pPr>
    </w:p>
    <w:p w:rsidR="00087F4D" w:rsidRDefault="006F5755" w:rsidP="006F5755">
      <w:pPr>
        <w:spacing w:before="240" w:after="240"/>
        <w:ind w:left="284"/>
        <w:jc w:val="both"/>
        <w:rPr>
          <w:b/>
          <w:sz w:val="24"/>
          <w:szCs w:val="24"/>
        </w:rPr>
      </w:pPr>
      <w:r>
        <w:rPr>
          <w:b/>
          <w:sz w:val="24"/>
          <w:szCs w:val="24"/>
        </w:rPr>
        <w:t xml:space="preserve">2.8. </w:t>
      </w:r>
      <w:r w:rsidR="005A0B6A">
        <w:rPr>
          <w:b/>
          <w:sz w:val="24"/>
          <w:szCs w:val="24"/>
        </w:rPr>
        <w:t>Componente de salud mental</w:t>
      </w:r>
    </w:p>
    <w:p w:rsidR="00087F4D" w:rsidRDefault="005A0B6A">
      <w:pPr>
        <w:spacing w:before="240" w:after="240"/>
        <w:jc w:val="both"/>
        <w:rPr>
          <w:sz w:val="24"/>
          <w:szCs w:val="24"/>
        </w:rPr>
      </w:pPr>
      <w:r>
        <w:rPr>
          <w:sz w:val="24"/>
          <w:szCs w:val="24"/>
        </w:rPr>
        <w:t>Uno de los aspectos menos considerados en las políticas públicas sobre obesidad en Colombia ha sido la salud mental. Sin embargo, se ha documentado que las personas con obesidad presentan una mayor prevalencia de trastornos como depresión, ansiedad, trastornos de la conducta alimentaria e incluso ideación suicida (Baile et al., 2020).</w:t>
      </w:r>
    </w:p>
    <w:p w:rsidR="00087F4D" w:rsidRDefault="005A0B6A">
      <w:pPr>
        <w:spacing w:before="240" w:after="240"/>
        <w:jc w:val="both"/>
        <w:rPr>
          <w:sz w:val="24"/>
          <w:szCs w:val="24"/>
        </w:rPr>
      </w:pPr>
      <w:r>
        <w:rPr>
          <w:sz w:val="24"/>
          <w:szCs w:val="24"/>
        </w:rPr>
        <w:t>La intervención psicológica, especialmente desde el enfoque cognitivo-conductual, ha demostrado eficacia en el tratamiento de la obesidad, tanto para mejorar el control de impulsos como para fortalecer la autoestima y la adherencia a tratamientos (Baile et al., 2020). En ese sentido, una actualización normativa debe incorporar el acceso a servicios de salud mental como parte esencial de las rutas integrales de atención, priorizando enfoques libres de estigmatización y culturalmente pertinentes.</w:t>
      </w:r>
    </w:p>
    <w:p w:rsidR="00875414" w:rsidRDefault="00875414" w:rsidP="00875414">
      <w:pPr>
        <w:jc w:val="both"/>
        <w:rPr>
          <w:sz w:val="24"/>
          <w:szCs w:val="24"/>
        </w:rPr>
      </w:pPr>
    </w:p>
    <w:p w:rsidR="00087F4D" w:rsidRDefault="006F5755" w:rsidP="00875414">
      <w:pPr>
        <w:spacing w:after="240"/>
        <w:ind w:left="284"/>
        <w:jc w:val="both"/>
        <w:rPr>
          <w:b/>
          <w:sz w:val="24"/>
          <w:szCs w:val="24"/>
        </w:rPr>
      </w:pPr>
      <w:r>
        <w:rPr>
          <w:b/>
          <w:sz w:val="24"/>
          <w:szCs w:val="24"/>
        </w:rPr>
        <w:t xml:space="preserve">2.9. </w:t>
      </w:r>
      <w:r w:rsidR="005A0B6A">
        <w:rPr>
          <w:b/>
          <w:sz w:val="24"/>
          <w:szCs w:val="24"/>
        </w:rPr>
        <w:t>Nutrición clínica como eje estructurante</w:t>
      </w:r>
    </w:p>
    <w:p w:rsidR="00087F4D" w:rsidRDefault="005A0B6A">
      <w:pPr>
        <w:spacing w:before="240" w:after="240"/>
        <w:jc w:val="both"/>
        <w:rPr>
          <w:sz w:val="24"/>
          <w:szCs w:val="24"/>
        </w:rPr>
      </w:pPr>
      <w:r>
        <w:rPr>
          <w:sz w:val="24"/>
          <w:szCs w:val="24"/>
        </w:rPr>
        <w:t xml:space="preserve">La malnutrición por exceso también requiere un abordaje clínico especializado. De acuerdo con las guías europeas y americanas más recientes, el tratamiento nutricional </w:t>
      </w:r>
      <w:r>
        <w:rPr>
          <w:sz w:val="24"/>
          <w:szCs w:val="24"/>
        </w:rPr>
        <w:lastRenderedPageBreak/>
        <w:t>de personas con obesidad debe estar basado en evidencia, con intervenciones individualizadas, progresivas y diseñadas por equipos multidisciplinarios (</w:t>
      </w:r>
      <w:proofErr w:type="spellStart"/>
      <w:r>
        <w:rPr>
          <w:sz w:val="24"/>
          <w:szCs w:val="24"/>
        </w:rPr>
        <w:t>Bischoff</w:t>
      </w:r>
      <w:proofErr w:type="spellEnd"/>
      <w:r>
        <w:rPr>
          <w:sz w:val="24"/>
          <w:szCs w:val="24"/>
        </w:rPr>
        <w:t xml:space="preserve"> et al., 2022; American Diabetes </w:t>
      </w:r>
      <w:proofErr w:type="spellStart"/>
      <w:r>
        <w:rPr>
          <w:sz w:val="24"/>
          <w:szCs w:val="24"/>
        </w:rPr>
        <w:t>Association</w:t>
      </w:r>
      <w:proofErr w:type="spellEnd"/>
      <w:r>
        <w:rPr>
          <w:sz w:val="24"/>
          <w:szCs w:val="24"/>
        </w:rPr>
        <w:t>, 2024).</w:t>
      </w:r>
    </w:p>
    <w:p w:rsidR="00087F4D" w:rsidRDefault="005A0B6A">
      <w:pPr>
        <w:spacing w:before="240" w:after="240"/>
        <w:jc w:val="both"/>
        <w:rPr>
          <w:sz w:val="24"/>
          <w:szCs w:val="24"/>
        </w:rPr>
      </w:pPr>
      <w:r>
        <w:rPr>
          <w:sz w:val="24"/>
          <w:szCs w:val="24"/>
        </w:rPr>
        <w:t>El tratamiento nutricional no solo debe enfocarse en la pérdida de peso, sino también en la mejora del perfil metabólico, la salud gastrointestinal, la masa muscular y el bienestar general. En Colombia, el sistema de salud aún carece de capacidades suficientes para garantizar el acceso a nutricionistas clínicos, especialmente en áreas rurales. Es fundamental garantizar la disponibilidad, cobertura y calidad de estos servicios, incluyendo la nutrición como derecho fundamental asociado a la salud.</w:t>
      </w:r>
    </w:p>
    <w:p w:rsidR="00487DEE" w:rsidRDefault="00487DEE" w:rsidP="00875414">
      <w:pPr>
        <w:jc w:val="both"/>
        <w:rPr>
          <w:sz w:val="24"/>
          <w:szCs w:val="24"/>
        </w:rPr>
      </w:pPr>
    </w:p>
    <w:p w:rsidR="00087F4D" w:rsidRDefault="00487DEE" w:rsidP="00875414">
      <w:pPr>
        <w:spacing w:after="240"/>
        <w:ind w:left="284"/>
        <w:jc w:val="both"/>
        <w:rPr>
          <w:b/>
          <w:sz w:val="24"/>
          <w:szCs w:val="24"/>
        </w:rPr>
      </w:pPr>
      <w:r>
        <w:rPr>
          <w:b/>
          <w:sz w:val="24"/>
          <w:szCs w:val="24"/>
        </w:rPr>
        <w:t xml:space="preserve">2.10. </w:t>
      </w:r>
      <w:r w:rsidR="005A0B6A">
        <w:rPr>
          <w:b/>
          <w:sz w:val="24"/>
          <w:szCs w:val="24"/>
        </w:rPr>
        <w:t>Promoción de actividad física</w:t>
      </w:r>
    </w:p>
    <w:p w:rsidR="00087F4D" w:rsidRDefault="005A0B6A">
      <w:pPr>
        <w:spacing w:before="240" w:after="240"/>
        <w:jc w:val="both"/>
        <w:rPr>
          <w:sz w:val="24"/>
          <w:szCs w:val="24"/>
        </w:rPr>
      </w:pPr>
      <w:r>
        <w:rPr>
          <w:sz w:val="24"/>
          <w:szCs w:val="24"/>
        </w:rPr>
        <w:t>El componente de actividad física es igualmente fundamental. Las tasas de sedentarismo han aumentado de forma alarmante en Colombia, particularmente entre mujeres y adolescentes (World Obesity Atlas, 2025). La infraestructura urbana, los horarios escolares, la violencia y la falta de cultura del movimiento son factores que han contribuido a este escenario.</w:t>
      </w:r>
    </w:p>
    <w:p w:rsidR="00087F4D" w:rsidRDefault="005A0B6A">
      <w:pPr>
        <w:spacing w:before="240" w:after="240"/>
        <w:jc w:val="both"/>
        <w:rPr>
          <w:sz w:val="24"/>
          <w:szCs w:val="24"/>
        </w:rPr>
      </w:pPr>
      <w:r>
        <w:rPr>
          <w:sz w:val="24"/>
          <w:szCs w:val="24"/>
        </w:rPr>
        <w:t>Una legislación integral debe establecer medidas para asegurar al menos 60 minutos diarios de actividad física moderada a vigorosa en todos los niveles del sistema educativo, facilitar infraestructura comunitaria para la recreación y promover políticas de movilidad activa en ciudades y municipios. Así mismo, es indispensable implementar programas diferenciados para población con discapacidad, personas mayores y comunidades rurales.</w:t>
      </w:r>
    </w:p>
    <w:p w:rsidR="00487DEE" w:rsidRDefault="00487DEE" w:rsidP="00875414">
      <w:pPr>
        <w:jc w:val="both"/>
        <w:rPr>
          <w:sz w:val="24"/>
          <w:szCs w:val="24"/>
        </w:rPr>
      </w:pPr>
    </w:p>
    <w:p w:rsidR="00087F4D" w:rsidRDefault="00487DEE" w:rsidP="00875414">
      <w:pPr>
        <w:spacing w:after="240"/>
        <w:ind w:left="284"/>
        <w:jc w:val="both"/>
        <w:rPr>
          <w:b/>
          <w:sz w:val="24"/>
          <w:szCs w:val="24"/>
        </w:rPr>
      </w:pPr>
      <w:r>
        <w:rPr>
          <w:b/>
          <w:sz w:val="24"/>
          <w:szCs w:val="24"/>
        </w:rPr>
        <w:t xml:space="preserve">2.11. </w:t>
      </w:r>
      <w:r w:rsidR="005A0B6A">
        <w:rPr>
          <w:b/>
          <w:sz w:val="24"/>
          <w:szCs w:val="24"/>
        </w:rPr>
        <w:t>Reducción del estigma y barreras sociales</w:t>
      </w:r>
    </w:p>
    <w:p w:rsidR="00087F4D" w:rsidRDefault="005A0B6A">
      <w:pPr>
        <w:spacing w:before="240" w:after="240"/>
        <w:jc w:val="both"/>
        <w:rPr>
          <w:sz w:val="24"/>
          <w:szCs w:val="24"/>
        </w:rPr>
      </w:pPr>
      <w:r>
        <w:rPr>
          <w:sz w:val="24"/>
          <w:szCs w:val="24"/>
        </w:rPr>
        <w:t>Además de ser una condición médica, la obesidad está profundamente estigmatizada. Esta estigmatización no solo deteriora la salud mental de quienes la padecen, sino que además reduce el acceso a servicios de salud, educación y empleo, y genera una carga emocional que obstaculiza los esfuerzos de autocuidado (Baile et al., 2020; World Obesity Federation, 2025).</w:t>
      </w:r>
    </w:p>
    <w:p w:rsidR="00087F4D" w:rsidRDefault="005A0B6A">
      <w:pPr>
        <w:spacing w:before="240" w:after="240"/>
        <w:jc w:val="both"/>
        <w:rPr>
          <w:sz w:val="24"/>
          <w:szCs w:val="24"/>
        </w:rPr>
      </w:pPr>
      <w:r>
        <w:rPr>
          <w:sz w:val="24"/>
          <w:szCs w:val="24"/>
        </w:rPr>
        <w:t xml:space="preserve">Una política pública efectiva debe contener estrategias explícitas para combatir el estigma: campañas de comunicación inclusiva, formación del personal en lenguaje no discriminatorio, y promoción de una imagen corporal diversa. Asimismo, se deben incluir </w:t>
      </w:r>
      <w:r>
        <w:rPr>
          <w:sz w:val="24"/>
          <w:szCs w:val="24"/>
        </w:rPr>
        <w:lastRenderedPageBreak/>
        <w:t>disposiciones para garantizar los derechos humanos de las personas con obesidad, en especial en entornos escolares, laborales y comunitarios.</w:t>
      </w:r>
    </w:p>
    <w:p w:rsidR="00487DEE" w:rsidRDefault="00487DEE" w:rsidP="00875414">
      <w:pPr>
        <w:jc w:val="both"/>
        <w:rPr>
          <w:sz w:val="24"/>
          <w:szCs w:val="24"/>
        </w:rPr>
      </w:pPr>
    </w:p>
    <w:p w:rsidR="00087F4D" w:rsidRDefault="00487DEE" w:rsidP="00875414">
      <w:pPr>
        <w:spacing w:after="240"/>
        <w:ind w:left="284"/>
        <w:jc w:val="both"/>
        <w:rPr>
          <w:b/>
          <w:sz w:val="24"/>
          <w:szCs w:val="24"/>
        </w:rPr>
      </w:pPr>
      <w:r>
        <w:rPr>
          <w:b/>
          <w:sz w:val="24"/>
          <w:szCs w:val="24"/>
        </w:rPr>
        <w:t xml:space="preserve">2.12. </w:t>
      </w:r>
      <w:r w:rsidR="005A0B6A">
        <w:rPr>
          <w:b/>
          <w:sz w:val="24"/>
          <w:szCs w:val="24"/>
        </w:rPr>
        <w:t>Enfoque intersectorial y curso de vida</w:t>
      </w:r>
    </w:p>
    <w:p w:rsidR="00087F4D" w:rsidRDefault="005A0B6A">
      <w:pPr>
        <w:spacing w:before="240" w:after="240"/>
        <w:jc w:val="both"/>
        <w:rPr>
          <w:sz w:val="24"/>
          <w:szCs w:val="24"/>
        </w:rPr>
      </w:pPr>
      <w:r>
        <w:rPr>
          <w:sz w:val="24"/>
          <w:szCs w:val="24"/>
        </w:rPr>
        <w:t>La obesidad debe ser abordada como un fenómeno que atraviesa todo el ciclo de vida. Desde la etapa prenatal hasta la adultez mayor, existen ventanas críticas de intervención. La ley propuesta debe promover acciones preventivas y educativas desde la gestación, integrando a las madres gestantes, los servicios de primera infancia, el sistema educativo, y la atención geriátrica (OMS, 2016; Ministerio de Salud, 2023).</w:t>
      </w:r>
    </w:p>
    <w:p w:rsidR="00087F4D" w:rsidRDefault="005A0B6A">
      <w:pPr>
        <w:spacing w:before="240" w:after="240"/>
        <w:jc w:val="both"/>
        <w:rPr>
          <w:sz w:val="24"/>
          <w:szCs w:val="24"/>
        </w:rPr>
      </w:pPr>
      <w:r>
        <w:rPr>
          <w:sz w:val="24"/>
          <w:szCs w:val="24"/>
        </w:rPr>
        <w:t>Así mismo, se requiere una articulación intersectorial real y operativa. Esto implica el compromiso activo de los sectores de salud, educación, agricultura, transporte, cultura, deporte, vivienda y comunicaciones. La creación de un sistema nacional intersectorial para la prevención y atención de la obesidad permitiría alinear recursos, metas e indicadores.</w:t>
      </w:r>
    </w:p>
    <w:p w:rsidR="00546F3F" w:rsidRDefault="00546F3F" w:rsidP="00546F3F">
      <w:pPr>
        <w:spacing w:before="240"/>
        <w:jc w:val="both"/>
        <w:rPr>
          <w:b/>
          <w:sz w:val="24"/>
          <w:szCs w:val="24"/>
        </w:rPr>
      </w:pPr>
    </w:p>
    <w:p w:rsidR="00087F4D" w:rsidRDefault="005A0B6A" w:rsidP="00875414">
      <w:pPr>
        <w:spacing w:after="240"/>
        <w:jc w:val="both"/>
        <w:rPr>
          <w:b/>
          <w:sz w:val="24"/>
          <w:szCs w:val="24"/>
        </w:rPr>
      </w:pPr>
      <w:r>
        <w:rPr>
          <w:b/>
          <w:sz w:val="24"/>
          <w:szCs w:val="24"/>
        </w:rPr>
        <w:t>Referencias:</w:t>
      </w:r>
    </w:p>
    <w:p w:rsidR="00087F4D" w:rsidRDefault="005A0B6A">
      <w:pPr>
        <w:spacing w:before="240" w:after="240"/>
        <w:jc w:val="both"/>
        <w:rPr>
          <w:color w:val="1155CC"/>
          <w:sz w:val="24"/>
          <w:szCs w:val="24"/>
          <w:u w:val="single"/>
        </w:rPr>
      </w:pPr>
      <w:r>
        <w:rPr>
          <w:sz w:val="24"/>
          <w:szCs w:val="24"/>
        </w:rPr>
        <w:t xml:space="preserve">American Diabetes </w:t>
      </w:r>
      <w:proofErr w:type="spellStart"/>
      <w:r>
        <w:rPr>
          <w:sz w:val="24"/>
          <w:szCs w:val="24"/>
        </w:rPr>
        <w:t>Association</w:t>
      </w:r>
      <w:proofErr w:type="spellEnd"/>
      <w:r>
        <w:rPr>
          <w:sz w:val="24"/>
          <w:szCs w:val="24"/>
        </w:rPr>
        <w:t xml:space="preserve">. (2024). </w:t>
      </w:r>
      <w:proofErr w:type="spellStart"/>
      <w:r>
        <w:rPr>
          <w:sz w:val="24"/>
          <w:szCs w:val="24"/>
        </w:rPr>
        <w:t>Facilitating</w:t>
      </w:r>
      <w:proofErr w:type="spellEnd"/>
      <w:r>
        <w:rPr>
          <w:sz w:val="24"/>
          <w:szCs w:val="24"/>
        </w:rPr>
        <w:t xml:space="preserve"> positive </w:t>
      </w:r>
      <w:proofErr w:type="spellStart"/>
      <w:r>
        <w:rPr>
          <w:sz w:val="24"/>
          <w:szCs w:val="24"/>
        </w:rPr>
        <w:t>health</w:t>
      </w:r>
      <w:proofErr w:type="spellEnd"/>
      <w:r>
        <w:rPr>
          <w:sz w:val="24"/>
          <w:szCs w:val="24"/>
        </w:rPr>
        <w:t xml:space="preserve"> </w:t>
      </w:r>
      <w:proofErr w:type="spellStart"/>
      <w:r>
        <w:rPr>
          <w:sz w:val="24"/>
          <w:szCs w:val="24"/>
        </w:rPr>
        <w:t>behaviors</w:t>
      </w:r>
      <w:proofErr w:type="spellEnd"/>
      <w:r>
        <w:rPr>
          <w:sz w:val="24"/>
          <w:szCs w:val="24"/>
        </w:rPr>
        <w:t xml:space="preserve"> and </w:t>
      </w:r>
      <w:proofErr w:type="spellStart"/>
      <w:r>
        <w:rPr>
          <w:sz w:val="24"/>
          <w:szCs w:val="24"/>
        </w:rPr>
        <w:t>well-being</w:t>
      </w:r>
      <w:proofErr w:type="spellEnd"/>
      <w:r>
        <w:rPr>
          <w:sz w:val="24"/>
          <w:szCs w:val="24"/>
        </w:rPr>
        <w:t xml:space="preserve"> to </w:t>
      </w:r>
      <w:proofErr w:type="spellStart"/>
      <w:r>
        <w:rPr>
          <w:sz w:val="24"/>
          <w:szCs w:val="24"/>
        </w:rPr>
        <w:t>improve</w:t>
      </w:r>
      <w:proofErr w:type="spellEnd"/>
      <w:r>
        <w:rPr>
          <w:sz w:val="24"/>
          <w:szCs w:val="24"/>
        </w:rPr>
        <w:t xml:space="preserve"> </w:t>
      </w:r>
      <w:proofErr w:type="spellStart"/>
      <w:r>
        <w:rPr>
          <w:sz w:val="24"/>
          <w:szCs w:val="24"/>
        </w:rPr>
        <w:t>health</w:t>
      </w:r>
      <w:proofErr w:type="spellEnd"/>
      <w:r>
        <w:rPr>
          <w:sz w:val="24"/>
          <w:szCs w:val="24"/>
        </w:rPr>
        <w:t xml:space="preserve"> </w:t>
      </w:r>
      <w:proofErr w:type="spellStart"/>
      <w:r>
        <w:rPr>
          <w:sz w:val="24"/>
          <w:szCs w:val="24"/>
        </w:rPr>
        <w:t>outcomes</w:t>
      </w:r>
      <w:proofErr w:type="spellEnd"/>
      <w:r>
        <w:rPr>
          <w:sz w:val="24"/>
          <w:szCs w:val="24"/>
        </w:rPr>
        <w:t xml:space="preserve">: </w:t>
      </w:r>
      <w:proofErr w:type="spellStart"/>
      <w:r>
        <w:rPr>
          <w:sz w:val="24"/>
          <w:szCs w:val="24"/>
        </w:rPr>
        <w:t>Standards</w:t>
      </w:r>
      <w:proofErr w:type="spellEnd"/>
      <w:r>
        <w:rPr>
          <w:sz w:val="24"/>
          <w:szCs w:val="24"/>
        </w:rPr>
        <w:t xml:space="preserve"> of </w:t>
      </w:r>
      <w:proofErr w:type="spellStart"/>
      <w:r>
        <w:rPr>
          <w:sz w:val="24"/>
          <w:szCs w:val="24"/>
        </w:rPr>
        <w:t>care</w:t>
      </w:r>
      <w:proofErr w:type="spellEnd"/>
      <w:r>
        <w:rPr>
          <w:sz w:val="24"/>
          <w:szCs w:val="24"/>
        </w:rPr>
        <w:t xml:space="preserve"> in diabetes—2024. </w:t>
      </w:r>
      <w:r>
        <w:rPr>
          <w:i/>
          <w:sz w:val="24"/>
          <w:szCs w:val="24"/>
        </w:rPr>
        <w:t xml:space="preserve">Diabetes </w:t>
      </w:r>
      <w:proofErr w:type="spellStart"/>
      <w:r>
        <w:rPr>
          <w:i/>
          <w:sz w:val="24"/>
          <w:szCs w:val="24"/>
        </w:rPr>
        <w:t>Care</w:t>
      </w:r>
      <w:proofErr w:type="spellEnd"/>
      <w:r>
        <w:rPr>
          <w:i/>
          <w:sz w:val="24"/>
          <w:szCs w:val="24"/>
        </w:rPr>
        <w:t>, 47</w:t>
      </w:r>
      <w:r>
        <w:rPr>
          <w:sz w:val="24"/>
          <w:szCs w:val="24"/>
        </w:rPr>
        <w:t>(</w:t>
      </w:r>
      <w:proofErr w:type="spellStart"/>
      <w:r>
        <w:rPr>
          <w:sz w:val="24"/>
          <w:szCs w:val="24"/>
        </w:rPr>
        <w:t>Suppl</w:t>
      </w:r>
      <w:proofErr w:type="spellEnd"/>
      <w:r>
        <w:rPr>
          <w:sz w:val="24"/>
          <w:szCs w:val="24"/>
        </w:rPr>
        <w:t>. 1), S77–S110.</w:t>
      </w:r>
      <w:hyperlink r:id="rId22">
        <w:r>
          <w:rPr>
            <w:sz w:val="24"/>
            <w:szCs w:val="24"/>
          </w:rPr>
          <w:t xml:space="preserve"> </w:t>
        </w:r>
      </w:hyperlink>
      <w:hyperlink r:id="rId23">
        <w:r>
          <w:rPr>
            <w:color w:val="1155CC"/>
            <w:sz w:val="24"/>
            <w:szCs w:val="24"/>
            <w:u w:val="single"/>
          </w:rPr>
          <w:t>https://doi.org/10.2337/dc24-S005</w:t>
        </w:r>
      </w:hyperlink>
    </w:p>
    <w:p w:rsidR="00087F4D" w:rsidRDefault="005A0B6A">
      <w:pPr>
        <w:spacing w:before="240" w:after="240"/>
        <w:jc w:val="both"/>
        <w:rPr>
          <w:color w:val="1155CC"/>
          <w:sz w:val="24"/>
          <w:szCs w:val="24"/>
          <w:u w:val="single"/>
        </w:rPr>
      </w:pPr>
      <w:r>
        <w:rPr>
          <w:sz w:val="24"/>
          <w:szCs w:val="24"/>
        </w:rPr>
        <w:t>Baile, J. I., González-Calderón, M. J., Palomo, R., &amp; Rabito-</w:t>
      </w:r>
      <w:proofErr w:type="spellStart"/>
      <w:r>
        <w:rPr>
          <w:sz w:val="24"/>
          <w:szCs w:val="24"/>
        </w:rPr>
        <w:t>Alcón</w:t>
      </w:r>
      <w:proofErr w:type="spellEnd"/>
      <w:r>
        <w:rPr>
          <w:sz w:val="24"/>
          <w:szCs w:val="24"/>
        </w:rPr>
        <w:t xml:space="preserve">, M. F. (2020). La intervención psicológica de la obesidad: desarrollo y perspectivas. </w:t>
      </w:r>
      <w:r>
        <w:rPr>
          <w:i/>
          <w:sz w:val="24"/>
          <w:szCs w:val="24"/>
        </w:rPr>
        <w:t>Revista Clínica Contemporánea, 11</w:t>
      </w:r>
      <w:r>
        <w:rPr>
          <w:sz w:val="24"/>
          <w:szCs w:val="24"/>
        </w:rPr>
        <w:t>, e3.</w:t>
      </w:r>
      <w:hyperlink r:id="rId24">
        <w:r>
          <w:rPr>
            <w:sz w:val="24"/>
            <w:szCs w:val="24"/>
          </w:rPr>
          <w:t xml:space="preserve"> </w:t>
        </w:r>
      </w:hyperlink>
      <w:hyperlink r:id="rId25">
        <w:r>
          <w:rPr>
            <w:color w:val="1155CC"/>
            <w:sz w:val="24"/>
            <w:szCs w:val="24"/>
            <w:u w:val="single"/>
          </w:rPr>
          <w:t>https://doi.org/10.5093/cc2020a1</w:t>
        </w:r>
      </w:hyperlink>
    </w:p>
    <w:p w:rsidR="00087F4D" w:rsidRDefault="005A0B6A">
      <w:pPr>
        <w:spacing w:before="240" w:after="240"/>
        <w:jc w:val="both"/>
        <w:rPr>
          <w:color w:val="1155CC"/>
          <w:sz w:val="24"/>
          <w:szCs w:val="24"/>
          <w:u w:val="single"/>
        </w:rPr>
      </w:pPr>
      <w:proofErr w:type="spellStart"/>
      <w:r>
        <w:rPr>
          <w:sz w:val="24"/>
          <w:szCs w:val="24"/>
        </w:rPr>
        <w:t>Bischoff</w:t>
      </w:r>
      <w:proofErr w:type="spellEnd"/>
      <w:r>
        <w:rPr>
          <w:sz w:val="24"/>
          <w:szCs w:val="24"/>
        </w:rPr>
        <w:t xml:space="preserve">, S. C., et al. (2022). </w:t>
      </w:r>
      <w:proofErr w:type="spellStart"/>
      <w:r>
        <w:rPr>
          <w:sz w:val="24"/>
          <w:szCs w:val="24"/>
        </w:rPr>
        <w:t>European</w:t>
      </w:r>
      <w:proofErr w:type="spellEnd"/>
      <w:r>
        <w:rPr>
          <w:sz w:val="24"/>
          <w:szCs w:val="24"/>
        </w:rPr>
        <w:t xml:space="preserve"> </w:t>
      </w:r>
      <w:proofErr w:type="spellStart"/>
      <w:r>
        <w:rPr>
          <w:sz w:val="24"/>
          <w:szCs w:val="24"/>
        </w:rPr>
        <w:t>guideline</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obesity</w:t>
      </w:r>
      <w:proofErr w:type="spellEnd"/>
      <w:r>
        <w:rPr>
          <w:sz w:val="24"/>
          <w:szCs w:val="24"/>
        </w:rPr>
        <w:t xml:space="preserve"> </w:t>
      </w:r>
      <w:proofErr w:type="spellStart"/>
      <w:r>
        <w:rPr>
          <w:sz w:val="24"/>
          <w:szCs w:val="24"/>
        </w:rPr>
        <w:t>care</w:t>
      </w:r>
      <w:proofErr w:type="spellEnd"/>
      <w:r>
        <w:rPr>
          <w:sz w:val="24"/>
          <w:szCs w:val="24"/>
        </w:rPr>
        <w:t xml:space="preserve"> in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gastrointestinal and </w:t>
      </w:r>
      <w:proofErr w:type="spellStart"/>
      <w:r>
        <w:rPr>
          <w:sz w:val="24"/>
          <w:szCs w:val="24"/>
        </w:rPr>
        <w:t>liver</w:t>
      </w:r>
      <w:proofErr w:type="spellEnd"/>
      <w:r>
        <w:rPr>
          <w:sz w:val="24"/>
          <w:szCs w:val="24"/>
        </w:rPr>
        <w:t xml:space="preserve"> </w:t>
      </w:r>
      <w:proofErr w:type="spellStart"/>
      <w:r>
        <w:rPr>
          <w:sz w:val="24"/>
          <w:szCs w:val="24"/>
        </w:rPr>
        <w:t>diseases</w:t>
      </w:r>
      <w:proofErr w:type="spellEnd"/>
      <w:r>
        <w:rPr>
          <w:sz w:val="24"/>
          <w:szCs w:val="24"/>
        </w:rPr>
        <w:t xml:space="preserve">. </w:t>
      </w:r>
      <w:proofErr w:type="spellStart"/>
      <w:r>
        <w:rPr>
          <w:i/>
          <w:sz w:val="24"/>
          <w:szCs w:val="24"/>
        </w:rPr>
        <w:t>Clinical</w:t>
      </w:r>
      <w:proofErr w:type="spellEnd"/>
      <w:r>
        <w:rPr>
          <w:i/>
          <w:sz w:val="24"/>
          <w:szCs w:val="24"/>
        </w:rPr>
        <w:t xml:space="preserve"> </w:t>
      </w:r>
      <w:proofErr w:type="spellStart"/>
      <w:r>
        <w:rPr>
          <w:i/>
          <w:sz w:val="24"/>
          <w:szCs w:val="24"/>
        </w:rPr>
        <w:t>Nutrition</w:t>
      </w:r>
      <w:proofErr w:type="spellEnd"/>
      <w:r>
        <w:rPr>
          <w:i/>
          <w:sz w:val="24"/>
          <w:szCs w:val="24"/>
        </w:rPr>
        <w:t>, 41</w:t>
      </w:r>
      <w:r>
        <w:rPr>
          <w:sz w:val="24"/>
          <w:szCs w:val="24"/>
        </w:rPr>
        <w:t>, 2364–2405.</w:t>
      </w:r>
      <w:hyperlink r:id="rId26">
        <w:r>
          <w:rPr>
            <w:sz w:val="24"/>
            <w:szCs w:val="24"/>
          </w:rPr>
          <w:t xml:space="preserve"> </w:t>
        </w:r>
      </w:hyperlink>
      <w:hyperlink r:id="rId27">
        <w:r>
          <w:rPr>
            <w:color w:val="1155CC"/>
            <w:sz w:val="24"/>
            <w:szCs w:val="24"/>
            <w:u w:val="single"/>
          </w:rPr>
          <w:t>https://doi.org/10.1016/j.clnu.2022.07.003</w:t>
        </w:r>
      </w:hyperlink>
    </w:p>
    <w:p w:rsidR="00087F4D" w:rsidRDefault="005A0B6A">
      <w:pPr>
        <w:spacing w:before="240" w:after="240"/>
        <w:jc w:val="both"/>
        <w:rPr>
          <w:color w:val="1155CC"/>
          <w:sz w:val="24"/>
          <w:szCs w:val="24"/>
          <w:u w:val="single"/>
        </w:rPr>
      </w:pPr>
      <w:proofErr w:type="spellStart"/>
      <w:r>
        <w:rPr>
          <w:sz w:val="24"/>
          <w:szCs w:val="24"/>
        </w:rPr>
        <w:t>Bischoff</w:t>
      </w:r>
      <w:proofErr w:type="spellEnd"/>
      <w:r>
        <w:rPr>
          <w:sz w:val="24"/>
          <w:szCs w:val="24"/>
        </w:rPr>
        <w:t xml:space="preserve">, S. C., et al. (2023). </w:t>
      </w:r>
      <w:proofErr w:type="spellStart"/>
      <w:r>
        <w:rPr>
          <w:sz w:val="24"/>
          <w:szCs w:val="24"/>
        </w:rPr>
        <w:t>Practical</w:t>
      </w:r>
      <w:proofErr w:type="spellEnd"/>
      <w:r>
        <w:rPr>
          <w:sz w:val="24"/>
          <w:szCs w:val="24"/>
        </w:rPr>
        <w:t xml:space="preserve"> </w:t>
      </w:r>
      <w:proofErr w:type="spellStart"/>
      <w:r>
        <w:rPr>
          <w:sz w:val="24"/>
          <w:szCs w:val="24"/>
        </w:rPr>
        <w:t>guideline</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obesity</w:t>
      </w:r>
      <w:proofErr w:type="spellEnd"/>
      <w:r>
        <w:rPr>
          <w:sz w:val="24"/>
          <w:szCs w:val="24"/>
        </w:rPr>
        <w:t xml:space="preserve"> </w:t>
      </w:r>
      <w:proofErr w:type="spellStart"/>
      <w:r>
        <w:rPr>
          <w:sz w:val="24"/>
          <w:szCs w:val="24"/>
        </w:rPr>
        <w:t>care</w:t>
      </w:r>
      <w:proofErr w:type="spellEnd"/>
      <w:r>
        <w:rPr>
          <w:sz w:val="24"/>
          <w:szCs w:val="24"/>
        </w:rPr>
        <w:t xml:space="preserve"> in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gastrointestinal and </w:t>
      </w:r>
      <w:proofErr w:type="spellStart"/>
      <w:r>
        <w:rPr>
          <w:sz w:val="24"/>
          <w:szCs w:val="24"/>
        </w:rPr>
        <w:t>liver</w:t>
      </w:r>
      <w:proofErr w:type="spellEnd"/>
      <w:r>
        <w:rPr>
          <w:sz w:val="24"/>
          <w:szCs w:val="24"/>
        </w:rPr>
        <w:t xml:space="preserve"> </w:t>
      </w:r>
      <w:proofErr w:type="spellStart"/>
      <w:r>
        <w:rPr>
          <w:sz w:val="24"/>
          <w:szCs w:val="24"/>
        </w:rPr>
        <w:t>diseases</w:t>
      </w:r>
      <w:proofErr w:type="spellEnd"/>
      <w:r>
        <w:rPr>
          <w:sz w:val="24"/>
          <w:szCs w:val="24"/>
        </w:rPr>
        <w:t xml:space="preserve">. </w:t>
      </w:r>
      <w:proofErr w:type="spellStart"/>
      <w:r>
        <w:rPr>
          <w:i/>
          <w:sz w:val="24"/>
          <w:szCs w:val="24"/>
        </w:rPr>
        <w:t>Clinical</w:t>
      </w:r>
      <w:proofErr w:type="spellEnd"/>
      <w:r>
        <w:rPr>
          <w:i/>
          <w:sz w:val="24"/>
          <w:szCs w:val="24"/>
        </w:rPr>
        <w:t xml:space="preserve"> </w:t>
      </w:r>
      <w:proofErr w:type="spellStart"/>
      <w:r>
        <w:rPr>
          <w:i/>
          <w:sz w:val="24"/>
          <w:szCs w:val="24"/>
        </w:rPr>
        <w:t>Nutrition</w:t>
      </w:r>
      <w:proofErr w:type="spellEnd"/>
      <w:r>
        <w:rPr>
          <w:i/>
          <w:sz w:val="24"/>
          <w:szCs w:val="24"/>
        </w:rPr>
        <w:t>, 42</w:t>
      </w:r>
      <w:r>
        <w:rPr>
          <w:sz w:val="24"/>
          <w:szCs w:val="24"/>
        </w:rPr>
        <w:t>, 987–1024.</w:t>
      </w:r>
      <w:hyperlink r:id="rId28">
        <w:r>
          <w:rPr>
            <w:sz w:val="24"/>
            <w:szCs w:val="24"/>
          </w:rPr>
          <w:t xml:space="preserve"> </w:t>
        </w:r>
      </w:hyperlink>
      <w:hyperlink r:id="rId29">
        <w:r>
          <w:rPr>
            <w:color w:val="1155CC"/>
            <w:sz w:val="24"/>
            <w:szCs w:val="24"/>
            <w:u w:val="single"/>
          </w:rPr>
          <w:t>https://doi.org/10.1016/j.clnu.2023.03.021</w:t>
        </w:r>
      </w:hyperlink>
    </w:p>
    <w:p w:rsidR="00087F4D" w:rsidRDefault="005A0B6A">
      <w:pPr>
        <w:spacing w:before="240" w:after="240"/>
        <w:jc w:val="both"/>
        <w:rPr>
          <w:color w:val="1155CC"/>
          <w:sz w:val="24"/>
          <w:szCs w:val="24"/>
          <w:u w:val="single"/>
        </w:rPr>
      </w:pPr>
      <w:r>
        <w:rPr>
          <w:sz w:val="24"/>
          <w:szCs w:val="24"/>
        </w:rPr>
        <w:t>Concejo de Bogotá. (2022). Preocupante panorama de sobrepeso y obesidad en Bogotá.</w:t>
      </w:r>
      <w:hyperlink r:id="rId30">
        <w:r>
          <w:rPr>
            <w:sz w:val="24"/>
            <w:szCs w:val="24"/>
          </w:rPr>
          <w:t xml:space="preserve"> </w:t>
        </w:r>
      </w:hyperlink>
      <w:hyperlink r:id="rId31">
        <w:r>
          <w:rPr>
            <w:color w:val="1155CC"/>
            <w:sz w:val="24"/>
            <w:szCs w:val="24"/>
            <w:u w:val="single"/>
          </w:rPr>
          <w:t>https://concejodebogota.gov.co/preocupante-panorama-de-sobrepeso-y-obesidad-en-bogota/concejo/2022-09-19/130043.php</w:t>
        </w:r>
      </w:hyperlink>
    </w:p>
    <w:p w:rsidR="00087F4D" w:rsidRDefault="005A0B6A">
      <w:pPr>
        <w:spacing w:before="240" w:after="240"/>
        <w:jc w:val="both"/>
        <w:rPr>
          <w:color w:val="1155CC"/>
          <w:sz w:val="24"/>
          <w:szCs w:val="24"/>
          <w:u w:val="single"/>
        </w:rPr>
      </w:pPr>
      <w:proofErr w:type="spellStart"/>
      <w:r>
        <w:rPr>
          <w:sz w:val="24"/>
          <w:szCs w:val="24"/>
        </w:rPr>
        <w:lastRenderedPageBreak/>
        <w:t>Consultorsalud</w:t>
      </w:r>
      <w:proofErr w:type="spellEnd"/>
      <w:r>
        <w:rPr>
          <w:sz w:val="24"/>
          <w:szCs w:val="24"/>
        </w:rPr>
        <w:t>. (2024). 60 % de colombianos sufren sobrepeso u obesidad.</w:t>
      </w:r>
      <w:hyperlink r:id="rId32">
        <w:r>
          <w:rPr>
            <w:sz w:val="24"/>
            <w:szCs w:val="24"/>
          </w:rPr>
          <w:t xml:space="preserve"> </w:t>
        </w:r>
      </w:hyperlink>
      <w:hyperlink r:id="rId33">
        <w:r>
          <w:rPr>
            <w:color w:val="1155CC"/>
            <w:sz w:val="24"/>
            <w:szCs w:val="24"/>
            <w:u w:val="single"/>
          </w:rPr>
          <w:t>https://consultorsalud.com/60-colombianos-sufren-sobrepeso-obesidad/</w:t>
        </w:r>
      </w:hyperlink>
    </w:p>
    <w:p w:rsidR="00087F4D" w:rsidRDefault="005A0B6A">
      <w:pPr>
        <w:spacing w:before="240" w:after="240"/>
        <w:jc w:val="both"/>
        <w:rPr>
          <w:color w:val="1155CC"/>
          <w:sz w:val="24"/>
          <w:szCs w:val="24"/>
          <w:u w:val="single"/>
        </w:rPr>
      </w:pPr>
      <w:r>
        <w:rPr>
          <w:sz w:val="24"/>
          <w:szCs w:val="24"/>
        </w:rPr>
        <w:t xml:space="preserve">Instituto Colombiano de Bienestar Familiar (ICBF). (2015). </w:t>
      </w:r>
      <w:r>
        <w:rPr>
          <w:i/>
          <w:sz w:val="24"/>
          <w:szCs w:val="24"/>
        </w:rPr>
        <w:t>Encuesta Nacional de la Situación Nutricional en Colombia - ENSIN 2015</w:t>
      </w:r>
      <w:r>
        <w:rPr>
          <w:sz w:val="24"/>
          <w:szCs w:val="24"/>
        </w:rPr>
        <w:t>.</w:t>
      </w:r>
      <w:hyperlink r:id="rId34">
        <w:r>
          <w:rPr>
            <w:sz w:val="24"/>
            <w:szCs w:val="24"/>
          </w:rPr>
          <w:t xml:space="preserve"> </w:t>
        </w:r>
      </w:hyperlink>
      <w:hyperlink r:id="rId35">
        <w:r>
          <w:rPr>
            <w:color w:val="1155CC"/>
            <w:sz w:val="24"/>
            <w:szCs w:val="24"/>
            <w:u w:val="single"/>
          </w:rPr>
          <w:t>https://www.icbf.gov.co/bienestar/nutricion/encuesta-nacional-situacion-nutricional</w:t>
        </w:r>
      </w:hyperlink>
    </w:p>
    <w:p w:rsidR="00087F4D" w:rsidRDefault="005A0B6A">
      <w:pPr>
        <w:spacing w:before="240" w:after="240"/>
        <w:jc w:val="both"/>
        <w:rPr>
          <w:sz w:val="24"/>
          <w:szCs w:val="24"/>
        </w:rPr>
      </w:pPr>
      <w:r>
        <w:rPr>
          <w:sz w:val="24"/>
          <w:szCs w:val="24"/>
        </w:rPr>
        <w:t xml:space="preserve">Ministerio de Salud y Protección Social. (2023). </w:t>
      </w:r>
      <w:r>
        <w:rPr>
          <w:i/>
          <w:sz w:val="24"/>
          <w:szCs w:val="24"/>
        </w:rPr>
        <w:t>Marco normativo y de política pública de la obesidad en Colombia</w:t>
      </w:r>
      <w:r>
        <w:rPr>
          <w:sz w:val="24"/>
          <w:szCs w:val="24"/>
        </w:rPr>
        <w:t>.</w:t>
      </w:r>
    </w:p>
    <w:p w:rsidR="00087F4D" w:rsidRDefault="005A0B6A">
      <w:pPr>
        <w:spacing w:before="240" w:after="240"/>
        <w:jc w:val="both"/>
        <w:rPr>
          <w:color w:val="1155CC"/>
          <w:sz w:val="24"/>
          <w:szCs w:val="24"/>
          <w:u w:val="single"/>
        </w:rPr>
      </w:pPr>
      <w:r>
        <w:rPr>
          <w:sz w:val="24"/>
          <w:szCs w:val="24"/>
        </w:rPr>
        <w:t xml:space="preserve">Ministerio de Salud y Protección Social, Instituto Nacional de Salud, Instituto Colombiano de Bienestar Familiar, &amp; Universidad Nacional de Colombia. (2017). </w:t>
      </w:r>
      <w:r>
        <w:rPr>
          <w:i/>
          <w:sz w:val="24"/>
          <w:szCs w:val="24"/>
        </w:rPr>
        <w:t>Encuesta Nacional de Situación Nutricional - ENSIN 2015</w:t>
      </w:r>
      <w:r>
        <w:rPr>
          <w:sz w:val="24"/>
          <w:szCs w:val="24"/>
        </w:rPr>
        <w:t>.</w:t>
      </w:r>
      <w:hyperlink r:id="rId36">
        <w:r>
          <w:rPr>
            <w:sz w:val="24"/>
            <w:szCs w:val="24"/>
          </w:rPr>
          <w:t xml:space="preserve"> </w:t>
        </w:r>
      </w:hyperlink>
      <w:hyperlink r:id="rId37">
        <w:r>
          <w:rPr>
            <w:color w:val="1155CC"/>
            <w:sz w:val="24"/>
            <w:szCs w:val="24"/>
            <w:u w:val="single"/>
          </w:rPr>
          <w:t>https://www.medellincomovamos.org</w:t>
        </w:r>
      </w:hyperlink>
    </w:p>
    <w:p w:rsidR="00087F4D" w:rsidRDefault="005A0B6A">
      <w:pPr>
        <w:spacing w:before="240" w:after="240"/>
        <w:jc w:val="both"/>
        <w:rPr>
          <w:color w:val="1155CC"/>
          <w:sz w:val="24"/>
          <w:szCs w:val="24"/>
          <w:u w:val="single"/>
        </w:rPr>
      </w:pPr>
      <w:proofErr w:type="spellStart"/>
      <w:r>
        <w:rPr>
          <w:sz w:val="24"/>
          <w:szCs w:val="24"/>
        </w:rPr>
        <w:t>Novotech</w:t>
      </w:r>
      <w:proofErr w:type="spellEnd"/>
      <w:r>
        <w:rPr>
          <w:sz w:val="24"/>
          <w:szCs w:val="24"/>
        </w:rPr>
        <w:t xml:space="preserve">. (2024). </w:t>
      </w:r>
      <w:proofErr w:type="spellStart"/>
      <w:r>
        <w:rPr>
          <w:i/>
          <w:sz w:val="24"/>
          <w:szCs w:val="24"/>
        </w:rPr>
        <w:t>Overview</w:t>
      </w:r>
      <w:proofErr w:type="spellEnd"/>
      <w:r>
        <w:rPr>
          <w:i/>
          <w:sz w:val="24"/>
          <w:szCs w:val="24"/>
        </w:rPr>
        <w:t xml:space="preserve"> of </w:t>
      </w:r>
      <w:proofErr w:type="spellStart"/>
      <w:r>
        <w:rPr>
          <w:i/>
          <w:sz w:val="24"/>
          <w:szCs w:val="24"/>
        </w:rPr>
        <w:t>the</w:t>
      </w:r>
      <w:proofErr w:type="spellEnd"/>
      <w:r>
        <w:rPr>
          <w:i/>
          <w:sz w:val="24"/>
          <w:szCs w:val="24"/>
        </w:rPr>
        <w:t xml:space="preserve"> Global Obesity </w:t>
      </w:r>
      <w:proofErr w:type="spellStart"/>
      <w:r>
        <w:rPr>
          <w:i/>
          <w:sz w:val="24"/>
          <w:szCs w:val="24"/>
        </w:rPr>
        <w:t>Clinical</w:t>
      </w:r>
      <w:proofErr w:type="spellEnd"/>
      <w:r>
        <w:rPr>
          <w:i/>
          <w:sz w:val="24"/>
          <w:szCs w:val="24"/>
        </w:rPr>
        <w:t xml:space="preserve"> </w:t>
      </w:r>
      <w:proofErr w:type="spellStart"/>
      <w:r>
        <w:rPr>
          <w:i/>
          <w:sz w:val="24"/>
          <w:szCs w:val="24"/>
        </w:rPr>
        <w:t>Trials</w:t>
      </w:r>
      <w:proofErr w:type="spellEnd"/>
      <w:r>
        <w:rPr>
          <w:i/>
          <w:sz w:val="24"/>
          <w:szCs w:val="24"/>
        </w:rPr>
        <w:t xml:space="preserve"> </w:t>
      </w:r>
      <w:proofErr w:type="spellStart"/>
      <w:r>
        <w:rPr>
          <w:i/>
          <w:sz w:val="24"/>
          <w:szCs w:val="24"/>
        </w:rPr>
        <w:t>Landscape</w:t>
      </w:r>
      <w:proofErr w:type="spellEnd"/>
      <w:r>
        <w:rPr>
          <w:sz w:val="24"/>
          <w:szCs w:val="24"/>
        </w:rPr>
        <w:t>.</w:t>
      </w:r>
      <w:hyperlink r:id="rId38">
        <w:r>
          <w:rPr>
            <w:sz w:val="24"/>
            <w:szCs w:val="24"/>
          </w:rPr>
          <w:t xml:space="preserve"> </w:t>
        </w:r>
      </w:hyperlink>
      <w:hyperlink r:id="rId39">
        <w:r>
          <w:rPr>
            <w:color w:val="1155CC"/>
            <w:sz w:val="24"/>
            <w:szCs w:val="24"/>
            <w:u w:val="single"/>
          </w:rPr>
          <w:t>https://novotech-cro.com/faq/overview-obesity-global-clinical-trials-landscape</w:t>
        </w:r>
      </w:hyperlink>
    </w:p>
    <w:p w:rsidR="00087F4D" w:rsidRDefault="005A0B6A">
      <w:pPr>
        <w:spacing w:before="240" w:after="240"/>
        <w:jc w:val="both"/>
        <w:rPr>
          <w:sz w:val="24"/>
          <w:szCs w:val="24"/>
        </w:rPr>
      </w:pPr>
      <w:r>
        <w:rPr>
          <w:sz w:val="24"/>
          <w:szCs w:val="24"/>
        </w:rPr>
        <w:t xml:space="preserve">Organización Mundial de la Salud. (2014). </w:t>
      </w:r>
      <w:r>
        <w:rPr>
          <w:i/>
          <w:sz w:val="24"/>
          <w:szCs w:val="24"/>
        </w:rPr>
        <w:t>Plan de aplicación integral sobre nutrición materna, del lactante y del niño pequeño</w:t>
      </w:r>
      <w:r>
        <w:rPr>
          <w:sz w:val="24"/>
          <w:szCs w:val="24"/>
        </w:rPr>
        <w:t>. Ginebra: OMS.</w:t>
      </w:r>
    </w:p>
    <w:p w:rsidR="00087F4D" w:rsidRDefault="005A0B6A">
      <w:pPr>
        <w:spacing w:before="240" w:after="240"/>
        <w:jc w:val="both"/>
        <w:rPr>
          <w:sz w:val="24"/>
          <w:szCs w:val="24"/>
        </w:rPr>
      </w:pPr>
      <w:r>
        <w:rPr>
          <w:sz w:val="24"/>
          <w:szCs w:val="24"/>
        </w:rPr>
        <w:t xml:space="preserve">Organización Mundial de la Salud. (2016). </w:t>
      </w:r>
      <w:r>
        <w:rPr>
          <w:i/>
          <w:sz w:val="24"/>
          <w:szCs w:val="24"/>
        </w:rPr>
        <w:t>Informe sobre los sistemas alimentarios y la salud</w:t>
      </w:r>
      <w:r>
        <w:rPr>
          <w:sz w:val="24"/>
          <w:szCs w:val="24"/>
        </w:rPr>
        <w:t>. Ginebra: OMS.</w:t>
      </w:r>
    </w:p>
    <w:p w:rsidR="00087F4D" w:rsidRDefault="005A0B6A">
      <w:pPr>
        <w:spacing w:before="240" w:after="240"/>
        <w:jc w:val="both"/>
        <w:rPr>
          <w:color w:val="1155CC"/>
          <w:sz w:val="24"/>
          <w:szCs w:val="24"/>
          <w:u w:val="single"/>
        </w:rPr>
      </w:pPr>
      <w:r>
        <w:rPr>
          <w:sz w:val="24"/>
          <w:szCs w:val="24"/>
        </w:rPr>
        <w:t xml:space="preserve">Organización Mundial de la Salud. (2022). </w:t>
      </w:r>
      <w:r>
        <w:rPr>
          <w:i/>
          <w:sz w:val="24"/>
          <w:szCs w:val="24"/>
        </w:rPr>
        <w:t xml:space="preserve">Obesity and </w:t>
      </w:r>
      <w:proofErr w:type="spellStart"/>
      <w:r>
        <w:rPr>
          <w:i/>
          <w:sz w:val="24"/>
          <w:szCs w:val="24"/>
        </w:rPr>
        <w:t>overweight</w:t>
      </w:r>
      <w:proofErr w:type="spellEnd"/>
      <w:r>
        <w:rPr>
          <w:sz w:val="24"/>
          <w:szCs w:val="24"/>
        </w:rPr>
        <w:t>.</w:t>
      </w:r>
      <w:hyperlink r:id="rId40">
        <w:r>
          <w:rPr>
            <w:sz w:val="24"/>
            <w:szCs w:val="24"/>
          </w:rPr>
          <w:t xml:space="preserve"> </w:t>
        </w:r>
      </w:hyperlink>
      <w:hyperlink r:id="rId41">
        <w:r>
          <w:rPr>
            <w:color w:val="1155CC"/>
            <w:sz w:val="24"/>
            <w:szCs w:val="24"/>
            <w:u w:val="single"/>
          </w:rPr>
          <w:t>https://www.who.int/news-room/fact-sheets/detail/obesity-and-overweight</w:t>
        </w:r>
      </w:hyperlink>
    </w:p>
    <w:p w:rsidR="00087F4D" w:rsidRDefault="005A0B6A">
      <w:pPr>
        <w:spacing w:before="240" w:after="240"/>
        <w:jc w:val="both"/>
        <w:rPr>
          <w:color w:val="1155CC"/>
          <w:sz w:val="24"/>
          <w:szCs w:val="24"/>
          <w:u w:val="single"/>
        </w:rPr>
      </w:pPr>
      <w:r>
        <w:rPr>
          <w:sz w:val="24"/>
          <w:szCs w:val="24"/>
        </w:rPr>
        <w:t xml:space="preserve">Organización Mundial de la Salud (OMS). (2024). </w:t>
      </w:r>
      <w:r>
        <w:rPr>
          <w:i/>
          <w:sz w:val="24"/>
          <w:szCs w:val="24"/>
        </w:rPr>
        <w:t>Obesidad y sobrepeso</w:t>
      </w:r>
      <w:r>
        <w:rPr>
          <w:sz w:val="24"/>
          <w:szCs w:val="24"/>
        </w:rPr>
        <w:t>.</w:t>
      </w:r>
      <w:hyperlink r:id="rId42">
        <w:r>
          <w:rPr>
            <w:sz w:val="24"/>
            <w:szCs w:val="24"/>
          </w:rPr>
          <w:t xml:space="preserve"> </w:t>
        </w:r>
      </w:hyperlink>
      <w:hyperlink r:id="rId43">
        <w:r>
          <w:rPr>
            <w:color w:val="1155CC"/>
            <w:sz w:val="24"/>
            <w:szCs w:val="24"/>
            <w:u w:val="single"/>
          </w:rPr>
          <w:t>https://www.who.int/es/news-room/fact-sheets/detail/obesity-and-overweight</w:t>
        </w:r>
      </w:hyperlink>
    </w:p>
    <w:p w:rsidR="00087F4D" w:rsidRDefault="005A0B6A">
      <w:pPr>
        <w:spacing w:before="240" w:after="240"/>
        <w:jc w:val="both"/>
        <w:rPr>
          <w:color w:val="1155CC"/>
          <w:sz w:val="24"/>
          <w:szCs w:val="24"/>
          <w:u w:val="single"/>
        </w:rPr>
      </w:pPr>
      <w:r>
        <w:rPr>
          <w:sz w:val="24"/>
          <w:szCs w:val="24"/>
        </w:rPr>
        <w:t xml:space="preserve">Organización Panamericana de la Salud (OPS). (2024). </w:t>
      </w:r>
      <w:r>
        <w:rPr>
          <w:i/>
          <w:sz w:val="24"/>
          <w:szCs w:val="24"/>
        </w:rPr>
        <w:t>Más que una cuestión de peso</w:t>
      </w:r>
      <w:r>
        <w:rPr>
          <w:sz w:val="24"/>
          <w:szCs w:val="24"/>
        </w:rPr>
        <w:t>.</w:t>
      </w:r>
      <w:hyperlink r:id="rId44">
        <w:r>
          <w:rPr>
            <w:sz w:val="24"/>
            <w:szCs w:val="24"/>
          </w:rPr>
          <w:t xml:space="preserve"> </w:t>
        </w:r>
      </w:hyperlink>
      <w:hyperlink r:id="rId45">
        <w:r>
          <w:rPr>
            <w:color w:val="1155CC"/>
            <w:sz w:val="24"/>
            <w:szCs w:val="24"/>
            <w:u w:val="single"/>
          </w:rPr>
          <w:t>https://www.paho.org/es/noticias/7-3-2024-mas-que-cuestion-peso</w:t>
        </w:r>
      </w:hyperlink>
    </w:p>
    <w:p w:rsidR="00087F4D" w:rsidRDefault="005A0B6A">
      <w:pPr>
        <w:spacing w:before="240" w:after="240"/>
        <w:jc w:val="both"/>
        <w:rPr>
          <w:color w:val="1155CC"/>
          <w:sz w:val="24"/>
          <w:szCs w:val="24"/>
          <w:u w:val="single"/>
        </w:rPr>
      </w:pPr>
      <w:r>
        <w:rPr>
          <w:sz w:val="24"/>
          <w:szCs w:val="24"/>
        </w:rPr>
        <w:t>Periódico UNAL. (2024). Aumenta en Colombia la malnutrición por exceso: una normalización de la obesidad.</w:t>
      </w:r>
      <w:hyperlink r:id="rId46">
        <w:r>
          <w:rPr>
            <w:sz w:val="24"/>
            <w:szCs w:val="24"/>
          </w:rPr>
          <w:t xml:space="preserve"> </w:t>
        </w:r>
      </w:hyperlink>
      <w:hyperlink r:id="rId47">
        <w:r>
          <w:rPr>
            <w:color w:val="1155CC"/>
            <w:sz w:val="24"/>
            <w:szCs w:val="24"/>
            <w:u w:val="single"/>
          </w:rPr>
          <w:t>https://periodico.unal.edu.co/articulos/aumenta-en-colombia-la-malnutricion-por-exceso-una-normalizacion-de-la-obesidad</w:t>
        </w:r>
      </w:hyperlink>
    </w:p>
    <w:p w:rsidR="00087F4D" w:rsidRDefault="005A0B6A">
      <w:pPr>
        <w:spacing w:before="240" w:after="240"/>
        <w:jc w:val="both"/>
        <w:rPr>
          <w:sz w:val="24"/>
          <w:szCs w:val="24"/>
        </w:rPr>
      </w:pPr>
      <w:r>
        <w:rPr>
          <w:sz w:val="24"/>
          <w:szCs w:val="24"/>
        </w:rPr>
        <w:t>Proyecto de Ley 253 de 2022 Cámara. “Por medio de la cual se expide la Ley General para el Manejo Integral del Sobrepeso y la Obesidad”. Congreso de la República de Colombia.</w:t>
      </w:r>
    </w:p>
    <w:p w:rsidR="00087F4D" w:rsidRDefault="005A0B6A">
      <w:pPr>
        <w:spacing w:before="240" w:after="240"/>
        <w:jc w:val="both"/>
        <w:rPr>
          <w:color w:val="1155CC"/>
          <w:sz w:val="24"/>
          <w:szCs w:val="24"/>
          <w:u w:val="single"/>
        </w:rPr>
      </w:pPr>
      <w:r>
        <w:rPr>
          <w:sz w:val="24"/>
          <w:szCs w:val="24"/>
        </w:rPr>
        <w:t>Revista Pesquisa FAPESP. (2024). Ya hay más de 1.000 millones de personas con obesidad en el mundo.</w:t>
      </w:r>
      <w:hyperlink r:id="rId48">
        <w:r>
          <w:rPr>
            <w:sz w:val="24"/>
            <w:szCs w:val="24"/>
          </w:rPr>
          <w:t xml:space="preserve"> </w:t>
        </w:r>
      </w:hyperlink>
      <w:hyperlink r:id="rId49">
        <w:r>
          <w:rPr>
            <w:color w:val="1155CC"/>
            <w:sz w:val="24"/>
            <w:szCs w:val="24"/>
            <w:u w:val="single"/>
          </w:rPr>
          <w:t>https://revistapesquisa.fapesp.br/es/ya</w:t>
        </w:r>
      </w:hyperlink>
    </w:p>
    <w:p w:rsidR="00087F4D" w:rsidRDefault="005A0B6A">
      <w:pPr>
        <w:spacing w:before="240" w:after="240"/>
        <w:jc w:val="both"/>
        <w:rPr>
          <w:color w:val="1155CC"/>
          <w:sz w:val="24"/>
          <w:szCs w:val="24"/>
          <w:u w:val="single"/>
        </w:rPr>
      </w:pPr>
      <w:r>
        <w:rPr>
          <w:sz w:val="24"/>
          <w:szCs w:val="24"/>
        </w:rPr>
        <w:lastRenderedPageBreak/>
        <w:t xml:space="preserve">World Obesity Federation. (2025). </w:t>
      </w:r>
      <w:r>
        <w:rPr>
          <w:i/>
          <w:sz w:val="24"/>
          <w:szCs w:val="24"/>
        </w:rPr>
        <w:t>World Obesity Atlas 2025</w:t>
      </w:r>
      <w:r>
        <w:rPr>
          <w:sz w:val="24"/>
          <w:szCs w:val="24"/>
        </w:rPr>
        <w:t>.</w:t>
      </w:r>
      <w:hyperlink r:id="rId50">
        <w:r>
          <w:rPr>
            <w:sz w:val="24"/>
            <w:szCs w:val="24"/>
          </w:rPr>
          <w:t xml:space="preserve"> </w:t>
        </w:r>
      </w:hyperlink>
      <w:hyperlink r:id="rId51">
        <w:r>
          <w:rPr>
            <w:color w:val="1155CC"/>
            <w:sz w:val="24"/>
            <w:szCs w:val="24"/>
            <w:u w:val="single"/>
          </w:rPr>
          <w:t>https://data.worldobesity.org/publications/?cat=23</w:t>
        </w:r>
      </w:hyperlink>
    </w:p>
    <w:p w:rsidR="00087F4D" w:rsidRDefault="00087F4D">
      <w:pPr>
        <w:spacing w:before="240" w:after="240"/>
        <w:jc w:val="both"/>
        <w:rPr>
          <w:sz w:val="24"/>
          <w:szCs w:val="24"/>
        </w:rPr>
      </w:pPr>
    </w:p>
    <w:p w:rsidR="00087F4D" w:rsidRPr="000C39F0" w:rsidRDefault="005A0B6A" w:rsidP="000C39F0">
      <w:pPr>
        <w:numPr>
          <w:ilvl w:val="0"/>
          <w:numId w:val="4"/>
        </w:numPr>
        <w:ind w:left="1418"/>
        <w:rPr>
          <w:b/>
          <w:sz w:val="24"/>
          <w:szCs w:val="24"/>
        </w:rPr>
      </w:pPr>
      <w:r w:rsidRPr="000C39F0">
        <w:rPr>
          <w:b/>
          <w:sz w:val="24"/>
          <w:szCs w:val="24"/>
        </w:rPr>
        <w:t>FUNDAMENTOS NORMATIVOS</w:t>
      </w:r>
    </w:p>
    <w:p w:rsidR="00B072FB" w:rsidRDefault="00B072FB" w:rsidP="00BF35F2">
      <w:pPr>
        <w:spacing w:after="240"/>
        <w:rPr>
          <w:b/>
          <w:sz w:val="24"/>
          <w:szCs w:val="24"/>
        </w:rPr>
      </w:pPr>
    </w:p>
    <w:p w:rsidR="00087F4D" w:rsidRPr="00BF35F2" w:rsidRDefault="005A0B6A" w:rsidP="00BF35F2">
      <w:pPr>
        <w:pStyle w:val="Prrafodelista"/>
        <w:numPr>
          <w:ilvl w:val="1"/>
          <w:numId w:val="15"/>
        </w:numPr>
        <w:pBdr>
          <w:top w:val="nil"/>
          <w:left w:val="nil"/>
          <w:bottom w:val="nil"/>
          <w:right w:val="nil"/>
          <w:between w:val="nil"/>
        </w:pBdr>
        <w:spacing w:after="200"/>
        <w:ind w:left="993"/>
        <w:rPr>
          <w:b/>
          <w:color w:val="000000"/>
          <w:sz w:val="24"/>
          <w:szCs w:val="24"/>
        </w:rPr>
      </w:pPr>
      <w:r w:rsidRPr="00BF35F2">
        <w:rPr>
          <w:b/>
          <w:color w:val="000000"/>
          <w:sz w:val="24"/>
          <w:szCs w:val="24"/>
        </w:rPr>
        <w:t>Disposiciones Constitucionales</w:t>
      </w:r>
    </w:p>
    <w:p w:rsidR="00621CC1" w:rsidRDefault="00621CC1" w:rsidP="00C212ED">
      <w:pPr>
        <w:pBdr>
          <w:top w:val="nil"/>
          <w:left w:val="nil"/>
          <w:bottom w:val="nil"/>
          <w:right w:val="nil"/>
          <w:between w:val="nil"/>
        </w:pBdr>
        <w:spacing w:after="200"/>
        <w:ind w:left="66"/>
        <w:jc w:val="both"/>
        <w:rPr>
          <w:b/>
          <w:color w:val="000000"/>
          <w:sz w:val="24"/>
          <w:szCs w:val="24"/>
        </w:rPr>
      </w:pPr>
      <w:r w:rsidRPr="00621CC1">
        <w:rPr>
          <w:color w:val="000000"/>
          <w:sz w:val="24"/>
          <w:szCs w:val="24"/>
        </w:rPr>
        <w:t>El</w:t>
      </w:r>
      <w:r>
        <w:rPr>
          <w:b/>
          <w:color w:val="000000"/>
          <w:sz w:val="24"/>
          <w:szCs w:val="24"/>
        </w:rPr>
        <w:t xml:space="preserve"> artículo 49 </w:t>
      </w:r>
      <w:r w:rsidRPr="00621CC1">
        <w:rPr>
          <w:color w:val="000000"/>
          <w:sz w:val="24"/>
          <w:szCs w:val="24"/>
        </w:rPr>
        <w:t xml:space="preserve">constitucional establece el derecho a la salud como un derecho fundamental, garantizando </w:t>
      </w:r>
      <w:r w:rsidRPr="00621CC1">
        <w:rPr>
          <w:i/>
          <w:color w:val="000000"/>
          <w:sz w:val="24"/>
          <w:szCs w:val="24"/>
        </w:rPr>
        <w:t>a todas las personas el acceso a servicios de promoción, protección y recuperación de la salud</w:t>
      </w:r>
      <w:r w:rsidRPr="00621CC1">
        <w:rPr>
          <w:color w:val="000000"/>
          <w:sz w:val="24"/>
          <w:szCs w:val="24"/>
        </w:rPr>
        <w:t>.</w:t>
      </w:r>
    </w:p>
    <w:p w:rsidR="00087F4D" w:rsidRDefault="00621CC1" w:rsidP="00C212ED">
      <w:pPr>
        <w:pBdr>
          <w:top w:val="nil"/>
          <w:left w:val="nil"/>
          <w:bottom w:val="nil"/>
          <w:right w:val="nil"/>
          <w:between w:val="nil"/>
        </w:pBdr>
        <w:spacing w:after="200"/>
        <w:ind w:left="66"/>
        <w:jc w:val="both"/>
        <w:rPr>
          <w:color w:val="000000"/>
          <w:sz w:val="24"/>
          <w:szCs w:val="24"/>
        </w:rPr>
      </w:pPr>
      <w:r>
        <w:rPr>
          <w:color w:val="000000"/>
          <w:sz w:val="24"/>
          <w:szCs w:val="24"/>
        </w:rPr>
        <w:t xml:space="preserve">En el mismo sentido, el </w:t>
      </w:r>
      <w:r>
        <w:rPr>
          <w:b/>
          <w:color w:val="000000"/>
          <w:sz w:val="24"/>
          <w:szCs w:val="24"/>
        </w:rPr>
        <w:t xml:space="preserve">artículo 366 </w:t>
      </w:r>
      <w:r>
        <w:rPr>
          <w:color w:val="000000"/>
          <w:sz w:val="24"/>
          <w:szCs w:val="24"/>
        </w:rPr>
        <w:t xml:space="preserve">superior, </w:t>
      </w:r>
      <w:r w:rsidR="005B5C83" w:rsidRPr="005B5C83">
        <w:rPr>
          <w:color w:val="000000"/>
          <w:sz w:val="24"/>
          <w:szCs w:val="24"/>
        </w:rPr>
        <w:t xml:space="preserve">establece que </w:t>
      </w:r>
      <w:r w:rsidR="005B5C83">
        <w:rPr>
          <w:color w:val="000000"/>
          <w:sz w:val="24"/>
          <w:szCs w:val="24"/>
        </w:rPr>
        <w:t xml:space="preserve">son fines sociales del Estado </w:t>
      </w:r>
      <w:r w:rsidR="005B5C83">
        <w:rPr>
          <w:i/>
          <w:color w:val="000000"/>
          <w:sz w:val="24"/>
          <w:szCs w:val="24"/>
        </w:rPr>
        <w:t>el bienestar general y el mejoramiento de la calidad de vida</w:t>
      </w:r>
      <w:r w:rsidR="006B460E">
        <w:rPr>
          <w:color w:val="000000"/>
          <w:sz w:val="24"/>
          <w:szCs w:val="24"/>
        </w:rPr>
        <w:t>.</w:t>
      </w:r>
      <w:r w:rsidR="005B5C83">
        <w:rPr>
          <w:i/>
          <w:color w:val="000000"/>
          <w:sz w:val="24"/>
          <w:szCs w:val="24"/>
        </w:rPr>
        <w:t xml:space="preserve"> </w:t>
      </w:r>
      <w:r w:rsidR="005B5C83" w:rsidRPr="005B5C83">
        <w:rPr>
          <w:color w:val="000000"/>
          <w:sz w:val="24"/>
          <w:szCs w:val="24"/>
        </w:rPr>
        <w:t>P</w:t>
      </w:r>
      <w:r w:rsidR="006B460E">
        <w:rPr>
          <w:color w:val="000000"/>
          <w:sz w:val="24"/>
          <w:szCs w:val="24"/>
        </w:rPr>
        <w:t xml:space="preserve">or lo tanto, solucionar las necesidades de </w:t>
      </w:r>
      <w:r w:rsidR="005B5C83" w:rsidRPr="005B5C83">
        <w:rPr>
          <w:color w:val="000000"/>
          <w:sz w:val="24"/>
          <w:szCs w:val="24"/>
        </w:rPr>
        <w:t>salud</w:t>
      </w:r>
      <w:r w:rsidR="00C212ED">
        <w:rPr>
          <w:color w:val="000000"/>
          <w:sz w:val="24"/>
          <w:szCs w:val="24"/>
        </w:rPr>
        <w:t xml:space="preserve">, </w:t>
      </w:r>
      <w:r w:rsidR="00C212ED" w:rsidRPr="00C212ED">
        <w:rPr>
          <w:color w:val="000000"/>
          <w:sz w:val="24"/>
          <w:szCs w:val="24"/>
        </w:rPr>
        <w:t>educación, saneamiento ambiental y agua potable</w:t>
      </w:r>
      <w:r w:rsidR="00C212ED">
        <w:rPr>
          <w:color w:val="000000"/>
          <w:sz w:val="24"/>
          <w:szCs w:val="24"/>
        </w:rPr>
        <w:t xml:space="preserve">, es </w:t>
      </w:r>
      <w:r w:rsidR="005B5C83" w:rsidRPr="005B5C83">
        <w:rPr>
          <w:color w:val="000000"/>
          <w:sz w:val="24"/>
          <w:szCs w:val="24"/>
        </w:rPr>
        <w:t>priori</w:t>
      </w:r>
      <w:r w:rsidR="00C212ED">
        <w:rPr>
          <w:color w:val="000000"/>
          <w:sz w:val="24"/>
          <w:szCs w:val="24"/>
        </w:rPr>
        <w:t xml:space="preserve">tario frente a otras </w:t>
      </w:r>
      <w:r w:rsidR="005B5C83" w:rsidRPr="005B5C83">
        <w:rPr>
          <w:color w:val="000000"/>
          <w:sz w:val="24"/>
          <w:szCs w:val="24"/>
        </w:rPr>
        <w:t>asignaciones.</w:t>
      </w:r>
    </w:p>
    <w:p w:rsidR="005259A1" w:rsidRDefault="005259A1" w:rsidP="005259A1">
      <w:pPr>
        <w:spacing w:before="240"/>
        <w:jc w:val="both"/>
        <w:rPr>
          <w:sz w:val="24"/>
          <w:szCs w:val="24"/>
        </w:rPr>
      </w:pPr>
      <w:r>
        <w:rPr>
          <w:sz w:val="24"/>
          <w:szCs w:val="24"/>
        </w:rPr>
        <w:t xml:space="preserve">De forma más reciente, el </w:t>
      </w:r>
      <w:r>
        <w:rPr>
          <w:b/>
          <w:sz w:val="24"/>
          <w:szCs w:val="24"/>
        </w:rPr>
        <w:t>Acto Legislativo 01 de 2025</w:t>
      </w:r>
      <w:r>
        <w:rPr>
          <w:sz w:val="24"/>
          <w:szCs w:val="24"/>
        </w:rPr>
        <w:t xml:space="preserve"> modificó el artículo 65 de la Constitución Política, consagrando el derecho humano a una alimentación adecuada, con enfoque intercultural y territorial. Esta modificación constitucional representa un avance significativo al establecer obligaciones explícitas para el Estado en la garantía progresiva del derecho a la alimentación, en todas sus dimensiones, incluida la prevención de la obesidad y otras formas de malnutrición.</w:t>
      </w:r>
    </w:p>
    <w:p w:rsidR="00BF35F2" w:rsidRDefault="00BF35F2" w:rsidP="00BF35F2">
      <w:pPr>
        <w:pBdr>
          <w:top w:val="nil"/>
          <w:left w:val="nil"/>
          <w:bottom w:val="nil"/>
          <w:right w:val="nil"/>
          <w:between w:val="nil"/>
        </w:pBdr>
        <w:ind w:left="66"/>
        <w:jc w:val="both"/>
        <w:rPr>
          <w:color w:val="000000"/>
          <w:sz w:val="24"/>
          <w:szCs w:val="24"/>
        </w:rPr>
      </w:pPr>
    </w:p>
    <w:p w:rsidR="00BF35F2" w:rsidRDefault="00BF35F2" w:rsidP="005259A1">
      <w:pPr>
        <w:pStyle w:val="Prrafodelista"/>
        <w:numPr>
          <w:ilvl w:val="1"/>
          <w:numId w:val="15"/>
        </w:numPr>
        <w:pBdr>
          <w:top w:val="nil"/>
          <w:left w:val="nil"/>
          <w:bottom w:val="nil"/>
          <w:right w:val="nil"/>
          <w:between w:val="nil"/>
        </w:pBdr>
        <w:spacing w:before="240"/>
        <w:ind w:left="993"/>
        <w:jc w:val="both"/>
        <w:rPr>
          <w:b/>
          <w:color w:val="000000"/>
          <w:sz w:val="24"/>
          <w:szCs w:val="24"/>
        </w:rPr>
      </w:pPr>
      <w:r w:rsidRPr="00BF35F2">
        <w:rPr>
          <w:b/>
          <w:color w:val="000000"/>
          <w:sz w:val="24"/>
          <w:szCs w:val="24"/>
        </w:rPr>
        <w:t>Fundamentos legales</w:t>
      </w:r>
    </w:p>
    <w:p w:rsidR="00BF35F2" w:rsidRPr="00BF35F2" w:rsidRDefault="00BF35F2" w:rsidP="00BF35F2">
      <w:pPr>
        <w:pBdr>
          <w:top w:val="nil"/>
          <w:left w:val="nil"/>
          <w:bottom w:val="nil"/>
          <w:right w:val="nil"/>
          <w:between w:val="nil"/>
        </w:pBdr>
        <w:jc w:val="both"/>
        <w:rPr>
          <w:b/>
          <w:color w:val="000000"/>
          <w:sz w:val="16"/>
          <w:szCs w:val="24"/>
        </w:rPr>
      </w:pPr>
    </w:p>
    <w:p w:rsidR="00BF35F2" w:rsidRDefault="00BF35F2" w:rsidP="00BF35F2">
      <w:pPr>
        <w:pStyle w:val="Prrafodelista"/>
        <w:numPr>
          <w:ilvl w:val="0"/>
          <w:numId w:val="17"/>
        </w:numPr>
        <w:spacing w:after="240"/>
        <w:ind w:left="426"/>
        <w:jc w:val="both"/>
        <w:rPr>
          <w:sz w:val="24"/>
          <w:szCs w:val="24"/>
        </w:rPr>
      </w:pPr>
      <w:r w:rsidRPr="00BF35F2">
        <w:rPr>
          <w:b/>
          <w:sz w:val="24"/>
          <w:szCs w:val="24"/>
        </w:rPr>
        <w:t xml:space="preserve">Ley 1355 de 2009. </w:t>
      </w:r>
      <w:r w:rsidRPr="00BF35F2">
        <w:rPr>
          <w:sz w:val="24"/>
          <w:szCs w:val="24"/>
        </w:rPr>
        <w:t xml:space="preserve">Declaró la obesidad como una enfermedad crónica y prioritaria en salud pública. </w:t>
      </w:r>
    </w:p>
    <w:p w:rsidR="00BF35F2" w:rsidRDefault="00BF35F2" w:rsidP="00BF35F2">
      <w:pPr>
        <w:pStyle w:val="Prrafodelista"/>
        <w:numPr>
          <w:ilvl w:val="0"/>
          <w:numId w:val="17"/>
        </w:numPr>
        <w:spacing w:after="240"/>
        <w:ind w:left="426"/>
        <w:jc w:val="both"/>
        <w:rPr>
          <w:sz w:val="24"/>
          <w:szCs w:val="24"/>
        </w:rPr>
      </w:pPr>
      <w:r w:rsidRPr="00BF35F2">
        <w:rPr>
          <w:b/>
          <w:sz w:val="24"/>
          <w:szCs w:val="24"/>
        </w:rPr>
        <w:t>Ley 2120 de 2021.</w:t>
      </w:r>
      <w:r w:rsidRPr="00BF35F2">
        <w:rPr>
          <w:sz w:val="24"/>
          <w:szCs w:val="24"/>
        </w:rPr>
        <w:t xml:space="preserve"> Adoptó medidas para fomentar entornos alimentarios saludables, a través de políticas que regulan la oferta de alimentos y promueven una alimentación equilibrada.</w:t>
      </w:r>
    </w:p>
    <w:p w:rsidR="00BF35F2" w:rsidRDefault="00BF35F2" w:rsidP="00BF35F2">
      <w:pPr>
        <w:pStyle w:val="Prrafodelista"/>
        <w:numPr>
          <w:ilvl w:val="0"/>
          <w:numId w:val="17"/>
        </w:numPr>
        <w:spacing w:after="240"/>
        <w:ind w:left="426"/>
        <w:jc w:val="both"/>
        <w:rPr>
          <w:sz w:val="24"/>
          <w:szCs w:val="24"/>
        </w:rPr>
      </w:pPr>
      <w:r w:rsidRPr="00BF35F2">
        <w:rPr>
          <w:b/>
          <w:sz w:val="24"/>
          <w:szCs w:val="24"/>
        </w:rPr>
        <w:t xml:space="preserve">Ley 2294 de 2023. </w:t>
      </w:r>
      <w:r w:rsidRPr="00BF35F2">
        <w:rPr>
          <w:sz w:val="24"/>
          <w:szCs w:val="24"/>
        </w:rPr>
        <w:t>Contiene el Plan Nacional de Desarrollo 2022-2026, creó dos sistemas fundamentales: el Sistema Nacional de Seguimiento y Monitoreo de la Malnutrición, y el Sistema Nacional para la Garantía Progresiva del Derecho a la Alimentación. Ambos mecanismos permiten una mejor articulación institucional, monitoreo territorial y gestión de información para la toma de decisiones en política pública.</w:t>
      </w:r>
    </w:p>
    <w:p w:rsidR="00BF35F2" w:rsidRDefault="00BF35F2" w:rsidP="00BF35F2">
      <w:pPr>
        <w:pStyle w:val="Prrafodelista"/>
        <w:numPr>
          <w:ilvl w:val="0"/>
          <w:numId w:val="17"/>
        </w:numPr>
        <w:spacing w:after="240"/>
        <w:ind w:left="426"/>
        <w:jc w:val="both"/>
        <w:rPr>
          <w:sz w:val="24"/>
          <w:szCs w:val="24"/>
        </w:rPr>
      </w:pPr>
      <w:r w:rsidRPr="00BF35F2">
        <w:rPr>
          <w:b/>
          <w:sz w:val="24"/>
          <w:szCs w:val="24"/>
        </w:rPr>
        <w:lastRenderedPageBreak/>
        <w:t>Plan Decenal de Salud Pública 2022-2031.</w:t>
      </w:r>
      <w:r w:rsidRPr="00BF35F2">
        <w:rPr>
          <w:sz w:val="24"/>
          <w:szCs w:val="24"/>
        </w:rPr>
        <w:t xml:space="preserve"> Incorpora un enfoque de determinación social de la salud, que vincula los entornos alimentarios, el acceso a espacios para la actividad física, la educación nutricional, los sistemas de información y los determinantes estructurales como la pobreza, la desigualdad y el modelo urbano.</w:t>
      </w:r>
    </w:p>
    <w:p w:rsidR="00BF35F2" w:rsidRDefault="00BF35F2" w:rsidP="00BF35F2">
      <w:pPr>
        <w:pStyle w:val="Prrafodelista"/>
        <w:numPr>
          <w:ilvl w:val="0"/>
          <w:numId w:val="17"/>
        </w:numPr>
        <w:spacing w:after="240"/>
        <w:ind w:left="426"/>
        <w:jc w:val="both"/>
        <w:rPr>
          <w:sz w:val="24"/>
          <w:szCs w:val="24"/>
        </w:rPr>
      </w:pPr>
      <w:r w:rsidRPr="00BF35F2">
        <w:rPr>
          <w:b/>
          <w:sz w:val="24"/>
          <w:szCs w:val="24"/>
        </w:rPr>
        <w:t xml:space="preserve">Plan Decenal de Lactancia Materna y Alimentación Complementaria 2021-2030. </w:t>
      </w:r>
      <w:r w:rsidRPr="00BF35F2">
        <w:rPr>
          <w:sz w:val="24"/>
          <w:szCs w:val="24"/>
        </w:rPr>
        <w:t>Refuerza la importancia de la nutrición en los primeros mil días de vida como estrategia fundamental de prevención de la obesidad infantil, destacando el rol de la lactancia materna exclusiva y de la alimentación complementaria adecuada.</w:t>
      </w:r>
    </w:p>
    <w:p w:rsidR="00BF35F2" w:rsidRDefault="00BF35F2" w:rsidP="00BF35F2">
      <w:pPr>
        <w:pStyle w:val="Prrafodelista"/>
        <w:numPr>
          <w:ilvl w:val="0"/>
          <w:numId w:val="17"/>
        </w:numPr>
        <w:spacing w:after="240"/>
        <w:ind w:left="426"/>
        <w:jc w:val="both"/>
        <w:rPr>
          <w:sz w:val="24"/>
          <w:szCs w:val="24"/>
        </w:rPr>
      </w:pPr>
      <w:r w:rsidRPr="00BF35F2">
        <w:rPr>
          <w:b/>
          <w:sz w:val="24"/>
          <w:szCs w:val="24"/>
        </w:rPr>
        <w:t>Resolución 3280 de 2018.</w:t>
      </w:r>
      <w:r w:rsidRPr="00BF35F2">
        <w:rPr>
          <w:sz w:val="24"/>
          <w:szCs w:val="24"/>
        </w:rPr>
        <w:t xml:space="preserve"> Establece lineamientos para la detección del riesgo de sobrepeso y obesidad a lo largo del curso de vida, desde la primera infancia hasta la adultez. </w:t>
      </w:r>
    </w:p>
    <w:p w:rsidR="005259A1" w:rsidRDefault="00BF35F2" w:rsidP="005259A1">
      <w:pPr>
        <w:pStyle w:val="Prrafodelista"/>
        <w:numPr>
          <w:ilvl w:val="0"/>
          <w:numId w:val="17"/>
        </w:numPr>
        <w:spacing w:after="240"/>
        <w:ind w:left="426"/>
        <w:jc w:val="both"/>
        <w:rPr>
          <w:sz w:val="24"/>
          <w:szCs w:val="24"/>
        </w:rPr>
      </w:pPr>
      <w:r w:rsidRPr="00BF35F2">
        <w:rPr>
          <w:b/>
          <w:sz w:val="24"/>
          <w:szCs w:val="24"/>
        </w:rPr>
        <w:t>Resolución 2465 de 2016.</w:t>
      </w:r>
      <w:r w:rsidRPr="00BF35F2">
        <w:rPr>
          <w:sz w:val="24"/>
          <w:szCs w:val="24"/>
        </w:rPr>
        <w:t xml:space="preserve"> Estandariza los criterios antropométricos para el diagnóstico de exceso de peso, asegurando una identificación oportuna y homogénea.</w:t>
      </w:r>
    </w:p>
    <w:p w:rsidR="00087F4D" w:rsidRDefault="00087F4D">
      <w:pPr>
        <w:spacing w:after="200"/>
        <w:rPr>
          <w:sz w:val="24"/>
          <w:szCs w:val="24"/>
        </w:rPr>
      </w:pPr>
    </w:p>
    <w:p w:rsidR="00087F4D" w:rsidRDefault="005A0B6A">
      <w:pPr>
        <w:numPr>
          <w:ilvl w:val="0"/>
          <w:numId w:val="4"/>
        </w:numPr>
        <w:pBdr>
          <w:top w:val="nil"/>
          <w:left w:val="nil"/>
          <w:bottom w:val="nil"/>
          <w:right w:val="nil"/>
          <w:between w:val="nil"/>
        </w:pBdr>
        <w:spacing w:after="200"/>
        <w:ind w:left="1418"/>
        <w:rPr>
          <w:b/>
          <w:color w:val="000000"/>
          <w:sz w:val="24"/>
          <w:szCs w:val="24"/>
        </w:rPr>
      </w:pPr>
      <w:r>
        <w:rPr>
          <w:b/>
          <w:color w:val="000000"/>
          <w:sz w:val="24"/>
          <w:szCs w:val="24"/>
        </w:rPr>
        <w:t>CONFLICTOS DE INTERÉS</w:t>
      </w:r>
    </w:p>
    <w:p w:rsidR="00087F4D" w:rsidRDefault="005A0B6A">
      <w:pPr>
        <w:spacing w:after="240"/>
        <w:jc w:val="both"/>
        <w:rPr>
          <w:sz w:val="24"/>
          <w:szCs w:val="24"/>
        </w:rPr>
      </w:pPr>
      <w:r>
        <w:rPr>
          <w:sz w:val="24"/>
          <w:szCs w:val="24"/>
        </w:rPr>
        <w:t xml:space="preserve">De conformidad con lo establecido en el artículo 3 de la Ley 2003 de 2019, modificatorio del artículo 291 de la Ley 5ª de 1992, por medio del cual se les ordena a los autores de una iniciativa legislativa presentar en la exposición de motivos un acápite que describa los eventos que podrían generar un conflicto de interés de cara a su discusión y votación, me permito realizar las siguientes consideraciones: </w:t>
      </w:r>
    </w:p>
    <w:p w:rsidR="00087F4D" w:rsidRDefault="005A0B6A">
      <w:pPr>
        <w:spacing w:after="240"/>
        <w:jc w:val="both"/>
        <w:rPr>
          <w:sz w:val="24"/>
          <w:szCs w:val="24"/>
        </w:rPr>
      </w:pPr>
      <w:r>
        <w:rPr>
          <w:sz w:val="24"/>
          <w:szCs w:val="24"/>
        </w:rPr>
        <w:t xml:space="preserve">Los elementos del régimen de conflicto de intereses desarrollados por la jurisprudencia del Consejo de Estado fueron recogidos por la Corte Constitucional en Sentencia C-302 de 2021 de la siguiente manera: </w:t>
      </w:r>
    </w:p>
    <w:p w:rsidR="00087F4D" w:rsidRDefault="005A0B6A">
      <w:pPr>
        <w:spacing w:after="240"/>
        <w:ind w:left="426" w:right="4"/>
        <w:jc w:val="both"/>
        <w:rPr>
          <w:sz w:val="24"/>
          <w:szCs w:val="24"/>
        </w:rPr>
      </w:pPr>
      <w:r>
        <w:rPr>
          <w:i/>
          <w:sz w:val="24"/>
          <w:szCs w:val="24"/>
        </w:rPr>
        <w:t xml:space="preserve">(…) son entonces varios los elementos que, de conformidad con la jurisprudencia del Consejo de Estado, caracterizan la institución del conflicto de intereses: i) es una excepción a la inmunidad de los congresistas (artículo 185 de la CP); ii) es un concepto jurídico indeterminado que, en principio, impide establecer reglas generales aplicables a todos los casos; iii) aquel surge cuando el congresista o sus parientes, en los grados señalados en la ley, tienen un interés particular, actual y directo en un asunto puesto a su consideración, el cual, por esta misma razón, es antagónico al interés general que debe buscar y preservar la investidura del cargo; y iv) si el congresista está inmerso en un conflicto de intereses, deberá declararse </w:t>
      </w:r>
      <w:r>
        <w:rPr>
          <w:i/>
          <w:sz w:val="24"/>
          <w:szCs w:val="24"/>
        </w:rPr>
        <w:lastRenderedPageBreak/>
        <w:t>impedido, con el fin de cumplir con el mandato constitucional contenido en el artículo 182 de la Carta</w:t>
      </w:r>
      <w:r>
        <w:rPr>
          <w:sz w:val="24"/>
          <w:szCs w:val="24"/>
        </w:rPr>
        <w:t>”</w:t>
      </w:r>
      <w:r>
        <w:rPr>
          <w:sz w:val="24"/>
          <w:szCs w:val="24"/>
          <w:vertAlign w:val="superscript"/>
        </w:rPr>
        <w:footnoteReference w:id="1"/>
      </w:r>
      <w:r>
        <w:rPr>
          <w:sz w:val="24"/>
          <w:szCs w:val="24"/>
        </w:rPr>
        <w:t xml:space="preserve">. </w:t>
      </w:r>
    </w:p>
    <w:p w:rsidR="00087F4D" w:rsidRDefault="005A0B6A">
      <w:pPr>
        <w:spacing w:after="200"/>
        <w:jc w:val="both"/>
        <w:rPr>
          <w:sz w:val="24"/>
          <w:szCs w:val="24"/>
        </w:rPr>
      </w:pPr>
      <w:r>
        <w:rPr>
          <w:sz w:val="24"/>
          <w:szCs w:val="24"/>
        </w:rPr>
        <w:t xml:space="preserve">Así mismo, es importante recordar los distintos tipos de beneficios que pueden configurar un conflicto de interés, dispuestos en el artículo 1 de la Ley 2003 de 2019, modificatorio del artículo 286 de la Ley 5 de 1992: </w:t>
      </w:r>
    </w:p>
    <w:p w:rsidR="00087F4D" w:rsidRDefault="005A0B6A">
      <w:pPr>
        <w:numPr>
          <w:ilvl w:val="0"/>
          <w:numId w:val="3"/>
        </w:numPr>
        <w:shd w:val="clear" w:color="auto" w:fill="FFFFFF"/>
        <w:spacing w:after="200"/>
        <w:jc w:val="both"/>
        <w:rPr>
          <w:sz w:val="24"/>
          <w:szCs w:val="24"/>
        </w:rPr>
      </w:pPr>
      <w:r>
        <w:rPr>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87F4D" w:rsidRDefault="005A0B6A">
      <w:pPr>
        <w:numPr>
          <w:ilvl w:val="0"/>
          <w:numId w:val="3"/>
        </w:numPr>
        <w:shd w:val="clear" w:color="auto" w:fill="FFFFFF"/>
        <w:spacing w:after="200"/>
        <w:jc w:val="both"/>
        <w:rPr>
          <w:sz w:val="24"/>
          <w:szCs w:val="24"/>
        </w:rPr>
      </w:pPr>
      <w:r>
        <w:rPr>
          <w:sz w:val="24"/>
          <w:szCs w:val="24"/>
        </w:rPr>
        <w:t>Beneficio actual: aquel que efectivamente se configura en las circunstancias presentes y existentes al momento en el que el congresista participa de la decisión.</w:t>
      </w:r>
    </w:p>
    <w:p w:rsidR="00087F4D" w:rsidRDefault="005A0B6A">
      <w:pPr>
        <w:numPr>
          <w:ilvl w:val="0"/>
          <w:numId w:val="3"/>
        </w:numPr>
        <w:shd w:val="clear" w:color="auto" w:fill="FFFFFF"/>
        <w:spacing w:after="200"/>
        <w:jc w:val="both"/>
        <w:rPr>
          <w:sz w:val="24"/>
          <w:szCs w:val="24"/>
        </w:rPr>
      </w:pPr>
      <w:r>
        <w:rPr>
          <w:sz w:val="24"/>
          <w:szCs w:val="24"/>
        </w:rPr>
        <w:t>Beneficio directo: aquel que se produzca de forma específica respecto del congresista, de su cónyuge, compañero o compañera permanente, o parientes dentro del segundo grado de consanguinidad, segundo de afinidad o primero civil.</w:t>
      </w:r>
    </w:p>
    <w:p w:rsidR="00087F4D" w:rsidRDefault="005A0B6A">
      <w:pPr>
        <w:spacing w:after="200"/>
        <w:jc w:val="both"/>
        <w:rPr>
          <w:sz w:val="24"/>
          <w:szCs w:val="24"/>
        </w:rPr>
      </w:pPr>
      <w:r>
        <w:rPr>
          <w:sz w:val="24"/>
          <w:szCs w:val="24"/>
        </w:rPr>
        <w:t xml:space="preserve">Adicionalmente a lo descrito, se debe resaltar que el interés ha de ser particular y no general, dado que si fuera el último caso los congresistas siempre se encontrarán en situación de conflicto, así lo describe el Consejo de Estado: </w:t>
      </w:r>
    </w:p>
    <w:p w:rsidR="00087F4D" w:rsidRDefault="005A0B6A">
      <w:pPr>
        <w:spacing w:after="200"/>
        <w:ind w:left="426" w:right="4"/>
        <w:jc w:val="both"/>
        <w:rPr>
          <w:i/>
          <w:sz w:val="24"/>
          <w:szCs w:val="24"/>
        </w:rPr>
      </w:pPr>
      <w:r>
        <w:rPr>
          <w:i/>
          <w:sz w:val="24"/>
          <w:szCs w:val="24"/>
        </w:rPr>
        <w:t>“En tratándose de conflicto de intereses, el interés “particular” cobra relevancia, entonces, no porque el congresista pueda eventualmente beneficiarse de una ley expedida para la generalidad de la sociedad, sino porque dicho proyecto le significa al congresista un beneficio especial, no disponible para los colombianos que en abstracto se encuentren en las hipótesis de la ley, configurándose así una situación de desigualdad que ostensiblemente favorece al legislador.</w:t>
      </w:r>
      <w:r>
        <w:rPr>
          <w:i/>
          <w:sz w:val="24"/>
          <w:szCs w:val="24"/>
          <w:vertAlign w:val="superscript"/>
        </w:rPr>
        <w:footnoteReference w:id="2"/>
      </w:r>
      <w:r>
        <w:rPr>
          <w:i/>
          <w:sz w:val="24"/>
          <w:szCs w:val="24"/>
        </w:rPr>
        <w:t>"</w:t>
      </w:r>
    </w:p>
    <w:p w:rsidR="00087F4D" w:rsidRDefault="005A0B6A">
      <w:pPr>
        <w:spacing w:after="200"/>
        <w:jc w:val="both"/>
        <w:rPr>
          <w:sz w:val="24"/>
          <w:szCs w:val="24"/>
          <w:highlight w:val="white"/>
        </w:rPr>
      </w:pPr>
      <w:r>
        <w:rPr>
          <w:sz w:val="24"/>
          <w:szCs w:val="24"/>
        </w:rPr>
        <w:t xml:space="preserve">En virtud de lo anterior, se considera que la discusión y aprobación del presente no presentaría conflictos de interés en razón de beneficios particulares, actuales y/o directos a los Congresistas conforme a lo dispuesto en la norma dado que se trata de un Proyecto de Ley con efectos jurídicos generales y abstractos </w:t>
      </w:r>
      <w:r>
        <w:rPr>
          <w:sz w:val="24"/>
          <w:szCs w:val="24"/>
          <w:highlight w:val="white"/>
        </w:rPr>
        <w:t xml:space="preserve">por medio de la cual se pretenden medidas para la protección y conservación del Río Caquetá. </w:t>
      </w:r>
    </w:p>
    <w:p w:rsidR="00087F4D" w:rsidRDefault="005A0B6A">
      <w:pPr>
        <w:spacing w:after="200"/>
        <w:jc w:val="both"/>
        <w:rPr>
          <w:sz w:val="24"/>
          <w:szCs w:val="24"/>
        </w:rPr>
      </w:pPr>
      <w:r>
        <w:rPr>
          <w:sz w:val="24"/>
          <w:szCs w:val="24"/>
        </w:rPr>
        <w:lastRenderedPageBreak/>
        <w:t>No obstante, es importante aclarar que la descripción realizada en este acápite sobre la no configuración de conflictos a lo largo del trámite del presente Proyecto de Ley, conforme a lo dispuesto en la Ley 5a de 1992 y su modificación, no exime a los Congresistas de identificar causales de conflicto de interés.</w:t>
      </w:r>
    </w:p>
    <w:p w:rsidR="00087F4D" w:rsidRDefault="00087F4D">
      <w:pPr>
        <w:spacing w:after="200"/>
        <w:jc w:val="both"/>
        <w:rPr>
          <w:b/>
          <w:sz w:val="24"/>
          <w:szCs w:val="24"/>
          <w:u w:val="single"/>
        </w:rPr>
      </w:pPr>
    </w:p>
    <w:p w:rsidR="00087F4D" w:rsidRDefault="005A0B6A">
      <w:pPr>
        <w:numPr>
          <w:ilvl w:val="0"/>
          <w:numId w:val="4"/>
        </w:numPr>
        <w:spacing w:after="200"/>
        <w:ind w:left="1418"/>
        <w:rPr>
          <w:b/>
          <w:sz w:val="24"/>
          <w:szCs w:val="24"/>
        </w:rPr>
      </w:pPr>
      <w:r>
        <w:rPr>
          <w:b/>
          <w:sz w:val="24"/>
          <w:szCs w:val="24"/>
        </w:rPr>
        <w:t>IMPACTO FISCAL</w:t>
      </w:r>
    </w:p>
    <w:p w:rsidR="00087F4D" w:rsidRDefault="005A0B6A">
      <w:pPr>
        <w:widowControl w:val="0"/>
        <w:spacing w:before="120"/>
        <w:jc w:val="both"/>
        <w:rPr>
          <w:sz w:val="24"/>
          <w:szCs w:val="24"/>
        </w:rPr>
      </w:pPr>
      <w:r>
        <w:rPr>
          <w:sz w:val="24"/>
          <w:szCs w:val="24"/>
        </w:rPr>
        <w:t>Dando cumplimiento al artículo 7 de la Ley 819 de 2003 “</w:t>
      </w:r>
      <w:r>
        <w:rPr>
          <w:i/>
          <w:sz w:val="24"/>
          <w:szCs w:val="24"/>
        </w:rPr>
        <w:t>Análisis del impacto fiscal de las normas”</w:t>
      </w:r>
      <w:r>
        <w:rPr>
          <w:sz w:val="24"/>
          <w:szCs w:val="24"/>
        </w:rPr>
        <w:t xml:space="preserve">. Debemos señalar que, los gastos que se generen de la presente iniciativa legislativa se deben entender como incluidos en los presupuestos y en el Plan Operativo Anual de Inversión al cual haya lugar. </w:t>
      </w:r>
    </w:p>
    <w:p w:rsidR="00087F4D" w:rsidRDefault="005A0B6A">
      <w:pPr>
        <w:widowControl w:val="0"/>
        <w:spacing w:before="120"/>
        <w:jc w:val="both"/>
        <w:rPr>
          <w:sz w:val="24"/>
          <w:szCs w:val="24"/>
        </w:rPr>
      </w:pPr>
      <w:r>
        <w:rPr>
          <w:sz w:val="24"/>
          <w:szCs w:val="24"/>
        </w:rPr>
        <w:t>Así las cosas, posterior a la promulgación del presente proyecto de Ley, el Gobierno Nacional deberá promover y realizar acciones tendientes a su ejercicio y cumplimiento, lo anterior con observancia de la regla y el marco fiscales de mediano plazo.</w:t>
      </w:r>
    </w:p>
    <w:p w:rsidR="00087F4D" w:rsidRDefault="005A0B6A">
      <w:pPr>
        <w:widowControl w:val="0"/>
        <w:spacing w:before="120"/>
        <w:jc w:val="both"/>
        <w:rPr>
          <w:sz w:val="24"/>
          <w:szCs w:val="24"/>
        </w:rPr>
      </w:pPr>
      <w:r>
        <w:rPr>
          <w:sz w:val="24"/>
          <w:szCs w:val="24"/>
        </w:rPr>
        <w:t xml:space="preserve">De conformidad con lo anterior, resulta importante citar un pronunciamiento de la Corte Constitucional acerca del tema, el cual quedó plasmado en la Sentencia C-490 del año 2011, en la cual señala a renglón seguido. </w:t>
      </w:r>
    </w:p>
    <w:p w:rsidR="00087F4D" w:rsidRDefault="005A0B6A">
      <w:pPr>
        <w:widowControl w:val="0"/>
        <w:spacing w:before="120"/>
        <w:ind w:left="360"/>
        <w:jc w:val="both"/>
        <w:rPr>
          <w:sz w:val="24"/>
          <w:szCs w:val="24"/>
        </w:rPr>
      </w:pPr>
      <w:r>
        <w:rPr>
          <w:i/>
          <w:sz w:val="24"/>
          <w:szCs w:val="24"/>
        </w:rPr>
        <w:t>“</w:t>
      </w:r>
      <w:r>
        <w:rPr>
          <w:b/>
          <w:i/>
          <w:sz w:val="24"/>
          <w:szCs w:val="24"/>
        </w:rPr>
        <w:t>El mandato de adecuación entre la justificación de los proyectos de ley y la planeación de la política económica, empero, no puede comprenderse como un requisito de trámite para la aprobación de las iniciativas legislativas</w:t>
      </w:r>
      <w:r>
        <w:rPr>
          <w:i/>
          <w:sz w:val="24"/>
          <w:szCs w:val="24"/>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Pr>
          <w:sz w:val="24"/>
          <w:szCs w:val="24"/>
        </w:rPr>
        <w:t xml:space="preserve"> (Negrillas fuera de texto).  </w:t>
      </w:r>
    </w:p>
    <w:p w:rsidR="00087F4D" w:rsidRDefault="005A0B6A">
      <w:pPr>
        <w:widowControl w:val="0"/>
        <w:spacing w:before="120"/>
        <w:jc w:val="both"/>
        <w:rPr>
          <w:sz w:val="24"/>
          <w:szCs w:val="24"/>
        </w:rPr>
      </w:pPr>
      <w:r>
        <w:rPr>
          <w:sz w:val="24"/>
          <w:szCs w:val="24"/>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rsidR="00087F4D" w:rsidRDefault="005A0B6A">
      <w:pPr>
        <w:widowControl w:val="0"/>
        <w:spacing w:before="120"/>
        <w:ind w:left="360"/>
        <w:jc w:val="both"/>
        <w:rPr>
          <w:i/>
          <w:sz w:val="24"/>
          <w:szCs w:val="24"/>
        </w:rPr>
      </w:pPr>
      <w:r>
        <w:rPr>
          <w:i/>
          <w:sz w:val="24"/>
          <w:szCs w:val="24"/>
        </w:rPr>
        <w:t xml:space="preserve">“En la realidad, aceptar que las condiciones establecidas en el artículo 7° de la Ley 819 de 2003 constituyen un requisito de trámite que le incumbe cumplir única y </w:t>
      </w:r>
      <w:r>
        <w:rPr>
          <w:i/>
          <w:sz w:val="24"/>
          <w:szCs w:val="24"/>
        </w:rPr>
        <w:lastRenderedPageBreak/>
        <w:t xml:space="preserve">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rsidR="00087F4D" w:rsidRDefault="005A0B6A">
      <w:pPr>
        <w:widowControl w:val="0"/>
        <w:spacing w:before="120"/>
        <w:ind w:left="360"/>
        <w:jc w:val="both"/>
        <w:rPr>
          <w:sz w:val="24"/>
          <w:szCs w:val="24"/>
        </w:rPr>
      </w:pPr>
      <w:r>
        <w:rPr>
          <w:i/>
          <w:sz w:val="24"/>
          <w:szCs w:val="24"/>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Pr>
          <w:sz w:val="24"/>
          <w:szCs w:val="24"/>
        </w:rPr>
        <w:t xml:space="preserve"> </w:t>
      </w:r>
    </w:p>
    <w:p w:rsidR="00087F4D" w:rsidRDefault="005A0B6A">
      <w:pPr>
        <w:widowControl w:val="0"/>
        <w:spacing w:before="120"/>
        <w:jc w:val="both"/>
        <w:rPr>
          <w:sz w:val="24"/>
          <w:szCs w:val="24"/>
        </w:rPr>
      </w:pPr>
      <w:r>
        <w:rPr>
          <w:sz w:val="24"/>
          <w:szCs w:val="24"/>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rsidR="00087F4D" w:rsidRDefault="005A0B6A">
      <w:pPr>
        <w:widowControl w:val="0"/>
        <w:spacing w:before="120"/>
        <w:jc w:val="both"/>
        <w:rPr>
          <w:sz w:val="24"/>
          <w:szCs w:val="24"/>
        </w:rPr>
      </w:pPr>
      <w:r>
        <w:rPr>
          <w:sz w:val="24"/>
          <w:szCs w:val="24"/>
        </w:rPr>
        <w:t>Con base en lo expuesto anteriormente, pongo a disposición de los Honorables Congresistas, la discusión y aprobación del presente Proyecto de Ley.</w:t>
      </w:r>
    </w:p>
    <w:p w:rsidR="00087F4D" w:rsidRDefault="005A0B6A">
      <w:pPr>
        <w:widowControl w:val="0"/>
        <w:spacing w:before="120"/>
        <w:jc w:val="both"/>
        <w:rPr>
          <w:sz w:val="24"/>
          <w:szCs w:val="24"/>
        </w:rPr>
      </w:pPr>
      <w:r>
        <w:rPr>
          <w:sz w:val="24"/>
          <w:szCs w:val="24"/>
        </w:rPr>
        <w:t>De los Honorables Congresistas,</w:t>
      </w:r>
    </w:p>
    <w:tbl>
      <w:tblPr>
        <w:tblStyle w:val="Tablaconcuadrcula"/>
        <w:tblW w:w="0" w:type="auto"/>
        <w:tblLook w:val="04A0" w:firstRow="1" w:lastRow="0" w:firstColumn="1" w:lastColumn="0" w:noHBand="0" w:noVBand="1"/>
      </w:tblPr>
      <w:tblGrid>
        <w:gridCol w:w="4675"/>
        <w:gridCol w:w="4675"/>
      </w:tblGrid>
      <w:tr w:rsidR="00BC1E82" w:rsidTr="00EC648B">
        <w:tc>
          <w:tcPr>
            <w:tcW w:w="4675" w:type="dxa"/>
          </w:tcPr>
          <w:p w:rsidR="00BC1E82" w:rsidRDefault="00BC1E82" w:rsidP="00BC1E82">
            <w:pPr>
              <w:rPr>
                <w:b/>
                <w:szCs w:val="24"/>
              </w:rPr>
            </w:pPr>
          </w:p>
          <w:p w:rsidR="00BC1E82" w:rsidRDefault="00BC1E82" w:rsidP="00BC1E82">
            <w:pPr>
              <w:rPr>
                <w:b/>
                <w:szCs w:val="24"/>
              </w:rPr>
            </w:pPr>
          </w:p>
          <w:p w:rsidR="00BC1E82" w:rsidRDefault="00BC1E82" w:rsidP="00BC1E82">
            <w:pPr>
              <w:rPr>
                <w:b/>
                <w:szCs w:val="24"/>
              </w:rPr>
            </w:pPr>
          </w:p>
          <w:p w:rsidR="00BC1E82" w:rsidRDefault="00BC1E82" w:rsidP="00BC1E82">
            <w:pPr>
              <w:rPr>
                <w:b/>
                <w:szCs w:val="24"/>
              </w:rPr>
            </w:pPr>
          </w:p>
          <w:p w:rsidR="00BC1E82" w:rsidRPr="00BC1E82" w:rsidRDefault="00BC1E82" w:rsidP="00BC1E82">
            <w:pPr>
              <w:rPr>
                <w:b/>
                <w:szCs w:val="24"/>
              </w:rPr>
            </w:pPr>
            <w:r w:rsidRPr="00BC1E82">
              <w:rPr>
                <w:b/>
                <w:szCs w:val="24"/>
              </w:rPr>
              <w:t>JUAN CAMILO LONDOÑO BARRERA</w:t>
            </w:r>
          </w:p>
          <w:p w:rsidR="00BC1E82" w:rsidRPr="00BC1E82" w:rsidRDefault="00BC1E82" w:rsidP="00BC1E82">
            <w:pPr>
              <w:rPr>
                <w:sz w:val="20"/>
                <w:szCs w:val="24"/>
              </w:rPr>
            </w:pPr>
            <w:r w:rsidRPr="00BC1E82">
              <w:rPr>
                <w:sz w:val="20"/>
                <w:szCs w:val="24"/>
              </w:rPr>
              <w:t>Representante a la Cámara por Antioquia</w:t>
            </w:r>
          </w:p>
          <w:p w:rsidR="00BC1E82" w:rsidRPr="00BC1E82" w:rsidRDefault="00BC1E82" w:rsidP="00BC1E82">
            <w:pPr>
              <w:rPr>
                <w:szCs w:val="24"/>
              </w:rPr>
            </w:pPr>
            <w:r w:rsidRPr="00BC1E82">
              <w:rPr>
                <w:sz w:val="20"/>
                <w:szCs w:val="24"/>
              </w:rPr>
              <w:t>Partido Alianza Verde</w:t>
            </w:r>
          </w:p>
        </w:tc>
        <w:tc>
          <w:tcPr>
            <w:tcW w:w="4675" w:type="dxa"/>
          </w:tcPr>
          <w:p w:rsidR="00BC1E82" w:rsidRDefault="00BC1E82" w:rsidP="00EC648B">
            <w:pPr>
              <w:spacing w:before="240" w:after="240"/>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tr w:rsidR="00BC1E82" w:rsidTr="00EC648B">
        <w:tc>
          <w:tcPr>
            <w:tcW w:w="4675" w:type="dxa"/>
          </w:tcPr>
          <w:p w:rsidR="00BC1E82" w:rsidRDefault="00BC1E82" w:rsidP="00BC1E82">
            <w:pPr>
              <w:jc w:val="both"/>
            </w:pPr>
            <w:bookmarkStart w:id="0" w:name="_GoBack"/>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p w:rsidR="00BC1E82" w:rsidRDefault="00BC1E82" w:rsidP="00BC1E82">
            <w:pPr>
              <w:jc w:val="both"/>
            </w:pPr>
          </w:p>
        </w:tc>
        <w:tc>
          <w:tcPr>
            <w:tcW w:w="4675" w:type="dxa"/>
          </w:tcPr>
          <w:p w:rsidR="00BC1E82" w:rsidRDefault="00BC1E82" w:rsidP="00BC1E82">
            <w:pPr>
              <w:jc w:val="both"/>
            </w:pPr>
          </w:p>
        </w:tc>
      </w:tr>
      <w:bookmarkEnd w:id="0"/>
    </w:tbl>
    <w:p w:rsidR="00087F4D" w:rsidRDefault="00087F4D" w:rsidP="00BC1E82">
      <w:pPr>
        <w:widowControl w:val="0"/>
        <w:spacing w:before="120"/>
        <w:jc w:val="both"/>
        <w:rPr>
          <w:sz w:val="24"/>
          <w:szCs w:val="24"/>
        </w:rPr>
      </w:pPr>
    </w:p>
    <w:sectPr w:rsidR="00087F4D">
      <w:headerReference w:type="default" r:id="rId52"/>
      <w:footerReference w:type="default" r:id="rId53"/>
      <w:pgSz w:w="12240" w:h="15840"/>
      <w:pgMar w:top="1702" w:right="1440" w:bottom="1440" w:left="1440" w:header="568" w:footer="6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E9F" w:rsidRDefault="00154E9F">
      <w:pPr>
        <w:spacing w:line="240" w:lineRule="auto"/>
      </w:pPr>
      <w:r>
        <w:separator/>
      </w:r>
    </w:p>
  </w:endnote>
  <w:endnote w:type="continuationSeparator" w:id="0">
    <w:p w:rsidR="00154E9F" w:rsidRDefault="0015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6A" w:rsidRDefault="005A0B6A">
    <w:pPr>
      <w:pBdr>
        <w:top w:val="nil"/>
        <w:left w:val="nil"/>
        <w:bottom w:val="nil"/>
        <w:right w:val="nil"/>
        <w:between w:val="nil"/>
      </w:pBdr>
      <w:tabs>
        <w:tab w:val="center" w:pos="4419"/>
        <w:tab w:val="right" w:pos="8838"/>
        <w:tab w:val="right" w:pos="9072"/>
      </w:tabs>
      <w:spacing w:line="240" w:lineRule="auto"/>
      <w:ind w:right="-563"/>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p>
  <w:p w:rsidR="005A0B6A" w:rsidRDefault="005A0B6A">
    <w:pPr>
      <w:tabs>
        <w:tab w:val="center" w:pos="4419"/>
        <w:tab w:val="right" w:pos="8838"/>
      </w:tabs>
      <w:spacing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E9F" w:rsidRDefault="00154E9F">
      <w:pPr>
        <w:spacing w:line="240" w:lineRule="auto"/>
      </w:pPr>
      <w:r>
        <w:separator/>
      </w:r>
    </w:p>
  </w:footnote>
  <w:footnote w:type="continuationSeparator" w:id="0">
    <w:p w:rsidR="00154E9F" w:rsidRDefault="00154E9F">
      <w:pPr>
        <w:spacing w:line="240" w:lineRule="auto"/>
      </w:pPr>
      <w:r>
        <w:continuationSeparator/>
      </w:r>
    </w:p>
  </w:footnote>
  <w:footnote w:id="1">
    <w:p w:rsidR="005A0B6A" w:rsidRDefault="005A0B6A">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Corte Constitucional. Sentencia C-302 del 9 de septiembre de 2021, M.S. Cristina Pardo </w:t>
      </w:r>
      <w:proofErr w:type="spellStart"/>
      <w:r>
        <w:rPr>
          <w:rFonts w:ascii="Times New Roman" w:eastAsia="Times New Roman" w:hAnsi="Times New Roman" w:cs="Times New Roman"/>
          <w:sz w:val="18"/>
          <w:szCs w:val="18"/>
        </w:rPr>
        <w:t>Schlesinger</w:t>
      </w:r>
      <w:proofErr w:type="spellEnd"/>
      <w:r>
        <w:rPr>
          <w:rFonts w:ascii="Times New Roman" w:eastAsia="Times New Roman" w:hAnsi="Times New Roman" w:cs="Times New Roman"/>
          <w:sz w:val="18"/>
          <w:szCs w:val="18"/>
        </w:rPr>
        <w:t xml:space="preserve">. </w:t>
      </w:r>
    </w:p>
  </w:footnote>
  <w:footnote w:id="2">
    <w:p w:rsidR="005A0B6A" w:rsidRDefault="005A0B6A">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Consejo de Estado, Sala de Consulta y Servicio Civil. Sentencia del 21 de octubre de 2010, C.P. Augusto Hernández Becerra, radicado 11001-03-06-000-2010-00112-00(2042).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6A" w:rsidRDefault="005A0B6A">
    <w:r>
      <w:rPr>
        <w:noProof/>
      </w:rPr>
      <w:drawing>
        <wp:anchor distT="0" distB="0" distL="0" distR="0" simplePos="0" relativeHeight="251658240" behindDoc="1" locked="0" layoutInCell="1" hidden="0" allowOverlap="1">
          <wp:simplePos x="0" y="0"/>
          <wp:positionH relativeFrom="column">
            <wp:posOffset>-776132</wp:posOffset>
          </wp:positionH>
          <wp:positionV relativeFrom="paragraph">
            <wp:posOffset>-204470</wp:posOffset>
          </wp:positionV>
          <wp:extent cx="7620000" cy="9877425"/>
          <wp:effectExtent l="0" t="0" r="0" b="9525"/>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0" cy="9877425"/>
                  </a:xfrm>
                  <a:prstGeom prst="rect">
                    <a:avLst/>
                  </a:prstGeom>
                  <a:ln/>
                </pic:spPr>
              </pic:pic>
            </a:graphicData>
          </a:graphic>
        </wp:anchor>
      </w:drawing>
    </w:r>
  </w:p>
  <w:p w:rsidR="005A0B6A" w:rsidRDefault="005A0B6A"/>
  <w:p w:rsidR="005A0B6A" w:rsidRDefault="005A0B6A"/>
  <w:p w:rsidR="005A0B6A" w:rsidRDefault="005A0B6A"/>
  <w:p w:rsidR="005A0B6A" w:rsidRDefault="005A0B6A" w:rsidP="00B34C9F">
    <w:pPr>
      <w:ind w:firstLine="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931"/>
    <w:multiLevelType w:val="hybridMultilevel"/>
    <w:tmpl w:val="3B102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6C213C"/>
    <w:multiLevelType w:val="multilevel"/>
    <w:tmpl w:val="542C84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7FE3099"/>
    <w:multiLevelType w:val="multilevel"/>
    <w:tmpl w:val="1702E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19C06C9"/>
    <w:multiLevelType w:val="hybridMultilevel"/>
    <w:tmpl w:val="57245510"/>
    <w:lvl w:ilvl="0" w:tplc="C0C84A2A">
      <w:start w:val="3"/>
      <w:numFmt w:val="bullet"/>
      <w:lvlText w:val="-"/>
      <w:lvlJc w:val="left"/>
      <w:pPr>
        <w:ind w:left="720" w:hanging="360"/>
      </w:pPr>
      <w:rPr>
        <w:rFonts w:ascii="Arial" w:eastAsia="Arial"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CB1296"/>
    <w:multiLevelType w:val="multilevel"/>
    <w:tmpl w:val="694CDFE4"/>
    <w:lvl w:ilvl="0">
      <w:start w:val="1"/>
      <w:numFmt w:val="upperRoman"/>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964B4F"/>
    <w:multiLevelType w:val="multilevel"/>
    <w:tmpl w:val="8AE6247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E50A72"/>
    <w:multiLevelType w:val="hybridMultilevel"/>
    <w:tmpl w:val="92703DF8"/>
    <w:lvl w:ilvl="0" w:tplc="BF0E239C">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A4175E"/>
    <w:multiLevelType w:val="multilevel"/>
    <w:tmpl w:val="5094CD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2061410"/>
    <w:multiLevelType w:val="hybridMultilevel"/>
    <w:tmpl w:val="9DEA9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DBE3C85"/>
    <w:multiLevelType w:val="hybridMultilevel"/>
    <w:tmpl w:val="096254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523F60"/>
    <w:multiLevelType w:val="hybridMultilevel"/>
    <w:tmpl w:val="6FFEFDB8"/>
    <w:lvl w:ilvl="0" w:tplc="F8020BC8">
      <w:start w:val="3"/>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5763AE2"/>
    <w:multiLevelType w:val="hybridMultilevel"/>
    <w:tmpl w:val="68EA6BA4"/>
    <w:lvl w:ilvl="0" w:tplc="CA907346">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9261B34"/>
    <w:multiLevelType w:val="multilevel"/>
    <w:tmpl w:val="8F9A91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A6B6ACD"/>
    <w:multiLevelType w:val="hybridMultilevel"/>
    <w:tmpl w:val="DAFC983C"/>
    <w:lvl w:ilvl="0" w:tplc="CA90734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B9D311E"/>
    <w:multiLevelType w:val="hybridMultilevel"/>
    <w:tmpl w:val="231062C6"/>
    <w:lvl w:ilvl="0" w:tplc="2964321E">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776A63"/>
    <w:multiLevelType w:val="hybridMultilevel"/>
    <w:tmpl w:val="3D207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2E4D47"/>
    <w:multiLevelType w:val="multilevel"/>
    <w:tmpl w:val="A3628D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2"/>
  </w:num>
  <w:num w:numId="4">
    <w:abstractNumId w:val="4"/>
  </w:num>
  <w:num w:numId="5">
    <w:abstractNumId w:val="12"/>
  </w:num>
  <w:num w:numId="6">
    <w:abstractNumId w:val="1"/>
  </w:num>
  <w:num w:numId="7">
    <w:abstractNumId w:val="15"/>
  </w:num>
  <w:num w:numId="8">
    <w:abstractNumId w:val="13"/>
  </w:num>
  <w:num w:numId="9">
    <w:abstractNumId w:val="0"/>
  </w:num>
  <w:num w:numId="10">
    <w:abstractNumId w:val="9"/>
  </w:num>
  <w:num w:numId="11">
    <w:abstractNumId w:val="11"/>
  </w:num>
  <w:num w:numId="12">
    <w:abstractNumId w:val="14"/>
  </w:num>
  <w:num w:numId="13">
    <w:abstractNumId w:val="8"/>
  </w:num>
  <w:num w:numId="14">
    <w:abstractNumId w:val="6"/>
  </w:num>
  <w:num w:numId="15">
    <w:abstractNumId w:val="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4D"/>
    <w:rsid w:val="00087F4D"/>
    <w:rsid w:val="000C39F0"/>
    <w:rsid w:val="000D0947"/>
    <w:rsid w:val="00140CE3"/>
    <w:rsid w:val="00153C9D"/>
    <w:rsid w:val="00154E9F"/>
    <w:rsid w:val="00172A6F"/>
    <w:rsid w:val="001B0AC4"/>
    <w:rsid w:val="001B4EF4"/>
    <w:rsid w:val="001D2111"/>
    <w:rsid w:val="004318A2"/>
    <w:rsid w:val="004834D9"/>
    <w:rsid w:val="00487DEE"/>
    <w:rsid w:val="004B6DA4"/>
    <w:rsid w:val="005259A1"/>
    <w:rsid w:val="00527836"/>
    <w:rsid w:val="00546F3F"/>
    <w:rsid w:val="00576E42"/>
    <w:rsid w:val="005A0B6A"/>
    <w:rsid w:val="005B5C83"/>
    <w:rsid w:val="005C3826"/>
    <w:rsid w:val="00621CC1"/>
    <w:rsid w:val="006B460E"/>
    <w:rsid w:val="006C3495"/>
    <w:rsid w:val="006F5755"/>
    <w:rsid w:val="00794BF6"/>
    <w:rsid w:val="007962DE"/>
    <w:rsid w:val="007D0327"/>
    <w:rsid w:val="00875414"/>
    <w:rsid w:val="0089387D"/>
    <w:rsid w:val="008F23E2"/>
    <w:rsid w:val="00916F0F"/>
    <w:rsid w:val="009251A0"/>
    <w:rsid w:val="00A34356"/>
    <w:rsid w:val="00A659EC"/>
    <w:rsid w:val="00B049EB"/>
    <w:rsid w:val="00B072FB"/>
    <w:rsid w:val="00B34C9F"/>
    <w:rsid w:val="00BC1E82"/>
    <w:rsid w:val="00BF35F2"/>
    <w:rsid w:val="00BF6E08"/>
    <w:rsid w:val="00C15D41"/>
    <w:rsid w:val="00C212ED"/>
    <w:rsid w:val="00C9263F"/>
    <w:rsid w:val="00CE50E1"/>
    <w:rsid w:val="00D45B1F"/>
    <w:rsid w:val="00E51846"/>
    <w:rsid w:val="00F05498"/>
    <w:rsid w:val="00F11647"/>
    <w:rsid w:val="00F523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D495C"/>
  <w15:docId w15:val="{131B75C5-7750-4EC4-8D58-391DE84B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20C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20CC3"/>
  </w:style>
  <w:style w:type="paragraph" w:styleId="Piedepgina">
    <w:name w:val="footer"/>
    <w:basedOn w:val="Normal"/>
    <w:link w:val="PiedepginaCar"/>
    <w:uiPriority w:val="99"/>
    <w:unhideWhenUsed/>
    <w:rsid w:val="00E20C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20CC3"/>
  </w:style>
  <w:style w:type="paragraph" w:styleId="Prrafodelista">
    <w:name w:val="List Paragraph"/>
    <w:basedOn w:val="Normal"/>
    <w:uiPriority w:val="34"/>
    <w:qFormat/>
    <w:rsid w:val="001450AD"/>
    <w:pPr>
      <w:ind w:left="720"/>
      <w:contextualSpacing/>
    </w:pPr>
  </w:style>
  <w:style w:type="character" w:styleId="Hipervnculo">
    <w:name w:val="Hyperlink"/>
    <w:basedOn w:val="Fuentedeprrafopredeter"/>
    <w:uiPriority w:val="99"/>
    <w:unhideWhenUsed/>
    <w:rsid w:val="0075044B"/>
    <w:rPr>
      <w:color w:val="0000FF" w:themeColor="hyperlink"/>
      <w:u w:val="single"/>
    </w:rPr>
  </w:style>
  <w:style w:type="character" w:customStyle="1" w:styleId="Mencinsinresolver1">
    <w:name w:val="Mención sin resolver1"/>
    <w:basedOn w:val="Fuentedeprrafopredeter"/>
    <w:uiPriority w:val="99"/>
    <w:semiHidden/>
    <w:unhideWhenUsed/>
    <w:rsid w:val="0075044B"/>
    <w:rPr>
      <w:color w:val="605E5C"/>
      <w:shd w:val="clear" w:color="auto" w:fill="E1DFDD"/>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Textodeglobo">
    <w:name w:val="Balloon Text"/>
    <w:basedOn w:val="Normal"/>
    <w:link w:val="TextodegloboCar"/>
    <w:uiPriority w:val="99"/>
    <w:semiHidden/>
    <w:unhideWhenUsed/>
    <w:rsid w:val="00153C9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9D"/>
    <w:rPr>
      <w:rFonts w:ascii="Segoe UI" w:hAnsi="Segoe UI" w:cs="Segoe UI"/>
      <w:sz w:val="18"/>
      <w:szCs w:val="18"/>
    </w:rPr>
  </w:style>
  <w:style w:type="table" w:styleId="Tablaconcuadrcula">
    <w:name w:val="Table Grid"/>
    <w:basedOn w:val="Tablanormal"/>
    <w:uiPriority w:val="39"/>
    <w:rsid w:val="00BC1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hic.fcv.org/co/imap/quienes-somos/noticias/nutricion-metabolica-un-plan-de-alimentacion-sostenible-en-el-tiempo" TargetMode="External"/><Relationship Id="rId18" Type="http://schemas.openxmlformats.org/officeDocument/2006/relationships/hyperlink" Target="https://www.colegiomedicodebogotadc.org/prevencion-y-promocion-de-la-salud/?utm_source=" TargetMode="External"/><Relationship Id="rId26" Type="http://schemas.openxmlformats.org/officeDocument/2006/relationships/hyperlink" Target="https://doi.org/10.1016/j.clnu.2022.07.003" TargetMode="External"/><Relationship Id="rId39" Type="http://schemas.openxmlformats.org/officeDocument/2006/relationships/hyperlink" Target="https://novotech-cro.com/faq/overview-obesity-global-clinical-trials-landscape" TargetMode="External"/><Relationship Id="rId21" Type="http://schemas.openxmlformats.org/officeDocument/2006/relationships/image" Target="media/image1.png"/><Relationship Id="rId34" Type="http://schemas.openxmlformats.org/officeDocument/2006/relationships/hyperlink" Target="https://www.icbf.gov.co/bienestar/nutricion/encuesta-nacional-situacion-nutricional" TargetMode="External"/><Relationship Id="rId42" Type="http://schemas.openxmlformats.org/officeDocument/2006/relationships/hyperlink" Target="https://www.who.int/es/news-room/fact-sheets/detail/obesity-and-overweight" TargetMode="External"/><Relationship Id="rId47" Type="http://schemas.openxmlformats.org/officeDocument/2006/relationships/hyperlink" Target="https://periodico.unal.edu.co/articulos/aumenta-en-colombia-la-malnutricion-por-exceso-una-normalizacion-de-la-obesidad" TargetMode="External"/><Relationship Id="rId50" Type="http://schemas.openxmlformats.org/officeDocument/2006/relationships/hyperlink" Target="https://data.worldobesity.org/publications/?cat=2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nsalud.gov.co/Paginas/Salud%20P%C3%BAblica.aspx?utm_source=" TargetMode="External"/><Relationship Id="rId29" Type="http://schemas.openxmlformats.org/officeDocument/2006/relationships/hyperlink" Target="https://doi.org/10.1016/j.clnu.2023.03.021" TargetMode="External"/><Relationship Id="rId11" Type="http://schemas.openxmlformats.org/officeDocument/2006/relationships/hyperlink" Target="https://www.minsalud.gov.co/sites/rid/Lists/BibliotecaDigital/RIDE/VS/PP/SA/abc-entornos-saludables.pdf" TargetMode="External"/><Relationship Id="rId24" Type="http://schemas.openxmlformats.org/officeDocument/2006/relationships/hyperlink" Target="https://doi.org/10.5093/cc2020a1" TargetMode="External"/><Relationship Id="rId32" Type="http://schemas.openxmlformats.org/officeDocument/2006/relationships/hyperlink" Target="https://consultorsalud.com/60-colombianos-sufren-sobrepeso-obesidad/" TargetMode="External"/><Relationship Id="rId37" Type="http://schemas.openxmlformats.org/officeDocument/2006/relationships/hyperlink" Target="https://www.medellincomovamos.org/" TargetMode="External"/><Relationship Id="rId40" Type="http://schemas.openxmlformats.org/officeDocument/2006/relationships/hyperlink" Target="https://www.who.int/news-room/fact-sheets/detail/obesity-and-overweight" TargetMode="External"/><Relationship Id="rId45" Type="http://schemas.openxmlformats.org/officeDocument/2006/relationships/hyperlink" Target="https://www.paho.org/es/noticias/7-3-2024-mas-que-cuestion-peso"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nsalud.gov.co/proteccionsocial/promocion-social/Victimas/paginas/papsivi.aspx" TargetMode="External"/><Relationship Id="rId19" Type="http://schemas.openxmlformats.org/officeDocument/2006/relationships/hyperlink" Target="https://normograma.supersalud.gov.co/compilacion/docs/resolucion_minsaludps_2063_2017.htm?utm_source=" TargetMode="External"/><Relationship Id="rId31" Type="http://schemas.openxmlformats.org/officeDocument/2006/relationships/hyperlink" Target="https://concejodebogota.gov.co/preocupante-panorama-de-sobrepeso-y-obesidad-en-bogota/concejo/2022-09-19/130043.php" TargetMode="External"/><Relationship Id="rId44" Type="http://schemas.openxmlformats.org/officeDocument/2006/relationships/hyperlink" Target="https://www.paho.org/es/noticias/7-3-2024-mas-que-cuestion-peso"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gov.co/BibliotecaDigital/2-2017-met-evaluaci%C3%B3n-de-riesgo-de-nutrientes-y-sustancias-bioactivas-relacionadas-con-la-nutrici%C3%B3n.pdf" TargetMode="External"/><Relationship Id="rId14" Type="http://schemas.openxmlformats.org/officeDocument/2006/relationships/hyperlink" Target="https://www.funcionpublica.gov.co/eva/gestornormativo/norma.php?i=60733" TargetMode="External"/><Relationship Id="rId22" Type="http://schemas.openxmlformats.org/officeDocument/2006/relationships/hyperlink" Target="https://doi.org/10.2337/dc24-S005" TargetMode="External"/><Relationship Id="rId27" Type="http://schemas.openxmlformats.org/officeDocument/2006/relationships/hyperlink" Target="https://doi.org/10.1016/j.clnu.2022.07.003" TargetMode="External"/><Relationship Id="rId30" Type="http://schemas.openxmlformats.org/officeDocument/2006/relationships/hyperlink" Target="https://concejodebogota.gov.co/preocupante-panorama-de-sobrepeso-y-obesidad-en-bogota/concejo/2022-09-19/130043.php" TargetMode="External"/><Relationship Id="rId35" Type="http://schemas.openxmlformats.org/officeDocument/2006/relationships/hyperlink" Target="https://www.icbf.gov.co/bienestar/nutricion/encuesta-nacional-situacion-nutricional" TargetMode="External"/><Relationship Id="rId43" Type="http://schemas.openxmlformats.org/officeDocument/2006/relationships/hyperlink" Target="https://www.who.int/es/news-room/fact-sheets/detail/obesity-and-overweight" TargetMode="External"/><Relationship Id="rId48" Type="http://schemas.openxmlformats.org/officeDocument/2006/relationships/hyperlink" Target="https://revistapesquisa.fapesp.br/es/ya" TargetMode="External"/><Relationship Id="rId8" Type="http://schemas.openxmlformats.org/officeDocument/2006/relationships/hyperlink" Target="https://www.scielo.sa.cr/scielo.php?pid=S1409-00152020000100114&amp;script=sci_arttext&amp;utm_source=chatgpt.com" TargetMode="External"/><Relationship Id="rId51" Type="http://schemas.openxmlformats.org/officeDocument/2006/relationships/hyperlink" Target="https://data.worldobesity.org/publications/?cat=23" TargetMode="External"/><Relationship Id="rId3" Type="http://schemas.openxmlformats.org/officeDocument/2006/relationships/styles" Target="styles.xml"/><Relationship Id="rId12" Type="http://schemas.openxmlformats.org/officeDocument/2006/relationships/hyperlink" Target="https://www.incap.int/sisvan/index.php/es/acerca-de-san/conceptos/vigilancia-alimentaria-nutricional" TargetMode="External"/><Relationship Id="rId17" Type="http://schemas.openxmlformats.org/officeDocument/2006/relationships/hyperlink" Target="https://normograma.supersalud.gov.co/compilacion/docs/resolucion_minsaludps_2063_2017.htm?utm_source=" TargetMode="External"/><Relationship Id="rId25" Type="http://schemas.openxmlformats.org/officeDocument/2006/relationships/hyperlink" Target="https://doi.org/10.5093/cc2020a1" TargetMode="External"/><Relationship Id="rId33" Type="http://schemas.openxmlformats.org/officeDocument/2006/relationships/hyperlink" Target="https://consultorsalud.com/60-colombianos-sufren-sobrepeso-obesidad/" TargetMode="External"/><Relationship Id="rId38" Type="http://schemas.openxmlformats.org/officeDocument/2006/relationships/hyperlink" Target="https://novotech-cro.com/faq/overview-obesity-global-clinical-trials-landscape" TargetMode="External"/><Relationship Id="rId46" Type="http://schemas.openxmlformats.org/officeDocument/2006/relationships/hyperlink" Target="https://periodico.unal.edu.co/articulos/aumenta-en-colombia-la-malnutricion-por-exceso-una-normalizacion-de-la-obesidad" TargetMode="External"/><Relationship Id="rId20" Type="http://schemas.openxmlformats.org/officeDocument/2006/relationships/hyperlink" Target="https://www.minsalud.gov.co/sites/rid/Lists/BibliotecaDigital/RIDE/VS/PP/ABCenfoqueCV.pdf" TargetMode="External"/><Relationship Id="rId41" Type="http://schemas.openxmlformats.org/officeDocument/2006/relationships/hyperlink" Target="https://www.who.int/news-room/fact-sheets/detail/obesity-and-overweigh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ho.org/es/temas/equidad-salud?utm_source=chatgpt.com" TargetMode="External"/><Relationship Id="rId23" Type="http://schemas.openxmlformats.org/officeDocument/2006/relationships/hyperlink" Target="https://doi.org/10.2337/dc24-S005" TargetMode="External"/><Relationship Id="rId28" Type="http://schemas.openxmlformats.org/officeDocument/2006/relationships/hyperlink" Target="https://doi.org/10.1016/j.clnu.2023.03.021" TargetMode="External"/><Relationship Id="rId36" Type="http://schemas.openxmlformats.org/officeDocument/2006/relationships/hyperlink" Target="https://www.medellincomovamos.org/" TargetMode="External"/><Relationship Id="rId49" Type="http://schemas.openxmlformats.org/officeDocument/2006/relationships/hyperlink" Target="https://revistapesquisa.fapesp.br/es/y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THaa3xy+aDOch0UlQXFps73fA==">CgMxLjAaHQoBMBIYChYIB0ISEhBBcmlhbCBVbmljb2RlIE1TGh0KATESGAoWCAdCEhIQQXJpYWwgVW5pY29kZSBNUxodCgEyEhgKFggHQhISEEFyaWFsIFVuaWNvZGUgTVM4AHIhMW9lWkNUaHN5Zm5vUVBfQzd2ekRtQkhrZm50VXg5aHR5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8071</Words>
  <Characters>44396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Cabrera</dc:creator>
  <cp:lastModifiedBy>Margarita Maria Cabrera Pacheco</cp:lastModifiedBy>
  <cp:revision>4</cp:revision>
  <cp:lastPrinted>2025-09-23T16:57:00Z</cp:lastPrinted>
  <dcterms:created xsi:type="dcterms:W3CDTF">2025-09-23T16:57:00Z</dcterms:created>
  <dcterms:modified xsi:type="dcterms:W3CDTF">2025-09-23T19:14:00Z</dcterms:modified>
</cp:coreProperties>
</file>