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06" w:rsidRDefault="009924CB">
      <w:r>
        <w:t xml:space="preserve">Bogotá D.C. </w:t>
      </w:r>
      <w:r w:rsidR="00894448">
        <w:t>9</w:t>
      </w:r>
      <w:r>
        <w:t xml:space="preserve"> de septiembre de 2025</w:t>
      </w:r>
    </w:p>
    <w:p w:rsidR="00C26006" w:rsidRDefault="00C26006"/>
    <w:p w:rsidR="00C26006" w:rsidRDefault="009924CB">
      <w:r>
        <w:t xml:space="preserve">Doctor, </w:t>
      </w:r>
    </w:p>
    <w:p w:rsidR="00C26006" w:rsidRDefault="009924CB">
      <w:pPr>
        <w:rPr>
          <w:b/>
        </w:rPr>
      </w:pPr>
      <w:r>
        <w:rPr>
          <w:b/>
        </w:rPr>
        <w:t>JAIME LUIS LACOUTURE PEÑALOZA</w:t>
      </w:r>
    </w:p>
    <w:p w:rsidR="00C26006" w:rsidRDefault="009924CB">
      <w:r>
        <w:t>Secretario General Cámara de Representantes</w:t>
      </w:r>
    </w:p>
    <w:p w:rsidR="00C26006" w:rsidRDefault="009924CB">
      <w:r>
        <w:t>E.S.D.</w:t>
      </w:r>
    </w:p>
    <w:p w:rsidR="00C26006" w:rsidRDefault="00C26006"/>
    <w:p w:rsidR="00C26006" w:rsidRDefault="009924CB">
      <w:r>
        <w:t xml:space="preserve">Respetado Doctor </w:t>
      </w:r>
      <w:proofErr w:type="spellStart"/>
      <w:r>
        <w:t>Lacouture</w:t>
      </w:r>
      <w:proofErr w:type="spellEnd"/>
      <w:r>
        <w:t>,</w:t>
      </w:r>
    </w:p>
    <w:p w:rsidR="00C26006" w:rsidRDefault="00C26006"/>
    <w:p w:rsidR="00C26006" w:rsidRDefault="009924CB">
      <w:pPr>
        <w:jc w:val="both"/>
      </w:pPr>
      <w:r>
        <w:t xml:space="preserve">Por medio del presente escrito, radicamos en su despacho, el Proyecto de ley N° ____ de 2025 </w:t>
      </w:r>
      <w:r>
        <w:rPr>
          <w:b/>
          <w:i/>
          <w:color w:val="000000"/>
        </w:rPr>
        <w:t>«Por medio del cual se fortalecen las capacidades de las comunidades educativas en prevención del consumo de sustancias psicoactivas en las instituciones de educación básica y media del país»</w:t>
      </w:r>
    </w:p>
    <w:p w:rsidR="00C26006" w:rsidRDefault="00C26006"/>
    <w:p w:rsidR="00C26006" w:rsidRDefault="009924CB">
      <w:r>
        <w:t xml:space="preserve">Atentamente, </w:t>
      </w:r>
    </w:p>
    <w:p w:rsidR="00894448" w:rsidRDefault="00894448"/>
    <w:p w:rsidR="00C26006" w:rsidRDefault="00C26006"/>
    <w:tbl>
      <w:tblPr>
        <w:tblStyle w:val="a"/>
        <w:tblW w:w="8838" w:type="dxa"/>
        <w:tblInd w:w="0" w:type="dxa"/>
        <w:tblLayout w:type="fixed"/>
        <w:tblLook w:val="0600" w:firstRow="0" w:lastRow="0" w:firstColumn="0" w:lastColumn="0" w:noHBand="1" w:noVBand="1"/>
      </w:tblPr>
      <w:tblGrid>
        <w:gridCol w:w="4419"/>
        <w:gridCol w:w="4419"/>
      </w:tblGrid>
      <w:tr w:rsidR="00C26006" w:rsidTr="00894448">
        <w:trPr>
          <w:trHeight w:val="2325"/>
        </w:trPr>
        <w:tc>
          <w:tcPr>
            <w:tcW w:w="4419" w:type="dxa"/>
            <w:tcMar>
              <w:top w:w="0" w:type="dxa"/>
              <w:left w:w="100" w:type="dxa"/>
              <w:bottom w:w="0" w:type="dxa"/>
              <w:right w:w="100" w:type="dxa"/>
            </w:tcMar>
          </w:tcPr>
          <w:p w:rsidR="00C26006" w:rsidRDefault="009924CB">
            <w:r>
              <w:t xml:space="preserve">              </w:t>
            </w:r>
          </w:p>
          <w:p w:rsidR="00C26006" w:rsidRDefault="00C26006">
            <w:pPr>
              <w:jc w:val="center"/>
              <w:rPr>
                <w:b/>
              </w:rPr>
            </w:pPr>
          </w:p>
          <w:p w:rsidR="00C26006" w:rsidRDefault="00C26006">
            <w:pPr>
              <w:jc w:val="center"/>
              <w:rPr>
                <w:b/>
              </w:rPr>
            </w:pPr>
          </w:p>
          <w:p w:rsidR="00C26006" w:rsidRDefault="00C26006">
            <w:pPr>
              <w:jc w:val="center"/>
              <w:rPr>
                <w:b/>
              </w:rPr>
            </w:pPr>
          </w:p>
          <w:p w:rsidR="00C26006" w:rsidRDefault="00C26006">
            <w:pPr>
              <w:jc w:val="center"/>
              <w:rPr>
                <w:b/>
              </w:rPr>
            </w:pPr>
          </w:p>
          <w:p w:rsidR="00C26006" w:rsidRDefault="00C26006">
            <w:pPr>
              <w:jc w:val="center"/>
              <w:rPr>
                <w:b/>
              </w:rPr>
            </w:pPr>
          </w:p>
          <w:p w:rsidR="00C26006" w:rsidRDefault="00C26006">
            <w:pPr>
              <w:jc w:val="center"/>
              <w:rPr>
                <w:b/>
              </w:rPr>
            </w:pPr>
          </w:p>
          <w:p w:rsidR="00C26006" w:rsidRDefault="00C26006">
            <w:pPr>
              <w:jc w:val="center"/>
              <w:rPr>
                <w:b/>
              </w:rPr>
            </w:pPr>
          </w:p>
          <w:p w:rsidR="00C26006" w:rsidRDefault="009924CB">
            <w:pPr>
              <w:jc w:val="center"/>
              <w:rPr>
                <w:b/>
              </w:rPr>
            </w:pPr>
            <w:r>
              <w:rPr>
                <w:b/>
              </w:rPr>
              <w:t xml:space="preserve">ALEXANDER GUARÍN SILVA </w:t>
            </w:r>
          </w:p>
          <w:p w:rsidR="00C26006" w:rsidRDefault="009924CB">
            <w:pPr>
              <w:jc w:val="center"/>
              <w:rPr>
                <w:b/>
              </w:rPr>
            </w:pPr>
            <w:r>
              <w:rPr>
                <w:b/>
              </w:rPr>
              <w:t xml:space="preserve">Representante a la Cámara </w:t>
            </w:r>
          </w:p>
          <w:p w:rsidR="00C26006" w:rsidRDefault="009924CB">
            <w:pPr>
              <w:jc w:val="center"/>
            </w:pPr>
            <w:r>
              <w:rPr>
                <w:b/>
              </w:rPr>
              <w:t>Departamento del Guainía</w:t>
            </w:r>
            <w:r>
              <w:t xml:space="preserve"> </w:t>
            </w:r>
          </w:p>
        </w:tc>
        <w:tc>
          <w:tcPr>
            <w:tcW w:w="4419" w:type="dxa"/>
            <w:tcMar>
              <w:top w:w="0" w:type="dxa"/>
              <w:left w:w="100" w:type="dxa"/>
              <w:bottom w:w="0" w:type="dxa"/>
              <w:right w:w="100" w:type="dxa"/>
            </w:tcMar>
          </w:tcPr>
          <w:p w:rsidR="00C26006" w:rsidRDefault="009924CB">
            <w:pPr>
              <w:spacing w:before="240" w:line="276" w:lineRule="auto"/>
              <w:jc w:val="both"/>
            </w:pPr>
            <w:r>
              <w:t xml:space="preserve"> </w:t>
            </w:r>
          </w:p>
          <w:p w:rsidR="00C26006" w:rsidRDefault="00C26006">
            <w:pPr>
              <w:spacing w:before="240" w:line="276" w:lineRule="auto"/>
              <w:jc w:val="both"/>
            </w:pPr>
          </w:p>
          <w:p w:rsidR="00C26006" w:rsidRDefault="00C26006">
            <w:pPr>
              <w:spacing w:before="240" w:line="276" w:lineRule="auto"/>
              <w:jc w:val="both"/>
            </w:pPr>
          </w:p>
          <w:p w:rsidR="00C26006" w:rsidRDefault="00C26006">
            <w:pPr>
              <w:spacing w:line="276" w:lineRule="auto"/>
              <w:jc w:val="both"/>
              <w:rPr>
                <w:b/>
              </w:rPr>
            </w:pPr>
          </w:p>
          <w:p w:rsidR="00C26006" w:rsidRDefault="009924CB">
            <w:pPr>
              <w:spacing w:line="276" w:lineRule="auto"/>
              <w:jc w:val="both"/>
              <w:rPr>
                <w:b/>
              </w:rPr>
            </w:pPr>
            <w:r>
              <w:rPr>
                <w:b/>
              </w:rPr>
              <w:t xml:space="preserve">        MILENE JARAVA DÍAZ</w:t>
            </w:r>
          </w:p>
          <w:p w:rsidR="00C26006" w:rsidRDefault="009924CB">
            <w:pPr>
              <w:spacing w:line="276" w:lineRule="auto"/>
              <w:jc w:val="both"/>
            </w:pPr>
            <w:r>
              <w:t xml:space="preserve">        Representante a la Cámara</w:t>
            </w:r>
          </w:p>
          <w:p w:rsidR="00C26006" w:rsidRDefault="009924CB">
            <w:pPr>
              <w:spacing w:line="276" w:lineRule="auto"/>
              <w:jc w:val="both"/>
            </w:pPr>
            <w:r>
              <w:t xml:space="preserve">         Departamento de Sucre</w:t>
            </w:r>
          </w:p>
        </w:tc>
      </w:tr>
      <w:tr w:rsidR="00894448" w:rsidTr="00894448">
        <w:trPr>
          <w:trHeight w:val="2325"/>
        </w:trPr>
        <w:tc>
          <w:tcPr>
            <w:tcW w:w="4419" w:type="dxa"/>
            <w:tcMar>
              <w:top w:w="0" w:type="dxa"/>
              <w:left w:w="100" w:type="dxa"/>
              <w:bottom w:w="0" w:type="dxa"/>
              <w:right w:w="100" w:type="dxa"/>
            </w:tcMar>
          </w:tcPr>
          <w:p w:rsidR="00894448" w:rsidRDefault="00894448" w:rsidP="00894448">
            <w:pPr>
              <w:spacing w:before="240" w:line="276" w:lineRule="auto"/>
              <w:jc w:val="both"/>
              <w:rPr>
                <w:noProof/>
                <w:lang w:val="es-CO"/>
              </w:rPr>
            </w:pPr>
          </w:p>
          <w:p w:rsidR="00435D26" w:rsidRDefault="00435D26" w:rsidP="00894448">
            <w:pPr>
              <w:spacing w:before="240" w:line="276" w:lineRule="auto"/>
              <w:jc w:val="both"/>
              <w:rPr>
                <w:noProof/>
                <w:lang w:val="es-CO"/>
              </w:rPr>
            </w:pPr>
          </w:p>
          <w:p w:rsidR="00435D26" w:rsidRDefault="00435D26" w:rsidP="00894448">
            <w:pPr>
              <w:spacing w:before="240" w:line="276" w:lineRule="auto"/>
              <w:jc w:val="both"/>
            </w:pPr>
          </w:p>
          <w:p w:rsidR="00894448" w:rsidRDefault="00894448" w:rsidP="00894448">
            <w:pPr>
              <w:rPr>
                <w:b/>
              </w:rPr>
            </w:pPr>
            <w:r>
              <w:rPr>
                <w:b/>
              </w:rPr>
              <w:t xml:space="preserve">JOSE ELIECER SALAZAR LÓPEZ </w:t>
            </w:r>
          </w:p>
          <w:p w:rsidR="00894448" w:rsidRDefault="00894448" w:rsidP="00894448">
            <w:pPr>
              <w:jc w:val="center"/>
              <w:rPr>
                <w:b/>
              </w:rPr>
            </w:pPr>
            <w:r>
              <w:rPr>
                <w:b/>
              </w:rPr>
              <w:t xml:space="preserve">Representante a la Cámara </w:t>
            </w:r>
          </w:p>
          <w:p w:rsidR="00894448" w:rsidRDefault="00894448" w:rsidP="00894448">
            <w:pPr>
              <w:jc w:val="center"/>
              <w:rPr>
                <w:rFonts w:ascii="Arial Narrow" w:eastAsia="Arial Narrow" w:hAnsi="Arial Narrow" w:cs="Arial Narrow"/>
                <w:b/>
                <w:color w:val="333333"/>
              </w:rPr>
            </w:pPr>
            <w:r>
              <w:rPr>
                <w:b/>
              </w:rPr>
              <w:t>Departamento del Cesar</w:t>
            </w:r>
          </w:p>
          <w:p w:rsidR="00894448" w:rsidRDefault="00894448"/>
        </w:tc>
        <w:tc>
          <w:tcPr>
            <w:tcW w:w="4419" w:type="dxa"/>
            <w:tcMar>
              <w:top w:w="0" w:type="dxa"/>
              <w:left w:w="100" w:type="dxa"/>
              <w:bottom w:w="0" w:type="dxa"/>
              <w:right w:w="100" w:type="dxa"/>
            </w:tcMar>
          </w:tcPr>
          <w:p w:rsidR="00894448" w:rsidRDefault="00894448">
            <w:pPr>
              <w:spacing w:before="240" w:line="276" w:lineRule="auto"/>
              <w:jc w:val="both"/>
            </w:pPr>
          </w:p>
        </w:tc>
      </w:tr>
    </w:tbl>
    <w:p w:rsidR="00C26006" w:rsidRDefault="00C26006"/>
    <w:p w:rsidR="00C26006" w:rsidRDefault="00C26006"/>
    <w:p w:rsidR="00894448" w:rsidRDefault="00894448"/>
    <w:p w:rsidR="00894448" w:rsidRDefault="00894448"/>
    <w:p w:rsidR="00C26006" w:rsidRDefault="009924CB">
      <w:pPr>
        <w:jc w:val="center"/>
        <w:rPr>
          <w:b/>
        </w:rPr>
      </w:pPr>
      <w:r>
        <w:rPr>
          <w:b/>
        </w:rPr>
        <w:lastRenderedPageBreak/>
        <w:t>Proyecto de Ley Nº _____________________ de 2025</w:t>
      </w:r>
    </w:p>
    <w:p w:rsidR="00C26006" w:rsidRDefault="00C26006">
      <w:pPr>
        <w:jc w:val="center"/>
        <w:rPr>
          <w:b/>
        </w:rPr>
      </w:pPr>
    </w:p>
    <w:p w:rsidR="00C26006" w:rsidRDefault="009924CB">
      <w:pPr>
        <w:jc w:val="center"/>
        <w:rPr>
          <w:b/>
        </w:rPr>
      </w:pPr>
      <w:r>
        <w:rPr>
          <w:b/>
        </w:rPr>
        <w:t xml:space="preserve">«Por medio del cual se fortalecen las capacidades </w:t>
      </w:r>
      <w:r>
        <w:rPr>
          <w:b/>
          <w:color w:val="000000"/>
        </w:rPr>
        <w:t>técnicas, pedagógicas e institucionales</w:t>
      </w:r>
      <w:r>
        <w:rPr>
          <w:b/>
        </w:rPr>
        <w:t xml:space="preserve"> de las comunidades educativas en prevención del consumo de sustancias psicoactivas en las instituciones de educación básica y media del país.»</w:t>
      </w:r>
    </w:p>
    <w:p w:rsidR="00C26006" w:rsidRDefault="00C26006"/>
    <w:p w:rsidR="00C26006" w:rsidRDefault="009924CB">
      <w:pPr>
        <w:widowControl w:val="0"/>
        <w:ind w:left="708"/>
        <w:jc w:val="center"/>
        <w:rPr>
          <w:b/>
          <w:color w:val="000000"/>
        </w:rPr>
      </w:pPr>
      <w:r>
        <w:rPr>
          <w:b/>
          <w:color w:val="000000"/>
        </w:rPr>
        <w:t xml:space="preserve">EL CONGRESO DE COLOMBIA </w:t>
      </w:r>
    </w:p>
    <w:p w:rsidR="00C26006" w:rsidRDefault="00C26006">
      <w:pPr>
        <w:widowControl w:val="0"/>
        <w:ind w:left="708"/>
        <w:jc w:val="center"/>
        <w:rPr>
          <w:b/>
          <w:color w:val="000000"/>
        </w:rPr>
      </w:pPr>
    </w:p>
    <w:p w:rsidR="00C26006" w:rsidRDefault="009924CB">
      <w:pPr>
        <w:widowControl w:val="0"/>
        <w:ind w:left="708"/>
        <w:jc w:val="center"/>
        <w:rPr>
          <w:b/>
          <w:color w:val="000000"/>
        </w:rPr>
      </w:pPr>
      <w:r>
        <w:rPr>
          <w:b/>
          <w:color w:val="000000"/>
        </w:rPr>
        <w:t>DECRETA:</w:t>
      </w:r>
    </w:p>
    <w:p w:rsidR="00C26006" w:rsidRDefault="009924CB">
      <w:pPr>
        <w:widowControl w:val="0"/>
        <w:spacing w:before="9"/>
        <w:jc w:val="both"/>
        <w:rPr>
          <w:color w:val="000000"/>
        </w:rPr>
      </w:pPr>
      <w:r>
        <w:rPr>
          <w:b/>
          <w:color w:val="000000"/>
        </w:rPr>
        <w:t>Artículo 1</w:t>
      </w:r>
      <w:r>
        <w:rPr>
          <w:color w:val="000000"/>
        </w:rPr>
        <w:t xml:space="preserve">°. </w:t>
      </w:r>
      <w:r>
        <w:rPr>
          <w:b/>
          <w:color w:val="000000"/>
        </w:rPr>
        <w:t>Objeto</w:t>
      </w:r>
      <w:r>
        <w:rPr>
          <w:color w:val="000000"/>
        </w:rPr>
        <w:t xml:space="preserve">. La presente Ley tiene por objeto el fortalecimiento de las capacidades, </w:t>
      </w:r>
      <w:r>
        <w:rPr>
          <w:b/>
          <w:color w:val="000000"/>
        </w:rPr>
        <w:t>técnicas, pedagógicas e institucionales</w:t>
      </w:r>
      <w:r>
        <w:rPr>
          <w:color w:val="000000"/>
        </w:rPr>
        <w:t xml:space="preserve"> de las comunidades educativas para la prevención del consumo de sustancias psicoactivas en los niños, niñas, adolescentes y jóvenes.</w:t>
      </w:r>
    </w:p>
    <w:p w:rsidR="00C26006" w:rsidRDefault="009924CB">
      <w:pPr>
        <w:widowControl w:val="0"/>
        <w:spacing w:before="240" w:after="240"/>
        <w:jc w:val="both"/>
        <w:rPr>
          <w:b/>
        </w:rPr>
      </w:pPr>
      <w:r>
        <w:rPr>
          <w:b/>
        </w:rPr>
        <w:t>Artículo 2°. Construcción de Portafolio de Proyectos, Estrategias y Programas.</w:t>
      </w:r>
      <w:r>
        <w:t xml:space="preserve"> Con el fin de contribuir a que los establecimientos educativos puedan tener una mayor oferta de programas basados en la evidencia para implementarlos de acuerdo con sus contextos particulares, los ministerios de Educación Nacional, Salud y Protección Social, Deporte, Justicia y del Derecho, el ICBF y se podrá obtener el apoyo de la Oficina de las Naciones Unidas para la Droga y el Delito - UNODC-y organizaciones expertas en la prevención, crearán un Portafolio Nacional de Programas exitosos basados en la evidencia científica en prevención del consumo de sustancias psicoactivas reguladas, no reguladas o ilegales en escolares.  Este portafolio hará especial énfasis en aquellas sustancias psicoactivas que más prevalencia de consumo y acceso tiene en niños, niñas y adolescentes.</w:t>
      </w:r>
    </w:p>
    <w:p w:rsidR="00C26006" w:rsidRDefault="009924CB">
      <w:pPr>
        <w:spacing w:before="240" w:after="240"/>
        <w:jc w:val="both"/>
      </w:pPr>
      <w:r>
        <w:rPr>
          <w:b/>
        </w:rPr>
        <w:t>Parágrafo 1.</w:t>
      </w:r>
      <w:r>
        <w:t xml:space="preserve"> Este Portafolio deberá ser de público conocimiento y obedecerá a criterios de calidad sustentados en las políticas nacionales, los lineamientos de prevención del consumo de sustancias psicoactivas vigentes, así como los lineamientos de la Oficina de la Naciones Unidas para la Droga y el Delito -UNODC- y los estándares de la Organización Mundial de la Salud – OMS de las Naciones Unidas.</w:t>
      </w:r>
    </w:p>
    <w:p w:rsidR="00C26006" w:rsidRDefault="009924CB">
      <w:pPr>
        <w:spacing w:before="240" w:after="240"/>
        <w:jc w:val="both"/>
      </w:pPr>
      <w:r>
        <w:rPr>
          <w:b/>
          <w:color w:val="000000"/>
        </w:rPr>
        <w:t>Parágrafo 2: El portafolio nacional considerará la diversidad cultural. Étnica y regional de los contextos educativos, implementando enfoques preventivos que se ajusten a las realidades particulares de las comunidades, incluidos los pueblos indígenas, afrodescendientes, raizales y comunidades ROM para asegurar la inclusión de todos los estudiantes.</w:t>
      </w:r>
    </w:p>
    <w:p w:rsidR="00C26006" w:rsidRDefault="009924CB">
      <w:pPr>
        <w:widowControl w:val="0"/>
        <w:ind w:right="135"/>
        <w:jc w:val="both"/>
        <w:rPr>
          <w:color w:val="000000"/>
        </w:rPr>
      </w:pPr>
      <w:r>
        <w:rPr>
          <w:b/>
          <w:color w:val="000000"/>
        </w:rPr>
        <w:t>Artículo 3 °. Fortalecimiento de las competencias parentales</w:t>
      </w:r>
      <w:r>
        <w:rPr>
          <w:color w:val="000000"/>
        </w:rPr>
        <w:t>. El Portafolio de Proyectos, Estrategias y Programas deberá fortalecer el acompañamiento y la formación de competencias parentales de monitoreo y cuidado, vínculo y afecto y acompañamiento al proceso educativo de niñas, niños y adolescentes. Esto no se restringe únicamente al proceso de aprendizaje académico, sino a procesos de desarrollo integral, que involucran entre otros aspectos, la ciudadanía, la emocionalidad, las relaciones con los demás y con el entorno.</w:t>
      </w:r>
    </w:p>
    <w:p w:rsidR="00C26006" w:rsidRDefault="00C26006">
      <w:pPr>
        <w:widowControl w:val="0"/>
        <w:ind w:right="135"/>
        <w:jc w:val="both"/>
        <w:rPr>
          <w:color w:val="000000"/>
        </w:rPr>
      </w:pPr>
    </w:p>
    <w:p w:rsidR="00C26006" w:rsidRDefault="009924CB">
      <w:pPr>
        <w:widowControl w:val="0"/>
        <w:ind w:right="138"/>
        <w:jc w:val="both"/>
        <w:rPr>
          <w:b/>
          <w:color w:val="000000"/>
        </w:rPr>
      </w:pPr>
      <w:r>
        <w:rPr>
          <w:b/>
          <w:color w:val="000000"/>
        </w:rPr>
        <w:t xml:space="preserve">Parágrafo: El ministerio de Educación Nacional, el ICBF y las secretarias de Educación fortalecerá la enseñanza de la cátedra de ética y valores en las instituciones educativas del país, con un enfoque en la toma de decisiones responsables, la resolución pacífica de conflictos y la construcción de ciudadanía. Esta formación </w:t>
      </w:r>
      <w:r>
        <w:rPr>
          <w:b/>
        </w:rPr>
        <w:t>buscará</w:t>
      </w:r>
      <w:r>
        <w:rPr>
          <w:b/>
          <w:color w:val="000000"/>
        </w:rPr>
        <w:t xml:space="preserve"> dotar a los niños, niñas y adolescentes de herramientas que les permitan desarrollar pensamiento crítico y habilidades socioemocionales para la prevención del consumo de sustancias psicoactivas. Estas acciones se integrarán a los proyectos educativos institucionales (PEI) y a los manuales de convivencia.</w:t>
      </w:r>
    </w:p>
    <w:p w:rsidR="00C26006" w:rsidRDefault="00C26006">
      <w:pPr>
        <w:widowControl w:val="0"/>
        <w:ind w:right="135"/>
        <w:jc w:val="both"/>
        <w:rPr>
          <w:color w:val="000000"/>
        </w:rPr>
      </w:pPr>
    </w:p>
    <w:p w:rsidR="00C26006" w:rsidRDefault="009924CB">
      <w:pPr>
        <w:widowControl w:val="0"/>
        <w:spacing w:before="9"/>
        <w:jc w:val="both"/>
        <w:rPr>
          <w:color w:val="000000"/>
        </w:rPr>
      </w:pPr>
      <w:r>
        <w:rPr>
          <w:b/>
          <w:color w:val="000000"/>
        </w:rPr>
        <w:t>Artículo 4°. Promoción del deporte y las artes</w:t>
      </w:r>
      <w:r>
        <w:rPr>
          <w:color w:val="000000"/>
        </w:rPr>
        <w:t xml:space="preserve">. El Ministerio del Deporte, el Ministerio de las Culturas, las Artes y los Saberes, el Ministerio de Salud y Protección Social, </w:t>
      </w:r>
      <w:r>
        <w:rPr>
          <w:b/>
          <w:color w:val="000000"/>
        </w:rPr>
        <w:t>El ministerio del interior</w:t>
      </w:r>
      <w:r>
        <w:rPr>
          <w:color w:val="000000"/>
        </w:rPr>
        <w:t xml:space="preserve"> y el Ministerio de Educación Nacional, en el marco de la “Comisión Nacional Intersectorial para la coordinación y orientación superior del fomento, desarrollo y medición del impacto de la actividad física” (CONIAF), diseñarán una estrategia para fortalecer las capacidades de los docentes desde la educación inicial hasta la educación media, para el fomento de la educación física, recreación y deporte y la educación artística y cultura conforme a las orientaciones curriculares, como mecanismo de prevención del uso y abuso de sustancias psicoactivas.</w:t>
      </w:r>
    </w:p>
    <w:p w:rsidR="00C26006" w:rsidRDefault="00C26006">
      <w:pPr>
        <w:widowControl w:val="0"/>
        <w:spacing w:before="1"/>
        <w:ind w:right="136"/>
        <w:jc w:val="both"/>
        <w:rPr>
          <w:color w:val="000000"/>
        </w:rPr>
      </w:pPr>
    </w:p>
    <w:p w:rsidR="00C26006" w:rsidRDefault="009924CB">
      <w:pPr>
        <w:widowControl w:val="0"/>
        <w:spacing w:before="9"/>
        <w:jc w:val="both"/>
        <w:rPr>
          <w:color w:val="000000"/>
        </w:rPr>
      </w:pPr>
      <w:r>
        <w:rPr>
          <w:b/>
          <w:color w:val="000000"/>
        </w:rPr>
        <w:t>Artículo 5°. Apoyo a iniciativas de participación juvenil y comunitarias en prevención del consumo de sustancias psicoactivas.</w:t>
      </w:r>
      <w:r>
        <w:rPr>
          <w:color w:val="000000"/>
        </w:rPr>
        <w:t xml:space="preserve"> El Gobierno nacional gestionará con Organizaciones No Gubernamentales, de la sociedad civil o con el sector privado, el apoyo y acompañamiento a aquellas iniciativas de participación de adolescentes y jóvenes que contribuyan a la prevención del consumo de sustancias psicoactivas. </w:t>
      </w:r>
    </w:p>
    <w:p w:rsidR="00C26006" w:rsidRDefault="009924CB">
      <w:pPr>
        <w:widowControl w:val="0"/>
        <w:spacing w:before="9"/>
        <w:jc w:val="both"/>
      </w:pPr>
      <w:r>
        <w:rPr>
          <w:color w:val="000000"/>
        </w:rPr>
        <w:t xml:space="preserve"> </w:t>
      </w:r>
    </w:p>
    <w:p w:rsidR="00C26006" w:rsidRDefault="009924CB">
      <w:pPr>
        <w:widowControl w:val="0"/>
        <w:spacing w:before="9"/>
        <w:jc w:val="both"/>
      </w:pPr>
      <w:r>
        <w:rPr>
          <w:b/>
          <w:color w:val="000000"/>
        </w:rPr>
        <w:t>Parágrafo:</w:t>
      </w:r>
      <w:r>
        <w:rPr>
          <w:color w:val="000000"/>
        </w:rPr>
        <w:t xml:space="preserve"> Las iniciativas de participación juvenil y comunitarias en prevención del consumo de sustancias psicoactivas tendrán un enfoque de salud pública como lo estipula el punto 4.2 del Acuerdo Final de Paz (Programas de Prevención del Consumo y Salud Pública), у tendrán un componente pedagógico a través de campañas gestionadas y difundidas en articulación con el Sistema de Medios Públicos (RTVC) o quien haga sus veces y la radio comunitaria en las regiones</w:t>
      </w:r>
    </w:p>
    <w:p w:rsidR="00C26006" w:rsidRDefault="00C26006">
      <w:pPr>
        <w:widowControl w:val="0"/>
        <w:spacing w:before="9"/>
        <w:rPr>
          <w:color w:val="000000"/>
        </w:rPr>
      </w:pPr>
    </w:p>
    <w:p w:rsidR="00C26006" w:rsidRDefault="009924CB">
      <w:pPr>
        <w:widowControl w:val="0"/>
        <w:ind w:right="141"/>
        <w:jc w:val="both"/>
        <w:rPr>
          <w:color w:val="000000"/>
        </w:rPr>
      </w:pPr>
      <w:r>
        <w:rPr>
          <w:b/>
          <w:color w:val="000000"/>
        </w:rPr>
        <w:t>Artículo 6°. Reglamentación</w:t>
      </w:r>
      <w:r>
        <w:rPr>
          <w:color w:val="000000"/>
        </w:rPr>
        <w:t xml:space="preserve">. </w:t>
      </w:r>
      <w:r>
        <w:rPr>
          <w:b/>
          <w:color w:val="000000"/>
        </w:rPr>
        <w:t>Reglamentación:</w:t>
      </w:r>
      <w:r>
        <w:rPr>
          <w:color w:val="000000"/>
        </w:rPr>
        <w:t xml:space="preserve"> El Gobierno Nacional, a través del Ministerio de Educación Nacional, reglamentará lo pertinente para dar cumplimiento a lo dispuesto en la presente ley </w:t>
      </w:r>
      <w:r>
        <w:rPr>
          <w:b/>
          <w:color w:val="000000"/>
        </w:rPr>
        <w:t>En un término de doce (12) meses contados a partir de la entrada en vigencia de la presente ley</w:t>
      </w:r>
    </w:p>
    <w:p w:rsidR="00C26006" w:rsidRDefault="00C26006">
      <w:pPr>
        <w:widowControl w:val="0"/>
        <w:spacing w:before="10"/>
        <w:rPr>
          <w:color w:val="000000"/>
        </w:rPr>
      </w:pPr>
    </w:p>
    <w:p w:rsidR="00C26006" w:rsidRDefault="009924CB">
      <w:pPr>
        <w:widowControl w:val="0"/>
        <w:ind w:right="140"/>
        <w:jc w:val="both"/>
        <w:rPr>
          <w:color w:val="000000"/>
        </w:rPr>
      </w:pPr>
      <w:r>
        <w:rPr>
          <w:b/>
          <w:color w:val="000000"/>
        </w:rPr>
        <w:t>Artículo 7°. Vigencia</w:t>
      </w:r>
      <w:r>
        <w:rPr>
          <w:color w:val="000000"/>
        </w:rPr>
        <w:t>. La presente ley rige a partir de su sanción, promulgación y deroga todas las disposiciones que le sean contrarias.</w:t>
      </w:r>
    </w:p>
    <w:p w:rsidR="00C26006" w:rsidRDefault="00C26006">
      <w:pPr>
        <w:widowControl w:val="0"/>
        <w:ind w:right="140"/>
        <w:jc w:val="both"/>
      </w:pPr>
    </w:p>
    <w:p w:rsidR="00C26006" w:rsidRDefault="00C26006"/>
    <w:tbl>
      <w:tblPr>
        <w:tblStyle w:val="a"/>
        <w:tblW w:w="8838" w:type="dxa"/>
        <w:tblInd w:w="0" w:type="dxa"/>
        <w:tblLayout w:type="fixed"/>
        <w:tblLook w:val="0600" w:firstRow="0" w:lastRow="0" w:firstColumn="0" w:lastColumn="0" w:noHBand="1" w:noVBand="1"/>
      </w:tblPr>
      <w:tblGrid>
        <w:gridCol w:w="4419"/>
        <w:gridCol w:w="4419"/>
      </w:tblGrid>
      <w:tr w:rsidR="00894448" w:rsidTr="003141FC">
        <w:trPr>
          <w:trHeight w:val="2325"/>
        </w:trPr>
        <w:tc>
          <w:tcPr>
            <w:tcW w:w="4419" w:type="dxa"/>
            <w:tcMar>
              <w:top w:w="0" w:type="dxa"/>
              <w:left w:w="100" w:type="dxa"/>
              <w:bottom w:w="0" w:type="dxa"/>
              <w:right w:w="100" w:type="dxa"/>
            </w:tcMar>
          </w:tcPr>
          <w:p w:rsidR="00894448" w:rsidRDefault="00894448" w:rsidP="003141FC">
            <w:r>
              <w:t xml:space="preserve">        </w:t>
            </w: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r>
              <w:rPr>
                <w:b/>
              </w:rPr>
              <w:t xml:space="preserve">ALEXANDER GUARÍN SILVA </w:t>
            </w:r>
          </w:p>
          <w:p w:rsidR="00894448" w:rsidRDefault="00894448" w:rsidP="003141FC">
            <w:pPr>
              <w:jc w:val="center"/>
              <w:rPr>
                <w:b/>
              </w:rPr>
            </w:pPr>
            <w:r>
              <w:rPr>
                <w:b/>
              </w:rPr>
              <w:t xml:space="preserve">Representante a la Cámara </w:t>
            </w:r>
          </w:p>
          <w:p w:rsidR="00894448" w:rsidRDefault="00894448" w:rsidP="003141FC">
            <w:pPr>
              <w:jc w:val="center"/>
            </w:pPr>
            <w:r>
              <w:rPr>
                <w:b/>
              </w:rPr>
              <w:t>Departamento del Guainía</w:t>
            </w:r>
            <w:r>
              <w:t xml:space="preserve"> </w:t>
            </w:r>
          </w:p>
        </w:tc>
        <w:tc>
          <w:tcPr>
            <w:tcW w:w="4419" w:type="dxa"/>
            <w:tcMar>
              <w:top w:w="0" w:type="dxa"/>
              <w:left w:w="100" w:type="dxa"/>
              <w:bottom w:w="0" w:type="dxa"/>
              <w:right w:w="100" w:type="dxa"/>
            </w:tcMar>
          </w:tcPr>
          <w:p w:rsidR="00894448" w:rsidRDefault="00894448" w:rsidP="003141FC">
            <w:pPr>
              <w:spacing w:before="240" w:line="276" w:lineRule="auto"/>
              <w:jc w:val="both"/>
            </w:pPr>
            <w:r>
              <w:t xml:space="preserve"> </w:t>
            </w:r>
          </w:p>
          <w:p w:rsidR="00894448" w:rsidRDefault="00894448" w:rsidP="003141FC">
            <w:pPr>
              <w:spacing w:before="240" w:line="276" w:lineRule="auto"/>
              <w:jc w:val="both"/>
            </w:pPr>
          </w:p>
          <w:p w:rsidR="00894448" w:rsidRDefault="00894448" w:rsidP="003141FC">
            <w:pPr>
              <w:spacing w:before="240" w:line="276" w:lineRule="auto"/>
              <w:jc w:val="both"/>
            </w:pPr>
          </w:p>
          <w:p w:rsidR="00894448" w:rsidRDefault="00894448" w:rsidP="003141FC">
            <w:pPr>
              <w:spacing w:line="276" w:lineRule="auto"/>
              <w:jc w:val="both"/>
              <w:rPr>
                <w:b/>
              </w:rPr>
            </w:pPr>
          </w:p>
          <w:p w:rsidR="00894448" w:rsidRDefault="00894448" w:rsidP="003141FC">
            <w:pPr>
              <w:spacing w:line="276" w:lineRule="auto"/>
              <w:jc w:val="both"/>
              <w:rPr>
                <w:b/>
              </w:rPr>
            </w:pPr>
            <w:r>
              <w:rPr>
                <w:b/>
              </w:rPr>
              <w:t xml:space="preserve">        MILENE JARAVA DÍAZ</w:t>
            </w:r>
          </w:p>
          <w:p w:rsidR="00894448" w:rsidRDefault="00894448" w:rsidP="003141FC">
            <w:pPr>
              <w:spacing w:line="276" w:lineRule="auto"/>
              <w:jc w:val="both"/>
            </w:pPr>
            <w:r>
              <w:t xml:space="preserve">        Representante a la Cámara</w:t>
            </w:r>
          </w:p>
          <w:p w:rsidR="00894448" w:rsidRDefault="00894448" w:rsidP="003141FC">
            <w:pPr>
              <w:spacing w:line="276" w:lineRule="auto"/>
              <w:jc w:val="both"/>
            </w:pPr>
            <w:r>
              <w:t xml:space="preserve">         Departamento de Sucre</w:t>
            </w:r>
          </w:p>
        </w:tc>
      </w:tr>
      <w:tr w:rsidR="00894448" w:rsidTr="003141FC">
        <w:trPr>
          <w:trHeight w:val="2325"/>
        </w:trPr>
        <w:tc>
          <w:tcPr>
            <w:tcW w:w="4419" w:type="dxa"/>
            <w:tcMar>
              <w:top w:w="0" w:type="dxa"/>
              <w:left w:w="100" w:type="dxa"/>
              <w:bottom w:w="0" w:type="dxa"/>
              <w:right w:w="100" w:type="dxa"/>
            </w:tcMar>
          </w:tcPr>
          <w:p w:rsidR="00894448" w:rsidRDefault="00894448" w:rsidP="003141FC">
            <w:pPr>
              <w:spacing w:before="240" w:line="276" w:lineRule="auto"/>
              <w:jc w:val="both"/>
            </w:pPr>
          </w:p>
          <w:p w:rsidR="007C0347" w:rsidRDefault="007C0347" w:rsidP="003141FC">
            <w:pPr>
              <w:spacing w:before="240" w:line="276" w:lineRule="auto"/>
              <w:jc w:val="both"/>
            </w:pPr>
            <w:bookmarkStart w:id="0" w:name="_GoBack"/>
            <w:bookmarkEnd w:id="0"/>
          </w:p>
          <w:p w:rsidR="00894448" w:rsidRDefault="00894448" w:rsidP="003141FC">
            <w:pPr>
              <w:rPr>
                <w:b/>
              </w:rPr>
            </w:pPr>
            <w:r>
              <w:rPr>
                <w:b/>
              </w:rPr>
              <w:t xml:space="preserve">JOSE ELIECER SALAZAR LÓPEZ </w:t>
            </w:r>
          </w:p>
          <w:p w:rsidR="00894448" w:rsidRDefault="00894448" w:rsidP="003141FC">
            <w:pPr>
              <w:jc w:val="center"/>
              <w:rPr>
                <w:b/>
              </w:rPr>
            </w:pPr>
            <w:r>
              <w:rPr>
                <w:b/>
              </w:rPr>
              <w:t xml:space="preserve">Representante a la Cámara </w:t>
            </w:r>
          </w:p>
          <w:p w:rsidR="00894448" w:rsidRDefault="00894448" w:rsidP="003141FC">
            <w:pPr>
              <w:jc w:val="center"/>
              <w:rPr>
                <w:rFonts w:ascii="Arial Narrow" w:eastAsia="Arial Narrow" w:hAnsi="Arial Narrow" w:cs="Arial Narrow"/>
                <w:b/>
                <w:color w:val="333333"/>
              </w:rPr>
            </w:pPr>
            <w:r>
              <w:rPr>
                <w:b/>
              </w:rPr>
              <w:t>Departamento del Cesar</w:t>
            </w:r>
          </w:p>
          <w:p w:rsidR="00894448" w:rsidRDefault="00894448" w:rsidP="003141FC"/>
        </w:tc>
        <w:tc>
          <w:tcPr>
            <w:tcW w:w="4419" w:type="dxa"/>
            <w:tcMar>
              <w:top w:w="0" w:type="dxa"/>
              <w:left w:w="100" w:type="dxa"/>
              <w:bottom w:w="0" w:type="dxa"/>
              <w:right w:w="100" w:type="dxa"/>
            </w:tcMar>
          </w:tcPr>
          <w:p w:rsidR="00894448" w:rsidRDefault="00894448" w:rsidP="003141FC">
            <w:pPr>
              <w:spacing w:before="240" w:line="276" w:lineRule="auto"/>
              <w:jc w:val="both"/>
            </w:pPr>
          </w:p>
        </w:tc>
      </w:tr>
    </w:tbl>
    <w:p w:rsidR="00C26006" w:rsidRDefault="00C26006"/>
    <w:p w:rsidR="00C26006" w:rsidRDefault="00C26006"/>
    <w:p w:rsidR="00C26006" w:rsidRDefault="009924CB">
      <w:pPr>
        <w:rPr>
          <w:color w:val="000000"/>
        </w:rPr>
      </w:pPr>
      <w:r>
        <w:br w:type="page"/>
      </w:r>
    </w:p>
    <w:p w:rsidR="00C26006" w:rsidRDefault="009924CB">
      <w:pPr>
        <w:jc w:val="center"/>
        <w:rPr>
          <w:rFonts w:ascii="Arial Narrow" w:eastAsia="Arial Narrow" w:hAnsi="Arial Narrow" w:cs="Arial Narrow"/>
          <w:b/>
        </w:rPr>
      </w:pPr>
      <w:r>
        <w:rPr>
          <w:rFonts w:ascii="Arial Narrow" w:eastAsia="Arial Narrow" w:hAnsi="Arial Narrow" w:cs="Arial Narrow"/>
          <w:b/>
        </w:rPr>
        <w:lastRenderedPageBreak/>
        <w:t>EXPOSICIÓN DE MOTIVOS</w:t>
      </w:r>
    </w:p>
    <w:p w:rsidR="00C26006" w:rsidRDefault="00C26006">
      <w:pPr>
        <w:jc w:val="center"/>
        <w:rPr>
          <w:rFonts w:ascii="Arial Narrow" w:eastAsia="Arial Narrow" w:hAnsi="Arial Narrow" w:cs="Arial Narrow"/>
          <w:b/>
        </w:rPr>
      </w:pPr>
    </w:p>
    <w:p w:rsidR="00C26006" w:rsidRDefault="009924C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ANTECEDENTES DEL PROYECTO DE LEY.</w:t>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Esta iniciativa de autoría del Honorable Senador Santiago Valencia González, fue radicada por primera vez el día 30 de septiembre de 2015 “Proyecto de Ley 133 de 2015 Cámara Por el cual se establece la Cátedra de Prevención al Consumo de Sustancias Psicoactivas en todas las instituciones educativas del País”</w:t>
      </w:r>
      <w:r>
        <w:rPr>
          <w:rFonts w:ascii="Arial Narrow" w:eastAsia="Arial Narrow" w:hAnsi="Arial Narrow" w:cs="Arial Narrow"/>
          <w:color w:val="000000"/>
          <w:vertAlign w:val="superscript"/>
        </w:rPr>
        <w:footnoteReference w:id="1"/>
      </w:r>
      <w:r>
        <w:rPr>
          <w:rFonts w:ascii="Arial Narrow" w:eastAsia="Arial Narrow" w:hAnsi="Arial Narrow" w:cs="Arial Narrow"/>
          <w:color w:val="000000"/>
        </w:rPr>
        <w:t xml:space="preserve"> cuando era Representante a la Cámara por el Departamento de Antioquia, y publicado en la Gaceta del Congreso número 766 de 2015. Fue remitido a la Comisión Sexta de la Cámara, tras publicar la ponencia para primer debate en la Gaceta 1041 de 2015, en la sesión del 5 de abril de 2016, la Comisión Sexta de la Cámara de Representantes surtió el debate respectivo y aprobó el proyecto de ley como consta en Acta número 025 de Comisión de 2016, previo anuncio de su votación en sesión ordinaria del día 30 de abril de la misma anualidad.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Durante el desarrollo del proyecto de ley, emitieron concepto los ministerios de Educación, de Salud y de Hacienda, y en el tránsito para segundo debate se realizó audiencia pública, con la presencia de importantes sectores de la educación nacional, así como organismos encargados del tratamiento de adicciones tales como: Delegados de la </w:t>
      </w:r>
      <w:r>
        <w:rPr>
          <w:rFonts w:ascii="Arial Narrow" w:eastAsia="Arial Narrow" w:hAnsi="Arial Narrow" w:cs="Arial Narrow"/>
        </w:rPr>
        <w:t>Secretaría</w:t>
      </w:r>
      <w:r>
        <w:rPr>
          <w:rFonts w:ascii="Arial Narrow" w:eastAsia="Arial Narrow" w:hAnsi="Arial Narrow" w:cs="Arial Narrow"/>
          <w:color w:val="000000"/>
        </w:rPr>
        <w:t xml:space="preserve"> de Educación de Cundinamarca, de la Asociación Colombiana de Universidades (ASCUN), de la Asociación Colombiana para la Investigación, Prevención y Rehabilitación de Adicciones (ACINPRA), de la Agencia de Noticias e Información para la Prevención de las Adicciones (ANIPRA), y representación de varios docentes de colegios, así como psicólogos de dichas instituciones, quienes presentaron aportes al proyecto. No obstante, por términos, el proyecto no alcanzó a ser aprobado en segundo debate de cámara y fue archivado.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El día 09 de agosto de 2017, fue radicado por segunda oportunidad, en la </w:t>
      </w:r>
      <w:r>
        <w:rPr>
          <w:rFonts w:ascii="Arial Narrow" w:eastAsia="Arial Narrow" w:hAnsi="Arial Narrow" w:cs="Arial Narrow"/>
        </w:rPr>
        <w:t>Secretaría</w:t>
      </w:r>
      <w:r>
        <w:rPr>
          <w:rFonts w:ascii="Arial Narrow" w:eastAsia="Arial Narrow" w:hAnsi="Arial Narrow" w:cs="Arial Narrow"/>
          <w:color w:val="000000"/>
        </w:rPr>
        <w:t xml:space="preserve"> General </w:t>
      </w:r>
      <w:r>
        <w:rPr>
          <w:rFonts w:ascii="Arial Narrow" w:eastAsia="Arial Narrow" w:hAnsi="Arial Narrow" w:cs="Arial Narrow"/>
        </w:rPr>
        <w:t>de la Cámara</w:t>
      </w:r>
      <w:r>
        <w:rPr>
          <w:rFonts w:ascii="Arial Narrow" w:eastAsia="Arial Narrow" w:hAnsi="Arial Narrow" w:cs="Arial Narrow"/>
          <w:color w:val="000000"/>
        </w:rPr>
        <w:t xml:space="preserve"> de Representantes, para iniciar el trámite legislativo, esta iniciativa fue remitida a la Comisión Sexta de esta Corporación por competencia en el tema. “Proyecto de Ley No. 081 de 2017 Cámara “Por medio del cual se establece la cátedra para la prevención al consumo de sustancias psicoactivas en las instituciones de educación básica y media del país”</w:t>
      </w:r>
      <w:r>
        <w:rPr>
          <w:rFonts w:ascii="Arial Narrow" w:eastAsia="Arial Narrow" w:hAnsi="Arial Narrow" w:cs="Arial Narrow"/>
          <w:color w:val="000000"/>
          <w:vertAlign w:val="superscript"/>
        </w:rPr>
        <w:footnoteReference w:id="2"/>
      </w:r>
      <w:r>
        <w:rPr>
          <w:rFonts w:ascii="Arial Narrow" w:eastAsia="Arial Narrow" w:hAnsi="Arial Narrow" w:cs="Arial Narrow"/>
          <w:color w:val="000000"/>
        </w:rPr>
        <w:t xml:space="preserve"> Fue publicado en la Gaceta No. 678 de 2017 para ser considerado, nuevamente, en la Comisión Sexta de la Cámara de Representantes. La ponencia para primer debate fue publicada en la Gaceta No. 882 de 2017, y luego debatida en la sesión del 10 de abril de 2018 de la Comisión Sexta de la Cámara de Representantes, donde fue votada positivamente. El texto aprobado consta en Acta de Comisión No. 016 de 2018, previo anuncio de la votación </w:t>
      </w:r>
      <w:r>
        <w:rPr>
          <w:rFonts w:ascii="Arial Narrow" w:eastAsia="Arial Narrow" w:hAnsi="Arial Narrow" w:cs="Arial Narrow"/>
          <w:color w:val="000000"/>
        </w:rPr>
        <w:lastRenderedPageBreak/>
        <w:t>en sesión ordinaria del día 4 de abril del mismo año. El proyecto, nuevamente fue archivado por falta de trámite.</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El día 20 de julio de 2020, fue radicado por tercera oportunidad en la Secretaría General </w:t>
      </w:r>
      <w:r>
        <w:rPr>
          <w:rFonts w:ascii="Arial Narrow" w:eastAsia="Arial Narrow" w:hAnsi="Arial Narrow" w:cs="Arial Narrow"/>
        </w:rPr>
        <w:t>del Senado</w:t>
      </w:r>
      <w:r>
        <w:rPr>
          <w:rFonts w:ascii="Arial Narrow" w:eastAsia="Arial Narrow" w:hAnsi="Arial Narrow" w:cs="Arial Narrow"/>
          <w:color w:val="000000"/>
        </w:rPr>
        <w:t xml:space="preserve"> de la República, para iniciar el trámite legislativo, esta iniciativa fue remitida a la Comisión Sexta de esta Corporación por competencia en el tema. “Proyecto de Ley No. 050 de 2020 Senado “Por medio del cual se establece la cátedra para la prevención al consumo de sustancias psicoactivas en las instituciones de educación básica y media del país”</w:t>
      </w:r>
      <w:r>
        <w:rPr>
          <w:rFonts w:ascii="Arial Narrow" w:eastAsia="Arial Narrow" w:hAnsi="Arial Narrow" w:cs="Arial Narrow"/>
          <w:color w:val="000000"/>
          <w:vertAlign w:val="superscript"/>
        </w:rPr>
        <w:footnoteReference w:id="3"/>
      </w:r>
      <w:r>
        <w:rPr>
          <w:rFonts w:ascii="Arial Narrow" w:eastAsia="Arial Narrow" w:hAnsi="Arial Narrow" w:cs="Arial Narrow"/>
          <w:color w:val="000000"/>
        </w:rPr>
        <w:t xml:space="preserve"> Fue publicado en la Gaceta No. 596 de 2020 para ser considerado nuevamente, en la Comisión Sexta </w:t>
      </w:r>
      <w:r>
        <w:rPr>
          <w:rFonts w:ascii="Arial Narrow" w:eastAsia="Arial Narrow" w:hAnsi="Arial Narrow" w:cs="Arial Narrow"/>
        </w:rPr>
        <w:t>del Senado</w:t>
      </w:r>
      <w:r>
        <w:rPr>
          <w:rFonts w:ascii="Arial Narrow" w:eastAsia="Arial Narrow" w:hAnsi="Arial Narrow" w:cs="Arial Narrow"/>
          <w:color w:val="000000"/>
        </w:rPr>
        <w:t xml:space="preserve"> de la </w:t>
      </w:r>
      <w:r>
        <w:rPr>
          <w:rFonts w:ascii="Arial Narrow" w:eastAsia="Arial Narrow" w:hAnsi="Arial Narrow" w:cs="Arial Narrow"/>
        </w:rPr>
        <w:t>República</w:t>
      </w:r>
      <w:r>
        <w:rPr>
          <w:rFonts w:ascii="Arial Narrow" w:eastAsia="Arial Narrow" w:hAnsi="Arial Narrow" w:cs="Arial Narrow"/>
          <w:color w:val="000000"/>
        </w:rPr>
        <w:t>. La ponencia para primer debate fue publicada en la Gaceta No. 1374 de 2020, y luego debatida en la sesión del 23 de marzo de 2021 de la Comisión Sexta constitucional donde fue votada positivamente con modificaciones. El presente Texto Definitivo fue aprobado con modificaciones en sesión Plenaria del Senado de la República del día 11 de agosto de 2021, de conformidad con el Texto Propuesto para Segundo Debate. La ponencia para segundo debate fue publicada en la Gaceta No. 1033 de 2021. Sin embargo, el proyecto, nuevamente fue archivado por falta de trámite. (</w:t>
      </w:r>
      <w:hyperlink r:id="rId8">
        <w:r>
          <w:rPr>
            <w:rFonts w:ascii="Arial Narrow" w:eastAsia="Arial Narrow" w:hAnsi="Arial Narrow" w:cs="Arial Narrow"/>
            <w:color w:val="000000"/>
          </w:rPr>
          <w:t>Art 190</w:t>
        </w:r>
      </w:hyperlink>
      <w:r>
        <w:rPr>
          <w:rFonts w:ascii="Arial Narrow" w:eastAsia="Arial Narrow" w:hAnsi="Arial Narrow" w:cs="Arial Narrow"/>
          <w:color w:val="000000"/>
        </w:rPr>
        <w:t> </w:t>
      </w:r>
      <w:hyperlink r:id="rId9">
        <w:r>
          <w:rPr>
            <w:rFonts w:ascii="Arial Narrow" w:eastAsia="Arial Narrow" w:hAnsi="Arial Narrow" w:cs="Arial Narrow"/>
            <w:color w:val="000000"/>
          </w:rPr>
          <w:t>ley 5 de 1992</w:t>
        </w:r>
      </w:hyperlink>
      <w:r>
        <w:rPr>
          <w:rFonts w:ascii="Arial Narrow" w:eastAsia="Arial Narrow" w:hAnsi="Arial Narrow" w:cs="Arial Narrow"/>
          <w:color w:val="000000"/>
        </w:rPr>
        <w:t>).</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El 2 de agosto de 2023, fue radicado en una cuarta oportunidad en la Secretaria General de la Cámara de Representantes se le asignó el número 088 de 2023 y publicado mediante la gaceta 1029 de 2023 este proyecto de ley fue remitido a la comisión sexta por competencia y surtió su primer debate, después de toda una legislatura sin seguir con los debates restantes el proyecto fue archivado por falta de trámite (art 190 ley 5 de 1992).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Por estas razones se presenta nuevamente. Para el suscrito, es un proyecto loable demasiado importante para nuestra niñez y juventud.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C26006">
      <w:pPr>
        <w:pBdr>
          <w:top w:val="nil"/>
          <w:left w:val="nil"/>
          <w:bottom w:val="nil"/>
          <w:right w:val="nil"/>
          <w:between w:val="nil"/>
        </w:pBdr>
        <w:ind w:left="720"/>
        <w:jc w:val="both"/>
        <w:rPr>
          <w:rFonts w:ascii="Arial Narrow" w:eastAsia="Arial Narrow" w:hAnsi="Arial Narrow" w:cs="Arial Narrow"/>
          <w:b/>
          <w:color w:val="000000"/>
        </w:rPr>
      </w:pPr>
    </w:p>
    <w:p w:rsidR="00C26006" w:rsidRDefault="009924C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OBJETO Y CONTENIDO.</w:t>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9924CB">
      <w:pPr>
        <w:pBdr>
          <w:top w:val="nil"/>
          <w:left w:val="nil"/>
          <w:bottom w:val="nil"/>
          <w:right w:val="nil"/>
          <w:between w:val="nil"/>
        </w:pBdr>
        <w:ind w:left="720"/>
        <w:rPr>
          <w:rFonts w:ascii="Arial Narrow" w:eastAsia="Arial Narrow" w:hAnsi="Arial Narrow" w:cs="Arial Narrow"/>
          <w:color w:val="000000"/>
        </w:rPr>
      </w:pPr>
      <w:r>
        <w:rPr>
          <w:rFonts w:ascii="Arial Narrow" w:eastAsia="Arial Narrow" w:hAnsi="Arial Narrow" w:cs="Arial Narrow"/>
          <w:color w:val="000000"/>
        </w:rPr>
        <w:t xml:space="preserve">El proyecto de ley consta de </w:t>
      </w:r>
      <w:r>
        <w:rPr>
          <w:rFonts w:ascii="Arial Narrow" w:eastAsia="Arial Narrow" w:hAnsi="Arial Narrow" w:cs="Arial Narrow"/>
        </w:rPr>
        <w:t>siete</w:t>
      </w:r>
      <w:r>
        <w:rPr>
          <w:rFonts w:ascii="Arial Narrow" w:eastAsia="Arial Narrow" w:hAnsi="Arial Narrow" w:cs="Arial Narrow"/>
          <w:color w:val="000000"/>
        </w:rPr>
        <w:t xml:space="preserve"> (</w:t>
      </w:r>
      <w:r>
        <w:rPr>
          <w:rFonts w:ascii="Arial Narrow" w:eastAsia="Arial Narrow" w:hAnsi="Arial Narrow" w:cs="Arial Narrow"/>
        </w:rPr>
        <w:t>7</w:t>
      </w:r>
      <w:r>
        <w:rPr>
          <w:rFonts w:ascii="Arial Narrow" w:eastAsia="Arial Narrow" w:hAnsi="Arial Narrow" w:cs="Arial Narrow"/>
          <w:color w:val="000000"/>
        </w:rPr>
        <w:t>) artículos, según se presenta a continuación.</w:t>
      </w:r>
    </w:p>
    <w:p w:rsidR="00C26006" w:rsidRDefault="00C26006">
      <w:pPr>
        <w:pBdr>
          <w:top w:val="nil"/>
          <w:left w:val="nil"/>
          <w:bottom w:val="nil"/>
          <w:right w:val="nil"/>
          <w:between w:val="nil"/>
        </w:pBdr>
        <w:ind w:left="720"/>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b/>
          <w:i/>
          <w:color w:val="000000"/>
        </w:rPr>
        <w:t>Artículo 1°.</w:t>
      </w:r>
      <w:r>
        <w:rPr>
          <w:rFonts w:ascii="Arial Narrow" w:eastAsia="Arial Narrow" w:hAnsi="Arial Narrow" w:cs="Arial Narrow"/>
          <w:i/>
          <w:color w:val="000000"/>
        </w:rPr>
        <w:t xml:space="preserve"> Objeto. La presente Ley tiene por objeto el fortalecimiento de las capacidades de las comunidades educativas para la prevención del consumo de sustancias psicoactivas en los niños, niñas, adolescentes y jóvenes.”</w:t>
      </w:r>
      <w:r>
        <w:rPr>
          <w:rFonts w:ascii="Arial Narrow" w:eastAsia="Arial Narrow" w:hAnsi="Arial Narrow" w:cs="Arial Narrow"/>
          <w:color w:val="000000"/>
        </w:rPr>
        <w:t xml:space="preserve">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A diferencia de los proyectos relacionados como antecedentes, este proyecto aborda la prevención del consumo de sustancias psicoactivas en ambientes escolares, ya no por medio del establecimiento de una cátedra dedicada a ese objetivo, sino por medio de un </w:t>
      </w:r>
      <w:r>
        <w:rPr>
          <w:rFonts w:ascii="Arial Narrow" w:eastAsia="Arial Narrow" w:hAnsi="Arial Narrow" w:cs="Arial Narrow"/>
          <w:color w:val="000000"/>
        </w:rPr>
        <w:lastRenderedPageBreak/>
        <w:t>fortalecimiento integral de las capacidades de las comunidades educativas. Este objeto es consistente con el resto del articulado, así como con su exposición de motivos, en esa medida, no se encuentran razones para proponer modificaciones.</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w:t>
      </w:r>
      <w:r>
        <w:rPr>
          <w:rFonts w:ascii="Arial Narrow" w:eastAsia="Arial Narrow" w:hAnsi="Arial Narrow" w:cs="Arial Narrow"/>
          <w:b/>
          <w:i/>
          <w:color w:val="000000"/>
        </w:rPr>
        <w:t>Artículo 2°.</w:t>
      </w:r>
      <w:r>
        <w:rPr>
          <w:rFonts w:ascii="Arial Narrow" w:eastAsia="Arial Narrow" w:hAnsi="Arial Narrow" w:cs="Arial Narrow"/>
          <w:i/>
          <w:color w:val="000000"/>
        </w:rPr>
        <w:t xml:space="preserve"> Formación docente: El Ministerio de Educación Nacional coordinará las acciones necesarias para que las entidades territoriales certificadas en educación y los responsables de la formación a formadores, incluyan en los Planes Territoriales de Formación Docente – PTFD- procesos orientados al fortalecimiento de las competencias de docentes y orientadores para el desarrollo de procesos y estrategias pedagógicas basadas en evidencia que contribuyan a la prevención y aplicación de herramientas para el manejo del consumo de sustancias psicoactivas cuando se identifiquen casos en la población escolar, al cuidado y autocuidado de los estudiantes, su desarrollo socioemocional, la prevención de la discriminación y la estigmatización por consumo, con un enfoque de salud pública y según el ciclo de vida.”</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b/>
          <w:i/>
          <w:color w:val="000000"/>
        </w:rPr>
        <w:t>“Parágrafo:</w:t>
      </w:r>
      <w:r>
        <w:rPr>
          <w:rFonts w:ascii="Arial Narrow" w:eastAsia="Arial Narrow" w:hAnsi="Arial Narrow" w:cs="Arial Narrow"/>
          <w:i/>
          <w:color w:val="000000"/>
        </w:rPr>
        <w:t xml:space="preserve"> El Ministerio de Salud y Protección Social y el Ministerio de Educación Nacional, organizarán una Jornada de Capacitación a orientadores escolares en estrategias y herramientas para el desarrollo de competencias ciudadanas, socioemocionales y de contención emocional.”</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Este artículo desarrolla el papel de las instituciones educativas en la prevención del consumo de sustancias psicoactivas, en reconocimiento y fortalecimiento de la autonomía individual de los educandos. Por medio de poner a su alcance la información correcta, niños y – especialmente – adolescentes y jóvenes están en condiciones de contar con las herramientas para tomar las mejores decisiones para su bienestar personal y familiar, y para la construcción de su proyecto de vida. Aciertan los autores al identificar que se requiere una preparación pedagógica y unas competencias específicas en el personal docente a la hora de proporcionar orientación a la población estudiantil en materia de objetivos vitales, y de la manera en que el uso de sustancias psicoactivas puede terminar afectándolos. El artículo menciona algunos objetivos específicos de promoción de la convivencia escolar; preventivos como el fomento del cuidado y autocuidado de los estudiantes, así como correctivos, tales como el manejo psicopedagógico y socioemocional de casos de consumo en sí, y la estigmatización (</w:t>
      </w:r>
      <w:proofErr w:type="spellStart"/>
      <w:r>
        <w:rPr>
          <w:rFonts w:ascii="Arial Narrow" w:eastAsia="Arial Narrow" w:hAnsi="Arial Narrow" w:cs="Arial Narrow"/>
          <w:color w:val="000000"/>
        </w:rPr>
        <w:t>bullying</w:t>
      </w:r>
      <w:proofErr w:type="spellEnd"/>
      <w:r>
        <w:rPr>
          <w:rFonts w:ascii="Arial Narrow" w:eastAsia="Arial Narrow" w:hAnsi="Arial Narrow" w:cs="Arial Narrow"/>
          <w:color w:val="000000"/>
        </w:rPr>
        <w:t xml:space="preserve"> y matoneo) que pudiera sobrevenir. Por su parte, el parágrafo menciona una jornada de capacitación conveniente y útil, pues en todo caso es la orientación adecuada con la información correcta la que puede poner herramientas efectivas en manos de los estudiantes. No obstante, esta jornada debe tener un carácter periódico, y conforme a la Política Marco de Convivencia y Seguridad Ciudadana debe integrar de manera más amplia la oferta institucional, incluyendo a los Ministerios de Salud y Educación, pero no limitándose a ellos.</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w:t>
      </w:r>
      <w:r>
        <w:rPr>
          <w:rFonts w:ascii="Arial Narrow" w:eastAsia="Arial Narrow" w:hAnsi="Arial Narrow" w:cs="Arial Narrow"/>
          <w:b/>
          <w:i/>
          <w:color w:val="000000"/>
        </w:rPr>
        <w:t>Artículo 3°. Construcción de Portafolio de Proyectos, estrategias y Programas</w:t>
      </w:r>
      <w:r>
        <w:rPr>
          <w:rFonts w:ascii="Arial Narrow" w:eastAsia="Arial Narrow" w:hAnsi="Arial Narrow" w:cs="Arial Narrow"/>
          <w:i/>
          <w:color w:val="000000"/>
        </w:rPr>
        <w:t xml:space="preserve">. Con el fin de contribuir a que los establecimientos educativos puedan tener una mayor oferta de programas basados en la evidencia para implementarlos de acuerdo con sus contextos </w:t>
      </w:r>
      <w:r>
        <w:rPr>
          <w:rFonts w:ascii="Arial Narrow" w:eastAsia="Arial Narrow" w:hAnsi="Arial Narrow" w:cs="Arial Narrow"/>
          <w:i/>
          <w:color w:val="000000"/>
        </w:rPr>
        <w:lastRenderedPageBreak/>
        <w:t xml:space="preserve">particulares, los ministerios de Educación Nacional, Salud y Protección Social, Justicia y del Derecho, crearán un Portafolio Nacional de Programas exitosos basados en la evidencia científica en prevención del consumo de sustancias psicoactivas en escolares. </w:t>
      </w:r>
    </w:p>
    <w:p w:rsidR="00C26006" w:rsidRDefault="00C26006">
      <w:pPr>
        <w:pBdr>
          <w:top w:val="nil"/>
          <w:left w:val="nil"/>
          <w:bottom w:val="nil"/>
          <w:right w:val="nil"/>
          <w:between w:val="nil"/>
        </w:pBdr>
        <w:ind w:left="720"/>
        <w:jc w:val="both"/>
        <w:rPr>
          <w:rFonts w:ascii="Arial Narrow" w:eastAsia="Arial Narrow" w:hAnsi="Arial Narrow" w:cs="Arial Narrow"/>
          <w:i/>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b/>
          <w:i/>
          <w:color w:val="000000"/>
        </w:rPr>
        <w:t>Parágrafo:</w:t>
      </w:r>
      <w:r>
        <w:rPr>
          <w:rFonts w:ascii="Arial Narrow" w:eastAsia="Arial Narrow" w:hAnsi="Arial Narrow" w:cs="Arial Narrow"/>
          <w:i/>
          <w:color w:val="000000"/>
        </w:rPr>
        <w:t xml:space="preserve"> Ese Portafolio debe ser de público conocimiento y obedecerá a criterios de calidad que deberán tener como base las políticas nacionales y los lineamientos de prevención del consumo sustancias psicoactivas vigentes”.</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En completa concordancia con la Política Marco de Convivencia y Seguridad Ciudadana, y demás elementos normativos y de política pública antes relacionados, el proyecto refuerza el papel del trabajo interministerial articulado en la construcción de proyectos, estrategias pedagógicas y programas orientados a la prevención y mitigación del consumo de psicoactivos. En el caso particular de los entornos escolares, este trabajo debe tener presentes los ejes contextuales de las instituciones en donde se establezca la construcción del portafolio mencionado, todo ello tomando como base proyectos, estrategias y programas exitosos basados en evidencia científica en la prevención del consumo de SPA en los escolares.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Actualmente, de conformidad con la ley 1566 de 2012</w:t>
      </w:r>
      <w:r>
        <w:rPr>
          <w:rFonts w:ascii="Arial Narrow" w:eastAsia="Arial Narrow" w:hAnsi="Arial Narrow" w:cs="Arial Narrow"/>
          <w:color w:val="000000"/>
          <w:vertAlign w:val="superscript"/>
        </w:rPr>
        <w:footnoteReference w:id="4"/>
      </w:r>
      <w:r>
        <w:rPr>
          <w:rFonts w:ascii="Arial Narrow" w:eastAsia="Arial Narrow" w:hAnsi="Arial Narrow" w:cs="Arial Narrow"/>
          <w:color w:val="000000"/>
        </w:rPr>
        <w:t xml:space="preserve"> las experiencias exitosas son objeto de reconocimiento público.</w:t>
      </w:r>
      <w:r>
        <w:rPr>
          <w:rFonts w:ascii="Arial Narrow" w:eastAsia="Arial Narrow" w:hAnsi="Arial Narrow" w:cs="Arial Narrow"/>
          <w:color w:val="000000"/>
          <w:vertAlign w:val="superscript"/>
        </w:rPr>
        <w:footnoteReference w:id="5"/>
      </w:r>
      <w:r>
        <w:rPr>
          <w:rFonts w:ascii="Arial Narrow" w:eastAsia="Arial Narrow" w:hAnsi="Arial Narrow" w:cs="Arial Narrow"/>
          <w:color w:val="000000"/>
        </w:rPr>
        <w:t xml:space="preserve"> El proyecto de ley viene a disponer la traducción de ese conjunto de experiencias en un corpus de conocimiento aplicable de manera sistemática en el largo plazo, y particularizado a los entornos escolares, donde las políticas generales deben tener enfoque especializado en virtud a la protección especial de los derechos de los niños, niñas y adolescentes.</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b/>
          <w:color w:val="000000"/>
        </w:rPr>
        <w:t>“</w:t>
      </w:r>
      <w:r>
        <w:rPr>
          <w:rFonts w:ascii="Arial Narrow" w:eastAsia="Arial Narrow" w:hAnsi="Arial Narrow" w:cs="Arial Narrow"/>
          <w:b/>
          <w:i/>
          <w:color w:val="000000"/>
        </w:rPr>
        <w:t>Artículo 4°. Fortalecimiento del Involucramiento Parental</w:t>
      </w:r>
      <w:r>
        <w:rPr>
          <w:rFonts w:ascii="Arial Narrow" w:eastAsia="Arial Narrow" w:hAnsi="Arial Narrow" w:cs="Arial Narrow"/>
          <w:i/>
          <w:color w:val="000000"/>
        </w:rPr>
        <w:t>: Será necesario consolidar la alianza y el vínculo entre las escuelas y las familias como escenarios de participación y reflexión para fortalecer así, el acompañamiento de las mismas en los procesos de desarrollo de los niños, niñas, adolescentes y jóvenes. Esto no se restringe únicamente al proceso de aprendizaje académico, sino a procesos de desarrollo integral, que involucran entre otros aspectos, la ciudadanía, la emocionalidad, las relaciones con los demás y con el entorno.”</w:t>
      </w:r>
      <w:r>
        <w:rPr>
          <w:rFonts w:ascii="Arial Narrow" w:eastAsia="Arial Narrow" w:hAnsi="Arial Narrow" w:cs="Arial Narrow"/>
          <w:color w:val="000000"/>
        </w:rPr>
        <w:t xml:space="preserve">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La participación regular de padres en diferentes procesos educativos, académicos e institucionales y la relación de los mismos con el entorno de sus hijos, puede denominarse involucramiento parental. Éste, no solo funciona en el ámbito académico, sino también en el </w:t>
      </w:r>
      <w:r>
        <w:rPr>
          <w:rFonts w:ascii="Arial Narrow" w:eastAsia="Arial Narrow" w:hAnsi="Arial Narrow" w:cs="Arial Narrow"/>
          <w:color w:val="000000"/>
        </w:rPr>
        <w:lastRenderedPageBreak/>
        <w:t>desarrollo de un relacionamiento y una interacción mejor en cuanto a la convivencia escolar y ciudadana tiene que ver</w:t>
      </w:r>
      <w:r>
        <w:rPr>
          <w:rFonts w:ascii="Arial Narrow" w:eastAsia="Arial Narrow" w:hAnsi="Arial Narrow" w:cs="Arial Narrow"/>
          <w:color w:val="000000"/>
          <w:vertAlign w:val="superscript"/>
        </w:rPr>
        <w:footnoteReference w:id="6"/>
      </w:r>
      <w:r>
        <w:rPr>
          <w:rFonts w:ascii="Arial Narrow" w:eastAsia="Arial Narrow" w:hAnsi="Arial Narrow" w:cs="Arial Narrow"/>
          <w:color w:val="000000"/>
        </w:rPr>
        <w:t xml:space="preserve">.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Por lo que el fortalecimiento de esta área desde la implementación de políticas públicas entra en una oportuna consideración para el presente proyecto.</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b/>
          <w:i/>
          <w:color w:val="000000"/>
        </w:rPr>
        <w:t>Artículo 5° Promoción del deporte y las artes</w:t>
      </w:r>
      <w:r>
        <w:rPr>
          <w:rFonts w:ascii="Arial Narrow" w:eastAsia="Arial Narrow" w:hAnsi="Arial Narrow" w:cs="Arial Narrow"/>
          <w:i/>
          <w:color w:val="000000"/>
        </w:rPr>
        <w:t>: El Ministerio del Deporte, el Ministerio de Cultura, el Ministerio de Salud y Protección Social y el Ministerio de Educación Nacional, en el marco de la “Comisión Nacional Intersectorial para la coordinación y orientación superior del fomento, desarrollo y medición del impacto de la actividad física” – CONIAF-, diseñarán una estrategia para fortalecer las capacidades de los docentes desde la educación inicial hasta la educación media, para el fomento de la recreación, el deporte, así como de la actividad física y la educación artística, como medio de prevención del consumo de sustancias psicoactivas</w:t>
      </w:r>
      <w:r>
        <w:rPr>
          <w:rFonts w:ascii="Arial Narrow" w:eastAsia="Arial Narrow" w:hAnsi="Arial Narrow" w:cs="Arial Narrow"/>
          <w:color w:val="000000"/>
        </w:rPr>
        <w:t>”.</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Por medio de la intervención interministerial, el proyecto considera diseñar estrategias que permitan el fortalecimiento de las capacidades del personal docente durante el transcurrir de la vida académica para de esta manera promocionar y fomentar la recreación, el deporte y las actividades culturales y artísticas como medios para alejar del consumo de sustancias psicoactivas a los niños niñas y adolescentes. El vínculo entre salud, bienestar y desarrollo integral relacionado con el área deportiva, artística y cultural, se reconoce como bastante estrecho en la actualidad. La inclusión de herramientas que promuevan estas actividades a edades tempranas dentro de las instituciones sociales, como puedan ser las instituciones educativas, entre otras, genera un complemento especial a la ley 1620 de 2013 y a su vez traza un camino más claro a la materialización del objetivo del presente proyecto de ley. Cabe agregar que se dispone de amplia evidencia sobre el carácter protector que tienen las actividades deportivas frente al consumo de sustancias psicoactivas en niños, niñas y adolescentes.</w:t>
      </w:r>
      <w:r>
        <w:rPr>
          <w:rFonts w:ascii="Arial Narrow" w:eastAsia="Arial Narrow" w:hAnsi="Arial Narrow" w:cs="Arial Narrow"/>
          <w:color w:val="000000"/>
          <w:vertAlign w:val="superscript"/>
        </w:rPr>
        <w:footnoteReference w:id="7"/>
      </w:r>
      <w:r>
        <w:rPr>
          <w:rFonts w:ascii="Arial Narrow" w:eastAsia="Arial Narrow" w:hAnsi="Arial Narrow" w:cs="Arial Narrow"/>
          <w:color w:val="000000"/>
        </w:rPr>
        <w:t xml:space="preserve"> Esta protección se basa en orientar un constructivo uso del tiempo libre, en el reforzamiento de la seguridad y la confianza en sí mismo, el incremento de la autoestima a través de la sana competencia y de los vínculos de equipo que crea la actividad deportiva, y la creación de valores como la residencia, el respeto y la valoración de un estado físico óptimo</w:t>
      </w:r>
      <w:r>
        <w:rPr>
          <w:rFonts w:ascii="Arial Narrow" w:eastAsia="Arial Narrow" w:hAnsi="Arial Narrow" w:cs="Arial Narrow"/>
          <w:color w:val="000000"/>
          <w:vertAlign w:val="superscript"/>
        </w:rPr>
        <w:footnoteReference w:id="8"/>
      </w:r>
      <w:r>
        <w:rPr>
          <w:rFonts w:ascii="Arial Narrow" w:eastAsia="Arial Narrow" w:hAnsi="Arial Narrow" w:cs="Arial Narrow"/>
          <w:color w:val="000000"/>
        </w:rPr>
        <w:t>.</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b/>
          <w:i/>
          <w:color w:val="000000"/>
        </w:rPr>
        <w:t>“Artículo 6° Apoyo a iniciativas de participación juveniles comunitarias en prevención del consumo de sustancias psicoactivas:</w:t>
      </w:r>
      <w:r>
        <w:rPr>
          <w:rFonts w:ascii="Arial Narrow" w:eastAsia="Arial Narrow" w:hAnsi="Arial Narrow" w:cs="Arial Narrow"/>
          <w:i/>
          <w:color w:val="000000"/>
        </w:rPr>
        <w:t xml:space="preserve"> El Gobierno Nacional gestionará con </w:t>
      </w:r>
      <w:r>
        <w:rPr>
          <w:rFonts w:ascii="Arial Narrow" w:eastAsia="Arial Narrow" w:hAnsi="Arial Narrow" w:cs="Arial Narrow"/>
          <w:i/>
          <w:color w:val="000000"/>
        </w:rPr>
        <w:lastRenderedPageBreak/>
        <w:t xml:space="preserve">Organizaciones No Gubernamentales y con el sector privado, el apoyo y acompañamiento a aquellas iniciativas de participación de adolescentes y jóvenes que contribuyan a la prevención del consumo de sustancias psicoactivas.”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Este artículo busca establecer que el Gobierno nacional gestione con las diferentes organizaciones no gubernamentales en conjunto con el sector privado, apoyo y acompañamiento a las iniciativas de participación que provengan de jóvenes y adolescentes; iniciativas cuyo norte sea la contribución a la prevención del consumo de sustancias psicoactivas.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La inclusión y la generación de nuevas ideas a partir de la participación de jóvenes en la proposición de alternativas que ayuden a prevenir el consumo de sustancias psicoactivas es otro de los motivos que viabiliza la introducción del artículo que aquí se expone. No obstante, la articulación con la política de juventud, se echa de menos.</w:t>
      </w:r>
    </w:p>
    <w:p w:rsidR="00C26006" w:rsidRDefault="00C26006">
      <w:pPr>
        <w:pBdr>
          <w:top w:val="nil"/>
          <w:left w:val="nil"/>
          <w:bottom w:val="nil"/>
          <w:right w:val="nil"/>
          <w:between w:val="nil"/>
        </w:pBdr>
        <w:ind w:left="720"/>
        <w:jc w:val="both"/>
        <w:rPr>
          <w:rFonts w:ascii="Arial Narrow" w:eastAsia="Arial Narrow" w:hAnsi="Arial Narrow" w:cs="Arial Narrow"/>
          <w:i/>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w:t>
      </w:r>
      <w:r>
        <w:rPr>
          <w:rFonts w:ascii="Arial Narrow" w:eastAsia="Arial Narrow" w:hAnsi="Arial Narrow" w:cs="Arial Narrow"/>
          <w:b/>
          <w:i/>
          <w:color w:val="000000"/>
        </w:rPr>
        <w:t>Artículo 7°. Día de la Prevención al consumo de Sustancias Psicoactivas</w:t>
      </w:r>
      <w:r>
        <w:rPr>
          <w:rFonts w:ascii="Arial Narrow" w:eastAsia="Arial Narrow" w:hAnsi="Arial Narrow" w:cs="Arial Narrow"/>
          <w:i/>
          <w:color w:val="000000"/>
        </w:rPr>
        <w:t xml:space="preserve">: El Ministerio de Educación Nacional determinará un día especifico en el año escolar, para que las entidades certificadas en educación promuevan dentro de los establecimientos educativos actividades encaminadas a prevenir el consumo de sustancias psicoactivas.”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Como herramienta de desarrollo de los principios contemplados en el proyecto de ley, se establece esta jornada dedicada a las acciones pedagógicas encaminadas a la prevención del consumo de sustancias psicoactivas. Se propone que la jornada tenga relación con el Día Mundial de Prevención de las Adicciones, establecido por la Asamblea General de Naciones Unidas, conmemorado el 26 de junio.</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w:t>
      </w:r>
      <w:r>
        <w:rPr>
          <w:rFonts w:ascii="Arial Narrow" w:eastAsia="Arial Narrow" w:hAnsi="Arial Narrow" w:cs="Arial Narrow"/>
          <w:b/>
          <w:i/>
          <w:color w:val="000000"/>
        </w:rPr>
        <w:t>Artículo 8°. Reglamentación:</w:t>
      </w:r>
      <w:r>
        <w:rPr>
          <w:rFonts w:ascii="Arial Narrow" w:eastAsia="Arial Narrow" w:hAnsi="Arial Narrow" w:cs="Arial Narrow"/>
          <w:i/>
          <w:color w:val="000000"/>
        </w:rPr>
        <w:t xml:space="preserve"> El Gobierno Nacional, a través del Ministerio de Educación Nacional, reglamentará lo pertinente para dar cumplimiento a lo dispuesto en la presente ley” </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Como bien lo puso en evidencia la Política Marco de Convivencia y Seguridad Ciudadana, reglamentar lo consignado en el proyecto de ley constituye un esfuerzo intersectorial donde la articulación de toda la oferta pública es fundamental; incluyendo desde luego al Ministerio de Educación Nacional, pero involucrando además numerosas instancias adicionales como puedan ser Ministerio del Deporte, Ministerio de Cultura, Policía Nacional, Ministerio del Interior, Ministerio de Salud, ICBF, entre muchas otras.</w:t>
      </w:r>
    </w:p>
    <w:p w:rsidR="00C26006" w:rsidRDefault="00C26006">
      <w:pPr>
        <w:pBdr>
          <w:top w:val="nil"/>
          <w:left w:val="nil"/>
          <w:bottom w:val="nil"/>
          <w:right w:val="nil"/>
          <w:between w:val="nil"/>
        </w:pBdr>
        <w:ind w:left="720"/>
        <w:jc w:val="both"/>
        <w:rPr>
          <w:rFonts w:ascii="Arial Narrow" w:eastAsia="Arial Narrow" w:hAnsi="Arial Narrow" w:cs="Arial Narrow"/>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b/>
          <w:color w:val="000000"/>
        </w:rPr>
        <w:t>Artículo 9°. Vigencia.</w:t>
      </w:r>
      <w:r>
        <w:rPr>
          <w:rFonts w:ascii="Arial Narrow" w:eastAsia="Arial Narrow" w:hAnsi="Arial Narrow" w:cs="Arial Narrow"/>
          <w:color w:val="000000"/>
        </w:rPr>
        <w:t xml:space="preserve"> La presente ley rige a partir de su promulgación y deroga todas las disposiciones que le sean contrarias”</w:t>
      </w:r>
    </w:p>
    <w:p w:rsidR="00C26006" w:rsidRDefault="00C26006">
      <w:pPr>
        <w:rPr>
          <w:rFonts w:ascii="Arial Narrow" w:eastAsia="Arial Narrow" w:hAnsi="Arial Narrow" w:cs="Arial Narrow"/>
          <w:b/>
        </w:rPr>
      </w:pPr>
    </w:p>
    <w:p w:rsidR="00C26006" w:rsidRDefault="00C26006">
      <w:pPr>
        <w:rPr>
          <w:rFonts w:ascii="Arial Narrow" w:eastAsia="Arial Narrow" w:hAnsi="Arial Narrow" w:cs="Arial Narrow"/>
          <w:b/>
        </w:rPr>
      </w:pPr>
    </w:p>
    <w:p w:rsidR="00C26006" w:rsidRDefault="009924C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 xml:space="preserve">FUNDAMENTOS </w:t>
      </w:r>
      <w:r>
        <w:rPr>
          <w:rFonts w:ascii="Arial Narrow" w:eastAsia="Arial Narrow" w:hAnsi="Arial Narrow" w:cs="Arial Narrow"/>
          <w:b/>
        </w:rPr>
        <w:t>FÁCTICOS</w:t>
      </w:r>
      <w:r>
        <w:rPr>
          <w:rFonts w:ascii="Arial Narrow" w:eastAsia="Arial Narrow" w:hAnsi="Arial Narrow" w:cs="Arial Narrow"/>
          <w:b/>
          <w:color w:val="000000"/>
        </w:rPr>
        <w:t xml:space="preserve"> Y NORMATIVOS</w:t>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9924CB">
      <w:pPr>
        <w:numPr>
          <w:ilvl w:val="0"/>
          <w:numId w:val="1"/>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lastRenderedPageBreak/>
        <w:t>FACTICOS:</w:t>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b/>
          <w:color w:val="000000"/>
        </w:rPr>
      </w:pPr>
      <w:r>
        <w:rPr>
          <w:rFonts w:ascii="Arial Narrow" w:eastAsia="Arial Narrow" w:hAnsi="Arial Narrow" w:cs="Arial Narrow"/>
          <w:color w:val="000000"/>
        </w:rPr>
        <w:t>“</w:t>
      </w:r>
      <w:r>
        <w:rPr>
          <w:rFonts w:ascii="Arial Narrow" w:eastAsia="Arial Narrow" w:hAnsi="Arial Narrow" w:cs="Arial Narrow"/>
          <w:i/>
          <w:color w:val="000000"/>
        </w:rPr>
        <w:t>En Colombia, se ha estimado que parte de la población está expuesta a situaciones adversas en la infancia y adolescencia que pueden incidir de manera importante en el inicio temprano de consumo de sustancias psicoactivas, y en cursos de vida posteriores, en abuso y dependencia de consumo de este tipo de sustancias, así como en la aparición y mantenimiento de problemas y trastornos mentales. De esta manera, la intervención del Estado para la prevención del consumo de sustancias psicoactivas requiere una respuesta integral que incluya intervenciones asociadas a la garantía de derechos fundamentales como educación, trabajo, vivienda; a la reducción de las desigualdades asociadas a relaciones de poder; a la modificación de comportamientos y factores psicosociales; y al acceso, atención y calidad de los servicios de salud y sociales.</w:t>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b/>
          <w:i/>
          <w:color w:val="000000"/>
        </w:rPr>
      </w:pPr>
      <w:r>
        <w:rPr>
          <w:rFonts w:ascii="Arial Narrow" w:eastAsia="Arial Narrow" w:hAnsi="Arial Narrow" w:cs="Arial Narrow"/>
          <w:b/>
          <w:i/>
          <w:color w:val="000000"/>
        </w:rPr>
        <w:t xml:space="preserve">Factores que influyen en el consumo de sustancias psicoactivas </w:t>
      </w:r>
    </w:p>
    <w:p w:rsidR="00C26006" w:rsidRDefault="00C26006">
      <w:pPr>
        <w:pBdr>
          <w:top w:val="nil"/>
          <w:left w:val="nil"/>
          <w:bottom w:val="nil"/>
          <w:right w:val="nil"/>
          <w:between w:val="nil"/>
        </w:pBdr>
        <w:ind w:left="720"/>
        <w:rPr>
          <w:rFonts w:ascii="Arial Narrow" w:eastAsia="Arial Narrow" w:hAnsi="Arial Narrow" w:cs="Arial Narrow"/>
          <w:i/>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El consumo de sustancias psicoactivas es un fenómeno multicausal en el que intervienen diferentes factores que deben ser abordados de manera integral (Pons Diez, 2008). Para definir intervenciones efectivas que prevengan el consumo de estas sustancias se requiere identificar los factores que influyen en su consumo, así como su interrelación, teniendo como referencia las trayectorias, transiciones y sucesos vitales de la vida de las poblaciones a intervenir. De esta manera, el curso de vida de niñez y adolescencia traen consigo una serie de cambios cognitivos, personales y psicosociales que hacen a los adolescentes más vulnerables a conductas problemáticas entre las que se encuentra el consumo de sustancias psicoactivas (Universidad de Deusto; Observatorio de Drogas de Colombia, Ministerio de Justicia y del Derecho. (….)</w:t>
      </w:r>
    </w:p>
    <w:p w:rsidR="00C26006" w:rsidRDefault="00C26006">
      <w:pPr>
        <w:pBdr>
          <w:top w:val="nil"/>
          <w:left w:val="nil"/>
          <w:bottom w:val="nil"/>
          <w:right w:val="nil"/>
          <w:between w:val="nil"/>
        </w:pBdr>
        <w:ind w:left="720"/>
        <w:jc w:val="both"/>
        <w:rPr>
          <w:rFonts w:ascii="Arial Narrow" w:eastAsia="Arial Narrow" w:hAnsi="Arial Narrow" w:cs="Arial Narrow"/>
          <w:i/>
          <w:color w:val="000000"/>
        </w:rPr>
      </w:pPr>
    </w:p>
    <w:p w:rsidR="00C26006" w:rsidRDefault="009924C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i/>
          <w:color w:val="000000"/>
        </w:rPr>
        <w:t xml:space="preserve">Con respecto a pobreza, el estudio de consumo de sustancias psicoactivas en población general (2013) encontró </w:t>
      </w:r>
      <w:proofErr w:type="gramStart"/>
      <w:r>
        <w:rPr>
          <w:rFonts w:ascii="Arial Narrow" w:eastAsia="Arial Narrow" w:hAnsi="Arial Narrow" w:cs="Arial Narrow"/>
          <w:i/>
          <w:color w:val="000000"/>
        </w:rPr>
        <w:t>que</w:t>
      </w:r>
      <w:proofErr w:type="gramEnd"/>
      <w:r>
        <w:rPr>
          <w:rFonts w:ascii="Arial Narrow" w:eastAsia="Arial Narrow" w:hAnsi="Arial Narrow" w:cs="Arial Narrow"/>
          <w:i/>
          <w:color w:val="000000"/>
        </w:rPr>
        <w:t xml:space="preserve"> si bien el consumo de sustancias psicoactivas ilegales en el año no es diferencial por estrato socioeconómico, si se evidencia mayor abuso y dependencia en población clasificada en estratos 1 y 2. De esta manera, se podría inferir que las condiciones de pobreza pueden influir en el aumento de la prevalencia de abuso de estas sustancias. En el país los municipios con mayores niveles de pobreza multidimensional municipal predominan en las regiones de la Orinoquía-Amazonía y Pacífica, y los municipios con menores porcentajes se encuentran en las regiones Central y Oriental del país.”</w:t>
      </w:r>
      <w:r>
        <w:rPr>
          <w:rFonts w:ascii="Arial Narrow" w:eastAsia="Arial Narrow" w:hAnsi="Arial Narrow" w:cs="Arial Narrow"/>
          <w:i/>
          <w:color w:val="000000"/>
          <w:vertAlign w:val="superscript"/>
        </w:rPr>
        <w:footnoteReference w:id="9"/>
      </w:r>
    </w:p>
    <w:p w:rsidR="00C26006" w:rsidRDefault="00C26006">
      <w:pPr>
        <w:pBdr>
          <w:top w:val="nil"/>
          <w:left w:val="nil"/>
          <w:bottom w:val="nil"/>
          <w:right w:val="nil"/>
          <w:between w:val="nil"/>
        </w:pBdr>
        <w:ind w:left="720"/>
        <w:rPr>
          <w:rFonts w:ascii="Arial Narrow" w:eastAsia="Arial Narrow" w:hAnsi="Arial Narrow" w:cs="Arial Narrow"/>
          <w:b/>
          <w:color w:val="000000"/>
        </w:rPr>
      </w:pPr>
    </w:p>
    <w:p w:rsidR="00C26006" w:rsidRDefault="00C26006">
      <w:pPr>
        <w:pBdr>
          <w:top w:val="nil"/>
          <w:left w:val="nil"/>
          <w:bottom w:val="nil"/>
          <w:right w:val="nil"/>
          <w:between w:val="nil"/>
        </w:pBdr>
        <w:ind w:left="720"/>
        <w:jc w:val="both"/>
        <w:rPr>
          <w:color w:val="000000"/>
        </w:rPr>
      </w:pPr>
    </w:p>
    <w:p w:rsidR="00C26006" w:rsidRDefault="00C26006">
      <w:pPr>
        <w:pBdr>
          <w:top w:val="nil"/>
          <w:left w:val="nil"/>
          <w:bottom w:val="nil"/>
          <w:right w:val="nil"/>
          <w:between w:val="nil"/>
        </w:pBdr>
        <w:ind w:left="720"/>
        <w:jc w:val="both"/>
        <w:rPr>
          <w:rFonts w:ascii="Arial Narrow" w:eastAsia="Arial Narrow" w:hAnsi="Arial Narrow" w:cs="Arial Narrow"/>
          <w:b/>
          <w:color w:val="000000"/>
        </w:rPr>
      </w:pPr>
    </w:p>
    <w:p w:rsidR="00C26006" w:rsidRDefault="009924CB">
      <w:pPr>
        <w:numPr>
          <w:ilvl w:val="0"/>
          <w:numId w:val="1"/>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 xml:space="preserve">NORMATIVOS: </w:t>
      </w:r>
    </w:p>
    <w:p w:rsidR="00C26006" w:rsidRDefault="00C26006">
      <w:pPr>
        <w:ind w:left="360"/>
        <w:rPr>
          <w:rFonts w:ascii="Arial Narrow" w:eastAsia="Arial Narrow" w:hAnsi="Arial Narrow" w:cs="Arial Narrow"/>
          <w:b/>
        </w:rPr>
      </w:pPr>
    </w:p>
    <w:p w:rsidR="00C26006" w:rsidRDefault="009924CB">
      <w:pPr>
        <w:jc w:val="both"/>
        <w:rPr>
          <w:rFonts w:ascii="Arial Narrow" w:eastAsia="Arial Narrow" w:hAnsi="Arial Narrow" w:cs="Arial Narrow"/>
          <w:b/>
        </w:rPr>
      </w:pPr>
      <w:r>
        <w:rPr>
          <w:rFonts w:ascii="Arial Narrow" w:eastAsia="Arial Narrow" w:hAnsi="Arial Narrow" w:cs="Arial Narrow"/>
        </w:rPr>
        <w:lastRenderedPageBreak/>
        <w:t>La Constitución Política dicta el carácter especial de la protección de los derechos de los niños, niñas y adolescentes, en sus artículos 44 y 45:</w:t>
      </w:r>
    </w:p>
    <w:p w:rsidR="00C26006" w:rsidRDefault="00C26006">
      <w:pPr>
        <w:rPr>
          <w:rFonts w:ascii="Arial Narrow" w:eastAsia="Arial Narrow" w:hAnsi="Arial Narrow" w:cs="Arial Narrow"/>
          <w:b/>
        </w:rPr>
      </w:pPr>
    </w:p>
    <w:p w:rsidR="00C26006" w:rsidRDefault="009924CB">
      <w:pPr>
        <w:jc w:val="both"/>
        <w:rPr>
          <w:rFonts w:ascii="Arial Narrow" w:eastAsia="Arial Narrow" w:hAnsi="Arial Narrow" w:cs="Arial Narrow"/>
          <w:i/>
        </w:rPr>
      </w:pPr>
      <w:r>
        <w:rPr>
          <w:rFonts w:ascii="Arial Narrow" w:eastAsia="Arial Narrow" w:hAnsi="Arial Narrow" w:cs="Arial Narrow"/>
        </w:rPr>
        <w:t>“</w:t>
      </w:r>
      <w:r>
        <w:rPr>
          <w:rFonts w:ascii="Arial Narrow" w:eastAsia="Arial Narrow" w:hAnsi="Arial Narrow" w:cs="Arial Narrow"/>
          <w:b/>
          <w:i/>
        </w:rPr>
        <w:t>ARTÍCULO 44.</w:t>
      </w:r>
      <w:r>
        <w:rPr>
          <w:rFonts w:ascii="Arial Narrow" w:eastAsia="Arial Narrow" w:hAnsi="Arial Narrow" w:cs="Arial Narrow"/>
          <w:i/>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C26006" w:rsidRDefault="00C26006">
      <w:pPr>
        <w:jc w:val="both"/>
        <w:rPr>
          <w:rFonts w:ascii="Arial Narrow" w:eastAsia="Arial Narrow" w:hAnsi="Arial Narrow" w:cs="Arial Narrow"/>
          <w:i/>
        </w:rPr>
      </w:pPr>
    </w:p>
    <w:p w:rsidR="00C26006" w:rsidRDefault="009924CB">
      <w:pPr>
        <w:jc w:val="both"/>
        <w:rPr>
          <w:rFonts w:ascii="Arial Narrow" w:eastAsia="Arial Narrow" w:hAnsi="Arial Narrow" w:cs="Arial Narrow"/>
          <w:i/>
        </w:rPr>
      </w:pPr>
      <w:r>
        <w:rPr>
          <w:rFonts w:ascii="Arial Narrow" w:eastAsia="Arial Narrow" w:hAnsi="Arial Narrow" w:cs="Arial Narrow"/>
          <w:i/>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C26006" w:rsidRDefault="00C26006">
      <w:pPr>
        <w:jc w:val="both"/>
        <w:rPr>
          <w:rFonts w:ascii="Arial Narrow" w:eastAsia="Arial Narrow" w:hAnsi="Arial Narrow" w:cs="Arial Narrow"/>
          <w:i/>
        </w:rPr>
      </w:pPr>
    </w:p>
    <w:p w:rsidR="00C26006" w:rsidRDefault="009924CB">
      <w:pPr>
        <w:jc w:val="both"/>
        <w:rPr>
          <w:rFonts w:ascii="Arial Narrow" w:eastAsia="Arial Narrow" w:hAnsi="Arial Narrow" w:cs="Arial Narrow"/>
          <w:b/>
        </w:rPr>
      </w:pPr>
      <w:r>
        <w:rPr>
          <w:rFonts w:ascii="Arial Narrow" w:eastAsia="Arial Narrow" w:hAnsi="Arial Narrow" w:cs="Arial Narrow"/>
          <w:i/>
        </w:rPr>
        <w:t>Los derechos de los niños prevalecen sobre los derechos de los demás</w:t>
      </w:r>
      <w:r>
        <w:rPr>
          <w:rFonts w:ascii="Arial Narrow" w:eastAsia="Arial Narrow" w:hAnsi="Arial Narrow" w:cs="Arial Narrow"/>
        </w:rPr>
        <w:t>”</w:t>
      </w:r>
      <w:r>
        <w:rPr>
          <w:rFonts w:ascii="Arial Narrow" w:eastAsia="Arial Narrow" w:hAnsi="Arial Narrow" w:cs="Arial Narrow"/>
          <w:vertAlign w:val="superscript"/>
        </w:rPr>
        <w:footnoteReference w:id="10"/>
      </w:r>
    </w:p>
    <w:p w:rsidR="00C26006" w:rsidRDefault="00C26006">
      <w:pPr>
        <w:jc w:val="both"/>
        <w:rPr>
          <w:rFonts w:ascii="Arial Narrow" w:eastAsia="Arial Narrow" w:hAnsi="Arial Narrow" w:cs="Arial Narrow"/>
          <w:i/>
        </w:rPr>
      </w:pPr>
    </w:p>
    <w:p w:rsidR="00C26006" w:rsidRDefault="009924CB">
      <w:pPr>
        <w:jc w:val="both"/>
        <w:rPr>
          <w:rFonts w:ascii="Arial Narrow" w:eastAsia="Arial Narrow" w:hAnsi="Arial Narrow" w:cs="Arial Narrow"/>
          <w:i/>
        </w:rPr>
      </w:pPr>
      <w:bookmarkStart w:id="1" w:name="bookmark=id.gjdgxs" w:colFirst="0" w:colLast="0"/>
      <w:bookmarkEnd w:id="1"/>
      <w:r>
        <w:rPr>
          <w:rFonts w:ascii="Arial Narrow" w:eastAsia="Arial Narrow" w:hAnsi="Arial Narrow" w:cs="Arial Narrow"/>
          <w:i/>
        </w:rPr>
        <w:t>“</w:t>
      </w:r>
      <w:r>
        <w:rPr>
          <w:rFonts w:ascii="Arial Narrow" w:eastAsia="Arial Narrow" w:hAnsi="Arial Narrow" w:cs="Arial Narrow"/>
          <w:b/>
          <w:i/>
        </w:rPr>
        <w:t>ARTÍCULO 45</w:t>
      </w:r>
      <w:r>
        <w:rPr>
          <w:rFonts w:ascii="Arial Narrow" w:eastAsia="Arial Narrow" w:hAnsi="Arial Narrow" w:cs="Arial Narrow"/>
          <w:i/>
        </w:rPr>
        <w:t>. El adolescente tiene derecho a la protección y a la formación integral.</w:t>
      </w:r>
    </w:p>
    <w:p w:rsidR="00C26006" w:rsidRDefault="00C26006">
      <w:pPr>
        <w:jc w:val="both"/>
        <w:rPr>
          <w:rFonts w:ascii="Arial Narrow" w:eastAsia="Arial Narrow" w:hAnsi="Arial Narrow" w:cs="Arial Narrow"/>
          <w:i/>
        </w:rPr>
      </w:pPr>
    </w:p>
    <w:p w:rsidR="00C26006" w:rsidRDefault="009924CB">
      <w:pPr>
        <w:jc w:val="both"/>
        <w:rPr>
          <w:rFonts w:ascii="Arial Narrow" w:eastAsia="Arial Narrow" w:hAnsi="Arial Narrow" w:cs="Arial Narrow"/>
          <w:i/>
        </w:rPr>
      </w:pPr>
      <w:r>
        <w:rPr>
          <w:rFonts w:ascii="Arial Narrow" w:eastAsia="Arial Narrow" w:hAnsi="Arial Narrow" w:cs="Arial Narrow"/>
          <w:i/>
        </w:rPr>
        <w:t>El Estado y la sociedad garantizan la participación activa de los jóvenes en los organismos públicos y privados que tengan a cargo la protección, educación y progreso de la juventud.”</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Este proyecto de ley constituye elemento de soporte para la ley 1620 de 20133</w:t>
      </w:r>
      <w:r>
        <w:rPr>
          <w:rFonts w:ascii="Arial Narrow" w:eastAsia="Arial Narrow" w:hAnsi="Arial Narrow" w:cs="Arial Narrow"/>
          <w:vertAlign w:val="superscript"/>
        </w:rPr>
        <w:footnoteReference w:id="11"/>
      </w:r>
      <w:r>
        <w:rPr>
          <w:rFonts w:ascii="Arial Narrow" w:eastAsia="Arial Narrow" w:hAnsi="Arial Narrow" w:cs="Arial Narrow"/>
        </w:rPr>
        <w:t xml:space="preserve"> para la Convivencia Escolar, como un coadyuvante en el sostenimiento de un entorno seguro para la convivencia y bienestar de la población educativa la cual involucra diferentes actores; entre docentes, estudiantes, padres de familia y personal administrativo. </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 xml:space="preserve">Dicha ley enfatiza la formación en Competencias Ciudadanas, definidas como el conjunto de conocimientos y de habilidades cognitivas, emocionales y comunicativas que, articulados entre sí, hacen posible que el ciudadano actúe de manera constructiva en una sociedad democrática. </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Además, crea el Sistema Nacional de Convivencia Escolar y Formación para el Ejercicio de los Derechos Humanos, la Educación para la Sexualidad y la Prevención y Mitigación de la Violencia Escolar con los siguientes objetivos, entre otros (Artículo 4, subrayado fuera de texto):</w:t>
      </w:r>
    </w:p>
    <w:p w:rsidR="00C26006" w:rsidRDefault="00C26006">
      <w:pPr>
        <w:jc w:val="both"/>
        <w:rPr>
          <w:rFonts w:ascii="Arial Narrow" w:eastAsia="Arial Narrow" w:hAnsi="Arial Narrow" w:cs="Arial Narrow"/>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 xml:space="preserve">Fomentar, fortalecer y articular acciones de diferentes instancias del Estado para la </w:t>
      </w:r>
      <w:r>
        <w:rPr>
          <w:rFonts w:ascii="Arial Narrow" w:eastAsia="Arial Narrow" w:hAnsi="Arial Narrow" w:cs="Arial Narrow"/>
          <w:i/>
          <w:color w:val="000000"/>
          <w:u w:val="single"/>
        </w:rPr>
        <w:t xml:space="preserve">convivencia escolar, la construcción de ciudadanía y la educación para el ejercicio de los </w:t>
      </w:r>
      <w:r>
        <w:rPr>
          <w:rFonts w:ascii="Arial Narrow" w:eastAsia="Arial Narrow" w:hAnsi="Arial Narrow" w:cs="Arial Narrow"/>
          <w:i/>
          <w:color w:val="000000"/>
          <w:u w:val="single"/>
        </w:rPr>
        <w:lastRenderedPageBreak/>
        <w:t>derechos humanos,</w:t>
      </w:r>
      <w:r>
        <w:rPr>
          <w:rFonts w:ascii="Arial Narrow" w:eastAsia="Arial Narrow" w:hAnsi="Arial Narrow" w:cs="Arial Narrow"/>
          <w:i/>
          <w:color w:val="000000"/>
        </w:rPr>
        <w:t xml:space="preserve"> sexuales y reproductivos de los niños, niñas y adolescentes de los niveles educativos de preescolar, básica y media.</w:t>
      </w:r>
    </w:p>
    <w:p w:rsidR="00C26006" w:rsidRDefault="00C26006">
      <w:pPr>
        <w:jc w:val="both"/>
        <w:rPr>
          <w:rFonts w:ascii="Arial Narrow" w:eastAsia="Arial Narrow" w:hAnsi="Arial Narrow" w:cs="Arial Narrow"/>
          <w:i/>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u w:val="single"/>
        </w:rPr>
      </w:pPr>
      <w:r>
        <w:rPr>
          <w:rFonts w:ascii="Arial Narrow" w:eastAsia="Arial Narrow" w:hAnsi="Arial Narrow" w:cs="Arial Narrow"/>
          <w:i/>
          <w:color w:val="000000"/>
          <w:u w:val="single"/>
        </w:rPr>
        <w:t>Garantizar la protección integral de los niños, niñas y adolescentes en los espacios educativos, a través de la puesta en marcha y el seguimiento de la ruta de atención integral para la convivencia escolar, teniendo en cuenta los contextos sociales y culturales particulares.</w:t>
      </w:r>
    </w:p>
    <w:p w:rsidR="00C26006" w:rsidRDefault="00C26006">
      <w:pPr>
        <w:jc w:val="both"/>
        <w:rPr>
          <w:rFonts w:ascii="Arial Narrow" w:eastAsia="Arial Narrow" w:hAnsi="Arial Narrow" w:cs="Arial Narrow"/>
          <w:i/>
        </w:rPr>
      </w:pPr>
    </w:p>
    <w:p w:rsidR="00C26006" w:rsidRDefault="00C26006">
      <w:pPr>
        <w:jc w:val="both"/>
        <w:rPr>
          <w:rFonts w:ascii="Arial Narrow" w:eastAsia="Arial Narrow" w:hAnsi="Arial Narrow" w:cs="Arial Narrow"/>
          <w:i/>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u w:val="single"/>
        </w:rPr>
      </w:pPr>
      <w:r>
        <w:rPr>
          <w:rFonts w:ascii="Arial Narrow" w:eastAsia="Arial Narrow" w:hAnsi="Arial Narrow" w:cs="Arial Narrow"/>
          <w:i/>
          <w:color w:val="000000"/>
          <w:u w:val="single"/>
        </w:rPr>
        <w:t>Promover el desarrollo de estrategias, programas y actividades para que las entidades en los diferentes niveles del Sistema y los establecimientos educativos fortalezcan la ciudadanía activa y la convivencia pacífica, la promoción de derechos y estilos de vida</w:t>
      </w:r>
      <w:r>
        <w:rPr>
          <w:rFonts w:ascii="Arial Narrow" w:eastAsia="Arial Narrow" w:hAnsi="Arial Narrow" w:cs="Arial Narrow"/>
          <w:i/>
          <w:color w:val="000000"/>
        </w:rPr>
        <w:t xml:space="preserve"> saludable, la prevención, detección, atención y seguimiento de los casos de violencia escolar (…)</w:t>
      </w:r>
    </w:p>
    <w:p w:rsidR="00C26006" w:rsidRDefault="00C26006">
      <w:pPr>
        <w:jc w:val="both"/>
        <w:rPr>
          <w:rFonts w:ascii="Arial Narrow" w:eastAsia="Arial Narrow" w:hAnsi="Arial Narrow" w:cs="Arial Narrow"/>
          <w:i/>
          <w:u w:val="single"/>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u w:val="single"/>
        </w:rPr>
        <w:t>Fomentar mecanismos de prevención, protección, detección temprana y denuncia de todas aquellas conductas que atentan contra la convivencia escolar, la ciudadanía y el ejercicio de los derechos humanos</w:t>
      </w:r>
      <w:r>
        <w:rPr>
          <w:rFonts w:ascii="Arial Narrow" w:eastAsia="Arial Narrow" w:hAnsi="Arial Narrow" w:cs="Arial Narrow"/>
          <w:i/>
          <w:color w:val="000000"/>
        </w:rPr>
        <w:t>, (…)</w:t>
      </w:r>
    </w:p>
    <w:p w:rsidR="00C26006" w:rsidRDefault="00C26006">
      <w:pPr>
        <w:jc w:val="both"/>
        <w:rPr>
          <w:rFonts w:ascii="Arial Narrow" w:eastAsia="Arial Narrow" w:hAnsi="Arial Narrow" w:cs="Arial Narrow"/>
          <w:i/>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u w:val="single"/>
        </w:rPr>
      </w:pPr>
      <w:r>
        <w:rPr>
          <w:rFonts w:ascii="Arial Narrow" w:eastAsia="Arial Narrow" w:hAnsi="Arial Narrow" w:cs="Arial Narrow"/>
          <w:i/>
          <w:color w:val="000000"/>
          <w:u w:val="single"/>
        </w:rPr>
        <w:t>Identificar y fomentar mecanismos y estrategias de mitigación de todas aquellas situaciones y conductas generadoras de situaciones de violencia escolar.</w:t>
      </w:r>
    </w:p>
    <w:p w:rsidR="00C26006" w:rsidRDefault="00C26006">
      <w:pPr>
        <w:jc w:val="both"/>
        <w:rPr>
          <w:rFonts w:ascii="Arial Narrow" w:eastAsia="Arial Narrow" w:hAnsi="Arial Narrow" w:cs="Arial Narrow"/>
          <w:i/>
        </w:rPr>
      </w:pPr>
    </w:p>
    <w:p w:rsidR="00C26006" w:rsidRDefault="009924CB">
      <w:pPr>
        <w:numPr>
          <w:ilvl w:val="0"/>
          <w:numId w:val="5"/>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u w:val="single"/>
        </w:rPr>
        <w:t>Orientar estrategias y programas de comunicación para la movilización social, relacionadas con la convivencia escolar, la construcción de ciudadanía</w:t>
      </w:r>
      <w:r>
        <w:rPr>
          <w:rFonts w:ascii="Arial Narrow" w:eastAsia="Arial Narrow" w:hAnsi="Arial Narrow" w:cs="Arial Narrow"/>
          <w:i/>
          <w:color w:val="000000"/>
        </w:rPr>
        <w:t xml:space="preserve"> y la promoción de los derechos humanos, sexuales y reproductivos.</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Esto, cuenta con elementos de refuerzo adicionales, de acuerdo con concepto emitido por el Ministerio de Educación Nacional.</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i/>
        </w:rPr>
        <w:t xml:space="preserve">“Sobre las políticas públicas, estrategias y capacidad institucional del país en materia de prevención de consumo de sustancias psicoactivas Desarrollar acciones de prevención del consumo de sustancias psicoactivas (SPA) implica afectar negativamente los factores de riesgo y fortalecer los factores de protección. De acuerdo con el actual Código de Convivencia y Seguridad Ciudadana, el consumo en entornos escolares está comprendido como una contravención (comportamiento contrario a la convivencia), y para el caso de población entre los 14 y los 18 años, las distintas sanciones se acogen a lo dispuesto por el Sistema de Responsabilidad Penal Adolescente. Así mismo, es de anotar que el consumo de SPA, de acuerdo a la Ley 1566 de 2012 “Por la cual se dictan normas para garantizar la atención integral a personas que consumen sustancias psicoactivas (…)", </w:t>
      </w:r>
      <w:r>
        <w:rPr>
          <w:rFonts w:ascii="Arial Narrow" w:eastAsia="Arial Narrow" w:hAnsi="Arial Narrow" w:cs="Arial Narrow"/>
        </w:rPr>
        <w:t xml:space="preserve">es considerado como un problema de salud pública, lo cual implica no estigmatizar ni discriminar a los afectados y tampoco individualizar la situación problemática, sino por el contrario, analizar y buscar respuestas integrales que repercutan en los distintos escenarios de la vida cotidiana, institucionales y no institucionales, que tengan incidencia en el desarrollo y perpetuación de este flagelo. En ese sentido, el país ha avanzado tanto en actualizar políticas para la prevención del consumo, como en el abordaje </w:t>
      </w:r>
      <w:r>
        <w:rPr>
          <w:rFonts w:ascii="Arial Narrow" w:eastAsia="Arial Narrow" w:hAnsi="Arial Narrow" w:cs="Arial Narrow"/>
        </w:rPr>
        <w:lastRenderedPageBreak/>
        <w:t>integral del problema de las drogas. Por lo anterior, las políticas públicas a continuación relacionadas se están articulando sobre la Salud Mental:</w:t>
      </w:r>
    </w:p>
    <w:p w:rsidR="00C26006" w:rsidRDefault="00C26006">
      <w:pPr>
        <w:jc w:val="both"/>
        <w:rPr>
          <w:rFonts w:ascii="Arial Narrow" w:eastAsia="Arial Narrow" w:hAnsi="Arial Narrow" w:cs="Arial Narrow"/>
        </w:rPr>
      </w:pPr>
    </w:p>
    <w:p w:rsidR="00C26006" w:rsidRDefault="00C26006">
      <w:pPr>
        <w:jc w:val="both"/>
        <w:rPr>
          <w:rFonts w:ascii="Arial Narrow" w:eastAsia="Arial Narrow" w:hAnsi="Arial Narrow" w:cs="Arial Narrow"/>
        </w:rPr>
      </w:pPr>
    </w:p>
    <w:p w:rsidR="00C26006" w:rsidRDefault="009924CB">
      <w:pPr>
        <w:numPr>
          <w:ilvl w:val="0"/>
          <w:numId w:val="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Resolución 89 de 16 de enero de 2019: “</w:t>
      </w:r>
      <w:r>
        <w:rPr>
          <w:rFonts w:ascii="Arial Narrow" w:eastAsia="Arial Narrow" w:hAnsi="Arial Narrow" w:cs="Arial Narrow"/>
          <w:i/>
          <w:color w:val="000000"/>
        </w:rPr>
        <w:t>Por la cual se adopta la Política Integral para la Prevención y Atención del Consumo de Sustancias Psicoactivas</w:t>
      </w:r>
      <w:r>
        <w:rPr>
          <w:rFonts w:ascii="Arial Narrow" w:eastAsia="Arial Narrow" w:hAnsi="Arial Narrow" w:cs="Arial Narrow"/>
          <w:color w:val="000000"/>
        </w:rPr>
        <w:t xml:space="preserve">”; </w:t>
      </w:r>
    </w:p>
    <w:p w:rsidR="00C26006" w:rsidRDefault="009924CB">
      <w:pPr>
        <w:numPr>
          <w:ilvl w:val="0"/>
          <w:numId w:val="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Resolución 4886 de noviembre de 2018: “</w:t>
      </w:r>
      <w:r>
        <w:rPr>
          <w:rFonts w:ascii="Arial Narrow" w:eastAsia="Arial Narrow" w:hAnsi="Arial Narrow" w:cs="Arial Narrow"/>
          <w:i/>
          <w:color w:val="000000"/>
        </w:rPr>
        <w:t>Por la cual se adopta la política nacional de salud mental</w:t>
      </w:r>
      <w:r>
        <w:rPr>
          <w:rFonts w:ascii="Arial Narrow" w:eastAsia="Arial Narrow" w:hAnsi="Arial Narrow" w:cs="Arial Narrow"/>
          <w:color w:val="000000"/>
        </w:rPr>
        <w:t xml:space="preserve">” y </w:t>
      </w:r>
    </w:p>
    <w:p w:rsidR="00C26006" w:rsidRDefault="009924CB">
      <w:pPr>
        <w:numPr>
          <w:ilvl w:val="0"/>
          <w:numId w:val="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Ruta Futuro de diciembre de 2018: “</w:t>
      </w:r>
      <w:r>
        <w:rPr>
          <w:rFonts w:ascii="Arial Narrow" w:eastAsia="Arial Narrow" w:hAnsi="Arial Narrow" w:cs="Arial Narrow"/>
          <w:i/>
          <w:color w:val="000000"/>
        </w:rPr>
        <w:t>Política Integral para enfrentar el problema de las drogas”</w:t>
      </w:r>
      <w:r>
        <w:rPr>
          <w:rFonts w:ascii="Arial Narrow" w:eastAsia="Arial Narrow" w:hAnsi="Arial Narrow" w:cs="Arial Narrow"/>
          <w:color w:val="000000"/>
        </w:rPr>
        <w:t>. Todos estos instrumentos reconocen dos instancias de articulación intersectorial en materia de drogas: (i) el Consejo Nacional de Estupefacientes: máxima autoridad en esta materia y (ii) la Comisión Técnica Nacional de Reducción de la Demanda de Droga: instancia asesora del Consejo en materia de prevención de consumo.</w:t>
      </w:r>
    </w:p>
    <w:p w:rsidR="00C26006" w:rsidRDefault="00C26006">
      <w:pPr>
        <w:jc w:val="both"/>
        <w:rPr>
          <w:rFonts w:ascii="Arial Narrow" w:eastAsia="Arial Narrow" w:hAnsi="Arial Narrow" w:cs="Arial Narrow"/>
          <w:b/>
        </w:rPr>
      </w:pPr>
    </w:p>
    <w:p w:rsidR="00C26006" w:rsidRDefault="009924CB">
      <w:pPr>
        <w:jc w:val="both"/>
        <w:rPr>
          <w:rFonts w:ascii="Arial Narrow" w:eastAsia="Arial Narrow" w:hAnsi="Arial Narrow" w:cs="Arial Narrow"/>
          <w:b/>
        </w:rPr>
      </w:pPr>
      <w:r>
        <w:rPr>
          <w:rFonts w:ascii="Arial Narrow" w:eastAsia="Arial Narrow" w:hAnsi="Arial Narrow" w:cs="Arial Narrow"/>
          <w:b/>
        </w:rPr>
        <w:t>Políticas Públicas</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 xml:space="preserve">Colombia cuenta con el documento CONPES: 3992 </w:t>
      </w:r>
      <w:r>
        <w:rPr>
          <w:rFonts w:ascii="Arial Narrow" w:eastAsia="Arial Narrow" w:hAnsi="Arial Narrow" w:cs="Arial Narrow"/>
          <w:i/>
        </w:rPr>
        <w:t xml:space="preserve">“Estrategia para la Promoción de la Salud Mental en Colombia”: </w:t>
      </w:r>
      <w:r>
        <w:rPr>
          <w:rFonts w:ascii="Arial Narrow" w:eastAsia="Arial Narrow" w:hAnsi="Arial Narrow" w:cs="Arial Narrow"/>
        </w:rPr>
        <w:t>es la estrategia intersectorial que incorpora diferentes acciones para la prevención y la atención de las situaciones asociadas al consumo. Para el caso del Ministerio de Educación incorpora entre sus acciones, realizar formación a docentes en el desarrollo de las competencias ciudadanas y socioemocionales, como factor protector y especialmente promotor de derechos y de desarrollo integral de las niñas, niños, adolescentes y jóvenes. También, el país cuenta con un “</w:t>
      </w:r>
      <w:r>
        <w:rPr>
          <w:rFonts w:ascii="Arial Narrow" w:eastAsia="Arial Narrow" w:hAnsi="Arial Narrow" w:cs="Arial Narrow"/>
          <w:i/>
        </w:rPr>
        <w:t>Lineamiento Nacional de prevención del consumo de alcohol y sustancias psicoactivas</w:t>
      </w:r>
      <w:r>
        <w:rPr>
          <w:rFonts w:ascii="Arial Narrow" w:eastAsia="Arial Narrow" w:hAnsi="Arial Narrow" w:cs="Arial Narrow"/>
        </w:rPr>
        <w:t>” publicado en octubre de 2018; en dicho lineamiento, se especifican, con base científica, los criterios para desarrollar acciones de prevención basadas en la evidencia por etapa de curso de vida y por entorno de la vida cotidiana. Es un documento claro y específico frente a las estrategias, enfoques y mecanismos que se deben dar para hacer prevención basada en la evidencia. La construcción de este documento orientador está sustentada en los Estándares Internacionales para la Prevención del Uso de Drogas de UNODC del 2017, así como el documento de “</w:t>
      </w:r>
      <w:r>
        <w:rPr>
          <w:rFonts w:ascii="Arial Narrow" w:eastAsia="Arial Narrow" w:hAnsi="Arial Narrow" w:cs="Arial Narrow"/>
          <w:i/>
        </w:rPr>
        <w:t>Calidad y Evidencia en reducción de la demanda de drogas</w:t>
      </w:r>
      <w:r>
        <w:rPr>
          <w:rFonts w:ascii="Arial Narrow" w:eastAsia="Arial Narrow" w:hAnsi="Arial Narrow" w:cs="Arial Narrow"/>
        </w:rPr>
        <w:t>” COPOLAD, 2014.</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 xml:space="preserve">El referente más reciente dentro de las políticas públicas es la Política Marco de Convivencia y Seguridad Ciudadana la cual aborda la atención del problema del consumo de sustancias psicoactivas, desde un enfoque integral e </w:t>
      </w:r>
      <w:proofErr w:type="spellStart"/>
      <w:r>
        <w:rPr>
          <w:rFonts w:ascii="Arial Narrow" w:eastAsia="Arial Narrow" w:hAnsi="Arial Narrow" w:cs="Arial Narrow"/>
        </w:rPr>
        <w:t>interagencial</w:t>
      </w:r>
      <w:proofErr w:type="spellEnd"/>
      <w:r>
        <w:rPr>
          <w:rFonts w:ascii="Arial Narrow" w:eastAsia="Arial Narrow" w:hAnsi="Arial Narrow" w:cs="Arial Narrow"/>
        </w:rPr>
        <w:t xml:space="preserve">, que unifica la oferta institucional de todas las entidades del Gobierno nacional con competencias en la prevención y mitigación de un fenómeno tan complejo. </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 xml:space="preserve">En primer lugar, la política aborda el problema del consumo de sustancias psicoactivas, en general, como un problema de salud pública, enmarcado dentro del campo de la salud mental, el cual afecta la convivencia en la medida que incrementa la percepción de inseguridad. En efecto, las dinámicas de consumo vienen necesariamente aparejadas con su tráfico y comercialización al menudeo, las cuales están espacialmente correlacionadas con toda clase de dinámicas de criminalidad tales como el control territorial con fines de captura de las rentas ilegales asociadas, lesiones personales, hurtos, </w:t>
      </w:r>
      <w:r>
        <w:rPr>
          <w:rFonts w:ascii="Arial Narrow" w:eastAsia="Arial Narrow" w:hAnsi="Arial Narrow" w:cs="Arial Narrow"/>
        </w:rPr>
        <w:lastRenderedPageBreak/>
        <w:t>homicidios, entre otros delitos. Todo esto, reviste particular gravedad cuando tiene lugar en ambientes escolares, en la medida que expone a los niños, niñas y adolescentes a un entorno propenso a la violencia, a formas severas de matoneo o “</w:t>
      </w:r>
      <w:proofErr w:type="spellStart"/>
      <w:r>
        <w:rPr>
          <w:rFonts w:ascii="Arial Narrow" w:eastAsia="Arial Narrow" w:hAnsi="Arial Narrow" w:cs="Arial Narrow"/>
        </w:rPr>
        <w:t>bullying</w:t>
      </w:r>
      <w:proofErr w:type="spellEnd"/>
      <w:r>
        <w:rPr>
          <w:rFonts w:ascii="Arial Narrow" w:eastAsia="Arial Narrow" w:hAnsi="Arial Narrow" w:cs="Arial Narrow"/>
        </w:rPr>
        <w:t xml:space="preserve">” rodeadas de intereses delincuenciales, y a la vulneración de sus derechos, contrario a cualquier objetivo educativo, de sana convivencia, o de desarrollo pleno y sano de las nuevas generaciones de colombianos. </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La política llama la atención sobre el nivel de sofisticación de los delincuentes que venden estupefacientes y su capacidad de injerencia social en espacios en los que se incluyen ambientes escolares. El desarrollo de estrategias de distribución regional de drogas y comercialización local, el aumento en la variedad de sustancias de origen natural y sintético, el establecimiento de marcas y mecanismos de fidelización de consumo, son algunas de las novedades que manejan los vendedores de estupefacientes. En este contexto los niños, niñas y adolescentes son sujetos particularmente vulnerables a dinámicas de instrumentalización.</w:t>
      </w:r>
    </w:p>
    <w:p w:rsidR="00C26006" w:rsidRDefault="00C26006">
      <w:pPr>
        <w:jc w:val="both"/>
        <w:rPr>
          <w:rFonts w:ascii="Arial Narrow" w:eastAsia="Arial Narrow" w:hAnsi="Arial Narrow" w:cs="Arial Narrow"/>
        </w:rPr>
      </w:pPr>
    </w:p>
    <w:p w:rsidR="00C26006" w:rsidRDefault="009924CB">
      <w:pPr>
        <w:jc w:val="both"/>
        <w:rPr>
          <w:rFonts w:ascii="Arial Narrow" w:eastAsia="Arial Narrow" w:hAnsi="Arial Narrow" w:cs="Arial Narrow"/>
        </w:rPr>
      </w:pPr>
      <w:r>
        <w:rPr>
          <w:rFonts w:ascii="Arial Narrow" w:eastAsia="Arial Narrow" w:hAnsi="Arial Narrow" w:cs="Arial Narrow"/>
        </w:rPr>
        <w:t>Esta Política establece los siguientes criterios generales en materia de consumo de sustancias psicoactivas:</w:t>
      </w:r>
    </w:p>
    <w:p w:rsidR="00C26006" w:rsidRDefault="00C26006">
      <w:pPr>
        <w:jc w:val="both"/>
        <w:rPr>
          <w:rFonts w:ascii="Arial Narrow" w:eastAsia="Arial Narrow" w:hAnsi="Arial Narrow" w:cs="Arial Narrow"/>
        </w:rPr>
      </w:pP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 xml:space="preserve">Los gobernadores y alcaldes incorporarán en el Plan de Desarrollo Territorial programas dirigidos a proteger a los niños, niñas y adolescentes del consumo de drogas. Para eso deberán integrar la acción de las diferentes </w:t>
      </w:r>
      <w:r>
        <w:rPr>
          <w:rFonts w:ascii="Arial Narrow" w:eastAsia="Arial Narrow" w:hAnsi="Arial Narrow" w:cs="Arial Narrow"/>
          <w:i/>
        </w:rPr>
        <w:t>secretarías</w:t>
      </w:r>
      <w:r>
        <w:rPr>
          <w:rFonts w:ascii="Arial Narrow" w:eastAsia="Arial Narrow" w:hAnsi="Arial Narrow" w:cs="Arial Narrow"/>
          <w:i/>
          <w:color w:val="000000"/>
        </w:rPr>
        <w:t xml:space="preserve"> y entidades departamentales y municipales, al igual que destinar presupuesto y capacidades institucionales para dicho propósito. Las autoridades deben proteger a esta población cuyos derechos constitucionalmente prevalecen.</w:t>
      </w: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El Ministerio del Interior coordinará con las gobernaciones y alcaldías programas de divulgación sobre los efectos del consumo de drogas, desde la perspectiva de la convivencia y seguridad ciudadana, dirigidos a prevenir el consumo y a promover la denuncia de quienes participan en el tráfico y comercialización urbana de estupefacientes. Para eso, el Ministerio articulará con los Ministerios de Justicia, Defensa Nacional, Salud y Protección Social, Educación y Deporte.</w:t>
      </w: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El Ministerio de Defensa Nacional a través de la Policía Nacional continuará la aplicación estricta del Decreto 1844 del 2018, el cual reglamenta parcialmente el Código Nacional Seguridad y Convivencia Ciudadana, en lo referente a la prohibición de poseer, tener, entregar, distribuir o comercializar drogas o sustancias prohibidas.</w:t>
      </w: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El Ministerio de Justicia y del Derecho activará el Comité Técnico Asesor para la Prevención Nacional de la Fármaco Dependencia, el cual funciona como una instancia de apoyo técnico del Consejo Nacional de Estupefacientes, tal como lo contempla la Ley 30 de 1986. Dicho Comité se reunirá con la frecuencia necesaria para articular todas las campañas de prevención del consumo.</w:t>
      </w: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 xml:space="preserve">El Ministerio de Justicia y del Derecho, concentrará acciones en la asistencia técnica para aumentar la efectividad de los Consejos Seccionales de Estupefacientes, de acuerdo con las funciones asignadas a dichas instancias de coordinación en la Ley 30 de 1986. Así mismo, </w:t>
      </w:r>
      <w:r>
        <w:rPr>
          <w:rFonts w:ascii="Arial Narrow" w:eastAsia="Arial Narrow" w:hAnsi="Arial Narrow" w:cs="Arial Narrow"/>
          <w:i/>
          <w:color w:val="000000"/>
        </w:rPr>
        <w:lastRenderedPageBreak/>
        <w:t>evaluará el cumplimiento de las funciones de cada Consejo Seccional de Estupefacientes y su alineación con la Política Marco de Convivencia y Seguridad Ciudadana.</w:t>
      </w:r>
    </w:p>
    <w:p w:rsidR="00C26006" w:rsidRDefault="009924CB">
      <w:pPr>
        <w:numPr>
          <w:ilvl w:val="0"/>
          <w:numId w:val="4"/>
        </w:num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El Ministerio de Justicia y del Derecho evaluará la efectividad de la iniciativa de prevención del consumo de sustancias psicoactivas en el territorio nacional a partir de los indicadores de prevalencias del último año, los cuales serán generados por el Ministerio de Salud y Protección Social. Los indicadores servirán para hacer ajustes a los programas de prevención y prestarán especial atención a la prevalencia en la población escolar y población universitaria.</w:t>
      </w:r>
    </w:p>
    <w:p w:rsidR="00C26006" w:rsidRDefault="00C26006">
      <w:pPr>
        <w:ind w:left="360"/>
        <w:jc w:val="both"/>
        <w:rPr>
          <w:rFonts w:ascii="Arial Narrow" w:eastAsia="Arial Narrow" w:hAnsi="Arial Narrow" w:cs="Arial Narrow"/>
        </w:rPr>
      </w:pPr>
    </w:p>
    <w:p w:rsidR="00C26006" w:rsidRDefault="00C26006">
      <w:pPr>
        <w:ind w:left="360"/>
        <w:jc w:val="both"/>
        <w:rPr>
          <w:rFonts w:ascii="Arial Narrow" w:eastAsia="Arial Narrow" w:hAnsi="Arial Narrow" w:cs="Arial Narrow"/>
        </w:rPr>
      </w:pPr>
    </w:p>
    <w:p w:rsidR="00C26006" w:rsidRDefault="009924CB">
      <w:pPr>
        <w:ind w:left="360"/>
        <w:jc w:val="both"/>
        <w:rPr>
          <w:rFonts w:ascii="Arial Narrow" w:eastAsia="Arial Narrow" w:hAnsi="Arial Narrow" w:cs="Arial Narrow"/>
        </w:rPr>
      </w:pPr>
      <w:r>
        <w:rPr>
          <w:rFonts w:ascii="Arial Narrow" w:eastAsia="Arial Narrow" w:hAnsi="Arial Narrow" w:cs="Arial Narrow"/>
        </w:rPr>
        <w:t>El proyecto de ley refuerza todos estos elementos en el campo particular de los entornos educativos, buscando dar rango legal a estas medidas articuladoras de la oferta institucional del Estado. Con esta política queda claro, sin embargo, que el problema reviste tanta complejidad que no basta con ponerlo en manos de los docentes, de las instituciones educativas y de la familia, sino que requiere acciones de coordinación de mucho mayor alcance.</w:t>
      </w:r>
    </w:p>
    <w:p w:rsidR="00C26006" w:rsidRDefault="00C26006"/>
    <w:p w:rsidR="00C26006" w:rsidRDefault="009924CB">
      <w:r>
        <w:t xml:space="preserve">Atentamente, </w:t>
      </w:r>
    </w:p>
    <w:tbl>
      <w:tblPr>
        <w:tblStyle w:val="a"/>
        <w:tblW w:w="8838" w:type="dxa"/>
        <w:tblInd w:w="0" w:type="dxa"/>
        <w:tblLayout w:type="fixed"/>
        <w:tblLook w:val="0600" w:firstRow="0" w:lastRow="0" w:firstColumn="0" w:lastColumn="0" w:noHBand="1" w:noVBand="1"/>
      </w:tblPr>
      <w:tblGrid>
        <w:gridCol w:w="4419"/>
        <w:gridCol w:w="4419"/>
      </w:tblGrid>
      <w:tr w:rsidR="00894448" w:rsidTr="003141FC">
        <w:trPr>
          <w:trHeight w:val="2325"/>
        </w:trPr>
        <w:tc>
          <w:tcPr>
            <w:tcW w:w="4419" w:type="dxa"/>
            <w:tcMar>
              <w:top w:w="0" w:type="dxa"/>
              <w:left w:w="100" w:type="dxa"/>
              <w:bottom w:w="0" w:type="dxa"/>
              <w:right w:w="100" w:type="dxa"/>
            </w:tcMar>
          </w:tcPr>
          <w:p w:rsidR="00894448" w:rsidRDefault="00894448" w:rsidP="003141FC"/>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p>
          <w:p w:rsidR="00894448" w:rsidRDefault="00894448" w:rsidP="003141FC">
            <w:pPr>
              <w:jc w:val="center"/>
              <w:rPr>
                <w:b/>
              </w:rPr>
            </w:pPr>
            <w:r>
              <w:rPr>
                <w:b/>
              </w:rPr>
              <w:t xml:space="preserve">ALEXANDER GUARÍN SILVA </w:t>
            </w:r>
          </w:p>
          <w:p w:rsidR="00894448" w:rsidRDefault="00894448" w:rsidP="003141FC">
            <w:pPr>
              <w:jc w:val="center"/>
              <w:rPr>
                <w:b/>
              </w:rPr>
            </w:pPr>
            <w:r>
              <w:rPr>
                <w:b/>
              </w:rPr>
              <w:t xml:space="preserve">Representante a la Cámara </w:t>
            </w:r>
          </w:p>
          <w:p w:rsidR="00894448" w:rsidRDefault="00894448" w:rsidP="003141FC">
            <w:pPr>
              <w:jc w:val="center"/>
            </w:pPr>
            <w:r>
              <w:rPr>
                <w:b/>
              </w:rPr>
              <w:t>Departamento del Guainía</w:t>
            </w:r>
            <w:r>
              <w:t xml:space="preserve"> </w:t>
            </w:r>
          </w:p>
        </w:tc>
        <w:tc>
          <w:tcPr>
            <w:tcW w:w="4419" w:type="dxa"/>
            <w:tcMar>
              <w:top w:w="0" w:type="dxa"/>
              <w:left w:w="100" w:type="dxa"/>
              <w:bottom w:w="0" w:type="dxa"/>
              <w:right w:w="100" w:type="dxa"/>
            </w:tcMar>
          </w:tcPr>
          <w:p w:rsidR="00894448" w:rsidRDefault="00894448" w:rsidP="003141FC">
            <w:pPr>
              <w:spacing w:before="240" w:line="276" w:lineRule="auto"/>
              <w:jc w:val="both"/>
            </w:pPr>
            <w:r>
              <w:t xml:space="preserve"> </w:t>
            </w:r>
          </w:p>
          <w:p w:rsidR="00894448" w:rsidRDefault="00894448" w:rsidP="003141FC">
            <w:pPr>
              <w:spacing w:before="240" w:line="276" w:lineRule="auto"/>
              <w:jc w:val="both"/>
            </w:pPr>
          </w:p>
          <w:p w:rsidR="00894448" w:rsidRDefault="00894448" w:rsidP="003141FC">
            <w:pPr>
              <w:spacing w:before="240" w:line="276" w:lineRule="auto"/>
              <w:jc w:val="both"/>
            </w:pPr>
          </w:p>
          <w:p w:rsidR="00894448" w:rsidRDefault="00894448" w:rsidP="003141FC">
            <w:pPr>
              <w:spacing w:line="276" w:lineRule="auto"/>
              <w:jc w:val="both"/>
              <w:rPr>
                <w:b/>
              </w:rPr>
            </w:pPr>
          </w:p>
          <w:p w:rsidR="00894448" w:rsidRDefault="00894448" w:rsidP="003141FC">
            <w:pPr>
              <w:spacing w:line="276" w:lineRule="auto"/>
              <w:jc w:val="both"/>
              <w:rPr>
                <w:b/>
              </w:rPr>
            </w:pPr>
            <w:r>
              <w:rPr>
                <w:b/>
              </w:rPr>
              <w:t xml:space="preserve">        MILENE JARAVA DÍAZ</w:t>
            </w:r>
          </w:p>
          <w:p w:rsidR="00894448" w:rsidRDefault="00894448" w:rsidP="003141FC">
            <w:pPr>
              <w:spacing w:line="276" w:lineRule="auto"/>
              <w:jc w:val="both"/>
            </w:pPr>
            <w:r>
              <w:t xml:space="preserve">        Representante a la Cámara</w:t>
            </w:r>
          </w:p>
          <w:p w:rsidR="00894448" w:rsidRDefault="00894448" w:rsidP="003141FC">
            <w:pPr>
              <w:spacing w:line="276" w:lineRule="auto"/>
              <w:jc w:val="both"/>
            </w:pPr>
            <w:r>
              <w:t xml:space="preserve">         Departamento de Sucre</w:t>
            </w:r>
          </w:p>
        </w:tc>
      </w:tr>
      <w:tr w:rsidR="00894448" w:rsidTr="003141FC">
        <w:trPr>
          <w:trHeight w:val="2325"/>
        </w:trPr>
        <w:tc>
          <w:tcPr>
            <w:tcW w:w="4419" w:type="dxa"/>
            <w:tcMar>
              <w:top w:w="0" w:type="dxa"/>
              <w:left w:w="100" w:type="dxa"/>
              <w:bottom w:w="0" w:type="dxa"/>
              <w:right w:w="100" w:type="dxa"/>
            </w:tcMar>
          </w:tcPr>
          <w:p w:rsidR="00894448" w:rsidRDefault="00894448" w:rsidP="003141FC">
            <w:pPr>
              <w:spacing w:before="240" w:line="276" w:lineRule="auto"/>
              <w:jc w:val="both"/>
              <w:rPr>
                <w:noProof/>
                <w:lang w:val="es-CO"/>
              </w:rPr>
            </w:pPr>
          </w:p>
          <w:p w:rsidR="007C0347" w:rsidRDefault="007C0347" w:rsidP="003141FC">
            <w:pPr>
              <w:spacing w:before="240" w:line="276" w:lineRule="auto"/>
              <w:jc w:val="both"/>
            </w:pPr>
          </w:p>
          <w:p w:rsidR="00894448" w:rsidRDefault="00894448" w:rsidP="003141FC">
            <w:pPr>
              <w:rPr>
                <w:b/>
              </w:rPr>
            </w:pPr>
            <w:r>
              <w:rPr>
                <w:b/>
              </w:rPr>
              <w:t xml:space="preserve">JOSE ELIECER SALAZAR LÓPEZ </w:t>
            </w:r>
          </w:p>
          <w:p w:rsidR="00894448" w:rsidRDefault="00894448" w:rsidP="003141FC">
            <w:pPr>
              <w:jc w:val="center"/>
              <w:rPr>
                <w:b/>
              </w:rPr>
            </w:pPr>
            <w:r>
              <w:rPr>
                <w:b/>
              </w:rPr>
              <w:t xml:space="preserve">Representante a la Cámara </w:t>
            </w:r>
          </w:p>
          <w:p w:rsidR="00894448" w:rsidRDefault="00894448" w:rsidP="003141FC">
            <w:pPr>
              <w:jc w:val="center"/>
              <w:rPr>
                <w:rFonts w:ascii="Arial Narrow" w:eastAsia="Arial Narrow" w:hAnsi="Arial Narrow" w:cs="Arial Narrow"/>
                <w:b/>
                <w:color w:val="333333"/>
              </w:rPr>
            </w:pPr>
            <w:r>
              <w:rPr>
                <w:b/>
              </w:rPr>
              <w:t>Departamento del Cesar</w:t>
            </w:r>
          </w:p>
          <w:p w:rsidR="00894448" w:rsidRDefault="00894448" w:rsidP="003141FC"/>
        </w:tc>
        <w:tc>
          <w:tcPr>
            <w:tcW w:w="4419" w:type="dxa"/>
            <w:tcMar>
              <w:top w:w="0" w:type="dxa"/>
              <w:left w:w="100" w:type="dxa"/>
              <w:bottom w:w="0" w:type="dxa"/>
              <w:right w:w="100" w:type="dxa"/>
            </w:tcMar>
          </w:tcPr>
          <w:p w:rsidR="00894448" w:rsidRDefault="00894448" w:rsidP="003141FC">
            <w:pPr>
              <w:spacing w:before="240" w:line="276" w:lineRule="auto"/>
              <w:jc w:val="both"/>
            </w:pPr>
          </w:p>
        </w:tc>
      </w:tr>
    </w:tbl>
    <w:p w:rsidR="00C26006" w:rsidRDefault="00C26006" w:rsidP="00894448"/>
    <w:sectPr w:rsidR="00C26006">
      <w:headerReference w:type="default" r:id="rId10"/>
      <w:footerReference w:type="default" r:id="rId11"/>
      <w:pgSz w:w="12240" w:h="15840"/>
      <w:pgMar w:top="2127" w:right="1701" w:bottom="1134" w:left="170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89" w:rsidRDefault="005C2889">
      <w:r>
        <w:separator/>
      </w:r>
    </w:p>
  </w:endnote>
  <w:endnote w:type="continuationSeparator" w:id="0">
    <w:p w:rsidR="005C2889" w:rsidRDefault="005C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wentieth Century">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06" w:rsidRDefault="009924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C0347">
      <w:rPr>
        <w:b/>
        <w:noProof/>
        <w:color w:val="000000"/>
      </w:rPr>
      <w:t>15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C0347">
      <w:rPr>
        <w:b/>
        <w:noProof/>
        <w:color w:val="000000"/>
      </w:rPr>
      <w:t>16</w:t>
    </w:r>
    <w:r>
      <w:rPr>
        <w:b/>
        <w:color w:val="000000"/>
      </w:rPr>
      <w:fldChar w:fldCharType="end"/>
    </w:r>
    <w:r>
      <w:rPr>
        <w:noProof/>
        <w:lang w:val="es-CO"/>
      </w:rPr>
      <w:drawing>
        <wp:anchor distT="0" distB="0" distL="114300" distR="114300" simplePos="0" relativeHeight="251661312" behindDoc="0" locked="0" layoutInCell="1" hidden="0" allowOverlap="1">
          <wp:simplePos x="0" y="0"/>
          <wp:positionH relativeFrom="column">
            <wp:posOffset>-634999</wp:posOffset>
          </wp:positionH>
          <wp:positionV relativeFrom="paragraph">
            <wp:posOffset>254000</wp:posOffset>
          </wp:positionV>
          <wp:extent cx="1638300" cy="454660"/>
          <wp:effectExtent l="0" t="0" r="0" b="0"/>
          <wp:wrapNone/>
          <wp:docPr id="95" name="image2.png" descr="IMG_3185"/>
          <wp:cNvGraphicFramePr/>
          <a:graphic xmlns:a="http://schemas.openxmlformats.org/drawingml/2006/main">
            <a:graphicData uri="http://schemas.openxmlformats.org/drawingml/2006/picture">
              <pic:pic xmlns:pic="http://schemas.openxmlformats.org/drawingml/2006/picture">
                <pic:nvPicPr>
                  <pic:cNvPr id="0" name="image2.png" descr="IMG_3185"/>
                  <pic:cNvPicPr preferRelativeResize="0"/>
                </pic:nvPicPr>
                <pic:blipFill>
                  <a:blip r:embed="rId1"/>
                  <a:srcRect/>
                  <a:stretch>
                    <a:fillRect/>
                  </a:stretch>
                </pic:blipFill>
                <pic:spPr>
                  <a:xfrm>
                    <a:off x="0" y="0"/>
                    <a:ext cx="1638300" cy="454660"/>
                  </a:xfrm>
                  <a:prstGeom prst="rect">
                    <a:avLst/>
                  </a:prstGeom>
                  <a:ln/>
                </pic:spPr>
              </pic:pic>
            </a:graphicData>
          </a:graphic>
        </wp:anchor>
      </w:drawing>
    </w:r>
  </w:p>
  <w:p w:rsidR="00C26006" w:rsidRDefault="009924CB">
    <w:pPr>
      <w:pBdr>
        <w:top w:val="nil"/>
        <w:left w:val="nil"/>
        <w:bottom w:val="nil"/>
        <w:right w:val="nil"/>
        <w:between w:val="nil"/>
      </w:pBdr>
      <w:tabs>
        <w:tab w:val="center" w:pos="4419"/>
        <w:tab w:val="right" w:pos="8838"/>
      </w:tabs>
      <w:jc w:val="center"/>
      <w:rPr>
        <w:color w:val="000000"/>
      </w:rPr>
    </w:pPr>
    <w:r>
      <w:rPr>
        <w:rFonts w:ascii="Constantia" w:eastAsia="Constantia" w:hAnsi="Constantia" w:cs="Constantia"/>
        <w:noProof/>
        <w:color w:val="000000"/>
        <w:lang w:val="es-CO"/>
      </w:rPr>
      <w:drawing>
        <wp:inline distT="0" distB="0" distL="0" distR="0">
          <wp:extent cx="3124200" cy="266700"/>
          <wp:effectExtent l="0" t="0" r="0" b="0"/>
          <wp:docPr id="1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124200" cy="266700"/>
                  </a:xfrm>
                  <a:prstGeom prst="rect">
                    <a:avLst/>
                  </a:prstGeom>
                  <a:ln/>
                </pic:spPr>
              </pic:pic>
            </a:graphicData>
          </a:graphic>
        </wp:inline>
      </w:drawing>
    </w:r>
  </w:p>
  <w:p w:rsidR="00C26006" w:rsidRDefault="009924CB">
    <w:pPr>
      <w:pBdr>
        <w:top w:val="nil"/>
        <w:left w:val="nil"/>
        <w:bottom w:val="nil"/>
        <w:right w:val="nil"/>
        <w:between w:val="nil"/>
      </w:pBdr>
      <w:tabs>
        <w:tab w:val="center" w:pos="4419"/>
        <w:tab w:val="right" w:pos="8838"/>
      </w:tabs>
      <w:jc w:val="center"/>
      <w:rPr>
        <w:color w:val="948A54"/>
      </w:rPr>
    </w:pPr>
    <w:r>
      <w:rPr>
        <w:color w:val="948A54"/>
      </w:rPr>
      <w:t>Carrera 7 No. 8 – 62 Edificio Nuevo del Congreso</w:t>
    </w:r>
    <w:r>
      <w:rPr>
        <w:color w:val="948A54"/>
      </w:rPr>
      <w:br/>
      <w:t>Oficina 544B Ext. 3101 - 3102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89" w:rsidRDefault="005C2889">
      <w:r>
        <w:separator/>
      </w:r>
    </w:p>
  </w:footnote>
  <w:footnote w:type="continuationSeparator" w:id="0">
    <w:p w:rsidR="005C2889" w:rsidRDefault="005C2889">
      <w:r>
        <w:continuationSeparator/>
      </w:r>
    </w:p>
  </w:footnote>
  <w:footnote w:id="1">
    <w:p w:rsidR="00C26006" w:rsidRDefault="009924CB">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Cámara de Representantes. Proyectos de Ley, Legislatura 2015 – 2016. República de Colombia. http://www.camara.gov.co/prevencion-sustancias-psicoactivas</w:t>
      </w:r>
    </w:p>
  </w:footnote>
  <w:footnote w:id="2">
    <w:p w:rsidR="00C26006" w:rsidRDefault="009924CB">
      <w:pPr>
        <w:pBdr>
          <w:top w:val="nil"/>
          <w:left w:val="nil"/>
          <w:bottom w:val="nil"/>
          <w:right w:val="nil"/>
          <w:between w:val="nil"/>
        </w:pBdr>
        <w:rPr>
          <w:color w:val="000000"/>
        </w:rPr>
      </w:pPr>
      <w:r>
        <w:rPr>
          <w:vertAlign w:val="superscript"/>
        </w:rPr>
        <w:footnoteRef/>
      </w:r>
      <w:r>
        <w:rPr>
          <w:rFonts w:ascii="Arial Narrow" w:eastAsia="Arial Narrow" w:hAnsi="Arial Narrow" w:cs="Arial Narrow"/>
          <w:color w:val="000000"/>
          <w:sz w:val="18"/>
          <w:szCs w:val="18"/>
        </w:rPr>
        <w:t xml:space="preserve"> Cámara de Representantes. Proyectos de Ley, Legislatura 2017 – 2018. República de Colombia. http://www.camara.gov.co/consumo-de-sustancias-psicoactivas</w:t>
      </w:r>
    </w:p>
  </w:footnote>
  <w:footnote w:id="3">
    <w:p w:rsidR="00C26006" w:rsidRDefault="009924CB">
      <w:pPr>
        <w:pBdr>
          <w:top w:val="nil"/>
          <w:left w:val="nil"/>
          <w:bottom w:val="nil"/>
          <w:right w:val="nil"/>
          <w:between w:val="nil"/>
        </w:pBdr>
        <w:rPr>
          <w:color w:val="000000"/>
        </w:rPr>
      </w:pPr>
      <w:r>
        <w:rPr>
          <w:vertAlign w:val="superscript"/>
        </w:rPr>
        <w:footnoteRef/>
      </w:r>
      <w:r>
        <w:rPr>
          <w:color w:val="000000"/>
        </w:rPr>
        <w:t xml:space="preserve"> </w:t>
      </w:r>
      <w:r>
        <w:rPr>
          <w:rFonts w:ascii="Arial Narrow" w:eastAsia="Arial Narrow" w:hAnsi="Arial Narrow" w:cs="Arial Narrow"/>
          <w:color w:val="000000"/>
          <w:sz w:val="18"/>
          <w:szCs w:val="18"/>
        </w:rPr>
        <w:t>http://leyes.senado.gov.co/proyectos/index.php/proyectos-ley/cuatrenio-2018-2022/2020-2021/article/50-por-medio-del-cual-se-fortalecen-las-capacidades-de-las-comunidades-educativas-en-prevencion-del-consumo-de-sustancias-psicoactivas-en-las-instituciones-de-educacion-basica-y-media-del-pais</w:t>
      </w:r>
    </w:p>
  </w:footnote>
  <w:footnote w:id="4">
    <w:p w:rsidR="00C26006" w:rsidRDefault="009924CB">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color w:val="000000"/>
        </w:rPr>
        <w:t xml:space="preserve"> </w:t>
      </w:r>
      <w:r>
        <w:rPr>
          <w:rFonts w:ascii="Arial Narrow" w:eastAsia="Arial Narrow" w:hAnsi="Arial Narrow" w:cs="Arial Narrow"/>
          <w:color w:val="000000"/>
          <w:sz w:val="18"/>
          <w:szCs w:val="18"/>
        </w:rPr>
        <w:t>Senado de la República. Ley 1566 de 2012. Por la cual se dictan normas para garantizar la atención integral a personas que consumen sustancias psicoactivas y se crea el premio nacional “Entidad comprometida con la prevención del consumo, abuso y adicción a sustancias psicoactivas”.</w:t>
      </w:r>
    </w:p>
  </w:footnote>
  <w:footnote w:id="5">
    <w:p w:rsidR="00C26006" w:rsidRDefault="009924CB">
      <w:pPr>
        <w:pBdr>
          <w:top w:val="nil"/>
          <w:left w:val="nil"/>
          <w:bottom w:val="nil"/>
          <w:right w:val="nil"/>
          <w:between w:val="nil"/>
        </w:pBdr>
        <w:rPr>
          <w:color w:val="000000"/>
        </w:rPr>
      </w:pPr>
      <w:r>
        <w:rPr>
          <w:vertAlign w:val="superscript"/>
        </w:rPr>
        <w:footnoteRef/>
      </w:r>
      <w:r>
        <w:rPr>
          <w:rFonts w:ascii="Arial Narrow" w:eastAsia="Arial Narrow" w:hAnsi="Arial Narrow" w:cs="Arial Narrow"/>
          <w:color w:val="000000"/>
          <w:sz w:val="18"/>
          <w:szCs w:val="18"/>
        </w:rPr>
        <w:t xml:space="preserve"> Ministerio de Salud y Protección Social. 2020. https://www.minsalud.gov.co/Paginas/Minsalud-entrega-premio-por-buenas-practicas-en-reduccion-deconsumo-de-sustancias-psicoactivas.aspx</w:t>
      </w:r>
    </w:p>
  </w:footnote>
  <w:footnote w:id="6">
    <w:p w:rsidR="00C26006" w:rsidRDefault="009924CB">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Morales, M. &amp; Aguirre, E. (2018). Involucramiento parental basado en el hogar y desempeño académico en la adolescencia. Revista Colombiana de Psicología, 27, 137-160 URL: http://www.scielo.org.co/pdf/rcps/v27n2/0121-5469-rcps-27-02-137.pdf</w:t>
      </w:r>
    </w:p>
  </w:footnote>
  <w:footnote w:id="7">
    <w:p w:rsidR="00C26006" w:rsidRDefault="009924CB">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9 Morales, L. E., Rodríguez, M. &amp; Cano, V. H. (2017). La actividad física como factor protector del consumo de sustancias psicoactivas. Artículo como trabajo de grado. Universidad de San Buenaventura Medellín, Facultad de Psicología. URL: http://bibliotecadigital.usbcali.edu.co/bitstream/10819/3758/3/Actividad_Fisica_Factor_Morales_2017.p </w:t>
      </w:r>
      <w:proofErr w:type="spellStart"/>
      <w:r>
        <w:rPr>
          <w:rFonts w:ascii="Arial Narrow" w:eastAsia="Arial Narrow" w:hAnsi="Arial Narrow" w:cs="Arial Narrow"/>
          <w:color w:val="000000"/>
          <w:sz w:val="18"/>
          <w:szCs w:val="18"/>
        </w:rPr>
        <w:t>df</w:t>
      </w:r>
      <w:proofErr w:type="spellEnd"/>
    </w:p>
  </w:footnote>
  <w:footnote w:id="8">
    <w:p w:rsidR="00C26006" w:rsidRDefault="009924CB">
      <w:pPr>
        <w:pBdr>
          <w:top w:val="nil"/>
          <w:left w:val="nil"/>
          <w:bottom w:val="nil"/>
          <w:right w:val="nil"/>
          <w:between w:val="nil"/>
        </w:pBdr>
        <w:rPr>
          <w:color w:val="000000"/>
        </w:rPr>
      </w:pPr>
      <w:r>
        <w:rPr>
          <w:vertAlign w:val="superscript"/>
        </w:rPr>
        <w:footnoteRef/>
      </w:r>
      <w:r>
        <w:rPr>
          <w:rFonts w:ascii="Arial Narrow" w:eastAsia="Arial Narrow" w:hAnsi="Arial Narrow" w:cs="Arial Narrow"/>
          <w:color w:val="000000"/>
          <w:sz w:val="18"/>
          <w:szCs w:val="18"/>
        </w:rPr>
        <w:t xml:space="preserve"> Organización de las Naciones Unidas. (2003). Nueva York. El deporte como instrumento de prevención del uso indebido de drogas. Oficina de las Naciones Unidas contra la droga y el delito. URL: https://www.unodc.org/pdf/youthnet/handbook_sport_spanish.pdf</w:t>
      </w:r>
    </w:p>
  </w:footnote>
  <w:footnote w:id="9">
    <w:p w:rsidR="00C26006" w:rsidRDefault="009924CB">
      <w:pPr>
        <w:pBdr>
          <w:top w:val="nil"/>
          <w:left w:val="nil"/>
          <w:bottom w:val="nil"/>
          <w:right w:val="nil"/>
          <w:between w:val="nil"/>
        </w:pBdr>
        <w:rPr>
          <w:color w:val="000000"/>
        </w:rPr>
      </w:pPr>
      <w:r>
        <w:rPr>
          <w:vertAlign w:val="superscript"/>
        </w:rPr>
        <w:footnoteRef/>
      </w:r>
      <w:r>
        <w:rPr>
          <w:color w:val="000000"/>
        </w:rPr>
        <w:t xml:space="preserve"> </w:t>
      </w:r>
      <w:r>
        <w:rPr>
          <w:rFonts w:ascii="Arial Narrow" w:eastAsia="Arial Narrow" w:hAnsi="Arial Narrow" w:cs="Arial Narrow"/>
          <w:color w:val="000000"/>
          <w:sz w:val="18"/>
          <w:szCs w:val="18"/>
        </w:rPr>
        <w:t>https://www.minsalud.gov.co/sites/rid/Lists/BibliotecaDigital/RIDE/VS/PP/mapeo-zonas-comportamientos-consumo-ley-2000-2019.pdf</w:t>
      </w:r>
    </w:p>
  </w:footnote>
  <w:footnote w:id="10">
    <w:p w:rsidR="00C26006" w:rsidRDefault="009924CB">
      <w:pPr>
        <w:pBdr>
          <w:top w:val="nil"/>
          <w:left w:val="nil"/>
          <w:bottom w:val="nil"/>
          <w:right w:val="nil"/>
          <w:between w:val="nil"/>
        </w:pBdr>
        <w:rPr>
          <w:rFonts w:ascii="Arial Narrow" w:eastAsia="Arial Narrow" w:hAnsi="Arial Narrow" w:cs="Arial Narrow"/>
          <w:color w:val="000000"/>
        </w:rPr>
      </w:pPr>
      <w:r>
        <w:rPr>
          <w:vertAlign w:val="superscript"/>
        </w:rPr>
        <w:footnoteRef/>
      </w:r>
      <w:r>
        <w:rPr>
          <w:rFonts w:ascii="Arial Narrow" w:eastAsia="Arial Narrow" w:hAnsi="Arial Narrow" w:cs="Arial Narrow"/>
          <w:color w:val="000000"/>
          <w:sz w:val="18"/>
          <w:szCs w:val="18"/>
        </w:rPr>
        <w:t xml:space="preserve"> Constitución Política de Colombia 1991-art. 44</w:t>
      </w:r>
    </w:p>
  </w:footnote>
  <w:footnote w:id="11">
    <w:p w:rsidR="00C26006" w:rsidRDefault="009924CB">
      <w:pPr>
        <w:pBdr>
          <w:top w:val="nil"/>
          <w:left w:val="nil"/>
          <w:bottom w:val="nil"/>
          <w:right w:val="nil"/>
          <w:between w:val="nil"/>
        </w:pBdr>
        <w:rPr>
          <w:rFonts w:ascii="Arial Narrow" w:eastAsia="Arial Narrow" w:hAnsi="Arial Narrow" w:cs="Arial Narrow"/>
          <w:color w:val="000000"/>
        </w:rPr>
      </w:pPr>
      <w:r>
        <w:rPr>
          <w:vertAlign w:val="superscript"/>
        </w:rPr>
        <w:footnoteRef/>
      </w:r>
      <w:r>
        <w:rPr>
          <w:rFonts w:ascii="Arial Narrow" w:eastAsia="Arial Narrow" w:hAnsi="Arial Narrow" w:cs="Arial Narrow"/>
          <w:color w:val="000000"/>
          <w:sz w:val="18"/>
          <w:szCs w:val="18"/>
        </w:rPr>
        <w:t xml:space="preserve"> Senado de la República. Ley 1620 de 2013. “Por la cual se crea el Sistema Nacional de Convivencia Escolar y Formación para el Ejercicio de los Derechos Humanos, la Educación para la Sexualidad y la Prevención y Mitigación de la Violencia Escolar” http://www.secretariasenado.gov.co/senado/basedoc/ley_1620_2013.html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06" w:rsidRDefault="009924CB">
    <w:pPr>
      <w:rPr>
        <w:color w:val="000000"/>
      </w:rPr>
    </w:pPr>
    <w:r>
      <w:rPr>
        <w:noProof/>
        <w:lang w:val="es-CO"/>
      </w:rPr>
      <w:drawing>
        <wp:anchor distT="0" distB="0" distL="114300" distR="114300" simplePos="0" relativeHeight="251658240" behindDoc="0" locked="0" layoutInCell="1" hidden="0" allowOverlap="1">
          <wp:simplePos x="0" y="0"/>
          <wp:positionH relativeFrom="column">
            <wp:posOffset>1931670</wp:posOffset>
          </wp:positionH>
          <wp:positionV relativeFrom="paragraph">
            <wp:posOffset>14604</wp:posOffset>
          </wp:positionV>
          <wp:extent cx="1929765" cy="1084580"/>
          <wp:effectExtent l="0" t="0" r="0" b="0"/>
          <wp:wrapNone/>
          <wp:docPr id="94" name="image1.png" descr="LOGO CAM SIN FONDO 1 (1)"/>
          <wp:cNvGraphicFramePr/>
          <a:graphic xmlns:a="http://schemas.openxmlformats.org/drawingml/2006/main">
            <a:graphicData uri="http://schemas.openxmlformats.org/drawingml/2006/picture">
              <pic:pic xmlns:pic="http://schemas.openxmlformats.org/drawingml/2006/picture">
                <pic:nvPicPr>
                  <pic:cNvPr id="0" name="image1.png" descr="LOGO CAM SIN FONDO 1 (1)"/>
                  <pic:cNvPicPr preferRelativeResize="0"/>
                </pic:nvPicPr>
                <pic:blipFill>
                  <a:blip r:embed="rId1"/>
                  <a:srcRect/>
                  <a:stretch>
                    <a:fillRect/>
                  </a:stretch>
                </pic:blipFill>
                <pic:spPr>
                  <a:xfrm>
                    <a:off x="0" y="0"/>
                    <a:ext cx="1929765" cy="1084580"/>
                  </a:xfrm>
                  <a:prstGeom prst="rect">
                    <a:avLst/>
                  </a:prstGeom>
                  <a:ln/>
                </pic:spPr>
              </pic:pic>
            </a:graphicData>
          </a:graphic>
        </wp:anchor>
      </w:drawing>
    </w:r>
  </w:p>
  <w:p w:rsidR="00C26006" w:rsidRDefault="009924CB">
    <w:pPr>
      <w:pBdr>
        <w:top w:val="nil"/>
        <w:left w:val="nil"/>
        <w:bottom w:val="nil"/>
        <w:right w:val="nil"/>
        <w:between w:val="nil"/>
      </w:pBdr>
      <w:rPr>
        <w:color w:val="000000"/>
      </w:rPr>
    </w:pPr>
    <w:r>
      <w:rPr>
        <w:color w:val="000000"/>
      </w:rPr>
      <w:tab/>
    </w:r>
    <w:r>
      <w:rPr>
        <w:noProof/>
        <w:lang w:val="es-CO"/>
      </w:rPr>
      <w:drawing>
        <wp:anchor distT="0" distB="0" distL="114300" distR="114300" simplePos="0" relativeHeight="251659264" behindDoc="0" locked="0" layoutInCell="1" hidden="0" allowOverlap="1">
          <wp:simplePos x="0" y="0"/>
          <wp:positionH relativeFrom="column">
            <wp:posOffset>-642619</wp:posOffset>
          </wp:positionH>
          <wp:positionV relativeFrom="paragraph">
            <wp:posOffset>98425</wp:posOffset>
          </wp:positionV>
          <wp:extent cx="2692400" cy="603885"/>
          <wp:effectExtent l="0" t="0" r="0" b="0"/>
          <wp:wrapNone/>
          <wp:docPr id="103" name="image9.png" descr="ALEX GUARIN 1"/>
          <wp:cNvGraphicFramePr/>
          <a:graphic xmlns:a="http://schemas.openxmlformats.org/drawingml/2006/main">
            <a:graphicData uri="http://schemas.openxmlformats.org/drawingml/2006/picture">
              <pic:pic xmlns:pic="http://schemas.openxmlformats.org/drawingml/2006/picture">
                <pic:nvPicPr>
                  <pic:cNvPr id="0" name="image9.png" descr="ALEX GUARIN 1"/>
                  <pic:cNvPicPr preferRelativeResize="0"/>
                </pic:nvPicPr>
                <pic:blipFill>
                  <a:blip r:embed="rId2"/>
                  <a:srcRect/>
                  <a:stretch>
                    <a:fillRect/>
                  </a:stretch>
                </pic:blipFill>
                <pic:spPr>
                  <a:xfrm>
                    <a:off x="0" y="0"/>
                    <a:ext cx="2692400" cy="603885"/>
                  </a:xfrm>
                  <a:prstGeom prst="rect">
                    <a:avLst/>
                  </a:prstGeom>
                  <a:ln/>
                </pic:spPr>
              </pic:pic>
            </a:graphicData>
          </a:graphic>
        </wp:anchor>
      </w:drawing>
    </w:r>
  </w:p>
  <w:p w:rsidR="00C26006" w:rsidRDefault="009924CB">
    <w:pPr>
      <w:pBdr>
        <w:top w:val="nil"/>
        <w:left w:val="nil"/>
        <w:bottom w:val="nil"/>
        <w:right w:val="nil"/>
        <w:between w:val="nil"/>
      </w:pBdr>
      <w:rPr>
        <w:color w:val="000000"/>
      </w:rPr>
    </w:pPr>
    <w:r>
      <w:rPr>
        <w:noProof/>
        <w:lang w:val="es-CO"/>
      </w:rPr>
      <w:drawing>
        <wp:anchor distT="0" distB="0" distL="114300" distR="114300" simplePos="0" relativeHeight="251660288" behindDoc="0" locked="0" layoutInCell="1" hidden="0" allowOverlap="1">
          <wp:simplePos x="0" y="0"/>
          <wp:positionH relativeFrom="column">
            <wp:posOffset>3752215</wp:posOffset>
          </wp:positionH>
          <wp:positionV relativeFrom="paragraph">
            <wp:posOffset>47625</wp:posOffset>
          </wp:positionV>
          <wp:extent cx="2408555" cy="539115"/>
          <wp:effectExtent l="0" t="0" r="0" b="0"/>
          <wp:wrapNone/>
          <wp:docPr id="104" name="image8.png" descr="ALEX GUARIN 2"/>
          <wp:cNvGraphicFramePr/>
          <a:graphic xmlns:a="http://schemas.openxmlformats.org/drawingml/2006/main">
            <a:graphicData uri="http://schemas.openxmlformats.org/drawingml/2006/picture">
              <pic:pic xmlns:pic="http://schemas.openxmlformats.org/drawingml/2006/picture">
                <pic:nvPicPr>
                  <pic:cNvPr id="0" name="image8.png" descr="ALEX GUARIN 2"/>
                  <pic:cNvPicPr preferRelativeResize="0"/>
                </pic:nvPicPr>
                <pic:blipFill>
                  <a:blip r:embed="rId3"/>
                  <a:srcRect/>
                  <a:stretch>
                    <a:fillRect/>
                  </a:stretch>
                </pic:blipFill>
                <pic:spPr>
                  <a:xfrm>
                    <a:off x="0" y="0"/>
                    <a:ext cx="2408555" cy="539115"/>
                  </a:xfrm>
                  <a:prstGeom prst="rect">
                    <a:avLst/>
                  </a:prstGeom>
                  <a:ln/>
                </pic:spPr>
              </pic:pic>
            </a:graphicData>
          </a:graphic>
        </wp:anchor>
      </w:drawing>
    </w:r>
  </w:p>
  <w:p w:rsidR="00C26006" w:rsidRDefault="009924CB">
    <w:pPr>
      <w:pBdr>
        <w:top w:val="nil"/>
        <w:left w:val="nil"/>
        <w:bottom w:val="nil"/>
        <w:right w:val="nil"/>
        <w:between w:val="nil"/>
      </w:pBdr>
      <w:rPr>
        <w:color w:val="000000"/>
      </w:rPr>
    </w:pPr>
    <w:r>
      <w:rPr>
        <w:color w:val="000000"/>
      </w:rPr>
      <w:tab/>
    </w:r>
  </w:p>
  <w:p w:rsidR="00C26006" w:rsidRDefault="00C26006">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85D"/>
    <w:multiLevelType w:val="multilevel"/>
    <w:tmpl w:val="BC58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0910BA"/>
    <w:multiLevelType w:val="multilevel"/>
    <w:tmpl w:val="AE3E3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4CBF1016"/>
    <w:multiLevelType w:val="multilevel"/>
    <w:tmpl w:val="99EEC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4317EF"/>
    <w:multiLevelType w:val="multilevel"/>
    <w:tmpl w:val="A92EEB0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C8661E"/>
    <w:multiLevelType w:val="multilevel"/>
    <w:tmpl w:val="9F9E03CC"/>
    <w:lvl w:ilvl="0">
      <w:start w:val="1"/>
      <w:numFmt w:val="decimal"/>
      <w:pStyle w:val="Artc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C52801"/>
    <w:multiLevelType w:val="multilevel"/>
    <w:tmpl w:val="E0DE2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06"/>
    <w:rsid w:val="00120A86"/>
    <w:rsid w:val="00143139"/>
    <w:rsid w:val="00435D26"/>
    <w:rsid w:val="005C2889"/>
    <w:rsid w:val="007C0347"/>
    <w:rsid w:val="00894448"/>
    <w:rsid w:val="009924CB"/>
    <w:rsid w:val="00C26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1C9C"/>
  <w15:docId w15:val="{B983BB07-2DBD-4E0E-B45B-E0182C4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pPr>
      <w:spacing w:before="240" w:after="60"/>
      <w:ind w:left="4320" w:hanging="720"/>
      <w:outlineLvl w:val="5"/>
    </w:pPr>
    <w:rPr>
      <w:b/>
      <w:sz w:val="22"/>
      <w:szCs w:val="22"/>
    </w:rPr>
  </w:style>
  <w:style w:type="paragraph" w:styleId="Ttulo7">
    <w:name w:val="heading 7"/>
    <w:basedOn w:val="Normal"/>
    <w:next w:val="Normal"/>
    <w:link w:val="Ttulo7Car"/>
    <w:uiPriority w:val="9"/>
    <w:unhideWhenUsed/>
    <w:qFormat/>
    <w:rsid w:val="005A6E79"/>
    <w:pPr>
      <w:numPr>
        <w:ilvl w:val="6"/>
        <w:numId w:val="1"/>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5A6E79"/>
    <w:pPr>
      <w:numPr>
        <w:ilvl w:val="7"/>
        <w:numId w:val="1"/>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unhideWhenUsed/>
    <w:qFormat/>
    <w:rsid w:val="005A6E79"/>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line="276" w:lineRule="auto"/>
    </w:pPr>
    <w:rPr>
      <w:b/>
      <w:sz w:val="22"/>
      <w:szCs w:val="22"/>
    </w:rPr>
  </w:style>
  <w:style w:type="table" w:customStyle="1" w:styleId="TableNormal0">
    <w:name w:val="Table Normal"/>
    <w:tblPr>
      <w:tblCellMar>
        <w:top w:w="0" w:type="dxa"/>
        <w:left w:w="0" w:type="dxa"/>
        <w:bottom w:w="0" w:type="dxa"/>
        <w:right w:w="0" w:type="dxa"/>
      </w:tblCellMar>
    </w:tblPr>
  </w:style>
  <w:style w:type="paragraph" w:styleId="Encabezado">
    <w:name w:val="header"/>
    <w:aliases w:val="encabezado,h,h8,h9,h10,h18"/>
    <w:basedOn w:val="Normal"/>
    <w:link w:val="EncabezadoCar"/>
    <w:uiPriority w:val="99"/>
    <w:qFormat/>
    <w:rsid w:val="006A36AD"/>
    <w:pPr>
      <w:tabs>
        <w:tab w:val="center" w:pos="4252"/>
        <w:tab w:val="right" w:pos="8504"/>
      </w:tabs>
    </w:pPr>
  </w:style>
  <w:style w:type="character" w:customStyle="1" w:styleId="EncabezadoCar">
    <w:name w:val="Encabezado Car"/>
    <w:aliases w:val="encabezado Car,h Car,h8 Car,h9 Car,h10 Car,h18 Car"/>
    <w:basedOn w:val="Fuentedeprrafopredeter"/>
    <w:link w:val="Encabezado"/>
    <w:uiPriority w:val="99"/>
    <w:rsid w:val="006A36AD"/>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A36AD"/>
  </w:style>
  <w:style w:type="table" w:customStyle="1" w:styleId="Tablaconcuadrcula4">
    <w:name w:val="Tabla con cuadrícula4"/>
    <w:basedOn w:val="Tablanormal"/>
    <w:next w:val="Tablaconcuadrcula"/>
    <w:uiPriority w:val="5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6A36AD"/>
    <w:pPr>
      <w:autoSpaceDE w:val="0"/>
      <w:autoSpaceDN w:val="0"/>
      <w:adjustRightInd w:val="0"/>
      <w:spacing w:line="231" w:lineRule="atLeast"/>
    </w:pPr>
    <w:rPr>
      <w:lang w:val="es-CO"/>
    </w:rPr>
  </w:style>
  <w:style w:type="character" w:customStyle="1" w:styleId="A3">
    <w:name w:val="A3"/>
    <w:uiPriority w:val="99"/>
    <w:rsid w:val="006A36AD"/>
    <w:rPr>
      <w:color w:val="000000"/>
    </w:rPr>
  </w:style>
  <w:style w:type="table" w:styleId="Tablaconcuadrcula">
    <w:name w:val="Table Grid"/>
    <w:basedOn w:val="Tablanormal"/>
    <w:uiPriority w:val="39"/>
    <w:rsid w:val="006A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36AD"/>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6AD"/>
    <w:rPr>
      <w:rFonts w:ascii="Tahoma" w:eastAsia="Times New Roman" w:hAnsi="Tahoma" w:cs="Tahoma"/>
      <w:sz w:val="16"/>
      <w:szCs w:val="16"/>
      <w:lang w:val="es-ES" w:eastAsia="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8914E4"/>
    <w:pPr>
      <w:ind w:left="720"/>
      <w:contextualSpacing/>
    </w:pPr>
  </w:style>
  <w:style w:type="paragraph" w:styleId="Piedepgina">
    <w:name w:val="footer"/>
    <w:basedOn w:val="Normal"/>
    <w:link w:val="PiedepginaCar"/>
    <w:uiPriority w:val="99"/>
    <w:unhideWhenUsed/>
    <w:qFormat/>
    <w:rsid w:val="002D4A00"/>
    <w:pPr>
      <w:tabs>
        <w:tab w:val="center" w:pos="4419"/>
        <w:tab w:val="right" w:pos="8838"/>
      </w:tabs>
    </w:pPr>
  </w:style>
  <w:style w:type="character" w:customStyle="1" w:styleId="PiedepginaCar">
    <w:name w:val="Pie de página Car"/>
    <w:basedOn w:val="Fuentedeprrafopredeter"/>
    <w:link w:val="Piedepgina"/>
    <w:uiPriority w:val="99"/>
    <w:rsid w:val="002D4A00"/>
    <w:rPr>
      <w:rFonts w:ascii="Times New Roman" w:eastAsia="Times New Roman" w:hAnsi="Times New Roman" w:cs="Times New Roman"/>
      <w:sz w:val="24"/>
      <w:szCs w:val="24"/>
      <w:lang w:val="es-ES" w:eastAsia="es-ES"/>
    </w:rPr>
  </w:style>
  <w:style w:type="character" w:customStyle="1" w:styleId="SubttuloCar">
    <w:name w:val="Subtítulo Car"/>
    <w:basedOn w:val="Fuentedeprrafopredeter"/>
    <w:rsid w:val="00D41CA7"/>
    <w:rPr>
      <w:rFonts w:ascii="Tw Cen MT" w:eastAsia="Times New Roman" w:hAnsi="Tw Cen MT" w:cs="Times New Roman"/>
      <w:b/>
      <w:i/>
      <w:iCs/>
      <w:color w:val="000000"/>
      <w:sz w:val="24"/>
      <w:szCs w:val="26"/>
      <w:lang w:val="es-ES_tradnl" w:eastAsia="es-ES"/>
    </w:rPr>
  </w:style>
  <w:style w:type="paragraph" w:customStyle="1" w:styleId="Pa14">
    <w:name w:val="Pa14"/>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Pa16">
    <w:name w:val="Pa16"/>
    <w:basedOn w:val="Normal"/>
    <w:next w:val="Normal"/>
    <w:uiPriority w:val="99"/>
    <w:rsid w:val="00D41CA7"/>
    <w:pPr>
      <w:autoSpaceDE w:val="0"/>
      <w:autoSpaceDN w:val="0"/>
      <w:adjustRightInd w:val="0"/>
      <w:spacing w:line="231" w:lineRule="atLeast"/>
    </w:pPr>
    <w:rPr>
      <w:rFonts w:eastAsiaTheme="minorHAnsi"/>
      <w:lang w:val="es-CO" w:eastAsia="en-US"/>
    </w:rPr>
  </w:style>
  <w:style w:type="paragraph" w:customStyle="1" w:styleId="Default">
    <w:name w:val="Default"/>
    <w:rsid w:val="00C35D90"/>
    <w:pPr>
      <w:autoSpaceDE w:val="0"/>
      <w:autoSpaceDN w:val="0"/>
      <w:adjustRightInd w:val="0"/>
    </w:pPr>
    <w:rPr>
      <w:color w:val="000000"/>
    </w:rPr>
  </w:style>
  <w:style w:type="paragraph" w:customStyle="1" w:styleId="Pa17">
    <w:name w:val="Pa17"/>
    <w:basedOn w:val="Default"/>
    <w:next w:val="Default"/>
    <w:uiPriority w:val="99"/>
    <w:rsid w:val="00AD371D"/>
    <w:pPr>
      <w:spacing w:line="231" w:lineRule="atLeast"/>
    </w:pPr>
    <w:rPr>
      <w:color w:val="auto"/>
    </w:rPr>
  </w:style>
  <w:style w:type="paragraph" w:customStyle="1" w:styleId="Pa3">
    <w:name w:val="Pa3"/>
    <w:basedOn w:val="Default"/>
    <w:next w:val="Default"/>
    <w:uiPriority w:val="99"/>
    <w:rsid w:val="00AE220E"/>
    <w:pPr>
      <w:spacing w:line="241" w:lineRule="atLeast"/>
    </w:pPr>
    <w:rPr>
      <w:color w:val="auto"/>
    </w:rPr>
  </w:style>
  <w:style w:type="character" w:customStyle="1" w:styleId="A2">
    <w:name w:val="A2"/>
    <w:uiPriority w:val="99"/>
    <w:rsid w:val="00AE220E"/>
    <w:rPr>
      <w:color w:val="000000"/>
      <w:sz w:val="19"/>
      <w:szCs w:val="19"/>
    </w:rPr>
  </w:style>
  <w:style w:type="character" w:customStyle="1" w:styleId="A11">
    <w:name w:val="A11"/>
    <w:uiPriority w:val="99"/>
    <w:rsid w:val="00703F30"/>
    <w:rPr>
      <w:color w:val="000000"/>
      <w:sz w:val="18"/>
      <w:szCs w:val="18"/>
    </w:rPr>
  </w:style>
  <w:style w:type="character" w:customStyle="1" w:styleId="A13">
    <w:name w:val="A13"/>
    <w:uiPriority w:val="99"/>
    <w:rsid w:val="00703F30"/>
    <w:rPr>
      <w:b/>
      <w:bCs/>
      <w:color w:val="000000"/>
      <w:sz w:val="23"/>
      <w:szCs w:val="23"/>
      <w:u w:val="single"/>
    </w:rPr>
  </w:style>
  <w:style w:type="character" w:styleId="Hipervnculo">
    <w:name w:val="Hyperlink"/>
    <w:basedOn w:val="Fuentedeprrafopredeter"/>
    <w:uiPriority w:val="99"/>
    <w:unhideWhenUsed/>
    <w:rsid w:val="00DB69D6"/>
    <w:rPr>
      <w:color w:val="0000FF"/>
      <w:u w:val="single"/>
    </w:rPr>
  </w:style>
  <w:style w:type="character" w:styleId="Refdecomentario">
    <w:name w:val="annotation reference"/>
    <w:basedOn w:val="Fuentedeprrafopredeter"/>
    <w:uiPriority w:val="99"/>
    <w:semiHidden/>
    <w:unhideWhenUsed/>
    <w:rsid w:val="00F208B6"/>
    <w:rPr>
      <w:sz w:val="16"/>
      <w:szCs w:val="16"/>
    </w:rPr>
  </w:style>
  <w:style w:type="paragraph" w:styleId="Textocomentario">
    <w:name w:val="annotation text"/>
    <w:basedOn w:val="Normal"/>
    <w:link w:val="TextocomentarioCar"/>
    <w:uiPriority w:val="99"/>
    <w:unhideWhenUsed/>
    <w:rsid w:val="00F208B6"/>
    <w:rPr>
      <w:sz w:val="20"/>
      <w:szCs w:val="20"/>
    </w:rPr>
  </w:style>
  <w:style w:type="character" w:customStyle="1" w:styleId="TextocomentarioCar">
    <w:name w:val="Texto comentario Car"/>
    <w:basedOn w:val="Fuentedeprrafopredeter"/>
    <w:link w:val="Textocomentario"/>
    <w:uiPriority w:val="99"/>
    <w:rsid w:val="00F208B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08B6"/>
    <w:rPr>
      <w:b/>
      <w:bCs/>
    </w:rPr>
  </w:style>
  <w:style w:type="character" w:customStyle="1" w:styleId="AsuntodelcomentarioCar">
    <w:name w:val="Asunto del comentario Car"/>
    <w:basedOn w:val="TextocomentarioCar"/>
    <w:link w:val="Asuntodelcomentario"/>
    <w:uiPriority w:val="99"/>
    <w:semiHidden/>
    <w:rsid w:val="00F208B6"/>
    <w:rPr>
      <w:rFonts w:ascii="Times New Roman" w:eastAsia="Times New Roman" w:hAnsi="Times New Roman" w:cs="Times New Roman"/>
      <w:b/>
      <w:bCs/>
      <w:sz w:val="20"/>
      <w:szCs w:val="20"/>
      <w:lang w:val="es-ES" w:eastAsia="es-ES"/>
    </w:rPr>
  </w:style>
  <w:style w:type="paragraph" w:customStyle="1" w:styleId="Pa22">
    <w:name w:val="Pa22"/>
    <w:basedOn w:val="Default"/>
    <w:next w:val="Default"/>
    <w:uiPriority w:val="99"/>
    <w:rsid w:val="00D061AC"/>
    <w:pPr>
      <w:spacing w:line="201" w:lineRule="atLeast"/>
    </w:pPr>
    <w:rPr>
      <w:color w:val="auto"/>
    </w:rPr>
  </w:style>
  <w:style w:type="paragraph" w:customStyle="1" w:styleId="Pa2">
    <w:name w:val="Pa2"/>
    <w:basedOn w:val="Default"/>
    <w:next w:val="Default"/>
    <w:uiPriority w:val="99"/>
    <w:rsid w:val="00D061AC"/>
    <w:pPr>
      <w:spacing w:line="241" w:lineRule="atLeast"/>
    </w:pPr>
    <w:rPr>
      <w:color w:val="auto"/>
    </w:rPr>
  </w:style>
  <w:style w:type="paragraph" w:customStyle="1" w:styleId="Pa13">
    <w:name w:val="Pa13"/>
    <w:basedOn w:val="Default"/>
    <w:next w:val="Default"/>
    <w:uiPriority w:val="99"/>
    <w:rsid w:val="00F772B0"/>
    <w:pPr>
      <w:spacing w:line="231" w:lineRule="atLeast"/>
    </w:pPr>
    <w:rPr>
      <w:color w:val="auto"/>
    </w:rPr>
  </w:style>
  <w:style w:type="character" w:customStyle="1" w:styleId="A12">
    <w:name w:val="A12"/>
    <w:uiPriority w:val="99"/>
    <w:rsid w:val="00F772B0"/>
    <w:rPr>
      <w:color w:val="000000"/>
      <w:sz w:val="19"/>
      <w:szCs w:val="19"/>
    </w:rPr>
  </w:style>
  <w:style w:type="character" w:customStyle="1" w:styleId="A15">
    <w:name w:val="A15"/>
    <w:uiPriority w:val="99"/>
    <w:rsid w:val="00BD2ADF"/>
    <w:rPr>
      <w:strike/>
      <w:color w:val="000000"/>
      <w:sz w:val="23"/>
      <w:szCs w:val="23"/>
    </w:rPr>
  </w:style>
  <w:style w:type="character" w:customStyle="1" w:styleId="A14">
    <w:name w:val="A14"/>
    <w:uiPriority w:val="99"/>
    <w:rsid w:val="00BD2ADF"/>
    <w:rPr>
      <w:b/>
      <w:bCs/>
      <w:color w:val="000000"/>
      <w:sz w:val="23"/>
      <w:szCs w:val="23"/>
      <w:u w:val="single"/>
    </w:rPr>
  </w:style>
  <w:style w:type="character" w:customStyle="1" w:styleId="A10">
    <w:name w:val="A10"/>
    <w:uiPriority w:val="99"/>
    <w:rsid w:val="00BF164F"/>
    <w:rPr>
      <w:color w:val="000000"/>
      <w:sz w:val="19"/>
      <w:szCs w:val="19"/>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p"/>
    <w:basedOn w:val="Normal"/>
    <w:link w:val="TextonotapieCar"/>
    <w:uiPriority w:val="99"/>
    <w:unhideWhenUsed/>
    <w:qFormat/>
    <w:rsid w:val="00C4579F"/>
    <w:pPr>
      <w:spacing w:before="100" w:beforeAutospacing="1" w:after="100" w:afterAutospacing="1"/>
    </w:pPr>
    <w:rPr>
      <w:lang w:val="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C4579F"/>
    <w:rPr>
      <w:rFonts w:ascii="Times New Roman" w:eastAsia="Times New Roman" w:hAnsi="Times New Roman" w:cs="Times New Roman"/>
      <w:sz w:val="24"/>
      <w:szCs w:val="24"/>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C4579F"/>
    <w:rPr>
      <w:vertAlign w:val="superscript"/>
    </w:rPr>
  </w:style>
  <w:style w:type="paragraph" w:customStyle="1" w:styleId="estlos-gacetasp-rrafos">
    <w:name w:val="estlos-gacetas_p-rrafos"/>
    <w:basedOn w:val="Normal"/>
    <w:rsid w:val="000A7CF3"/>
    <w:pPr>
      <w:spacing w:before="100" w:beforeAutospacing="1" w:after="100" w:afterAutospacing="1"/>
    </w:pPr>
    <w:rPr>
      <w:lang w:val="es-CO"/>
    </w:rPr>
  </w:style>
  <w:style w:type="character" w:customStyle="1" w:styleId="charoverride-18">
    <w:name w:val="charoverride-18"/>
    <w:basedOn w:val="Fuentedeprrafopredeter"/>
    <w:rsid w:val="000A7CF3"/>
  </w:style>
  <w:style w:type="character" w:customStyle="1" w:styleId="charoverride-7">
    <w:name w:val="charoverride-7"/>
    <w:basedOn w:val="Fuentedeprrafopredeter"/>
    <w:rsid w:val="005D3D49"/>
  </w:style>
  <w:style w:type="character" w:customStyle="1" w:styleId="charoverride-10">
    <w:name w:val="charoverride-10"/>
    <w:basedOn w:val="Fuentedeprrafopredeter"/>
    <w:rsid w:val="005D3D49"/>
  </w:style>
  <w:style w:type="paragraph" w:customStyle="1" w:styleId="Pa20">
    <w:name w:val="Pa20"/>
    <w:basedOn w:val="Default"/>
    <w:next w:val="Default"/>
    <w:uiPriority w:val="99"/>
    <w:rsid w:val="0089781B"/>
    <w:pPr>
      <w:spacing w:line="201" w:lineRule="atLeast"/>
    </w:pPr>
    <w:rPr>
      <w:color w:val="aut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145AF"/>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uiPriority w:val="9"/>
    <w:rsid w:val="005A6E7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rsid w:val="005A6E7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rsid w:val="005A6E79"/>
    <w:rPr>
      <w:rFonts w:asciiTheme="majorHAnsi" w:eastAsiaTheme="majorEastAsia" w:hAnsiTheme="majorHAnsi" w:cstheme="majorBidi"/>
      <w:b/>
      <w:bCs/>
      <w:sz w:val="26"/>
      <w:szCs w:val="26"/>
      <w:lang w:val="en-US"/>
    </w:rPr>
  </w:style>
  <w:style w:type="character" w:customStyle="1" w:styleId="Ttulo4Car">
    <w:name w:val="Título 4 Car"/>
    <w:basedOn w:val="Fuentedeprrafopredeter"/>
    <w:rsid w:val="005A6E79"/>
    <w:rPr>
      <w:rFonts w:eastAsiaTheme="minorEastAsia"/>
      <w:b/>
      <w:bCs/>
      <w:sz w:val="28"/>
      <w:szCs w:val="28"/>
      <w:lang w:val="en-US"/>
    </w:rPr>
  </w:style>
  <w:style w:type="character" w:customStyle="1" w:styleId="Ttulo5Car">
    <w:name w:val="Título 5 Car"/>
    <w:basedOn w:val="Fuentedeprrafopredeter"/>
    <w:rsid w:val="005A6E79"/>
    <w:rPr>
      <w:rFonts w:eastAsiaTheme="minorEastAsia"/>
      <w:b/>
      <w:bCs/>
      <w:i/>
      <w:iCs/>
      <w:sz w:val="26"/>
      <w:szCs w:val="26"/>
      <w:lang w:val="en-US"/>
    </w:rPr>
  </w:style>
  <w:style w:type="character" w:customStyle="1" w:styleId="Ttulo6Car">
    <w:name w:val="Título 6 Car"/>
    <w:basedOn w:val="Fuentedeprrafopredeter"/>
    <w:rsid w:val="005A6E7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5A6E79"/>
    <w:rPr>
      <w:rFonts w:eastAsiaTheme="minorEastAsia"/>
      <w:sz w:val="24"/>
      <w:szCs w:val="24"/>
      <w:lang w:val="en-US"/>
    </w:rPr>
  </w:style>
  <w:style w:type="character" w:customStyle="1" w:styleId="Ttulo8Car">
    <w:name w:val="Título 8 Car"/>
    <w:basedOn w:val="Fuentedeprrafopredeter"/>
    <w:link w:val="Ttulo8"/>
    <w:uiPriority w:val="9"/>
    <w:rsid w:val="005A6E79"/>
    <w:rPr>
      <w:rFonts w:eastAsiaTheme="minorEastAsia"/>
      <w:i/>
      <w:iCs/>
      <w:sz w:val="24"/>
      <w:szCs w:val="24"/>
      <w:lang w:val="en-US"/>
    </w:rPr>
  </w:style>
  <w:style w:type="character" w:customStyle="1" w:styleId="Ttulo9Car">
    <w:name w:val="Título 9 Car"/>
    <w:basedOn w:val="Fuentedeprrafopredeter"/>
    <w:link w:val="Ttulo9"/>
    <w:uiPriority w:val="9"/>
    <w:rsid w:val="005A6E79"/>
    <w:rPr>
      <w:rFonts w:asciiTheme="majorHAnsi" w:eastAsiaTheme="majorEastAsia" w:hAnsiTheme="majorHAnsi" w:cstheme="majorBidi"/>
      <w:lang w:val="en-US"/>
    </w:rPr>
  </w:style>
  <w:style w:type="paragraph" w:styleId="NormalWeb">
    <w:name w:val="Normal (Web)"/>
    <w:basedOn w:val="Normal"/>
    <w:uiPriority w:val="99"/>
    <w:unhideWhenUsed/>
    <w:qFormat/>
    <w:rsid w:val="00464BA4"/>
    <w:pPr>
      <w:spacing w:before="100" w:beforeAutospacing="1" w:after="100" w:afterAutospacing="1"/>
    </w:pPr>
    <w:rPr>
      <w:lang w:val="es-CO"/>
    </w:rPr>
  </w:style>
  <w:style w:type="paragraph" w:customStyle="1" w:styleId="Normal1">
    <w:name w:val="Normal1"/>
    <w:rsid w:val="00BC527A"/>
    <w:rPr>
      <w:rFonts w:ascii="Calibri" w:eastAsia="Calibri" w:hAnsi="Calibri" w:cs="Calibri"/>
    </w:rPr>
  </w:style>
  <w:style w:type="character" w:styleId="Textoennegrita">
    <w:name w:val="Strong"/>
    <w:basedOn w:val="Fuentedeprrafopredeter"/>
    <w:uiPriority w:val="22"/>
    <w:qFormat/>
    <w:rsid w:val="00570569"/>
    <w:rPr>
      <w:b/>
      <w:bCs/>
    </w:rPr>
  </w:style>
  <w:style w:type="paragraph" w:styleId="Textosinformato">
    <w:name w:val="Plain Text"/>
    <w:basedOn w:val="Normal"/>
    <w:link w:val="TextosinformatoCar"/>
    <w:uiPriority w:val="99"/>
    <w:semiHidden/>
    <w:unhideWhenUsed/>
    <w:rsid w:val="00570569"/>
    <w:rPr>
      <w:rFonts w:ascii="Courier New" w:hAnsi="Courier New" w:cs="Courier New"/>
      <w:sz w:val="20"/>
      <w:szCs w:val="20"/>
      <w:lang w:val="es-CO"/>
    </w:rPr>
  </w:style>
  <w:style w:type="character" w:customStyle="1" w:styleId="TextosinformatoCar">
    <w:name w:val="Texto sin formato Car"/>
    <w:basedOn w:val="Fuentedeprrafopredeter"/>
    <w:link w:val="Textosinformato"/>
    <w:uiPriority w:val="99"/>
    <w:semiHidden/>
    <w:rsid w:val="00570569"/>
    <w:rPr>
      <w:rFonts w:ascii="Courier New" w:eastAsia="Times New Roman" w:hAnsi="Courier New" w:cs="Courier New"/>
      <w:sz w:val="20"/>
      <w:szCs w:val="20"/>
      <w:lang w:eastAsia="es-CO"/>
    </w:rPr>
  </w:style>
  <w:style w:type="paragraph" w:customStyle="1" w:styleId="msofoo">
    <w:name w:val="msofoo"/>
    <w:basedOn w:val="Normal"/>
    <w:rsid w:val="00570569"/>
    <w:pPr>
      <w:spacing w:before="100" w:beforeAutospacing="1" w:after="100" w:afterAutospacing="1"/>
    </w:pPr>
    <w:rPr>
      <w:lang w:val="es-CO"/>
    </w:rPr>
  </w:style>
  <w:style w:type="paragraph" w:customStyle="1" w:styleId="msofootno">
    <w:name w:val="msofootno"/>
    <w:basedOn w:val="Normal"/>
    <w:rsid w:val="00570569"/>
    <w:pPr>
      <w:spacing w:before="100" w:beforeAutospacing="1" w:after="100" w:afterAutospacing="1"/>
    </w:pPr>
    <w:rPr>
      <w:lang w:val="es-CO"/>
    </w:rPr>
  </w:style>
  <w:style w:type="paragraph" w:customStyle="1" w:styleId="CM6">
    <w:name w:val="CM6"/>
    <w:basedOn w:val="Normal"/>
    <w:next w:val="Normal"/>
    <w:uiPriority w:val="99"/>
    <w:rsid w:val="00570569"/>
    <w:pPr>
      <w:autoSpaceDE w:val="0"/>
      <w:autoSpaceDN w:val="0"/>
      <w:adjustRightInd w:val="0"/>
    </w:pPr>
    <w:rPr>
      <w:rFonts w:ascii="Georgia" w:eastAsiaTheme="minorHAnsi" w:hAnsi="Georgia" w:cstheme="minorBidi"/>
      <w:lang w:val="es-CO" w:eastAsia="en-US"/>
    </w:rPr>
  </w:style>
  <w:style w:type="character" w:customStyle="1" w:styleId="apple-converted-space">
    <w:name w:val="apple-converted-space"/>
    <w:basedOn w:val="Fuentedeprrafopredeter"/>
    <w:rsid w:val="00570569"/>
  </w:style>
  <w:style w:type="character" w:customStyle="1" w:styleId="SinespaciadoCar">
    <w:name w:val="Sin espaciado Car"/>
    <w:link w:val="Sinespaciado"/>
    <w:uiPriority w:val="1"/>
    <w:locked/>
    <w:rsid w:val="00570569"/>
  </w:style>
  <w:style w:type="paragraph" w:styleId="Textonotaalfinal">
    <w:name w:val="endnote text"/>
    <w:basedOn w:val="Normal"/>
    <w:link w:val="TextonotaalfinalCar"/>
    <w:uiPriority w:val="99"/>
    <w:semiHidden/>
    <w:unhideWhenUsed/>
    <w:rsid w:val="00570569"/>
    <w:rPr>
      <w:sz w:val="20"/>
      <w:szCs w:val="20"/>
      <w:lang w:val="es-CO"/>
    </w:rPr>
  </w:style>
  <w:style w:type="character" w:customStyle="1" w:styleId="TextonotaalfinalCar">
    <w:name w:val="Texto nota al final Car"/>
    <w:basedOn w:val="Fuentedeprrafopredeter"/>
    <w:link w:val="Textonotaalfinal"/>
    <w:uiPriority w:val="99"/>
    <w:semiHidden/>
    <w:rsid w:val="00570569"/>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570569"/>
    <w:rPr>
      <w:vertAlign w:val="superscript"/>
    </w:rPr>
  </w:style>
  <w:style w:type="character" w:customStyle="1" w:styleId="published-at">
    <w:name w:val="published-at"/>
    <w:basedOn w:val="Fuentedeprrafopredeter"/>
    <w:rsid w:val="00570569"/>
  </w:style>
  <w:style w:type="character" w:customStyle="1" w:styleId="mw-headline">
    <w:name w:val="mw-headline"/>
    <w:rsid w:val="00570569"/>
  </w:style>
  <w:style w:type="character" w:customStyle="1" w:styleId="TtuloCar">
    <w:name w:val="Título Car"/>
    <w:basedOn w:val="Fuentedeprrafopredeter"/>
    <w:rsid w:val="00342134"/>
    <w:rPr>
      <w:rFonts w:ascii="Times New Roman" w:eastAsia="Times New Roman" w:hAnsi="Times New Roman" w:cs="Times New Roman"/>
      <w:b/>
      <w:lang w:val="es-ES_tradnl" w:eastAsia="es-CO"/>
    </w:rPr>
  </w:style>
  <w:style w:type="character" w:customStyle="1" w:styleId="titlepl">
    <w:name w:val="titlepl"/>
    <w:basedOn w:val="Fuentedeprrafopredeter"/>
    <w:rsid w:val="005D448F"/>
  </w:style>
  <w:style w:type="character" w:customStyle="1" w:styleId="fontstyle01">
    <w:name w:val="fontstyle01"/>
    <w:basedOn w:val="Fuentedeprrafopredeter"/>
    <w:rsid w:val="005D448F"/>
    <w:rPr>
      <w:rFonts w:ascii="Arial-BoldMT" w:hAnsi="Arial-BoldMT" w:hint="default"/>
      <w:b/>
      <w:bCs/>
      <w:i w:val="0"/>
      <w:iCs w:val="0"/>
      <w:color w:val="242021"/>
      <w:sz w:val="12"/>
      <w:szCs w:val="12"/>
    </w:rPr>
  </w:style>
  <w:style w:type="character" w:customStyle="1" w:styleId="fontstyle21">
    <w:name w:val="fontstyle21"/>
    <w:basedOn w:val="Fuentedeprrafopredeter"/>
    <w:rsid w:val="005D448F"/>
    <w:rPr>
      <w:rFonts w:ascii="Arial" w:hAnsi="Arial" w:cs="Arial" w:hint="default"/>
      <w:b w:val="0"/>
      <w:bCs w:val="0"/>
      <w:i w:val="0"/>
      <w:iCs w:val="0"/>
      <w:color w:val="242021"/>
      <w:sz w:val="12"/>
      <w:szCs w:val="12"/>
    </w:rPr>
  </w:style>
  <w:style w:type="character" w:customStyle="1" w:styleId="fieldlabel">
    <w:name w:val="field__label"/>
    <w:basedOn w:val="Fuentedeprrafopredeter"/>
    <w:rsid w:val="00C55345"/>
  </w:style>
  <w:style w:type="character" w:customStyle="1" w:styleId="fielditem">
    <w:name w:val="field__item"/>
    <w:basedOn w:val="Fuentedeprrafopredeter"/>
    <w:rsid w:val="00C55345"/>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uiPriority w:val="1"/>
    <w:qFormat/>
    <w:rsid w:val="002907E8"/>
    <w:pPr>
      <w:widowControl w:val="0"/>
      <w:ind w:left="102"/>
    </w:pPr>
    <w:rPr>
      <w:rFonts w:ascii="Book Antiqua" w:eastAsia="Book Antiqua" w:hAnsi="Book Antiqua" w:cstheme="minorBidi"/>
      <w:lang w:val="en-US" w:eastAsia="en-US"/>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uiPriority w:val="1"/>
    <w:rsid w:val="002907E8"/>
    <w:rPr>
      <w:rFonts w:ascii="Book Antiqua" w:eastAsia="Book Antiqua" w:hAnsi="Book Antiqua"/>
      <w:sz w:val="24"/>
      <w:szCs w:val="24"/>
      <w:lang w:val="en-US"/>
    </w:rPr>
  </w:style>
  <w:style w:type="table" w:customStyle="1" w:styleId="TableNormal1">
    <w:name w:val="Table Normal1"/>
    <w:unhideWhenUsed/>
    <w:qFormat/>
    <w:rsid w:val="00F024E7"/>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4E7"/>
    <w:pPr>
      <w:widowControl w:val="0"/>
    </w:pPr>
    <w:rPr>
      <w:rFonts w:asciiTheme="minorHAnsi" w:eastAsiaTheme="minorHAnsi" w:hAnsiTheme="minorHAnsi" w:cstheme="minorBidi"/>
      <w:sz w:val="22"/>
      <w:szCs w:val="22"/>
      <w:lang w:val="en-US" w:eastAsia="en-US"/>
    </w:rPr>
  </w:style>
  <w:style w:type="character" w:customStyle="1" w:styleId="fontstyle31">
    <w:name w:val="fontstyle31"/>
    <w:basedOn w:val="Fuentedeprrafopredeter"/>
    <w:rsid w:val="001750E4"/>
    <w:rPr>
      <w:rFonts w:ascii="ArialMT" w:hAnsi="ArialMT" w:hint="default"/>
      <w:b w:val="0"/>
      <w:bCs w:val="0"/>
      <w:i w:val="0"/>
      <w:iCs w:val="0"/>
      <w:color w:val="000000"/>
      <w:sz w:val="22"/>
      <w:szCs w:val="22"/>
    </w:rPr>
  </w:style>
  <w:style w:type="character" w:customStyle="1" w:styleId="Cuadrculamedia2Car">
    <w:name w:val="Cuadrícula media 2 Car"/>
    <w:link w:val="Cuadrculamedia21"/>
    <w:uiPriority w:val="1"/>
    <w:locked/>
    <w:rsid w:val="00EE3DB2"/>
    <w:rPr>
      <w:rFonts w:ascii="Times New Roman" w:eastAsia="Times New Roman" w:hAnsi="Times New Roman" w:cs="Times New Roman"/>
      <w:lang w:eastAsia="es-CO"/>
    </w:rPr>
  </w:style>
  <w:style w:type="paragraph" w:customStyle="1" w:styleId="Cuadrculamedia21">
    <w:name w:val="Cuadrícula media 21"/>
    <w:link w:val="Cuadrculamedia2Car"/>
    <w:uiPriority w:val="1"/>
    <w:qFormat/>
    <w:rsid w:val="00EE3DB2"/>
  </w:style>
  <w:style w:type="character" w:customStyle="1" w:styleId="fontstyle41">
    <w:name w:val="fontstyle41"/>
    <w:basedOn w:val="Fuentedeprrafopredeter"/>
    <w:rsid w:val="00BC7703"/>
    <w:rPr>
      <w:rFonts w:ascii="Calibri" w:hAnsi="Calibri" w:cs="Calibri" w:hint="default"/>
      <w:b w:val="0"/>
      <w:bCs w:val="0"/>
      <w:i w:val="0"/>
      <w:iCs w:val="0"/>
      <w:color w:val="000000"/>
      <w:sz w:val="22"/>
      <w:szCs w:val="22"/>
    </w:rPr>
  </w:style>
  <w:style w:type="character" w:customStyle="1" w:styleId="fontstyle51">
    <w:name w:val="fontstyle51"/>
    <w:basedOn w:val="Fuentedeprrafopredeter"/>
    <w:rsid w:val="00BC7703"/>
    <w:rPr>
      <w:rFonts w:ascii="Arial" w:hAnsi="Arial" w:cs="Arial" w:hint="default"/>
      <w:b/>
      <w:bCs/>
      <w:i/>
      <w:iCs/>
      <w:color w:val="000000"/>
      <w:sz w:val="22"/>
      <w:szCs w:val="22"/>
    </w:rPr>
  </w:style>
  <w:style w:type="table" w:customStyle="1" w:styleId="1">
    <w:name w:val="1"/>
    <w:basedOn w:val="TableNormal1"/>
    <w:rsid w:val="007D4016"/>
    <w:rPr>
      <w:rFonts w:ascii="Arial" w:eastAsia="Arial" w:hAnsi="Arial" w:cs="Arial"/>
      <w:lang w:val="es-CO"/>
    </w:rPr>
    <w:tblPr>
      <w:tblStyleRowBandSize w:val="1"/>
      <w:tblStyleColBandSize w:val="1"/>
      <w:tblCellMar>
        <w:left w:w="108" w:type="dxa"/>
        <w:right w:w="108" w:type="dxa"/>
      </w:tblCellMar>
    </w:tblPr>
  </w:style>
  <w:style w:type="character" w:styleId="Hipervnculovisitado">
    <w:name w:val="FollowedHyperlink"/>
    <w:basedOn w:val="Fuentedeprrafopredeter"/>
    <w:uiPriority w:val="99"/>
    <w:unhideWhenUsed/>
    <w:rsid w:val="007D4016"/>
    <w:rPr>
      <w:color w:val="800080" w:themeColor="followedHyperlink"/>
      <w:u w:val="single"/>
    </w:rPr>
  </w:style>
  <w:style w:type="paragraph" w:styleId="Textoindependiente3">
    <w:name w:val="Body Text 3"/>
    <w:basedOn w:val="Normal"/>
    <w:link w:val="Textoindependiente3Car"/>
    <w:rsid w:val="007D4016"/>
    <w:pPr>
      <w:jc w:val="both"/>
    </w:pPr>
    <w:rPr>
      <w:lang w:eastAsia="en-US"/>
    </w:rPr>
  </w:style>
  <w:style w:type="character" w:customStyle="1" w:styleId="Textoindependiente3Car">
    <w:name w:val="Texto independiente 3 Car"/>
    <w:basedOn w:val="Fuentedeprrafopredeter"/>
    <w:link w:val="Textoindependiente3"/>
    <w:rsid w:val="007D4016"/>
    <w:rPr>
      <w:rFonts w:ascii="Times New Roman" w:eastAsia="Times New Roman" w:hAnsi="Times New Roman" w:cs="Times New Roman"/>
      <w:sz w:val="24"/>
      <w:szCs w:val="24"/>
      <w:lang w:val="es-ES"/>
    </w:rPr>
  </w:style>
  <w:style w:type="paragraph" w:styleId="Textoindependiente2">
    <w:name w:val="Body Text 2"/>
    <w:basedOn w:val="Normal"/>
    <w:link w:val="Textoindependiente2Car"/>
    <w:rsid w:val="007D4016"/>
    <w:pPr>
      <w:jc w:val="right"/>
    </w:pPr>
    <w:rPr>
      <w:rFonts w:eastAsia="SimSun"/>
      <w:lang w:eastAsia="zh-CN"/>
    </w:rPr>
  </w:style>
  <w:style w:type="character" w:customStyle="1" w:styleId="Textoindependiente2Car">
    <w:name w:val="Texto independiente 2 Car"/>
    <w:basedOn w:val="Fuentedeprrafopredeter"/>
    <w:link w:val="Textoindependiente2"/>
    <w:rsid w:val="007D4016"/>
    <w:rPr>
      <w:rFonts w:ascii="Times New Roman" w:eastAsia="SimSun" w:hAnsi="Times New Roman" w:cs="Times New Roman"/>
      <w:sz w:val="24"/>
      <w:szCs w:val="24"/>
      <w:lang w:val="es-ES" w:eastAsia="zh-CN"/>
    </w:rPr>
  </w:style>
  <w:style w:type="paragraph" w:customStyle="1" w:styleId="Estilo1">
    <w:name w:val="Estilo1"/>
    <w:basedOn w:val="Normal"/>
    <w:autoRedefine/>
    <w:rsid w:val="007D4016"/>
    <w:pPr>
      <w:jc w:val="center"/>
    </w:pPr>
    <w:rPr>
      <w:rFonts w:ascii="Arial" w:hAnsi="Arial" w:cs="Arial"/>
      <w:b/>
      <w:bCs/>
      <w:iCs/>
      <w:color w:val="000000"/>
      <w:sz w:val="28"/>
      <w:szCs w:val="28"/>
    </w:rPr>
  </w:style>
  <w:style w:type="table" w:customStyle="1" w:styleId="Tablaconcuadrcula4-nfasis51">
    <w:name w:val="Tabla con cuadrícula 4 - Énfasis 51"/>
    <w:basedOn w:val="Tablanormal"/>
    <w:uiPriority w:val="49"/>
    <w:rsid w:val="007D40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w-editsection">
    <w:name w:val="mw-editsection"/>
    <w:basedOn w:val="Fuentedeprrafopredeter"/>
    <w:rsid w:val="007D4016"/>
  </w:style>
  <w:style w:type="character" w:customStyle="1" w:styleId="mw-editsection-bracket">
    <w:name w:val="mw-editsection-bracket"/>
    <w:basedOn w:val="Fuentedeprrafopredeter"/>
    <w:rsid w:val="007D4016"/>
  </w:style>
  <w:style w:type="character" w:customStyle="1" w:styleId="baj">
    <w:name w:val="b_aj"/>
    <w:basedOn w:val="Fuentedeprrafopredeter"/>
    <w:rsid w:val="007D4016"/>
  </w:style>
  <w:style w:type="paragraph" w:customStyle="1" w:styleId="centrado">
    <w:name w:val="centrado"/>
    <w:basedOn w:val="Normal"/>
    <w:rsid w:val="007D4016"/>
    <w:pPr>
      <w:spacing w:before="100" w:beforeAutospacing="1" w:after="100" w:afterAutospacing="1"/>
    </w:pPr>
    <w:rPr>
      <w:lang w:val="es-CO" w:eastAsia="en-US"/>
    </w:rPr>
  </w:style>
  <w:style w:type="paragraph" w:styleId="Textodebloque">
    <w:name w:val="Block Text"/>
    <w:basedOn w:val="Normal"/>
    <w:rsid w:val="007D4016"/>
    <w:pPr>
      <w:spacing w:before="100" w:beforeAutospacing="1" w:after="240"/>
      <w:ind w:left="720" w:right="720"/>
      <w:jc w:val="both"/>
    </w:pPr>
    <w:rPr>
      <w:rFonts w:ascii="Arial" w:hAnsi="Arial" w:cs="Arial"/>
    </w:rPr>
  </w:style>
  <w:style w:type="paragraph" w:styleId="z-Principiodelformulario">
    <w:name w:val="HTML Top of Form"/>
    <w:basedOn w:val="Normal"/>
    <w:next w:val="Normal"/>
    <w:link w:val="z-PrincipiodelformularioCar"/>
    <w:hidden/>
    <w:rsid w:val="007D4016"/>
    <w:pPr>
      <w:pBdr>
        <w:bottom w:val="single" w:sz="6" w:space="1" w:color="auto"/>
      </w:pBdr>
      <w:spacing w:before="100" w:beforeAutospacing="1" w:after="100" w:afterAutospacing="1"/>
      <w:jc w:val="center"/>
    </w:pPr>
    <w:rPr>
      <w:rFonts w:ascii="Arial" w:eastAsia="Arial Unicode MS" w:hAnsi="Arial" w:cs="Arial"/>
      <w:vanish/>
      <w:color w:val="000000"/>
      <w:sz w:val="16"/>
      <w:szCs w:val="16"/>
    </w:rPr>
  </w:style>
  <w:style w:type="character" w:customStyle="1" w:styleId="z-PrincipiodelformularioCar">
    <w:name w:val="z-Principio del formulario Car"/>
    <w:basedOn w:val="Fuentedeprrafopredeter"/>
    <w:link w:val="z-Principiodelformulario"/>
    <w:rsid w:val="007D4016"/>
    <w:rPr>
      <w:rFonts w:ascii="Arial" w:eastAsia="Arial Unicode MS" w:hAnsi="Arial" w:cs="Arial"/>
      <w:vanish/>
      <w:color w:val="000000"/>
      <w:sz w:val="16"/>
      <w:szCs w:val="16"/>
      <w:lang w:val="es-ES" w:eastAsia="es-ES"/>
    </w:rPr>
  </w:style>
  <w:style w:type="paragraph" w:styleId="Sangradetextonormal">
    <w:name w:val="Body Text Indent"/>
    <w:basedOn w:val="Normal"/>
    <w:link w:val="SangradetextonormalCar"/>
    <w:rsid w:val="007D4016"/>
    <w:pPr>
      <w:tabs>
        <w:tab w:val="left" w:pos="200"/>
      </w:tabs>
      <w:ind w:left="-160"/>
      <w:jc w:val="both"/>
    </w:pPr>
    <w:rPr>
      <w:rFonts w:eastAsia="SimSun"/>
      <w:lang w:eastAsia="zh-CN"/>
    </w:rPr>
  </w:style>
  <w:style w:type="character" w:customStyle="1" w:styleId="SangradetextonormalCar">
    <w:name w:val="Sangría de texto normal Car"/>
    <w:basedOn w:val="Fuentedeprrafopredeter"/>
    <w:link w:val="Sangradetextonormal"/>
    <w:rsid w:val="007D4016"/>
    <w:rPr>
      <w:rFonts w:ascii="Times New Roman" w:eastAsia="SimSun" w:hAnsi="Times New Roman" w:cs="Times New Roman"/>
      <w:sz w:val="24"/>
      <w:szCs w:val="24"/>
      <w:lang w:val="es-ES" w:eastAsia="zh-CN"/>
    </w:rPr>
  </w:style>
  <w:style w:type="paragraph" w:styleId="Sangra3detindependiente">
    <w:name w:val="Body Text Indent 3"/>
    <w:basedOn w:val="Normal"/>
    <w:link w:val="Sangra3detindependienteCar"/>
    <w:rsid w:val="007D4016"/>
    <w:pPr>
      <w:ind w:left="-200"/>
      <w:jc w:val="both"/>
    </w:pPr>
    <w:rPr>
      <w:rFonts w:eastAsia="SimSun"/>
      <w:lang w:eastAsia="zh-CN"/>
    </w:rPr>
  </w:style>
  <w:style w:type="character" w:customStyle="1" w:styleId="Sangra3detindependienteCar">
    <w:name w:val="Sangría 3 de t. independiente Car"/>
    <w:basedOn w:val="Fuentedeprrafopredeter"/>
    <w:link w:val="Sangra3detindependiente"/>
    <w:rsid w:val="007D4016"/>
    <w:rPr>
      <w:rFonts w:ascii="Times New Roman" w:eastAsia="SimSun" w:hAnsi="Times New Roman" w:cs="Times New Roman"/>
      <w:sz w:val="24"/>
      <w:szCs w:val="24"/>
      <w:lang w:val="es-ES" w:eastAsia="zh-CN"/>
    </w:rPr>
  </w:style>
  <w:style w:type="character" w:styleId="Nmerodepgina">
    <w:name w:val="page number"/>
    <w:basedOn w:val="Fuentedeprrafopredeter"/>
    <w:rsid w:val="007D4016"/>
  </w:style>
  <w:style w:type="character" w:customStyle="1" w:styleId="TextocomentarioCar1">
    <w:name w:val="Texto comentario Car1"/>
    <w:basedOn w:val="Fuentedeprrafopredeter"/>
    <w:uiPriority w:val="99"/>
    <w:semiHidden/>
    <w:rsid w:val="007D4016"/>
    <w:rPr>
      <w:sz w:val="20"/>
      <w:szCs w:val="20"/>
      <w:lang w:val="es-CO"/>
    </w:rPr>
  </w:style>
  <w:style w:type="character" w:customStyle="1" w:styleId="Mencinsinresolver1">
    <w:name w:val="Mención sin resolver1"/>
    <w:basedOn w:val="Fuentedeprrafopredeter"/>
    <w:uiPriority w:val="99"/>
    <w:semiHidden/>
    <w:unhideWhenUsed/>
    <w:rsid w:val="007D4016"/>
    <w:rPr>
      <w:color w:val="605E5C"/>
      <w:shd w:val="clear" w:color="auto" w:fill="E1DFDD"/>
    </w:rPr>
  </w:style>
  <w:style w:type="character" w:styleId="nfasis">
    <w:name w:val="Emphasis"/>
    <w:basedOn w:val="Fuentedeprrafopredeter"/>
    <w:uiPriority w:val="20"/>
    <w:qFormat/>
    <w:rsid w:val="007D4016"/>
    <w:rPr>
      <w:i/>
      <w:iCs/>
    </w:rPr>
  </w:style>
  <w:style w:type="paragraph" w:customStyle="1" w:styleId="m-3765760956607685254gmail-msolistparagraph">
    <w:name w:val="m_-3765760956607685254gmail-msolistparagraph"/>
    <w:basedOn w:val="Normal"/>
    <w:rsid w:val="002A5CE3"/>
    <w:pPr>
      <w:spacing w:before="100" w:beforeAutospacing="1" w:after="100" w:afterAutospacing="1"/>
    </w:pPr>
    <w:rPr>
      <w:lang w:val="es-CO"/>
    </w:rPr>
  </w:style>
  <w:style w:type="paragraph" w:customStyle="1" w:styleId="m4999949626246710306m7065225446095805499msobodytext">
    <w:name w:val="m_4999949626246710306m_7065225446095805499msobodytext"/>
    <w:basedOn w:val="Normal"/>
    <w:rsid w:val="002A5CE3"/>
    <w:pPr>
      <w:spacing w:before="100" w:beforeAutospacing="1" w:after="100" w:afterAutospacing="1"/>
    </w:pPr>
    <w:rPr>
      <w:lang w:val="es-CO"/>
    </w:rPr>
  </w:style>
  <w:style w:type="paragraph" w:customStyle="1" w:styleId="pa8">
    <w:name w:val="pa8"/>
    <w:basedOn w:val="Normal"/>
    <w:rsid w:val="002A5CE3"/>
    <w:pPr>
      <w:spacing w:before="100" w:beforeAutospacing="1" w:after="100" w:afterAutospacing="1"/>
    </w:pPr>
    <w:rPr>
      <w:lang w:val="es-CO"/>
    </w:rPr>
  </w:style>
  <w:style w:type="character" w:customStyle="1" w:styleId="a0">
    <w:name w:val="a0"/>
    <w:basedOn w:val="Fuentedeprrafopredeter"/>
    <w:rsid w:val="002A5CE3"/>
  </w:style>
  <w:style w:type="paragraph" w:customStyle="1" w:styleId="default0">
    <w:name w:val="default"/>
    <w:basedOn w:val="Normal"/>
    <w:rsid w:val="002A5CE3"/>
    <w:pPr>
      <w:spacing w:before="100" w:beforeAutospacing="1" w:after="100" w:afterAutospacing="1"/>
    </w:pPr>
    <w:rPr>
      <w:lang w:val="es-CO"/>
    </w:rPr>
  </w:style>
  <w:style w:type="character" w:styleId="Referenciasutil">
    <w:name w:val="Subtle Reference"/>
    <w:basedOn w:val="Fuentedeprrafopredeter"/>
    <w:uiPriority w:val="31"/>
    <w:qFormat/>
    <w:rsid w:val="002A5CE3"/>
    <w:rPr>
      <w:smallCaps/>
      <w:color w:val="5A5A5A" w:themeColor="text1" w:themeTint="A5"/>
    </w:rPr>
  </w:style>
  <w:style w:type="paragraph" w:customStyle="1" w:styleId="trt0xe">
    <w:name w:val="trt0xe"/>
    <w:basedOn w:val="Normal"/>
    <w:rsid w:val="002A5CE3"/>
    <w:pPr>
      <w:spacing w:before="100" w:beforeAutospacing="1" w:after="100" w:afterAutospacing="1"/>
    </w:pPr>
    <w:rPr>
      <w:lang w:val="es-CO" w:eastAsia="es-ES_tradnl"/>
    </w:rPr>
  </w:style>
  <w:style w:type="character" w:customStyle="1" w:styleId="MapadeldocumentoCar">
    <w:name w:val="Mapa del documento Car"/>
    <w:basedOn w:val="Fuentedeprrafopredeter"/>
    <w:link w:val="Mapadeldocumento"/>
    <w:uiPriority w:val="99"/>
    <w:semiHidden/>
    <w:rsid w:val="002A5CE3"/>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2A5CE3"/>
    <w:rPr>
      <w:rFonts w:eastAsiaTheme="minorHAnsi"/>
      <w:lang w:val="es-CO" w:eastAsia="en-US"/>
    </w:rPr>
  </w:style>
  <w:style w:type="character" w:customStyle="1" w:styleId="MapadeldocumentoCar1">
    <w:name w:val="Mapa del documento Car1"/>
    <w:basedOn w:val="Fuentedeprrafopredeter"/>
    <w:uiPriority w:val="99"/>
    <w:semiHidden/>
    <w:rsid w:val="002A5CE3"/>
    <w:rPr>
      <w:rFonts w:ascii="Segoe UI" w:eastAsia="Times New Roman" w:hAnsi="Segoe UI" w:cs="Segoe UI"/>
      <w:sz w:val="16"/>
      <w:szCs w:val="16"/>
      <w:lang w:val="es-ES" w:eastAsia="es-ES"/>
    </w:rPr>
  </w:style>
  <w:style w:type="character" w:customStyle="1" w:styleId="intdecor">
    <w:name w:val="intdecor"/>
    <w:basedOn w:val="Fuentedeprrafopredeter"/>
    <w:rsid w:val="002A5CE3"/>
  </w:style>
  <w:style w:type="paragraph" w:customStyle="1" w:styleId="Ttulo11">
    <w:name w:val="Título 11"/>
    <w:basedOn w:val="Normal"/>
    <w:uiPriority w:val="1"/>
    <w:qFormat/>
    <w:rsid w:val="002A5CE3"/>
    <w:pPr>
      <w:widowControl w:val="0"/>
      <w:autoSpaceDE w:val="0"/>
      <w:autoSpaceDN w:val="0"/>
      <w:ind w:left="241"/>
      <w:jc w:val="both"/>
      <w:outlineLvl w:val="1"/>
    </w:pPr>
    <w:rPr>
      <w:rFonts w:ascii="Arial" w:eastAsia="Arial" w:hAnsi="Arial" w:cs="Arial"/>
      <w:b/>
      <w:bCs/>
      <w:lang w:bidi="es-ES"/>
    </w:rPr>
  </w:style>
  <w:style w:type="paragraph" w:styleId="Revisin">
    <w:name w:val="Revision"/>
    <w:hidden/>
    <w:uiPriority w:val="99"/>
    <w:semiHidden/>
    <w:rsid w:val="002A5CE3"/>
    <w:rPr>
      <w:rFonts w:ascii="Arial" w:eastAsia="Arial" w:hAnsi="Arial" w:cs="Arial"/>
      <w:lang w:eastAsia="es-ES" w:bidi="es-ES"/>
    </w:rPr>
  </w:style>
  <w:style w:type="paragraph" w:customStyle="1" w:styleId="msonormal0">
    <w:name w:val="msonormal"/>
    <w:basedOn w:val="Normal"/>
    <w:uiPriority w:val="99"/>
    <w:rsid w:val="002A5CE3"/>
    <w:pPr>
      <w:spacing w:before="100" w:beforeAutospacing="1" w:after="100" w:afterAutospacing="1"/>
      <w:jc w:val="both"/>
    </w:pPr>
    <w:rPr>
      <w:rFonts w:ascii="Times" w:eastAsiaTheme="minorHAnsi" w:hAnsi="Times"/>
      <w:sz w:val="20"/>
      <w:szCs w:val="20"/>
      <w:lang w:val="es-CO"/>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2A5CE3"/>
    <w:rPr>
      <w:sz w:val="20"/>
      <w:szCs w:val="20"/>
      <w:lang w:val="es-ES"/>
    </w:rPr>
  </w:style>
  <w:style w:type="character" w:customStyle="1" w:styleId="FootnoteTextCharCharCharCharCar1">
    <w:name w:val="Footnote Text Char Char Char Char Car1"/>
    <w:aliases w:val="Footnote Text Char Char Char Char Char Char Char Char Car1,Footnote Text Char Char Char Char Char Char1 Car1,Footnote Text Char Char Char Char Char Char Char1 Car1,Footnote referenc Car1"/>
    <w:basedOn w:val="Fuentedeprrafopredeter"/>
    <w:semiHidden/>
    <w:rsid w:val="002A5CE3"/>
    <w:rPr>
      <w:rFonts w:ascii="Arial" w:eastAsia="Arial" w:hAnsi="Arial" w:cs="Arial"/>
      <w:sz w:val="20"/>
      <w:szCs w:val="20"/>
      <w:lang w:eastAsia="es-ES" w:bidi="es-ES"/>
    </w:rPr>
  </w:style>
  <w:style w:type="character" w:customStyle="1" w:styleId="TextodegloboCar1">
    <w:name w:val="Texto de globo Car1"/>
    <w:basedOn w:val="Fuentedeprrafopredeter"/>
    <w:uiPriority w:val="99"/>
    <w:semiHidden/>
    <w:rsid w:val="002A5CE3"/>
    <w:rPr>
      <w:rFonts w:ascii="Segoe UI" w:eastAsia="Arial" w:hAnsi="Segoe UI" w:cs="Segoe UI" w:hint="default"/>
      <w:sz w:val="18"/>
      <w:szCs w:val="18"/>
      <w:lang w:eastAsia="es-ES" w:bidi="es-ES"/>
    </w:rPr>
  </w:style>
  <w:style w:type="character" w:customStyle="1" w:styleId="AsuntodelcomentarioCar1">
    <w:name w:val="Asunto del comentario Car1"/>
    <w:basedOn w:val="TextocomentarioCar"/>
    <w:uiPriority w:val="99"/>
    <w:semiHidden/>
    <w:rsid w:val="002A5CE3"/>
    <w:rPr>
      <w:rFonts w:ascii="Arial" w:eastAsia="Arial" w:hAnsi="Arial" w:cs="Arial" w:hint="default"/>
      <w:b/>
      <w:bCs/>
      <w:sz w:val="24"/>
      <w:szCs w:val="24"/>
      <w:lang w:val="es-ES" w:eastAsia="es-ES" w:bidi="es-ES"/>
    </w:rPr>
  </w:style>
  <w:style w:type="character" w:customStyle="1" w:styleId="Mencinsinresolver11">
    <w:name w:val="Mención sin resolver11"/>
    <w:basedOn w:val="Fuentedeprrafopredeter"/>
    <w:uiPriority w:val="99"/>
    <w:semiHidden/>
    <w:rsid w:val="002A5CE3"/>
    <w:rPr>
      <w:color w:val="605E5C"/>
      <w:shd w:val="clear" w:color="auto" w:fill="E1DFDD"/>
    </w:rPr>
  </w:style>
  <w:style w:type="character" w:customStyle="1" w:styleId="charoverride-13">
    <w:name w:val="charoverride-13"/>
    <w:basedOn w:val="Fuentedeprrafopredeter"/>
    <w:rsid w:val="00E4239C"/>
  </w:style>
  <w:style w:type="character" w:customStyle="1" w:styleId="charoverride-17">
    <w:name w:val="charoverride-17"/>
    <w:basedOn w:val="Fuentedeprrafopredeter"/>
    <w:rsid w:val="00E4239C"/>
  </w:style>
  <w:style w:type="character" w:customStyle="1" w:styleId="reference-accessdate">
    <w:name w:val="reference-accessdate"/>
    <w:basedOn w:val="Fuentedeprrafopredeter"/>
    <w:rsid w:val="004B370F"/>
  </w:style>
  <w:style w:type="character" w:customStyle="1" w:styleId="mw-mmv-filename-prefix">
    <w:name w:val="mw-mmv-filename-prefix"/>
    <w:basedOn w:val="Fuentedeprrafopredeter"/>
    <w:rsid w:val="00184CFE"/>
  </w:style>
  <w:style w:type="character" w:customStyle="1" w:styleId="mw-mmv-filename">
    <w:name w:val="mw-mmv-filename"/>
    <w:basedOn w:val="Fuentedeprrafopredeter"/>
    <w:rsid w:val="00184CFE"/>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character" w:customStyle="1" w:styleId="documentpreview">
    <w:name w:val="document__preview"/>
    <w:basedOn w:val="Fuentedeprrafopredeter"/>
    <w:rsid w:val="00B94FE6"/>
  </w:style>
  <w:style w:type="character" w:customStyle="1" w:styleId="bumpedfont15">
    <w:name w:val="bumpedfont15"/>
    <w:basedOn w:val="Fuentedeprrafopredeter"/>
    <w:rsid w:val="001A0DA7"/>
  </w:style>
  <w:style w:type="paragraph" w:customStyle="1" w:styleId="s4">
    <w:name w:val="s4"/>
    <w:basedOn w:val="Normal"/>
    <w:rsid w:val="001A0DA7"/>
    <w:pPr>
      <w:spacing w:before="100" w:beforeAutospacing="1" w:after="100" w:afterAutospacing="1"/>
    </w:pPr>
    <w:rPr>
      <w:rFonts w:eastAsiaTheme="minorEastAsia"/>
      <w:lang w:val="es-CO"/>
    </w:rPr>
  </w:style>
  <w:style w:type="paragraph" w:customStyle="1" w:styleId="Artculo">
    <w:name w:val="Artículo"/>
    <w:basedOn w:val="Normal"/>
    <w:next w:val="Normal"/>
    <w:link w:val="ArtculoCar"/>
    <w:qFormat/>
    <w:rsid w:val="006F30B0"/>
    <w:pPr>
      <w:numPr>
        <w:numId w:val="6"/>
      </w:numPr>
      <w:ind w:left="0" w:firstLine="0"/>
    </w:pPr>
    <w:rPr>
      <w:lang w:val="es-CO" w:eastAsia="zh-CN"/>
    </w:rPr>
  </w:style>
  <w:style w:type="character" w:customStyle="1" w:styleId="ArtculoCar">
    <w:name w:val="Artículo Car"/>
    <w:basedOn w:val="Fuentedeprrafopredeter"/>
    <w:link w:val="Artculo"/>
    <w:rsid w:val="006F30B0"/>
    <w:rPr>
      <w:lang w:val="es-CO" w:eastAsia="zh-CN"/>
    </w:rPr>
  </w:style>
  <w:style w:type="paragraph" w:styleId="Subttulo">
    <w:name w:val="Subtitle"/>
    <w:basedOn w:val="Normal"/>
    <w:next w:val="Normal"/>
    <w:pPr>
      <w:spacing w:before="45" w:after="28"/>
      <w:jc w:val="center"/>
    </w:pPr>
    <w:rPr>
      <w:rFonts w:ascii="Twentieth Century" w:eastAsia="Twentieth Century" w:hAnsi="Twentieth Century" w:cs="Twentieth Century"/>
      <w:b/>
      <w:i/>
      <w:color w:val="000000"/>
    </w:rPr>
  </w:style>
  <w:style w:type="table" w:customStyle="1" w:styleId="a">
    <w:basedOn w:val="TableNormal0"/>
    <w:pPr>
      <w:widowControl w:val="0"/>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pPr>
    <w:tblPr>
      <w:tblStyleRowBandSize w:val="1"/>
      <w:tblStyleColBandSize w:val="1"/>
      <w:tblCellMar>
        <w:top w:w="100" w:type="dxa"/>
        <w:left w:w="100" w:type="dxa"/>
        <w:bottom w:w="100" w:type="dxa"/>
        <w:right w:w="100" w:type="dxa"/>
      </w:tblCellMar>
    </w:tblPr>
  </w:style>
  <w:style w:type="table" w:customStyle="1" w:styleId="a4">
    <w:basedOn w:val="TableNormal0"/>
    <w:pPr>
      <w:widowControl w:val="0"/>
    </w:pPr>
    <w:tblPr>
      <w:tblStyleRowBandSize w:val="1"/>
      <w:tblStyleColBandSize w:val="1"/>
      <w:tblCellMar>
        <w:top w:w="100" w:type="dxa"/>
        <w:left w:w="100" w:type="dxa"/>
        <w:bottom w:w="100" w:type="dxa"/>
        <w:right w:w="100" w:type="dxa"/>
      </w:tblCellMar>
    </w:tblPr>
  </w:style>
  <w:style w:type="table" w:customStyle="1" w:styleId="a5">
    <w:basedOn w:val="TableNormal0"/>
    <w:pPr>
      <w:widowControl w:val="0"/>
    </w:pPr>
    <w:tblPr>
      <w:tblStyleRowBandSize w:val="1"/>
      <w:tblStyleColBandSize w:val="1"/>
      <w:tblCellMar>
        <w:top w:w="100" w:type="dxa"/>
        <w:left w:w="100" w:type="dxa"/>
        <w:bottom w:w="100" w:type="dxa"/>
        <w:right w:w="100" w:type="dxa"/>
      </w:tblCellMar>
    </w:tblPr>
  </w:style>
  <w:style w:type="table" w:customStyle="1" w:styleId="a6">
    <w:basedOn w:val="TableNormal0"/>
    <w:pPr>
      <w:widowControl w:val="0"/>
    </w:pPr>
    <w:tblPr>
      <w:tblStyleRowBandSize w:val="1"/>
      <w:tblStyleColBandSize w:val="1"/>
      <w:tblCellMar>
        <w:top w:w="100" w:type="dxa"/>
        <w:left w:w="100" w:type="dxa"/>
        <w:bottom w:w="100" w:type="dxa"/>
        <w:right w:w="100" w:type="dxa"/>
      </w:tblCellMar>
    </w:tblPr>
  </w:style>
  <w:style w:type="table" w:customStyle="1" w:styleId="a7">
    <w:basedOn w:val="TableNormal0"/>
    <w:pPr>
      <w:widowControl w:val="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o.vlex.com/vid/548746675/node/190?fbt=webapp_preview&amp;addon_version=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lex.com/vid/548746675?fbt=webapp_preview&amp;addon_version=6.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DAUPirN7cwGUFhBLDuCdYjUQ==">CgMxLjAyDmgubWprcmEzdTBpbnBuMglpZC5namRneHM4AHIhMUNOdzh4Z2dNTFFmUWZudFB4MWlWN2w2SVhKcmlSN2Iw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5844</Words>
  <Characters>32142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Maria Ramos Radriguez</dc:creator>
  <cp:lastModifiedBy>Yina Paola Fierro Gaona</cp:lastModifiedBy>
  <cp:revision>3</cp:revision>
  <dcterms:created xsi:type="dcterms:W3CDTF">2025-09-09T21:01:00Z</dcterms:created>
  <dcterms:modified xsi:type="dcterms:W3CDTF">2025-09-09T22:11:00Z</dcterms:modified>
</cp:coreProperties>
</file>