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58E" w:rsidRDefault="009B358E">
      <w:pPr>
        <w:widowControl w:val="0"/>
        <w:pBdr>
          <w:top w:val="nil"/>
          <w:left w:val="nil"/>
          <w:bottom w:val="nil"/>
          <w:right w:val="nil"/>
          <w:between w:val="nil"/>
        </w:pBdr>
        <w:spacing w:after="0" w:line="276" w:lineRule="auto"/>
      </w:pPr>
    </w:p>
    <w:p w:rsidR="009B358E" w:rsidRDefault="00393FF3">
      <w:pPr>
        <w:widowControl w:val="0"/>
        <w:pBdr>
          <w:top w:val="nil"/>
          <w:left w:val="nil"/>
          <w:bottom w:val="nil"/>
          <w:right w:val="nil"/>
          <w:between w:val="nil"/>
        </w:pBdr>
        <w:spacing w:before="1" w:after="0" w:line="240" w:lineRule="auto"/>
        <w:ind w:left="1561" w:right="137"/>
        <w:jc w:val="both"/>
        <w:rPr>
          <w:rFonts w:ascii="Arial" w:eastAsia="Arial" w:hAnsi="Arial" w:cs="Arial"/>
          <w:color w:val="000000"/>
          <w:sz w:val="24"/>
          <w:szCs w:val="24"/>
        </w:rPr>
      </w:pPr>
      <w:bookmarkStart w:id="0" w:name="_heading=h.8hhqu26s9xnt" w:colFirst="0" w:colLast="0"/>
      <w:bookmarkEnd w:id="0"/>
      <w:r>
        <w:rPr>
          <w:rFonts w:ascii="Arial" w:eastAsia="Arial" w:hAnsi="Arial" w:cs="Arial"/>
          <w:color w:val="000000"/>
          <w:sz w:val="24"/>
          <w:szCs w:val="24"/>
        </w:rPr>
        <w:t>Bogotá D.C. 3 de septiembre de 2025</w:t>
      </w:r>
    </w:p>
    <w:p w:rsidR="009B358E" w:rsidRDefault="009B358E">
      <w:pPr>
        <w:widowControl w:val="0"/>
        <w:pBdr>
          <w:top w:val="nil"/>
          <w:left w:val="nil"/>
          <w:bottom w:val="nil"/>
          <w:right w:val="nil"/>
          <w:between w:val="nil"/>
        </w:pBdr>
        <w:spacing w:before="1" w:after="0" w:line="240" w:lineRule="auto"/>
        <w:ind w:left="1561" w:right="137"/>
        <w:jc w:val="both"/>
        <w:rPr>
          <w:rFonts w:ascii="Arial" w:eastAsia="Arial" w:hAnsi="Arial" w:cs="Arial"/>
          <w:color w:val="000000"/>
          <w:sz w:val="24"/>
          <w:szCs w:val="24"/>
        </w:rPr>
      </w:pPr>
    </w:p>
    <w:p w:rsidR="009B358E" w:rsidRDefault="009B358E">
      <w:pPr>
        <w:widowControl w:val="0"/>
        <w:pBdr>
          <w:top w:val="nil"/>
          <w:left w:val="nil"/>
          <w:bottom w:val="nil"/>
          <w:right w:val="nil"/>
          <w:between w:val="nil"/>
        </w:pBdr>
        <w:spacing w:before="1" w:after="0" w:line="240" w:lineRule="auto"/>
        <w:ind w:left="1561" w:right="137"/>
        <w:jc w:val="both"/>
        <w:rPr>
          <w:rFonts w:ascii="Arial" w:eastAsia="Arial" w:hAnsi="Arial" w:cs="Arial"/>
          <w:color w:val="000000"/>
          <w:sz w:val="24"/>
          <w:szCs w:val="24"/>
        </w:rPr>
      </w:pPr>
    </w:p>
    <w:p w:rsidR="009B358E" w:rsidRDefault="009B358E">
      <w:pPr>
        <w:widowControl w:val="0"/>
        <w:pBdr>
          <w:top w:val="nil"/>
          <w:left w:val="nil"/>
          <w:bottom w:val="nil"/>
          <w:right w:val="nil"/>
          <w:between w:val="nil"/>
        </w:pBdr>
        <w:spacing w:before="1" w:after="0" w:line="240" w:lineRule="auto"/>
        <w:ind w:left="1561" w:right="137"/>
        <w:jc w:val="both"/>
        <w:rPr>
          <w:rFonts w:ascii="Arial" w:eastAsia="Arial" w:hAnsi="Arial" w:cs="Arial"/>
          <w:color w:val="000000"/>
          <w:sz w:val="24"/>
          <w:szCs w:val="24"/>
        </w:rPr>
      </w:pPr>
    </w:p>
    <w:p w:rsidR="009B358E" w:rsidRDefault="00393FF3">
      <w:pPr>
        <w:widowControl w:val="0"/>
        <w:pBdr>
          <w:top w:val="nil"/>
          <w:left w:val="nil"/>
          <w:bottom w:val="nil"/>
          <w:right w:val="nil"/>
          <w:between w:val="nil"/>
        </w:pBdr>
        <w:spacing w:before="1" w:after="0" w:line="240" w:lineRule="auto"/>
        <w:ind w:left="1561" w:right="137"/>
        <w:jc w:val="both"/>
        <w:rPr>
          <w:rFonts w:ascii="Arial" w:eastAsia="Arial" w:hAnsi="Arial" w:cs="Arial"/>
          <w:color w:val="000000"/>
          <w:sz w:val="24"/>
          <w:szCs w:val="24"/>
        </w:rPr>
      </w:pPr>
      <w:r>
        <w:rPr>
          <w:rFonts w:ascii="Arial" w:eastAsia="Arial" w:hAnsi="Arial" w:cs="Arial"/>
          <w:color w:val="000000"/>
          <w:sz w:val="24"/>
          <w:szCs w:val="24"/>
        </w:rPr>
        <w:t xml:space="preserve">Doctor, </w:t>
      </w:r>
    </w:p>
    <w:p w:rsidR="009B358E" w:rsidRDefault="00393FF3">
      <w:pPr>
        <w:widowControl w:val="0"/>
        <w:pBdr>
          <w:top w:val="nil"/>
          <w:left w:val="nil"/>
          <w:bottom w:val="nil"/>
          <w:right w:val="nil"/>
          <w:between w:val="nil"/>
        </w:pBdr>
        <w:spacing w:before="1" w:after="0" w:line="240" w:lineRule="auto"/>
        <w:ind w:left="1561" w:right="137"/>
        <w:jc w:val="both"/>
        <w:rPr>
          <w:rFonts w:ascii="Arial" w:eastAsia="Arial" w:hAnsi="Arial" w:cs="Arial"/>
          <w:b/>
          <w:color w:val="000000"/>
          <w:sz w:val="24"/>
          <w:szCs w:val="24"/>
        </w:rPr>
      </w:pPr>
      <w:r>
        <w:rPr>
          <w:rFonts w:ascii="Arial" w:eastAsia="Arial" w:hAnsi="Arial" w:cs="Arial"/>
          <w:b/>
          <w:color w:val="000000"/>
          <w:sz w:val="24"/>
          <w:szCs w:val="24"/>
        </w:rPr>
        <w:t>JAIME LUIS LACOUTURE PEÑALOZA</w:t>
      </w:r>
    </w:p>
    <w:p w:rsidR="009B358E" w:rsidRDefault="00393FF3">
      <w:pPr>
        <w:widowControl w:val="0"/>
        <w:pBdr>
          <w:top w:val="nil"/>
          <w:left w:val="nil"/>
          <w:bottom w:val="nil"/>
          <w:right w:val="nil"/>
          <w:between w:val="nil"/>
        </w:pBdr>
        <w:spacing w:before="1" w:after="0" w:line="240" w:lineRule="auto"/>
        <w:ind w:left="1561" w:right="137"/>
        <w:jc w:val="both"/>
        <w:rPr>
          <w:rFonts w:ascii="Arial" w:eastAsia="Arial" w:hAnsi="Arial" w:cs="Arial"/>
          <w:color w:val="000000"/>
          <w:sz w:val="24"/>
          <w:szCs w:val="24"/>
        </w:rPr>
      </w:pPr>
      <w:r>
        <w:rPr>
          <w:rFonts w:ascii="Arial" w:eastAsia="Arial" w:hAnsi="Arial" w:cs="Arial"/>
          <w:color w:val="000000"/>
          <w:sz w:val="24"/>
          <w:szCs w:val="24"/>
        </w:rPr>
        <w:t>Secretario General Cámara de Representantes</w:t>
      </w:r>
    </w:p>
    <w:p w:rsidR="009B358E" w:rsidRDefault="00393FF3">
      <w:pPr>
        <w:widowControl w:val="0"/>
        <w:pBdr>
          <w:top w:val="nil"/>
          <w:left w:val="nil"/>
          <w:bottom w:val="nil"/>
          <w:right w:val="nil"/>
          <w:between w:val="nil"/>
        </w:pBdr>
        <w:spacing w:before="1" w:after="0" w:line="240" w:lineRule="auto"/>
        <w:ind w:left="1561" w:right="137"/>
        <w:jc w:val="both"/>
        <w:rPr>
          <w:rFonts w:ascii="Arial" w:eastAsia="Arial" w:hAnsi="Arial" w:cs="Arial"/>
          <w:color w:val="000000"/>
          <w:sz w:val="24"/>
          <w:szCs w:val="24"/>
        </w:rPr>
      </w:pPr>
      <w:r>
        <w:rPr>
          <w:rFonts w:ascii="Arial" w:eastAsia="Arial" w:hAnsi="Arial" w:cs="Arial"/>
          <w:color w:val="000000"/>
          <w:sz w:val="24"/>
          <w:szCs w:val="24"/>
        </w:rPr>
        <w:t>E.S.D.</w:t>
      </w:r>
    </w:p>
    <w:p w:rsidR="009B358E" w:rsidRDefault="009B358E">
      <w:pPr>
        <w:widowControl w:val="0"/>
        <w:pBdr>
          <w:top w:val="nil"/>
          <w:left w:val="nil"/>
          <w:bottom w:val="nil"/>
          <w:right w:val="nil"/>
          <w:between w:val="nil"/>
        </w:pBdr>
        <w:spacing w:before="1" w:after="0" w:line="240" w:lineRule="auto"/>
        <w:ind w:left="1561" w:right="137"/>
        <w:jc w:val="both"/>
        <w:rPr>
          <w:rFonts w:ascii="Arial" w:eastAsia="Arial" w:hAnsi="Arial" w:cs="Arial"/>
          <w:color w:val="000000"/>
          <w:sz w:val="24"/>
          <w:szCs w:val="24"/>
        </w:rPr>
      </w:pPr>
    </w:p>
    <w:p w:rsidR="009B358E" w:rsidRDefault="009B358E">
      <w:pPr>
        <w:widowControl w:val="0"/>
        <w:pBdr>
          <w:top w:val="nil"/>
          <w:left w:val="nil"/>
          <w:bottom w:val="nil"/>
          <w:right w:val="nil"/>
          <w:between w:val="nil"/>
        </w:pBdr>
        <w:spacing w:before="1" w:after="0" w:line="240" w:lineRule="auto"/>
        <w:ind w:left="1561" w:right="137"/>
        <w:jc w:val="both"/>
        <w:rPr>
          <w:rFonts w:ascii="Arial" w:eastAsia="Arial" w:hAnsi="Arial" w:cs="Arial"/>
          <w:color w:val="000000"/>
          <w:sz w:val="24"/>
          <w:szCs w:val="24"/>
        </w:rPr>
      </w:pPr>
    </w:p>
    <w:p w:rsidR="009B358E" w:rsidRDefault="009B358E">
      <w:pPr>
        <w:widowControl w:val="0"/>
        <w:pBdr>
          <w:top w:val="nil"/>
          <w:left w:val="nil"/>
          <w:bottom w:val="nil"/>
          <w:right w:val="nil"/>
          <w:between w:val="nil"/>
        </w:pBdr>
        <w:spacing w:before="1" w:after="0" w:line="240" w:lineRule="auto"/>
        <w:ind w:left="1561" w:right="137"/>
        <w:jc w:val="both"/>
        <w:rPr>
          <w:rFonts w:ascii="Arial" w:eastAsia="Arial" w:hAnsi="Arial" w:cs="Arial"/>
          <w:color w:val="000000"/>
          <w:sz w:val="24"/>
          <w:szCs w:val="24"/>
        </w:rPr>
      </w:pPr>
    </w:p>
    <w:p w:rsidR="009B358E" w:rsidRDefault="00393FF3">
      <w:pPr>
        <w:widowControl w:val="0"/>
        <w:pBdr>
          <w:top w:val="nil"/>
          <w:left w:val="nil"/>
          <w:bottom w:val="nil"/>
          <w:right w:val="nil"/>
          <w:between w:val="nil"/>
        </w:pBdr>
        <w:spacing w:before="1" w:after="0" w:line="240" w:lineRule="auto"/>
        <w:ind w:left="1561" w:right="137"/>
        <w:jc w:val="both"/>
        <w:rPr>
          <w:rFonts w:ascii="Arial" w:eastAsia="Arial" w:hAnsi="Arial" w:cs="Arial"/>
          <w:color w:val="000000"/>
          <w:sz w:val="24"/>
          <w:szCs w:val="24"/>
        </w:rPr>
      </w:pPr>
      <w:r>
        <w:rPr>
          <w:rFonts w:ascii="Arial" w:eastAsia="Arial" w:hAnsi="Arial" w:cs="Arial"/>
          <w:color w:val="000000"/>
          <w:sz w:val="24"/>
          <w:szCs w:val="24"/>
        </w:rPr>
        <w:t xml:space="preserve">Respetado Doctor </w:t>
      </w:r>
      <w:proofErr w:type="spellStart"/>
      <w:r>
        <w:rPr>
          <w:rFonts w:ascii="Arial" w:eastAsia="Arial" w:hAnsi="Arial" w:cs="Arial"/>
          <w:color w:val="000000"/>
          <w:sz w:val="24"/>
          <w:szCs w:val="24"/>
        </w:rPr>
        <w:t>Lacouture</w:t>
      </w:r>
      <w:proofErr w:type="spellEnd"/>
      <w:r>
        <w:rPr>
          <w:rFonts w:ascii="Arial" w:eastAsia="Arial" w:hAnsi="Arial" w:cs="Arial"/>
          <w:color w:val="000000"/>
          <w:sz w:val="24"/>
          <w:szCs w:val="24"/>
        </w:rPr>
        <w:t>,</w:t>
      </w:r>
    </w:p>
    <w:p w:rsidR="009B358E" w:rsidRDefault="009B358E">
      <w:pPr>
        <w:widowControl w:val="0"/>
        <w:pBdr>
          <w:top w:val="nil"/>
          <w:left w:val="nil"/>
          <w:bottom w:val="nil"/>
          <w:right w:val="nil"/>
          <w:between w:val="nil"/>
        </w:pBdr>
        <w:spacing w:before="1" w:after="0" w:line="240" w:lineRule="auto"/>
        <w:ind w:left="1561" w:right="137"/>
        <w:jc w:val="both"/>
        <w:rPr>
          <w:rFonts w:ascii="Arial" w:eastAsia="Arial" w:hAnsi="Arial" w:cs="Arial"/>
          <w:color w:val="000000"/>
          <w:sz w:val="24"/>
          <w:szCs w:val="24"/>
        </w:rPr>
      </w:pPr>
    </w:p>
    <w:p w:rsidR="009B358E" w:rsidRDefault="009B358E">
      <w:pPr>
        <w:widowControl w:val="0"/>
        <w:pBdr>
          <w:top w:val="nil"/>
          <w:left w:val="nil"/>
          <w:bottom w:val="nil"/>
          <w:right w:val="nil"/>
          <w:between w:val="nil"/>
        </w:pBdr>
        <w:spacing w:before="1" w:after="0" w:line="240" w:lineRule="auto"/>
        <w:ind w:left="1561" w:right="137"/>
        <w:jc w:val="both"/>
        <w:rPr>
          <w:rFonts w:ascii="Arial" w:eastAsia="Arial" w:hAnsi="Arial" w:cs="Arial"/>
          <w:color w:val="000000"/>
          <w:sz w:val="24"/>
          <w:szCs w:val="24"/>
        </w:rPr>
      </w:pPr>
    </w:p>
    <w:p w:rsidR="009B358E" w:rsidRDefault="009B358E">
      <w:pPr>
        <w:widowControl w:val="0"/>
        <w:pBdr>
          <w:top w:val="nil"/>
          <w:left w:val="nil"/>
          <w:bottom w:val="nil"/>
          <w:right w:val="nil"/>
          <w:between w:val="nil"/>
        </w:pBdr>
        <w:spacing w:before="1" w:after="0" w:line="240" w:lineRule="auto"/>
        <w:ind w:left="1561" w:right="137"/>
        <w:jc w:val="both"/>
        <w:rPr>
          <w:rFonts w:ascii="Arial" w:eastAsia="Arial" w:hAnsi="Arial" w:cs="Arial"/>
          <w:color w:val="000000"/>
          <w:sz w:val="24"/>
          <w:szCs w:val="24"/>
        </w:rPr>
      </w:pPr>
    </w:p>
    <w:p w:rsidR="009B358E" w:rsidRDefault="009B358E">
      <w:pPr>
        <w:widowControl w:val="0"/>
        <w:pBdr>
          <w:top w:val="nil"/>
          <w:left w:val="nil"/>
          <w:bottom w:val="nil"/>
          <w:right w:val="nil"/>
          <w:between w:val="nil"/>
        </w:pBdr>
        <w:spacing w:before="1" w:after="0" w:line="240" w:lineRule="auto"/>
        <w:ind w:left="1561" w:right="137"/>
        <w:jc w:val="both"/>
        <w:rPr>
          <w:rFonts w:ascii="Arial" w:eastAsia="Arial" w:hAnsi="Arial" w:cs="Arial"/>
          <w:color w:val="000000"/>
          <w:sz w:val="24"/>
          <w:szCs w:val="24"/>
        </w:rPr>
      </w:pPr>
    </w:p>
    <w:p w:rsidR="009B358E" w:rsidRDefault="00393FF3">
      <w:pPr>
        <w:widowControl w:val="0"/>
        <w:pBdr>
          <w:top w:val="nil"/>
          <w:left w:val="nil"/>
          <w:bottom w:val="nil"/>
          <w:right w:val="nil"/>
          <w:between w:val="nil"/>
        </w:pBdr>
        <w:spacing w:before="1" w:after="0" w:line="240" w:lineRule="auto"/>
        <w:ind w:left="1561" w:right="137"/>
        <w:jc w:val="both"/>
        <w:rPr>
          <w:rFonts w:ascii="Arial Narrow" w:eastAsia="Arial Narrow" w:hAnsi="Arial Narrow" w:cs="Arial Narrow"/>
          <w:b/>
          <w:i/>
          <w:color w:val="000000"/>
          <w:sz w:val="26"/>
          <w:szCs w:val="26"/>
        </w:rPr>
      </w:pPr>
      <w:r>
        <w:rPr>
          <w:rFonts w:ascii="Arial Narrow" w:eastAsia="Arial Narrow" w:hAnsi="Arial Narrow" w:cs="Arial Narrow"/>
          <w:color w:val="000000"/>
          <w:sz w:val="26"/>
          <w:szCs w:val="26"/>
        </w:rPr>
        <w:t>Por medio del presente escrito, radicamos en su despacho, el Proyecto de ley N° ____ de 2025 «</w:t>
      </w:r>
      <w:r>
        <w:rPr>
          <w:rFonts w:ascii="Arial Narrow" w:eastAsia="Arial Narrow" w:hAnsi="Arial Narrow" w:cs="Arial Narrow"/>
          <w:b/>
          <w:i/>
          <w:color w:val="000000"/>
          <w:sz w:val="26"/>
          <w:szCs w:val="26"/>
        </w:rPr>
        <w:t>Por medio de la cual se crea y autoriza a la Asamblea del Departamento del Guainía para emitir la estampilla pro- Hospitales Públicos, Centros de Salud Públicos y Puestos de Salud públicos del Guainía y se dictan otras</w:t>
      </w:r>
    </w:p>
    <w:p w:rsidR="009B358E" w:rsidRDefault="00393FF3">
      <w:pPr>
        <w:widowControl w:val="0"/>
        <w:pBdr>
          <w:top w:val="nil"/>
          <w:left w:val="nil"/>
          <w:bottom w:val="nil"/>
          <w:right w:val="nil"/>
          <w:between w:val="nil"/>
        </w:pBdr>
        <w:spacing w:before="1" w:after="0" w:line="240" w:lineRule="auto"/>
        <w:ind w:left="1561" w:right="137"/>
        <w:jc w:val="both"/>
        <w:rPr>
          <w:rFonts w:ascii="Arial Narrow" w:eastAsia="Arial Narrow" w:hAnsi="Arial Narrow" w:cs="Arial Narrow"/>
          <w:color w:val="000000"/>
          <w:sz w:val="26"/>
          <w:szCs w:val="26"/>
        </w:rPr>
      </w:pPr>
      <w:r>
        <w:rPr>
          <w:rFonts w:ascii="Arial Narrow" w:eastAsia="Arial Narrow" w:hAnsi="Arial Narrow" w:cs="Arial Narrow"/>
          <w:b/>
          <w:i/>
          <w:color w:val="000000"/>
          <w:sz w:val="26"/>
          <w:szCs w:val="26"/>
        </w:rPr>
        <w:t>disposiciones</w:t>
      </w:r>
      <w:r>
        <w:rPr>
          <w:rFonts w:ascii="Arial Narrow" w:eastAsia="Arial Narrow" w:hAnsi="Arial Narrow" w:cs="Arial Narrow"/>
          <w:color w:val="000000"/>
          <w:sz w:val="26"/>
          <w:szCs w:val="26"/>
        </w:rPr>
        <w:t>»</w:t>
      </w:r>
    </w:p>
    <w:p w:rsidR="009B358E" w:rsidRDefault="009B358E">
      <w:pPr>
        <w:widowControl w:val="0"/>
        <w:pBdr>
          <w:top w:val="nil"/>
          <w:left w:val="nil"/>
          <w:bottom w:val="nil"/>
          <w:right w:val="nil"/>
          <w:between w:val="nil"/>
        </w:pBdr>
        <w:spacing w:before="1" w:after="0" w:line="240" w:lineRule="auto"/>
        <w:ind w:left="1561" w:right="137"/>
        <w:jc w:val="both"/>
        <w:rPr>
          <w:rFonts w:ascii="Arial" w:eastAsia="Arial" w:hAnsi="Arial" w:cs="Arial"/>
          <w:color w:val="000000"/>
          <w:sz w:val="24"/>
          <w:szCs w:val="24"/>
        </w:rPr>
      </w:pPr>
    </w:p>
    <w:p w:rsidR="009B358E" w:rsidRDefault="006A546A">
      <w:pPr>
        <w:pBdr>
          <w:top w:val="nil"/>
          <w:left w:val="nil"/>
          <w:bottom w:val="nil"/>
          <w:right w:val="nil"/>
          <w:between w:val="nil"/>
        </w:pBdr>
        <w:spacing w:line="240" w:lineRule="auto"/>
        <w:ind w:left="708" w:firstLine="708"/>
        <w:jc w:val="both"/>
        <w:rPr>
          <w:rFonts w:ascii="Arial" w:eastAsia="Arial" w:hAnsi="Arial" w:cs="Arial"/>
          <w:color w:val="000000"/>
        </w:rPr>
      </w:pPr>
      <w:r>
        <w:rPr>
          <w:rFonts w:ascii="Arial" w:eastAsia="Arial" w:hAnsi="Arial" w:cs="Arial"/>
          <w:color w:val="000000"/>
        </w:rPr>
        <w:t xml:space="preserve">  </w:t>
      </w:r>
      <w:r w:rsidR="00393FF3">
        <w:rPr>
          <w:rFonts w:ascii="Arial" w:eastAsia="Arial" w:hAnsi="Arial" w:cs="Arial"/>
          <w:color w:val="000000"/>
        </w:rPr>
        <w:t>Atentamente,</w:t>
      </w:r>
    </w:p>
    <w:p w:rsidR="009B358E" w:rsidRDefault="00393FF3">
      <w:pPr>
        <w:pBdr>
          <w:top w:val="nil"/>
          <w:left w:val="nil"/>
          <w:bottom w:val="nil"/>
          <w:right w:val="nil"/>
          <w:between w:val="nil"/>
        </w:pBdr>
        <w:spacing w:line="240" w:lineRule="auto"/>
        <w:ind w:left="708" w:firstLine="708"/>
        <w:jc w:val="both"/>
        <w:rPr>
          <w:rFonts w:ascii="Arial" w:eastAsia="Arial" w:hAnsi="Arial" w:cs="Arial"/>
          <w:color w:val="000000"/>
        </w:rPr>
      </w:pPr>
      <w:r>
        <w:rPr>
          <w:rFonts w:ascii="Arial" w:eastAsia="Arial" w:hAnsi="Arial" w:cs="Arial"/>
          <w:color w:val="000000"/>
        </w:rPr>
        <w:t xml:space="preserve"> </w:t>
      </w:r>
    </w:p>
    <w:p w:rsidR="006A546A" w:rsidRDefault="006A546A" w:rsidP="006A546A">
      <w:pPr>
        <w:pBdr>
          <w:top w:val="nil"/>
          <w:left w:val="nil"/>
          <w:bottom w:val="nil"/>
          <w:right w:val="nil"/>
          <w:between w:val="nil"/>
        </w:pBdr>
        <w:spacing w:after="0" w:line="276" w:lineRule="auto"/>
        <w:ind w:left="708" w:firstLine="708"/>
        <w:jc w:val="both"/>
        <w:rPr>
          <w:rFonts w:ascii="Arial" w:eastAsia="Arial" w:hAnsi="Arial" w:cs="Arial"/>
          <w:color w:val="000000"/>
        </w:rPr>
      </w:pPr>
    </w:p>
    <w:p w:rsidR="006A546A" w:rsidRDefault="006A546A" w:rsidP="006A546A">
      <w:pPr>
        <w:pBdr>
          <w:top w:val="nil"/>
          <w:left w:val="nil"/>
          <w:bottom w:val="nil"/>
          <w:right w:val="nil"/>
          <w:between w:val="nil"/>
        </w:pBdr>
        <w:spacing w:after="0" w:line="276" w:lineRule="auto"/>
        <w:ind w:left="708" w:firstLine="708"/>
        <w:jc w:val="both"/>
        <w:rPr>
          <w:rFonts w:ascii="Arial" w:eastAsia="Arial" w:hAnsi="Arial" w:cs="Arial"/>
          <w:color w:val="000000"/>
        </w:rPr>
      </w:pPr>
      <w:r>
        <w:rPr>
          <w:rFonts w:ascii="Arial" w:eastAsia="Arial" w:hAnsi="Arial" w:cs="Arial"/>
          <w:color w:val="000000"/>
        </w:rPr>
        <w:t xml:space="preserve">                                                                 </w:t>
      </w:r>
    </w:p>
    <w:p w:rsidR="006A546A" w:rsidRPr="006A546A" w:rsidRDefault="006A546A" w:rsidP="006A546A">
      <w:p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rPr>
        <w:t xml:space="preserve">                        </w:t>
      </w:r>
      <w:r w:rsidRPr="006A546A">
        <w:rPr>
          <w:rFonts w:ascii="Arial" w:eastAsia="Arial" w:hAnsi="Arial" w:cs="Arial"/>
          <w:b/>
          <w:color w:val="000000"/>
        </w:rPr>
        <w:t xml:space="preserve">ALEXANDER GUARÍN SILVA </w:t>
      </w:r>
      <w:r>
        <w:rPr>
          <w:rFonts w:ascii="Arial" w:eastAsia="Arial" w:hAnsi="Arial" w:cs="Arial"/>
          <w:b/>
          <w:color w:val="000000"/>
        </w:rPr>
        <w:t xml:space="preserve">                 JOSÉ ELIECER SALAZAR LÓPEZ </w:t>
      </w:r>
    </w:p>
    <w:p w:rsidR="009B358E" w:rsidRPr="006A546A" w:rsidRDefault="006A546A" w:rsidP="006A546A">
      <w:p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color w:val="000000"/>
        </w:rPr>
        <w:t xml:space="preserve">                        </w:t>
      </w:r>
      <w:r w:rsidRPr="006A546A">
        <w:rPr>
          <w:rFonts w:ascii="Arial" w:eastAsia="Arial" w:hAnsi="Arial" w:cs="Arial"/>
          <w:color w:val="000000"/>
        </w:rPr>
        <w:t xml:space="preserve">Representante a la Cámara                  </w:t>
      </w:r>
      <w:r>
        <w:rPr>
          <w:rFonts w:ascii="Arial" w:eastAsia="Arial" w:hAnsi="Arial" w:cs="Arial"/>
          <w:color w:val="000000"/>
        </w:rPr>
        <w:t xml:space="preserve">     </w:t>
      </w:r>
      <w:r w:rsidRPr="006A546A">
        <w:rPr>
          <w:rFonts w:ascii="Arial" w:eastAsia="Arial" w:hAnsi="Arial" w:cs="Arial"/>
          <w:color w:val="000000"/>
        </w:rPr>
        <w:t xml:space="preserve">Representante a la Cámara </w:t>
      </w:r>
    </w:p>
    <w:p w:rsidR="006A546A" w:rsidRPr="006A546A" w:rsidRDefault="006A546A" w:rsidP="006A546A">
      <w:pPr>
        <w:pBdr>
          <w:top w:val="nil"/>
          <w:left w:val="nil"/>
          <w:bottom w:val="nil"/>
          <w:right w:val="nil"/>
          <w:between w:val="nil"/>
        </w:pBdr>
        <w:spacing w:after="0" w:line="276" w:lineRule="auto"/>
        <w:rPr>
          <w:rFonts w:ascii="Arial" w:eastAsia="Arial" w:hAnsi="Arial" w:cs="Arial"/>
          <w:color w:val="000000"/>
        </w:rPr>
      </w:pPr>
      <w:r w:rsidRPr="006A546A">
        <w:rPr>
          <w:rFonts w:ascii="Arial" w:eastAsia="Arial" w:hAnsi="Arial" w:cs="Arial"/>
          <w:color w:val="000000"/>
        </w:rPr>
        <w:t xml:space="preserve">                      </w:t>
      </w:r>
      <w:r>
        <w:rPr>
          <w:rFonts w:ascii="Arial" w:eastAsia="Arial" w:hAnsi="Arial" w:cs="Arial"/>
          <w:color w:val="000000"/>
        </w:rPr>
        <w:t xml:space="preserve">  </w:t>
      </w:r>
      <w:r w:rsidRPr="006A546A">
        <w:rPr>
          <w:rFonts w:ascii="Arial" w:eastAsia="Arial" w:hAnsi="Arial" w:cs="Arial"/>
          <w:color w:val="000000"/>
        </w:rPr>
        <w:t xml:space="preserve">Departamento del Guainía                   </w:t>
      </w:r>
      <w:r>
        <w:rPr>
          <w:rFonts w:ascii="Arial" w:eastAsia="Arial" w:hAnsi="Arial" w:cs="Arial"/>
          <w:color w:val="000000"/>
        </w:rPr>
        <w:t xml:space="preserve">      </w:t>
      </w:r>
      <w:r w:rsidRPr="006A546A">
        <w:rPr>
          <w:rFonts w:ascii="Arial" w:eastAsia="Arial" w:hAnsi="Arial" w:cs="Arial"/>
          <w:color w:val="000000"/>
        </w:rPr>
        <w:t xml:space="preserve">Departamento del Cesar </w:t>
      </w:r>
    </w:p>
    <w:p w:rsidR="009B358E" w:rsidRPr="006A546A" w:rsidRDefault="00393FF3" w:rsidP="006A546A">
      <w:pPr>
        <w:spacing w:after="0" w:line="276" w:lineRule="auto"/>
        <w:rPr>
          <w:rFonts w:ascii="Arial" w:eastAsia="Arial" w:hAnsi="Arial" w:cs="Arial"/>
          <w:color w:val="000000"/>
        </w:rPr>
      </w:pPr>
      <w:r w:rsidRPr="006A546A">
        <w:rPr>
          <w:rFonts w:ascii="Arial" w:eastAsia="Arial" w:hAnsi="Arial" w:cs="Arial"/>
        </w:rPr>
        <w:t xml:space="preserve"> </w:t>
      </w:r>
    </w:p>
    <w:p w:rsidR="009B358E" w:rsidRDefault="009B358E">
      <w:pPr>
        <w:pBdr>
          <w:top w:val="nil"/>
          <w:left w:val="nil"/>
          <w:bottom w:val="nil"/>
          <w:right w:val="nil"/>
          <w:between w:val="nil"/>
        </w:pBdr>
        <w:spacing w:after="0" w:line="276" w:lineRule="auto"/>
        <w:ind w:left="708"/>
        <w:jc w:val="both"/>
        <w:rPr>
          <w:rFonts w:ascii="Arial" w:eastAsia="Arial" w:hAnsi="Arial" w:cs="Arial"/>
          <w:color w:val="000000"/>
          <w:sz w:val="16"/>
          <w:szCs w:val="16"/>
        </w:rPr>
      </w:pPr>
    </w:p>
    <w:p w:rsidR="009B358E" w:rsidRDefault="009B358E">
      <w:pPr>
        <w:pBdr>
          <w:top w:val="nil"/>
          <w:left w:val="nil"/>
          <w:bottom w:val="nil"/>
          <w:right w:val="nil"/>
          <w:between w:val="nil"/>
        </w:pBdr>
        <w:spacing w:after="0" w:line="276" w:lineRule="auto"/>
        <w:ind w:left="708"/>
        <w:jc w:val="both"/>
        <w:rPr>
          <w:rFonts w:ascii="Arial" w:eastAsia="Arial" w:hAnsi="Arial" w:cs="Arial"/>
          <w:color w:val="000000"/>
          <w:sz w:val="16"/>
          <w:szCs w:val="16"/>
        </w:rPr>
      </w:pPr>
    </w:p>
    <w:p w:rsidR="009B358E" w:rsidRDefault="009B358E">
      <w:pPr>
        <w:pBdr>
          <w:top w:val="nil"/>
          <w:left w:val="nil"/>
          <w:bottom w:val="nil"/>
          <w:right w:val="nil"/>
          <w:between w:val="nil"/>
        </w:pBdr>
        <w:spacing w:after="0" w:line="276" w:lineRule="auto"/>
        <w:ind w:left="708"/>
        <w:jc w:val="both"/>
        <w:rPr>
          <w:rFonts w:ascii="Arial" w:eastAsia="Arial" w:hAnsi="Arial" w:cs="Arial"/>
          <w:color w:val="000000"/>
          <w:sz w:val="16"/>
          <w:szCs w:val="16"/>
        </w:rPr>
      </w:pPr>
    </w:p>
    <w:p w:rsidR="009B358E" w:rsidRDefault="009B358E">
      <w:pPr>
        <w:pBdr>
          <w:top w:val="nil"/>
          <w:left w:val="nil"/>
          <w:bottom w:val="nil"/>
          <w:right w:val="nil"/>
          <w:between w:val="nil"/>
        </w:pBdr>
        <w:spacing w:after="0" w:line="276" w:lineRule="auto"/>
        <w:ind w:left="708"/>
        <w:jc w:val="both"/>
        <w:rPr>
          <w:rFonts w:ascii="Arial" w:eastAsia="Arial" w:hAnsi="Arial" w:cs="Arial"/>
          <w:color w:val="000000"/>
          <w:sz w:val="16"/>
          <w:szCs w:val="16"/>
        </w:rPr>
      </w:pPr>
    </w:p>
    <w:p w:rsidR="006A546A" w:rsidRDefault="006A546A">
      <w:pPr>
        <w:pBdr>
          <w:top w:val="nil"/>
          <w:left w:val="nil"/>
          <w:bottom w:val="nil"/>
          <w:right w:val="nil"/>
          <w:between w:val="nil"/>
        </w:pBdr>
        <w:spacing w:after="0" w:line="276" w:lineRule="auto"/>
        <w:ind w:left="708"/>
        <w:jc w:val="both"/>
        <w:rPr>
          <w:rFonts w:ascii="Arial" w:eastAsia="Arial" w:hAnsi="Arial" w:cs="Arial"/>
          <w:color w:val="000000"/>
          <w:sz w:val="16"/>
          <w:szCs w:val="16"/>
        </w:rPr>
      </w:pPr>
    </w:p>
    <w:p w:rsidR="006A546A" w:rsidRDefault="006A546A">
      <w:pPr>
        <w:pBdr>
          <w:top w:val="nil"/>
          <w:left w:val="nil"/>
          <w:bottom w:val="nil"/>
          <w:right w:val="nil"/>
          <w:between w:val="nil"/>
        </w:pBdr>
        <w:spacing w:after="0" w:line="276" w:lineRule="auto"/>
        <w:ind w:left="708"/>
        <w:jc w:val="both"/>
        <w:rPr>
          <w:rFonts w:ascii="Arial" w:eastAsia="Arial" w:hAnsi="Arial" w:cs="Arial"/>
          <w:color w:val="000000"/>
          <w:sz w:val="16"/>
          <w:szCs w:val="16"/>
        </w:rPr>
      </w:pPr>
    </w:p>
    <w:p w:rsidR="006A546A" w:rsidRDefault="006A546A">
      <w:pPr>
        <w:pBdr>
          <w:top w:val="nil"/>
          <w:left w:val="nil"/>
          <w:bottom w:val="nil"/>
          <w:right w:val="nil"/>
          <w:between w:val="nil"/>
        </w:pBdr>
        <w:spacing w:after="0" w:line="276" w:lineRule="auto"/>
        <w:ind w:left="708"/>
        <w:jc w:val="both"/>
        <w:rPr>
          <w:rFonts w:ascii="Arial" w:eastAsia="Arial" w:hAnsi="Arial" w:cs="Arial"/>
          <w:color w:val="000000"/>
          <w:sz w:val="16"/>
          <w:szCs w:val="16"/>
        </w:rPr>
      </w:pPr>
    </w:p>
    <w:p w:rsidR="006A546A" w:rsidRDefault="006A546A">
      <w:pPr>
        <w:pBdr>
          <w:top w:val="nil"/>
          <w:left w:val="nil"/>
          <w:bottom w:val="nil"/>
          <w:right w:val="nil"/>
          <w:between w:val="nil"/>
        </w:pBdr>
        <w:spacing w:after="0" w:line="276" w:lineRule="auto"/>
        <w:ind w:left="708"/>
        <w:jc w:val="both"/>
        <w:rPr>
          <w:rFonts w:ascii="Arial" w:eastAsia="Arial" w:hAnsi="Arial" w:cs="Arial"/>
          <w:color w:val="000000"/>
          <w:sz w:val="16"/>
          <w:szCs w:val="16"/>
        </w:rPr>
      </w:pPr>
    </w:p>
    <w:p w:rsidR="006A546A" w:rsidRDefault="006A546A">
      <w:pPr>
        <w:pBdr>
          <w:top w:val="nil"/>
          <w:left w:val="nil"/>
          <w:bottom w:val="nil"/>
          <w:right w:val="nil"/>
          <w:between w:val="nil"/>
        </w:pBdr>
        <w:spacing w:after="0" w:line="276" w:lineRule="auto"/>
        <w:ind w:left="708"/>
        <w:jc w:val="both"/>
        <w:rPr>
          <w:rFonts w:ascii="Arial" w:eastAsia="Arial" w:hAnsi="Arial" w:cs="Arial"/>
          <w:color w:val="000000"/>
          <w:sz w:val="16"/>
          <w:szCs w:val="16"/>
        </w:rPr>
      </w:pPr>
    </w:p>
    <w:p w:rsidR="006A546A" w:rsidRDefault="006A546A">
      <w:pPr>
        <w:pBdr>
          <w:top w:val="nil"/>
          <w:left w:val="nil"/>
          <w:bottom w:val="nil"/>
          <w:right w:val="nil"/>
          <w:between w:val="nil"/>
        </w:pBdr>
        <w:spacing w:after="0" w:line="276" w:lineRule="auto"/>
        <w:ind w:left="708"/>
        <w:jc w:val="both"/>
        <w:rPr>
          <w:rFonts w:ascii="Arial" w:eastAsia="Arial" w:hAnsi="Arial" w:cs="Arial"/>
          <w:color w:val="000000"/>
          <w:sz w:val="16"/>
          <w:szCs w:val="16"/>
        </w:rPr>
      </w:pPr>
    </w:p>
    <w:p w:rsidR="009B358E" w:rsidRDefault="009B358E">
      <w:pPr>
        <w:pBdr>
          <w:top w:val="nil"/>
          <w:left w:val="nil"/>
          <w:bottom w:val="nil"/>
          <w:right w:val="nil"/>
          <w:between w:val="nil"/>
        </w:pBdr>
        <w:spacing w:after="0" w:line="276" w:lineRule="auto"/>
        <w:ind w:left="708"/>
        <w:jc w:val="both"/>
        <w:rPr>
          <w:rFonts w:ascii="Arial" w:eastAsia="Arial" w:hAnsi="Arial" w:cs="Arial"/>
          <w:color w:val="000000"/>
          <w:sz w:val="16"/>
          <w:szCs w:val="16"/>
        </w:rPr>
      </w:pPr>
    </w:p>
    <w:p w:rsidR="009B358E" w:rsidRDefault="009B358E">
      <w:pPr>
        <w:pBdr>
          <w:top w:val="nil"/>
          <w:left w:val="nil"/>
          <w:bottom w:val="nil"/>
          <w:right w:val="nil"/>
          <w:between w:val="nil"/>
        </w:pBdr>
        <w:spacing w:after="0" w:line="276" w:lineRule="auto"/>
        <w:ind w:left="708"/>
        <w:jc w:val="both"/>
        <w:rPr>
          <w:rFonts w:ascii="Arial" w:eastAsia="Arial" w:hAnsi="Arial" w:cs="Arial"/>
          <w:color w:val="000000"/>
          <w:sz w:val="16"/>
          <w:szCs w:val="16"/>
        </w:rPr>
      </w:pPr>
    </w:p>
    <w:p w:rsidR="009B358E" w:rsidRDefault="009B358E">
      <w:pPr>
        <w:pBdr>
          <w:top w:val="nil"/>
          <w:left w:val="nil"/>
          <w:bottom w:val="nil"/>
          <w:right w:val="nil"/>
          <w:between w:val="nil"/>
        </w:pBdr>
        <w:spacing w:after="0" w:line="276" w:lineRule="auto"/>
        <w:ind w:left="708"/>
        <w:jc w:val="both"/>
        <w:rPr>
          <w:rFonts w:ascii="Arial" w:eastAsia="Arial" w:hAnsi="Arial" w:cs="Arial"/>
          <w:color w:val="000000"/>
          <w:sz w:val="16"/>
          <w:szCs w:val="16"/>
        </w:rPr>
      </w:pPr>
    </w:p>
    <w:p w:rsidR="009B358E" w:rsidRDefault="00393FF3">
      <w:pPr>
        <w:pStyle w:val="Ttulo1"/>
        <w:tabs>
          <w:tab w:val="left" w:pos="4494"/>
        </w:tabs>
        <w:spacing w:before="181"/>
        <w:ind w:left="1420" w:firstLine="0"/>
        <w:jc w:val="center"/>
      </w:pPr>
      <w:r>
        <w:lastRenderedPageBreak/>
        <w:t xml:space="preserve">PROYECTO DE LEY </w:t>
      </w:r>
      <w:r>
        <w:rPr>
          <w:u w:val="single"/>
        </w:rPr>
        <w:tab/>
      </w:r>
      <w:r>
        <w:t>DE 2025 CÁMARA</w:t>
      </w:r>
    </w:p>
    <w:p w:rsidR="009B358E" w:rsidRDefault="00393FF3">
      <w:pPr>
        <w:pStyle w:val="Ttulo2"/>
        <w:spacing w:before="241"/>
        <w:ind w:left="1421"/>
        <w:jc w:val="center"/>
      </w:pPr>
      <w:r>
        <w:t>“Por medio de la cual se crea y autoriza a la Asamblea del Departamento del Guainía para emitir la estampilla pro- Hospitales Públicos, Centros de Salud Públicos y Puestos de Salud públicos del Guainía y se dictan otras</w:t>
      </w:r>
    </w:p>
    <w:p w:rsidR="009B358E" w:rsidRDefault="00393FF3">
      <w:pPr>
        <w:ind w:left="1418"/>
        <w:jc w:val="center"/>
        <w:rPr>
          <w:rFonts w:ascii="Arial" w:eastAsia="Arial" w:hAnsi="Arial" w:cs="Arial"/>
          <w:b/>
          <w:sz w:val="24"/>
          <w:szCs w:val="24"/>
        </w:rPr>
      </w:pPr>
      <w:r>
        <w:rPr>
          <w:rFonts w:ascii="Arial" w:eastAsia="Arial" w:hAnsi="Arial" w:cs="Arial"/>
          <w:b/>
          <w:sz w:val="24"/>
          <w:szCs w:val="24"/>
        </w:rPr>
        <w:t>disposiciones”</w:t>
      </w:r>
    </w:p>
    <w:p w:rsidR="009B358E" w:rsidRDefault="009B358E">
      <w:pPr>
        <w:widowControl w:val="0"/>
        <w:pBdr>
          <w:top w:val="nil"/>
          <w:left w:val="nil"/>
          <w:bottom w:val="nil"/>
          <w:right w:val="nil"/>
          <w:between w:val="nil"/>
        </w:pBdr>
        <w:spacing w:after="0" w:line="240" w:lineRule="auto"/>
        <w:rPr>
          <w:rFonts w:ascii="Arial" w:eastAsia="Arial" w:hAnsi="Arial" w:cs="Arial"/>
          <w:b/>
          <w:color w:val="000000"/>
          <w:sz w:val="24"/>
          <w:szCs w:val="24"/>
        </w:rPr>
      </w:pPr>
    </w:p>
    <w:p w:rsidR="009B358E" w:rsidRDefault="00393FF3">
      <w:pPr>
        <w:widowControl w:val="0"/>
        <w:pBdr>
          <w:top w:val="nil"/>
          <w:left w:val="nil"/>
          <w:bottom w:val="nil"/>
          <w:right w:val="nil"/>
          <w:between w:val="nil"/>
        </w:pBdr>
        <w:spacing w:before="1" w:after="0" w:line="240" w:lineRule="auto"/>
        <w:ind w:left="1561" w:right="137"/>
        <w:jc w:val="both"/>
        <w:rPr>
          <w:rFonts w:ascii="Arial" w:eastAsia="Arial" w:hAnsi="Arial" w:cs="Arial"/>
          <w:color w:val="000000"/>
          <w:sz w:val="24"/>
          <w:szCs w:val="24"/>
        </w:rPr>
      </w:pPr>
      <w:r>
        <w:rPr>
          <w:rFonts w:ascii="Arial" w:eastAsia="Arial" w:hAnsi="Arial" w:cs="Arial"/>
          <w:b/>
          <w:color w:val="000000"/>
          <w:sz w:val="24"/>
          <w:szCs w:val="24"/>
        </w:rPr>
        <w:t>ARTÍCULO 1. OBJETO</w:t>
      </w:r>
      <w:r>
        <w:rPr>
          <w:rFonts w:ascii="Arial" w:eastAsia="Arial" w:hAnsi="Arial" w:cs="Arial"/>
          <w:color w:val="000000"/>
          <w:sz w:val="24"/>
          <w:szCs w:val="24"/>
        </w:rPr>
        <w:t>: Autorícese a la Asamblea del Departamento del Guainía para que ordene la emisión de la Estampilla Pro- Hospitales Públicos, Centros de Salud Públicos y Puestos de Salud Públicos del Departamento del Guainía, con el fin de financiar la infraestructura y el funcionamiento de las instituciones de salud públicas del Departamento.</w:t>
      </w:r>
    </w:p>
    <w:p w:rsidR="009B358E" w:rsidRDefault="00393FF3">
      <w:pPr>
        <w:widowControl w:val="0"/>
        <w:pBdr>
          <w:top w:val="nil"/>
          <w:left w:val="nil"/>
          <w:bottom w:val="nil"/>
          <w:right w:val="nil"/>
          <w:between w:val="nil"/>
        </w:pBdr>
        <w:spacing w:before="274" w:after="0" w:line="240" w:lineRule="auto"/>
        <w:ind w:left="1561" w:right="138"/>
        <w:jc w:val="both"/>
        <w:rPr>
          <w:rFonts w:ascii="Arial" w:eastAsia="Arial" w:hAnsi="Arial" w:cs="Arial"/>
          <w:color w:val="000000"/>
          <w:sz w:val="24"/>
          <w:szCs w:val="24"/>
        </w:rPr>
      </w:pPr>
      <w:r>
        <w:rPr>
          <w:rFonts w:ascii="Arial" w:eastAsia="Arial" w:hAnsi="Arial" w:cs="Arial"/>
          <w:b/>
          <w:color w:val="000000"/>
          <w:sz w:val="24"/>
          <w:szCs w:val="24"/>
        </w:rPr>
        <w:t>ARTÍCULO 2: ATRIBUCIÓN</w:t>
      </w:r>
      <w:r>
        <w:rPr>
          <w:rFonts w:ascii="Arial" w:eastAsia="Arial" w:hAnsi="Arial" w:cs="Arial"/>
          <w:color w:val="000000"/>
          <w:sz w:val="24"/>
          <w:szCs w:val="24"/>
        </w:rPr>
        <w:t xml:space="preserve">: Autorícese a la Asamblea Departamental del Guainía para </w:t>
      </w:r>
      <w:proofErr w:type="gramStart"/>
      <w:r>
        <w:rPr>
          <w:rFonts w:ascii="Arial" w:eastAsia="Arial" w:hAnsi="Arial" w:cs="Arial"/>
          <w:color w:val="000000"/>
          <w:sz w:val="24"/>
          <w:szCs w:val="24"/>
        </w:rPr>
        <w:t>que</w:t>
      </w:r>
      <w:proofErr w:type="gramEnd"/>
      <w:r>
        <w:rPr>
          <w:rFonts w:ascii="Arial" w:eastAsia="Arial" w:hAnsi="Arial" w:cs="Arial"/>
          <w:color w:val="000000"/>
          <w:sz w:val="24"/>
          <w:szCs w:val="24"/>
        </w:rPr>
        <w:t xml:space="preserve"> a la luz de sus atribuciones constitucionales, legales y su reglamento interno, determine las características, tarifas, hechos económicos, sujetos pasivos y activos, las bases gravables y todos los demás asuntos referentes al uso obligatorio de la estampilla en las operaciones que se deban realizar en los diferentes municipios del departamento del Guainía.</w:t>
      </w:r>
    </w:p>
    <w:p w:rsidR="009B358E" w:rsidRDefault="00393FF3">
      <w:pPr>
        <w:widowControl w:val="0"/>
        <w:pBdr>
          <w:top w:val="nil"/>
          <w:left w:val="nil"/>
          <w:bottom w:val="nil"/>
          <w:right w:val="nil"/>
          <w:between w:val="nil"/>
        </w:pBdr>
        <w:spacing w:before="274" w:after="0" w:line="240" w:lineRule="auto"/>
        <w:ind w:left="1561" w:right="138"/>
        <w:jc w:val="both"/>
        <w:rPr>
          <w:rFonts w:ascii="Arial" w:eastAsia="Arial" w:hAnsi="Arial" w:cs="Arial"/>
          <w:color w:val="000000"/>
          <w:sz w:val="24"/>
          <w:szCs w:val="24"/>
        </w:rPr>
      </w:pPr>
      <w:r>
        <w:rPr>
          <w:rFonts w:ascii="Arial" w:eastAsia="Arial" w:hAnsi="Arial" w:cs="Arial"/>
          <w:color w:val="000000"/>
          <w:sz w:val="24"/>
          <w:szCs w:val="24"/>
        </w:rPr>
        <w:t>La Asamblea Departamental del Guainía facultará a los concejos de l</w:t>
      </w:r>
      <w:r>
        <w:rPr>
          <w:rFonts w:ascii="Arial" w:eastAsia="Arial" w:hAnsi="Arial" w:cs="Arial"/>
          <w:sz w:val="24"/>
          <w:szCs w:val="24"/>
        </w:rPr>
        <w:t>o</w:t>
      </w:r>
      <w:r>
        <w:rPr>
          <w:rFonts w:ascii="Arial" w:eastAsia="Arial" w:hAnsi="Arial" w:cs="Arial"/>
          <w:color w:val="000000"/>
          <w:sz w:val="24"/>
          <w:szCs w:val="24"/>
        </w:rPr>
        <w:t xml:space="preserve">s municipios del departamento, para que adopten la obligatoriedad de la aplicación de la estampilla en su municipio, cuya emisión se autoriza por esta ley siempre con destino a las instituciones señaladas en la presente Ley </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pBdr>
          <w:top w:val="nil"/>
          <w:left w:val="nil"/>
          <w:bottom w:val="nil"/>
          <w:right w:val="nil"/>
          <w:between w:val="nil"/>
        </w:pBdr>
        <w:spacing w:before="1" w:after="0" w:line="240" w:lineRule="auto"/>
        <w:ind w:left="1561" w:right="139"/>
        <w:jc w:val="both"/>
        <w:rPr>
          <w:rFonts w:ascii="Arial" w:eastAsia="Arial" w:hAnsi="Arial" w:cs="Arial"/>
          <w:color w:val="000000"/>
          <w:sz w:val="24"/>
          <w:szCs w:val="24"/>
        </w:rPr>
      </w:pPr>
      <w:r>
        <w:rPr>
          <w:rFonts w:ascii="Arial" w:eastAsia="Arial" w:hAnsi="Arial" w:cs="Arial"/>
          <w:b/>
          <w:color w:val="000000"/>
          <w:sz w:val="24"/>
          <w:szCs w:val="24"/>
        </w:rPr>
        <w:t xml:space="preserve">ARTÍCULO 3. MONTO: </w:t>
      </w:r>
      <w:r>
        <w:rPr>
          <w:rFonts w:ascii="Arial" w:eastAsia="Arial" w:hAnsi="Arial" w:cs="Arial"/>
          <w:color w:val="000000"/>
          <w:sz w:val="24"/>
          <w:szCs w:val="24"/>
        </w:rPr>
        <w:t xml:space="preserve">Se </w:t>
      </w:r>
      <w:r>
        <w:rPr>
          <w:rFonts w:ascii="Arial" w:eastAsia="Arial" w:hAnsi="Arial" w:cs="Arial"/>
          <w:sz w:val="24"/>
          <w:szCs w:val="24"/>
        </w:rPr>
        <w:t>autoriza</w:t>
      </w:r>
      <w:r>
        <w:rPr>
          <w:rFonts w:ascii="Arial" w:eastAsia="Arial" w:hAnsi="Arial" w:cs="Arial"/>
          <w:color w:val="000000"/>
          <w:sz w:val="24"/>
          <w:szCs w:val="24"/>
        </w:rPr>
        <w:t xml:space="preserve"> la emisión hasta por un valor de cien mil millones de pesos ($100.000.000, 000). El valor de la emisión que se autoriza, será el correspondiente a pesos colombianos a la fecha que entre en vigencia la presente ley y se suspenderá </w:t>
      </w:r>
      <w:r>
        <w:rPr>
          <w:rFonts w:ascii="Arial" w:eastAsia="Arial" w:hAnsi="Arial" w:cs="Arial"/>
          <w:sz w:val="24"/>
          <w:szCs w:val="24"/>
        </w:rPr>
        <w:t>una</w:t>
      </w:r>
      <w:r>
        <w:rPr>
          <w:rFonts w:ascii="Arial" w:eastAsia="Arial" w:hAnsi="Arial" w:cs="Arial"/>
          <w:color w:val="000000"/>
          <w:sz w:val="24"/>
          <w:szCs w:val="24"/>
        </w:rPr>
        <w:t xml:space="preserve"> vez se alcance el tope autorizado. </w:t>
      </w:r>
    </w:p>
    <w:p w:rsidR="009B358E" w:rsidRDefault="009B358E">
      <w:pPr>
        <w:pStyle w:val="Ttulo2"/>
        <w:ind w:left="0"/>
      </w:pPr>
    </w:p>
    <w:p w:rsidR="009B358E" w:rsidRDefault="00393FF3">
      <w:pPr>
        <w:widowControl w:val="0"/>
        <w:pBdr>
          <w:top w:val="nil"/>
          <w:left w:val="nil"/>
          <w:bottom w:val="nil"/>
          <w:right w:val="nil"/>
          <w:between w:val="nil"/>
        </w:pBdr>
        <w:spacing w:after="0" w:line="240" w:lineRule="auto"/>
        <w:ind w:left="1561" w:right="138"/>
        <w:jc w:val="both"/>
        <w:rPr>
          <w:rFonts w:ascii="Arial" w:eastAsia="Arial" w:hAnsi="Arial" w:cs="Arial"/>
          <w:color w:val="000000"/>
          <w:sz w:val="24"/>
          <w:szCs w:val="24"/>
        </w:rPr>
      </w:pPr>
      <w:r>
        <w:rPr>
          <w:rFonts w:ascii="Arial" w:eastAsia="Arial" w:hAnsi="Arial" w:cs="Arial"/>
          <w:b/>
          <w:color w:val="000000"/>
          <w:sz w:val="24"/>
          <w:szCs w:val="24"/>
        </w:rPr>
        <w:t xml:space="preserve">ARTÍCULO 4. DESTINACIÓN: </w:t>
      </w:r>
      <w:r>
        <w:rPr>
          <w:rFonts w:ascii="Arial" w:eastAsia="Arial" w:hAnsi="Arial" w:cs="Arial"/>
          <w:color w:val="000000"/>
          <w:sz w:val="24"/>
          <w:szCs w:val="24"/>
        </w:rPr>
        <w:t>El recaudo obtenido por el uso de la estampilla se destinará a los gastos e inversiones de los Hospitales Públicos del Departamento del Guainía, Centros de Salud Públicos y Puestos de Salud Públicos del Departamento del Guainía prioritariamente a:</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numPr>
          <w:ilvl w:val="0"/>
          <w:numId w:val="1"/>
        </w:numPr>
        <w:pBdr>
          <w:top w:val="nil"/>
          <w:left w:val="nil"/>
          <w:bottom w:val="nil"/>
          <w:right w:val="nil"/>
          <w:between w:val="nil"/>
        </w:pBdr>
        <w:tabs>
          <w:tab w:val="left" w:pos="2280"/>
          <w:tab w:val="left" w:pos="2282"/>
        </w:tabs>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Adquisición y mantenimiento de nuevas tecnologías a fin de dotar a las diferentes áreas asistenciales de las entidades a las que hace referencia el artículo 1º, en especial las de laboratorio, unidades de diagnóstico, unidades de cuidados intensivos, de hospitalización, biotecnología, informática o comunicaciones, de capacidad para atender la demanda de servicios por parte de la población del Departamento del Guainía.</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numPr>
          <w:ilvl w:val="0"/>
          <w:numId w:val="1"/>
        </w:numPr>
        <w:pBdr>
          <w:top w:val="nil"/>
          <w:left w:val="nil"/>
          <w:bottom w:val="nil"/>
          <w:right w:val="nil"/>
          <w:between w:val="nil"/>
        </w:pBdr>
        <w:tabs>
          <w:tab w:val="left" w:pos="2280"/>
          <w:tab w:val="left" w:pos="2282"/>
        </w:tabs>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Adquisición, mantenimiento o reparación de los equipos requeridos por los diversos servicios que prestan las instituciones prestadoras del servicio de salud, para desarrollar y cumplir adecuadamente su función y de acuerdo a las obligaciones señaladas en el </w:t>
      </w:r>
      <w:r>
        <w:rPr>
          <w:rFonts w:ascii="Arial" w:eastAsia="Arial" w:hAnsi="Arial" w:cs="Arial"/>
          <w:color w:val="000000"/>
        </w:rPr>
        <w:t>Decreto 1769 de 1994 y su aclaratorio Decreto 1617 de 1995,que reglamenta el artículo 189 de la Ley 100 de 1993 sobre el Mantenimiento Hospitalario, aunado a lo descrito en el Decreto 1011 de 2006 por el cual se organiza el sistema de Garantía de calidad, disponibilidad y suficiencia de los recursos.</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numPr>
          <w:ilvl w:val="0"/>
          <w:numId w:val="1"/>
        </w:numPr>
        <w:pBdr>
          <w:top w:val="nil"/>
          <w:left w:val="nil"/>
          <w:bottom w:val="nil"/>
          <w:right w:val="nil"/>
          <w:between w:val="nil"/>
        </w:pBdr>
        <w:tabs>
          <w:tab w:val="left" w:pos="2280"/>
        </w:tabs>
        <w:spacing w:after="0" w:line="240" w:lineRule="auto"/>
        <w:ind w:left="2280" w:hanging="358"/>
        <w:jc w:val="both"/>
        <w:rPr>
          <w:rFonts w:ascii="Arial" w:eastAsia="Arial" w:hAnsi="Arial" w:cs="Arial"/>
          <w:color w:val="000000"/>
          <w:sz w:val="24"/>
          <w:szCs w:val="24"/>
        </w:rPr>
      </w:pPr>
      <w:r>
        <w:rPr>
          <w:rFonts w:ascii="Arial" w:eastAsia="Arial" w:hAnsi="Arial" w:cs="Arial"/>
          <w:color w:val="000000"/>
          <w:sz w:val="24"/>
          <w:szCs w:val="24"/>
        </w:rPr>
        <w:t>Adquisición y dotación de elementos e instrumentos, y demás</w:t>
      </w:r>
      <w:r>
        <w:rPr>
          <w:rFonts w:ascii="Arial" w:eastAsia="Arial" w:hAnsi="Arial" w:cs="Arial"/>
          <w:sz w:val="24"/>
          <w:szCs w:val="24"/>
        </w:rPr>
        <w:t xml:space="preserve"> </w:t>
      </w:r>
      <w:r>
        <w:rPr>
          <w:rFonts w:ascii="Arial" w:eastAsia="Arial" w:hAnsi="Arial" w:cs="Arial"/>
          <w:color w:val="000000"/>
          <w:sz w:val="24"/>
          <w:szCs w:val="24"/>
        </w:rPr>
        <w:t>suministros necesarios para la prestación del servicio de salud en sus diferentes espacios como urgencias, consulta externa, laboratorio, PYP y demás áreas de servicios.</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numPr>
          <w:ilvl w:val="0"/>
          <w:numId w:val="1"/>
        </w:numPr>
        <w:pBdr>
          <w:top w:val="nil"/>
          <w:left w:val="nil"/>
          <w:bottom w:val="nil"/>
          <w:right w:val="nil"/>
          <w:between w:val="nil"/>
        </w:pBdr>
        <w:tabs>
          <w:tab w:val="left" w:pos="2280"/>
          <w:tab w:val="left" w:pos="2282"/>
        </w:tabs>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Fortalecimiento para la compra y mantenimiento de los equipos requeridos para poner en funcionamiento nuevas áreas de laboratorio, científicas, tecnológicas y otras que se requieran para su cabal funcionamiento.</w:t>
      </w:r>
    </w:p>
    <w:p w:rsidR="009B358E" w:rsidRDefault="009B358E">
      <w:pPr>
        <w:widowControl w:val="0"/>
        <w:pBdr>
          <w:top w:val="nil"/>
          <w:left w:val="nil"/>
          <w:bottom w:val="nil"/>
          <w:right w:val="nil"/>
          <w:between w:val="nil"/>
        </w:pBdr>
        <w:tabs>
          <w:tab w:val="left" w:pos="2280"/>
          <w:tab w:val="left" w:pos="2282"/>
        </w:tabs>
        <w:spacing w:after="0" w:line="240" w:lineRule="auto"/>
        <w:ind w:left="2282" w:right="139"/>
        <w:jc w:val="both"/>
        <w:rPr>
          <w:rFonts w:ascii="Arial" w:eastAsia="Arial" w:hAnsi="Arial" w:cs="Arial"/>
          <w:color w:val="000000"/>
          <w:sz w:val="24"/>
          <w:szCs w:val="24"/>
        </w:rPr>
      </w:pPr>
    </w:p>
    <w:p w:rsidR="009B358E" w:rsidRDefault="00393FF3">
      <w:pPr>
        <w:widowControl w:val="0"/>
        <w:numPr>
          <w:ilvl w:val="0"/>
          <w:numId w:val="1"/>
        </w:numPr>
        <w:pBdr>
          <w:top w:val="nil"/>
          <w:left w:val="nil"/>
          <w:bottom w:val="nil"/>
          <w:right w:val="nil"/>
          <w:between w:val="nil"/>
        </w:pBdr>
        <w:tabs>
          <w:tab w:val="left" w:pos="2280"/>
          <w:tab w:val="left" w:pos="2282"/>
        </w:tabs>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Mantenimiento, ampliación y remodelación de la planta física de las entidades a las que hace referencia el artículo primero 1º.</w:t>
      </w:r>
    </w:p>
    <w:p w:rsidR="009B358E" w:rsidRDefault="009B358E">
      <w:pPr>
        <w:tabs>
          <w:tab w:val="left" w:pos="2280"/>
          <w:tab w:val="left" w:pos="2282"/>
        </w:tabs>
        <w:ind w:left="1922" w:right="139"/>
        <w:jc w:val="both"/>
        <w:rPr>
          <w:rFonts w:ascii="Arial" w:eastAsia="Arial" w:hAnsi="Arial" w:cs="Arial"/>
          <w:sz w:val="24"/>
          <w:szCs w:val="24"/>
        </w:rPr>
      </w:pPr>
    </w:p>
    <w:p w:rsidR="009B358E" w:rsidRDefault="00393FF3">
      <w:pPr>
        <w:widowControl w:val="0"/>
        <w:numPr>
          <w:ilvl w:val="0"/>
          <w:numId w:val="1"/>
        </w:numPr>
        <w:pBdr>
          <w:top w:val="nil"/>
          <w:left w:val="nil"/>
          <w:bottom w:val="nil"/>
          <w:right w:val="nil"/>
          <w:between w:val="nil"/>
        </w:pBdr>
        <w:tabs>
          <w:tab w:val="left" w:pos="2280"/>
          <w:tab w:val="left" w:pos="2282"/>
        </w:tabs>
        <w:spacing w:after="0" w:line="240" w:lineRule="auto"/>
        <w:ind w:right="140"/>
        <w:jc w:val="both"/>
        <w:rPr>
          <w:rFonts w:ascii="Arial" w:eastAsia="Arial" w:hAnsi="Arial" w:cs="Arial"/>
          <w:color w:val="000000"/>
          <w:sz w:val="24"/>
          <w:szCs w:val="24"/>
        </w:rPr>
      </w:pPr>
      <w:r>
        <w:rPr>
          <w:rFonts w:ascii="Arial" w:eastAsia="Arial" w:hAnsi="Arial" w:cs="Arial"/>
          <w:color w:val="000000"/>
          <w:sz w:val="24"/>
          <w:szCs w:val="24"/>
        </w:rPr>
        <w:t>Pagos de pasivos y cuentas por pagar de las entidades de salud pública del Departamento del Guainía, así como el saneamiento de cartera y compromisos pensionales del personal de la salud del Departamento y de acuerdo a las obligaciones previamente reconocidas.</w:t>
      </w:r>
    </w:p>
    <w:p w:rsidR="009B358E" w:rsidRDefault="009B358E">
      <w:pPr>
        <w:widowControl w:val="0"/>
        <w:pBdr>
          <w:top w:val="nil"/>
          <w:left w:val="nil"/>
          <w:bottom w:val="nil"/>
          <w:right w:val="nil"/>
          <w:between w:val="nil"/>
        </w:pBdr>
        <w:spacing w:after="0" w:line="240" w:lineRule="auto"/>
        <w:ind w:left="2280" w:hanging="358"/>
        <w:rPr>
          <w:rFonts w:ascii="Arial" w:eastAsia="Arial" w:hAnsi="Arial" w:cs="Arial"/>
          <w:color w:val="000000"/>
          <w:sz w:val="24"/>
          <w:szCs w:val="24"/>
        </w:rPr>
      </w:pPr>
    </w:p>
    <w:p w:rsidR="009B358E" w:rsidRDefault="00393FF3">
      <w:pPr>
        <w:widowControl w:val="0"/>
        <w:numPr>
          <w:ilvl w:val="0"/>
          <w:numId w:val="1"/>
        </w:numPr>
        <w:pBdr>
          <w:top w:val="nil"/>
          <w:left w:val="nil"/>
          <w:bottom w:val="nil"/>
          <w:right w:val="nil"/>
          <w:between w:val="nil"/>
        </w:pBdr>
        <w:tabs>
          <w:tab w:val="left" w:pos="2280"/>
          <w:tab w:val="left" w:pos="2282"/>
        </w:tabs>
        <w:spacing w:after="0" w:line="240" w:lineRule="auto"/>
        <w:ind w:right="140"/>
        <w:jc w:val="both"/>
        <w:rPr>
          <w:rFonts w:ascii="Arial" w:eastAsia="Arial" w:hAnsi="Arial" w:cs="Arial"/>
          <w:color w:val="000000"/>
          <w:sz w:val="24"/>
          <w:szCs w:val="24"/>
        </w:rPr>
      </w:pPr>
      <w:r>
        <w:rPr>
          <w:rFonts w:ascii="Arial" w:eastAsia="Arial" w:hAnsi="Arial" w:cs="Arial"/>
          <w:color w:val="000000"/>
          <w:sz w:val="24"/>
          <w:szCs w:val="24"/>
        </w:rPr>
        <w:t>Contratación de profesionales en medicina especializada en diferentes campos con el fin de incrementar la capacidad instalada de las entidades a las que hace referencia el artículo primero 1º y disminuir de manera considerable las remisiones.</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1561" w:right="138"/>
        <w:jc w:val="both"/>
        <w:rPr>
          <w:rFonts w:ascii="Arial" w:eastAsia="Arial" w:hAnsi="Arial" w:cs="Arial"/>
          <w:color w:val="000000"/>
          <w:sz w:val="24"/>
          <w:szCs w:val="24"/>
        </w:rPr>
      </w:pPr>
      <w:r>
        <w:rPr>
          <w:rFonts w:ascii="Arial" w:eastAsia="Arial" w:hAnsi="Arial" w:cs="Arial"/>
          <w:b/>
          <w:color w:val="000000"/>
          <w:sz w:val="24"/>
          <w:szCs w:val="24"/>
        </w:rPr>
        <w:t>PARÁGRAFO 1.</w:t>
      </w:r>
      <w:r>
        <w:rPr>
          <w:rFonts w:ascii="Arial" w:eastAsia="Arial" w:hAnsi="Arial" w:cs="Arial"/>
          <w:color w:val="000000"/>
          <w:sz w:val="24"/>
          <w:szCs w:val="24"/>
        </w:rPr>
        <w:t xml:space="preserve"> En virtud a lo señalado en el artículo 47 de la Ley 863 de 2003, los ingresos que perciban las entidades territoriales por concepto de estampillas autorizadas por la ley serán objeto de una retención equivalente al veinte por ciento (20%) con destino a los fondos de pensiones de la entidad destinataria de dichos recaudos. En caso de no existir pasivo pensional en dicha entidad, esta deberá destinar los recursos de acuerdo al presente artículo, previa verificación de la no existencia del pasivo pensional territorial.</w:t>
      </w:r>
    </w:p>
    <w:p w:rsidR="009B358E" w:rsidRDefault="009B358E">
      <w:pPr>
        <w:widowControl w:val="0"/>
        <w:pBdr>
          <w:top w:val="nil"/>
          <w:left w:val="nil"/>
          <w:bottom w:val="nil"/>
          <w:right w:val="nil"/>
          <w:between w:val="nil"/>
        </w:pBdr>
        <w:spacing w:after="0" w:line="240" w:lineRule="auto"/>
        <w:ind w:left="1561" w:right="138"/>
        <w:jc w:val="both"/>
        <w:rPr>
          <w:rFonts w:ascii="Arial" w:eastAsia="Arial" w:hAnsi="Arial" w:cs="Arial"/>
          <w:color w:val="000000"/>
          <w:sz w:val="24"/>
          <w:szCs w:val="24"/>
        </w:rPr>
      </w:pPr>
    </w:p>
    <w:p w:rsidR="009B358E" w:rsidRDefault="009B358E">
      <w:pPr>
        <w:widowControl w:val="0"/>
        <w:pBdr>
          <w:top w:val="nil"/>
          <w:left w:val="nil"/>
          <w:bottom w:val="nil"/>
          <w:right w:val="nil"/>
          <w:between w:val="nil"/>
        </w:pBdr>
        <w:spacing w:after="0" w:line="240" w:lineRule="auto"/>
        <w:ind w:left="1561" w:right="138"/>
        <w:jc w:val="both"/>
        <w:rPr>
          <w:rFonts w:ascii="Arial" w:eastAsia="Arial" w:hAnsi="Arial" w:cs="Arial"/>
          <w:color w:val="000000"/>
          <w:sz w:val="24"/>
          <w:szCs w:val="24"/>
        </w:rPr>
      </w:pPr>
    </w:p>
    <w:p w:rsidR="009B358E" w:rsidRDefault="009B358E">
      <w:pPr>
        <w:widowControl w:val="0"/>
        <w:pBdr>
          <w:top w:val="nil"/>
          <w:left w:val="nil"/>
          <w:bottom w:val="nil"/>
          <w:right w:val="nil"/>
          <w:between w:val="nil"/>
        </w:pBdr>
        <w:spacing w:after="0" w:line="240" w:lineRule="auto"/>
        <w:ind w:left="1561" w:right="138"/>
        <w:jc w:val="both"/>
        <w:rPr>
          <w:rFonts w:ascii="Arial" w:eastAsia="Arial" w:hAnsi="Arial" w:cs="Arial"/>
          <w:color w:val="000000"/>
          <w:sz w:val="24"/>
          <w:szCs w:val="24"/>
        </w:rPr>
      </w:pPr>
    </w:p>
    <w:p w:rsidR="009B358E" w:rsidRDefault="00393FF3">
      <w:pPr>
        <w:widowControl w:val="0"/>
        <w:pBdr>
          <w:top w:val="nil"/>
          <w:left w:val="nil"/>
          <w:bottom w:val="nil"/>
          <w:right w:val="nil"/>
          <w:between w:val="nil"/>
        </w:pBdr>
        <w:spacing w:before="275" w:after="0" w:line="240" w:lineRule="auto"/>
        <w:ind w:left="1561" w:right="140"/>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5°. HECHO GENERADOR: </w:t>
      </w:r>
      <w:r>
        <w:rPr>
          <w:rFonts w:ascii="Arial" w:eastAsia="Arial" w:hAnsi="Arial" w:cs="Arial"/>
          <w:color w:val="000000"/>
          <w:sz w:val="24"/>
          <w:szCs w:val="24"/>
        </w:rPr>
        <w:t xml:space="preserve">El hecho generador del cobro de la estampilla Pro-Hospitales Públicos, Centros de Salud Públicos y Puestos de Salud Públicos del Guainía, será la suscripción de contratos y convenios de carácter público que realice el Departamento, los municipios, La E.S.E Hospital Departamental Intercultural Renacer, entidades descentralizadas públicas de cualquier orden, entidades de orden nacional y todas las entidades públicas que contraten en el territorio por montos superiores a dos (2) salarios mínimos mensuales legales vigentes SMMLV. </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spacing w:before="1"/>
        <w:ind w:left="1561" w:right="137"/>
        <w:jc w:val="both"/>
        <w:rPr>
          <w:rFonts w:ascii="Arial" w:eastAsia="Arial" w:hAnsi="Arial" w:cs="Arial"/>
          <w:sz w:val="24"/>
          <w:szCs w:val="24"/>
        </w:rPr>
      </w:pPr>
      <w:r>
        <w:rPr>
          <w:rFonts w:ascii="Arial" w:eastAsia="Arial" w:hAnsi="Arial" w:cs="Arial"/>
          <w:b/>
          <w:sz w:val="24"/>
          <w:szCs w:val="24"/>
        </w:rPr>
        <w:t xml:space="preserve">ARTÍCULO 6°. SUJETO ACTIVO: </w:t>
      </w:r>
      <w:r>
        <w:rPr>
          <w:rFonts w:ascii="Arial" w:eastAsia="Arial" w:hAnsi="Arial" w:cs="Arial"/>
          <w:sz w:val="24"/>
          <w:szCs w:val="24"/>
        </w:rPr>
        <w:t xml:space="preserve">El Sujeto activo es el Departamento del Guainía por intermedio de la Secretaría de Hacienda, a quien corresponde la administración, gestión, recaudación, fiscalización del tributo, previa autorización de la Asamblea Departamental quien regulará lo concerniente. </w:t>
      </w:r>
    </w:p>
    <w:p w:rsidR="009B358E" w:rsidRDefault="00393FF3">
      <w:pPr>
        <w:widowControl w:val="0"/>
        <w:pBdr>
          <w:top w:val="nil"/>
          <w:left w:val="nil"/>
          <w:bottom w:val="nil"/>
          <w:right w:val="nil"/>
          <w:between w:val="nil"/>
        </w:pBdr>
        <w:spacing w:after="0" w:line="240" w:lineRule="auto"/>
        <w:ind w:left="1561" w:right="139"/>
        <w:jc w:val="both"/>
        <w:rPr>
          <w:rFonts w:ascii="Arial" w:eastAsia="Arial" w:hAnsi="Arial" w:cs="Arial"/>
          <w:color w:val="000000"/>
          <w:sz w:val="24"/>
          <w:szCs w:val="24"/>
        </w:rPr>
      </w:pPr>
      <w:r>
        <w:rPr>
          <w:rFonts w:ascii="Arial" w:eastAsia="Arial" w:hAnsi="Arial" w:cs="Arial"/>
          <w:b/>
          <w:color w:val="000000"/>
          <w:sz w:val="24"/>
          <w:szCs w:val="24"/>
        </w:rPr>
        <w:t>ARTÍCULO 7°. SUJETO PASIVO</w:t>
      </w:r>
      <w:r>
        <w:rPr>
          <w:rFonts w:ascii="Arial" w:eastAsia="Arial" w:hAnsi="Arial" w:cs="Arial"/>
          <w:color w:val="000000"/>
          <w:sz w:val="24"/>
          <w:szCs w:val="24"/>
        </w:rPr>
        <w:t>: El sujeto pasivo de la estampilla, es toda persona natural, jurídica pública y privada, que suscriba contratos con el Departamento y los municipios del Guainía, La E.S.E Hospital Departamental Intercultural Renacer, entidades descentralizadas públicas de cualquier orden, entidades de orden nacional y todas las entidades públicas que contraten en el territorio, de acuerdo al monto señalado en el artículo 5 de la presente ley.</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1561" w:right="142"/>
        <w:jc w:val="both"/>
        <w:rPr>
          <w:rFonts w:ascii="Arial" w:eastAsia="Arial" w:hAnsi="Arial" w:cs="Arial"/>
          <w:color w:val="000000"/>
          <w:sz w:val="24"/>
          <w:szCs w:val="24"/>
        </w:rPr>
      </w:pPr>
      <w:r>
        <w:rPr>
          <w:rFonts w:ascii="Arial" w:eastAsia="Arial" w:hAnsi="Arial" w:cs="Arial"/>
          <w:b/>
          <w:color w:val="000000"/>
          <w:sz w:val="24"/>
          <w:szCs w:val="24"/>
        </w:rPr>
        <w:t xml:space="preserve">ARTÍCULO 8°. TARIFA RECAUDOS: </w:t>
      </w:r>
      <w:r>
        <w:rPr>
          <w:rFonts w:ascii="Arial" w:eastAsia="Arial" w:hAnsi="Arial" w:cs="Arial"/>
          <w:color w:val="000000"/>
          <w:sz w:val="24"/>
          <w:szCs w:val="24"/>
        </w:rPr>
        <w:t xml:space="preserve">Se establece una </w:t>
      </w:r>
      <w:r>
        <w:rPr>
          <w:rFonts w:ascii="Arial" w:eastAsia="Arial" w:hAnsi="Arial" w:cs="Arial"/>
          <w:sz w:val="24"/>
          <w:szCs w:val="24"/>
        </w:rPr>
        <w:tab/>
      </w:r>
      <w:r>
        <w:rPr>
          <w:rFonts w:ascii="Arial" w:eastAsia="Arial" w:hAnsi="Arial" w:cs="Arial"/>
          <w:color w:val="000000"/>
          <w:sz w:val="24"/>
          <w:szCs w:val="24"/>
        </w:rPr>
        <w:t>, La E.S.E Hospital Departamental Intercultural Renacer, entidades descentralizadas públicas de cualquier orden, entidades de orden nacional y todas las entidades públicas que contraten en el territorio con recursos públicos y del sistema general de participaciones y de regalías, que superen los topes previstos en el artículo 5 de la presente Ley. Los recaudos provenientes de la estampilla estarán a cargo de la Secretaría de Hacienda. Por lo tanto, el recaudo que hagan los municipios y entidades municipales deberán ser transferidos a la Secretaría de Hacienda Departamental para su distribución de acuerdo con el programa departamental de salud y sus prioridades.</w:t>
      </w:r>
    </w:p>
    <w:p w:rsidR="009B358E" w:rsidRDefault="009B358E">
      <w:pPr>
        <w:widowControl w:val="0"/>
        <w:pBdr>
          <w:top w:val="nil"/>
          <w:left w:val="nil"/>
          <w:bottom w:val="nil"/>
          <w:right w:val="nil"/>
          <w:between w:val="nil"/>
        </w:pBdr>
        <w:spacing w:before="1" w:after="0" w:line="240" w:lineRule="auto"/>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1561" w:right="141"/>
        <w:jc w:val="both"/>
        <w:rPr>
          <w:rFonts w:ascii="Arial" w:eastAsia="Arial" w:hAnsi="Arial" w:cs="Arial"/>
          <w:color w:val="000000"/>
          <w:sz w:val="24"/>
          <w:szCs w:val="24"/>
        </w:rPr>
      </w:pPr>
      <w:r>
        <w:rPr>
          <w:rFonts w:ascii="Arial" w:eastAsia="Arial" w:hAnsi="Arial" w:cs="Arial"/>
          <w:color w:val="000000"/>
          <w:sz w:val="24"/>
          <w:szCs w:val="24"/>
        </w:rPr>
        <w:t>Del recaudo obtenido, las tesorerías municipales le harán cada cuatro meses las transferencias del recurso a la Secretaría de Hacienda Departamental, para que ésta distribuya los recursos conforme a las disposiciones y destinaciones específicas contempladas en la presente ley, y en los términos de la ordenanza emitida por la Asamblea del Departamento del Guainía.</w:t>
      </w:r>
    </w:p>
    <w:p w:rsidR="009B358E" w:rsidRDefault="009B358E">
      <w:pPr>
        <w:widowControl w:val="0"/>
        <w:pBdr>
          <w:top w:val="nil"/>
          <w:left w:val="nil"/>
          <w:bottom w:val="nil"/>
          <w:right w:val="nil"/>
          <w:between w:val="nil"/>
        </w:pBdr>
        <w:spacing w:after="0" w:line="240" w:lineRule="auto"/>
        <w:ind w:left="1561" w:right="141"/>
        <w:jc w:val="both"/>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1561" w:right="137"/>
        <w:jc w:val="both"/>
        <w:rPr>
          <w:rFonts w:ascii="Arial" w:eastAsia="Arial" w:hAnsi="Arial" w:cs="Arial"/>
          <w:color w:val="000000"/>
          <w:sz w:val="24"/>
          <w:szCs w:val="24"/>
        </w:rPr>
      </w:pPr>
      <w:r>
        <w:rPr>
          <w:rFonts w:ascii="Arial" w:eastAsia="Arial" w:hAnsi="Arial" w:cs="Arial"/>
          <w:b/>
          <w:color w:val="000000"/>
          <w:sz w:val="24"/>
          <w:szCs w:val="24"/>
        </w:rPr>
        <w:t xml:space="preserve">PARÁGRAFO 1. </w:t>
      </w:r>
      <w:r>
        <w:rPr>
          <w:rFonts w:ascii="Arial" w:eastAsia="Arial" w:hAnsi="Arial" w:cs="Arial"/>
          <w:color w:val="000000"/>
          <w:sz w:val="24"/>
          <w:szCs w:val="24"/>
        </w:rPr>
        <w:t>Los recaudos provenientes de la estampilla se asignarán de acuerdo con las necesidades que presenten los hospitales públicos de los diferentes niveles, los centros de salud y los puestos de salud.</w:t>
      </w:r>
    </w:p>
    <w:p w:rsidR="009B358E" w:rsidRDefault="009B358E">
      <w:pPr>
        <w:widowControl w:val="0"/>
        <w:pBdr>
          <w:top w:val="nil"/>
          <w:left w:val="nil"/>
          <w:bottom w:val="nil"/>
          <w:right w:val="nil"/>
          <w:between w:val="nil"/>
        </w:pBdr>
        <w:spacing w:after="0" w:line="240" w:lineRule="auto"/>
        <w:ind w:left="1561" w:right="141"/>
        <w:jc w:val="both"/>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1561" w:right="141"/>
        <w:jc w:val="both"/>
        <w:rPr>
          <w:rFonts w:ascii="Arial" w:eastAsia="Arial" w:hAnsi="Arial" w:cs="Arial"/>
          <w:color w:val="000000"/>
          <w:sz w:val="24"/>
          <w:szCs w:val="24"/>
        </w:rPr>
      </w:pPr>
      <w:r>
        <w:rPr>
          <w:rFonts w:ascii="Arial" w:eastAsia="Arial" w:hAnsi="Arial" w:cs="Arial"/>
          <w:b/>
          <w:color w:val="000000"/>
          <w:sz w:val="24"/>
          <w:szCs w:val="24"/>
        </w:rPr>
        <w:t xml:space="preserve">ARTÍCULO 9°. CUENTA ESPECIAL: </w:t>
      </w:r>
      <w:r>
        <w:rPr>
          <w:rFonts w:ascii="Arial" w:eastAsia="Arial" w:hAnsi="Arial" w:cs="Arial"/>
          <w:color w:val="000000"/>
          <w:sz w:val="24"/>
          <w:szCs w:val="24"/>
        </w:rPr>
        <w:t xml:space="preserve">El Departamento del Guainía, creará una </w:t>
      </w:r>
      <w:r>
        <w:rPr>
          <w:rFonts w:ascii="Arial" w:eastAsia="Arial" w:hAnsi="Arial" w:cs="Arial"/>
          <w:color w:val="000000"/>
          <w:sz w:val="24"/>
          <w:szCs w:val="24"/>
        </w:rPr>
        <w:lastRenderedPageBreak/>
        <w:t xml:space="preserve">cuenta especial de ahorros que genere rendimientos financieros, para el depósito y transferencia según denominación que defina la Asamblea Departamental. </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1561" w:right="139"/>
        <w:jc w:val="both"/>
        <w:rPr>
          <w:rFonts w:ascii="Arial" w:eastAsia="Arial" w:hAnsi="Arial" w:cs="Arial"/>
          <w:color w:val="000000"/>
          <w:sz w:val="24"/>
          <w:szCs w:val="24"/>
        </w:rPr>
      </w:pPr>
      <w:r>
        <w:rPr>
          <w:rFonts w:ascii="Arial" w:eastAsia="Arial" w:hAnsi="Arial" w:cs="Arial"/>
          <w:b/>
          <w:color w:val="000000"/>
          <w:sz w:val="24"/>
          <w:szCs w:val="24"/>
        </w:rPr>
        <w:t xml:space="preserve">ARTÍCULO 10°. CONTROL. </w:t>
      </w:r>
      <w:r>
        <w:rPr>
          <w:rFonts w:ascii="Arial" w:eastAsia="Arial" w:hAnsi="Arial" w:cs="Arial"/>
          <w:color w:val="000000"/>
          <w:sz w:val="24"/>
          <w:szCs w:val="24"/>
        </w:rPr>
        <w:t xml:space="preserve">El control del recaudo, del traslado oportuno y de la inversión de los recursos provenientes del cumplimiento de la presente ley, estará a cargo de la Contraloría Departamental del Guainía y de las contralorías municipales donde existan, sin perjuicio de las competencias que tenga el nivel central de la Contraloría General de la República a través de la Dirección de Información, Análisis y Reacción Inmediata DIARI, o la dirección que haga sus veces, para la realización de las </w:t>
      </w:r>
      <w:r>
        <w:rPr>
          <w:rFonts w:ascii="Arial" w:eastAsia="Arial" w:hAnsi="Arial" w:cs="Arial"/>
          <w:sz w:val="24"/>
          <w:szCs w:val="24"/>
        </w:rPr>
        <w:t>respectivas</w:t>
      </w:r>
      <w:r>
        <w:rPr>
          <w:rFonts w:ascii="Arial" w:eastAsia="Arial" w:hAnsi="Arial" w:cs="Arial"/>
          <w:color w:val="000000"/>
          <w:sz w:val="24"/>
          <w:szCs w:val="24"/>
        </w:rPr>
        <w:t xml:space="preserve"> intervenciones especiales de fiscalización y especial seguimiento a que haya lugar; y de las competencias propias que en la materia puedan ejercer los organismos de veeduría ciudadana en ellos diferentes municipios.</w:t>
      </w:r>
    </w:p>
    <w:p w:rsidR="009B358E" w:rsidRDefault="009B358E">
      <w:pPr>
        <w:widowControl w:val="0"/>
        <w:pBdr>
          <w:top w:val="nil"/>
          <w:left w:val="nil"/>
          <w:bottom w:val="nil"/>
          <w:right w:val="nil"/>
          <w:between w:val="nil"/>
        </w:pBdr>
        <w:spacing w:after="0" w:line="240" w:lineRule="auto"/>
        <w:ind w:left="1561" w:right="139"/>
        <w:jc w:val="both"/>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1561" w:right="139"/>
        <w:jc w:val="both"/>
        <w:rPr>
          <w:rFonts w:ascii="Arial" w:eastAsia="Arial" w:hAnsi="Arial" w:cs="Arial"/>
          <w:color w:val="000000"/>
          <w:sz w:val="24"/>
          <w:szCs w:val="24"/>
        </w:rPr>
      </w:pPr>
      <w:r>
        <w:rPr>
          <w:rFonts w:ascii="Arial" w:eastAsia="Arial" w:hAnsi="Arial" w:cs="Arial"/>
          <w:color w:val="000000"/>
          <w:sz w:val="24"/>
          <w:szCs w:val="24"/>
        </w:rPr>
        <w:t>Los resultados del control y seguimiento al recaudo y ejecución de los recursos objeto de la presente ley serán de amplia divulgación pública y de fácil consulta para la ciudadanía en atención al principio de transparencia y publicidad.</w:t>
      </w:r>
    </w:p>
    <w:p w:rsidR="009B358E" w:rsidRDefault="009B358E">
      <w:pPr>
        <w:widowControl w:val="0"/>
        <w:pBdr>
          <w:top w:val="nil"/>
          <w:left w:val="nil"/>
          <w:bottom w:val="nil"/>
          <w:right w:val="nil"/>
          <w:between w:val="nil"/>
        </w:pBdr>
        <w:spacing w:after="0" w:line="240" w:lineRule="auto"/>
        <w:ind w:left="1561" w:right="139"/>
        <w:jc w:val="both"/>
        <w:rPr>
          <w:rFonts w:ascii="Arial" w:eastAsia="Arial" w:hAnsi="Arial" w:cs="Arial"/>
          <w:color w:val="000000"/>
          <w:sz w:val="24"/>
          <w:szCs w:val="24"/>
        </w:rPr>
      </w:pPr>
    </w:p>
    <w:p w:rsidR="009B358E" w:rsidRDefault="009B358E">
      <w:pPr>
        <w:widowControl w:val="0"/>
        <w:pBdr>
          <w:top w:val="nil"/>
          <w:left w:val="nil"/>
          <w:bottom w:val="nil"/>
          <w:right w:val="nil"/>
          <w:between w:val="nil"/>
        </w:pBdr>
        <w:spacing w:after="0" w:line="240" w:lineRule="auto"/>
        <w:ind w:left="1561" w:right="139"/>
        <w:jc w:val="both"/>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1561" w:right="139"/>
        <w:jc w:val="both"/>
        <w:rPr>
          <w:rFonts w:ascii="Arial" w:eastAsia="Arial" w:hAnsi="Arial" w:cs="Arial"/>
          <w:color w:val="000000"/>
          <w:sz w:val="24"/>
          <w:szCs w:val="24"/>
        </w:rPr>
      </w:pPr>
      <w:r>
        <w:rPr>
          <w:rFonts w:ascii="Arial" w:eastAsia="Arial" w:hAnsi="Arial" w:cs="Arial"/>
          <w:b/>
          <w:color w:val="000000"/>
          <w:sz w:val="24"/>
          <w:szCs w:val="24"/>
        </w:rPr>
        <w:t xml:space="preserve">ARTÍCULO 10°. RESPONSABILIDAD </w:t>
      </w:r>
      <w:r>
        <w:rPr>
          <w:rFonts w:ascii="Arial" w:eastAsia="Arial" w:hAnsi="Arial" w:cs="Arial"/>
          <w:color w:val="000000"/>
          <w:sz w:val="24"/>
          <w:szCs w:val="24"/>
        </w:rPr>
        <w:t>La obligación de adherir y anular la estampilla a que se refiere esta ley queda a cargo de los funcionarios departamentales y municipales que intervengan en los actos o hechos sujetos al gravamen determinados por la ordenanza departamental que se expida y los respectivos acuerdos en desarrollo de la presente ley. El incumplimiento de esta obligación se sancionará por las autoridades disciplinarias correspondientes.</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ind w:left="1561" w:right="140"/>
        <w:jc w:val="both"/>
        <w:rPr>
          <w:rFonts w:ascii="Arial" w:eastAsia="Arial" w:hAnsi="Arial" w:cs="Arial"/>
          <w:sz w:val="24"/>
          <w:szCs w:val="24"/>
        </w:rPr>
      </w:pPr>
      <w:r>
        <w:rPr>
          <w:rFonts w:ascii="Arial" w:eastAsia="Arial" w:hAnsi="Arial" w:cs="Arial"/>
          <w:b/>
          <w:sz w:val="24"/>
          <w:szCs w:val="24"/>
        </w:rPr>
        <w:t xml:space="preserve">ARTÍCULO 11°. VIGENCIA. </w:t>
      </w:r>
      <w:r>
        <w:rPr>
          <w:rFonts w:ascii="Arial" w:eastAsia="Arial" w:hAnsi="Arial" w:cs="Arial"/>
          <w:sz w:val="24"/>
          <w:szCs w:val="24"/>
        </w:rPr>
        <w:t>La presente ley rige a partir de la fecha de su sanción, promulgación y publicación en el diario oficial.</w:t>
      </w:r>
    </w:p>
    <w:p w:rsidR="009B358E" w:rsidRDefault="006A546A">
      <w:pPr>
        <w:pBdr>
          <w:top w:val="nil"/>
          <w:left w:val="nil"/>
          <w:bottom w:val="nil"/>
          <w:right w:val="nil"/>
          <w:between w:val="nil"/>
        </w:pBdr>
        <w:spacing w:line="240" w:lineRule="auto"/>
        <w:ind w:left="708" w:firstLine="708"/>
        <w:jc w:val="both"/>
        <w:rPr>
          <w:rFonts w:ascii="Arial" w:eastAsia="Arial" w:hAnsi="Arial" w:cs="Arial"/>
          <w:b/>
          <w:color w:val="000000"/>
          <w:sz w:val="24"/>
          <w:szCs w:val="24"/>
        </w:rPr>
      </w:pPr>
      <w:r>
        <w:rPr>
          <w:rFonts w:ascii="Arial" w:eastAsia="Arial" w:hAnsi="Arial" w:cs="Arial"/>
          <w:color w:val="000000"/>
        </w:rPr>
        <w:t xml:space="preserve">  </w:t>
      </w:r>
      <w:r w:rsidR="00393FF3">
        <w:rPr>
          <w:rFonts w:ascii="Arial" w:eastAsia="Arial" w:hAnsi="Arial" w:cs="Arial"/>
          <w:color w:val="000000"/>
        </w:rPr>
        <w:t xml:space="preserve">Atentamente, </w:t>
      </w:r>
    </w:p>
    <w:p w:rsidR="009B358E" w:rsidRDefault="009B358E">
      <w:pPr>
        <w:pBdr>
          <w:top w:val="nil"/>
          <w:left w:val="nil"/>
          <w:bottom w:val="nil"/>
          <w:right w:val="nil"/>
          <w:between w:val="nil"/>
        </w:pBdr>
        <w:spacing w:after="0" w:line="276" w:lineRule="auto"/>
        <w:jc w:val="both"/>
        <w:rPr>
          <w:rFonts w:ascii="Arial" w:eastAsia="Arial" w:hAnsi="Arial" w:cs="Arial"/>
          <w:b/>
          <w:color w:val="000000"/>
        </w:rPr>
      </w:pPr>
    </w:p>
    <w:p w:rsidR="006A546A" w:rsidRDefault="006A546A" w:rsidP="006A546A">
      <w:pPr>
        <w:pBdr>
          <w:top w:val="nil"/>
          <w:left w:val="nil"/>
          <w:bottom w:val="nil"/>
          <w:right w:val="nil"/>
          <w:between w:val="nil"/>
        </w:pBdr>
        <w:spacing w:line="240" w:lineRule="auto"/>
        <w:ind w:left="708" w:firstLine="708"/>
        <w:jc w:val="both"/>
        <w:rPr>
          <w:rFonts w:ascii="Arial" w:eastAsia="Arial" w:hAnsi="Arial" w:cs="Arial"/>
          <w:color w:val="000000"/>
        </w:rPr>
      </w:pPr>
      <w:r>
        <w:rPr>
          <w:rFonts w:ascii="Arial" w:eastAsia="Arial" w:hAnsi="Arial" w:cs="Arial"/>
          <w:noProof/>
          <w:color w:val="000000"/>
          <w:lang w:val="es-CO"/>
        </w:rPr>
        <w:drawing>
          <wp:anchor distT="0" distB="0" distL="114300" distR="114300" simplePos="0" relativeHeight="251662336" behindDoc="1" locked="0" layoutInCell="1" allowOverlap="1" wp14:anchorId="22A1DAD5" wp14:editId="3654EA2E">
            <wp:simplePos x="0" y="0"/>
            <wp:positionH relativeFrom="column">
              <wp:posOffset>3526155</wp:posOffset>
            </wp:positionH>
            <wp:positionV relativeFrom="paragraph">
              <wp:posOffset>167640</wp:posOffset>
            </wp:positionV>
            <wp:extent cx="1962785" cy="54229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785" cy="5422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color w:val="000000"/>
        </w:rPr>
        <w:t xml:space="preserve"> </w:t>
      </w:r>
    </w:p>
    <w:p w:rsidR="006A546A" w:rsidRDefault="006A546A" w:rsidP="006A546A">
      <w:pPr>
        <w:pBdr>
          <w:top w:val="nil"/>
          <w:left w:val="nil"/>
          <w:bottom w:val="nil"/>
          <w:right w:val="nil"/>
          <w:between w:val="nil"/>
        </w:pBdr>
        <w:spacing w:after="0" w:line="276" w:lineRule="auto"/>
        <w:ind w:left="708" w:firstLine="708"/>
        <w:jc w:val="both"/>
        <w:rPr>
          <w:rFonts w:ascii="Arial" w:eastAsia="Arial" w:hAnsi="Arial" w:cs="Arial"/>
          <w:color w:val="000000"/>
        </w:rPr>
      </w:pPr>
    </w:p>
    <w:p w:rsidR="006A546A" w:rsidRDefault="006A546A" w:rsidP="006A546A">
      <w:pPr>
        <w:pBdr>
          <w:top w:val="nil"/>
          <w:left w:val="nil"/>
          <w:bottom w:val="nil"/>
          <w:right w:val="nil"/>
          <w:between w:val="nil"/>
        </w:pBdr>
        <w:spacing w:after="0" w:line="276" w:lineRule="auto"/>
        <w:ind w:left="708" w:firstLine="708"/>
        <w:jc w:val="both"/>
        <w:rPr>
          <w:rFonts w:ascii="Arial" w:eastAsia="Arial" w:hAnsi="Arial" w:cs="Arial"/>
          <w:color w:val="000000"/>
        </w:rPr>
      </w:pPr>
      <w:r>
        <w:rPr>
          <w:rFonts w:ascii="Arial" w:eastAsia="Arial" w:hAnsi="Arial" w:cs="Arial"/>
          <w:color w:val="000000"/>
        </w:rPr>
        <w:t xml:space="preserve">                                                                 </w:t>
      </w:r>
    </w:p>
    <w:p w:rsidR="006A546A" w:rsidRPr="006A546A" w:rsidRDefault="006A546A" w:rsidP="006A546A">
      <w:p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rPr>
        <w:t xml:space="preserve">                        </w:t>
      </w:r>
      <w:r w:rsidRPr="006A546A">
        <w:rPr>
          <w:rFonts w:ascii="Arial" w:eastAsia="Arial" w:hAnsi="Arial" w:cs="Arial"/>
          <w:b/>
          <w:color w:val="000000"/>
        </w:rPr>
        <w:t xml:space="preserve">ALEXANDER GUARÍN SILVA </w:t>
      </w:r>
      <w:r>
        <w:rPr>
          <w:rFonts w:ascii="Arial" w:eastAsia="Arial" w:hAnsi="Arial" w:cs="Arial"/>
          <w:b/>
          <w:color w:val="000000"/>
        </w:rPr>
        <w:t xml:space="preserve">                 JOSÉ ELIECER SALAZAR LÓPEZ </w:t>
      </w:r>
    </w:p>
    <w:p w:rsidR="006A546A" w:rsidRPr="006A546A" w:rsidRDefault="006A546A" w:rsidP="006A546A">
      <w:p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color w:val="000000"/>
        </w:rPr>
        <w:t xml:space="preserve">                        </w:t>
      </w:r>
      <w:r w:rsidRPr="006A546A">
        <w:rPr>
          <w:rFonts w:ascii="Arial" w:eastAsia="Arial" w:hAnsi="Arial" w:cs="Arial"/>
          <w:color w:val="000000"/>
        </w:rPr>
        <w:t xml:space="preserve">Representante a la Cámara                  </w:t>
      </w:r>
      <w:r>
        <w:rPr>
          <w:rFonts w:ascii="Arial" w:eastAsia="Arial" w:hAnsi="Arial" w:cs="Arial"/>
          <w:color w:val="000000"/>
        </w:rPr>
        <w:t xml:space="preserve">     </w:t>
      </w:r>
      <w:r w:rsidRPr="006A546A">
        <w:rPr>
          <w:rFonts w:ascii="Arial" w:eastAsia="Arial" w:hAnsi="Arial" w:cs="Arial"/>
          <w:color w:val="000000"/>
        </w:rPr>
        <w:t xml:space="preserve">Representante a la Cámara </w:t>
      </w:r>
    </w:p>
    <w:p w:rsidR="006A546A" w:rsidRPr="006A546A" w:rsidRDefault="006A546A" w:rsidP="006A546A">
      <w:pPr>
        <w:pBdr>
          <w:top w:val="nil"/>
          <w:left w:val="nil"/>
          <w:bottom w:val="nil"/>
          <w:right w:val="nil"/>
          <w:between w:val="nil"/>
        </w:pBdr>
        <w:spacing w:after="0" w:line="276" w:lineRule="auto"/>
        <w:rPr>
          <w:rFonts w:ascii="Arial" w:eastAsia="Arial" w:hAnsi="Arial" w:cs="Arial"/>
          <w:color w:val="000000"/>
        </w:rPr>
      </w:pPr>
      <w:r w:rsidRPr="006A546A">
        <w:rPr>
          <w:rFonts w:ascii="Arial" w:eastAsia="Arial" w:hAnsi="Arial" w:cs="Arial"/>
          <w:color w:val="000000"/>
        </w:rPr>
        <w:t xml:space="preserve">                      </w:t>
      </w:r>
      <w:r>
        <w:rPr>
          <w:rFonts w:ascii="Arial" w:eastAsia="Arial" w:hAnsi="Arial" w:cs="Arial"/>
          <w:color w:val="000000"/>
        </w:rPr>
        <w:t xml:space="preserve">  </w:t>
      </w:r>
      <w:r w:rsidRPr="006A546A">
        <w:rPr>
          <w:rFonts w:ascii="Arial" w:eastAsia="Arial" w:hAnsi="Arial" w:cs="Arial"/>
          <w:color w:val="000000"/>
        </w:rPr>
        <w:t xml:space="preserve">Departamento del Guainía                   </w:t>
      </w:r>
      <w:r>
        <w:rPr>
          <w:rFonts w:ascii="Arial" w:eastAsia="Arial" w:hAnsi="Arial" w:cs="Arial"/>
          <w:color w:val="000000"/>
        </w:rPr>
        <w:t xml:space="preserve">      </w:t>
      </w:r>
      <w:r w:rsidRPr="006A546A">
        <w:rPr>
          <w:rFonts w:ascii="Arial" w:eastAsia="Arial" w:hAnsi="Arial" w:cs="Arial"/>
          <w:color w:val="000000"/>
        </w:rPr>
        <w:t xml:space="preserve">Departamento del Cesar </w:t>
      </w:r>
    </w:p>
    <w:p w:rsidR="006A546A" w:rsidRPr="006A546A" w:rsidRDefault="006A546A" w:rsidP="006A546A">
      <w:pPr>
        <w:spacing w:after="0" w:line="276" w:lineRule="auto"/>
        <w:rPr>
          <w:rFonts w:ascii="Arial" w:eastAsia="Arial" w:hAnsi="Arial" w:cs="Arial"/>
          <w:color w:val="000000"/>
        </w:rPr>
      </w:pPr>
      <w:r w:rsidRPr="006A546A">
        <w:rPr>
          <w:rFonts w:ascii="Arial" w:eastAsia="Arial" w:hAnsi="Arial" w:cs="Arial"/>
        </w:rPr>
        <w:t xml:space="preserve"> </w:t>
      </w:r>
    </w:p>
    <w:p w:rsidR="006A546A" w:rsidRDefault="006A546A" w:rsidP="006A546A">
      <w:pPr>
        <w:pBdr>
          <w:top w:val="nil"/>
          <w:left w:val="nil"/>
          <w:bottom w:val="nil"/>
          <w:right w:val="nil"/>
          <w:between w:val="nil"/>
        </w:pBdr>
        <w:spacing w:after="0" w:line="276" w:lineRule="auto"/>
        <w:ind w:left="708"/>
        <w:jc w:val="both"/>
        <w:rPr>
          <w:rFonts w:ascii="Arial" w:eastAsia="Arial" w:hAnsi="Arial" w:cs="Arial"/>
          <w:color w:val="000000"/>
          <w:sz w:val="16"/>
          <w:szCs w:val="16"/>
        </w:rPr>
      </w:pPr>
    </w:p>
    <w:p w:rsidR="006A546A" w:rsidRDefault="006A546A" w:rsidP="006A546A">
      <w:pPr>
        <w:pBdr>
          <w:top w:val="nil"/>
          <w:left w:val="nil"/>
          <w:bottom w:val="nil"/>
          <w:right w:val="nil"/>
          <w:between w:val="nil"/>
        </w:pBdr>
        <w:spacing w:after="0" w:line="276" w:lineRule="auto"/>
        <w:ind w:left="708"/>
        <w:jc w:val="both"/>
        <w:rPr>
          <w:rFonts w:ascii="Arial" w:eastAsia="Arial" w:hAnsi="Arial" w:cs="Arial"/>
          <w:color w:val="000000"/>
          <w:sz w:val="16"/>
          <w:szCs w:val="16"/>
        </w:rPr>
      </w:pPr>
    </w:p>
    <w:p w:rsidR="009B358E" w:rsidRDefault="00393FF3">
      <w:pPr>
        <w:rPr>
          <w:rFonts w:ascii="Arial" w:eastAsia="Arial" w:hAnsi="Arial" w:cs="Arial"/>
          <w:sz w:val="24"/>
          <w:szCs w:val="24"/>
        </w:rPr>
      </w:pPr>
      <w:r>
        <w:br w:type="page"/>
      </w:r>
    </w:p>
    <w:p w:rsidR="009B358E" w:rsidRDefault="00393FF3">
      <w:pPr>
        <w:pBdr>
          <w:top w:val="nil"/>
          <w:left w:val="nil"/>
          <w:bottom w:val="nil"/>
          <w:right w:val="nil"/>
          <w:between w:val="nil"/>
        </w:pBdr>
        <w:spacing w:after="0" w:line="276" w:lineRule="auto"/>
        <w:ind w:left="708"/>
        <w:jc w:val="both"/>
        <w:rPr>
          <w:rFonts w:ascii="Arial" w:eastAsia="Arial" w:hAnsi="Arial" w:cs="Arial"/>
          <w:color w:val="000000"/>
          <w:sz w:val="16"/>
          <w:szCs w:val="16"/>
        </w:rPr>
      </w:pPr>
      <w:r>
        <w:rPr>
          <w:rFonts w:ascii="Times New Roman" w:eastAsia="Times New Roman" w:hAnsi="Times New Roman" w:cs="Times New Roman"/>
          <w:color w:val="000000"/>
          <w:sz w:val="24"/>
          <w:szCs w:val="24"/>
        </w:rPr>
        <w:lastRenderedPageBreak/>
        <w:t xml:space="preserve">       </w:t>
      </w:r>
    </w:p>
    <w:p w:rsidR="009B358E" w:rsidRDefault="00393FF3">
      <w:pPr>
        <w:pStyle w:val="Ttulo1"/>
        <w:spacing w:before="185"/>
        <w:ind w:left="3540" w:firstLine="708"/>
      </w:pPr>
      <w:r>
        <w:t>EXPOSICIÓN DE MOTIVOS</w:t>
      </w:r>
    </w:p>
    <w:p w:rsidR="009B358E" w:rsidRDefault="00393FF3">
      <w:pPr>
        <w:widowControl w:val="0"/>
        <w:pBdr>
          <w:top w:val="nil"/>
          <w:left w:val="nil"/>
          <w:bottom w:val="nil"/>
          <w:right w:val="nil"/>
          <w:between w:val="nil"/>
        </w:pBdr>
        <w:spacing w:before="241" w:after="0" w:line="240" w:lineRule="auto"/>
        <w:ind w:left="1561"/>
        <w:jc w:val="both"/>
        <w:rPr>
          <w:rFonts w:ascii="Arial" w:eastAsia="Arial" w:hAnsi="Arial" w:cs="Arial"/>
          <w:color w:val="000000"/>
          <w:sz w:val="24"/>
          <w:szCs w:val="24"/>
        </w:rPr>
      </w:pPr>
      <w:r>
        <w:rPr>
          <w:rFonts w:ascii="Arial" w:eastAsia="Arial" w:hAnsi="Arial" w:cs="Arial"/>
          <w:color w:val="000000"/>
          <w:sz w:val="24"/>
          <w:szCs w:val="24"/>
        </w:rPr>
        <w:t>La presente exposición de motivos está compuesta por siete (7) apartes:</w:t>
      </w:r>
    </w:p>
    <w:p w:rsidR="009B358E" w:rsidRDefault="00393FF3">
      <w:pPr>
        <w:widowControl w:val="0"/>
        <w:numPr>
          <w:ilvl w:val="0"/>
          <w:numId w:val="8"/>
        </w:numPr>
        <w:pBdr>
          <w:top w:val="nil"/>
          <w:left w:val="nil"/>
          <w:bottom w:val="nil"/>
          <w:right w:val="nil"/>
          <w:between w:val="nil"/>
        </w:pBdr>
        <w:tabs>
          <w:tab w:val="left" w:pos="2280"/>
        </w:tabs>
        <w:spacing w:before="242" w:after="0" w:line="240" w:lineRule="auto"/>
        <w:ind w:left="2280" w:hanging="358"/>
        <w:rPr>
          <w:rFonts w:ascii="Arial" w:eastAsia="Arial" w:hAnsi="Arial" w:cs="Arial"/>
          <w:b/>
          <w:color w:val="000000"/>
          <w:sz w:val="24"/>
          <w:szCs w:val="24"/>
        </w:rPr>
      </w:pPr>
      <w:r>
        <w:rPr>
          <w:rFonts w:ascii="Arial" w:eastAsia="Arial" w:hAnsi="Arial" w:cs="Arial"/>
          <w:b/>
          <w:color w:val="000000"/>
          <w:sz w:val="24"/>
          <w:szCs w:val="24"/>
        </w:rPr>
        <w:t>ANTECEDENTES DEL PROYECTO</w:t>
      </w:r>
    </w:p>
    <w:p w:rsidR="009B358E" w:rsidRDefault="00393FF3">
      <w:pPr>
        <w:widowControl w:val="0"/>
        <w:numPr>
          <w:ilvl w:val="0"/>
          <w:numId w:val="8"/>
        </w:numPr>
        <w:pBdr>
          <w:top w:val="nil"/>
          <w:left w:val="nil"/>
          <w:bottom w:val="nil"/>
          <w:right w:val="nil"/>
          <w:between w:val="nil"/>
        </w:pBdr>
        <w:tabs>
          <w:tab w:val="left" w:pos="2280"/>
        </w:tabs>
        <w:spacing w:after="0" w:line="240" w:lineRule="auto"/>
        <w:ind w:left="2280" w:hanging="358"/>
        <w:rPr>
          <w:rFonts w:ascii="Arial" w:eastAsia="Arial" w:hAnsi="Arial" w:cs="Arial"/>
          <w:b/>
          <w:color w:val="000000"/>
          <w:sz w:val="24"/>
          <w:szCs w:val="24"/>
        </w:rPr>
      </w:pPr>
      <w:r>
        <w:rPr>
          <w:rFonts w:ascii="Arial" w:eastAsia="Arial" w:hAnsi="Arial" w:cs="Arial"/>
          <w:b/>
          <w:color w:val="000000"/>
          <w:sz w:val="24"/>
          <w:szCs w:val="24"/>
        </w:rPr>
        <w:t>OBJETIVOS DEL PROYECTO DE LEY</w:t>
      </w:r>
    </w:p>
    <w:p w:rsidR="009B358E" w:rsidRDefault="00393FF3">
      <w:pPr>
        <w:widowControl w:val="0"/>
        <w:numPr>
          <w:ilvl w:val="0"/>
          <w:numId w:val="8"/>
        </w:numPr>
        <w:pBdr>
          <w:top w:val="nil"/>
          <w:left w:val="nil"/>
          <w:bottom w:val="nil"/>
          <w:right w:val="nil"/>
          <w:between w:val="nil"/>
        </w:pBdr>
        <w:tabs>
          <w:tab w:val="left" w:pos="2280"/>
        </w:tabs>
        <w:spacing w:after="0" w:line="240" w:lineRule="auto"/>
        <w:ind w:left="2280" w:hanging="358"/>
        <w:rPr>
          <w:rFonts w:ascii="Arial" w:eastAsia="Arial" w:hAnsi="Arial" w:cs="Arial"/>
          <w:b/>
          <w:color w:val="000000"/>
          <w:sz w:val="24"/>
          <w:szCs w:val="24"/>
        </w:rPr>
      </w:pPr>
      <w:r>
        <w:rPr>
          <w:rFonts w:ascii="Arial" w:eastAsia="Arial" w:hAnsi="Arial" w:cs="Arial"/>
          <w:b/>
          <w:color w:val="000000"/>
          <w:sz w:val="24"/>
          <w:szCs w:val="24"/>
        </w:rPr>
        <w:t>SITUACIÓN Y PROBLEMA A RESOLVER</w:t>
      </w:r>
    </w:p>
    <w:p w:rsidR="009B358E" w:rsidRDefault="00393FF3">
      <w:pPr>
        <w:widowControl w:val="0"/>
        <w:numPr>
          <w:ilvl w:val="0"/>
          <w:numId w:val="8"/>
        </w:numPr>
        <w:pBdr>
          <w:top w:val="nil"/>
          <w:left w:val="nil"/>
          <w:bottom w:val="nil"/>
          <w:right w:val="nil"/>
          <w:between w:val="nil"/>
        </w:pBdr>
        <w:tabs>
          <w:tab w:val="left" w:pos="2280"/>
        </w:tabs>
        <w:spacing w:after="0" w:line="240" w:lineRule="auto"/>
        <w:ind w:left="2280" w:hanging="358"/>
        <w:rPr>
          <w:rFonts w:ascii="Arial" w:eastAsia="Arial" w:hAnsi="Arial" w:cs="Arial"/>
          <w:b/>
          <w:color w:val="000000"/>
          <w:sz w:val="24"/>
          <w:szCs w:val="24"/>
        </w:rPr>
      </w:pPr>
      <w:r>
        <w:rPr>
          <w:rFonts w:ascii="Arial" w:eastAsia="Arial" w:hAnsi="Arial" w:cs="Arial"/>
          <w:b/>
          <w:color w:val="000000"/>
          <w:sz w:val="24"/>
          <w:szCs w:val="24"/>
        </w:rPr>
        <w:t>MARCO NORMATIVO</w:t>
      </w:r>
    </w:p>
    <w:p w:rsidR="009B358E" w:rsidRDefault="00393FF3">
      <w:pPr>
        <w:widowControl w:val="0"/>
        <w:numPr>
          <w:ilvl w:val="0"/>
          <w:numId w:val="8"/>
        </w:numPr>
        <w:pBdr>
          <w:top w:val="nil"/>
          <w:left w:val="nil"/>
          <w:bottom w:val="nil"/>
          <w:right w:val="nil"/>
          <w:between w:val="nil"/>
        </w:pBdr>
        <w:tabs>
          <w:tab w:val="left" w:pos="2280"/>
        </w:tabs>
        <w:spacing w:after="0" w:line="240" w:lineRule="auto"/>
        <w:ind w:left="2280" w:hanging="358"/>
        <w:rPr>
          <w:rFonts w:ascii="Arial" w:eastAsia="Arial" w:hAnsi="Arial" w:cs="Arial"/>
          <w:b/>
          <w:color w:val="000000"/>
          <w:sz w:val="24"/>
          <w:szCs w:val="24"/>
        </w:rPr>
      </w:pPr>
      <w:r>
        <w:rPr>
          <w:rFonts w:ascii="Arial" w:eastAsia="Arial" w:hAnsi="Arial" w:cs="Arial"/>
          <w:b/>
          <w:color w:val="000000"/>
          <w:sz w:val="24"/>
          <w:szCs w:val="24"/>
        </w:rPr>
        <w:t>COMPETENCIA DEL CONGRESO</w:t>
      </w:r>
    </w:p>
    <w:p w:rsidR="009B358E" w:rsidRDefault="00393FF3">
      <w:pPr>
        <w:widowControl w:val="0"/>
        <w:numPr>
          <w:ilvl w:val="0"/>
          <w:numId w:val="8"/>
        </w:numPr>
        <w:pBdr>
          <w:top w:val="nil"/>
          <w:left w:val="nil"/>
          <w:bottom w:val="nil"/>
          <w:right w:val="nil"/>
          <w:between w:val="nil"/>
        </w:pBdr>
        <w:tabs>
          <w:tab w:val="left" w:pos="2280"/>
        </w:tabs>
        <w:spacing w:before="41" w:after="0" w:line="240" w:lineRule="auto"/>
        <w:ind w:left="2280" w:hanging="358"/>
        <w:rPr>
          <w:rFonts w:ascii="Arial" w:eastAsia="Arial" w:hAnsi="Arial" w:cs="Arial"/>
          <w:b/>
          <w:color w:val="000000"/>
          <w:sz w:val="24"/>
          <w:szCs w:val="24"/>
        </w:rPr>
      </w:pPr>
      <w:r>
        <w:rPr>
          <w:rFonts w:ascii="Arial" w:eastAsia="Arial" w:hAnsi="Arial" w:cs="Arial"/>
          <w:b/>
          <w:color w:val="000000"/>
          <w:sz w:val="24"/>
          <w:szCs w:val="24"/>
        </w:rPr>
        <w:t>CONFLICTO DE INTERÉS</w:t>
      </w:r>
    </w:p>
    <w:p w:rsidR="009B358E" w:rsidRDefault="00393FF3">
      <w:pPr>
        <w:widowControl w:val="0"/>
        <w:numPr>
          <w:ilvl w:val="0"/>
          <w:numId w:val="8"/>
        </w:numPr>
        <w:pBdr>
          <w:top w:val="nil"/>
          <w:left w:val="nil"/>
          <w:bottom w:val="nil"/>
          <w:right w:val="nil"/>
          <w:between w:val="nil"/>
        </w:pBdr>
        <w:tabs>
          <w:tab w:val="left" w:pos="2280"/>
        </w:tabs>
        <w:spacing w:before="42" w:after="0" w:line="240" w:lineRule="auto"/>
        <w:ind w:left="2280" w:hanging="358"/>
        <w:rPr>
          <w:rFonts w:ascii="Arial" w:eastAsia="Arial" w:hAnsi="Arial" w:cs="Arial"/>
          <w:b/>
          <w:color w:val="000000"/>
          <w:sz w:val="24"/>
          <w:szCs w:val="24"/>
        </w:rPr>
      </w:pPr>
      <w:r>
        <w:rPr>
          <w:rFonts w:ascii="Arial" w:eastAsia="Arial" w:hAnsi="Arial" w:cs="Arial"/>
          <w:b/>
          <w:color w:val="000000"/>
          <w:sz w:val="24"/>
          <w:szCs w:val="24"/>
        </w:rPr>
        <w:t>CONCLUSIONES</w:t>
      </w:r>
    </w:p>
    <w:p w:rsidR="009B358E" w:rsidRDefault="009B358E">
      <w:pPr>
        <w:widowControl w:val="0"/>
        <w:pBdr>
          <w:top w:val="nil"/>
          <w:left w:val="nil"/>
          <w:bottom w:val="nil"/>
          <w:right w:val="nil"/>
          <w:between w:val="nil"/>
        </w:pBdr>
        <w:spacing w:after="0" w:line="240" w:lineRule="auto"/>
        <w:rPr>
          <w:rFonts w:ascii="Arial" w:eastAsia="Arial" w:hAnsi="Arial" w:cs="Arial"/>
          <w:b/>
          <w:color w:val="000000"/>
          <w:sz w:val="24"/>
          <w:szCs w:val="24"/>
        </w:rPr>
      </w:pPr>
    </w:p>
    <w:p w:rsidR="009B358E" w:rsidRDefault="00393FF3">
      <w:pPr>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 xml:space="preserve">1. ANTECEDENTES DEL PROYECTO </w:t>
      </w:r>
    </w:p>
    <w:p w:rsidR="009B358E" w:rsidRDefault="00393FF3">
      <w:pPr>
        <w:widowControl w:val="0"/>
        <w:pBdr>
          <w:top w:val="nil"/>
          <w:left w:val="nil"/>
          <w:bottom w:val="nil"/>
          <w:right w:val="nil"/>
          <w:between w:val="nil"/>
        </w:pBdr>
        <w:spacing w:before="253" w:after="0" w:line="240" w:lineRule="auto"/>
        <w:ind w:left="1561" w:right="139"/>
        <w:jc w:val="both"/>
        <w:rPr>
          <w:rFonts w:ascii="Arial" w:eastAsia="Arial" w:hAnsi="Arial" w:cs="Arial"/>
          <w:color w:val="000000"/>
          <w:sz w:val="24"/>
          <w:szCs w:val="24"/>
        </w:rPr>
      </w:pPr>
      <w:r>
        <w:rPr>
          <w:rFonts w:ascii="Arial" w:eastAsia="Arial" w:hAnsi="Arial" w:cs="Arial"/>
          <w:color w:val="000000"/>
          <w:sz w:val="24"/>
          <w:szCs w:val="24"/>
        </w:rPr>
        <w:t>El Guainía, es un departamento que se encuentra localizado entre los 01°10´</w:t>
      </w:r>
      <w:proofErr w:type="gramStart"/>
      <w:r>
        <w:rPr>
          <w:rFonts w:ascii="Arial" w:eastAsia="Arial" w:hAnsi="Arial" w:cs="Arial"/>
          <w:color w:val="000000"/>
          <w:sz w:val="24"/>
          <w:szCs w:val="24"/>
        </w:rPr>
        <w:t>17”y</w:t>
      </w:r>
      <w:proofErr w:type="gramEnd"/>
      <w:r>
        <w:rPr>
          <w:rFonts w:ascii="Arial" w:eastAsia="Arial" w:hAnsi="Arial" w:cs="Arial"/>
          <w:color w:val="000000"/>
          <w:sz w:val="24"/>
          <w:szCs w:val="24"/>
        </w:rPr>
        <w:t xml:space="preserve"> 04°02´21” de latitud Norte, los 66°55´44” y 70°55´16” de longitud Oeste al extremo centro- oriental de Colombia y nororiente de la Amazonía Colombiana. Tiene como límite al norte el Departamento del Vichada, al oriente la República de Venezuela, al sur la república del Brasil y al occidente los departamentos del Guaviare y Vaupés, está enmarcada en la llamada extensión amazónica, el territorio se encuentra entre sabana y selva, ha sido históricamente afectado por la falta de acceso a servicios de salud de calidad. Los indicadores de salud en nuestra región son preocupantes, con altas tasas de mortalidad infantil, enfermedades prevenibles y una falta generalizada de recursos médicos y personal capacitado. Esta situación no solo afecta la calidad de vida de nuestros ciudadanos, sino que también limita el desarrollo social y económico de nuestra región.</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1561" w:right="140"/>
        <w:jc w:val="both"/>
        <w:rPr>
          <w:rFonts w:ascii="Arial" w:eastAsia="Arial" w:hAnsi="Arial" w:cs="Arial"/>
          <w:color w:val="000000"/>
          <w:sz w:val="24"/>
          <w:szCs w:val="24"/>
        </w:rPr>
      </w:pPr>
      <w:r>
        <w:rPr>
          <w:rFonts w:ascii="Arial" w:eastAsia="Arial" w:hAnsi="Arial" w:cs="Arial"/>
          <w:color w:val="000000"/>
          <w:sz w:val="24"/>
          <w:szCs w:val="24"/>
        </w:rPr>
        <w:t>La aprobación para la creación de una estampilla departamental en salud para el Departamento del Guainía, tiene como objetivo principal establecer un mecanismo de financiamiento sostenible para mejorar y fortalecer el sistema de salud en nuestra región, la cual se ha enfrentado a numerosos desafíos y dificultades en este aspecto.</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pBdr>
          <w:top w:val="nil"/>
          <w:left w:val="nil"/>
          <w:bottom w:val="nil"/>
          <w:right w:val="nil"/>
          <w:between w:val="nil"/>
        </w:pBdr>
        <w:spacing w:before="1" w:after="0" w:line="240" w:lineRule="auto"/>
        <w:ind w:left="1561" w:right="139"/>
        <w:jc w:val="both"/>
        <w:rPr>
          <w:rFonts w:ascii="Arial" w:eastAsia="Arial" w:hAnsi="Arial" w:cs="Arial"/>
          <w:color w:val="000000"/>
          <w:sz w:val="24"/>
          <w:szCs w:val="24"/>
        </w:rPr>
      </w:pPr>
      <w:r>
        <w:rPr>
          <w:rFonts w:ascii="Arial" w:eastAsia="Arial" w:hAnsi="Arial" w:cs="Arial"/>
          <w:color w:val="000000"/>
          <w:sz w:val="24"/>
          <w:szCs w:val="24"/>
        </w:rPr>
        <w:t xml:space="preserve">En Guainía, el quinto departamento más grande de Colombia, su asistencia y atención en salud es insuficiente. Muchos miembros de nuestras comunidades siguen muriendo por complicaciones de salud que son de </w:t>
      </w:r>
      <w:r>
        <w:rPr>
          <w:rFonts w:ascii="Arial" w:eastAsia="Arial" w:hAnsi="Arial" w:cs="Arial"/>
          <w:sz w:val="24"/>
          <w:szCs w:val="24"/>
        </w:rPr>
        <w:t>menor atención</w:t>
      </w:r>
      <w:r>
        <w:rPr>
          <w:rFonts w:ascii="Arial" w:eastAsia="Arial" w:hAnsi="Arial" w:cs="Arial"/>
          <w:color w:val="000000"/>
          <w:sz w:val="24"/>
          <w:szCs w:val="24"/>
        </w:rPr>
        <w:t xml:space="preserve">, pero que no se tratan a tiempo ni con el medicamento y/o atención requerida. Se ha manifestado siempre, un olvido gubernamental, pese a que </w:t>
      </w:r>
      <w:r>
        <w:rPr>
          <w:rFonts w:ascii="Arial" w:eastAsia="Arial" w:hAnsi="Arial" w:cs="Arial"/>
          <w:sz w:val="24"/>
          <w:szCs w:val="24"/>
        </w:rPr>
        <w:t>existen</w:t>
      </w:r>
      <w:r>
        <w:rPr>
          <w:rFonts w:ascii="Arial" w:eastAsia="Arial" w:hAnsi="Arial" w:cs="Arial"/>
          <w:color w:val="000000"/>
          <w:sz w:val="24"/>
          <w:szCs w:val="24"/>
        </w:rPr>
        <w:t xml:space="preserve"> alternativas básicas que obedecen a atención que en otrora se hiciere, iniciativas como la Balsa Humanitaria de la Cruz Roja, quien debe realizar largos desplazamientos </w:t>
      </w:r>
      <w:r>
        <w:rPr>
          <w:rFonts w:ascii="Arial" w:eastAsia="Arial" w:hAnsi="Arial" w:cs="Arial"/>
          <w:color w:val="000000"/>
          <w:sz w:val="24"/>
          <w:szCs w:val="24"/>
        </w:rPr>
        <w:lastRenderedPageBreak/>
        <w:t xml:space="preserve">por los diferentes afluentes de la región son el pequeño aliciente, de atención básica con el que cuenta nuestra región que brinda asistencia desplazándose por los diferentes ríos de la región. </w:t>
      </w:r>
    </w:p>
    <w:p w:rsidR="009B358E" w:rsidRDefault="00393FF3">
      <w:pPr>
        <w:spacing w:after="0" w:line="240" w:lineRule="auto"/>
        <w:ind w:left="144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6 de marzo de 2025, fue radicado en la Secretaría General de la Cámara de Representantes se le asignó el número 542 de 2025 y publicado mediante la gaceta 302 de 2025 este proyecto de ley fue remitido a la comisión tercera por competencia y no pudo tener su primer debate, después de toda una legislatura sin seguir con los debates restantes el proyecto fue archivado por falta de trámite (art 190 ley 5 de 1992). </w:t>
      </w:r>
    </w:p>
    <w:p w:rsidR="009B358E" w:rsidRDefault="009B358E">
      <w:pPr>
        <w:spacing w:after="0" w:line="240" w:lineRule="auto"/>
        <w:ind w:left="1440"/>
        <w:jc w:val="both"/>
        <w:rPr>
          <w:rFonts w:ascii="Arial Narrow" w:eastAsia="Arial Narrow" w:hAnsi="Arial Narrow" w:cs="Arial Narrow"/>
          <w:sz w:val="24"/>
          <w:szCs w:val="24"/>
        </w:rPr>
      </w:pPr>
    </w:p>
    <w:p w:rsidR="009B358E" w:rsidRDefault="00393FF3">
      <w:pPr>
        <w:spacing w:after="0" w:line="240" w:lineRule="auto"/>
        <w:ind w:left="1440"/>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estas razones se presenta nuevamente, es un proyecto loable demasiado importante para el departamento. </w:t>
      </w:r>
    </w:p>
    <w:p w:rsidR="009B358E" w:rsidRDefault="009B358E">
      <w:pPr>
        <w:widowControl w:val="0"/>
        <w:pBdr>
          <w:top w:val="nil"/>
          <w:left w:val="nil"/>
          <w:bottom w:val="nil"/>
          <w:right w:val="nil"/>
          <w:between w:val="nil"/>
        </w:pBdr>
        <w:spacing w:before="1" w:after="0" w:line="240" w:lineRule="auto"/>
        <w:ind w:left="1561" w:right="139"/>
        <w:jc w:val="both"/>
        <w:rPr>
          <w:rFonts w:ascii="Arial" w:eastAsia="Arial" w:hAnsi="Arial" w:cs="Arial"/>
          <w:sz w:val="24"/>
          <w:szCs w:val="24"/>
        </w:rPr>
      </w:pPr>
    </w:p>
    <w:p w:rsidR="009B358E" w:rsidRDefault="009B358E">
      <w:pPr>
        <w:widowControl w:val="0"/>
        <w:pBdr>
          <w:top w:val="nil"/>
          <w:left w:val="nil"/>
          <w:bottom w:val="nil"/>
          <w:right w:val="nil"/>
          <w:between w:val="nil"/>
        </w:pBdr>
        <w:spacing w:before="1" w:after="0" w:line="240" w:lineRule="auto"/>
        <w:ind w:left="1561" w:right="139"/>
        <w:jc w:val="both"/>
        <w:rPr>
          <w:rFonts w:ascii="Arial" w:eastAsia="Arial" w:hAnsi="Arial" w:cs="Arial"/>
          <w:color w:val="000000"/>
          <w:sz w:val="24"/>
          <w:szCs w:val="24"/>
        </w:rPr>
      </w:pPr>
    </w:p>
    <w:p w:rsidR="009B358E" w:rsidRDefault="009B358E">
      <w:pPr>
        <w:widowControl w:val="0"/>
        <w:pBdr>
          <w:top w:val="nil"/>
          <w:left w:val="nil"/>
          <w:bottom w:val="nil"/>
          <w:right w:val="nil"/>
          <w:between w:val="nil"/>
        </w:pBdr>
        <w:spacing w:before="1" w:after="0" w:line="240" w:lineRule="auto"/>
        <w:ind w:left="1561" w:right="139"/>
        <w:jc w:val="both"/>
        <w:rPr>
          <w:rFonts w:ascii="Arial" w:eastAsia="Arial" w:hAnsi="Arial" w:cs="Arial"/>
          <w:color w:val="000000"/>
          <w:sz w:val="24"/>
          <w:szCs w:val="24"/>
        </w:rPr>
      </w:pPr>
    </w:p>
    <w:p w:rsidR="009B358E" w:rsidRDefault="00393FF3">
      <w:pPr>
        <w:tabs>
          <w:tab w:val="left" w:pos="2280"/>
        </w:tabs>
        <w:ind w:left="1922"/>
        <w:rPr>
          <w:rFonts w:ascii="Arial" w:eastAsia="Arial" w:hAnsi="Arial" w:cs="Arial"/>
          <w:b/>
          <w:sz w:val="24"/>
          <w:szCs w:val="24"/>
        </w:rPr>
      </w:pPr>
      <w:r>
        <w:rPr>
          <w:rFonts w:ascii="Arial" w:eastAsia="Arial" w:hAnsi="Arial" w:cs="Arial"/>
          <w:b/>
          <w:sz w:val="24"/>
          <w:szCs w:val="24"/>
        </w:rPr>
        <w:t>2. OBJETO DEL PROYECTO DE LEY</w:t>
      </w:r>
    </w:p>
    <w:p w:rsidR="009B358E" w:rsidRDefault="009B358E">
      <w:pPr>
        <w:widowControl w:val="0"/>
        <w:pBdr>
          <w:top w:val="nil"/>
          <w:left w:val="nil"/>
          <w:bottom w:val="nil"/>
          <w:right w:val="nil"/>
          <w:between w:val="nil"/>
        </w:pBdr>
        <w:spacing w:before="1" w:after="0" w:line="240" w:lineRule="auto"/>
        <w:ind w:left="1561" w:right="139"/>
        <w:jc w:val="both"/>
        <w:rPr>
          <w:rFonts w:ascii="Arial" w:eastAsia="Arial" w:hAnsi="Arial" w:cs="Arial"/>
          <w:color w:val="000000"/>
          <w:sz w:val="24"/>
          <w:szCs w:val="24"/>
        </w:rPr>
      </w:pPr>
    </w:p>
    <w:p w:rsidR="009B358E" w:rsidRDefault="00393FF3">
      <w:pPr>
        <w:widowControl w:val="0"/>
        <w:pBdr>
          <w:top w:val="nil"/>
          <w:left w:val="nil"/>
          <w:bottom w:val="nil"/>
          <w:right w:val="nil"/>
          <w:between w:val="nil"/>
        </w:pBdr>
        <w:spacing w:before="1" w:after="0" w:line="240" w:lineRule="auto"/>
        <w:ind w:left="1561" w:right="137"/>
        <w:jc w:val="both"/>
        <w:rPr>
          <w:rFonts w:ascii="Arial" w:eastAsia="Arial" w:hAnsi="Arial" w:cs="Arial"/>
          <w:color w:val="000000"/>
          <w:sz w:val="24"/>
          <w:szCs w:val="24"/>
        </w:rPr>
      </w:pPr>
      <w:r>
        <w:rPr>
          <w:rFonts w:ascii="Arial" w:eastAsia="Arial" w:hAnsi="Arial" w:cs="Arial"/>
          <w:color w:val="000000"/>
          <w:sz w:val="24"/>
          <w:szCs w:val="24"/>
        </w:rPr>
        <w:t>De acuerdo a los antecedentes aquí expuestos, se puede determinar que el objeto del proyecto de ley es la emisión de la Estampilla Pro-Hospitales Públicos, Centros de Salud Públicos y Puestos de Salud Públicos del Departamento del Guainía, con el fin de financiar la infraestructura y el funcionamiento de las instituciones de salud públicas del Departamento.</w:t>
      </w:r>
    </w:p>
    <w:p w:rsidR="009B358E" w:rsidRDefault="009B358E">
      <w:pPr>
        <w:widowControl w:val="0"/>
        <w:pBdr>
          <w:top w:val="nil"/>
          <w:left w:val="nil"/>
          <w:bottom w:val="nil"/>
          <w:right w:val="nil"/>
          <w:between w:val="nil"/>
        </w:pBdr>
        <w:spacing w:before="1" w:after="0" w:line="240" w:lineRule="auto"/>
        <w:ind w:left="1561" w:right="139"/>
        <w:jc w:val="both"/>
        <w:rPr>
          <w:rFonts w:ascii="Arial" w:eastAsia="Arial" w:hAnsi="Arial" w:cs="Arial"/>
          <w:color w:val="000000"/>
          <w:sz w:val="24"/>
          <w:szCs w:val="24"/>
        </w:rPr>
      </w:pPr>
    </w:p>
    <w:p w:rsidR="009B358E" w:rsidRDefault="009B358E">
      <w:pPr>
        <w:widowControl w:val="0"/>
        <w:pBdr>
          <w:top w:val="nil"/>
          <w:left w:val="nil"/>
          <w:bottom w:val="nil"/>
          <w:right w:val="nil"/>
          <w:between w:val="nil"/>
        </w:pBdr>
        <w:spacing w:before="1" w:after="0" w:line="240" w:lineRule="auto"/>
        <w:ind w:left="1561" w:right="139"/>
        <w:jc w:val="both"/>
        <w:rPr>
          <w:rFonts w:ascii="Arial" w:eastAsia="Arial" w:hAnsi="Arial" w:cs="Arial"/>
          <w:color w:val="000000"/>
          <w:sz w:val="24"/>
          <w:szCs w:val="24"/>
        </w:rPr>
      </w:pPr>
    </w:p>
    <w:p w:rsidR="009B358E" w:rsidRDefault="00393FF3">
      <w:pPr>
        <w:tabs>
          <w:tab w:val="left" w:pos="2280"/>
        </w:tabs>
        <w:rPr>
          <w:rFonts w:ascii="Arial" w:eastAsia="Arial" w:hAnsi="Arial" w:cs="Arial"/>
          <w:b/>
          <w:sz w:val="24"/>
          <w:szCs w:val="24"/>
        </w:rPr>
      </w:pPr>
      <w:r>
        <w:rPr>
          <w:rFonts w:ascii="Arial" w:eastAsia="Arial" w:hAnsi="Arial" w:cs="Arial"/>
          <w:b/>
          <w:sz w:val="24"/>
          <w:szCs w:val="24"/>
        </w:rPr>
        <w:t xml:space="preserve">                          3. SITUACIÓN Y PROBLEMA A RESOLVER</w:t>
      </w:r>
    </w:p>
    <w:p w:rsidR="009B358E" w:rsidRDefault="009B358E">
      <w:pPr>
        <w:tabs>
          <w:tab w:val="left" w:pos="2280"/>
        </w:tabs>
        <w:ind w:left="1922"/>
        <w:rPr>
          <w:rFonts w:ascii="Arial" w:eastAsia="Arial" w:hAnsi="Arial" w:cs="Arial"/>
          <w:b/>
          <w:sz w:val="24"/>
          <w:szCs w:val="24"/>
        </w:rPr>
      </w:pPr>
    </w:p>
    <w:p w:rsidR="009B358E" w:rsidRDefault="00393FF3">
      <w:pPr>
        <w:spacing w:line="276" w:lineRule="auto"/>
        <w:ind w:left="1416"/>
        <w:jc w:val="both"/>
        <w:rPr>
          <w:rFonts w:ascii="Arial" w:eastAsia="Arial" w:hAnsi="Arial" w:cs="Arial"/>
          <w:sz w:val="24"/>
          <w:szCs w:val="24"/>
        </w:rPr>
      </w:pPr>
      <w:r>
        <w:rPr>
          <w:rFonts w:ascii="Arial" w:eastAsia="Arial" w:hAnsi="Arial" w:cs="Arial"/>
          <w:sz w:val="24"/>
          <w:szCs w:val="24"/>
        </w:rPr>
        <w:t>La salud es un derecho fundamental que debe ser garantizado a todos los ciudadanos, especialmente en regiones vulnerables, como el departamento de Guainía. A pesar de los avances en políticas públicas, el acceso a servicios de salud de calidad sigue siendo un desafío en esta área, el departamento del Guainía presenta una infraestructura de salud insuficiente, con pocos hospitales y centros de salud que no cubren adecuadamente las necesidades de la población, especialmente en las zonas rurales.</w:t>
      </w:r>
    </w:p>
    <w:p w:rsidR="009B358E" w:rsidRDefault="00393FF3">
      <w:pPr>
        <w:spacing w:line="276" w:lineRule="auto"/>
        <w:ind w:left="1416"/>
        <w:jc w:val="both"/>
        <w:rPr>
          <w:rFonts w:ascii="Arial" w:eastAsia="Arial" w:hAnsi="Arial" w:cs="Arial"/>
          <w:sz w:val="24"/>
          <w:szCs w:val="24"/>
        </w:rPr>
      </w:pPr>
      <w:r>
        <w:rPr>
          <w:rFonts w:ascii="Arial" w:eastAsia="Arial" w:hAnsi="Arial" w:cs="Arial"/>
          <w:sz w:val="24"/>
          <w:szCs w:val="24"/>
        </w:rPr>
        <w:t xml:space="preserve">El Guainía, con una población de aproximadamente 52,627 habitantes según datos del DANE, es uno de los departamentos más apartados de Colombia, con vastas áreas de selva y una alta concentración de población indígena dispersa; Esta población ha sido históricamente marginada en términos de acceso a servicios básicos, incluyendo la salud. Estas comunidades enfrentan mayores índices de desnutrición, mortalidad infantil y enfermedades infecciosas, lo que </w:t>
      </w:r>
      <w:r>
        <w:rPr>
          <w:rFonts w:ascii="Arial" w:eastAsia="Arial" w:hAnsi="Arial" w:cs="Arial"/>
          <w:sz w:val="24"/>
          <w:szCs w:val="24"/>
        </w:rPr>
        <w:lastRenderedPageBreak/>
        <w:t>hace prioritario fortalecer el sector salud para mejorar sus condiciones de vida y reducir las desigualdades.</w:t>
      </w:r>
    </w:p>
    <w:p w:rsidR="009B358E" w:rsidRDefault="00393FF3">
      <w:pPr>
        <w:spacing w:line="276" w:lineRule="auto"/>
        <w:ind w:left="1416"/>
        <w:jc w:val="both"/>
        <w:rPr>
          <w:rFonts w:ascii="Arial" w:eastAsia="Arial" w:hAnsi="Arial" w:cs="Arial"/>
          <w:sz w:val="24"/>
          <w:szCs w:val="24"/>
        </w:rPr>
      </w:pPr>
      <w:r>
        <w:rPr>
          <w:rFonts w:ascii="Arial" w:eastAsia="Arial" w:hAnsi="Arial" w:cs="Arial"/>
          <w:sz w:val="24"/>
          <w:szCs w:val="24"/>
        </w:rPr>
        <w:t>El departamento enfrenta serios retos en la atención sanitaria, ya que no logra abarcar todas las intervenciones necesarias para mejorar o mantener la salud de las personas, la problemática es compleja, pues no se alcanzan a cubrir de manera integral los servicios profesionales en sus distintos niveles, ni mucho menos la promoción de la salud, la prevención de enfermedades, el diagnóstico, los tratamientos, y la rehabilitación, entre otros.</w:t>
      </w:r>
      <w:r>
        <w:rPr>
          <w:rFonts w:ascii="Arial" w:eastAsia="Arial" w:hAnsi="Arial" w:cs="Arial"/>
          <w:noProof/>
          <w:sz w:val="24"/>
          <w:szCs w:val="24"/>
          <w:lang w:val="es-CO"/>
        </w:rPr>
        <w:drawing>
          <wp:anchor distT="0" distB="0" distL="114300" distR="114300" simplePos="0" relativeHeight="251658240" behindDoc="0" locked="0" layoutInCell="1" hidden="0" allowOverlap="1">
            <wp:simplePos x="0" y="0"/>
            <wp:positionH relativeFrom="margin">
              <wp:posOffset>916221</wp:posOffset>
            </wp:positionH>
            <wp:positionV relativeFrom="margin">
              <wp:posOffset>11679</wp:posOffset>
            </wp:positionV>
            <wp:extent cx="2689225" cy="2430780"/>
            <wp:effectExtent l="0" t="0" r="0" b="0"/>
            <wp:wrapSquare wrapText="bothSides" distT="0" distB="0" distL="114300" distR="114300"/>
            <wp:docPr id="86460201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2689225" cy="2430780"/>
                    </a:xfrm>
                    <a:prstGeom prst="rect">
                      <a:avLst/>
                    </a:prstGeom>
                    <a:ln/>
                  </pic:spPr>
                </pic:pic>
              </a:graphicData>
            </a:graphic>
          </wp:anchor>
        </w:drawing>
      </w:r>
    </w:p>
    <w:p w:rsidR="009B358E" w:rsidRDefault="00393FF3">
      <w:pPr>
        <w:spacing w:line="276" w:lineRule="auto"/>
        <w:ind w:left="1416"/>
        <w:jc w:val="both"/>
        <w:rPr>
          <w:rFonts w:ascii="Arial" w:eastAsia="Arial" w:hAnsi="Arial" w:cs="Arial"/>
          <w:sz w:val="24"/>
          <w:szCs w:val="24"/>
        </w:rPr>
      </w:pPr>
      <w:r>
        <w:rPr>
          <w:rFonts w:ascii="Arial" w:eastAsia="Arial" w:hAnsi="Arial" w:cs="Arial"/>
          <w:sz w:val="24"/>
          <w:szCs w:val="24"/>
        </w:rPr>
        <w:t>El informe del Ministerio de Salud revela que el 70% de la población rural en el departamento del Guainía enfrenta barreras significativas para acceder a servicios sanitarios de calidad, esto se manifiesta en la necesidad de recorrer largas distancias para obtener atención médica, la carencia crítica de profesionales de la salud capacitados en la región, deficiencias sustanciales en infraestructura sanitaria, en equipamiento biomédico, suministro de medicamentos pero, especialmente, en la asignación presupuestaria.</w:t>
      </w:r>
    </w:p>
    <w:p w:rsidR="009B358E" w:rsidRDefault="00393FF3">
      <w:pPr>
        <w:spacing w:line="276" w:lineRule="auto"/>
        <w:ind w:left="1416"/>
        <w:jc w:val="both"/>
        <w:rPr>
          <w:rFonts w:ascii="Arial" w:eastAsia="Arial" w:hAnsi="Arial" w:cs="Arial"/>
          <w:sz w:val="24"/>
          <w:szCs w:val="24"/>
        </w:rPr>
      </w:pPr>
      <w:r>
        <w:rPr>
          <w:rFonts w:ascii="Arial" w:eastAsia="Arial" w:hAnsi="Arial" w:cs="Arial"/>
          <w:sz w:val="24"/>
          <w:szCs w:val="24"/>
        </w:rPr>
        <w:t>El Departamento del Guainía presenta serios desafíos en la prestación de servicios de salud debido a su geografía y la dispersión de la población, este proyecto de ley busca solucionar estas dificultades mediante la creación de una estampilla que destinará sus recursos a fortalecer la infraestructura hospitalaria y sanitaria de la región.</w:t>
      </w:r>
    </w:p>
    <w:p w:rsidR="009B358E" w:rsidRDefault="00393FF3">
      <w:pPr>
        <w:ind w:left="1416"/>
        <w:jc w:val="both"/>
        <w:rPr>
          <w:rFonts w:ascii="Arial" w:eastAsia="Arial" w:hAnsi="Arial" w:cs="Arial"/>
          <w:sz w:val="24"/>
          <w:szCs w:val="24"/>
        </w:rPr>
      </w:pPr>
      <w:r>
        <w:rPr>
          <w:rFonts w:ascii="Arial" w:eastAsia="Arial" w:hAnsi="Arial" w:cs="Arial"/>
          <w:sz w:val="24"/>
          <w:szCs w:val="24"/>
        </w:rPr>
        <w:t>La inversión destinada al sector salud en Guainía se considera insuficiente para cubrir las necesidades reales de la población, lo que repercute en indicadores sanitarios alarmantes, estos factores vulneran gravemente el derecho a la vida y a la salud, evidenciados en informes que destacan, entre otros aspectos:</w:t>
      </w:r>
    </w:p>
    <w:p w:rsidR="009B358E" w:rsidRDefault="00393FF3">
      <w:pPr>
        <w:numPr>
          <w:ilvl w:val="0"/>
          <w:numId w:val="5"/>
        </w:numPr>
        <w:pBdr>
          <w:top w:val="nil"/>
          <w:left w:val="nil"/>
          <w:bottom w:val="nil"/>
          <w:right w:val="nil"/>
          <w:between w:val="nil"/>
        </w:pBdr>
        <w:spacing w:after="0"/>
        <w:ind w:left="2136"/>
        <w:jc w:val="both"/>
        <w:rPr>
          <w:rFonts w:ascii="Arial" w:eastAsia="Arial" w:hAnsi="Arial" w:cs="Arial"/>
          <w:color w:val="000000"/>
          <w:sz w:val="24"/>
          <w:szCs w:val="24"/>
        </w:rPr>
      </w:pPr>
      <w:r>
        <w:rPr>
          <w:rFonts w:ascii="Arial" w:eastAsia="Arial" w:hAnsi="Arial" w:cs="Arial"/>
          <w:color w:val="000000"/>
          <w:sz w:val="24"/>
          <w:szCs w:val="24"/>
        </w:rPr>
        <w:t>Mortalidad infantil: Las tasas de mortalidad infantil son significativamente altas, superando en ocasiones las 40 muertes por cada 1,000 nacidos vivos, debido a problemas en el acceso a atención prenatal y postnatal.</w:t>
      </w:r>
    </w:p>
    <w:p w:rsidR="009B358E" w:rsidRDefault="009B358E">
      <w:pPr>
        <w:widowControl w:val="0"/>
        <w:pBdr>
          <w:top w:val="nil"/>
          <w:left w:val="nil"/>
          <w:bottom w:val="nil"/>
          <w:right w:val="nil"/>
          <w:between w:val="nil"/>
        </w:pBdr>
        <w:spacing w:after="0" w:line="240" w:lineRule="auto"/>
        <w:ind w:left="3696" w:hanging="358"/>
        <w:jc w:val="both"/>
        <w:rPr>
          <w:rFonts w:ascii="Arial" w:eastAsia="Arial" w:hAnsi="Arial" w:cs="Arial"/>
          <w:color w:val="000000"/>
          <w:sz w:val="24"/>
          <w:szCs w:val="24"/>
        </w:rPr>
      </w:pPr>
    </w:p>
    <w:p w:rsidR="009B358E" w:rsidRDefault="00393FF3">
      <w:pPr>
        <w:numPr>
          <w:ilvl w:val="0"/>
          <w:numId w:val="5"/>
        </w:numPr>
        <w:pBdr>
          <w:top w:val="nil"/>
          <w:left w:val="nil"/>
          <w:bottom w:val="nil"/>
          <w:right w:val="nil"/>
          <w:between w:val="nil"/>
        </w:pBdr>
        <w:spacing w:after="0"/>
        <w:ind w:left="2136"/>
        <w:jc w:val="both"/>
        <w:rPr>
          <w:rFonts w:ascii="Arial" w:eastAsia="Arial" w:hAnsi="Arial" w:cs="Arial"/>
          <w:color w:val="000000"/>
          <w:sz w:val="24"/>
          <w:szCs w:val="24"/>
        </w:rPr>
      </w:pPr>
      <w:r>
        <w:rPr>
          <w:rFonts w:ascii="Arial" w:eastAsia="Arial" w:hAnsi="Arial" w:cs="Arial"/>
          <w:color w:val="000000"/>
          <w:sz w:val="24"/>
          <w:szCs w:val="24"/>
        </w:rPr>
        <w:lastRenderedPageBreak/>
        <w:t>Desnutrición infantil: La prevalencia de desnutrición aguda y crónica en niños menores de cinco años puede alcanzar hasta el 20%, afectando gravemente su desarrollo y bienestar.</w:t>
      </w:r>
    </w:p>
    <w:p w:rsidR="009B358E" w:rsidRDefault="009B358E">
      <w:pPr>
        <w:widowControl w:val="0"/>
        <w:pBdr>
          <w:top w:val="nil"/>
          <w:left w:val="nil"/>
          <w:bottom w:val="nil"/>
          <w:right w:val="nil"/>
          <w:between w:val="nil"/>
        </w:pBdr>
        <w:spacing w:after="0" w:line="240" w:lineRule="auto"/>
        <w:ind w:left="3696" w:hanging="358"/>
        <w:rPr>
          <w:rFonts w:ascii="Arial" w:eastAsia="Arial" w:hAnsi="Arial" w:cs="Arial"/>
          <w:color w:val="000000"/>
          <w:sz w:val="24"/>
          <w:szCs w:val="24"/>
        </w:rPr>
      </w:pPr>
    </w:p>
    <w:p w:rsidR="009B358E" w:rsidRDefault="00393FF3">
      <w:pPr>
        <w:numPr>
          <w:ilvl w:val="0"/>
          <w:numId w:val="5"/>
        </w:numPr>
        <w:pBdr>
          <w:top w:val="nil"/>
          <w:left w:val="nil"/>
          <w:bottom w:val="nil"/>
          <w:right w:val="nil"/>
          <w:between w:val="nil"/>
        </w:pBdr>
        <w:spacing w:after="0"/>
        <w:ind w:left="2136"/>
        <w:jc w:val="both"/>
        <w:rPr>
          <w:rFonts w:ascii="Arial" w:eastAsia="Arial" w:hAnsi="Arial" w:cs="Arial"/>
          <w:color w:val="000000"/>
          <w:sz w:val="24"/>
          <w:szCs w:val="24"/>
        </w:rPr>
      </w:pPr>
      <w:r>
        <w:rPr>
          <w:rFonts w:ascii="Arial" w:eastAsia="Arial" w:hAnsi="Arial" w:cs="Arial"/>
          <w:color w:val="000000"/>
          <w:sz w:val="24"/>
          <w:szCs w:val="24"/>
        </w:rPr>
        <w:t>Enfermedades transmisibles: Guainía ha enfrentado brotes recurrentes de malaria y dengue, con tasas de malaria que pueden superar los 200 casos por cada 1,000 habitantes en algunas áreas, reflejando una constante lucha contra estas enfermedades.</w:t>
      </w:r>
    </w:p>
    <w:p w:rsidR="009B358E" w:rsidRDefault="009B358E">
      <w:pPr>
        <w:widowControl w:val="0"/>
        <w:pBdr>
          <w:top w:val="nil"/>
          <w:left w:val="nil"/>
          <w:bottom w:val="nil"/>
          <w:right w:val="nil"/>
          <w:between w:val="nil"/>
        </w:pBdr>
        <w:spacing w:after="0" w:line="240" w:lineRule="auto"/>
        <w:ind w:left="3696" w:hanging="358"/>
        <w:rPr>
          <w:rFonts w:ascii="Arial" w:eastAsia="Arial" w:hAnsi="Arial" w:cs="Arial"/>
          <w:color w:val="000000"/>
          <w:sz w:val="24"/>
          <w:szCs w:val="24"/>
        </w:rPr>
      </w:pPr>
    </w:p>
    <w:p w:rsidR="009B358E" w:rsidRDefault="00393FF3">
      <w:pPr>
        <w:numPr>
          <w:ilvl w:val="0"/>
          <w:numId w:val="5"/>
        </w:numPr>
        <w:pBdr>
          <w:top w:val="nil"/>
          <w:left w:val="nil"/>
          <w:bottom w:val="nil"/>
          <w:right w:val="nil"/>
          <w:between w:val="nil"/>
        </w:pBdr>
        <w:spacing w:after="0"/>
        <w:ind w:left="2136"/>
        <w:jc w:val="both"/>
        <w:rPr>
          <w:rFonts w:ascii="Arial" w:eastAsia="Arial" w:hAnsi="Arial" w:cs="Arial"/>
          <w:color w:val="000000"/>
          <w:sz w:val="24"/>
          <w:szCs w:val="24"/>
        </w:rPr>
      </w:pPr>
      <w:r>
        <w:rPr>
          <w:rFonts w:ascii="Arial" w:eastAsia="Arial" w:hAnsi="Arial" w:cs="Arial"/>
          <w:color w:val="000000"/>
          <w:sz w:val="24"/>
          <w:szCs w:val="24"/>
        </w:rPr>
        <w:t>Cobertura de vacunación: La cobertura de vacunación está por debajo del 90% para varias vacunas, lo que incrementa el riesgo de brotes de enfermedades prevenibles.</w:t>
      </w:r>
    </w:p>
    <w:p w:rsidR="009B358E" w:rsidRDefault="009B358E">
      <w:pPr>
        <w:widowControl w:val="0"/>
        <w:pBdr>
          <w:top w:val="nil"/>
          <w:left w:val="nil"/>
          <w:bottom w:val="nil"/>
          <w:right w:val="nil"/>
          <w:between w:val="nil"/>
        </w:pBdr>
        <w:spacing w:after="0" w:line="240" w:lineRule="auto"/>
        <w:ind w:left="3696" w:hanging="358"/>
        <w:jc w:val="both"/>
        <w:rPr>
          <w:rFonts w:ascii="Arial" w:eastAsia="Arial" w:hAnsi="Arial" w:cs="Arial"/>
          <w:color w:val="000000"/>
          <w:sz w:val="24"/>
          <w:szCs w:val="24"/>
        </w:rPr>
      </w:pPr>
    </w:p>
    <w:p w:rsidR="009B358E" w:rsidRDefault="00393FF3">
      <w:pPr>
        <w:numPr>
          <w:ilvl w:val="0"/>
          <w:numId w:val="5"/>
        </w:numPr>
        <w:pBdr>
          <w:top w:val="nil"/>
          <w:left w:val="nil"/>
          <w:bottom w:val="nil"/>
          <w:right w:val="nil"/>
          <w:between w:val="nil"/>
        </w:pBdr>
        <w:spacing w:after="0"/>
        <w:ind w:left="2136"/>
        <w:jc w:val="both"/>
        <w:rPr>
          <w:rFonts w:ascii="Arial" w:eastAsia="Arial" w:hAnsi="Arial" w:cs="Arial"/>
          <w:color w:val="000000"/>
          <w:sz w:val="24"/>
          <w:szCs w:val="24"/>
        </w:rPr>
      </w:pPr>
      <w:r>
        <w:rPr>
          <w:rFonts w:ascii="Arial" w:eastAsia="Arial" w:hAnsi="Arial" w:cs="Arial"/>
          <w:color w:val="000000"/>
          <w:sz w:val="24"/>
          <w:szCs w:val="24"/>
        </w:rPr>
        <w:t>Acceso limitado a servicios de salud: Muchas comunidades, especialmente las rurales e indígenas, carecen de acceso a servicios de salud adecuados, limitando la atención y el diagnóstico oportuno de enfermedades.</w:t>
      </w:r>
    </w:p>
    <w:p w:rsidR="009B358E" w:rsidRDefault="009B358E">
      <w:pPr>
        <w:widowControl w:val="0"/>
        <w:pBdr>
          <w:top w:val="nil"/>
          <w:left w:val="nil"/>
          <w:bottom w:val="nil"/>
          <w:right w:val="nil"/>
          <w:between w:val="nil"/>
        </w:pBdr>
        <w:spacing w:after="0" w:line="240" w:lineRule="auto"/>
        <w:ind w:left="3696" w:hanging="358"/>
        <w:rPr>
          <w:rFonts w:ascii="Arial" w:eastAsia="Arial" w:hAnsi="Arial" w:cs="Arial"/>
          <w:color w:val="000000"/>
          <w:sz w:val="24"/>
          <w:szCs w:val="24"/>
        </w:rPr>
      </w:pPr>
    </w:p>
    <w:p w:rsidR="009B358E" w:rsidRDefault="00393FF3">
      <w:pPr>
        <w:numPr>
          <w:ilvl w:val="0"/>
          <w:numId w:val="5"/>
        </w:numPr>
        <w:pBdr>
          <w:top w:val="nil"/>
          <w:left w:val="nil"/>
          <w:bottom w:val="nil"/>
          <w:right w:val="nil"/>
          <w:between w:val="nil"/>
        </w:pBdr>
        <w:spacing w:after="0"/>
        <w:ind w:left="2136"/>
        <w:jc w:val="both"/>
        <w:rPr>
          <w:rFonts w:ascii="Arial" w:eastAsia="Arial" w:hAnsi="Arial" w:cs="Arial"/>
          <w:color w:val="000000"/>
          <w:sz w:val="24"/>
          <w:szCs w:val="24"/>
        </w:rPr>
      </w:pPr>
      <w:r>
        <w:rPr>
          <w:rFonts w:ascii="Arial" w:eastAsia="Arial" w:hAnsi="Arial" w:cs="Arial"/>
          <w:color w:val="000000"/>
          <w:sz w:val="24"/>
          <w:szCs w:val="24"/>
        </w:rPr>
        <w:t>Salud mental: La falta de servicios de salud mental y el estigma asociado a los trastornos mentales impiden que muchos reciban la atención necesaria.</w:t>
      </w:r>
    </w:p>
    <w:p w:rsidR="009B358E" w:rsidRDefault="009B358E">
      <w:pPr>
        <w:widowControl w:val="0"/>
        <w:pBdr>
          <w:top w:val="nil"/>
          <w:left w:val="nil"/>
          <w:bottom w:val="nil"/>
          <w:right w:val="nil"/>
          <w:between w:val="nil"/>
        </w:pBdr>
        <w:spacing w:after="0" w:line="240" w:lineRule="auto"/>
        <w:ind w:left="3696" w:hanging="358"/>
        <w:rPr>
          <w:rFonts w:ascii="Arial" w:eastAsia="Arial" w:hAnsi="Arial" w:cs="Arial"/>
          <w:color w:val="000000"/>
          <w:sz w:val="24"/>
          <w:szCs w:val="24"/>
        </w:rPr>
      </w:pPr>
    </w:p>
    <w:p w:rsidR="009B358E" w:rsidRDefault="00393FF3">
      <w:pPr>
        <w:numPr>
          <w:ilvl w:val="0"/>
          <w:numId w:val="5"/>
        </w:numPr>
        <w:pBdr>
          <w:top w:val="nil"/>
          <w:left w:val="nil"/>
          <w:bottom w:val="nil"/>
          <w:right w:val="nil"/>
          <w:between w:val="nil"/>
        </w:pBdr>
        <w:ind w:left="2136"/>
        <w:jc w:val="both"/>
        <w:rPr>
          <w:rFonts w:ascii="Arial" w:eastAsia="Arial" w:hAnsi="Arial" w:cs="Arial"/>
          <w:color w:val="000000"/>
          <w:sz w:val="24"/>
          <w:szCs w:val="24"/>
        </w:rPr>
      </w:pPr>
      <w:r>
        <w:rPr>
          <w:rFonts w:ascii="Arial" w:eastAsia="Arial" w:hAnsi="Arial" w:cs="Arial"/>
          <w:color w:val="000000"/>
          <w:sz w:val="24"/>
          <w:szCs w:val="24"/>
        </w:rPr>
        <w:t>Esperanza de vida: La esperanza de vida en Guainía es inferior a la media nacional, oscilando entre 70 y 73 años, lo que indica un impacto negativo en la salud general de la población.</w:t>
      </w:r>
    </w:p>
    <w:p w:rsidR="009B358E" w:rsidRDefault="009B358E">
      <w:pPr>
        <w:ind w:left="1416"/>
        <w:jc w:val="both"/>
        <w:rPr>
          <w:rFonts w:ascii="Arial" w:eastAsia="Arial" w:hAnsi="Arial" w:cs="Arial"/>
          <w:sz w:val="24"/>
          <w:szCs w:val="24"/>
        </w:rPr>
      </w:pPr>
    </w:p>
    <w:p w:rsidR="009B358E" w:rsidRDefault="00393FF3">
      <w:pPr>
        <w:ind w:left="1416"/>
        <w:jc w:val="both"/>
        <w:rPr>
          <w:rFonts w:ascii="Arial" w:eastAsia="Arial" w:hAnsi="Arial" w:cs="Arial"/>
          <w:sz w:val="24"/>
          <w:szCs w:val="24"/>
        </w:rPr>
      </w:pPr>
      <w:r>
        <w:rPr>
          <w:rFonts w:ascii="Arial" w:eastAsia="Arial" w:hAnsi="Arial" w:cs="Arial"/>
          <w:sz w:val="24"/>
          <w:szCs w:val="24"/>
        </w:rPr>
        <w:t>Estos indicadores subrayan la necesidad de intervenciones urgentes y efectivas para mejorar la salud pública en Guainía, asimismo, se evidencia la falta de acceso a servicios preventivos y curativos, lo que se traduce en:</w:t>
      </w:r>
    </w:p>
    <w:p w:rsidR="009B358E" w:rsidRDefault="00393FF3">
      <w:pPr>
        <w:numPr>
          <w:ilvl w:val="0"/>
          <w:numId w:val="6"/>
        </w:numPr>
        <w:pBdr>
          <w:top w:val="nil"/>
          <w:left w:val="nil"/>
          <w:bottom w:val="nil"/>
          <w:right w:val="nil"/>
          <w:between w:val="nil"/>
        </w:pBdr>
        <w:spacing w:after="0"/>
        <w:ind w:left="2136"/>
        <w:jc w:val="both"/>
        <w:rPr>
          <w:rFonts w:ascii="Arial" w:eastAsia="Arial" w:hAnsi="Arial" w:cs="Arial"/>
          <w:color w:val="000000"/>
          <w:sz w:val="24"/>
          <w:szCs w:val="24"/>
        </w:rPr>
      </w:pPr>
      <w:r>
        <w:rPr>
          <w:rFonts w:ascii="Arial" w:eastAsia="Arial" w:hAnsi="Arial" w:cs="Arial"/>
          <w:color w:val="000000"/>
          <w:sz w:val="24"/>
          <w:szCs w:val="24"/>
        </w:rPr>
        <w:t xml:space="preserve">Déficit de medicamentos: La escasez de medicamentos y suministros básicos es habitual, afectando directamente la atención a los pacientes. </w:t>
      </w:r>
    </w:p>
    <w:p w:rsidR="009B358E" w:rsidRDefault="009B358E">
      <w:pPr>
        <w:widowControl w:val="0"/>
        <w:pBdr>
          <w:top w:val="nil"/>
          <w:left w:val="nil"/>
          <w:bottom w:val="nil"/>
          <w:right w:val="nil"/>
          <w:between w:val="nil"/>
        </w:pBdr>
        <w:spacing w:after="0" w:line="240" w:lineRule="auto"/>
        <w:ind w:left="3696" w:hanging="358"/>
        <w:jc w:val="both"/>
        <w:rPr>
          <w:rFonts w:ascii="Arial" w:eastAsia="Arial" w:hAnsi="Arial" w:cs="Arial"/>
          <w:color w:val="000000"/>
          <w:sz w:val="24"/>
          <w:szCs w:val="24"/>
        </w:rPr>
      </w:pPr>
    </w:p>
    <w:p w:rsidR="009B358E" w:rsidRDefault="00393FF3">
      <w:pPr>
        <w:numPr>
          <w:ilvl w:val="0"/>
          <w:numId w:val="6"/>
        </w:numPr>
        <w:pBdr>
          <w:top w:val="nil"/>
          <w:left w:val="nil"/>
          <w:bottom w:val="nil"/>
          <w:right w:val="nil"/>
          <w:between w:val="nil"/>
        </w:pBdr>
        <w:spacing w:after="0"/>
        <w:ind w:left="2136"/>
        <w:jc w:val="both"/>
        <w:rPr>
          <w:rFonts w:ascii="Arial" w:eastAsia="Arial" w:hAnsi="Arial" w:cs="Arial"/>
          <w:color w:val="000000"/>
          <w:sz w:val="24"/>
          <w:szCs w:val="24"/>
        </w:rPr>
      </w:pPr>
      <w:r>
        <w:rPr>
          <w:rFonts w:ascii="Arial" w:eastAsia="Arial" w:hAnsi="Arial" w:cs="Arial"/>
          <w:color w:val="000000"/>
          <w:sz w:val="24"/>
          <w:szCs w:val="24"/>
        </w:rPr>
        <w:t>Carencia de equipamiento: Muchos centros de salud no cuentan con el equipo necesario para realizar diagnósticos y tratamientos adecuados.</w:t>
      </w:r>
    </w:p>
    <w:p w:rsidR="009B358E" w:rsidRDefault="009B358E">
      <w:pPr>
        <w:widowControl w:val="0"/>
        <w:pBdr>
          <w:top w:val="nil"/>
          <w:left w:val="nil"/>
          <w:bottom w:val="nil"/>
          <w:right w:val="nil"/>
          <w:between w:val="nil"/>
        </w:pBdr>
        <w:spacing w:after="0" w:line="240" w:lineRule="auto"/>
        <w:ind w:left="3696" w:hanging="358"/>
        <w:rPr>
          <w:rFonts w:ascii="Arial" w:eastAsia="Arial" w:hAnsi="Arial" w:cs="Arial"/>
          <w:color w:val="000000"/>
          <w:sz w:val="24"/>
          <w:szCs w:val="24"/>
        </w:rPr>
      </w:pPr>
    </w:p>
    <w:p w:rsidR="009B358E" w:rsidRDefault="00393FF3">
      <w:pPr>
        <w:numPr>
          <w:ilvl w:val="0"/>
          <w:numId w:val="6"/>
        </w:numPr>
        <w:pBdr>
          <w:top w:val="nil"/>
          <w:left w:val="nil"/>
          <w:bottom w:val="nil"/>
          <w:right w:val="nil"/>
          <w:between w:val="nil"/>
        </w:pBdr>
        <w:spacing w:after="0"/>
        <w:ind w:left="2136"/>
        <w:jc w:val="both"/>
        <w:rPr>
          <w:rFonts w:ascii="Arial" w:eastAsia="Arial" w:hAnsi="Arial" w:cs="Arial"/>
          <w:color w:val="000000"/>
          <w:sz w:val="24"/>
          <w:szCs w:val="24"/>
        </w:rPr>
      </w:pPr>
      <w:r>
        <w:rPr>
          <w:rFonts w:ascii="Arial" w:eastAsia="Arial" w:hAnsi="Arial" w:cs="Arial"/>
          <w:color w:val="000000"/>
          <w:sz w:val="24"/>
          <w:szCs w:val="24"/>
        </w:rPr>
        <w:t>Centros de salud: Con cerca de 25 centros de salud, muchos presentan condiciones inadecuadas, lo que limita su capacidad para ofrecer atención básica.</w:t>
      </w:r>
    </w:p>
    <w:p w:rsidR="009B358E" w:rsidRDefault="009B358E">
      <w:pPr>
        <w:widowControl w:val="0"/>
        <w:pBdr>
          <w:top w:val="nil"/>
          <w:left w:val="nil"/>
          <w:bottom w:val="nil"/>
          <w:right w:val="nil"/>
          <w:between w:val="nil"/>
        </w:pBdr>
        <w:spacing w:after="0" w:line="240" w:lineRule="auto"/>
        <w:ind w:left="3696" w:hanging="358"/>
        <w:rPr>
          <w:rFonts w:ascii="Arial" w:eastAsia="Arial" w:hAnsi="Arial" w:cs="Arial"/>
          <w:color w:val="000000"/>
          <w:sz w:val="24"/>
          <w:szCs w:val="24"/>
        </w:rPr>
      </w:pPr>
    </w:p>
    <w:p w:rsidR="009B358E" w:rsidRDefault="00393FF3">
      <w:pPr>
        <w:numPr>
          <w:ilvl w:val="0"/>
          <w:numId w:val="6"/>
        </w:numPr>
        <w:pBdr>
          <w:top w:val="nil"/>
          <w:left w:val="nil"/>
          <w:bottom w:val="nil"/>
          <w:right w:val="nil"/>
          <w:between w:val="nil"/>
        </w:pBdr>
        <w:ind w:left="2136"/>
        <w:jc w:val="both"/>
        <w:rPr>
          <w:rFonts w:ascii="Arial" w:eastAsia="Arial" w:hAnsi="Arial" w:cs="Arial"/>
          <w:color w:val="000000"/>
          <w:sz w:val="24"/>
          <w:szCs w:val="24"/>
        </w:rPr>
      </w:pPr>
      <w:r>
        <w:rPr>
          <w:rFonts w:ascii="Arial" w:eastAsia="Arial" w:hAnsi="Arial" w:cs="Arial"/>
          <w:color w:val="000000"/>
          <w:sz w:val="24"/>
          <w:szCs w:val="24"/>
        </w:rPr>
        <w:lastRenderedPageBreak/>
        <w:t>Hospitales: Solo existen dos hospitales de referencia, sobrecargados y con recursos limitados, lo que genera tiempos de espera prolongados para los pacientes.</w:t>
      </w:r>
    </w:p>
    <w:p w:rsidR="009B358E" w:rsidRDefault="00393FF3">
      <w:pPr>
        <w:ind w:left="1416"/>
        <w:jc w:val="both"/>
        <w:rPr>
          <w:rFonts w:ascii="Arial" w:eastAsia="Arial" w:hAnsi="Arial" w:cs="Arial"/>
          <w:sz w:val="24"/>
          <w:szCs w:val="24"/>
        </w:rPr>
      </w:pPr>
      <w:r>
        <w:rPr>
          <w:rFonts w:ascii="Arial" w:eastAsia="Arial" w:hAnsi="Arial" w:cs="Arial"/>
          <w:sz w:val="24"/>
          <w:szCs w:val="24"/>
        </w:rPr>
        <w:t xml:space="preserve">Dada la lejanía del departamento, un sistema de salud fuerte es esencial para gestionar emergencias sanitarias, como epidemias o desastres naturales, la pandemia de COVID-19 demostró la importancia de tener sistemas </w:t>
      </w:r>
      <w:proofErr w:type="spellStart"/>
      <w:r>
        <w:rPr>
          <w:rFonts w:ascii="Arial" w:eastAsia="Arial" w:hAnsi="Arial" w:cs="Arial"/>
          <w:sz w:val="24"/>
          <w:szCs w:val="24"/>
        </w:rPr>
        <w:t>resilientes</w:t>
      </w:r>
      <w:proofErr w:type="spellEnd"/>
      <w:r>
        <w:rPr>
          <w:rFonts w:ascii="Arial" w:eastAsia="Arial" w:hAnsi="Arial" w:cs="Arial"/>
          <w:sz w:val="24"/>
          <w:szCs w:val="24"/>
        </w:rPr>
        <w:t xml:space="preserve"> capaces de atender crisis de gran magnitud en regiones aisladas.</w:t>
      </w:r>
    </w:p>
    <w:p w:rsidR="009B358E" w:rsidRDefault="00393FF3">
      <w:pPr>
        <w:ind w:left="1416"/>
        <w:jc w:val="both"/>
        <w:rPr>
          <w:rFonts w:ascii="Arial" w:eastAsia="Arial" w:hAnsi="Arial" w:cs="Arial"/>
          <w:sz w:val="24"/>
          <w:szCs w:val="24"/>
        </w:rPr>
      </w:pPr>
      <w:r>
        <w:rPr>
          <w:rFonts w:ascii="Arial" w:eastAsia="Arial" w:hAnsi="Arial" w:cs="Arial"/>
          <w:sz w:val="24"/>
          <w:szCs w:val="24"/>
        </w:rPr>
        <w:t>Según el Ministerio de Salud y Protección Social (2022), el departamento tiene una de las tasas de mortalidad materna más altas del país con 32% muertes por cada 100,000 nacidos vivos, muy por encima del promedio nacional de 21.2 La tasa de mortalidad infantil también es preocupante, alcanzando 12.7% muertes por cada 1,000 nacidos vivos**, comparada con el promedio nacional de 8.7%, asimismo, se han identificado altos índices de desnutrición infantil, con una prevalencia del 17.7%, lo cual supera ampliamente el promedio nacional del 7.7%.</w:t>
      </w:r>
    </w:p>
    <w:p w:rsidR="009B358E" w:rsidRDefault="00393FF3">
      <w:pPr>
        <w:ind w:left="1416"/>
        <w:jc w:val="both"/>
        <w:rPr>
          <w:rFonts w:ascii="Arial" w:eastAsia="Arial" w:hAnsi="Arial" w:cs="Arial"/>
          <w:sz w:val="24"/>
          <w:szCs w:val="24"/>
        </w:rPr>
      </w:pPr>
      <w:r>
        <w:t xml:space="preserve"> </w:t>
      </w:r>
    </w:p>
    <w:p w:rsidR="009B358E" w:rsidRDefault="00393FF3">
      <w:pPr>
        <w:ind w:left="1416"/>
        <w:jc w:val="both"/>
        <w:rPr>
          <w:rFonts w:ascii="Arial" w:eastAsia="Arial" w:hAnsi="Arial" w:cs="Arial"/>
          <w:sz w:val="24"/>
          <w:szCs w:val="24"/>
        </w:rPr>
      </w:pPr>
      <w:r>
        <w:rPr>
          <w:noProof/>
          <w:lang w:val="es-CO"/>
        </w:rPr>
        <w:drawing>
          <wp:anchor distT="0" distB="0" distL="114300" distR="114300" simplePos="0" relativeHeight="251659264" behindDoc="0" locked="0" layoutInCell="1" hidden="0" allowOverlap="1">
            <wp:simplePos x="0" y="0"/>
            <wp:positionH relativeFrom="column">
              <wp:posOffset>1529080</wp:posOffset>
            </wp:positionH>
            <wp:positionV relativeFrom="paragraph">
              <wp:posOffset>10160</wp:posOffset>
            </wp:positionV>
            <wp:extent cx="4854575" cy="2682240"/>
            <wp:effectExtent l="0" t="0" r="0" b="0"/>
            <wp:wrapSquare wrapText="bothSides" distT="0" distB="0" distL="114300" distR="114300"/>
            <wp:docPr id="864602019" name="image1.png" descr="Imagen de salida"/>
            <wp:cNvGraphicFramePr/>
            <a:graphic xmlns:a="http://schemas.openxmlformats.org/drawingml/2006/main">
              <a:graphicData uri="http://schemas.openxmlformats.org/drawingml/2006/picture">
                <pic:pic xmlns:pic="http://schemas.openxmlformats.org/drawingml/2006/picture">
                  <pic:nvPicPr>
                    <pic:cNvPr id="0" name="image1.png" descr="Imagen de salida"/>
                    <pic:cNvPicPr preferRelativeResize="0"/>
                  </pic:nvPicPr>
                  <pic:blipFill>
                    <a:blip r:embed="rId10"/>
                    <a:srcRect/>
                    <a:stretch>
                      <a:fillRect/>
                    </a:stretch>
                  </pic:blipFill>
                  <pic:spPr>
                    <a:xfrm>
                      <a:off x="0" y="0"/>
                      <a:ext cx="4854575" cy="2682240"/>
                    </a:xfrm>
                    <a:prstGeom prst="rect">
                      <a:avLst/>
                    </a:prstGeom>
                    <a:ln/>
                  </pic:spPr>
                </pic:pic>
              </a:graphicData>
            </a:graphic>
          </wp:anchor>
        </w:drawing>
      </w:r>
    </w:p>
    <w:p w:rsidR="009B358E" w:rsidRDefault="009B358E">
      <w:pPr>
        <w:ind w:left="1416"/>
        <w:jc w:val="both"/>
        <w:rPr>
          <w:rFonts w:ascii="Arial" w:eastAsia="Arial" w:hAnsi="Arial" w:cs="Arial"/>
          <w:sz w:val="24"/>
          <w:szCs w:val="24"/>
        </w:rPr>
      </w:pPr>
    </w:p>
    <w:p w:rsidR="009B358E" w:rsidRDefault="009B358E">
      <w:pPr>
        <w:ind w:left="1416"/>
        <w:jc w:val="both"/>
        <w:rPr>
          <w:rFonts w:ascii="Arial" w:eastAsia="Arial" w:hAnsi="Arial" w:cs="Arial"/>
          <w:sz w:val="24"/>
          <w:szCs w:val="24"/>
        </w:rPr>
      </w:pPr>
    </w:p>
    <w:p w:rsidR="009B358E" w:rsidRDefault="009B358E">
      <w:pPr>
        <w:ind w:left="1416"/>
        <w:jc w:val="both"/>
        <w:rPr>
          <w:rFonts w:ascii="Arial" w:eastAsia="Arial" w:hAnsi="Arial" w:cs="Arial"/>
          <w:sz w:val="24"/>
          <w:szCs w:val="24"/>
        </w:rPr>
      </w:pPr>
    </w:p>
    <w:p w:rsidR="009B358E" w:rsidRDefault="009B358E">
      <w:pPr>
        <w:ind w:left="1416"/>
        <w:jc w:val="both"/>
        <w:rPr>
          <w:rFonts w:ascii="Arial" w:eastAsia="Arial" w:hAnsi="Arial" w:cs="Arial"/>
          <w:sz w:val="24"/>
          <w:szCs w:val="24"/>
        </w:rPr>
      </w:pPr>
    </w:p>
    <w:p w:rsidR="009B358E" w:rsidRDefault="009B358E">
      <w:pPr>
        <w:ind w:left="1416"/>
        <w:jc w:val="both"/>
        <w:rPr>
          <w:rFonts w:ascii="Arial" w:eastAsia="Arial" w:hAnsi="Arial" w:cs="Arial"/>
          <w:sz w:val="24"/>
          <w:szCs w:val="24"/>
        </w:rPr>
      </w:pPr>
    </w:p>
    <w:p w:rsidR="009B358E" w:rsidRDefault="009B358E">
      <w:pPr>
        <w:ind w:left="1416"/>
        <w:jc w:val="both"/>
        <w:rPr>
          <w:rFonts w:ascii="Arial" w:eastAsia="Arial" w:hAnsi="Arial" w:cs="Arial"/>
          <w:sz w:val="24"/>
          <w:szCs w:val="24"/>
        </w:rPr>
      </w:pPr>
    </w:p>
    <w:p w:rsidR="009B358E" w:rsidRDefault="009B358E">
      <w:pPr>
        <w:ind w:left="1416"/>
        <w:jc w:val="both"/>
        <w:rPr>
          <w:rFonts w:ascii="Arial" w:eastAsia="Arial" w:hAnsi="Arial" w:cs="Arial"/>
          <w:sz w:val="24"/>
          <w:szCs w:val="24"/>
        </w:rPr>
      </w:pPr>
    </w:p>
    <w:p w:rsidR="009B358E" w:rsidRDefault="009B358E">
      <w:pPr>
        <w:ind w:left="1416"/>
        <w:jc w:val="both"/>
        <w:rPr>
          <w:rFonts w:ascii="Arial" w:eastAsia="Arial" w:hAnsi="Arial" w:cs="Arial"/>
          <w:sz w:val="24"/>
          <w:szCs w:val="24"/>
        </w:rPr>
      </w:pPr>
    </w:p>
    <w:p w:rsidR="009B358E" w:rsidRDefault="009B358E">
      <w:pPr>
        <w:ind w:left="1416"/>
        <w:jc w:val="both"/>
        <w:rPr>
          <w:rFonts w:ascii="Arial" w:eastAsia="Arial" w:hAnsi="Arial" w:cs="Arial"/>
          <w:sz w:val="24"/>
          <w:szCs w:val="24"/>
        </w:rPr>
      </w:pPr>
    </w:p>
    <w:p w:rsidR="009B358E" w:rsidRDefault="00393FF3">
      <w:pPr>
        <w:ind w:left="1416"/>
        <w:jc w:val="both"/>
        <w:rPr>
          <w:rFonts w:ascii="Arial" w:eastAsia="Arial" w:hAnsi="Arial" w:cs="Arial"/>
          <w:sz w:val="24"/>
          <w:szCs w:val="24"/>
        </w:rPr>
      </w:pPr>
      <w:r>
        <w:rPr>
          <w:rFonts w:ascii="Arial" w:eastAsia="Arial" w:hAnsi="Arial" w:cs="Arial"/>
          <w:sz w:val="24"/>
          <w:szCs w:val="24"/>
        </w:rPr>
        <w:t>Comparación entre los indicadores de salud en el Departamento del Guainía y el promedio nacional. Cada porción del diagrama representa las tasas de mortalidad materna, mortalidad infantil y prevalencia de desnutrición infantil, destacando las diferencias entre Guainía y el promedio nacional.</w:t>
      </w:r>
    </w:p>
    <w:p w:rsidR="009B358E" w:rsidRDefault="009B358E">
      <w:pPr>
        <w:ind w:left="1416"/>
        <w:jc w:val="both"/>
        <w:rPr>
          <w:rFonts w:ascii="Arial" w:eastAsia="Arial" w:hAnsi="Arial" w:cs="Arial"/>
          <w:sz w:val="24"/>
          <w:szCs w:val="24"/>
        </w:rPr>
      </w:pPr>
    </w:p>
    <w:tbl>
      <w:tblPr>
        <w:tblStyle w:val="a1"/>
        <w:tblW w:w="9211" w:type="dxa"/>
        <w:tblInd w:w="1421"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2751"/>
        <w:gridCol w:w="3630"/>
        <w:gridCol w:w="2830"/>
      </w:tblGrid>
      <w:tr w:rsidR="009B358E" w:rsidTr="009B35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51" w:type="dxa"/>
          </w:tcPr>
          <w:p w:rsidR="009B358E" w:rsidRDefault="00393FF3">
            <w:pPr>
              <w:spacing w:after="160" w:line="259" w:lineRule="auto"/>
              <w:jc w:val="both"/>
              <w:rPr>
                <w:rFonts w:ascii="Arial" w:eastAsia="Arial" w:hAnsi="Arial" w:cs="Arial"/>
                <w:sz w:val="24"/>
                <w:szCs w:val="24"/>
              </w:rPr>
            </w:pPr>
            <w:proofErr w:type="spellStart"/>
            <w:r>
              <w:rPr>
                <w:rFonts w:ascii="Arial" w:eastAsia="Arial" w:hAnsi="Arial" w:cs="Arial"/>
                <w:sz w:val="24"/>
                <w:szCs w:val="24"/>
              </w:rPr>
              <w:t>Indicador</w:t>
            </w:r>
            <w:proofErr w:type="spellEnd"/>
          </w:p>
        </w:tc>
        <w:tc>
          <w:tcPr>
            <w:tcW w:w="3630" w:type="dxa"/>
          </w:tcPr>
          <w:p w:rsidR="009B358E" w:rsidRDefault="00393FF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proofErr w:type="spellStart"/>
            <w:r>
              <w:rPr>
                <w:rFonts w:ascii="Arial" w:eastAsia="Arial" w:hAnsi="Arial" w:cs="Arial"/>
                <w:sz w:val="24"/>
                <w:szCs w:val="24"/>
              </w:rPr>
              <w:t>Departamento</w:t>
            </w:r>
            <w:proofErr w:type="spellEnd"/>
            <w:r>
              <w:rPr>
                <w:rFonts w:ascii="Arial" w:eastAsia="Arial" w:hAnsi="Arial" w:cs="Arial"/>
                <w:sz w:val="24"/>
                <w:szCs w:val="24"/>
              </w:rPr>
              <w:t xml:space="preserve"> del Guainía (%)</w:t>
            </w:r>
          </w:p>
        </w:tc>
        <w:tc>
          <w:tcPr>
            <w:tcW w:w="2830" w:type="dxa"/>
          </w:tcPr>
          <w:p w:rsidR="009B358E" w:rsidRDefault="00393FF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proofErr w:type="spellStart"/>
            <w:r>
              <w:rPr>
                <w:rFonts w:ascii="Arial" w:eastAsia="Arial" w:hAnsi="Arial" w:cs="Arial"/>
                <w:sz w:val="24"/>
                <w:szCs w:val="24"/>
              </w:rPr>
              <w:t>Promedio</w:t>
            </w:r>
            <w:proofErr w:type="spellEnd"/>
            <w:r>
              <w:rPr>
                <w:rFonts w:ascii="Arial" w:eastAsia="Arial" w:hAnsi="Arial" w:cs="Arial"/>
                <w:sz w:val="24"/>
                <w:szCs w:val="24"/>
              </w:rPr>
              <w:t xml:space="preserve"> Nacional (%)</w:t>
            </w:r>
          </w:p>
        </w:tc>
      </w:tr>
      <w:tr w:rsidR="009B358E" w:rsidTr="009B3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rsidR="009B358E" w:rsidRDefault="00393FF3">
            <w:pPr>
              <w:spacing w:after="160" w:line="259" w:lineRule="auto"/>
              <w:jc w:val="both"/>
              <w:rPr>
                <w:rFonts w:ascii="Arial" w:eastAsia="Arial" w:hAnsi="Arial" w:cs="Arial"/>
                <w:sz w:val="24"/>
                <w:szCs w:val="24"/>
              </w:rPr>
            </w:pPr>
            <w:proofErr w:type="spellStart"/>
            <w:r>
              <w:rPr>
                <w:rFonts w:ascii="Arial" w:eastAsia="Arial" w:hAnsi="Arial" w:cs="Arial"/>
                <w:sz w:val="24"/>
                <w:szCs w:val="24"/>
              </w:rPr>
              <w:lastRenderedPageBreak/>
              <w:t>Mortalidad</w:t>
            </w:r>
            <w:proofErr w:type="spellEnd"/>
            <w:r>
              <w:rPr>
                <w:rFonts w:ascii="Arial" w:eastAsia="Arial" w:hAnsi="Arial" w:cs="Arial"/>
                <w:sz w:val="24"/>
                <w:szCs w:val="24"/>
              </w:rPr>
              <w:t xml:space="preserve"> </w:t>
            </w:r>
            <w:proofErr w:type="spellStart"/>
            <w:r>
              <w:rPr>
                <w:rFonts w:ascii="Arial" w:eastAsia="Arial" w:hAnsi="Arial" w:cs="Arial"/>
                <w:sz w:val="24"/>
                <w:szCs w:val="24"/>
              </w:rPr>
              <w:t>materna</w:t>
            </w:r>
            <w:proofErr w:type="spellEnd"/>
            <w:r>
              <w:rPr>
                <w:rFonts w:ascii="Arial" w:eastAsia="Arial" w:hAnsi="Arial" w:cs="Arial"/>
                <w:sz w:val="24"/>
                <w:szCs w:val="24"/>
              </w:rPr>
              <w:t xml:space="preserve"> (%)</w:t>
            </w:r>
          </w:p>
        </w:tc>
        <w:tc>
          <w:tcPr>
            <w:tcW w:w="3630" w:type="dxa"/>
          </w:tcPr>
          <w:p w:rsidR="009B358E" w:rsidRDefault="00393FF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32.0</w:t>
            </w:r>
          </w:p>
        </w:tc>
        <w:tc>
          <w:tcPr>
            <w:tcW w:w="2830" w:type="dxa"/>
          </w:tcPr>
          <w:p w:rsidR="009B358E" w:rsidRDefault="00393FF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21.2</w:t>
            </w:r>
          </w:p>
        </w:tc>
      </w:tr>
      <w:tr w:rsidR="009B358E" w:rsidTr="009B358E">
        <w:tc>
          <w:tcPr>
            <w:cnfStyle w:val="001000000000" w:firstRow="0" w:lastRow="0" w:firstColumn="1" w:lastColumn="0" w:oddVBand="0" w:evenVBand="0" w:oddHBand="0" w:evenHBand="0" w:firstRowFirstColumn="0" w:firstRowLastColumn="0" w:lastRowFirstColumn="0" w:lastRowLastColumn="0"/>
            <w:tcW w:w="2751" w:type="dxa"/>
          </w:tcPr>
          <w:p w:rsidR="009B358E" w:rsidRDefault="00393FF3">
            <w:pPr>
              <w:spacing w:after="160" w:line="259" w:lineRule="auto"/>
              <w:jc w:val="both"/>
              <w:rPr>
                <w:rFonts w:ascii="Arial" w:eastAsia="Arial" w:hAnsi="Arial" w:cs="Arial"/>
                <w:sz w:val="24"/>
                <w:szCs w:val="24"/>
              </w:rPr>
            </w:pPr>
            <w:proofErr w:type="spellStart"/>
            <w:r>
              <w:rPr>
                <w:rFonts w:ascii="Arial" w:eastAsia="Arial" w:hAnsi="Arial" w:cs="Arial"/>
                <w:sz w:val="24"/>
                <w:szCs w:val="24"/>
              </w:rPr>
              <w:t>Mortalidad</w:t>
            </w:r>
            <w:proofErr w:type="spellEnd"/>
            <w:r>
              <w:rPr>
                <w:rFonts w:ascii="Arial" w:eastAsia="Arial" w:hAnsi="Arial" w:cs="Arial"/>
                <w:sz w:val="24"/>
                <w:szCs w:val="24"/>
              </w:rPr>
              <w:t xml:space="preserve"> </w:t>
            </w:r>
            <w:proofErr w:type="spellStart"/>
            <w:r>
              <w:rPr>
                <w:rFonts w:ascii="Arial" w:eastAsia="Arial" w:hAnsi="Arial" w:cs="Arial"/>
                <w:sz w:val="24"/>
                <w:szCs w:val="24"/>
              </w:rPr>
              <w:t>infantil</w:t>
            </w:r>
            <w:proofErr w:type="spellEnd"/>
            <w:r>
              <w:rPr>
                <w:rFonts w:ascii="Arial" w:eastAsia="Arial" w:hAnsi="Arial" w:cs="Arial"/>
                <w:sz w:val="24"/>
                <w:szCs w:val="24"/>
              </w:rPr>
              <w:t xml:space="preserve"> (%)</w:t>
            </w:r>
          </w:p>
        </w:tc>
        <w:tc>
          <w:tcPr>
            <w:tcW w:w="3630" w:type="dxa"/>
          </w:tcPr>
          <w:p w:rsidR="009B358E" w:rsidRDefault="00393FF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12.7</w:t>
            </w:r>
          </w:p>
        </w:tc>
        <w:tc>
          <w:tcPr>
            <w:tcW w:w="2830" w:type="dxa"/>
          </w:tcPr>
          <w:p w:rsidR="009B358E" w:rsidRDefault="00393FF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8.7</w:t>
            </w:r>
          </w:p>
        </w:tc>
      </w:tr>
      <w:tr w:rsidR="009B358E" w:rsidTr="009B3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rsidR="009B358E" w:rsidRDefault="00393FF3">
            <w:pPr>
              <w:spacing w:after="160" w:line="259" w:lineRule="auto"/>
              <w:jc w:val="both"/>
              <w:rPr>
                <w:rFonts w:ascii="Arial" w:eastAsia="Arial" w:hAnsi="Arial" w:cs="Arial"/>
                <w:sz w:val="24"/>
                <w:szCs w:val="24"/>
              </w:rPr>
            </w:pPr>
            <w:proofErr w:type="spellStart"/>
            <w:r>
              <w:rPr>
                <w:rFonts w:ascii="Arial" w:eastAsia="Arial" w:hAnsi="Arial" w:cs="Arial"/>
                <w:sz w:val="24"/>
                <w:szCs w:val="24"/>
              </w:rPr>
              <w:t>Desnutrición</w:t>
            </w:r>
            <w:proofErr w:type="spellEnd"/>
            <w:r>
              <w:rPr>
                <w:rFonts w:ascii="Arial" w:eastAsia="Arial" w:hAnsi="Arial" w:cs="Arial"/>
                <w:sz w:val="24"/>
                <w:szCs w:val="24"/>
              </w:rPr>
              <w:t xml:space="preserve"> </w:t>
            </w:r>
            <w:proofErr w:type="spellStart"/>
            <w:r>
              <w:rPr>
                <w:rFonts w:ascii="Arial" w:eastAsia="Arial" w:hAnsi="Arial" w:cs="Arial"/>
                <w:sz w:val="24"/>
                <w:szCs w:val="24"/>
              </w:rPr>
              <w:t>infantil</w:t>
            </w:r>
            <w:proofErr w:type="spellEnd"/>
            <w:r>
              <w:rPr>
                <w:rFonts w:ascii="Arial" w:eastAsia="Arial" w:hAnsi="Arial" w:cs="Arial"/>
                <w:sz w:val="24"/>
                <w:szCs w:val="24"/>
              </w:rPr>
              <w:t xml:space="preserve"> (%)</w:t>
            </w:r>
          </w:p>
        </w:tc>
        <w:tc>
          <w:tcPr>
            <w:tcW w:w="3630" w:type="dxa"/>
          </w:tcPr>
          <w:p w:rsidR="009B358E" w:rsidRDefault="00393FF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17.7</w:t>
            </w:r>
          </w:p>
        </w:tc>
        <w:tc>
          <w:tcPr>
            <w:tcW w:w="2830" w:type="dxa"/>
          </w:tcPr>
          <w:p w:rsidR="009B358E" w:rsidRDefault="00393FF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7.7</w:t>
            </w:r>
          </w:p>
        </w:tc>
      </w:tr>
    </w:tbl>
    <w:p w:rsidR="009B358E" w:rsidRDefault="009B358E">
      <w:pPr>
        <w:ind w:left="1416"/>
        <w:jc w:val="both"/>
        <w:rPr>
          <w:rFonts w:ascii="Arial" w:eastAsia="Arial" w:hAnsi="Arial" w:cs="Arial"/>
          <w:sz w:val="24"/>
          <w:szCs w:val="24"/>
        </w:rPr>
      </w:pPr>
    </w:p>
    <w:p w:rsidR="009B358E" w:rsidRDefault="00393FF3">
      <w:pPr>
        <w:ind w:left="1416"/>
        <w:jc w:val="both"/>
        <w:rPr>
          <w:rFonts w:ascii="Arial" w:eastAsia="Arial" w:hAnsi="Arial" w:cs="Arial"/>
          <w:sz w:val="24"/>
          <w:szCs w:val="24"/>
        </w:rPr>
      </w:pPr>
      <w:r>
        <w:rPr>
          <w:rFonts w:ascii="Arial" w:eastAsia="Arial" w:hAnsi="Arial" w:cs="Arial"/>
          <w:sz w:val="24"/>
          <w:szCs w:val="24"/>
        </w:rPr>
        <w:t>Este cuadro resalta las diferencias significativas entre el departamento del Guainía y el promedio nacional en términos de mortalidad materna, mortalidad y desnutrición infantiles. ​</w:t>
      </w:r>
    </w:p>
    <w:p w:rsidR="009B358E" w:rsidRDefault="00393FF3">
      <w:pPr>
        <w:ind w:left="1416"/>
        <w:jc w:val="both"/>
        <w:rPr>
          <w:rFonts w:ascii="Arial" w:eastAsia="Arial" w:hAnsi="Arial" w:cs="Arial"/>
          <w:sz w:val="24"/>
          <w:szCs w:val="24"/>
        </w:rPr>
      </w:pPr>
      <w:r>
        <w:rPr>
          <w:rFonts w:ascii="Arial" w:eastAsia="Arial" w:hAnsi="Arial" w:cs="Arial"/>
          <w:sz w:val="24"/>
          <w:szCs w:val="24"/>
        </w:rPr>
        <w:t>Cuadro de distribución del recaudo de la estampilla en porcentajes, considerando diferentes áreas de inversión relacionadas con hospitales públicos, centros de salud y puestos de salud en el Departamento del Guainía, en este cuadro podemos observar que se divide el recaudo de la estampilla entre las principales áreas que podrían beneficiarse, asegurando una distribución eficiente y con impacto directo en los servicios de salud.</w:t>
      </w:r>
    </w:p>
    <w:p w:rsidR="009B358E" w:rsidRDefault="009B358E">
      <w:pPr>
        <w:ind w:left="1416"/>
        <w:jc w:val="both"/>
        <w:rPr>
          <w:rFonts w:ascii="Arial" w:eastAsia="Arial" w:hAnsi="Arial" w:cs="Arial"/>
          <w:sz w:val="24"/>
          <w:szCs w:val="24"/>
        </w:rPr>
      </w:pPr>
    </w:p>
    <w:tbl>
      <w:tblPr>
        <w:tblStyle w:val="a2"/>
        <w:tblW w:w="7960" w:type="dxa"/>
        <w:jc w:val="center"/>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5903"/>
        <w:gridCol w:w="2057"/>
      </w:tblGrid>
      <w:tr w:rsidR="009B358E" w:rsidTr="009B358E">
        <w:trPr>
          <w:cnfStyle w:val="100000000000" w:firstRow="1" w:lastRow="0" w:firstColumn="0" w:lastColumn="0" w:oddVBand="0" w:evenVBand="0" w:oddHBand="0" w:evenHBand="0" w:firstRowFirstColumn="0" w:firstRowLastColumn="0" w:lastRowFirstColumn="0" w:lastRowLastColumn="0"/>
          <w:trHeight w:val="335"/>
          <w:jc w:val="center"/>
        </w:trPr>
        <w:tc>
          <w:tcPr>
            <w:cnfStyle w:val="001000000100" w:firstRow="0" w:lastRow="0" w:firstColumn="1" w:lastColumn="0" w:oddVBand="0" w:evenVBand="0" w:oddHBand="0" w:evenHBand="0" w:firstRowFirstColumn="1" w:firstRowLastColumn="0" w:lastRowFirstColumn="0" w:lastRowLastColumn="0"/>
            <w:tcW w:w="5904" w:type="dxa"/>
          </w:tcPr>
          <w:p w:rsidR="009B358E" w:rsidRDefault="00393FF3">
            <w:pPr>
              <w:spacing w:after="160" w:line="259" w:lineRule="auto"/>
              <w:jc w:val="both"/>
              <w:rPr>
                <w:rFonts w:ascii="Arial" w:eastAsia="Arial" w:hAnsi="Arial" w:cs="Arial"/>
                <w:sz w:val="24"/>
                <w:szCs w:val="24"/>
              </w:rPr>
            </w:pPr>
            <w:proofErr w:type="spellStart"/>
            <w:r>
              <w:rPr>
                <w:rFonts w:ascii="Arial" w:eastAsia="Arial" w:hAnsi="Arial" w:cs="Arial"/>
                <w:sz w:val="24"/>
                <w:szCs w:val="24"/>
              </w:rPr>
              <w:t>Áreas</w:t>
            </w:r>
            <w:proofErr w:type="spellEnd"/>
            <w:r>
              <w:rPr>
                <w:rFonts w:ascii="Arial" w:eastAsia="Arial" w:hAnsi="Arial" w:cs="Arial"/>
                <w:sz w:val="24"/>
                <w:szCs w:val="24"/>
              </w:rPr>
              <w:t xml:space="preserve"> de </w:t>
            </w:r>
            <w:proofErr w:type="spellStart"/>
            <w:r>
              <w:rPr>
                <w:rFonts w:ascii="Arial" w:eastAsia="Arial" w:hAnsi="Arial" w:cs="Arial"/>
                <w:sz w:val="24"/>
                <w:szCs w:val="24"/>
              </w:rPr>
              <w:t>inversión</w:t>
            </w:r>
            <w:proofErr w:type="spellEnd"/>
          </w:p>
        </w:tc>
        <w:tc>
          <w:tcPr>
            <w:tcW w:w="2057" w:type="dxa"/>
          </w:tcPr>
          <w:p w:rsidR="009B358E" w:rsidRDefault="00393FF3">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proofErr w:type="spellStart"/>
            <w:r>
              <w:rPr>
                <w:rFonts w:ascii="Arial" w:eastAsia="Arial" w:hAnsi="Arial" w:cs="Arial"/>
                <w:sz w:val="24"/>
                <w:szCs w:val="24"/>
              </w:rPr>
              <w:t>Porcentaje</w:t>
            </w:r>
            <w:proofErr w:type="spellEnd"/>
            <w:r>
              <w:rPr>
                <w:rFonts w:ascii="Arial" w:eastAsia="Arial" w:hAnsi="Arial" w:cs="Arial"/>
                <w:sz w:val="24"/>
                <w:szCs w:val="24"/>
              </w:rPr>
              <w:t xml:space="preserve"> (%)</w:t>
            </w:r>
          </w:p>
        </w:tc>
      </w:tr>
      <w:tr w:rsidR="009B358E" w:rsidTr="009B358E">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5904" w:type="dxa"/>
          </w:tcPr>
          <w:p w:rsidR="009B358E" w:rsidRDefault="00393FF3">
            <w:pPr>
              <w:spacing w:after="160" w:line="259" w:lineRule="auto"/>
              <w:jc w:val="both"/>
              <w:rPr>
                <w:rFonts w:ascii="Arial" w:eastAsia="Arial" w:hAnsi="Arial" w:cs="Arial"/>
                <w:sz w:val="24"/>
                <w:szCs w:val="24"/>
              </w:rPr>
            </w:pPr>
            <w:proofErr w:type="spellStart"/>
            <w:r>
              <w:rPr>
                <w:rFonts w:ascii="Arial" w:eastAsia="Arial" w:hAnsi="Arial" w:cs="Arial"/>
                <w:sz w:val="24"/>
                <w:szCs w:val="24"/>
              </w:rPr>
              <w:t>Mantenimiento</w:t>
            </w:r>
            <w:proofErr w:type="spellEnd"/>
            <w:r>
              <w:rPr>
                <w:rFonts w:ascii="Arial" w:eastAsia="Arial" w:hAnsi="Arial" w:cs="Arial"/>
                <w:sz w:val="24"/>
                <w:szCs w:val="24"/>
              </w:rPr>
              <w:t xml:space="preserve"> y </w:t>
            </w:r>
            <w:proofErr w:type="spellStart"/>
            <w:r>
              <w:rPr>
                <w:rFonts w:ascii="Arial" w:eastAsia="Arial" w:hAnsi="Arial" w:cs="Arial"/>
                <w:sz w:val="24"/>
                <w:szCs w:val="24"/>
              </w:rPr>
              <w:t>Reparación</w:t>
            </w:r>
            <w:proofErr w:type="spellEnd"/>
            <w:r>
              <w:rPr>
                <w:rFonts w:ascii="Arial" w:eastAsia="Arial" w:hAnsi="Arial" w:cs="Arial"/>
                <w:sz w:val="24"/>
                <w:szCs w:val="24"/>
              </w:rPr>
              <w:t xml:space="preserve"> de </w:t>
            </w:r>
            <w:proofErr w:type="spellStart"/>
            <w:r>
              <w:rPr>
                <w:rFonts w:ascii="Arial" w:eastAsia="Arial" w:hAnsi="Arial" w:cs="Arial"/>
                <w:sz w:val="24"/>
                <w:szCs w:val="24"/>
              </w:rPr>
              <w:t>Infraestructura</w:t>
            </w:r>
            <w:proofErr w:type="spellEnd"/>
          </w:p>
        </w:tc>
        <w:tc>
          <w:tcPr>
            <w:tcW w:w="2057" w:type="dxa"/>
          </w:tcPr>
          <w:p w:rsidR="009B358E" w:rsidRDefault="00393FF3">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30%</w:t>
            </w:r>
          </w:p>
        </w:tc>
      </w:tr>
      <w:tr w:rsidR="009B358E" w:rsidTr="009B358E">
        <w:trPr>
          <w:trHeight w:val="335"/>
          <w:jc w:val="center"/>
        </w:trPr>
        <w:tc>
          <w:tcPr>
            <w:cnfStyle w:val="001000000000" w:firstRow="0" w:lastRow="0" w:firstColumn="1" w:lastColumn="0" w:oddVBand="0" w:evenVBand="0" w:oddHBand="0" w:evenHBand="0" w:firstRowFirstColumn="0" w:firstRowLastColumn="0" w:lastRowFirstColumn="0" w:lastRowLastColumn="0"/>
            <w:tcW w:w="5904" w:type="dxa"/>
          </w:tcPr>
          <w:p w:rsidR="009B358E" w:rsidRDefault="00393FF3">
            <w:pPr>
              <w:spacing w:after="160" w:line="259" w:lineRule="auto"/>
              <w:jc w:val="both"/>
              <w:rPr>
                <w:rFonts w:ascii="Arial" w:eastAsia="Arial" w:hAnsi="Arial" w:cs="Arial"/>
                <w:sz w:val="24"/>
                <w:szCs w:val="24"/>
              </w:rPr>
            </w:pPr>
            <w:proofErr w:type="spellStart"/>
            <w:r>
              <w:rPr>
                <w:rFonts w:ascii="Arial" w:eastAsia="Arial" w:hAnsi="Arial" w:cs="Arial"/>
                <w:sz w:val="24"/>
                <w:szCs w:val="24"/>
              </w:rPr>
              <w:t>Dotación</w:t>
            </w:r>
            <w:proofErr w:type="spellEnd"/>
            <w:r>
              <w:rPr>
                <w:rFonts w:ascii="Arial" w:eastAsia="Arial" w:hAnsi="Arial" w:cs="Arial"/>
                <w:sz w:val="24"/>
                <w:szCs w:val="24"/>
              </w:rPr>
              <w:t xml:space="preserve"> de </w:t>
            </w:r>
            <w:proofErr w:type="spellStart"/>
            <w:r>
              <w:rPr>
                <w:rFonts w:ascii="Arial" w:eastAsia="Arial" w:hAnsi="Arial" w:cs="Arial"/>
                <w:sz w:val="24"/>
                <w:szCs w:val="24"/>
              </w:rPr>
              <w:t>Equipos</w:t>
            </w:r>
            <w:proofErr w:type="spellEnd"/>
            <w:r>
              <w:rPr>
                <w:rFonts w:ascii="Arial" w:eastAsia="Arial" w:hAnsi="Arial" w:cs="Arial"/>
                <w:sz w:val="24"/>
                <w:szCs w:val="24"/>
              </w:rPr>
              <w:t xml:space="preserve"> </w:t>
            </w:r>
            <w:proofErr w:type="spellStart"/>
            <w:r>
              <w:rPr>
                <w:rFonts w:ascii="Arial" w:eastAsia="Arial" w:hAnsi="Arial" w:cs="Arial"/>
                <w:sz w:val="24"/>
                <w:szCs w:val="24"/>
              </w:rPr>
              <w:t>Médicos</w:t>
            </w:r>
            <w:proofErr w:type="spellEnd"/>
          </w:p>
        </w:tc>
        <w:tc>
          <w:tcPr>
            <w:tcW w:w="2057" w:type="dxa"/>
          </w:tcPr>
          <w:p w:rsidR="009B358E" w:rsidRDefault="00393FF3">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25%</w:t>
            </w:r>
          </w:p>
        </w:tc>
      </w:tr>
      <w:tr w:rsidR="009B358E" w:rsidTr="009B358E">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5904" w:type="dxa"/>
          </w:tcPr>
          <w:p w:rsidR="009B358E" w:rsidRDefault="00393FF3">
            <w:pPr>
              <w:spacing w:after="160" w:line="259" w:lineRule="auto"/>
              <w:jc w:val="both"/>
              <w:rPr>
                <w:rFonts w:ascii="Arial" w:eastAsia="Arial" w:hAnsi="Arial" w:cs="Arial"/>
                <w:sz w:val="24"/>
                <w:szCs w:val="24"/>
              </w:rPr>
            </w:pPr>
            <w:proofErr w:type="spellStart"/>
            <w:r>
              <w:rPr>
                <w:rFonts w:ascii="Arial" w:eastAsia="Arial" w:hAnsi="Arial" w:cs="Arial"/>
                <w:sz w:val="24"/>
                <w:szCs w:val="24"/>
              </w:rPr>
              <w:t>Programas</w:t>
            </w:r>
            <w:proofErr w:type="spellEnd"/>
            <w:r>
              <w:rPr>
                <w:rFonts w:ascii="Arial" w:eastAsia="Arial" w:hAnsi="Arial" w:cs="Arial"/>
                <w:sz w:val="24"/>
                <w:szCs w:val="24"/>
              </w:rPr>
              <w:t xml:space="preserve"> de </w:t>
            </w:r>
            <w:proofErr w:type="spellStart"/>
            <w:r>
              <w:rPr>
                <w:rFonts w:ascii="Arial" w:eastAsia="Arial" w:hAnsi="Arial" w:cs="Arial"/>
                <w:sz w:val="24"/>
                <w:szCs w:val="24"/>
              </w:rPr>
              <w:t>Salud</w:t>
            </w:r>
            <w:proofErr w:type="spellEnd"/>
            <w:r>
              <w:rPr>
                <w:rFonts w:ascii="Arial" w:eastAsia="Arial" w:hAnsi="Arial" w:cs="Arial"/>
                <w:sz w:val="24"/>
                <w:szCs w:val="24"/>
              </w:rPr>
              <w:t xml:space="preserve"> </w:t>
            </w:r>
            <w:proofErr w:type="spellStart"/>
            <w:r>
              <w:rPr>
                <w:rFonts w:ascii="Arial" w:eastAsia="Arial" w:hAnsi="Arial" w:cs="Arial"/>
                <w:sz w:val="24"/>
                <w:szCs w:val="24"/>
              </w:rPr>
              <w:t>Materna</w:t>
            </w:r>
            <w:proofErr w:type="spellEnd"/>
            <w:r>
              <w:rPr>
                <w:rFonts w:ascii="Arial" w:eastAsia="Arial" w:hAnsi="Arial" w:cs="Arial"/>
                <w:sz w:val="24"/>
                <w:szCs w:val="24"/>
              </w:rPr>
              <w:t xml:space="preserve"> e </w:t>
            </w:r>
            <w:proofErr w:type="spellStart"/>
            <w:r>
              <w:rPr>
                <w:rFonts w:ascii="Arial" w:eastAsia="Arial" w:hAnsi="Arial" w:cs="Arial"/>
                <w:sz w:val="24"/>
                <w:szCs w:val="24"/>
              </w:rPr>
              <w:t>Infantil</w:t>
            </w:r>
            <w:proofErr w:type="spellEnd"/>
          </w:p>
        </w:tc>
        <w:tc>
          <w:tcPr>
            <w:tcW w:w="2057" w:type="dxa"/>
          </w:tcPr>
          <w:p w:rsidR="009B358E" w:rsidRDefault="00393FF3">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20%</w:t>
            </w:r>
          </w:p>
        </w:tc>
      </w:tr>
      <w:tr w:rsidR="009B358E" w:rsidTr="009B358E">
        <w:trPr>
          <w:trHeight w:val="335"/>
          <w:jc w:val="center"/>
        </w:trPr>
        <w:tc>
          <w:tcPr>
            <w:cnfStyle w:val="001000000000" w:firstRow="0" w:lastRow="0" w:firstColumn="1" w:lastColumn="0" w:oddVBand="0" w:evenVBand="0" w:oddHBand="0" w:evenHBand="0" w:firstRowFirstColumn="0" w:firstRowLastColumn="0" w:lastRowFirstColumn="0" w:lastRowLastColumn="0"/>
            <w:tcW w:w="5904" w:type="dxa"/>
          </w:tcPr>
          <w:p w:rsidR="009B358E" w:rsidRDefault="00393FF3">
            <w:pPr>
              <w:spacing w:after="160" w:line="259" w:lineRule="auto"/>
              <w:jc w:val="both"/>
              <w:rPr>
                <w:rFonts w:ascii="Arial" w:eastAsia="Arial" w:hAnsi="Arial" w:cs="Arial"/>
                <w:sz w:val="24"/>
                <w:szCs w:val="24"/>
              </w:rPr>
            </w:pPr>
            <w:proofErr w:type="spellStart"/>
            <w:r>
              <w:rPr>
                <w:rFonts w:ascii="Arial" w:eastAsia="Arial" w:hAnsi="Arial" w:cs="Arial"/>
                <w:sz w:val="24"/>
                <w:szCs w:val="24"/>
              </w:rPr>
              <w:t>Capacitación</w:t>
            </w:r>
            <w:proofErr w:type="spellEnd"/>
            <w:r>
              <w:rPr>
                <w:rFonts w:ascii="Arial" w:eastAsia="Arial" w:hAnsi="Arial" w:cs="Arial"/>
                <w:sz w:val="24"/>
                <w:szCs w:val="24"/>
              </w:rPr>
              <w:t xml:space="preserve"> y </w:t>
            </w:r>
            <w:proofErr w:type="spellStart"/>
            <w:r>
              <w:rPr>
                <w:rFonts w:ascii="Arial" w:eastAsia="Arial" w:hAnsi="Arial" w:cs="Arial"/>
                <w:sz w:val="24"/>
                <w:szCs w:val="24"/>
              </w:rPr>
              <w:t>Formación</w:t>
            </w:r>
            <w:proofErr w:type="spellEnd"/>
            <w:r>
              <w:rPr>
                <w:rFonts w:ascii="Arial" w:eastAsia="Arial" w:hAnsi="Arial" w:cs="Arial"/>
                <w:sz w:val="24"/>
                <w:szCs w:val="24"/>
              </w:rPr>
              <w:t xml:space="preserve"> del Personal de </w:t>
            </w:r>
            <w:proofErr w:type="spellStart"/>
            <w:r>
              <w:rPr>
                <w:rFonts w:ascii="Arial" w:eastAsia="Arial" w:hAnsi="Arial" w:cs="Arial"/>
                <w:sz w:val="24"/>
                <w:szCs w:val="24"/>
              </w:rPr>
              <w:t>Salud</w:t>
            </w:r>
            <w:proofErr w:type="spellEnd"/>
          </w:p>
        </w:tc>
        <w:tc>
          <w:tcPr>
            <w:tcW w:w="2057" w:type="dxa"/>
          </w:tcPr>
          <w:p w:rsidR="009B358E" w:rsidRDefault="00393FF3">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10%</w:t>
            </w:r>
          </w:p>
        </w:tc>
      </w:tr>
      <w:tr w:rsidR="009B358E" w:rsidTr="009B358E">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5904" w:type="dxa"/>
          </w:tcPr>
          <w:p w:rsidR="009B358E" w:rsidRDefault="00393FF3">
            <w:pPr>
              <w:spacing w:after="160" w:line="259" w:lineRule="auto"/>
              <w:jc w:val="both"/>
              <w:rPr>
                <w:rFonts w:ascii="Arial" w:eastAsia="Arial" w:hAnsi="Arial" w:cs="Arial"/>
                <w:sz w:val="24"/>
                <w:szCs w:val="24"/>
              </w:rPr>
            </w:pPr>
            <w:proofErr w:type="spellStart"/>
            <w:r>
              <w:rPr>
                <w:rFonts w:ascii="Arial" w:eastAsia="Arial" w:hAnsi="Arial" w:cs="Arial"/>
                <w:sz w:val="24"/>
                <w:szCs w:val="24"/>
              </w:rPr>
              <w:t>Campañas</w:t>
            </w:r>
            <w:proofErr w:type="spellEnd"/>
            <w:r>
              <w:rPr>
                <w:rFonts w:ascii="Arial" w:eastAsia="Arial" w:hAnsi="Arial" w:cs="Arial"/>
                <w:sz w:val="24"/>
                <w:szCs w:val="24"/>
              </w:rPr>
              <w:t xml:space="preserve"> de </w:t>
            </w:r>
            <w:proofErr w:type="spellStart"/>
            <w:r>
              <w:rPr>
                <w:rFonts w:ascii="Arial" w:eastAsia="Arial" w:hAnsi="Arial" w:cs="Arial"/>
                <w:sz w:val="24"/>
                <w:szCs w:val="24"/>
              </w:rPr>
              <w:t>Salud</w:t>
            </w:r>
            <w:proofErr w:type="spellEnd"/>
            <w:r>
              <w:rPr>
                <w:rFonts w:ascii="Arial" w:eastAsia="Arial" w:hAnsi="Arial" w:cs="Arial"/>
                <w:sz w:val="24"/>
                <w:szCs w:val="24"/>
              </w:rPr>
              <w:t xml:space="preserve"> y </w:t>
            </w:r>
            <w:proofErr w:type="spellStart"/>
            <w:r>
              <w:rPr>
                <w:rFonts w:ascii="Arial" w:eastAsia="Arial" w:hAnsi="Arial" w:cs="Arial"/>
                <w:sz w:val="24"/>
                <w:szCs w:val="24"/>
              </w:rPr>
              <w:t>Prevención</w:t>
            </w:r>
            <w:proofErr w:type="spellEnd"/>
            <w:r>
              <w:rPr>
                <w:rFonts w:ascii="Arial" w:eastAsia="Arial" w:hAnsi="Arial" w:cs="Arial"/>
                <w:sz w:val="24"/>
                <w:szCs w:val="24"/>
              </w:rPr>
              <w:t xml:space="preserve"> </w:t>
            </w:r>
            <w:proofErr w:type="spellStart"/>
            <w:r>
              <w:rPr>
                <w:rFonts w:ascii="Arial" w:eastAsia="Arial" w:hAnsi="Arial" w:cs="Arial"/>
                <w:sz w:val="24"/>
                <w:szCs w:val="24"/>
              </w:rPr>
              <w:t>Comunitaria</w:t>
            </w:r>
            <w:proofErr w:type="spellEnd"/>
          </w:p>
        </w:tc>
        <w:tc>
          <w:tcPr>
            <w:tcW w:w="2057" w:type="dxa"/>
          </w:tcPr>
          <w:p w:rsidR="009B358E" w:rsidRDefault="00393FF3">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8%</w:t>
            </w:r>
          </w:p>
        </w:tc>
      </w:tr>
      <w:tr w:rsidR="009B358E" w:rsidTr="009B358E">
        <w:trPr>
          <w:trHeight w:val="335"/>
          <w:jc w:val="center"/>
        </w:trPr>
        <w:tc>
          <w:tcPr>
            <w:cnfStyle w:val="001000000000" w:firstRow="0" w:lastRow="0" w:firstColumn="1" w:lastColumn="0" w:oddVBand="0" w:evenVBand="0" w:oddHBand="0" w:evenHBand="0" w:firstRowFirstColumn="0" w:firstRowLastColumn="0" w:lastRowFirstColumn="0" w:lastRowLastColumn="0"/>
            <w:tcW w:w="5904" w:type="dxa"/>
          </w:tcPr>
          <w:p w:rsidR="009B358E" w:rsidRDefault="00393FF3">
            <w:pPr>
              <w:spacing w:after="160" w:line="259" w:lineRule="auto"/>
              <w:jc w:val="both"/>
              <w:rPr>
                <w:rFonts w:ascii="Arial" w:eastAsia="Arial" w:hAnsi="Arial" w:cs="Arial"/>
                <w:sz w:val="24"/>
                <w:szCs w:val="24"/>
              </w:rPr>
            </w:pPr>
            <w:proofErr w:type="spellStart"/>
            <w:r>
              <w:rPr>
                <w:rFonts w:ascii="Arial" w:eastAsia="Arial" w:hAnsi="Arial" w:cs="Arial"/>
                <w:sz w:val="24"/>
                <w:szCs w:val="24"/>
              </w:rPr>
              <w:t>Administración</w:t>
            </w:r>
            <w:proofErr w:type="spellEnd"/>
            <w:r>
              <w:rPr>
                <w:rFonts w:ascii="Arial" w:eastAsia="Arial" w:hAnsi="Arial" w:cs="Arial"/>
                <w:sz w:val="24"/>
                <w:szCs w:val="24"/>
              </w:rPr>
              <w:t xml:space="preserve"> y </w:t>
            </w:r>
            <w:proofErr w:type="spellStart"/>
            <w:r>
              <w:rPr>
                <w:rFonts w:ascii="Arial" w:eastAsia="Arial" w:hAnsi="Arial" w:cs="Arial"/>
                <w:sz w:val="24"/>
                <w:szCs w:val="24"/>
              </w:rPr>
              <w:t>Auditoría</w:t>
            </w:r>
            <w:proofErr w:type="spellEnd"/>
            <w:r>
              <w:rPr>
                <w:rFonts w:ascii="Arial" w:eastAsia="Arial" w:hAnsi="Arial" w:cs="Arial"/>
                <w:sz w:val="24"/>
                <w:szCs w:val="24"/>
              </w:rPr>
              <w:t xml:space="preserve"> del Proyecto</w:t>
            </w:r>
          </w:p>
        </w:tc>
        <w:tc>
          <w:tcPr>
            <w:tcW w:w="2057" w:type="dxa"/>
          </w:tcPr>
          <w:p w:rsidR="009B358E" w:rsidRDefault="00393FF3">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5%</w:t>
            </w:r>
          </w:p>
        </w:tc>
      </w:tr>
      <w:tr w:rsidR="009B358E" w:rsidTr="009B358E">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5904" w:type="dxa"/>
          </w:tcPr>
          <w:p w:rsidR="009B358E" w:rsidRDefault="00393FF3">
            <w:pPr>
              <w:spacing w:after="160" w:line="259" w:lineRule="auto"/>
              <w:jc w:val="both"/>
              <w:rPr>
                <w:rFonts w:ascii="Arial" w:eastAsia="Arial" w:hAnsi="Arial" w:cs="Arial"/>
                <w:sz w:val="24"/>
                <w:szCs w:val="24"/>
              </w:rPr>
            </w:pPr>
            <w:proofErr w:type="spellStart"/>
            <w:r>
              <w:rPr>
                <w:rFonts w:ascii="Arial" w:eastAsia="Arial" w:hAnsi="Arial" w:cs="Arial"/>
                <w:sz w:val="24"/>
                <w:szCs w:val="24"/>
              </w:rPr>
              <w:t>Emergencias</w:t>
            </w:r>
            <w:proofErr w:type="spellEnd"/>
            <w:r>
              <w:rPr>
                <w:rFonts w:ascii="Arial" w:eastAsia="Arial" w:hAnsi="Arial" w:cs="Arial"/>
                <w:sz w:val="24"/>
                <w:szCs w:val="24"/>
              </w:rPr>
              <w:t xml:space="preserve"> y </w:t>
            </w:r>
            <w:proofErr w:type="spellStart"/>
            <w:r>
              <w:rPr>
                <w:rFonts w:ascii="Arial" w:eastAsia="Arial" w:hAnsi="Arial" w:cs="Arial"/>
                <w:sz w:val="24"/>
                <w:szCs w:val="24"/>
              </w:rPr>
              <w:t>contingencias</w:t>
            </w:r>
            <w:proofErr w:type="spellEnd"/>
          </w:p>
        </w:tc>
        <w:tc>
          <w:tcPr>
            <w:tcW w:w="2057" w:type="dxa"/>
          </w:tcPr>
          <w:p w:rsidR="009B358E" w:rsidRDefault="00393FF3">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2%</w:t>
            </w:r>
          </w:p>
        </w:tc>
      </w:tr>
    </w:tbl>
    <w:p w:rsidR="009B358E" w:rsidRDefault="009B358E">
      <w:pPr>
        <w:ind w:left="1416"/>
        <w:jc w:val="both"/>
        <w:rPr>
          <w:rFonts w:ascii="Arial" w:eastAsia="Arial" w:hAnsi="Arial" w:cs="Arial"/>
          <w:sz w:val="24"/>
          <w:szCs w:val="24"/>
        </w:rPr>
      </w:pPr>
    </w:p>
    <w:p w:rsidR="009B358E" w:rsidRDefault="00393FF3">
      <w:pPr>
        <w:ind w:left="1416"/>
        <w:jc w:val="both"/>
        <w:rPr>
          <w:rFonts w:ascii="Arial" w:eastAsia="Arial" w:hAnsi="Arial" w:cs="Arial"/>
          <w:sz w:val="24"/>
          <w:szCs w:val="24"/>
        </w:rPr>
      </w:pPr>
      <w:r>
        <w:rPr>
          <w:rFonts w:ascii="Arial" w:eastAsia="Arial" w:hAnsi="Arial" w:cs="Arial"/>
          <w:sz w:val="24"/>
          <w:szCs w:val="24"/>
        </w:rPr>
        <w:t>El presente proyecto tiene como propósito la creación y emisión de una estampilla cuyo recaudo será destinado exclusivamente a la financiación y mejora de los hospitales públicos, centros de salud y puestos de salud públicos del Departamento del Guainía, con este mecanismo se espera mejorar las condiciones de infraestructura, dotación de equipos médicos y garantizar la prestación de servicios de calidad a toda la población del departamento, con especial enfoque en las comunidades rurales e indígenas.</w:t>
      </w:r>
    </w:p>
    <w:p w:rsidR="009B358E" w:rsidRDefault="00393FF3">
      <w:pPr>
        <w:ind w:left="1416"/>
        <w:jc w:val="both"/>
        <w:rPr>
          <w:rFonts w:ascii="Arial" w:eastAsia="Arial" w:hAnsi="Arial" w:cs="Arial"/>
          <w:sz w:val="24"/>
          <w:szCs w:val="24"/>
        </w:rPr>
      </w:pPr>
      <w:r>
        <w:rPr>
          <w:rFonts w:ascii="Arial" w:eastAsia="Arial" w:hAnsi="Arial" w:cs="Arial"/>
          <w:sz w:val="24"/>
          <w:szCs w:val="24"/>
        </w:rPr>
        <w:lastRenderedPageBreak/>
        <w:t>Los principales beneficios de este proyecto de ley incluyen:</w:t>
      </w:r>
    </w:p>
    <w:p w:rsidR="009B358E" w:rsidRDefault="00393FF3">
      <w:pPr>
        <w:numPr>
          <w:ilvl w:val="0"/>
          <w:numId w:val="4"/>
        </w:numPr>
        <w:pBdr>
          <w:top w:val="nil"/>
          <w:left w:val="nil"/>
          <w:bottom w:val="nil"/>
          <w:right w:val="nil"/>
          <w:between w:val="nil"/>
        </w:pBdr>
        <w:spacing w:after="0"/>
        <w:ind w:left="2136"/>
        <w:jc w:val="both"/>
        <w:rPr>
          <w:rFonts w:ascii="Arial" w:eastAsia="Arial" w:hAnsi="Arial" w:cs="Arial"/>
          <w:color w:val="000000"/>
          <w:sz w:val="24"/>
          <w:szCs w:val="24"/>
        </w:rPr>
      </w:pPr>
      <w:r>
        <w:rPr>
          <w:rFonts w:ascii="Arial" w:eastAsia="Arial" w:hAnsi="Arial" w:cs="Arial"/>
          <w:color w:val="000000"/>
          <w:sz w:val="24"/>
          <w:szCs w:val="24"/>
        </w:rPr>
        <w:t>Mejora de la cobertura y calidad de los servicios de salud en las zonas rurales e indígenas del departamento.</w:t>
      </w:r>
    </w:p>
    <w:p w:rsidR="009B358E" w:rsidRDefault="009B358E">
      <w:pPr>
        <w:widowControl w:val="0"/>
        <w:pBdr>
          <w:top w:val="nil"/>
          <w:left w:val="nil"/>
          <w:bottom w:val="nil"/>
          <w:right w:val="nil"/>
          <w:between w:val="nil"/>
        </w:pBdr>
        <w:spacing w:after="0" w:line="240" w:lineRule="auto"/>
        <w:ind w:left="3696" w:hanging="358"/>
        <w:jc w:val="both"/>
        <w:rPr>
          <w:rFonts w:ascii="Arial" w:eastAsia="Arial" w:hAnsi="Arial" w:cs="Arial"/>
          <w:color w:val="000000"/>
          <w:sz w:val="24"/>
          <w:szCs w:val="24"/>
        </w:rPr>
      </w:pPr>
    </w:p>
    <w:p w:rsidR="009B358E" w:rsidRDefault="00393FF3">
      <w:pPr>
        <w:numPr>
          <w:ilvl w:val="0"/>
          <w:numId w:val="4"/>
        </w:numPr>
        <w:pBdr>
          <w:top w:val="nil"/>
          <w:left w:val="nil"/>
          <w:bottom w:val="nil"/>
          <w:right w:val="nil"/>
          <w:between w:val="nil"/>
        </w:pBdr>
        <w:spacing w:after="0"/>
        <w:ind w:left="2136"/>
        <w:jc w:val="both"/>
        <w:rPr>
          <w:rFonts w:ascii="Arial" w:eastAsia="Arial" w:hAnsi="Arial" w:cs="Arial"/>
          <w:color w:val="000000"/>
          <w:sz w:val="24"/>
          <w:szCs w:val="24"/>
        </w:rPr>
      </w:pPr>
      <w:r>
        <w:rPr>
          <w:rFonts w:ascii="Arial" w:eastAsia="Arial" w:hAnsi="Arial" w:cs="Arial"/>
          <w:color w:val="000000"/>
          <w:sz w:val="24"/>
          <w:szCs w:val="24"/>
        </w:rPr>
        <w:t>Reducción de la mortalidad infantil y materna.</w:t>
      </w:r>
    </w:p>
    <w:p w:rsidR="009B358E" w:rsidRDefault="009B358E">
      <w:pPr>
        <w:widowControl w:val="0"/>
        <w:pBdr>
          <w:top w:val="nil"/>
          <w:left w:val="nil"/>
          <w:bottom w:val="nil"/>
          <w:right w:val="nil"/>
          <w:between w:val="nil"/>
        </w:pBdr>
        <w:spacing w:after="0" w:line="240" w:lineRule="auto"/>
        <w:ind w:left="3696" w:hanging="358"/>
        <w:rPr>
          <w:rFonts w:ascii="Arial" w:eastAsia="Arial" w:hAnsi="Arial" w:cs="Arial"/>
          <w:color w:val="000000"/>
          <w:sz w:val="24"/>
          <w:szCs w:val="24"/>
        </w:rPr>
      </w:pPr>
    </w:p>
    <w:p w:rsidR="009B358E" w:rsidRDefault="00393FF3">
      <w:pPr>
        <w:numPr>
          <w:ilvl w:val="0"/>
          <w:numId w:val="4"/>
        </w:numPr>
        <w:pBdr>
          <w:top w:val="nil"/>
          <w:left w:val="nil"/>
          <w:bottom w:val="nil"/>
          <w:right w:val="nil"/>
          <w:between w:val="nil"/>
        </w:pBdr>
        <w:spacing w:after="0"/>
        <w:ind w:left="2136"/>
        <w:jc w:val="both"/>
        <w:rPr>
          <w:rFonts w:ascii="Arial" w:eastAsia="Arial" w:hAnsi="Arial" w:cs="Arial"/>
          <w:color w:val="000000"/>
          <w:sz w:val="24"/>
          <w:szCs w:val="24"/>
        </w:rPr>
      </w:pPr>
      <w:r>
        <w:rPr>
          <w:rFonts w:ascii="Arial" w:eastAsia="Arial" w:hAnsi="Arial" w:cs="Arial"/>
          <w:color w:val="000000"/>
          <w:sz w:val="24"/>
          <w:szCs w:val="24"/>
        </w:rPr>
        <w:t>Fortalecimiento de la infraestructura hospitalaria y de atención primaria.</w:t>
      </w:r>
    </w:p>
    <w:p w:rsidR="009B358E" w:rsidRDefault="009B358E">
      <w:pPr>
        <w:widowControl w:val="0"/>
        <w:pBdr>
          <w:top w:val="nil"/>
          <w:left w:val="nil"/>
          <w:bottom w:val="nil"/>
          <w:right w:val="nil"/>
          <w:between w:val="nil"/>
        </w:pBdr>
        <w:spacing w:after="0" w:line="240" w:lineRule="auto"/>
        <w:ind w:left="3696" w:hanging="358"/>
        <w:rPr>
          <w:rFonts w:ascii="Arial" w:eastAsia="Arial" w:hAnsi="Arial" w:cs="Arial"/>
          <w:color w:val="000000"/>
          <w:sz w:val="24"/>
          <w:szCs w:val="24"/>
        </w:rPr>
      </w:pPr>
    </w:p>
    <w:p w:rsidR="009B358E" w:rsidRDefault="00393FF3">
      <w:pPr>
        <w:numPr>
          <w:ilvl w:val="0"/>
          <w:numId w:val="4"/>
        </w:numPr>
        <w:pBdr>
          <w:top w:val="nil"/>
          <w:left w:val="nil"/>
          <w:bottom w:val="nil"/>
          <w:right w:val="nil"/>
          <w:between w:val="nil"/>
        </w:pBdr>
        <w:ind w:left="2136"/>
        <w:jc w:val="both"/>
        <w:rPr>
          <w:rFonts w:ascii="Arial" w:eastAsia="Arial" w:hAnsi="Arial" w:cs="Arial"/>
          <w:color w:val="000000"/>
          <w:sz w:val="24"/>
          <w:szCs w:val="24"/>
        </w:rPr>
      </w:pPr>
      <w:r>
        <w:rPr>
          <w:rFonts w:ascii="Arial" w:eastAsia="Arial" w:hAnsi="Arial" w:cs="Arial"/>
          <w:color w:val="000000"/>
          <w:sz w:val="24"/>
          <w:szCs w:val="24"/>
        </w:rPr>
        <w:t>Promoción de la salud preventiva para reducir las brechas de acceso a servicios especializados.</w:t>
      </w:r>
    </w:p>
    <w:p w:rsidR="009B358E" w:rsidRDefault="00393FF3">
      <w:pPr>
        <w:ind w:left="1416"/>
        <w:jc w:val="both"/>
        <w:rPr>
          <w:rFonts w:ascii="Arial" w:eastAsia="Arial" w:hAnsi="Arial" w:cs="Arial"/>
          <w:sz w:val="24"/>
          <w:szCs w:val="24"/>
        </w:rPr>
      </w:pPr>
      <w:r>
        <w:rPr>
          <w:rFonts w:ascii="Arial" w:eastAsia="Arial" w:hAnsi="Arial" w:cs="Arial"/>
          <w:sz w:val="24"/>
          <w:szCs w:val="24"/>
        </w:rPr>
        <w:t>El presente proyecto de ley responde a la necesidad urgente de mejorar la infraestructura y los servicios de salud en el Departamento del Guainía. La emisión de una estampilla permitirá contar con recursos adicionales para fortalecer el sistema de salud público, lo que beneficiará directamente a la población indígena y rural, se espera reducir significativamente los índices de mortalidad infantil, materna y desnutrición, mejorando las condiciones de vida y el acceso a la atención médica para los habitantes del Guainía.</w:t>
      </w:r>
    </w:p>
    <w:p w:rsidR="009B358E" w:rsidRDefault="00393FF3">
      <w:pPr>
        <w:ind w:left="1416"/>
        <w:jc w:val="both"/>
        <w:rPr>
          <w:rFonts w:ascii="Arial" w:eastAsia="Arial" w:hAnsi="Arial" w:cs="Arial"/>
          <w:sz w:val="24"/>
          <w:szCs w:val="24"/>
        </w:rPr>
      </w:pPr>
      <w:r>
        <w:rPr>
          <w:rFonts w:ascii="Arial" w:eastAsia="Arial" w:hAnsi="Arial" w:cs="Arial"/>
          <w:sz w:val="24"/>
          <w:szCs w:val="24"/>
        </w:rPr>
        <w:t xml:space="preserve">A </w:t>
      </w:r>
      <w:proofErr w:type="gramStart"/>
      <w:r>
        <w:rPr>
          <w:rFonts w:ascii="Arial" w:eastAsia="Arial" w:hAnsi="Arial" w:cs="Arial"/>
          <w:sz w:val="24"/>
          <w:szCs w:val="24"/>
        </w:rPr>
        <w:t>continuación</w:t>
      </w:r>
      <w:proofErr w:type="gramEnd"/>
      <w:r>
        <w:rPr>
          <w:rFonts w:ascii="Arial" w:eastAsia="Arial" w:hAnsi="Arial" w:cs="Arial"/>
          <w:sz w:val="24"/>
          <w:szCs w:val="24"/>
        </w:rPr>
        <w:t xml:space="preserve"> podemos observar el cronograma de acciones de la estampilla pro-hospitalaria, las tareas están distribuidas a lo largo de los meses, lo que facilita la planificación y seguimiento de las actividades clave. ​</w:t>
      </w:r>
    </w:p>
    <w:p w:rsidR="009B358E" w:rsidRDefault="00393FF3">
      <w:pPr>
        <w:ind w:left="1416"/>
        <w:jc w:val="both"/>
        <w:rPr>
          <w:rFonts w:ascii="Arial" w:eastAsia="Arial" w:hAnsi="Arial" w:cs="Arial"/>
          <w:sz w:val="24"/>
          <w:szCs w:val="24"/>
        </w:rPr>
      </w:pPr>
      <w:r>
        <w:rPr>
          <w:noProof/>
          <w:lang w:val="es-CO"/>
        </w:rPr>
        <w:drawing>
          <wp:inline distT="0" distB="0" distL="0" distR="0">
            <wp:extent cx="5166831" cy="2448278"/>
            <wp:effectExtent l="0" t="0" r="0" b="0"/>
            <wp:docPr id="864602016" name="image7.png" descr="Imagen de salida"/>
            <wp:cNvGraphicFramePr/>
            <a:graphic xmlns:a="http://schemas.openxmlformats.org/drawingml/2006/main">
              <a:graphicData uri="http://schemas.openxmlformats.org/drawingml/2006/picture">
                <pic:pic xmlns:pic="http://schemas.openxmlformats.org/drawingml/2006/picture">
                  <pic:nvPicPr>
                    <pic:cNvPr id="0" name="image7.png" descr="Imagen de salida"/>
                    <pic:cNvPicPr preferRelativeResize="0"/>
                  </pic:nvPicPr>
                  <pic:blipFill>
                    <a:blip r:embed="rId11"/>
                    <a:srcRect/>
                    <a:stretch>
                      <a:fillRect/>
                    </a:stretch>
                  </pic:blipFill>
                  <pic:spPr>
                    <a:xfrm>
                      <a:off x="0" y="0"/>
                      <a:ext cx="5166831" cy="2448278"/>
                    </a:xfrm>
                    <a:prstGeom prst="rect">
                      <a:avLst/>
                    </a:prstGeom>
                    <a:ln/>
                  </pic:spPr>
                </pic:pic>
              </a:graphicData>
            </a:graphic>
          </wp:inline>
        </w:drawing>
      </w:r>
    </w:p>
    <w:p w:rsidR="009B358E" w:rsidRDefault="00393FF3">
      <w:pPr>
        <w:jc w:val="both"/>
        <w:rPr>
          <w:rFonts w:ascii="Arial" w:eastAsia="Arial" w:hAnsi="Arial" w:cs="Arial"/>
          <w:sz w:val="24"/>
          <w:szCs w:val="24"/>
        </w:rPr>
      </w:pPr>
      <w:r>
        <w:rPr>
          <w:rFonts w:ascii="Arial" w:eastAsia="Arial" w:hAnsi="Arial" w:cs="Arial"/>
          <w:sz w:val="24"/>
          <w:szCs w:val="24"/>
        </w:rPr>
        <w:t xml:space="preserve">        </w:t>
      </w:r>
    </w:p>
    <w:p w:rsidR="009B358E" w:rsidRDefault="00393FF3">
      <w:pPr>
        <w:tabs>
          <w:tab w:val="left" w:pos="2280"/>
        </w:tabs>
        <w:ind w:left="1922"/>
        <w:rPr>
          <w:rFonts w:ascii="Arial" w:eastAsia="Arial" w:hAnsi="Arial" w:cs="Arial"/>
          <w:b/>
          <w:sz w:val="24"/>
          <w:szCs w:val="24"/>
        </w:rPr>
      </w:pPr>
      <w:r>
        <w:rPr>
          <w:rFonts w:ascii="Arial" w:eastAsia="Arial" w:hAnsi="Arial" w:cs="Arial"/>
          <w:b/>
          <w:sz w:val="24"/>
          <w:szCs w:val="24"/>
        </w:rPr>
        <w:t>4. MARCO NORMATIVO</w:t>
      </w:r>
    </w:p>
    <w:p w:rsidR="009B358E" w:rsidRDefault="009B358E">
      <w:pPr>
        <w:tabs>
          <w:tab w:val="left" w:pos="2280"/>
        </w:tabs>
        <w:ind w:left="1922"/>
        <w:rPr>
          <w:rFonts w:ascii="Arial" w:eastAsia="Arial" w:hAnsi="Arial" w:cs="Arial"/>
          <w:b/>
          <w:sz w:val="24"/>
          <w:szCs w:val="24"/>
        </w:rPr>
      </w:pPr>
    </w:p>
    <w:p w:rsidR="009B358E" w:rsidRDefault="00393FF3">
      <w:pPr>
        <w:tabs>
          <w:tab w:val="left" w:pos="2280"/>
        </w:tabs>
        <w:ind w:left="1922"/>
        <w:jc w:val="both"/>
        <w:rPr>
          <w:rFonts w:ascii="Arial" w:eastAsia="Arial" w:hAnsi="Arial" w:cs="Arial"/>
          <w:sz w:val="24"/>
          <w:szCs w:val="24"/>
        </w:rPr>
      </w:pPr>
      <w:r>
        <w:rPr>
          <w:rFonts w:ascii="Arial" w:eastAsia="Arial" w:hAnsi="Arial" w:cs="Arial"/>
          <w:sz w:val="24"/>
          <w:szCs w:val="24"/>
        </w:rPr>
        <w:lastRenderedPageBreak/>
        <w:t xml:space="preserve">En el entendido que el concepto de “Derecho a la Salud” se encuentra que éste reconocimiento consagrado no solo en la Constitución de 1991, sino también en múltiples instrumentos jurídicos internacionales que hoy hacen parte de nuestra normativa por vía del llamado bloque de constitucionalidad. De igual manera, se encuentra previsto en innumerables disposiciones de origen legal y reglamentario e implica la garantía real a gozar de un estado físico, mental, emocional y social que permita al ser humano desarrollar en forma digna sus potencialidades y su vida misma, en favor del individuo y su entorno familiar y colectivo. Es así, que se procede a realizar una mínima, pero muy relevante descripción de las normas que protegen y garantizan el derecho a la salud. </w:t>
      </w:r>
    </w:p>
    <w:p w:rsidR="009B358E" w:rsidRDefault="009B358E">
      <w:pPr>
        <w:tabs>
          <w:tab w:val="left" w:pos="2280"/>
        </w:tabs>
        <w:ind w:left="1922"/>
        <w:jc w:val="both"/>
        <w:rPr>
          <w:rFonts w:ascii="Arial" w:eastAsia="Arial" w:hAnsi="Arial" w:cs="Arial"/>
          <w:sz w:val="24"/>
          <w:szCs w:val="24"/>
        </w:rPr>
      </w:pPr>
    </w:p>
    <w:p w:rsidR="009B358E" w:rsidRDefault="00393FF3">
      <w:pPr>
        <w:widowControl w:val="0"/>
        <w:pBdr>
          <w:top w:val="nil"/>
          <w:left w:val="nil"/>
          <w:bottom w:val="nil"/>
          <w:right w:val="nil"/>
          <w:between w:val="nil"/>
        </w:pBdr>
        <w:spacing w:before="276" w:after="0" w:line="240" w:lineRule="auto"/>
        <w:ind w:left="1561" w:right="142"/>
        <w:jc w:val="both"/>
        <w:rPr>
          <w:rFonts w:ascii="Arial" w:eastAsia="Arial" w:hAnsi="Arial" w:cs="Arial"/>
          <w:b/>
          <w:color w:val="000000"/>
          <w:sz w:val="24"/>
          <w:szCs w:val="24"/>
        </w:rPr>
      </w:pPr>
      <w:r>
        <w:rPr>
          <w:rFonts w:ascii="Arial" w:eastAsia="Arial" w:hAnsi="Arial" w:cs="Arial"/>
          <w:b/>
          <w:color w:val="000000"/>
          <w:sz w:val="24"/>
          <w:szCs w:val="24"/>
        </w:rPr>
        <w:t>Constitución Política de Colombia:</w:t>
      </w:r>
    </w:p>
    <w:p w:rsidR="009B358E" w:rsidRDefault="00393FF3">
      <w:pPr>
        <w:widowControl w:val="0"/>
        <w:pBdr>
          <w:top w:val="nil"/>
          <w:left w:val="nil"/>
          <w:bottom w:val="nil"/>
          <w:right w:val="nil"/>
          <w:between w:val="nil"/>
        </w:pBdr>
        <w:spacing w:before="276" w:after="0" w:line="240" w:lineRule="auto"/>
        <w:ind w:left="1561" w:right="142"/>
        <w:jc w:val="both"/>
        <w:rPr>
          <w:rFonts w:ascii="Arial" w:eastAsia="Arial" w:hAnsi="Arial" w:cs="Arial"/>
          <w:color w:val="000000"/>
          <w:sz w:val="24"/>
          <w:szCs w:val="24"/>
        </w:rPr>
      </w:pPr>
      <w:r>
        <w:rPr>
          <w:rFonts w:ascii="Arial" w:eastAsia="Arial" w:hAnsi="Arial" w:cs="Arial"/>
          <w:b/>
          <w:color w:val="000000"/>
          <w:sz w:val="24"/>
          <w:szCs w:val="24"/>
        </w:rPr>
        <w:t xml:space="preserve">Artículo 44. </w:t>
      </w:r>
      <w:r>
        <w:rPr>
          <w:rFonts w:ascii="Arial" w:eastAsia="Arial" w:hAnsi="Arial" w:cs="Arial"/>
          <w:color w:val="000000"/>
          <w:sz w:val="24"/>
          <w:szCs w:val="24"/>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p w:rsidR="009B358E" w:rsidRDefault="00393FF3">
      <w:pPr>
        <w:widowControl w:val="0"/>
        <w:pBdr>
          <w:top w:val="nil"/>
          <w:left w:val="nil"/>
          <w:bottom w:val="nil"/>
          <w:right w:val="nil"/>
          <w:between w:val="nil"/>
        </w:pBdr>
        <w:spacing w:before="276" w:after="0" w:line="240" w:lineRule="auto"/>
        <w:ind w:left="1561" w:right="142"/>
        <w:jc w:val="both"/>
        <w:rPr>
          <w:rFonts w:ascii="Arial" w:eastAsia="Arial" w:hAnsi="Arial" w:cs="Arial"/>
          <w:color w:val="000000"/>
          <w:sz w:val="24"/>
          <w:szCs w:val="24"/>
        </w:rPr>
      </w:pPr>
      <w:r>
        <w:rPr>
          <w:rFonts w:ascii="Arial" w:eastAsia="Arial" w:hAnsi="Arial" w:cs="Arial"/>
          <w:b/>
          <w:color w:val="000000"/>
          <w:sz w:val="24"/>
          <w:szCs w:val="24"/>
        </w:rPr>
        <w:t xml:space="preserve">Artículo 49. </w:t>
      </w:r>
      <w:r>
        <w:rPr>
          <w:rFonts w:ascii="Arial" w:eastAsia="Arial" w:hAnsi="Arial" w:cs="Arial"/>
          <w:color w:val="000000"/>
          <w:sz w:val="24"/>
          <w:szCs w:val="24"/>
        </w:rPr>
        <w:t>La atención de la salud y el saneamiento ambiental son servicios públicos a cargo del Estado. Se garantiza a todas las personas el acceso a los servicios de promoción, protección y recuperación de la salud.</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1561" w:right="137"/>
        <w:jc w:val="both"/>
        <w:rPr>
          <w:rFonts w:ascii="Arial" w:eastAsia="Arial" w:hAnsi="Arial" w:cs="Arial"/>
          <w:color w:val="000000"/>
          <w:sz w:val="24"/>
          <w:szCs w:val="24"/>
        </w:rPr>
      </w:pPr>
      <w:r>
        <w:rPr>
          <w:rFonts w:ascii="Arial" w:eastAsia="Arial" w:hAnsi="Arial" w:cs="Arial"/>
          <w:color w:val="000000"/>
          <w:sz w:val="24"/>
          <w:szCs w:val="24"/>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1561" w:right="139"/>
        <w:jc w:val="both"/>
        <w:rPr>
          <w:rFonts w:ascii="Arial" w:eastAsia="Arial" w:hAnsi="Arial" w:cs="Arial"/>
          <w:color w:val="000000"/>
          <w:sz w:val="24"/>
          <w:szCs w:val="24"/>
        </w:rPr>
      </w:pPr>
      <w:r>
        <w:rPr>
          <w:rFonts w:ascii="Arial" w:eastAsia="Arial" w:hAnsi="Arial" w:cs="Arial"/>
          <w:color w:val="000000"/>
          <w:sz w:val="24"/>
          <w:szCs w:val="24"/>
        </w:rPr>
        <w:lastRenderedPageBreak/>
        <w:t>Los servicios de salud se organizarán en forma descentralizada, por niveles de atención y con participación de la comunidad.</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1561" w:right="142"/>
        <w:jc w:val="both"/>
        <w:rPr>
          <w:rFonts w:ascii="Arial" w:eastAsia="Arial" w:hAnsi="Arial" w:cs="Arial"/>
          <w:color w:val="000000"/>
          <w:sz w:val="24"/>
          <w:szCs w:val="24"/>
        </w:rPr>
      </w:pPr>
      <w:r>
        <w:rPr>
          <w:rFonts w:ascii="Arial" w:eastAsia="Arial" w:hAnsi="Arial" w:cs="Arial"/>
          <w:color w:val="000000"/>
          <w:sz w:val="24"/>
          <w:szCs w:val="24"/>
        </w:rPr>
        <w:t>La ley señalará los términos en los cuales la atención básica para todos los habitantes será gratuita y obligatoria. Toda persona tiene el deber de procurar el cuidado integral de su salud y de su comunidad.</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pBdr>
          <w:top w:val="nil"/>
          <w:left w:val="nil"/>
          <w:bottom w:val="nil"/>
          <w:right w:val="nil"/>
          <w:between w:val="nil"/>
        </w:pBdr>
        <w:spacing w:before="12" w:after="0" w:line="240" w:lineRule="auto"/>
        <w:ind w:left="1561" w:right="18"/>
        <w:jc w:val="both"/>
        <w:rPr>
          <w:rFonts w:ascii="Arial" w:eastAsia="Arial" w:hAnsi="Arial" w:cs="Arial"/>
          <w:color w:val="000000"/>
          <w:sz w:val="24"/>
          <w:szCs w:val="24"/>
        </w:rPr>
      </w:pPr>
      <w:r>
        <w:rPr>
          <w:rFonts w:ascii="Arial" w:eastAsia="Arial" w:hAnsi="Arial" w:cs="Arial"/>
          <w:color w:val="000000"/>
          <w:sz w:val="24"/>
          <w:szCs w:val="24"/>
        </w:rPr>
        <w:t>El porte y el consumo de sustancias estupefacientes o sicotrópicas están prohibido, salvo prescripción médica. Con fines preventivos y rehabilitadores la ley establecerá medidas y tratamientos administrativos de orden pedagógico, profiláctico terapéutico para las personas que consuman dichas sustancias. El sometimiento a esas medidas y tratamientos requiere el consentimiento informado del adicto.</w:t>
      </w:r>
    </w:p>
    <w:p w:rsidR="009B358E" w:rsidRDefault="009B358E">
      <w:pPr>
        <w:widowControl w:val="0"/>
        <w:pBdr>
          <w:top w:val="nil"/>
          <w:left w:val="nil"/>
          <w:bottom w:val="nil"/>
          <w:right w:val="nil"/>
          <w:between w:val="nil"/>
        </w:pBdr>
        <w:spacing w:after="0" w:line="240" w:lineRule="auto"/>
        <w:ind w:left="1561" w:right="139"/>
        <w:jc w:val="both"/>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1561" w:right="139"/>
        <w:jc w:val="both"/>
        <w:rPr>
          <w:rFonts w:ascii="Arial" w:eastAsia="Arial" w:hAnsi="Arial" w:cs="Arial"/>
          <w:color w:val="000000"/>
          <w:sz w:val="24"/>
          <w:szCs w:val="24"/>
        </w:rPr>
      </w:pPr>
      <w:r>
        <w:rPr>
          <w:rFonts w:ascii="Arial" w:eastAsia="Arial" w:hAnsi="Arial" w:cs="Arial"/>
          <w:color w:val="000000"/>
          <w:sz w:val="24"/>
          <w:szCs w:val="24"/>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1561" w:right="139"/>
        <w:jc w:val="both"/>
        <w:rPr>
          <w:rFonts w:ascii="Arial" w:eastAsia="Arial" w:hAnsi="Arial" w:cs="Arial"/>
          <w:color w:val="000000"/>
          <w:sz w:val="24"/>
          <w:szCs w:val="24"/>
        </w:rPr>
      </w:pPr>
      <w:r>
        <w:rPr>
          <w:rFonts w:ascii="Arial" w:eastAsia="Arial" w:hAnsi="Arial" w:cs="Arial"/>
          <w:b/>
          <w:color w:val="000000"/>
          <w:sz w:val="24"/>
          <w:szCs w:val="24"/>
        </w:rPr>
        <w:t xml:space="preserve">Artículo 338. </w:t>
      </w:r>
      <w:r>
        <w:rPr>
          <w:rFonts w:ascii="Arial" w:eastAsia="Arial" w:hAnsi="Arial" w:cs="Arial"/>
          <w:color w:val="000000"/>
          <w:sz w:val="24"/>
          <w:szCs w:val="24"/>
        </w:rPr>
        <w:t>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1561" w:right="137"/>
        <w:jc w:val="both"/>
        <w:rPr>
          <w:rFonts w:ascii="Arial" w:eastAsia="Arial" w:hAnsi="Arial" w:cs="Arial"/>
          <w:color w:val="000000"/>
          <w:sz w:val="24"/>
          <w:szCs w:val="24"/>
        </w:rPr>
      </w:pPr>
      <w:r>
        <w:rPr>
          <w:rFonts w:ascii="Arial" w:eastAsia="Arial" w:hAnsi="Arial" w:cs="Arial"/>
          <w:color w:val="000000"/>
          <w:sz w:val="24"/>
          <w:szCs w:val="24"/>
        </w:rPr>
        <w:t>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w:t>
      </w:r>
    </w:p>
    <w:p w:rsidR="009B358E" w:rsidRDefault="009B358E">
      <w:pPr>
        <w:widowControl w:val="0"/>
        <w:pBdr>
          <w:top w:val="nil"/>
          <w:left w:val="nil"/>
          <w:bottom w:val="nil"/>
          <w:right w:val="nil"/>
          <w:between w:val="nil"/>
        </w:pBdr>
        <w:spacing w:before="1" w:after="0" w:line="240" w:lineRule="auto"/>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1561"/>
        <w:rPr>
          <w:rFonts w:ascii="Arial" w:eastAsia="Arial" w:hAnsi="Arial" w:cs="Arial"/>
          <w:color w:val="000000"/>
          <w:sz w:val="24"/>
          <w:szCs w:val="24"/>
        </w:rPr>
      </w:pPr>
      <w:r>
        <w:rPr>
          <w:rFonts w:ascii="Arial" w:eastAsia="Arial" w:hAnsi="Arial" w:cs="Arial"/>
          <w:color w:val="000000"/>
          <w:sz w:val="24"/>
          <w:szCs w:val="24"/>
        </w:rPr>
        <w:t>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r>
        <w:rPr>
          <w:rFonts w:ascii="Arial" w:eastAsia="Arial" w:hAnsi="Arial" w:cs="Arial"/>
          <w:color w:val="000000"/>
          <w:sz w:val="24"/>
          <w:szCs w:val="24"/>
          <w:vertAlign w:val="superscript"/>
        </w:rPr>
        <w:t>2</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1561" w:right="139"/>
        <w:jc w:val="both"/>
        <w:rPr>
          <w:rFonts w:ascii="Arial" w:eastAsia="Arial" w:hAnsi="Arial" w:cs="Arial"/>
          <w:color w:val="000000"/>
          <w:sz w:val="24"/>
          <w:szCs w:val="24"/>
        </w:rPr>
      </w:pPr>
      <w:r>
        <w:rPr>
          <w:rFonts w:ascii="Arial" w:eastAsia="Arial" w:hAnsi="Arial" w:cs="Arial"/>
          <w:b/>
          <w:color w:val="000000"/>
          <w:sz w:val="24"/>
          <w:szCs w:val="24"/>
        </w:rPr>
        <w:t>Artículo 366</w:t>
      </w:r>
      <w:r>
        <w:rPr>
          <w:rFonts w:ascii="Arial" w:eastAsia="Arial" w:hAnsi="Arial" w:cs="Arial"/>
          <w:color w:val="000000"/>
          <w:sz w:val="24"/>
          <w:szCs w:val="24"/>
        </w:rPr>
        <w:t>. El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pBdr>
          <w:top w:val="nil"/>
          <w:left w:val="nil"/>
          <w:bottom w:val="nil"/>
          <w:right w:val="nil"/>
          <w:between w:val="nil"/>
        </w:pBdr>
        <w:spacing w:before="12" w:after="0" w:line="240" w:lineRule="auto"/>
        <w:ind w:left="1416" w:right="18"/>
        <w:jc w:val="both"/>
        <w:rPr>
          <w:rFonts w:ascii="Arial" w:eastAsia="Arial" w:hAnsi="Arial" w:cs="Arial"/>
          <w:color w:val="000000"/>
          <w:sz w:val="24"/>
          <w:szCs w:val="24"/>
        </w:rPr>
      </w:pPr>
      <w:r>
        <w:rPr>
          <w:rFonts w:ascii="Arial" w:eastAsia="Arial" w:hAnsi="Arial" w:cs="Arial"/>
          <w:color w:val="000000"/>
          <w:sz w:val="24"/>
          <w:szCs w:val="24"/>
        </w:rPr>
        <w:t xml:space="preserve">Para tales efectos, en los planes y presupuestos de la Nación y de las entidades territoriales, el gasto público social tendrá prioridad sobre cualquier otra asignación </w:t>
      </w:r>
    </w:p>
    <w:p w:rsidR="009B358E" w:rsidRDefault="009B358E">
      <w:pPr>
        <w:widowControl w:val="0"/>
        <w:pBdr>
          <w:top w:val="nil"/>
          <w:left w:val="nil"/>
          <w:bottom w:val="nil"/>
          <w:right w:val="nil"/>
          <w:between w:val="nil"/>
        </w:pBdr>
        <w:spacing w:before="12" w:after="0" w:line="240" w:lineRule="auto"/>
        <w:ind w:left="1416" w:right="18"/>
        <w:jc w:val="both"/>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1561"/>
        <w:jc w:val="both"/>
        <w:rPr>
          <w:rFonts w:ascii="Arial" w:eastAsia="Arial" w:hAnsi="Arial" w:cs="Arial"/>
          <w:color w:val="000000"/>
          <w:sz w:val="24"/>
          <w:szCs w:val="24"/>
        </w:rPr>
      </w:pPr>
      <w:r>
        <w:rPr>
          <w:rFonts w:ascii="Arial" w:eastAsia="Arial" w:hAnsi="Arial" w:cs="Arial"/>
          <w:b/>
          <w:color w:val="000000"/>
          <w:sz w:val="24"/>
          <w:szCs w:val="24"/>
        </w:rPr>
        <w:t xml:space="preserve">Artículo 287. </w:t>
      </w:r>
      <w:r>
        <w:rPr>
          <w:rFonts w:ascii="Arial" w:eastAsia="Arial" w:hAnsi="Arial" w:cs="Arial"/>
          <w:color w:val="000000"/>
          <w:sz w:val="24"/>
          <w:szCs w:val="24"/>
        </w:rPr>
        <w:t>Las entidades territoriales gozan de autonomía para la gestión de sus intereses, y dentro de los límites de la Constitución y la ley. En tal virtud tendrán los siguientes derechos:</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numPr>
          <w:ilvl w:val="0"/>
          <w:numId w:val="9"/>
        </w:numPr>
        <w:pBdr>
          <w:top w:val="nil"/>
          <w:left w:val="nil"/>
          <w:bottom w:val="nil"/>
          <w:right w:val="nil"/>
          <w:between w:val="nil"/>
        </w:pBdr>
        <w:tabs>
          <w:tab w:val="left" w:pos="1827"/>
        </w:tabs>
        <w:spacing w:after="0" w:line="240" w:lineRule="auto"/>
        <w:ind w:left="1827" w:hanging="265"/>
        <w:rPr>
          <w:rFonts w:ascii="Arial" w:eastAsia="Arial" w:hAnsi="Arial" w:cs="Arial"/>
          <w:color w:val="000000"/>
          <w:sz w:val="24"/>
          <w:szCs w:val="24"/>
        </w:rPr>
      </w:pPr>
      <w:r>
        <w:rPr>
          <w:rFonts w:ascii="Arial" w:eastAsia="Arial" w:hAnsi="Arial" w:cs="Arial"/>
          <w:color w:val="000000"/>
          <w:sz w:val="24"/>
          <w:szCs w:val="24"/>
        </w:rPr>
        <w:t>Gobernarse por autoridades propias.</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numPr>
          <w:ilvl w:val="0"/>
          <w:numId w:val="9"/>
        </w:numPr>
        <w:pBdr>
          <w:top w:val="nil"/>
          <w:left w:val="nil"/>
          <w:bottom w:val="nil"/>
          <w:right w:val="nil"/>
          <w:between w:val="nil"/>
        </w:pBdr>
        <w:tabs>
          <w:tab w:val="left" w:pos="1827"/>
        </w:tabs>
        <w:spacing w:after="0" w:line="240" w:lineRule="auto"/>
        <w:ind w:left="1827" w:hanging="265"/>
        <w:rPr>
          <w:rFonts w:ascii="Arial" w:eastAsia="Arial" w:hAnsi="Arial" w:cs="Arial"/>
          <w:color w:val="000000"/>
          <w:sz w:val="24"/>
          <w:szCs w:val="24"/>
        </w:rPr>
      </w:pPr>
      <w:r>
        <w:rPr>
          <w:rFonts w:ascii="Arial" w:eastAsia="Arial" w:hAnsi="Arial" w:cs="Arial"/>
          <w:color w:val="000000"/>
          <w:sz w:val="24"/>
          <w:szCs w:val="24"/>
        </w:rPr>
        <w:t>Ejercer las competencias que les correspondan.</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numPr>
          <w:ilvl w:val="0"/>
          <w:numId w:val="9"/>
        </w:numPr>
        <w:pBdr>
          <w:top w:val="nil"/>
          <w:left w:val="nil"/>
          <w:bottom w:val="nil"/>
          <w:right w:val="nil"/>
          <w:between w:val="nil"/>
        </w:pBdr>
        <w:tabs>
          <w:tab w:val="left" w:pos="1818"/>
        </w:tabs>
        <w:spacing w:after="0" w:line="240" w:lineRule="auto"/>
        <w:ind w:left="1561" w:right="140" w:firstLine="0"/>
        <w:rPr>
          <w:rFonts w:ascii="Arial" w:eastAsia="Arial" w:hAnsi="Arial" w:cs="Arial"/>
          <w:color w:val="000000"/>
          <w:sz w:val="24"/>
          <w:szCs w:val="24"/>
        </w:rPr>
      </w:pPr>
      <w:r>
        <w:rPr>
          <w:rFonts w:ascii="Arial" w:eastAsia="Arial" w:hAnsi="Arial" w:cs="Arial"/>
          <w:color w:val="000000"/>
          <w:sz w:val="24"/>
          <w:szCs w:val="24"/>
        </w:rPr>
        <w:t>Administrar los recursos y establecer los tributos necesarios para el cumplimiento de sus funciones.</w:t>
      </w:r>
    </w:p>
    <w:p w:rsidR="009B358E" w:rsidRDefault="00393FF3">
      <w:pPr>
        <w:widowControl w:val="0"/>
        <w:numPr>
          <w:ilvl w:val="0"/>
          <w:numId w:val="9"/>
        </w:numPr>
        <w:pBdr>
          <w:top w:val="nil"/>
          <w:left w:val="nil"/>
          <w:bottom w:val="nil"/>
          <w:right w:val="nil"/>
          <w:between w:val="nil"/>
        </w:pBdr>
        <w:tabs>
          <w:tab w:val="left" w:pos="1827"/>
        </w:tabs>
        <w:spacing w:after="0" w:line="240" w:lineRule="auto"/>
        <w:ind w:left="1827" w:hanging="265"/>
        <w:rPr>
          <w:rFonts w:ascii="Arial" w:eastAsia="Arial" w:hAnsi="Arial" w:cs="Arial"/>
          <w:color w:val="000000"/>
          <w:sz w:val="24"/>
          <w:szCs w:val="24"/>
        </w:rPr>
      </w:pPr>
      <w:r>
        <w:rPr>
          <w:rFonts w:ascii="Arial" w:eastAsia="Arial" w:hAnsi="Arial" w:cs="Arial"/>
          <w:color w:val="000000"/>
          <w:sz w:val="24"/>
          <w:szCs w:val="24"/>
        </w:rPr>
        <w:t>Participar en las rentas nacionales.</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pStyle w:val="Ttulo2"/>
        <w:numPr>
          <w:ilvl w:val="2"/>
          <w:numId w:val="3"/>
        </w:numPr>
      </w:pPr>
      <w:r>
        <w:t xml:space="preserve">FACULTADES Y OBLIGACIONES POR MANDATO LEGAL: </w:t>
      </w:r>
    </w:p>
    <w:p w:rsidR="009B358E" w:rsidRDefault="009B358E">
      <w:pPr>
        <w:widowControl w:val="0"/>
        <w:pBdr>
          <w:top w:val="nil"/>
          <w:left w:val="nil"/>
          <w:bottom w:val="nil"/>
          <w:right w:val="nil"/>
          <w:between w:val="nil"/>
        </w:pBdr>
        <w:spacing w:after="0" w:line="240" w:lineRule="auto"/>
        <w:rPr>
          <w:rFonts w:ascii="Arial" w:eastAsia="Arial" w:hAnsi="Arial" w:cs="Arial"/>
          <w:b/>
          <w:color w:val="000000"/>
          <w:sz w:val="24"/>
          <w:szCs w:val="24"/>
        </w:rPr>
      </w:pPr>
    </w:p>
    <w:p w:rsidR="009B358E" w:rsidRDefault="00393FF3">
      <w:pPr>
        <w:widowControl w:val="0"/>
        <w:numPr>
          <w:ilvl w:val="2"/>
          <w:numId w:val="7"/>
        </w:numPr>
        <w:pBdr>
          <w:top w:val="nil"/>
          <w:left w:val="nil"/>
          <w:bottom w:val="nil"/>
          <w:right w:val="nil"/>
          <w:between w:val="nil"/>
        </w:pBdr>
        <w:shd w:val="clear" w:color="auto" w:fill="FFFFFF"/>
        <w:spacing w:after="0" w:line="240" w:lineRule="auto"/>
        <w:ind w:right="140"/>
        <w:jc w:val="both"/>
        <w:rPr>
          <w:rFonts w:ascii="Arial" w:eastAsia="Arial" w:hAnsi="Arial" w:cs="Arial"/>
          <w:color w:val="000000"/>
        </w:rPr>
      </w:pPr>
      <w:r>
        <w:rPr>
          <w:rFonts w:ascii="Arial" w:eastAsia="Arial" w:hAnsi="Arial" w:cs="Arial"/>
          <w:b/>
          <w:color w:val="000000"/>
          <w:sz w:val="24"/>
          <w:szCs w:val="24"/>
        </w:rPr>
        <w:t>Ley 10 de 1990</w:t>
      </w:r>
      <w:r>
        <w:rPr>
          <w:rFonts w:ascii="Arial" w:eastAsia="Arial" w:hAnsi="Arial" w:cs="Arial"/>
          <w:color w:val="000000"/>
          <w:sz w:val="24"/>
          <w:szCs w:val="24"/>
        </w:rPr>
        <w:t xml:space="preserve">. “Por la cual se reorganiza el Sistema Nacional de Salud y se dictan otras disposiciones” </w:t>
      </w:r>
      <w:hyperlink r:id="rId12" w:anchor="1">
        <w:r>
          <w:rPr>
            <w:rFonts w:ascii="Arial" w:eastAsia="Arial" w:hAnsi="Arial" w:cs="Arial"/>
            <w:color w:val="000000"/>
            <w:sz w:val="24"/>
            <w:szCs w:val="24"/>
          </w:rPr>
          <w:t>Reglamentada parcialmente por el Decreto Nacional 800 de 2003</w:t>
        </w:r>
      </w:hyperlink>
      <w:r>
        <w:rPr>
          <w:rFonts w:ascii="Arial" w:eastAsia="Arial" w:hAnsi="Arial" w:cs="Arial"/>
          <w:color w:val="000000"/>
          <w:sz w:val="24"/>
          <w:szCs w:val="24"/>
        </w:rPr>
        <w:t>, </w:t>
      </w:r>
      <w:hyperlink r:id="rId13" w:anchor="36">
        <w:r>
          <w:rPr>
            <w:rFonts w:ascii="Arial" w:eastAsia="Arial" w:hAnsi="Arial" w:cs="Arial"/>
            <w:color w:val="000000"/>
            <w:sz w:val="24"/>
            <w:szCs w:val="24"/>
          </w:rPr>
          <w:t>Modificada por el art. 36, Decreto Nacional 126 de 2010</w:t>
        </w:r>
      </w:hyperlink>
      <w:r>
        <w:rPr>
          <w:rFonts w:ascii="Arial" w:eastAsia="Arial" w:hAnsi="Arial" w:cs="Arial"/>
          <w:color w:val="000000"/>
          <w:sz w:val="24"/>
          <w:szCs w:val="24"/>
        </w:rPr>
        <w:t>, r</w:t>
      </w:r>
      <w:hyperlink r:id="rId14" w:anchor="1570">
        <w:r>
          <w:rPr>
            <w:rFonts w:ascii="Arial" w:eastAsia="Arial" w:hAnsi="Arial" w:cs="Arial"/>
            <w:color w:val="000000"/>
            <w:sz w:val="24"/>
            <w:szCs w:val="24"/>
          </w:rPr>
          <w:t>eglamentado parcialmente por el Decreto 1570 de 1993</w:t>
        </w:r>
      </w:hyperlink>
      <w:r>
        <w:rPr>
          <w:rFonts w:ascii="Arial" w:eastAsia="Arial" w:hAnsi="Arial" w:cs="Arial"/>
          <w:color w:val="000000"/>
          <w:sz w:val="24"/>
          <w:szCs w:val="24"/>
        </w:rPr>
        <w:t>, </w:t>
      </w:r>
      <w:hyperlink r:id="rId15" w:anchor="559">
        <w:r>
          <w:rPr>
            <w:rFonts w:ascii="Arial" w:eastAsia="Arial" w:hAnsi="Arial" w:cs="Arial"/>
            <w:color w:val="000000"/>
            <w:sz w:val="24"/>
            <w:szCs w:val="24"/>
          </w:rPr>
          <w:t>Reglamentado parcialmente por el Decreto 559 de 1991</w:t>
        </w:r>
      </w:hyperlink>
      <w:r>
        <w:rPr>
          <w:rFonts w:ascii="Arial" w:eastAsia="Arial" w:hAnsi="Arial" w:cs="Arial"/>
          <w:color w:val="000000"/>
          <w:sz w:val="24"/>
          <w:szCs w:val="24"/>
        </w:rPr>
        <w:t>, </w:t>
      </w:r>
      <w:hyperlink r:id="rId16" w:anchor="36">
        <w:r>
          <w:rPr>
            <w:rFonts w:ascii="Arial" w:eastAsia="Arial" w:hAnsi="Arial" w:cs="Arial"/>
            <w:color w:val="000000"/>
            <w:sz w:val="24"/>
            <w:szCs w:val="24"/>
          </w:rPr>
          <w:t>Modificado en lo pertinente por el Artículo 36 del Decreto 126 de 2010</w:t>
        </w:r>
      </w:hyperlink>
      <w:r>
        <w:rPr>
          <w:rFonts w:ascii="Arial" w:eastAsia="Arial" w:hAnsi="Arial" w:cs="Arial"/>
          <w:color w:val="000000"/>
          <w:sz w:val="24"/>
          <w:szCs w:val="24"/>
        </w:rPr>
        <w:t>, </w:t>
      </w:r>
      <w:hyperlink r:id="rId17" w:anchor="87">
        <w:r>
          <w:rPr>
            <w:rFonts w:ascii="Arial" w:eastAsia="Arial" w:hAnsi="Arial" w:cs="Arial"/>
            <w:color w:val="000000"/>
            <w:sz w:val="24"/>
            <w:szCs w:val="24"/>
          </w:rPr>
          <w:t>Derogado en lo pertinente por el Artículo 87 Ley 443 de 1998</w:t>
        </w:r>
      </w:hyperlink>
      <w:r>
        <w:rPr>
          <w:rFonts w:ascii="Arial" w:eastAsia="Arial" w:hAnsi="Arial" w:cs="Arial"/>
          <w:color w:val="000000"/>
          <w:sz w:val="24"/>
          <w:szCs w:val="24"/>
        </w:rPr>
        <w:t>, </w:t>
      </w:r>
      <w:hyperlink r:id="rId18" w:anchor="87">
        <w:r>
          <w:rPr>
            <w:rFonts w:ascii="Arial" w:eastAsia="Arial" w:hAnsi="Arial" w:cs="Arial"/>
            <w:color w:val="000000"/>
            <w:sz w:val="24"/>
            <w:szCs w:val="24"/>
          </w:rPr>
          <w:t>Modificado en lo pertinente por el Artículo 87 de la Ley 443 de 1998.</w:t>
        </w:r>
      </w:hyperlink>
    </w:p>
    <w:p w:rsidR="009B358E" w:rsidRDefault="009B358E">
      <w:pPr>
        <w:widowControl w:val="0"/>
        <w:pBdr>
          <w:top w:val="nil"/>
          <w:left w:val="nil"/>
          <w:bottom w:val="nil"/>
          <w:right w:val="nil"/>
          <w:between w:val="nil"/>
        </w:pBdr>
        <w:shd w:val="clear" w:color="auto" w:fill="FFFFFF"/>
        <w:spacing w:after="0" w:line="240" w:lineRule="auto"/>
        <w:ind w:left="2160" w:right="140"/>
        <w:jc w:val="both"/>
        <w:rPr>
          <w:rFonts w:ascii="Arial" w:eastAsia="Arial" w:hAnsi="Arial" w:cs="Arial"/>
          <w:color w:val="000000"/>
        </w:rPr>
      </w:pPr>
    </w:p>
    <w:p w:rsidR="009B358E" w:rsidRDefault="00393FF3">
      <w:pPr>
        <w:widowControl w:val="0"/>
        <w:numPr>
          <w:ilvl w:val="2"/>
          <w:numId w:val="7"/>
        </w:numPr>
        <w:pBdr>
          <w:top w:val="nil"/>
          <w:left w:val="nil"/>
          <w:bottom w:val="nil"/>
          <w:right w:val="nil"/>
          <w:between w:val="nil"/>
        </w:pBdr>
        <w:spacing w:after="0" w:line="240" w:lineRule="auto"/>
        <w:ind w:right="138"/>
        <w:jc w:val="both"/>
        <w:rPr>
          <w:rFonts w:ascii="Arial" w:eastAsia="Arial" w:hAnsi="Arial" w:cs="Arial"/>
          <w:color w:val="000000"/>
          <w:sz w:val="24"/>
          <w:szCs w:val="24"/>
        </w:rPr>
      </w:pPr>
      <w:r>
        <w:rPr>
          <w:rFonts w:ascii="Arial" w:eastAsia="Arial" w:hAnsi="Arial" w:cs="Arial"/>
          <w:b/>
          <w:color w:val="000000"/>
          <w:sz w:val="24"/>
          <w:szCs w:val="24"/>
        </w:rPr>
        <w:t xml:space="preserve">Ley 100 de 1993. </w:t>
      </w:r>
      <w:r>
        <w:rPr>
          <w:rFonts w:ascii="Arial" w:eastAsia="Arial" w:hAnsi="Arial" w:cs="Arial"/>
          <w:color w:val="000000"/>
          <w:sz w:val="24"/>
          <w:szCs w:val="24"/>
        </w:rPr>
        <w:t>“Por la cual se crea el sistema de seguridad social integral y se dictan otras disposiciones”</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numPr>
          <w:ilvl w:val="2"/>
          <w:numId w:val="3"/>
        </w:numPr>
        <w:pBdr>
          <w:top w:val="nil"/>
          <w:left w:val="nil"/>
          <w:bottom w:val="nil"/>
          <w:right w:val="nil"/>
          <w:between w:val="nil"/>
        </w:pBdr>
        <w:spacing w:before="1" w:after="0" w:line="240" w:lineRule="auto"/>
        <w:ind w:right="141"/>
        <w:jc w:val="both"/>
        <w:rPr>
          <w:rFonts w:ascii="Arial" w:eastAsia="Arial" w:hAnsi="Arial" w:cs="Arial"/>
          <w:color w:val="000000"/>
          <w:sz w:val="24"/>
          <w:szCs w:val="24"/>
        </w:rPr>
      </w:pPr>
      <w:r>
        <w:rPr>
          <w:rFonts w:ascii="Arial" w:eastAsia="Arial" w:hAnsi="Arial" w:cs="Arial"/>
          <w:b/>
          <w:color w:val="000000"/>
          <w:sz w:val="24"/>
          <w:szCs w:val="24"/>
        </w:rPr>
        <w:t>Ley 344 de 1996</w:t>
      </w:r>
      <w:r>
        <w:rPr>
          <w:rFonts w:ascii="Arial" w:eastAsia="Arial" w:hAnsi="Arial" w:cs="Arial"/>
          <w:color w:val="000000"/>
          <w:sz w:val="24"/>
          <w:szCs w:val="24"/>
        </w:rPr>
        <w:t xml:space="preserve">. “Por la cual se dictan normas tendientes a la racionalización del gasto público, se conceden unas facultades extraordinarias y se expiden otras disposiciones” </w:t>
      </w:r>
      <w:hyperlink r:id="rId19" w:anchor="1">
        <w:r>
          <w:rPr>
            <w:rFonts w:ascii="Arial" w:eastAsia="Arial" w:hAnsi="Arial" w:cs="Arial"/>
            <w:color w:val="000000"/>
            <w:sz w:val="24"/>
            <w:szCs w:val="24"/>
          </w:rPr>
          <w:t>Reglamentada Parcialmente por el Decreto Nacional 1267 de 2001</w:t>
        </w:r>
      </w:hyperlink>
      <w:r>
        <w:rPr>
          <w:rFonts w:ascii="Arial" w:eastAsia="Arial" w:hAnsi="Arial" w:cs="Arial"/>
          <w:color w:val="000000"/>
          <w:sz w:val="24"/>
          <w:szCs w:val="24"/>
        </w:rPr>
        <w:t>.</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numPr>
          <w:ilvl w:val="2"/>
          <w:numId w:val="3"/>
        </w:numPr>
        <w:pBdr>
          <w:top w:val="nil"/>
          <w:left w:val="nil"/>
          <w:bottom w:val="nil"/>
          <w:right w:val="nil"/>
          <w:between w:val="nil"/>
        </w:pBdr>
        <w:spacing w:after="0" w:line="240" w:lineRule="auto"/>
        <w:ind w:right="142"/>
        <w:jc w:val="both"/>
        <w:rPr>
          <w:rFonts w:ascii="Arial" w:eastAsia="Arial" w:hAnsi="Arial" w:cs="Arial"/>
          <w:color w:val="000000"/>
          <w:sz w:val="24"/>
          <w:szCs w:val="24"/>
        </w:rPr>
      </w:pPr>
      <w:r>
        <w:rPr>
          <w:rFonts w:ascii="Arial" w:eastAsia="Arial" w:hAnsi="Arial" w:cs="Arial"/>
          <w:b/>
          <w:color w:val="000000"/>
          <w:sz w:val="24"/>
          <w:szCs w:val="24"/>
        </w:rPr>
        <w:t>Ley 489 de 1998</w:t>
      </w:r>
      <w:r>
        <w:rPr>
          <w:rFonts w:ascii="Arial" w:eastAsia="Arial" w:hAnsi="Arial" w:cs="Arial"/>
          <w:color w:val="000000"/>
          <w:sz w:val="24"/>
          <w:szCs w:val="24"/>
        </w:rPr>
        <w:t>.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p w:rsidR="009B358E" w:rsidRDefault="009B358E">
      <w:pPr>
        <w:widowControl w:val="0"/>
        <w:pBdr>
          <w:top w:val="nil"/>
          <w:left w:val="nil"/>
          <w:bottom w:val="nil"/>
          <w:right w:val="nil"/>
          <w:between w:val="nil"/>
        </w:pBdr>
        <w:spacing w:after="0" w:line="240" w:lineRule="auto"/>
        <w:ind w:left="2160" w:right="142"/>
        <w:jc w:val="both"/>
        <w:rPr>
          <w:rFonts w:ascii="Arial" w:eastAsia="Arial" w:hAnsi="Arial" w:cs="Arial"/>
          <w:color w:val="000000"/>
          <w:sz w:val="24"/>
          <w:szCs w:val="24"/>
        </w:rPr>
      </w:pPr>
    </w:p>
    <w:p w:rsidR="009B358E" w:rsidRDefault="00393FF3">
      <w:pPr>
        <w:widowControl w:val="0"/>
        <w:numPr>
          <w:ilvl w:val="2"/>
          <w:numId w:val="3"/>
        </w:numPr>
        <w:pBdr>
          <w:top w:val="nil"/>
          <w:left w:val="nil"/>
          <w:bottom w:val="nil"/>
          <w:right w:val="nil"/>
          <w:between w:val="nil"/>
        </w:pBdr>
        <w:spacing w:after="0" w:line="240" w:lineRule="auto"/>
        <w:ind w:right="142"/>
        <w:jc w:val="both"/>
        <w:rPr>
          <w:rFonts w:ascii="Arial" w:eastAsia="Arial" w:hAnsi="Arial" w:cs="Arial"/>
          <w:b/>
          <w:color w:val="000000"/>
          <w:sz w:val="24"/>
          <w:szCs w:val="24"/>
        </w:rPr>
      </w:pPr>
      <w:r>
        <w:rPr>
          <w:rFonts w:ascii="Arial" w:eastAsia="Arial" w:hAnsi="Arial" w:cs="Arial"/>
          <w:b/>
          <w:color w:val="000000"/>
          <w:sz w:val="24"/>
          <w:szCs w:val="24"/>
        </w:rPr>
        <w:t>LEY 1751 2015</w:t>
      </w:r>
      <w:r>
        <w:rPr>
          <w:rFonts w:ascii="Arial" w:eastAsia="Arial" w:hAnsi="Arial" w:cs="Arial"/>
          <w:color w:val="000000"/>
          <w:sz w:val="24"/>
          <w:szCs w:val="24"/>
        </w:rPr>
        <w:t xml:space="preserve">. “Por medio de la cual se regula el derecho fundamental a la salud y se dictan otras disposiciones”. Norma que compila y regula la </w:t>
      </w:r>
      <w:r>
        <w:rPr>
          <w:rFonts w:ascii="Arial" w:eastAsia="Arial" w:hAnsi="Arial" w:cs="Arial"/>
          <w:color w:val="000000"/>
          <w:sz w:val="24"/>
          <w:szCs w:val="24"/>
        </w:rPr>
        <w:lastRenderedPageBreak/>
        <w:t xml:space="preserve">obligatoriedad en cuanto a que el sistema garantizará el derecho fundamental a la salud a través de la prestación de servicios y tecnologías, estructurados sobre una concepción integral de la salud, que incluya su promoción, la prevención, la paliación, la atención de la enfermedad y rehabilitación de sus secuelas. </w:t>
      </w:r>
    </w:p>
    <w:p w:rsidR="009B358E" w:rsidRDefault="009B358E">
      <w:pPr>
        <w:widowControl w:val="0"/>
        <w:pBdr>
          <w:top w:val="nil"/>
          <w:left w:val="nil"/>
          <w:bottom w:val="nil"/>
          <w:right w:val="nil"/>
          <w:between w:val="nil"/>
        </w:pBdr>
        <w:spacing w:after="0" w:line="240" w:lineRule="auto"/>
        <w:ind w:left="2160" w:right="142"/>
        <w:jc w:val="both"/>
        <w:rPr>
          <w:rFonts w:ascii="Arial" w:eastAsia="Arial" w:hAnsi="Arial" w:cs="Arial"/>
          <w:b/>
          <w:color w:val="000000"/>
          <w:sz w:val="24"/>
          <w:szCs w:val="24"/>
        </w:rPr>
      </w:pPr>
    </w:p>
    <w:p w:rsidR="009B358E" w:rsidRDefault="00393FF3">
      <w:pPr>
        <w:widowControl w:val="0"/>
        <w:pBdr>
          <w:top w:val="nil"/>
          <w:left w:val="nil"/>
          <w:bottom w:val="nil"/>
          <w:right w:val="nil"/>
          <w:between w:val="nil"/>
        </w:pBdr>
        <w:spacing w:after="0" w:line="240" w:lineRule="auto"/>
        <w:ind w:left="2160"/>
        <w:jc w:val="both"/>
        <w:rPr>
          <w:rFonts w:ascii="Arial" w:eastAsia="Arial" w:hAnsi="Arial" w:cs="Arial"/>
          <w:color w:val="000000"/>
          <w:sz w:val="24"/>
          <w:szCs w:val="24"/>
        </w:rPr>
      </w:pPr>
      <w:r>
        <w:rPr>
          <w:rFonts w:ascii="Arial" w:eastAsia="Arial" w:hAnsi="Arial" w:cs="Arial"/>
          <w:color w:val="000000"/>
          <w:sz w:val="24"/>
          <w:szCs w:val="24"/>
        </w:rPr>
        <w:t>NOTA:   En la referida norma, se define el Principio de Integralidad así: ARTÍCULO 5o. OBLIGACIONES DEL ESTADO i) Adoptar la regulación y las políticas indispensables para financiar de manera sostenible los servicios de salud y garantizar el flujo de los recursos para atender de manera oportuna y suficiente las necesidades en salud de la población</w:t>
      </w:r>
    </w:p>
    <w:p w:rsidR="009B358E" w:rsidRDefault="00393FF3">
      <w:pPr>
        <w:shd w:val="clear" w:color="auto" w:fill="FFFFFF"/>
        <w:spacing w:before="280"/>
        <w:ind w:left="2124"/>
        <w:jc w:val="both"/>
        <w:rPr>
          <w:rFonts w:ascii="Arial" w:eastAsia="Arial" w:hAnsi="Arial" w:cs="Arial"/>
        </w:rPr>
      </w:pPr>
      <w:r>
        <w:rPr>
          <w:rFonts w:ascii="Arial" w:eastAsia="Arial" w:hAnsi="Arial" w:cs="Arial"/>
          <w:b/>
          <w:color w:val="333333"/>
          <w:sz w:val="25"/>
          <w:szCs w:val="25"/>
        </w:rPr>
        <w:t>LEY 1797 DE 2016 “</w:t>
      </w:r>
      <w:r>
        <w:rPr>
          <w:rFonts w:ascii="Arial" w:eastAsia="Arial" w:hAnsi="Arial" w:cs="Arial"/>
          <w:sz w:val="24"/>
          <w:szCs w:val="24"/>
        </w:rPr>
        <w:t>Por la cual se dictan disposiciones que regulan la Operación del Sistema General de Seguridad Social en Salud y se dictan otras disposiciones.”</w:t>
      </w:r>
    </w:p>
    <w:p w:rsidR="009B358E" w:rsidRDefault="009B358E">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rsidR="009B358E" w:rsidRDefault="00393FF3">
      <w:pPr>
        <w:pStyle w:val="Ttulo2"/>
        <w:ind w:left="2160"/>
      </w:pPr>
      <w:r>
        <w:t>Decretos:</w:t>
      </w:r>
    </w:p>
    <w:p w:rsidR="009B358E" w:rsidRDefault="009B358E">
      <w:pPr>
        <w:widowControl w:val="0"/>
        <w:pBdr>
          <w:top w:val="nil"/>
          <w:left w:val="nil"/>
          <w:bottom w:val="nil"/>
          <w:right w:val="nil"/>
          <w:between w:val="nil"/>
        </w:pBdr>
        <w:spacing w:after="0" w:line="240" w:lineRule="auto"/>
        <w:rPr>
          <w:rFonts w:ascii="Arial" w:eastAsia="Arial" w:hAnsi="Arial" w:cs="Arial"/>
          <w:b/>
          <w:color w:val="000000"/>
          <w:sz w:val="24"/>
          <w:szCs w:val="24"/>
        </w:rPr>
      </w:pPr>
    </w:p>
    <w:p w:rsidR="009B358E" w:rsidRDefault="00393FF3">
      <w:pPr>
        <w:widowControl w:val="0"/>
        <w:numPr>
          <w:ilvl w:val="2"/>
          <w:numId w:val="3"/>
        </w:numPr>
        <w:pBdr>
          <w:top w:val="nil"/>
          <w:left w:val="nil"/>
          <w:bottom w:val="nil"/>
          <w:right w:val="nil"/>
          <w:between w:val="nil"/>
        </w:pBdr>
        <w:spacing w:after="0" w:line="240" w:lineRule="auto"/>
        <w:ind w:right="138"/>
        <w:jc w:val="both"/>
        <w:rPr>
          <w:rFonts w:ascii="Arial" w:eastAsia="Arial" w:hAnsi="Arial" w:cs="Arial"/>
          <w:color w:val="000000"/>
          <w:sz w:val="24"/>
          <w:szCs w:val="24"/>
        </w:rPr>
      </w:pPr>
      <w:r>
        <w:rPr>
          <w:rFonts w:ascii="Arial" w:eastAsia="Arial" w:hAnsi="Arial" w:cs="Arial"/>
          <w:b/>
          <w:color w:val="000000"/>
          <w:sz w:val="24"/>
          <w:szCs w:val="24"/>
        </w:rPr>
        <w:t>Decreto 1876 de 1994.</w:t>
      </w:r>
      <w:r>
        <w:rPr>
          <w:rFonts w:ascii="Arial" w:eastAsia="Arial" w:hAnsi="Arial" w:cs="Arial"/>
          <w:color w:val="000000"/>
          <w:sz w:val="24"/>
          <w:szCs w:val="24"/>
        </w:rPr>
        <w:t xml:space="preserve"> “Por el cual se reglamentan los artículos 96, 97 y 98 del Decreto Ley 1298 de 1994 en lo relacionado con las Empresas Sociales del Estado”</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widowControl w:val="0"/>
        <w:numPr>
          <w:ilvl w:val="2"/>
          <w:numId w:val="3"/>
        </w:numPr>
        <w:pBdr>
          <w:top w:val="nil"/>
          <w:left w:val="nil"/>
          <w:bottom w:val="nil"/>
          <w:right w:val="nil"/>
          <w:between w:val="nil"/>
        </w:pBdr>
        <w:spacing w:after="0" w:line="240" w:lineRule="auto"/>
        <w:ind w:right="140"/>
        <w:jc w:val="both"/>
        <w:rPr>
          <w:rFonts w:ascii="Arial" w:eastAsia="Arial" w:hAnsi="Arial" w:cs="Arial"/>
          <w:color w:val="000000"/>
          <w:sz w:val="24"/>
          <w:szCs w:val="24"/>
        </w:rPr>
      </w:pPr>
      <w:r>
        <w:rPr>
          <w:rFonts w:ascii="Arial" w:eastAsia="Arial" w:hAnsi="Arial" w:cs="Arial"/>
          <w:b/>
          <w:color w:val="000000"/>
          <w:sz w:val="24"/>
          <w:szCs w:val="24"/>
        </w:rPr>
        <w:t xml:space="preserve">Decreto 780 de 2016 y sus </w:t>
      </w:r>
      <w:r>
        <w:rPr>
          <w:rFonts w:ascii="Arial" w:eastAsia="Arial" w:hAnsi="Arial" w:cs="Arial"/>
          <w:b/>
          <w:color w:val="333333"/>
          <w:sz w:val="25"/>
          <w:szCs w:val="25"/>
          <w:highlight w:val="white"/>
        </w:rPr>
        <w:t>modificaciones introducidas al Decreto Único Reglamentario del Sector Salud y Protección Social</w:t>
      </w:r>
      <w:r>
        <w:rPr>
          <w:rFonts w:ascii="Arial" w:eastAsia="Arial" w:hAnsi="Arial" w:cs="Arial"/>
          <w:color w:val="000000"/>
          <w:sz w:val="24"/>
          <w:szCs w:val="24"/>
        </w:rPr>
        <w:t>. “Por medio del cual se expide el Decreto Único Reglamentario del Sector Salud y Protección Social”</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9B358E">
      <w:pPr>
        <w:widowControl w:val="0"/>
        <w:pBdr>
          <w:top w:val="nil"/>
          <w:left w:val="nil"/>
          <w:bottom w:val="nil"/>
          <w:right w:val="nil"/>
          <w:between w:val="nil"/>
        </w:pBdr>
        <w:spacing w:after="0" w:line="240" w:lineRule="auto"/>
        <w:ind w:left="2160"/>
        <w:jc w:val="both"/>
        <w:rPr>
          <w:rFonts w:ascii="Arial" w:eastAsia="Arial" w:hAnsi="Arial" w:cs="Arial"/>
          <w:b/>
          <w:color w:val="000000"/>
          <w:sz w:val="24"/>
          <w:szCs w:val="24"/>
        </w:rPr>
      </w:pPr>
    </w:p>
    <w:p w:rsidR="009B358E" w:rsidRDefault="00393FF3">
      <w:pPr>
        <w:widowControl w:val="0"/>
        <w:pBdr>
          <w:top w:val="nil"/>
          <w:left w:val="nil"/>
          <w:bottom w:val="nil"/>
          <w:right w:val="nil"/>
          <w:between w:val="nil"/>
        </w:pBdr>
        <w:spacing w:after="0" w:line="240" w:lineRule="auto"/>
        <w:ind w:left="2160"/>
        <w:jc w:val="both"/>
        <w:rPr>
          <w:rFonts w:ascii="Arial" w:eastAsia="Arial" w:hAnsi="Arial" w:cs="Arial"/>
          <w:b/>
          <w:color w:val="000000"/>
          <w:sz w:val="24"/>
          <w:szCs w:val="24"/>
        </w:rPr>
      </w:pPr>
      <w:r>
        <w:rPr>
          <w:rFonts w:ascii="Arial" w:eastAsia="Arial" w:hAnsi="Arial" w:cs="Arial"/>
          <w:b/>
          <w:color w:val="000000"/>
          <w:sz w:val="24"/>
          <w:szCs w:val="24"/>
        </w:rPr>
        <w:t>JURISPRUDENCIA</w:t>
      </w:r>
    </w:p>
    <w:p w:rsidR="009B358E" w:rsidRDefault="009B358E">
      <w:pPr>
        <w:widowControl w:val="0"/>
        <w:pBdr>
          <w:top w:val="nil"/>
          <w:left w:val="nil"/>
          <w:bottom w:val="nil"/>
          <w:right w:val="nil"/>
          <w:between w:val="nil"/>
        </w:pBdr>
        <w:spacing w:after="0" w:line="240" w:lineRule="auto"/>
        <w:ind w:left="2160"/>
        <w:jc w:val="both"/>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2160"/>
        <w:jc w:val="both"/>
        <w:rPr>
          <w:rFonts w:ascii="Arial" w:eastAsia="Arial" w:hAnsi="Arial" w:cs="Arial"/>
          <w:color w:val="000000"/>
          <w:sz w:val="24"/>
          <w:szCs w:val="24"/>
        </w:rPr>
      </w:pPr>
      <w:r>
        <w:rPr>
          <w:rFonts w:ascii="Arial" w:eastAsia="Arial" w:hAnsi="Arial" w:cs="Arial"/>
          <w:b/>
          <w:color w:val="000000"/>
          <w:sz w:val="24"/>
          <w:szCs w:val="24"/>
        </w:rPr>
        <w:t>SENTENCIA N° T-760 de 2008 CORTE CONSTITUCIONAL</w:t>
      </w:r>
    </w:p>
    <w:p w:rsidR="009B358E" w:rsidRDefault="009B358E">
      <w:pPr>
        <w:widowControl w:val="0"/>
        <w:pBdr>
          <w:top w:val="nil"/>
          <w:left w:val="nil"/>
          <w:bottom w:val="nil"/>
          <w:right w:val="nil"/>
          <w:between w:val="nil"/>
        </w:pBdr>
        <w:spacing w:after="0" w:line="240" w:lineRule="auto"/>
        <w:ind w:left="2160"/>
        <w:jc w:val="both"/>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2160"/>
        <w:jc w:val="both"/>
        <w:rPr>
          <w:rFonts w:ascii="Arial" w:eastAsia="Arial" w:hAnsi="Arial" w:cs="Arial"/>
          <w:color w:val="000000"/>
          <w:sz w:val="24"/>
          <w:szCs w:val="24"/>
        </w:rPr>
      </w:pPr>
      <w:r>
        <w:rPr>
          <w:rFonts w:ascii="Arial" w:eastAsia="Arial" w:hAnsi="Arial" w:cs="Arial"/>
          <w:color w:val="000000"/>
          <w:sz w:val="24"/>
          <w:szCs w:val="24"/>
        </w:rPr>
        <w:t>La Sala Segunda de Revisión de la Corte Constitucional, en la que se reiteró que “el derecho a la salud es fundamental”. Ello no significa que sea absoluto. El derecho fundamental a la salud, comprende, entre otros, “el derecho a acceder a servicios de salud de manera oportuna, eficaz y con calidad.”</w:t>
      </w:r>
    </w:p>
    <w:p w:rsidR="009B358E" w:rsidRDefault="009B358E">
      <w:pPr>
        <w:widowControl w:val="0"/>
        <w:pBdr>
          <w:top w:val="nil"/>
          <w:left w:val="nil"/>
          <w:bottom w:val="nil"/>
          <w:right w:val="nil"/>
          <w:between w:val="nil"/>
        </w:pBdr>
        <w:spacing w:after="0" w:line="240" w:lineRule="auto"/>
        <w:ind w:left="2160"/>
        <w:jc w:val="both"/>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2160"/>
        <w:jc w:val="both"/>
        <w:rPr>
          <w:rFonts w:ascii="Arial" w:eastAsia="Arial" w:hAnsi="Arial" w:cs="Arial"/>
          <w:color w:val="000000"/>
          <w:sz w:val="24"/>
          <w:szCs w:val="24"/>
        </w:rPr>
      </w:pPr>
      <w:r>
        <w:rPr>
          <w:rFonts w:ascii="Arial" w:eastAsia="Arial" w:hAnsi="Arial" w:cs="Arial"/>
          <w:b/>
          <w:color w:val="000000"/>
          <w:sz w:val="24"/>
          <w:szCs w:val="24"/>
        </w:rPr>
        <w:t xml:space="preserve">C 313 - 2014 CORTE CONSTITUCIONAL </w:t>
      </w:r>
    </w:p>
    <w:p w:rsidR="009B358E" w:rsidRDefault="009B358E">
      <w:pPr>
        <w:widowControl w:val="0"/>
        <w:pBdr>
          <w:top w:val="nil"/>
          <w:left w:val="nil"/>
          <w:bottom w:val="nil"/>
          <w:right w:val="nil"/>
          <w:between w:val="nil"/>
        </w:pBdr>
        <w:spacing w:after="0" w:line="240" w:lineRule="auto"/>
        <w:ind w:left="2160"/>
        <w:jc w:val="both"/>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2160"/>
        <w:jc w:val="both"/>
        <w:rPr>
          <w:rFonts w:ascii="Arial" w:eastAsia="Arial" w:hAnsi="Arial" w:cs="Arial"/>
          <w:color w:val="000000"/>
          <w:sz w:val="24"/>
          <w:szCs w:val="24"/>
        </w:rPr>
      </w:pPr>
      <w:r>
        <w:rPr>
          <w:rFonts w:ascii="Arial" w:eastAsia="Arial" w:hAnsi="Arial" w:cs="Arial"/>
          <w:color w:val="000000"/>
          <w:sz w:val="24"/>
          <w:szCs w:val="24"/>
        </w:rPr>
        <w:t xml:space="preserve">Declaró EXEQUIBLE este artículo, "en el entendido que (i) la atribución del deber de adoptar mecanismos para la validación del derecho prevista en el </w:t>
      </w:r>
      <w:r>
        <w:rPr>
          <w:rFonts w:ascii="Arial" w:eastAsia="Arial" w:hAnsi="Arial" w:cs="Arial"/>
          <w:color w:val="000000"/>
          <w:sz w:val="24"/>
          <w:szCs w:val="24"/>
        </w:rPr>
        <w:lastRenderedPageBreak/>
        <w:t>literal d) no dará lugar a expedir normas que menoscaben el mecanismo de protección de los derechos fundamentales y (ii) la sostenibilidad financiera a que alude el literal i) no puede comprender la negación a prestar eficiente y oportunamente todos los servicios de salud debidos a cualquier usuario"</w:t>
      </w:r>
    </w:p>
    <w:p w:rsidR="009B358E" w:rsidRDefault="009B358E">
      <w:pPr>
        <w:pStyle w:val="Ttulo2"/>
        <w:ind w:firstLine="1561"/>
      </w:pPr>
    </w:p>
    <w:p w:rsidR="009B358E" w:rsidRDefault="009B358E">
      <w:pPr>
        <w:widowControl w:val="0"/>
        <w:pBdr>
          <w:top w:val="nil"/>
          <w:left w:val="nil"/>
          <w:bottom w:val="nil"/>
          <w:right w:val="nil"/>
          <w:between w:val="nil"/>
        </w:pBdr>
        <w:spacing w:before="24" w:after="0" w:line="240" w:lineRule="auto"/>
        <w:rPr>
          <w:rFonts w:ascii="Arial" w:eastAsia="Arial" w:hAnsi="Arial" w:cs="Arial"/>
          <w:i/>
          <w:color w:val="000000"/>
          <w:sz w:val="24"/>
          <w:szCs w:val="24"/>
        </w:rPr>
      </w:pPr>
    </w:p>
    <w:p w:rsidR="009B358E" w:rsidRDefault="00393FF3">
      <w:pPr>
        <w:widowControl w:val="0"/>
        <w:pBdr>
          <w:top w:val="nil"/>
          <w:left w:val="nil"/>
          <w:bottom w:val="nil"/>
          <w:right w:val="nil"/>
          <w:between w:val="nil"/>
        </w:pBdr>
        <w:spacing w:after="0" w:line="240" w:lineRule="auto"/>
        <w:ind w:left="1561" w:right="138"/>
        <w:jc w:val="both"/>
        <w:rPr>
          <w:rFonts w:ascii="Arial" w:eastAsia="Arial" w:hAnsi="Arial" w:cs="Arial"/>
          <w:b/>
          <w:color w:val="000000"/>
          <w:sz w:val="24"/>
          <w:szCs w:val="24"/>
        </w:rPr>
      </w:pPr>
      <w:r>
        <w:rPr>
          <w:rFonts w:ascii="Arial" w:eastAsia="Arial" w:hAnsi="Arial" w:cs="Arial"/>
          <w:b/>
          <w:color w:val="000000"/>
          <w:sz w:val="24"/>
          <w:szCs w:val="24"/>
        </w:rPr>
        <w:t>NORMATIVA EN MATERIA TRIBUTARIA</w:t>
      </w:r>
    </w:p>
    <w:p w:rsidR="009B358E" w:rsidRDefault="009B358E">
      <w:pPr>
        <w:widowControl w:val="0"/>
        <w:pBdr>
          <w:top w:val="nil"/>
          <w:left w:val="nil"/>
          <w:bottom w:val="nil"/>
          <w:right w:val="nil"/>
          <w:between w:val="nil"/>
        </w:pBdr>
        <w:spacing w:after="0" w:line="240" w:lineRule="auto"/>
        <w:ind w:left="1561" w:right="138"/>
        <w:jc w:val="both"/>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1561" w:right="138"/>
        <w:jc w:val="both"/>
        <w:rPr>
          <w:rFonts w:ascii="Arial" w:eastAsia="Arial" w:hAnsi="Arial" w:cs="Arial"/>
          <w:color w:val="000000"/>
          <w:sz w:val="24"/>
          <w:szCs w:val="24"/>
        </w:rPr>
      </w:pPr>
      <w:r>
        <w:rPr>
          <w:rFonts w:ascii="Arial" w:eastAsia="Arial" w:hAnsi="Arial" w:cs="Arial"/>
          <w:color w:val="000000"/>
          <w:sz w:val="24"/>
          <w:szCs w:val="24"/>
        </w:rPr>
        <w:t xml:space="preserve">En lo que refiere la competencia y atribuciones en materia tributaria, es de precisar </w:t>
      </w:r>
      <w:proofErr w:type="gramStart"/>
      <w:r>
        <w:rPr>
          <w:rFonts w:ascii="Arial" w:eastAsia="Arial" w:hAnsi="Arial" w:cs="Arial"/>
          <w:color w:val="000000"/>
          <w:sz w:val="24"/>
          <w:szCs w:val="24"/>
        </w:rPr>
        <w:t>que</w:t>
      </w:r>
      <w:proofErr w:type="gramEnd"/>
      <w:r>
        <w:rPr>
          <w:rFonts w:ascii="Arial" w:eastAsia="Arial" w:hAnsi="Arial" w:cs="Arial"/>
          <w:color w:val="000000"/>
          <w:sz w:val="24"/>
          <w:szCs w:val="24"/>
        </w:rPr>
        <w:t xml:space="preserve"> bajo el principio de legalidad y autonomía de las entidades territoriales en materia tributaria, se encuentran múltiples pronunciamientos, sin embargo, es importante señalar que constitucionalmente, dicha facultad se encuentra reglada en el artículo 338 que a su letra dice:</w:t>
      </w:r>
    </w:p>
    <w:p w:rsidR="009B358E" w:rsidRDefault="009B358E">
      <w:pPr>
        <w:widowControl w:val="0"/>
        <w:pBdr>
          <w:top w:val="nil"/>
          <w:left w:val="nil"/>
          <w:bottom w:val="nil"/>
          <w:right w:val="nil"/>
          <w:between w:val="nil"/>
        </w:pBdr>
        <w:spacing w:after="0" w:line="240" w:lineRule="auto"/>
        <w:ind w:left="1561" w:right="138"/>
        <w:jc w:val="both"/>
        <w:rPr>
          <w:rFonts w:ascii="Arial" w:eastAsia="Arial" w:hAnsi="Arial" w:cs="Arial"/>
          <w:color w:val="000000"/>
          <w:sz w:val="24"/>
          <w:szCs w:val="24"/>
        </w:rPr>
      </w:pPr>
    </w:p>
    <w:p w:rsidR="009B358E" w:rsidRDefault="00393FF3">
      <w:pPr>
        <w:widowControl w:val="0"/>
        <w:pBdr>
          <w:top w:val="nil"/>
          <w:left w:val="nil"/>
          <w:bottom w:val="nil"/>
          <w:right w:val="nil"/>
          <w:between w:val="nil"/>
        </w:pBdr>
        <w:spacing w:after="0" w:line="240" w:lineRule="auto"/>
        <w:ind w:left="1561" w:right="138"/>
        <w:jc w:val="both"/>
        <w:rPr>
          <w:rFonts w:ascii="Arial" w:eastAsia="Arial" w:hAnsi="Arial" w:cs="Arial"/>
          <w:i/>
          <w:color w:val="000000"/>
          <w:sz w:val="20"/>
          <w:szCs w:val="20"/>
        </w:rPr>
      </w:pPr>
      <w:r>
        <w:rPr>
          <w:rFonts w:ascii="Arial" w:eastAsia="Arial" w:hAnsi="Arial" w:cs="Arial"/>
          <w:color w:val="000000"/>
          <w:sz w:val="24"/>
          <w:szCs w:val="24"/>
        </w:rPr>
        <w:t xml:space="preserve"> “</w:t>
      </w:r>
      <w:r>
        <w:rPr>
          <w:rFonts w:ascii="Arial" w:eastAsia="Arial" w:hAnsi="Arial" w:cs="Arial"/>
          <w:i/>
          <w:color w:val="000000"/>
          <w:sz w:val="20"/>
          <w:szCs w:val="20"/>
        </w:rPr>
        <w:t>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 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 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p>
    <w:p w:rsidR="009B358E" w:rsidRDefault="009B358E">
      <w:pPr>
        <w:widowControl w:val="0"/>
        <w:pBdr>
          <w:top w:val="nil"/>
          <w:left w:val="nil"/>
          <w:bottom w:val="nil"/>
          <w:right w:val="nil"/>
          <w:between w:val="nil"/>
        </w:pBdr>
        <w:spacing w:after="0" w:line="240" w:lineRule="auto"/>
        <w:ind w:left="1561" w:right="138"/>
        <w:jc w:val="both"/>
        <w:rPr>
          <w:rFonts w:ascii="Arial" w:eastAsia="Arial" w:hAnsi="Arial" w:cs="Arial"/>
          <w:i/>
          <w:color w:val="000000"/>
          <w:sz w:val="20"/>
          <w:szCs w:val="20"/>
        </w:rPr>
      </w:pPr>
    </w:p>
    <w:p w:rsidR="009B358E" w:rsidRDefault="00393FF3">
      <w:pPr>
        <w:widowControl w:val="0"/>
        <w:pBdr>
          <w:top w:val="nil"/>
          <w:left w:val="nil"/>
          <w:bottom w:val="nil"/>
          <w:right w:val="nil"/>
          <w:between w:val="nil"/>
        </w:pBdr>
        <w:spacing w:after="0" w:line="240" w:lineRule="auto"/>
        <w:ind w:left="708" w:firstLine="708"/>
        <w:jc w:val="both"/>
        <w:rPr>
          <w:rFonts w:ascii="Arial" w:eastAsia="Arial" w:hAnsi="Arial" w:cs="Arial"/>
          <w:color w:val="000000"/>
          <w:sz w:val="24"/>
          <w:szCs w:val="24"/>
        </w:rPr>
      </w:pPr>
      <w:r>
        <w:rPr>
          <w:rFonts w:ascii="Arial" w:eastAsia="Arial" w:hAnsi="Arial" w:cs="Arial"/>
          <w:color w:val="000000"/>
          <w:sz w:val="24"/>
          <w:szCs w:val="24"/>
        </w:rPr>
        <w:t>Sentencia C 768 de 2010 manifestó:</w:t>
      </w:r>
    </w:p>
    <w:p w:rsidR="009B358E" w:rsidRDefault="009B358E">
      <w:pPr>
        <w:widowControl w:val="0"/>
        <w:pBdr>
          <w:top w:val="nil"/>
          <w:left w:val="nil"/>
          <w:bottom w:val="nil"/>
          <w:right w:val="nil"/>
          <w:between w:val="nil"/>
        </w:pBdr>
        <w:spacing w:after="0" w:line="240" w:lineRule="auto"/>
        <w:rPr>
          <w:rFonts w:ascii="Arial" w:eastAsia="Arial" w:hAnsi="Arial" w:cs="Arial"/>
          <w:color w:val="000000"/>
          <w:sz w:val="24"/>
          <w:szCs w:val="24"/>
        </w:rPr>
      </w:pPr>
    </w:p>
    <w:p w:rsidR="009B358E" w:rsidRDefault="00393FF3">
      <w:pPr>
        <w:ind w:left="1416" w:right="142"/>
        <w:jc w:val="both"/>
        <w:rPr>
          <w:rFonts w:ascii="Arial" w:eastAsia="Arial" w:hAnsi="Arial" w:cs="Arial"/>
          <w:sz w:val="24"/>
          <w:szCs w:val="24"/>
        </w:rPr>
      </w:pPr>
      <w:r>
        <w:rPr>
          <w:rFonts w:ascii="Arial" w:eastAsia="Arial" w:hAnsi="Arial" w:cs="Arial"/>
          <w:sz w:val="24"/>
          <w:szCs w:val="24"/>
        </w:rPr>
        <w:t>Las estampillas han sido definidas por la jurisprudencia del Consejo de Estado como tributos dentro de la especie de “tasas parafiscales”, en la medida en que participan de la naturaleza de las contribuciones parafiscales, pues constituyen un gravamen cuyo pago obligatorio deben realizar los usuarios de algunas operaciones o actividades que se realizan frente a organismos de carácter público; son de carácter excepcional en cuanto al sujeto pasivo del tributo; los recursos se revierten en beneficio de un sector específico; y están destinados a sufragar gastos en que incurran las entidades que desarrollan o prestan un servicio público, como función propia del Estado”.</w:t>
      </w:r>
    </w:p>
    <w:p w:rsidR="009B358E" w:rsidRDefault="009B358E">
      <w:pPr>
        <w:widowControl w:val="0"/>
        <w:pBdr>
          <w:top w:val="nil"/>
          <w:left w:val="nil"/>
          <w:bottom w:val="nil"/>
          <w:right w:val="nil"/>
          <w:between w:val="nil"/>
        </w:pBdr>
        <w:spacing w:after="0" w:line="240" w:lineRule="auto"/>
        <w:ind w:left="1561" w:right="138"/>
        <w:jc w:val="both"/>
        <w:rPr>
          <w:rFonts w:ascii="Arial" w:eastAsia="Arial" w:hAnsi="Arial" w:cs="Arial"/>
          <w:i/>
          <w:color w:val="000000"/>
          <w:sz w:val="20"/>
          <w:szCs w:val="20"/>
        </w:rPr>
      </w:pPr>
    </w:p>
    <w:p w:rsidR="009B358E" w:rsidRDefault="009B358E">
      <w:pPr>
        <w:widowControl w:val="0"/>
        <w:pBdr>
          <w:top w:val="nil"/>
          <w:left w:val="nil"/>
          <w:bottom w:val="nil"/>
          <w:right w:val="nil"/>
          <w:between w:val="nil"/>
        </w:pBdr>
        <w:spacing w:after="0" w:line="240" w:lineRule="auto"/>
        <w:ind w:left="1561" w:right="138"/>
        <w:jc w:val="both"/>
        <w:rPr>
          <w:rFonts w:ascii="Arial" w:eastAsia="Arial" w:hAnsi="Arial" w:cs="Arial"/>
          <w:i/>
          <w:color w:val="000000"/>
          <w:sz w:val="20"/>
          <w:szCs w:val="20"/>
        </w:rPr>
      </w:pPr>
    </w:p>
    <w:p w:rsidR="009B358E" w:rsidRDefault="009B358E">
      <w:pPr>
        <w:widowControl w:val="0"/>
        <w:pBdr>
          <w:top w:val="nil"/>
          <w:left w:val="nil"/>
          <w:bottom w:val="nil"/>
          <w:right w:val="nil"/>
          <w:between w:val="nil"/>
        </w:pBdr>
        <w:spacing w:after="0" w:line="240" w:lineRule="auto"/>
        <w:rPr>
          <w:rFonts w:ascii="Arial" w:eastAsia="Arial" w:hAnsi="Arial" w:cs="Arial"/>
          <w:i/>
          <w:color w:val="000000"/>
          <w:sz w:val="20"/>
          <w:szCs w:val="20"/>
        </w:rPr>
      </w:pPr>
    </w:p>
    <w:p w:rsidR="009B358E" w:rsidRDefault="00393FF3">
      <w:pPr>
        <w:pStyle w:val="Ttulo1"/>
        <w:numPr>
          <w:ilvl w:val="0"/>
          <w:numId w:val="9"/>
        </w:numPr>
        <w:tabs>
          <w:tab w:val="left" w:pos="2279"/>
        </w:tabs>
        <w:spacing w:line="448" w:lineRule="auto"/>
        <w:ind w:right="4402"/>
      </w:pPr>
      <w:r>
        <w:t>COMPETENCIA DEL CONGRESO. CONSTITUCIONAL:</w:t>
      </w:r>
    </w:p>
    <w:p w:rsidR="009B358E" w:rsidRDefault="00393FF3">
      <w:pPr>
        <w:widowControl w:val="0"/>
        <w:pBdr>
          <w:top w:val="nil"/>
          <w:left w:val="nil"/>
          <w:bottom w:val="nil"/>
          <w:right w:val="nil"/>
          <w:between w:val="nil"/>
        </w:pBdr>
        <w:spacing w:before="3" w:after="0" w:line="276" w:lineRule="auto"/>
        <w:ind w:left="2124" w:right="139"/>
        <w:jc w:val="both"/>
        <w:rPr>
          <w:rFonts w:ascii="Arial" w:eastAsia="Arial" w:hAnsi="Arial" w:cs="Arial"/>
          <w:color w:val="000000"/>
          <w:sz w:val="24"/>
          <w:szCs w:val="24"/>
        </w:rPr>
      </w:pPr>
      <w:r>
        <w:rPr>
          <w:rFonts w:ascii="Arial" w:eastAsia="Arial" w:hAnsi="Arial" w:cs="Arial"/>
          <w:b/>
          <w:color w:val="000000"/>
          <w:sz w:val="24"/>
          <w:szCs w:val="24"/>
        </w:rPr>
        <w:lastRenderedPageBreak/>
        <w:t>ARTÍCULO 114</w:t>
      </w:r>
      <w:r>
        <w:rPr>
          <w:rFonts w:ascii="Arial" w:eastAsia="Arial" w:hAnsi="Arial" w:cs="Arial"/>
          <w:color w:val="000000"/>
          <w:sz w:val="24"/>
          <w:szCs w:val="24"/>
        </w:rPr>
        <w:t>. Corresponde al Congreso de la República reformar la Constitución, hacer las leyes y ejercer control político sobre el gobierno y la administración.</w:t>
      </w:r>
    </w:p>
    <w:p w:rsidR="009B358E" w:rsidRDefault="00393FF3">
      <w:pPr>
        <w:widowControl w:val="0"/>
        <w:pBdr>
          <w:top w:val="nil"/>
          <w:left w:val="nil"/>
          <w:bottom w:val="nil"/>
          <w:right w:val="nil"/>
          <w:between w:val="nil"/>
        </w:pBdr>
        <w:spacing w:before="200" w:after="0" w:line="276" w:lineRule="auto"/>
        <w:ind w:left="2124" w:right="143"/>
        <w:jc w:val="both"/>
        <w:rPr>
          <w:rFonts w:ascii="Arial" w:eastAsia="Arial" w:hAnsi="Arial" w:cs="Arial"/>
          <w:color w:val="000000"/>
          <w:sz w:val="24"/>
          <w:szCs w:val="24"/>
        </w:rPr>
      </w:pPr>
      <w:r>
        <w:rPr>
          <w:rFonts w:ascii="Arial" w:eastAsia="Arial" w:hAnsi="Arial" w:cs="Arial"/>
          <w:color w:val="000000"/>
          <w:sz w:val="24"/>
          <w:szCs w:val="24"/>
        </w:rPr>
        <w:t>El Congreso de la República, estará integrado por el Senado y la Cámara de Representantes:</w:t>
      </w:r>
    </w:p>
    <w:p w:rsidR="009B358E" w:rsidRDefault="00393FF3">
      <w:pPr>
        <w:widowControl w:val="0"/>
        <w:pBdr>
          <w:top w:val="nil"/>
          <w:left w:val="nil"/>
          <w:bottom w:val="nil"/>
          <w:right w:val="nil"/>
          <w:between w:val="nil"/>
        </w:pBdr>
        <w:spacing w:before="201" w:after="0" w:line="276" w:lineRule="auto"/>
        <w:ind w:left="2282" w:right="141"/>
        <w:jc w:val="both"/>
        <w:rPr>
          <w:rFonts w:ascii="Arial" w:eastAsia="Arial" w:hAnsi="Arial" w:cs="Arial"/>
          <w:color w:val="000000"/>
          <w:sz w:val="24"/>
          <w:szCs w:val="24"/>
        </w:rPr>
      </w:pPr>
      <w:r>
        <w:rPr>
          <w:rFonts w:ascii="Arial" w:eastAsia="Arial" w:hAnsi="Arial" w:cs="Arial"/>
          <w:b/>
          <w:color w:val="000000"/>
          <w:sz w:val="24"/>
          <w:szCs w:val="24"/>
        </w:rPr>
        <w:t xml:space="preserve">ARTÍCULO 150. </w:t>
      </w:r>
      <w:r>
        <w:rPr>
          <w:rFonts w:ascii="Arial" w:eastAsia="Arial" w:hAnsi="Arial" w:cs="Arial"/>
          <w:color w:val="000000"/>
          <w:sz w:val="24"/>
          <w:szCs w:val="24"/>
        </w:rPr>
        <w:t>Corresponde al Congreso hacer las leyes. Por medio de ellas ejerce las siguientes funciones:</w:t>
      </w:r>
    </w:p>
    <w:p w:rsidR="009B358E" w:rsidRDefault="009B358E">
      <w:pPr>
        <w:widowControl w:val="0"/>
        <w:pBdr>
          <w:top w:val="nil"/>
          <w:left w:val="nil"/>
          <w:bottom w:val="nil"/>
          <w:right w:val="nil"/>
          <w:between w:val="nil"/>
        </w:pBdr>
        <w:spacing w:before="41" w:after="0" w:line="240" w:lineRule="auto"/>
        <w:rPr>
          <w:rFonts w:ascii="Arial" w:eastAsia="Arial" w:hAnsi="Arial" w:cs="Arial"/>
          <w:color w:val="000000"/>
          <w:sz w:val="24"/>
          <w:szCs w:val="24"/>
        </w:rPr>
      </w:pPr>
    </w:p>
    <w:p w:rsidR="009B358E" w:rsidRDefault="00393FF3">
      <w:pPr>
        <w:widowControl w:val="0"/>
        <w:numPr>
          <w:ilvl w:val="3"/>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Interpretar, reformar y derogar las leyes.</w:t>
      </w:r>
    </w:p>
    <w:p w:rsidR="009B358E" w:rsidRDefault="009B358E">
      <w:pPr>
        <w:widowControl w:val="0"/>
        <w:pBdr>
          <w:top w:val="nil"/>
          <w:left w:val="nil"/>
          <w:bottom w:val="nil"/>
          <w:right w:val="nil"/>
          <w:between w:val="nil"/>
        </w:pBdr>
        <w:spacing w:before="82" w:after="0" w:line="240" w:lineRule="auto"/>
        <w:rPr>
          <w:rFonts w:ascii="Arial" w:eastAsia="Arial" w:hAnsi="Arial" w:cs="Arial"/>
          <w:color w:val="000000"/>
          <w:sz w:val="24"/>
          <w:szCs w:val="24"/>
        </w:rPr>
      </w:pPr>
    </w:p>
    <w:p w:rsidR="009B358E" w:rsidRDefault="00393FF3">
      <w:pPr>
        <w:widowControl w:val="0"/>
        <w:numPr>
          <w:ilvl w:val="3"/>
          <w:numId w:val="2"/>
        </w:numPr>
        <w:pBdr>
          <w:top w:val="nil"/>
          <w:left w:val="nil"/>
          <w:bottom w:val="nil"/>
          <w:right w:val="nil"/>
          <w:between w:val="nil"/>
        </w:pBdr>
        <w:spacing w:before="1" w:after="0" w:line="276" w:lineRule="auto"/>
        <w:ind w:right="141"/>
        <w:jc w:val="both"/>
        <w:rPr>
          <w:rFonts w:ascii="Arial" w:eastAsia="Arial" w:hAnsi="Arial" w:cs="Arial"/>
          <w:color w:val="000000"/>
          <w:sz w:val="24"/>
          <w:szCs w:val="24"/>
        </w:rPr>
      </w:pPr>
      <w:r>
        <w:rPr>
          <w:rFonts w:ascii="Arial" w:eastAsia="Arial" w:hAnsi="Arial" w:cs="Arial"/>
          <w:color w:val="000000"/>
          <w:sz w:val="24"/>
          <w:szCs w:val="24"/>
        </w:rPr>
        <w:t>Expedir códigos en todos los ramos de la legislación y reformar sus disposiciones.</w:t>
      </w:r>
    </w:p>
    <w:p w:rsidR="009B358E" w:rsidRDefault="009B358E">
      <w:pPr>
        <w:widowControl w:val="0"/>
        <w:pBdr>
          <w:top w:val="nil"/>
          <w:left w:val="nil"/>
          <w:bottom w:val="nil"/>
          <w:right w:val="nil"/>
          <w:between w:val="nil"/>
        </w:pBdr>
        <w:spacing w:before="40" w:after="0" w:line="240" w:lineRule="auto"/>
        <w:rPr>
          <w:rFonts w:ascii="Arial" w:eastAsia="Arial" w:hAnsi="Arial" w:cs="Arial"/>
          <w:color w:val="000000"/>
          <w:sz w:val="24"/>
          <w:szCs w:val="24"/>
        </w:rPr>
      </w:pPr>
    </w:p>
    <w:p w:rsidR="009B358E" w:rsidRDefault="00393FF3">
      <w:pPr>
        <w:widowControl w:val="0"/>
        <w:numPr>
          <w:ilvl w:val="3"/>
          <w:numId w:val="2"/>
        </w:numPr>
        <w:pBdr>
          <w:top w:val="nil"/>
          <w:left w:val="nil"/>
          <w:bottom w:val="nil"/>
          <w:right w:val="nil"/>
          <w:between w:val="nil"/>
        </w:pBdr>
        <w:spacing w:before="1" w:after="0" w:line="276" w:lineRule="auto"/>
        <w:ind w:right="142"/>
        <w:jc w:val="both"/>
        <w:rPr>
          <w:rFonts w:ascii="Arial" w:eastAsia="Arial" w:hAnsi="Arial" w:cs="Arial"/>
          <w:color w:val="000000"/>
          <w:sz w:val="24"/>
          <w:szCs w:val="24"/>
        </w:rPr>
      </w:pPr>
      <w:r>
        <w:rPr>
          <w:rFonts w:ascii="Arial" w:eastAsia="Arial" w:hAnsi="Arial" w:cs="Arial"/>
          <w:color w:val="000000"/>
          <w:sz w:val="24"/>
          <w:szCs w:val="24"/>
        </w:rPr>
        <w:t>Aprobar el plan nacional de desarrollo y de inversiones públicas que hayan de emprenderse o continuar, con la determinación de los recursos.</w:t>
      </w:r>
    </w:p>
    <w:p w:rsidR="009B358E" w:rsidRDefault="009B358E">
      <w:pPr>
        <w:widowControl w:val="0"/>
        <w:pBdr>
          <w:top w:val="nil"/>
          <w:left w:val="nil"/>
          <w:bottom w:val="nil"/>
          <w:right w:val="nil"/>
          <w:between w:val="nil"/>
        </w:pBdr>
        <w:spacing w:before="41" w:after="0" w:line="240" w:lineRule="auto"/>
        <w:rPr>
          <w:rFonts w:ascii="Arial" w:eastAsia="Arial" w:hAnsi="Arial" w:cs="Arial"/>
          <w:color w:val="000000"/>
          <w:sz w:val="24"/>
          <w:szCs w:val="24"/>
        </w:rPr>
      </w:pPr>
    </w:p>
    <w:p w:rsidR="009B358E" w:rsidRDefault="00393FF3">
      <w:pPr>
        <w:widowControl w:val="0"/>
        <w:numPr>
          <w:ilvl w:val="3"/>
          <w:numId w:val="2"/>
        </w:numPr>
        <w:pBdr>
          <w:top w:val="nil"/>
          <w:left w:val="nil"/>
          <w:bottom w:val="nil"/>
          <w:right w:val="nil"/>
          <w:between w:val="nil"/>
        </w:pBdr>
        <w:spacing w:before="1" w:after="0" w:line="276" w:lineRule="auto"/>
        <w:ind w:right="139"/>
        <w:jc w:val="both"/>
        <w:rPr>
          <w:rFonts w:ascii="Arial" w:eastAsia="Arial" w:hAnsi="Arial" w:cs="Arial"/>
          <w:color w:val="000000"/>
          <w:sz w:val="24"/>
          <w:szCs w:val="24"/>
        </w:rPr>
      </w:pPr>
      <w:r>
        <w:rPr>
          <w:rFonts w:ascii="Arial" w:eastAsia="Arial" w:hAnsi="Arial" w:cs="Arial"/>
          <w:color w:val="000000"/>
          <w:sz w:val="24"/>
          <w:szCs w:val="24"/>
        </w:rPr>
        <w:t>y apropiaciones que se autoricen para su ejecución, y las medidas necesarias para impulsar el cumplimiento de los mismos.</w:t>
      </w:r>
    </w:p>
    <w:p w:rsidR="009B358E" w:rsidRDefault="009B358E">
      <w:pPr>
        <w:widowControl w:val="0"/>
        <w:pBdr>
          <w:top w:val="nil"/>
          <w:left w:val="nil"/>
          <w:bottom w:val="nil"/>
          <w:right w:val="nil"/>
          <w:between w:val="nil"/>
        </w:pBdr>
        <w:spacing w:before="40" w:after="0" w:line="240" w:lineRule="auto"/>
        <w:rPr>
          <w:rFonts w:ascii="Arial" w:eastAsia="Arial" w:hAnsi="Arial" w:cs="Arial"/>
          <w:color w:val="000000"/>
          <w:sz w:val="24"/>
          <w:szCs w:val="24"/>
        </w:rPr>
      </w:pPr>
    </w:p>
    <w:p w:rsidR="009B358E" w:rsidRDefault="00393FF3">
      <w:pPr>
        <w:widowControl w:val="0"/>
        <w:numPr>
          <w:ilvl w:val="3"/>
          <w:numId w:val="2"/>
        </w:numPr>
        <w:pBdr>
          <w:top w:val="nil"/>
          <w:left w:val="nil"/>
          <w:bottom w:val="nil"/>
          <w:right w:val="nil"/>
          <w:between w:val="nil"/>
        </w:pBdr>
        <w:spacing w:after="0" w:line="276" w:lineRule="auto"/>
        <w:ind w:right="140"/>
        <w:jc w:val="both"/>
        <w:rPr>
          <w:rFonts w:ascii="Arial" w:eastAsia="Arial" w:hAnsi="Arial" w:cs="Arial"/>
          <w:color w:val="000000"/>
          <w:sz w:val="24"/>
          <w:szCs w:val="24"/>
        </w:rPr>
      </w:pPr>
      <w:r>
        <w:rPr>
          <w:rFonts w:ascii="Arial" w:eastAsia="Arial" w:hAnsi="Arial" w:cs="Arial"/>
          <w:color w:val="000000"/>
          <w:sz w:val="24"/>
          <w:szCs w:val="24"/>
        </w:rPr>
        <w:t>Definir la división general del territorio con arreglo a lo previsto en esta Constitución, fijar las bases y condiciones para crear, eliminar, modificar o fusionar entidades territoriales y establecer sus competencias.</w:t>
      </w:r>
    </w:p>
    <w:p w:rsidR="009B358E" w:rsidRDefault="009B358E">
      <w:pPr>
        <w:widowControl w:val="0"/>
        <w:pBdr>
          <w:top w:val="nil"/>
          <w:left w:val="nil"/>
          <w:bottom w:val="nil"/>
          <w:right w:val="nil"/>
          <w:between w:val="nil"/>
        </w:pBdr>
        <w:spacing w:before="15" w:after="0" w:line="240" w:lineRule="auto"/>
        <w:rPr>
          <w:rFonts w:ascii="Arial" w:eastAsia="Arial" w:hAnsi="Arial" w:cs="Arial"/>
          <w:color w:val="000000"/>
          <w:sz w:val="24"/>
          <w:szCs w:val="24"/>
        </w:rPr>
      </w:pPr>
    </w:p>
    <w:p w:rsidR="009B358E" w:rsidRDefault="00393FF3">
      <w:pPr>
        <w:pStyle w:val="Ttulo1"/>
        <w:numPr>
          <w:ilvl w:val="0"/>
          <w:numId w:val="9"/>
        </w:numPr>
        <w:tabs>
          <w:tab w:val="left" w:pos="2280"/>
        </w:tabs>
        <w:spacing w:before="1"/>
      </w:pPr>
      <w:r>
        <w:t>CONFLICTO DE INTERÉS</w:t>
      </w:r>
    </w:p>
    <w:p w:rsidR="009B358E" w:rsidRDefault="009B358E">
      <w:pPr>
        <w:pStyle w:val="Ttulo1"/>
        <w:tabs>
          <w:tab w:val="left" w:pos="2280"/>
        </w:tabs>
        <w:spacing w:before="1"/>
        <w:ind w:firstLine="0"/>
      </w:pPr>
    </w:p>
    <w:p w:rsidR="009B358E" w:rsidRDefault="00393FF3">
      <w:pPr>
        <w:shd w:val="clear" w:color="auto" w:fill="FFFFFF"/>
        <w:spacing w:before="280"/>
        <w:ind w:left="1416"/>
        <w:jc w:val="both"/>
        <w:rPr>
          <w:rFonts w:ascii="Arial" w:eastAsia="Arial" w:hAnsi="Arial" w:cs="Arial"/>
          <w:sz w:val="24"/>
          <w:szCs w:val="24"/>
        </w:rPr>
      </w:pPr>
      <w:r>
        <w:rPr>
          <w:rFonts w:ascii="Arial" w:eastAsia="Arial" w:hAnsi="Arial" w:cs="Arial"/>
          <w:sz w:val="24"/>
          <w:szCs w:val="24"/>
        </w:rPr>
        <w:t xml:space="preserve">Que la Ley 2003 del 19 de noviembre de 2019, por la cual se modifica parcialmente la Ley 5 de 1992 señala: </w:t>
      </w:r>
    </w:p>
    <w:p w:rsidR="009B358E" w:rsidRDefault="00393FF3">
      <w:pPr>
        <w:shd w:val="clear" w:color="auto" w:fill="FFFFFF"/>
        <w:spacing w:before="280"/>
        <w:ind w:left="1416"/>
        <w:jc w:val="both"/>
        <w:rPr>
          <w:rFonts w:ascii="Arial" w:eastAsia="Arial" w:hAnsi="Arial" w:cs="Arial"/>
          <w:i/>
          <w:sz w:val="18"/>
          <w:szCs w:val="18"/>
        </w:rPr>
      </w:pPr>
      <w:r>
        <w:rPr>
          <w:rFonts w:ascii="Arial" w:eastAsia="Arial" w:hAnsi="Arial" w:cs="Arial"/>
          <w:i/>
          <w:sz w:val="18"/>
          <w:szCs w:val="18"/>
        </w:rPr>
        <w:t>Artículo 3. El artículo </w:t>
      </w:r>
      <w:hyperlink r:id="rId20" w:anchor="291">
        <w:r>
          <w:rPr>
            <w:rFonts w:ascii="Arial" w:eastAsia="Arial" w:hAnsi="Arial" w:cs="Arial"/>
            <w:i/>
            <w:sz w:val="18"/>
            <w:szCs w:val="18"/>
          </w:rPr>
          <w:t>291 </w:t>
        </w:r>
      </w:hyperlink>
      <w:r>
        <w:rPr>
          <w:rFonts w:ascii="Arial" w:eastAsia="Arial" w:hAnsi="Arial" w:cs="Arial"/>
          <w:i/>
          <w:sz w:val="18"/>
          <w:szCs w:val="18"/>
        </w:rPr>
        <w:t>de la Ley 5 de 1992 quedará así:</w:t>
      </w:r>
    </w:p>
    <w:p w:rsidR="009B358E" w:rsidRDefault="00393FF3">
      <w:pPr>
        <w:shd w:val="clear" w:color="auto" w:fill="FFFFFF"/>
        <w:spacing w:before="280" w:after="0" w:line="240" w:lineRule="auto"/>
        <w:ind w:left="1416"/>
        <w:jc w:val="both"/>
        <w:rPr>
          <w:rFonts w:ascii="Arial" w:eastAsia="Arial" w:hAnsi="Arial" w:cs="Arial"/>
          <w:i/>
          <w:sz w:val="18"/>
          <w:szCs w:val="18"/>
        </w:rPr>
      </w:pPr>
      <w:r>
        <w:rPr>
          <w:rFonts w:ascii="Arial" w:eastAsia="Arial" w:hAnsi="Arial" w:cs="Arial"/>
          <w:i/>
          <w:sz w:val="18"/>
          <w:szCs w:val="18"/>
        </w:rPr>
        <w:t>ARTÍCULO 291. Declaración de Impedimentos.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p>
    <w:p w:rsidR="009B358E" w:rsidRDefault="00393FF3">
      <w:pPr>
        <w:shd w:val="clear" w:color="auto" w:fill="FFFFFF"/>
        <w:spacing w:before="280" w:after="0" w:line="240" w:lineRule="auto"/>
        <w:ind w:left="1416"/>
        <w:jc w:val="both"/>
        <w:rPr>
          <w:rFonts w:ascii="Arial" w:eastAsia="Arial" w:hAnsi="Arial" w:cs="Arial"/>
          <w:i/>
          <w:sz w:val="18"/>
          <w:szCs w:val="18"/>
        </w:rPr>
      </w:pPr>
      <w:r>
        <w:rPr>
          <w:rFonts w:ascii="Arial" w:eastAsia="Arial" w:hAnsi="Arial" w:cs="Arial"/>
          <w:i/>
          <w:sz w:val="18"/>
          <w:szCs w:val="18"/>
        </w:rPr>
        <w:lastRenderedPageBreak/>
        <w:t>Antes o durante la sesión en la que discuta el proyecto de ley, o de acto legislativo el congresista manifestará por escrito el conflicto de interés.</w:t>
      </w:r>
    </w:p>
    <w:p w:rsidR="009B358E" w:rsidRDefault="00393FF3">
      <w:pPr>
        <w:shd w:val="clear" w:color="auto" w:fill="FFFFFF"/>
        <w:spacing w:before="280" w:after="0" w:line="240" w:lineRule="auto"/>
        <w:ind w:left="1416"/>
        <w:jc w:val="both"/>
        <w:rPr>
          <w:rFonts w:ascii="Arial" w:eastAsia="Arial" w:hAnsi="Arial" w:cs="Arial"/>
          <w:i/>
          <w:sz w:val="18"/>
          <w:szCs w:val="18"/>
        </w:rPr>
      </w:pPr>
      <w:r>
        <w:rPr>
          <w:rFonts w:ascii="Arial" w:eastAsia="Arial" w:hAnsi="Arial" w:cs="Arial"/>
          <w:i/>
          <w:sz w:val="18"/>
          <w:szCs w:val="18"/>
        </w:rPr>
        <w:t> Una vez recibida dicha comunicación, el Presidente someterá de inmediato a consideración de la plenaria o de la Comisión correspondiente el impedimento presentado, para que sea resuelto por mayoría simple.</w:t>
      </w:r>
    </w:p>
    <w:p w:rsidR="009B358E" w:rsidRDefault="00393FF3">
      <w:pPr>
        <w:shd w:val="clear" w:color="auto" w:fill="FFFFFF"/>
        <w:spacing w:before="280" w:after="0" w:line="240" w:lineRule="auto"/>
        <w:ind w:left="1416"/>
        <w:jc w:val="both"/>
        <w:rPr>
          <w:rFonts w:ascii="Arial" w:eastAsia="Arial" w:hAnsi="Arial" w:cs="Arial"/>
          <w:i/>
          <w:sz w:val="18"/>
          <w:szCs w:val="18"/>
        </w:rPr>
      </w:pPr>
      <w:r>
        <w:rPr>
          <w:rFonts w:ascii="Arial" w:eastAsia="Arial" w:hAnsi="Arial" w:cs="Arial"/>
          <w:i/>
          <w:sz w:val="18"/>
          <w:szCs w:val="18"/>
        </w:rPr>
        <w:t> Los Congresistas que formulen solicitud · de declaratoria de impedimento no podrán participar en la votación en la que se resuelva su propio impedimento. Si el impedimento resulta aprobado, tampoco podrá participar en la votación de impedimentos presentados por los otros congresistas.</w:t>
      </w:r>
    </w:p>
    <w:p w:rsidR="009B358E" w:rsidRDefault="00393FF3">
      <w:pPr>
        <w:shd w:val="clear" w:color="auto" w:fill="FFFFFF"/>
        <w:spacing w:before="280" w:after="0" w:line="240" w:lineRule="auto"/>
        <w:ind w:left="1416"/>
        <w:jc w:val="both"/>
        <w:rPr>
          <w:rFonts w:ascii="Arial" w:eastAsia="Arial" w:hAnsi="Arial" w:cs="Arial"/>
          <w:i/>
          <w:sz w:val="18"/>
          <w:szCs w:val="18"/>
        </w:rPr>
      </w:pPr>
      <w:r>
        <w:rPr>
          <w:rFonts w:ascii="Arial" w:eastAsia="Arial" w:hAnsi="Arial" w:cs="Arial"/>
          <w:i/>
          <w:sz w:val="18"/>
          <w:szCs w:val="18"/>
        </w:rPr>
        <w:t> Cuando se trate de actuaciones en Congreso Pleno o Comisiones Conjuntas, el impedimento será resuelto previa votación por separado en cada cámara o Comisión.</w:t>
      </w:r>
    </w:p>
    <w:p w:rsidR="009B358E" w:rsidRDefault="00393FF3">
      <w:pPr>
        <w:shd w:val="clear" w:color="auto" w:fill="FFFFFF"/>
        <w:spacing w:before="280" w:after="0" w:line="240" w:lineRule="auto"/>
        <w:ind w:left="1416"/>
        <w:jc w:val="both"/>
        <w:rPr>
          <w:rFonts w:ascii="Arial" w:eastAsia="Arial" w:hAnsi="Arial" w:cs="Arial"/>
          <w:i/>
          <w:sz w:val="18"/>
          <w:szCs w:val="18"/>
        </w:rPr>
      </w:pPr>
      <w:r>
        <w:rPr>
          <w:rFonts w:ascii="Arial" w:eastAsia="Arial" w:hAnsi="Arial" w:cs="Arial"/>
          <w:i/>
          <w:sz w:val="18"/>
          <w:szCs w:val="18"/>
        </w:rPr>
        <w:t> Las objeciones de conciencia serán aprobadas automáticamente. Los impedimentos serán votados. Para agilizar la votación el presidente de la comisión o la plenaria podrá agrupar los impedimentos según las causales y las circunstancias de configuración, y proceder a decidirlos en grupo respetando la mayoría requerida para la decisión de los impedimentos.</w:t>
      </w:r>
    </w:p>
    <w:p w:rsidR="009B358E" w:rsidRDefault="00393FF3">
      <w:pPr>
        <w:shd w:val="clear" w:color="auto" w:fill="FFFFFF"/>
        <w:spacing w:before="280" w:after="0" w:line="240" w:lineRule="auto"/>
        <w:ind w:left="1416"/>
        <w:jc w:val="both"/>
        <w:rPr>
          <w:rFonts w:ascii="Arial" w:eastAsia="Arial" w:hAnsi="Arial" w:cs="Arial"/>
          <w:i/>
          <w:sz w:val="18"/>
          <w:szCs w:val="18"/>
        </w:rPr>
      </w:pPr>
      <w:r>
        <w:rPr>
          <w:rFonts w:ascii="Arial" w:eastAsia="Arial" w:hAnsi="Arial" w:cs="Arial"/>
          <w:i/>
          <w:sz w:val="18"/>
          <w:szCs w:val="18"/>
        </w:rPr>
        <w:t> El congresista al que se le haya aceptado el impedimento se retirará del debate y la votación del proyecto de ley, o de acto legislativo o de los artículos frente a los que estuviera impedido hasta tanto persista el impedimento. Si el impedimento es negado, el congresista deberá participar y votar, y por este hecho no podrá ser sujeto de investigación o sanción por parte de los órganos judiciales o disciplinarios del Estado.</w:t>
      </w:r>
    </w:p>
    <w:p w:rsidR="009B358E" w:rsidRDefault="00393FF3">
      <w:pPr>
        <w:shd w:val="clear" w:color="auto" w:fill="FFFFFF"/>
        <w:spacing w:before="280" w:after="0" w:line="240" w:lineRule="auto"/>
        <w:ind w:left="1416"/>
        <w:jc w:val="both"/>
        <w:rPr>
          <w:rFonts w:ascii="Arial" w:eastAsia="Arial" w:hAnsi="Arial" w:cs="Arial"/>
          <w:i/>
          <w:sz w:val="18"/>
          <w:szCs w:val="18"/>
        </w:rPr>
      </w:pPr>
      <w:r>
        <w:rPr>
          <w:rFonts w:ascii="Arial" w:eastAsia="Arial" w:hAnsi="Arial" w:cs="Arial"/>
          <w:i/>
          <w:sz w:val="18"/>
          <w:szCs w:val="18"/>
        </w:rPr>
        <w:t> Cuando el congresista asignado como ponente considera. que se encuentra impedido, podrá renunciar a la respectiva ponencia antes del vencimiento del término para rendirla.”</w:t>
      </w:r>
    </w:p>
    <w:p w:rsidR="009B358E" w:rsidRDefault="009B358E">
      <w:pPr>
        <w:widowControl w:val="0"/>
        <w:pBdr>
          <w:top w:val="nil"/>
          <w:left w:val="nil"/>
          <w:bottom w:val="nil"/>
          <w:right w:val="nil"/>
          <w:between w:val="nil"/>
        </w:pBdr>
        <w:spacing w:before="41" w:after="0" w:line="240" w:lineRule="auto"/>
        <w:ind w:left="1561"/>
        <w:jc w:val="both"/>
        <w:rPr>
          <w:rFonts w:ascii="Arial" w:eastAsia="Arial" w:hAnsi="Arial" w:cs="Arial"/>
          <w:color w:val="000000"/>
          <w:sz w:val="24"/>
          <w:szCs w:val="24"/>
        </w:rPr>
      </w:pPr>
    </w:p>
    <w:p w:rsidR="009B358E" w:rsidRDefault="00393FF3">
      <w:pPr>
        <w:shd w:val="clear" w:color="auto" w:fill="FFFFFF"/>
        <w:spacing w:before="280" w:after="0" w:line="240" w:lineRule="auto"/>
        <w:ind w:left="1416"/>
        <w:jc w:val="both"/>
        <w:rPr>
          <w:rFonts w:ascii="Arial" w:eastAsia="Arial" w:hAnsi="Arial" w:cs="Arial"/>
          <w:sz w:val="24"/>
          <w:szCs w:val="24"/>
        </w:rPr>
      </w:pPr>
      <w:r>
        <w:rPr>
          <w:rFonts w:ascii="Arial" w:eastAsia="Arial" w:hAnsi="Arial" w:cs="Arial"/>
          <w:sz w:val="24"/>
          <w:szCs w:val="24"/>
        </w:rPr>
        <w:t xml:space="preserve">Ahora bien, de gran relevancia resulta traer a colación lo señalado en el artículo 1 de la Ley 2003 de 2019 que a su letra reza: </w:t>
      </w:r>
    </w:p>
    <w:p w:rsidR="009B358E" w:rsidRDefault="00393FF3">
      <w:pPr>
        <w:shd w:val="clear" w:color="auto" w:fill="FFFFFF"/>
        <w:spacing w:before="280" w:after="0" w:line="240" w:lineRule="auto"/>
        <w:ind w:left="1416"/>
        <w:jc w:val="both"/>
        <w:rPr>
          <w:rFonts w:ascii="Arial" w:eastAsia="Arial" w:hAnsi="Arial" w:cs="Arial"/>
          <w:i/>
          <w:color w:val="333333"/>
          <w:sz w:val="18"/>
          <w:szCs w:val="18"/>
        </w:rPr>
      </w:pPr>
      <w:r>
        <w:rPr>
          <w:rFonts w:ascii="Arial" w:eastAsia="Arial" w:hAnsi="Arial" w:cs="Arial"/>
          <w:b/>
          <w:i/>
          <w:color w:val="333333"/>
          <w:sz w:val="18"/>
          <w:szCs w:val="18"/>
        </w:rPr>
        <w:t>ARTÍCULO </w:t>
      </w:r>
      <w:bookmarkStart w:id="1" w:name="bookmark=id.sg60cykocewi" w:colFirst="0" w:colLast="0"/>
      <w:bookmarkEnd w:id="1"/>
      <w:r>
        <w:rPr>
          <w:rFonts w:ascii="Arial" w:eastAsia="Arial" w:hAnsi="Arial" w:cs="Arial"/>
          <w:b/>
          <w:i/>
          <w:color w:val="333333"/>
          <w:sz w:val="18"/>
          <w:szCs w:val="18"/>
        </w:rPr>
        <w:t> 1°</w:t>
      </w:r>
      <w:r>
        <w:rPr>
          <w:rFonts w:ascii="Arial" w:eastAsia="Arial" w:hAnsi="Arial" w:cs="Arial"/>
          <w:i/>
          <w:color w:val="333333"/>
          <w:sz w:val="18"/>
          <w:szCs w:val="18"/>
        </w:rPr>
        <w:t> El artículo </w:t>
      </w:r>
      <w:hyperlink r:id="rId21" w:anchor="286">
        <w:r>
          <w:rPr>
            <w:rFonts w:ascii="Arial" w:eastAsia="Arial" w:hAnsi="Arial" w:cs="Arial"/>
            <w:i/>
            <w:color w:val="007BFF"/>
            <w:sz w:val="18"/>
            <w:szCs w:val="18"/>
          </w:rPr>
          <w:t>286 </w:t>
        </w:r>
      </w:hyperlink>
      <w:r>
        <w:rPr>
          <w:rFonts w:ascii="Arial" w:eastAsia="Arial" w:hAnsi="Arial" w:cs="Arial"/>
          <w:i/>
          <w:color w:val="333333"/>
          <w:sz w:val="18"/>
          <w:szCs w:val="18"/>
        </w:rPr>
        <w:t>de la Ley 5 de 1992 quedará así:</w:t>
      </w:r>
    </w:p>
    <w:p w:rsidR="009B358E" w:rsidRDefault="00393FF3">
      <w:pPr>
        <w:shd w:val="clear" w:color="auto" w:fill="FFFFFF"/>
        <w:spacing w:before="280" w:after="0" w:line="240" w:lineRule="auto"/>
        <w:ind w:left="1416"/>
        <w:jc w:val="both"/>
        <w:rPr>
          <w:rFonts w:ascii="Arial" w:eastAsia="Arial" w:hAnsi="Arial" w:cs="Arial"/>
          <w:i/>
          <w:color w:val="333333"/>
          <w:sz w:val="18"/>
          <w:szCs w:val="18"/>
        </w:rPr>
      </w:pPr>
      <w:r>
        <w:rPr>
          <w:rFonts w:ascii="Arial" w:eastAsia="Arial" w:hAnsi="Arial" w:cs="Arial"/>
          <w:i/>
          <w:color w:val="333333"/>
          <w:sz w:val="18"/>
          <w:szCs w:val="18"/>
        </w:rPr>
        <w:t> </w:t>
      </w:r>
      <w:r>
        <w:rPr>
          <w:rFonts w:ascii="Arial" w:eastAsia="Arial" w:hAnsi="Arial" w:cs="Arial"/>
          <w:b/>
          <w:i/>
          <w:color w:val="333333"/>
          <w:sz w:val="18"/>
          <w:szCs w:val="18"/>
        </w:rPr>
        <w:t>ARTÍCULO 286</w:t>
      </w:r>
      <w:r>
        <w:rPr>
          <w:rFonts w:ascii="Arial" w:eastAsia="Arial" w:hAnsi="Arial" w:cs="Arial"/>
          <w:i/>
          <w:color w:val="333333"/>
          <w:sz w:val="18"/>
          <w:szCs w:val="18"/>
        </w:rPr>
        <w:t>.</w:t>
      </w:r>
      <w:r>
        <w:rPr>
          <w:rFonts w:ascii="Arial" w:eastAsia="Arial" w:hAnsi="Arial" w:cs="Arial"/>
          <w:b/>
          <w:i/>
          <w:color w:val="333333"/>
          <w:sz w:val="18"/>
          <w:szCs w:val="18"/>
        </w:rPr>
        <w:t> Régimen de conflicto de interés de los congresistas</w:t>
      </w:r>
      <w:r>
        <w:rPr>
          <w:rFonts w:ascii="Arial" w:eastAsia="Arial" w:hAnsi="Arial" w:cs="Arial"/>
          <w:i/>
          <w:color w:val="333333"/>
          <w:sz w:val="18"/>
          <w:szCs w:val="18"/>
        </w:rPr>
        <w:t>. Todos los congresistas deberán declarar los conflictos De intereses que pudieran surgir en ejercicio de sus funciones.</w:t>
      </w:r>
    </w:p>
    <w:p w:rsidR="009B358E" w:rsidRDefault="00393FF3">
      <w:pPr>
        <w:shd w:val="clear" w:color="auto" w:fill="FFFFFF"/>
        <w:spacing w:before="280" w:after="0" w:line="240" w:lineRule="auto"/>
        <w:ind w:left="1416"/>
        <w:jc w:val="both"/>
        <w:rPr>
          <w:rFonts w:ascii="Arial" w:eastAsia="Arial" w:hAnsi="Arial" w:cs="Arial"/>
          <w:i/>
          <w:color w:val="333333"/>
          <w:sz w:val="18"/>
          <w:szCs w:val="18"/>
        </w:rPr>
      </w:pPr>
      <w:r>
        <w:rPr>
          <w:rFonts w:ascii="Arial" w:eastAsia="Arial" w:hAnsi="Arial" w:cs="Arial"/>
          <w:i/>
          <w:color w:val="333333"/>
          <w:sz w:val="18"/>
          <w:szCs w:val="18"/>
        </w:rPr>
        <w:t> Se entiende como conflicto de interés una situación donde la discusión o votación de un proyecto de ley o acto legislativo o artículo, pueda resultar en un beneficio particular, actual y directo a favor del congresista.</w:t>
      </w:r>
    </w:p>
    <w:p w:rsidR="009B358E" w:rsidRDefault="00393FF3">
      <w:pPr>
        <w:shd w:val="clear" w:color="auto" w:fill="FFFFFF"/>
        <w:spacing w:before="280" w:after="0" w:line="240" w:lineRule="auto"/>
        <w:ind w:left="1416"/>
        <w:jc w:val="both"/>
        <w:rPr>
          <w:rFonts w:ascii="Arial" w:eastAsia="Arial" w:hAnsi="Arial" w:cs="Arial"/>
          <w:i/>
          <w:color w:val="333333"/>
          <w:sz w:val="18"/>
          <w:szCs w:val="18"/>
        </w:rPr>
      </w:pPr>
      <w:r>
        <w:rPr>
          <w:rFonts w:ascii="Arial" w:eastAsia="Arial" w:hAnsi="Arial" w:cs="Arial"/>
          <w:i/>
          <w:color w:val="333333"/>
          <w:sz w:val="18"/>
          <w:szCs w:val="18"/>
        </w:rPr>
        <w:t>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9B358E" w:rsidRDefault="00393FF3">
      <w:pPr>
        <w:shd w:val="clear" w:color="auto" w:fill="FFFFFF"/>
        <w:spacing w:before="280" w:after="0" w:line="240" w:lineRule="auto"/>
        <w:ind w:left="1416"/>
        <w:jc w:val="both"/>
        <w:rPr>
          <w:rFonts w:ascii="Arial" w:eastAsia="Arial" w:hAnsi="Arial" w:cs="Arial"/>
          <w:i/>
          <w:color w:val="333333"/>
          <w:sz w:val="18"/>
          <w:szCs w:val="18"/>
        </w:rPr>
      </w:pPr>
      <w:r>
        <w:rPr>
          <w:rFonts w:ascii="Arial" w:eastAsia="Arial" w:hAnsi="Arial" w:cs="Arial"/>
          <w:i/>
          <w:color w:val="333333"/>
          <w:sz w:val="18"/>
          <w:szCs w:val="18"/>
        </w:rPr>
        <w:t>b) Beneficio actual: aquel que efectivamente se configura en las circunstancias presentes y existentes al momento en el que el congresista participa de la decisión </w:t>
      </w:r>
    </w:p>
    <w:p w:rsidR="009B358E" w:rsidRDefault="00393FF3">
      <w:pPr>
        <w:shd w:val="clear" w:color="auto" w:fill="FFFFFF"/>
        <w:spacing w:before="280" w:after="0" w:line="240" w:lineRule="auto"/>
        <w:ind w:left="1416"/>
        <w:jc w:val="both"/>
        <w:rPr>
          <w:rFonts w:ascii="Arial" w:eastAsia="Arial" w:hAnsi="Arial" w:cs="Arial"/>
          <w:i/>
          <w:color w:val="333333"/>
          <w:sz w:val="18"/>
          <w:szCs w:val="18"/>
        </w:rPr>
      </w:pPr>
      <w:r>
        <w:rPr>
          <w:rFonts w:ascii="Arial" w:eastAsia="Arial" w:hAnsi="Arial" w:cs="Arial"/>
          <w:i/>
          <w:color w:val="333333"/>
          <w:sz w:val="18"/>
          <w:szCs w:val="18"/>
        </w:rPr>
        <w:t>c) Beneficio directo: aquel que se produzca de forma específica respecto del congresista, de su cónyuge, compañero o compañera permanente, o parientes dentro del segundo grado de consanguinidad, segundo de afinidad o primero civil. </w:t>
      </w:r>
    </w:p>
    <w:p w:rsidR="009B358E" w:rsidRDefault="00393FF3">
      <w:pPr>
        <w:shd w:val="clear" w:color="auto" w:fill="FFFFFF"/>
        <w:spacing w:before="280" w:after="0" w:line="240" w:lineRule="auto"/>
        <w:ind w:left="1416"/>
        <w:jc w:val="both"/>
        <w:rPr>
          <w:rFonts w:ascii="Arial" w:eastAsia="Arial" w:hAnsi="Arial" w:cs="Arial"/>
          <w:i/>
          <w:color w:val="333333"/>
          <w:sz w:val="18"/>
          <w:szCs w:val="18"/>
        </w:rPr>
      </w:pPr>
      <w:r>
        <w:rPr>
          <w:rFonts w:ascii="Arial" w:eastAsia="Arial" w:hAnsi="Arial" w:cs="Arial"/>
          <w:i/>
          <w:color w:val="333333"/>
          <w:sz w:val="18"/>
          <w:szCs w:val="18"/>
        </w:rPr>
        <w:t>Para todos los efectos se entiende que no hay conflicto de interés en las siguientes circunstancias:</w:t>
      </w:r>
    </w:p>
    <w:p w:rsidR="009B358E" w:rsidRDefault="00393FF3">
      <w:pPr>
        <w:shd w:val="clear" w:color="auto" w:fill="FFFFFF"/>
        <w:spacing w:before="280" w:after="0" w:line="240" w:lineRule="auto"/>
        <w:ind w:left="1416"/>
        <w:jc w:val="both"/>
        <w:rPr>
          <w:rFonts w:ascii="Arial" w:eastAsia="Arial" w:hAnsi="Arial" w:cs="Arial"/>
          <w:i/>
          <w:color w:val="333333"/>
          <w:sz w:val="18"/>
          <w:szCs w:val="18"/>
        </w:rPr>
      </w:pPr>
      <w:r>
        <w:rPr>
          <w:rFonts w:ascii="Arial" w:eastAsia="Arial" w:hAnsi="Arial" w:cs="Arial"/>
          <w:i/>
          <w:color w:val="333333"/>
          <w:sz w:val="18"/>
          <w:szCs w:val="18"/>
        </w:rPr>
        <w:lastRenderedPageBreak/>
        <w:t> a) Cuando el congresista participe, discuta, vote un proyecto de Ley o de acto legislativo que otorgue beneficios o cargos de carácter general, es decir cuando el interés del congresista coincide o se fusione con los intereses de los electores.</w:t>
      </w:r>
    </w:p>
    <w:p w:rsidR="009B358E" w:rsidRDefault="00393FF3">
      <w:pPr>
        <w:shd w:val="clear" w:color="auto" w:fill="FFFFFF"/>
        <w:spacing w:before="280" w:after="0" w:line="240" w:lineRule="auto"/>
        <w:ind w:left="1416"/>
        <w:jc w:val="both"/>
        <w:rPr>
          <w:rFonts w:ascii="Arial" w:eastAsia="Arial" w:hAnsi="Arial" w:cs="Arial"/>
          <w:i/>
          <w:color w:val="333333"/>
          <w:sz w:val="18"/>
          <w:szCs w:val="18"/>
        </w:rPr>
      </w:pPr>
      <w:r>
        <w:rPr>
          <w:rFonts w:ascii="Arial" w:eastAsia="Arial" w:hAnsi="Arial" w:cs="Arial"/>
          <w:i/>
          <w:color w:val="333333"/>
          <w:sz w:val="18"/>
          <w:szCs w:val="18"/>
        </w:rPr>
        <w:t> b) Cuando el beneficio podría o no configurarse para el congresista en el futuro.</w:t>
      </w:r>
    </w:p>
    <w:p w:rsidR="009B358E" w:rsidRDefault="00393FF3">
      <w:pPr>
        <w:shd w:val="clear" w:color="auto" w:fill="FFFFFF"/>
        <w:spacing w:before="280" w:after="0" w:line="240" w:lineRule="auto"/>
        <w:ind w:left="1416"/>
        <w:jc w:val="both"/>
        <w:rPr>
          <w:rFonts w:ascii="Arial" w:eastAsia="Arial" w:hAnsi="Arial" w:cs="Arial"/>
          <w:i/>
          <w:color w:val="333333"/>
          <w:sz w:val="18"/>
          <w:szCs w:val="18"/>
        </w:rPr>
      </w:pPr>
      <w:r>
        <w:rPr>
          <w:rFonts w:ascii="Arial" w:eastAsia="Arial" w:hAnsi="Arial" w:cs="Arial"/>
          <w:i/>
          <w:color w:val="333333"/>
          <w:sz w:val="18"/>
          <w:szCs w:val="18"/>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9B358E" w:rsidRDefault="00393FF3">
      <w:pPr>
        <w:shd w:val="clear" w:color="auto" w:fill="FFFFFF"/>
        <w:spacing w:before="280" w:after="0" w:line="240" w:lineRule="auto"/>
        <w:ind w:left="1416"/>
        <w:jc w:val="both"/>
        <w:rPr>
          <w:rFonts w:ascii="Arial" w:eastAsia="Arial" w:hAnsi="Arial" w:cs="Arial"/>
          <w:i/>
          <w:color w:val="333333"/>
          <w:sz w:val="18"/>
          <w:szCs w:val="18"/>
        </w:rPr>
      </w:pPr>
      <w:r>
        <w:rPr>
          <w:rFonts w:ascii="Arial" w:eastAsia="Arial" w:hAnsi="Arial" w:cs="Arial"/>
          <w:i/>
          <w:color w:val="333333"/>
          <w:sz w:val="18"/>
          <w:szCs w:val="18"/>
        </w:rPr>
        <w:t> 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rsidR="009B358E" w:rsidRDefault="00393FF3">
      <w:pPr>
        <w:shd w:val="clear" w:color="auto" w:fill="FFFFFF"/>
        <w:spacing w:before="280" w:after="0" w:line="240" w:lineRule="auto"/>
        <w:ind w:left="1416"/>
        <w:jc w:val="both"/>
        <w:rPr>
          <w:rFonts w:ascii="Arial" w:eastAsia="Arial" w:hAnsi="Arial" w:cs="Arial"/>
          <w:i/>
          <w:color w:val="333333"/>
          <w:sz w:val="18"/>
          <w:szCs w:val="18"/>
        </w:rPr>
      </w:pPr>
      <w:r>
        <w:rPr>
          <w:rFonts w:ascii="Arial" w:eastAsia="Arial" w:hAnsi="Arial" w:cs="Arial"/>
          <w:i/>
          <w:color w:val="333333"/>
          <w:sz w:val="18"/>
          <w:szCs w:val="18"/>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9B358E" w:rsidRDefault="00393FF3">
      <w:pPr>
        <w:shd w:val="clear" w:color="auto" w:fill="FFFFFF"/>
        <w:spacing w:before="280" w:after="0" w:line="240" w:lineRule="auto"/>
        <w:ind w:left="1416"/>
        <w:jc w:val="both"/>
        <w:rPr>
          <w:rFonts w:ascii="Arial" w:eastAsia="Arial" w:hAnsi="Arial" w:cs="Arial"/>
          <w:i/>
          <w:color w:val="333333"/>
          <w:sz w:val="18"/>
          <w:szCs w:val="18"/>
        </w:rPr>
      </w:pPr>
      <w:r>
        <w:rPr>
          <w:rFonts w:ascii="Arial" w:eastAsia="Arial" w:hAnsi="Arial" w:cs="Arial"/>
          <w:i/>
          <w:color w:val="333333"/>
          <w:sz w:val="18"/>
          <w:szCs w:val="18"/>
        </w:rPr>
        <w:t> f) Cuando el congresista participa en la elección de otros servidores públicos mediante el voto secreto. Se exceptúan los casos en que se presenten inhabilidades referidas al parentesco con los candidatos.</w:t>
      </w:r>
    </w:p>
    <w:p w:rsidR="009B358E" w:rsidRDefault="00393FF3">
      <w:pPr>
        <w:shd w:val="clear" w:color="auto" w:fill="FFFFFF"/>
        <w:spacing w:before="280" w:after="0" w:line="240" w:lineRule="auto"/>
        <w:ind w:left="1416"/>
        <w:jc w:val="both"/>
        <w:rPr>
          <w:rFonts w:ascii="Arial" w:eastAsia="Arial" w:hAnsi="Arial" w:cs="Arial"/>
          <w:i/>
          <w:color w:val="333333"/>
          <w:sz w:val="18"/>
          <w:szCs w:val="18"/>
        </w:rPr>
      </w:pPr>
      <w:r>
        <w:rPr>
          <w:rFonts w:ascii="Arial" w:eastAsia="Arial" w:hAnsi="Arial" w:cs="Arial"/>
          <w:i/>
          <w:color w:val="333333"/>
          <w:sz w:val="18"/>
          <w:szCs w:val="18"/>
        </w:rPr>
        <w:t> </w:t>
      </w:r>
      <w:r>
        <w:rPr>
          <w:rFonts w:ascii="Arial" w:eastAsia="Arial" w:hAnsi="Arial" w:cs="Arial"/>
          <w:b/>
          <w:i/>
          <w:color w:val="333333"/>
          <w:sz w:val="18"/>
          <w:szCs w:val="18"/>
        </w:rPr>
        <w:t>PARÁGRAFO 1</w:t>
      </w:r>
      <w:r>
        <w:rPr>
          <w:rFonts w:ascii="Arial" w:eastAsia="Arial" w:hAnsi="Arial" w:cs="Arial"/>
          <w:i/>
          <w:color w:val="333333"/>
          <w:sz w:val="18"/>
          <w:szCs w:val="18"/>
        </w:rPr>
        <w:t>. Entiéndase por conflicto de interés moral aquel que presentan los congresistas cuando por razones de conciencia se quieran apartar de la discusión y votación del proyecto. </w:t>
      </w:r>
    </w:p>
    <w:p w:rsidR="009B358E" w:rsidRDefault="00393FF3">
      <w:pPr>
        <w:shd w:val="clear" w:color="auto" w:fill="FFFFFF"/>
        <w:spacing w:before="280" w:after="0" w:line="240" w:lineRule="auto"/>
        <w:ind w:left="1416"/>
        <w:jc w:val="both"/>
        <w:rPr>
          <w:rFonts w:ascii="Arial" w:eastAsia="Arial" w:hAnsi="Arial" w:cs="Arial"/>
          <w:i/>
          <w:color w:val="333333"/>
          <w:sz w:val="18"/>
          <w:szCs w:val="18"/>
        </w:rPr>
      </w:pPr>
      <w:r>
        <w:rPr>
          <w:rFonts w:ascii="Arial" w:eastAsia="Arial" w:hAnsi="Arial" w:cs="Arial"/>
          <w:b/>
          <w:i/>
          <w:color w:val="333333"/>
          <w:sz w:val="18"/>
          <w:szCs w:val="18"/>
        </w:rPr>
        <w:t>PARÁGRAFO 2.</w:t>
      </w:r>
      <w:r>
        <w:rPr>
          <w:rFonts w:ascii="Arial" w:eastAsia="Arial" w:hAnsi="Arial" w:cs="Arial"/>
          <w:i/>
          <w:color w:val="333333"/>
          <w:sz w:val="18"/>
          <w:szCs w:val="18"/>
        </w:rPr>
        <w:t> Cuando se trate de funciones judiciales, disciplinarias o fiscales de los congresistas, sobre conflicto de interés se aplicará la norma especial que rige ese tipo de investigación.</w:t>
      </w:r>
    </w:p>
    <w:p w:rsidR="009B358E" w:rsidRDefault="00393FF3">
      <w:pPr>
        <w:shd w:val="clear" w:color="auto" w:fill="FFFFFF"/>
        <w:spacing w:before="280" w:after="0" w:line="240" w:lineRule="auto"/>
        <w:ind w:left="1416"/>
        <w:jc w:val="both"/>
        <w:rPr>
          <w:rFonts w:ascii="Arial" w:eastAsia="Arial" w:hAnsi="Arial" w:cs="Arial"/>
          <w:color w:val="333333"/>
          <w:sz w:val="18"/>
          <w:szCs w:val="18"/>
        </w:rPr>
      </w:pPr>
      <w:r>
        <w:rPr>
          <w:rFonts w:ascii="Arial" w:eastAsia="Arial" w:hAnsi="Arial" w:cs="Arial"/>
          <w:i/>
          <w:color w:val="333333"/>
          <w:sz w:val="18"/>
          <w:szCs w:val="18"/>
        </w:rPr>
        <w:t> </w:t>
      </w:r>
      <w:r>
        <w:rPr>
          <w:rFonts w:ascii="Arial" w:eastAsia="Arial" w:hAnsi="Arial" w:cs="Arial"/>
          <w:b/>
          <w:i/>
          <w:color w:val="333333"/>
          <w:sz w:val="18"/>
          <w:szCs w:val="18"/>
        </w:rPr>
        <w:t>PARÁGRAFO 3.</w:t>
      </w:r>
      <w:r>
        <w:rPr>
          <w:rFonts w:ascii="Arial" w:eastAsia="Arial" w:hAnsi="Arial" w:cs="Arial"/>
          <w:i/>
          <w:color w:val="333333"/>
          <w:sz w:val="18"/>
          <w:szCs w:val="18"/>
        </w:rPr>
        <w:t> Igualmente se aplicará el régimen de conflicto de intereses para todos y cada uno de los actores que presenten, discutan o participen de cualquier iniciativa legislativa, conforme al artículo 140 de la Ley 5 de 1992.</w:t>
      </w:r>
    </w:p>
    <w:p w:rsidR="009B358E" w:rsidRDefault="00393FF3">
      <w:pPr>
        <w:widowControl w:val="0"/>
        <w:pBdr>
          <w:top w:val="nil"/>
          <w:left w:val="nil"/>
          <w:bottom w:val="nil"/>
          <w:right w:val="nil"/>
          <w:between w:val="nil"/>
        </w:pBdr>
        <w:spacing w:before="241" w:after="0" w:line="276" w:lineRule="auto"/>
        <w:ind w:left="1561" w:right="138"/>
        <w:jc w:val="both"/>
        <w:rPr>
          <w:rFonts w:ascii="Arial" w:eastAsia="Arial" w:hAnsi="Arial" w:cs="Arial"/>
          <w:color w:val="000000"/>
          <w:sz w:val="24"/>
          <w:szCs w:val="24"/>
        </w:rPr>
      </w:pPr>
      <w:r>
        <w:rPr>
          <w:rFonts w:ascii="Arial" w:eastAsia="Arial" w:hAnsi="Arial" w:cs="Arial"/>
          <w:color w:val="000000"/>
          <w:sz w:val="24"/>
          <w:szCs w:val="24"/>
        </w:rPr>
        <w:t>Sobre el presente proyecto, y de acuerdo a la normativa aquí referida, se colige que existiría conflicto de interés en caso de observarse situación personal de un congresista respecto a beneficios propios o particulares, actuales y directos si ostentan relación directa en cualquier modalidad en los hospitales públicos, centro de salud y Puestos de Salud públicos del Departamento.</w:t>
      </w:r>
    </w:p>
    <w:p w:rsidR="009B358E" w:rsidRDefault="00393FF3">
      <w:pPr>
        <w:widowControl w:val="0"/>
        <w:pBdr>
          <w:top w:val="nil"/>
          <w:left w:val="nil"/>
          <w:bottom w:val="nil"/>
          <w:right w:val="nil"/>
          <w:between w:val="nil"/>
        </w:pBdr>
        <w:spacing w:before="201" w:after="0" w:line="276" w:lineRule="auto"/>
        <w:ind w:left="1561" w:right="137"/>
        <w:jc w:val="both"/>
        <w:rPr>
          <w:rFonts w:ascii="Arial" w:eastAsia="Arial" w:hAnsi="Arial" w:cs="Arial"/>
          <w:color w:val="000000"/>
          <w:sz w:val="24"/>
          <w:szCs w:val="24"/>
        </w:rPr>
      </w:pPr>
      <w:r>
        <w:rPr>
          <w:rFonts w:ascii="Arial" w:eastAsia="Arial" w:hAnsi="Arial" w:cs="Arial"/>
          <w:color w:val="000000"/>
          <w:sz w:val="24"/>
          <w:szCs w:val="24"/>
        </w:rPr>
        <w:t>Ahora bien, es de precisar que lo aquí descrito, son criterios de orientación, y que es responsabilidad de cada congresista dar estricto cumplimiento a lo dispuesto en el artículo 291 de la ley 5 de 1992 modificado por la ley 2003 de 2019, en la que no se exime al Congresista de identificar causales adicionales.</w:t>
      </w:r>
    </w:p>
    <w:p w:rsidR="009B358E" w:rsidRDefault="00393FF3">
      <w:pPr>
        <w:pStyle w:val="Ttulo1"/>
        <w:numPr>
          <w:ilvl w:val="0"/>
          <w:numId w:val="9"/>
        </w:numPr>
        <w:tabs>
          <w:tab w:val="left" w:pos="2280"/>
        </w:tabs>
        <w:spacing w:before="199"/>
      </w:pPr>
      <w:r>
        <w:t>CONCLUSIONES</w:t>
      </w:r>
    </w:p>
    <w:p w:rsidR="009B358E" w:rsidRDefault="009B358E">
      <w:pPr>
        <w:pStyle w:val="Ttulo1"/>
        <w:tabs>
          <w:tab w:val="left" w:pos="2280"/>
        </w:tabs>
        <w:spacing w:before="199"/>
        <w:ind w:firstLine="0"/>
      </w:pPr>
    </w:p>
    <w:p w:rsidR="009B358E" w:rsidRDefault="00393FF3">
      <w:pPr>
        <w:spacing w:line="276" w:lineRule="auto"/>
        <w:ind w:left="1416"/>
        <w:jc w:val="both"/>
        <w:rPr>
          <w:rFonts w:ascii="Arial" w:eastAsia="Arial" w:hAnsi="Arial" w:cs="Arial"/>
          <w:sz w:val="24"/>
          <w:szCs w:val="24"/>
        </w:rPr>
      </w:pPr>
      <w:r>
        <w:rPr>
          <w:rFonts w:ascii="Arial" w:eastAsia="Arial" w:hAnsi="Arial" w:cs="Arial"/>
          <w:sz w:val="24"/>
          <w:szCs w:val="24"/>
        </w:rPr>
        <w:lastRenderedPageBreak/>
        <w:t>La creación de una estampilla pro-hospitales y centros de salud públicos es una respuesta a esta problemática, con el objetivo de recaudar fondos que permitan mejorar la infraestructura y los servicios de salud en el departamento. La implementación de esta ley mejorará la atención a un mayor número de pacientes, reducirá los tiempos de espera y agilizará la atención en emergencias, además de garantizar el acceso a tratamientos esenciales.</w:t>
      </w:r>
    </w:p>
    <w:p w:rsidR="009B358E" w:rsidRDefault="00393FF3">
      <w:pPr>
        <w:spacing w:line="276" w:lineRule="auto"/>
        <w:ind w:left="1416"/>
        <w:jc w:val="both"/>
        <w:rPr>
          <w:rFonts w:ascii="Arial" w:eastAsia="Arial" w:hAnsi="Arial" w:cs="Arial"/>
          <w:sz w:val="24"/>
          <w:szCs w:val="24"/>
        </w:rPr>
      </w:pPr>
      <w:r>
        <w:rPr>
          <w:rFonts w:ascii="Arial" w:eastAsia="Arial" w:hAnsi="Arial" w:cs="Arial"/>
          <w:sz w:val="24"/>
          <w:szCs w:val="24"/>
        </w:rPr>
        <w:t>Con los recursos generados por la estampilla, se podrán implementar programas de prevención y promoción de la salud, contribuyendo a reducir las tasas de enfermedades y mejorando la salud general de la población. Esto incluye campañas de vacunación, educación en salud y atención a enfermedades prevalentes como la malaria.</w:t>
      </w:r>
    </w:p>
    <w:p w:rsidR="009B358E" w:rsidRDefault="00393FF3">
      <w:pPr>
        <w:spacing w:line="276" w:lineRule="auto"/>
        <w:ind w:left="1416"/>
        <w:jc w:val="both"/>
        <w:rPr>
          <w:rFonts w:ascii="Arial" w:eastAsia="Arial" w:hAnsi="Arial" w:cs="Arial"/>
          <w:sz w:val="24"/>
          <w:szCs w:val="24"/>
        </w:rPr>
      </w:pPr>
      <w:r>
        <w:rPr>
          <w:rFonts w:ascii="Arial" w:eastAsia="Arial" w:hAnsi="Arial" w:cs="Arial"/>
          <w:sz w:val="24"/>
          <w:szCs w:val="24"/>
        </w:rPr>
        <w:t>La creación de la estampilla pro-hospitales y centros de salud del Guainía es una medida crucial para abordar las deficiencias del sistema de salud del departamento. La inversión en salud es fundamental para mejorar la calidad de vida de la población y asegurar el derecho a la salud de todos los habitantes. Es imperativo implementar mecanismos de financiamiento como esta estampilla, que no solo generen ingresos, sino que también promuevan un enfoque de transparencia y responsabilidad en el uso de los recursos destinados a la salud.</w:t>
      </w:r>
    </w:p>
    <w:p w:rsidR="009B358E" w:rsidRDefault="00393FF3">
      <w:pPr>
        <w:widowControl w:val="0"/>
        <w:pBdr>
          <w:top w:val="nil"/>
          <w:left w:val="nil"/>
          <w:bottom w:val="nil"/>
          <w:right w:val="nil"/>
          <w:between w:val="nil"/>
        </w:pBdr>
        <w:spacing w:before="241" w:after="0" w:line="240" w:lineRule="auto"/>
        <w:ind w:left="1416" w:right="138"/>
        <w:jc w:val="both"/>
        <w:rPr>
          <w:rFonts w:ascii="Arial" w:eastAsia="Arial" w:hAnsi="Arial" w:cs="Arial"/>
          <w:color w:val="000000"/>
          <w:sz w:val="24"/>
          <w:szCs w:val="24"/>
        </w:rPr>
      </w:pPr>
      <w:r>
        <w:rPr>
          <w:rFonts w:ascii="Arial" w:eastAsia="Arial" w:hAnsi="Arial" w:cs="Arial"/>
          <w:color w:val="000000"/>
          <w:sz w:val="24"/>
          <w:szCs w:val="24"/>
        </w:rPr>
        <w:t xml:space="preserve">La emisión de la Estampilla Pro-Hospitales Públicos es una herramienta fundamental para movilizar recursos que mejoren la infraestructura y el funcionamiento de las instituciones de salud en Guainía, abordando así las serias carencias del sistema de salud y mejorando la calidad de vida de la población, lo que, con la respectiva autorización a la Asamblea Departamental, se genera una solución para mitigar sus necesidades de infraestructura para la prestación del servicio con las actualizaciones propias que exige el sistema y atención en salud con el recurso humano suficiente, garantizando una mejora significativa en la atención médica para los ciudadanos de nuestro departamento. </w:t>
      </w:r>
    </w:p>
    <w:p w:rsidR="009B358E" w:rsidRDefault="009B358E">
      <w:pPr>
        <w:widowControl w:val="0"/>
        <w:pBdr>
          <w:top w:val="nil"/>
          <w:left w:val="nil"/>
          <w:bottom w:val="nil"/>
          <w:right w:val="nil"/>
          <w:between w:val="nil"/>
        </w:pBdr>
        <w:spacing w:before="1" w:after="0" w:line="240" w:lineRule="auto"/>
        <w:rPr>
          <w:rFonts w:ascii="Arial" w:eastAsia="Arial" w:hAnsi="Arial" w:cs="Arial"/>
          <w:color w:val="000000"/>
          <w:sz w:val="24"/>
          <w:szCs w:val="24"/>
        </w:rPr>
      </w:pPr>
    </w:p>
    <w:p w:rsidR="009B358E" w:rsidRDefault="00393FF3">
      <w:pPr>
        <w:pBdr>
          <w:top w:val="nil"/>
          <w:left w:val="nil"/>
          <w:bottom w:val="nil"/>
          <w:right w:val="nil"/>
          <w:between w:val="nil"/>
        </w:pBdr>
        <w:spacing w:line="240" w:lineRule="auto"/>
        <w:ind w:left="708" w:firstLine="708"/>
        <w:jc w:val="both"/>
        <w:rPr>
          <w:rFonts w:ascii="Arial" w:eastAsia="Arial" w:hAnsi="Arial" w:cs="Arial"/>
          <w:color w:val="000000"/>
        </w:rPr>
      </w:pPr>
      <w:r>
        <w:rPr>
          <w:rFonts w:ascii="Arial" w:eastAsia="Arial" w:hAnsi="Arial" w:cs="Arial"/>
          <w:color w:val="000000"/>
        </w:rPr>
        <w:t xml:space="preserve">Atentamente, </w:t>
      </w:r>
    </w:p>
    <w:p w:rsidR="006A546A" w:rsidRDefault="006A546A">
      <w:pPr>
        <w:pBdr>
          <w:top w:val="nil"/>
          <w:left w:val="nil"/>
          <w:bottom w:val="nil"/>
          <w:right w:val="nil"/>
          <w:between w:val="nil"/>
        </w:pBdr>
        <w:spacing w:line="240" w:lineRule="auto"/>
        <w:ind w:left="708" w:firstLine="708"/>
        <w:jc w:val="both"/>
        <w:rPr>
          <w:rFonts w:ascii="Arial" w:eastAsia="Arial" w:hAnsi="Arial" w:cs="Arial"/>
          <w:color w:val="000000"/>
        </w:rPr>
      </w:pPr>
    </w:p>
    <w:p w:rsidR="006A546A" w:rsidRDefault="006A546A" w:rsidP="006A546A">
      <w:pPr>
        <w:pBdr>
          <w:top w:val="nil"/>
          <w:left w:val="nil"/>
          <w:bottom w:val="nil"/>
          <w:right w:val="nil"/>
          <w:between w:val="nil"/>
        </w:pBdr>
        <w:spacing w:line="240" w:lineRule="auto"/>
        <w:ind w:left="708" w:firstLine="708"/>
        <w:jc w:val="both"/>
        <w:rPr>
          <w:rFonts w:ascii="Arial" w:eastAsia="Arial" w:hAnsi="Arial" w:cs="Arial"/>
          <w:color w:val="000000"/>
        </w:rPr>
      </w:pPr>
    </w:p>
    <w:p w:rsidR="006A546A" w:rsidRDefault="006A546A" w:rsidP="006A546A">
      <w:pPr>
        <w:pBdr>
          <w:top w:val="nil"/>
          <w:left w:val="nil"/>
          <w:bottom w:val="nil"/>
          <w:right w:val="nil"/>
          <w:between w:val="nil"/>
        </w:pBdr>
        <w:spacing w:after="0" w:line="276" w:lineRule="auto"/>
        <w:ind w:left="708" w:firstLine="708"/>
        <w:jc w:val="both"/>
        <w:rPr>
          <w:rFonts w:ascii="Arial" w:eastAsia="Arial" w:hAnsi="Arial" w:cs="Arial"/>
          <w:color w:val="000000"/>
        </w:rPr>
      </w:pPr>
    </w:p>
    <w:p w:rsidR="006A546A" w:rsidRDefault="006A546A" w:rsidP="006A546A">
      <w:pPr>
        <w:pBdr>
          <w:top w:val="nil"/>
          <w:left w:val="nil"/>
          <w:bottom w:val="nil"/>
          <w:right w:val="nil"/>
          <w:between w:val="nil"/>
        </w:pBdr>
        <w:spacing w:after="0" w:line="276" w:lineRule="auto"/>
        <w:ind w:left="708" w:firstLine="708"/>
        <w:jc w:val="both"/>
        <w:rPr>
          <w:rFonts w:ascii="Arial" w:eastAsia="Arial" w:hAnsi="Arial" w:cs="Arial"/>
          <w:color w:val="000000"/>
        </w:rPr>
      </w:pPr>
      <w:r>
        <w:rPr>
          <w:rFonts w:ascii="Arial" w:eastAsia="Arial" w:hAnsi="Arial" w:cs="Arial"/>
          <w:color w:val="000000"/>
        </w:rPr>
        <w:t xml:space="preserve">                                                                 </w:t>
      </w:r>
    </w:p>
    <w:p w:rsidR="006A546A" w:rsidRPr="006A546A" w:rsidRDefault="006A546A" w:rsidP="006A546A">
      <w:p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rPr>
        <w:t xml:space="preserve">                        </w:t>
      </w:r>
      <w:r w:rsidRPr="006A546A">
        <w:rPr>
          <w:rFonts w:ascii="Arial" w:eastAsia="Arial" w:hAnsi="Arial" w:cs="Arial"/>
          <w:b/>
          <w:color w:val="000000"/>
        </w:rPr>
        <w:t xml:space="preserve">ALEXANDER GUARÍN SILVA </w:t>
      </w:r>
      <w:r>
        <w:rPr>
          <w:rFonts w:ascii="Arial" w:eastAsia="Arial" w:hAnsi="Arial" w:cs="Arial"/>
          <w:b/>
          <w:color w:val="000000"/>
        </w:rPr>
        <w:t xml:space="preserve">                 JOSÉ ELIECER SALAZAR LÓPEZ </w:t>
      </w:r>
    </w:p>
    <w:p w:rsidR="006A546A" w:rsidRPr="006A546A" w:rsidRDefault="006A546A" w:rsidP="006A546A">
      <w:p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color w:val="000000"/>
        </w:rPr>
        <w:t xml:space="preserve">                        </w:t>
      </w:r>
      <w:r w:rsidRPr="006A546A">
        <w:rPr>
          <w:rFonts w:ascii="Arial" w:eastAsia="Arial" w:hAnsi="Arial" w:cs="Arial"/>
          <w:color w:val="000000"/>
        </w:rPr>
        <w:t xml:space="preserve">Representante a la Cámara                  </w:t>
      </w:r>
      <w:r>
        <w:rPr>
          <w:rFonts w:ascii="Arial" w:eastAsia="Arial" w:hAnsi="Arial" w:cs="Arial"/>
          <w:color w:val="000000"/>
        </w:rPr>
        <w:t xml:space="preserve">     </w:t>
      </w:r>
      <w:r w:rsidRPr="006A546A">
        <w:rPr>
          <w:rFonts w:ascii="Arial" w:eastAsia="Arial" w:hAnsi="Arial" w:cs="Arial"/>
          <w:color w:val="000000"/>
        </w:rPr>
        <w:t xml:space="preserve">Representante a la Cámara </w:t>
      </w:r>
    </w:p>
    <w:p w:rsidR="006A546A" w:rsidRPr="006A546A" w:rsidRDefault="006A546A" w:rsidP="006A546A">
      <w:pPr>
        <w:pBdr>
          <w:top w:val="nil"/>
          <w:left w:val="nil"/>
          <w:bottom w:val="nil"/>
          <w:right w:val="nil"/>
          <w:between w:val="nil"/>
        </w:pBdr>
        <w:spacing w:after="0" w:line="276" w:lineRule="auto"/>
        <w:rPr>
          <w:rFonts w:ascii="Arial" w:eastAsia="Arial" w:hAnsi="Arial" w:cs="Arial"/>
          <w:color w:val="000000"/>
        </w:rPr>
      </w:pPr>
      <w:r w:rsidRPr="006A546A">
        <w:rPr>
          <w:rFonts w:ascii="Arial" w:eastAsia="Arial" w:hAnsi="Arial" w:cs="Arial"/>
          <w:color w:val="000000"/>
        </w:rPr>
        <w:t xml:space="preserve">                      </w:t>
      </w:r>
      <w:r>
        <w:rPr>
          <w:rFonts w:ascii="Arial" w:eastAsia="Arial" w:hAnsi="Arial" w:cs="Arial"/>
          <w:color w:val="000000"/>
        </w:rPr>
        <w:t xml:space="preserve">  </w:t>
      </w:r>
      <w:r w:rsidRPr="006A546A">
        <w:rPr>
          <w:rFonts w:ascii="Arial" w:eastAsia="Arial" w:hAnsi="Arial" w:cs="Arial"/>
          <w:color w:val="000000"/>
        </w:rPr>
        <w:t xml:space="preserve">Departamento del Guainía                   </w:t>
      </w:r>
      <w:r>
        <w:rPr>
          <w:rFonts w:ascii="Arial" w:eastAsia="Arial" w:hAnsi="Arial" w:cs="Arial"/>
          <w:color w:val="000000"/>
        </w:rPr>
        <w:t xml:space="preserve">      </w:t>
      </w:r>
      <w:r w:rsidRPr="006A546A">
        <w:rPr>
          <w:rFonts w:ascii="Arial" w:eastAsia="Arial" w:hAnsi="Arial" w:cs="Arial"/>
          <w:color w:val="000000"/>
        </w:rPr>
        <w:t xml:space="preserve">Departamento del Cesar </w:t>
      </w:r>
      <w:bookmarkStart w:id="2" w:name="_GoBack"/>
      <w:bookmarkEnd w:id="2"/>
    </w:p>
    <w:sectPr w:rsidR="006A546A" w:rsidRPr="006A546A">
      <w:headerReference w:type="default" r:id="rId22"/>
      <w:footerReference w:type="default" r:id="rId23"/>
      <w:pgSz w:w="12240" w:h="15840"/>
      <w:pgMar w:top="180" w:right="1560" w:bottom="1780" w:left="567" w:header="130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45A" w:rsidRDefault="0070345A">
      <w:pPr>
        <w:spacing w:after="0" w:line="240" w:lineRule="auto"/>
      </w:pPr>
      <w:r>
        <w:separator/>
      </w:r>
    </w:p>
  </w:endnote>
  <w:endnote w:type="continuationSeparator" w:id="0">
    <w:p w:rsidR="0070345A" w:rsidRDefault="0070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58E" w:rsidRDefault="00393FF3">
    <w:pPr>
      <w:pBdr>
        <w:top w:val="nil"/>
        <w:left w:val="nil"/>
        <w:bottom w:val="nil"/>
        <w:right w:val="nil"/>
        <w:between w:val="nil"/>
      </w:pBdr>
      <w:tabs>
        <w:tab w:val="center" w:pos="4419"/>
        <w:tab w:val="right" w:pos="8838"/>
      </w:tabs>
      <w:spacing w:after="0" w:line="240" w:lineRule="auto"/>
      <w:jc w:val="center"/>
      <w:rPr>
        <w:color w:val="767171"/>
      </w:rPr>
    </w:pPr>
    <w:r>
      <w:rPr>
        <w:rFonts w:ascii="Constantia" w:eastAsia="Constantia" w:hAnsi="Constantia" w:cs="Constantia"/>
        <w:noProof/>
        <w:color w:val="000000"/>
        <w:lang w:val="es-CO"/>
      </w:rPr>
      <w:drawing>
        <wp:inline distT="0" distB="0" distL="0" distR="0">
          <wp:extent cx="3124200" cy="266700"/>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24200" cy="266700"/>
                  </a:xfrm>
                  <a:prstGeom prst="rect">
                    <a:avLst/>
                  </a:prstGeom>
                  <a:ln/>
                </pic:spPr>
              </pic:pic>
            </a:graphicData>
          </a:graphic>
        </wp:inline>
      </w:drawing>
    </w:r>
    <w:r>
      <w:rPr>
        <w:color w:val="767171"/>
      </w:rPr>
      <w:t xml:space="preserve"> </w:t>
    </w:r>
    <w:r>
      <w:rPr>
        <w:noProof/>
        <w:lang w:val="es-CO"/>
      </w:rPr>
      <w:drawing>
        <wp:anchor distT="0" distB="0" distL="0" distR="0" simplePos="0" relativeHeight="251661312" behindDoc="1" locked="0" layoutInCell="1" hidden="0" allowOverlap="1">
          <wp:simplePos x="0" y="0"/>
          <wp:positionH relativeFrom="column">
            <wp:posOffset>5001895</wp:posOffset>
          </wp:positionH>
          <wp:positionV relativeFrom="paragraph">
            <wp:posOffset>140970</wp:posOffset>
          </wp:positionV>
          <wp:extent cx="878909" cy="488172"/>
          <wp:effectExtent l="0" t="0" r="0" b="0"/>
          <wp:wrapNone/>
          <wp:docPr id="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78909" cy="488172"/>
                  </a:xfrm>
                  <a:prstGeom prst="rect">
                    <a:avLst/>
                  </a:prstGeom>
                  <a:ln/>
                </pic:spPr>
              </pic:pic>
            </a:graphicData>
          </a:graphic>
        </wp:anchor>
      </w:drawing>
    </w:r>
    <w:r>
      <w:rPr>
        <w:noProof/>
        <w:lang w:val="es-CO"/>
      </w:rPr>
      <w:drawing>
        <wp:anchor distT="0" distB="0" distL="114300" distR="114300" simplePos="0" relativeHeight="251662336" behindDoc="0" locked="0" layoutInCell="1" hidden="0" allowOverlap="1">
          <wp:simplePos x="0" y="0"/>
          <wp:positionH relativeFrom="column">
            <wp:posOffset>150329</wp:posOffset>
          </wp:positionH>
          <wp:positionV relativeFrom="paragraph">
            <wp:posOffset>135338</wp:posOffset>
          </wp:positionV>
          <wp:extent cx="1638300" cy="454660"/>
          <wp:effectExtent l="0" t="0" r="0" b="0"/>
          <wp:wrapNone/>
          <wp:docPr id="36" name="image8.png" descr="IMG_3185"/>
          <wp:cNvGraphicFramePr/>
          <a:graphic xmlns:a="http://schemas.openxmlformats.org/drawingml/2006/main">
            <a:graphicData uri="http://schemas.openxmlformats.org/drawingml/2006/picture">
              <pic:pic xmlns:pic="http://schemas.openxmlformats.org/drawingml/2006/picture">
                <pic:nvPicPr>
                  <pic:cNvPr id="0" name="image8.png" descr="IMG_3185"/>
                  <pic:cNvPicPr preferRelativeResize="0"/>
                </pic:nvPicPr>
                <pic:blipFill>
                  <a:blip r:embed="rId3"/>
                  <a:srcRect/>
                  <a:stretch>
                    <a:fillRect/>
                  </a:stretch>
                </pic:blipFill>
                <pic:spPr>
                  <a:xfrm>
                    <a:off x="0" y="0"/>
                    <a:ext cx="1638300" cy="454660"/>
                  </a:xfrm>
                  <a:prstGeom prst="rect">
                    <a:avLst/>
                  </a:prstGeom>
                  <a:ln/>
                </pic:spPr>
              </pic:pic>
            </a:graphicData>
          </a:graphic>
        </wp:anchor>
      </w:drawing>
    </w:r>
  </w:p>
  <w:p w:rsidR="009B358E" w:rsidRDefault="00393FF3">
    <w:pPr>
      <w:pBdr>
        <w:top w:val="nil"/>
        <w:left w:val="nil"/>
        <w:bottom w:val="nil"/>
        <w:right w:val="nil"/>
        <w:between w:val="nil"/>
      </w:pBdr>
      <w:tabs>
        <w:tab w:val="center" w:pos="4419"/>
        <w:tab w:val="right" w:pos="8838"/>
      </w:tabs>
      <w:spacing w:after="0" w:line="240" w:lineRule="auto"/>
      <w:jc w:val="center"/>
      <w:rPr>
        <w:color w:val="767171"/>
      </w:rPr>
    </w:pPr>
    <w:r>
      <w:rPr>
        <w:color w:val="767171"/>
      </w:rPr>
      <w:t>Carrera 7 No. 8 – 62 Edificio Nuevo del Congreso</w:t>
    </w:r>
    <w:r>
      <w:rPr>
        <w:color w:val="767171"/>
      </w:rPr>
      <w:br/>
      <w:t>Oficina 544B Ext. 3101 - 3102</w:t>
    </w:r>
  </w:p>
  <w:p w:rsidR="009B358E" w:rsidRDefault="009B358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45A" w:rsidRDefault="0070345A">
      <w:pPr>
        <w:spacing w:after="0" w:line="240" w:lineRule="auto"/>
      </w:pPr>
      <w:r>
        <w:separator/>
      </w:r>
    </w:p>
  </w:footnote>
  <w:footnote w:type="continuationSeparator" w:id="0">
    <w:p w:rsidR="0070345A" w:rsidRDefault="00703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58E" w:rsidRDefault="00393FF3">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58240" behindDoc="0" locked="0" layoutInCell="1" hidden="0" allowOverlap="1">
          <wp:simplePos x="0" y="0"/>
          <wp:positionH relativeFrom="column">
            <wp:posOffset>2562225</wp:posOffset>
          </wp:positionH>
          <wp:positionV relativeFrom="paragraph">
            <wp:posOffset>-744785</wp:posOffset>
          </wp:positionV>
          <wp:extent cx="1929765" cy="1084580"/>
          <wp:effectExtent l="0" t="0" r="0" b="0"/>
          <wp:wrapNone/>
          <wp:docPr id="31" name="image5.png" descr="LOGO CAM SIN FONDO 1 (1)"/>
          <wp:cNvGraphicFramePr/>
          <a:graphic xmlns:a="http://schemas.openxmlformats.org/drawingml/2006/main">
            <a:graphicData uri="http://schemas.openxmlformats.org/drawingml/2006/picture">
              <pic:pic xmlns:pic="http://schemas.openxmlformats.org/drawingml/2006/picture">
                <pic:nvPicPr>
                  <pic:cNvPr id="0" name="image5.png" descr="LOGO CAM SIN FONDO 1 (1)"/>
                  <pic:cNvPicPr preferRelativeResize="0"/>
                </pic:nvPicPr>
                <pic:blipFill>
                  <a:blip r:embed="rId1"/>
                  <a:srcRect/>
                  <a:stretch>
                    <a:fillRect/>
                  </a:stretch>
                </pic:blipFill>
                <pic:spPr>
                  <a:xfrm>
                    <a:off x="0" y="0"/>
                    <a:ext cx="1929765" cy="1084580"/>
                  </a:xfrm>
                  <a:prstGeom prst="rect">
                    <a:avLst/>
                  </a:prstGeom>
                  <a:ln/>
                </pic:spPr>
              </pic:pic>
            </a:graphicData>
          </a:graphic>
        </wp:anchor>
      </w:drawing>
    </w:r>
    <w:r>
      <w:rPr>
        <w:noProof/>
        <w:lang w:val="es-CO"/>
      </w:rPr>
      <w:drawing>
        <wp:anchor distT="0" distB="0" distL="114300" distR="114300" simplePos="0" relativeHeight="251659264" behindDoc="0" locked="0" layoutInCell="1" hidden="0" allowOverlap="1">
          <wp:simplePos x="0" y="0"/>
          <wp:positionH relativeFrom="column">
            <wp:posOffset>4737293</wp:posOffset>
          </wp:positionH>
          <wp:positionV relativeFrom="paragraph">
            <wp:posOffset>-404466</wp:posOffset>
          </wp:positionV>
          <wp:extent cx="2408555" cy="539115"/>
          <wp:effectExtent l="0" t="0" r="0" b="0"/>
          <wp:wrapNone/>
          <wp:docPr id="32" name="image10.png" descr="ALEX GUARIN 2"/>
          <wp:cNvGraphicFramePr/>
          <a:graphic xmlns:a="http://schemas.openxmlformats.org/drawingml/2006/main">
            <a:graphicData uri="http://schemas.openxmlformats.org/drawingml/2006/picture">
              <pic:pic xmlns:pic="http://schemas.openxmlformats.org/drawingml/2006/picture">
                <pic:nvPicPr>
                  <pic:cNvPr id="0" name="image10.png" descr="ALEX GUARIN 2"/>
                  <pic:cNvPicPr preferRelativeResize="0"/>
                </pic:nvPicPr>
                <pic:blipFill>
                  <a:blip r:embed="rId2"/>
                  <a:srcRect/>
                  <a:stretch>
                    <a:fillRect/>
                  </a:stretch>
                </pic:blipFill>
                <pic:spPr>
                  <a:xfrm>
                    <a:off x="0" y="0"/>
                    <a:ext cx="2408555" cy="539115"/>
                  </a:xfrm>
                  <a:prstGeom prst="rect">
                    <a:avLst/>
                  </a:prstGeom>
                  <a:ln/>
                </pic:spPr>
              </pic:pic>
            </a:graphicData>
          </a:graphic>
        </wp:anchor>
      </w:drawing>
    </w:r>
    <w:r>
      <w:rPr>
        <w:noProof/>
        <w:lang w:val="es-CO"/>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-581024</wp:posOffset>
          </wp:positionV>
          <wp:extent cx="2692400" cy="603885"/>
          <wp:effectExtent l="0" t="0" r="0" b="0"/>
          <wp:wrapNone/>
          <wp:docPr id="33" name="image9.png" descr="ALEX GUARIN 1"/>
          <wp:cNvGraphicFramePr/>
          <a:graphic xmlns:a="http://schemas.openxmlformats.org/drawingml/2006/main">
            <a:graphicData uri="http://schemas.openxmlformats.org/drawingml/2006/picture">
              <pic:pic xmlns:pic="http://schemas.openxmlformats.org/drawingml/2006/picture">
                <pic:nvPicPr>
                  <pic:cNvPr id="0" name="image9.png" descr="ALEX GUARIN 1"/>
                  <pic:cNvPicPr preferRelativeResize="0"/>
                </pic:nvPicPr>
                <pic:blipFill>
                  <a:blip r:embed="rId3"/>
                  <a:srcRect/>
                  <a:stretch>
                    <a:fillRect/>
                  </a:stretch>
                </pic:blipFill>
                <pic:spPr>
                  <a:xfrm>
                    <a:off x="0" y="0"/>
                    <a:ext cx="2692400" cy="603885"/>
                  </a:xfrm>
                  <a:prstGeom prst="rect">
                    <a:avLst/>
                  </a:prstGeom>
                  <a:ln/>
                </pic:spPr>
              </pic:pic>
            </a:graphicData>
          </a:graphic>
        </wp:anchor>
      </w:drawing>
    </w:r>
  </w:p>
  <w:p w:rsidR="009B358E" w:rsidRDefault="009B358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33EF4"/>
    <w:multiLevelType w:val="multilevel"/>
    <w:tmpl w:val="8BE07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FB72BD"/>
    <w:multiLevelType w:val="multilevel"/>
    <w:tmpl w:val="10DE6130"/>
    <w:lvl w:ilvl="0">
      <w:start w:val="1"/>
      <w:numFmt w:val="decimal"/>
      <w:lvlText w:val="%1)"/>
      <w:lvlJc w:val="left"/>
      <w:pPr>
        <w:ind w:left="2282" w:hanging="360"/>
      </w:pPr>
      <w:rPr>
        <w:rFonts w:ascii="Arial" w:eastAsia="Arial" w:hAnsi="Arial" w:cs="Arial"/>
        <w:b w:val="0"/>
        <w:i w:val="0"/>
        <w:sz w:val="24"/>
        <w:szCs w:val="24"/>
      </w:rPr>
    </w:lvl>
    <w:lvl w:ilvl="1">
      <w:numFmt w:val="bullet"/>
      <w:lvlText w:val="•"/>
      <w:lvlJc w:val="left"/>
      <w:pPr>
        <w:ind w:left="3106" w:hanging="360"/>
      </w:pPr>
    </w:lvl>
    <w:lvl w:ilvl="2">
      <w:numFmt w:val="bullet"/>
      <w:lvlText w:val="•"/>
      <w:lvlJc w:val="left"/>
      <w:pPr>
        <w:ind w:left="3932" w:hanging="360"/>
      </w:pPr>
    </w:lvl>
    <w:lvl w:ilvl="3">
      <w:numFmt w:val="bullet"/>
      <w:lvlText w:val="•"/>
      <w:lvlJc w:val="left"/>
      <w:pPr>
        <w:ind w:left="4758" w:hanging="360"/>
      </w:pPr>
    </w:lvl>
    <w:lvl w:ilvl="4">
      <w:numFmt w:val="bullet"/>
      <w:lvlText w:val="•"/>
      <w:lvlJc w:val="left"/>
      <w:pPr>
        <w:ind w:left="5584" w:hanging="360"/>
      </w:pPr>
    </w:lvl>
    <w:lvl w:ilvl="5">
      <w:numFmt w:val="bullet"/>
      <w:lvlText w:val="•"/>
      <w:lvlJc w:val="left"/>
      <w:pPr>
        <w:ind w:left="6410" w:hanging="360"/>
      </w:pPr>
    </w:lvl>
    <w:lvl w:ilvl="6">
      <w:numFmt w:val="bullet"/>
      <w:lvlText w:val="•"/>
      <w:lvlJc w:val="left"/>
      <w:pPr>
        <w:ind w:left="7236" w:hanging="360"/>
      </w:pPr>
    </w:lvl>
    <w:lvl w:ilvl="7">
      <w:numFmt w:val="bullet"/>
      <w:lvlText w:val="•"/>
      <w:lvlJc w:val="left"/>
      <w:pPr>
        <w:ind w:left="8062" w:hanging="360"/>
      </w:pPr>
    </w:lvl>
    <w:lvl w:ilvl="8">
      <w:numFmt w:val="bullet"/>
      <w:lvlText w:val="•"/>
      <w:lvlJc w:val="left"/>
      <w:pPr>
        <w:ind w:left="8888" w:hanging="360"/>
      </w:pPr>
    </w:lvl>
  </w:abstractNum>
  <w:abstractNum w:abstractNumId="2" w15:restartNumberingAfterBreak="0">
    <w:nsid w:val="2E75713E"/>
    <w:multiLevelType w:val="multilevel"/>
    <w:tmpl w:val="2DD21DD4"/>
    <w:lvl w:ilvl="0">
      <w:start w:val="1"/>
      <w:numFmt w:val="decimal"/>
      <w:lvlText w:val="%1."/>
      <w:lvlJc w:val="left"/>
      <w:pPr>
        <w:ind w:left="2282" w:hanging="360"/>
      </w:pPr>
      <w:rPr>
        <w:rFonts w:ascii="Arial" w:eastAsia="Arial" w:hAnsi="Arial" w:cs="Arial"/>
        <w:b/>
        <w:i w:val="0"/>
        <w:sz w:val="24"/>
        <w:szCs w:val="24"/>
      </w:rPr>
    </w:lvl>
    <w:lvl w:ilvl="1">
      <w:numFmt w:val="bullet"/>
      <w:lvlText w:val="•"/>
      <w:lvlJc w:val="left"/>
      <w:pPr>
        <w:ind w:left="3106" w:hanging="360"/>
      </w:pPr>
    </w:lvl>
    <w:lvl w:ilvl="2">
      <w:numFmt w:val="bullet"/>
      <w:lvlText w:val="•"/>
      <w:lvlJc w:val="left"/>
      <w:pPr>
        <w:ind w:left="3932" w:hanging="360"/>
      </w:pPr>
    </w:lvl>
    <w:lvl w:ilvl="3">
      <w:numFmt w:val="bullet"/>
      <w:lvlText w:val="•"/>
      <w:lvlJc w:val="left"/>
      <w:pPr>
        <w:ind w:left="4758" w:hanging="360"/>
      </w:pPr>
    </w:lvl>
    <w:lvl w:ilvl="4">
      <w:numFmt w:val="bullet"/>
      <w:lvlText w:val="•"/>
      <w:lvlJc w:val="left"/>
      <w:pPr>
        <w:ind w:left="5584" w:hanging="360"/>
      </w:pPr>
    </w:lvl>
    <w:lvl w:ilvl="5">
      <w:numFmt w:val="bullet"/>
      <w:lvlText w:val="•"/>
      <w:lvlJc w:val="left"/>
      <w:pPr>
        <w:ind w:left="6410" w:hanging="360"/>
      </w:pPr>
    </w:lvl>
    <w:lvl w:ilvl="6">
      <w:numFmt w:val="bullet"/>
      <w:lvlText w:val="•"/>
      <w:lvlJc w:val="left"/>
      <w:pPr>
        <w:ind w:left="7236" w:hanging="360"/>
      </w:pPr>
    </w:lvl>
    <w:lvl w:ilvl="7">
      <w:numFmt w:val="bullet"/>
      <w:lvlText w:val="•"/>
      <w:lvlJc w:val="left"/>
      <w:pPr>
        <w:ind w:left="8062" w:hanging="360"/>
      </w:pPr>
    </w:lvl>
    <w:lvl w:ilvl="8">
      <w:numFmt w:val="bullet"/>
      <w:lvlText w:val="•"/>
      <w:lvlJc w:val="left"/>
      <w:pPr>
        <w:ind w:left="8888" w:hanging="360"/>
      </w:pPr>
    </w:lvl>
  </w:abstractNum>
  <w:abstractNum w:abstractNumId="3" w15:restartNumberingAfterBreak="0">
    <w:nsid w:val="3F607EE5"/>
    <w:multiLevelType w:val="multilevel"/>
    <w:tmpl w:val="D876B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971487"/>
    <w:multiLevelType w:val="multilevel"/>
    <w:tmpl w:val="6BF63680"/>
    <w:lvl w:ilvl="0">
      <w:start w:val="1"/>
      <w:numFmt w:val="decimal"/>
      <w:lvlText w:val="%1."/>
      <w:lvlJc w:val="left"/>
      <w:pPr>
        <w:ind w:left="1828" w:hanging="268"/>
      </w:pPr>
      <w:rPr>
        <w:rFonts w:ascii="Arial" w:eastAsia="Arial" w:hAnsi="Arial" w:cs="Arial"/>
        <w:b/>
        <w:i w:val="0"/>
        <w:sz w:val="24"/>
        <w:szCs w:val="24"/>
      </w:rPr>
    </w:lvl>
    <w:lvl w:ilvl="1">
      <w:numFmt w:val="bullet"/>
      <w:lvlText w:val="•"/>
      <w:lvlJc w:val="left"/>
      <w:pPr>
        <w:ind w:left="2692" w:hanging="268"/>
      </w:pPr>
    </w:lvl>
    <w:lvl w:ilvl="2">
      <w:numFmt w:val="bullet"/>
      <w:lvlText w:val="•"/>
      <w:lvlJc w:val="left"/>
      <w:pPr>
        <w:ind w:left="3564" w:hanging="268"/>
      </w:pPr>
    </w:lvl>
    <w:lvl w:ilvl="3">
      <w:numFmt w:val="bullet"/>
      <w:lvlText w:val="•"/>
      <w:lvlJc w:val="left"/>
      <w:pPr>
        <w:ind w:left="4436" w:hanging="268"/>
      </w:pPr>
    </w:lvl>
    <w:lvl w:ilvl="4">
      <w:numFmt w:val="bullet"/>
      <w:lvlText w:val="•"/>
      <w:lvlJc w:val="left"/>
      <w:pPr>
        <w:ind w:left="5308" w:hanging="268"/>
      </w:pPr>
    </w:lvl>
    <w:lvl w:ilvl="5">
      <w:numFmt w:val="bullet"/>
      <w:lvlText w:val="•"/>
      <w:lvlJc w:val="left"/>
      <w:pPr>
        <w:ind w:left="6180" w:hanging="268"/>
      </w:pPr>
    </w:lvl>
    <w:lvl w:ilvl="6">
      <w:numFmt w:val="bullet"/>
      <w:lvlText w:val="•"/>
      <w:lvlJc w:val="left"/>
      <w:pPr>
        <w:ind w:left="7052" w:hanging="267"/>
      </w:pPr>
    </w:lvl>
    <w:lvl w:ilvl="7">
      <w:numFmt w:val="bullet"/>
      <w:lvlText w:val="•"/>
      <w:lvlJc w:val="left"/>
      <w:pPr>
        <w:ind w:left="7924" w:hanging="268"/>
      </w:pPr>
    </w:lvl>
    <w:lvl w:ilvl="8">
      <w:numFmt w:val="bullet"/>
      <w:lvlText w:val="•"/>
      <w:lvlJc w:val="left"/>
      <w:pPr>
        <w:ind w:left="8796" w:hanging="268"/>
      </w:pPr>
    </w:lvl>
  </w:abstractNum>
  <w:abstractNum w:abstractNumId="5" w15:restartNumberingAfterBreak="0">
    <w:nsid w:val="5AFF345A"/>
    <w:multiLevelType w:val="multilevel"/>
    <w:tmpl w:val="37BA4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651827"/>
    <w:multiLevelType w:val="multilevel"/>
    <w:tmpl w:val="9440E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9149B3"/>
    <w:multiLevelType w:val="multilevel"/>
    <w:tmpl w:val="1D940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217C80"/>
    <w:multiLevelType w:val="multilevel"/>
    <w:tmpl w:val="1646E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8"/>
  </w:num>
  <w:num w:numId="3">
    <w:abstractNumId w:val="7"/>
  </w:num>
  <w:num w:numId="4">
    <w:abstractNumId w:val="5"/>
  </w:num>
  <w:num w:numId="5">
    <w:abstractNumId w:val="0"/>
  </w:num>
  <w:num w:numId="6">
    <w:abstractNumId w:val="3"/>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8E"/>
    <w:rsid w:val="00393FF3"/>
    <w:rsid w:val="006A546A"/>
    <w:rsid w:val="0070345A"/>
    <w:rsid w:val="00971C1A"/>
    <w:rsid w:val="009B358E"/>
    <w:rsid w:val="00BB54CE"/>
    <w:rsid w:val="00DD68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217B"/>
  <w15:docId w15:val="{9B4A7485-FB37-4F05-BA6E-18D8C077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widowControl w:val="0"/>
      <w:spacing w:after="0" w:line="240" w:lineRule="auto"/>
      <w:ind w:left="2280" w:hanging="358"/>
      <w:outlineLvl w:val="0"/>
    </w:pPr>
    <w:rPr>
      <w:rFonts w:ascii="Arial" w:eastAsia="Arial" w:hAnsi="Arial" w:cs="Arial"/>
      <w:b/>
      <w:sz w:val="24"/>
      <w:szCs w:val="24"/>
    </w:rPr>
  </w:style>
  <w:style w:type="paragraph" w:styleId="Ttulo2">
    <w:name w:val="heading 2"/>
    <w:basedOn w:val="Normal"/>
    <w:next w:val="Normal"/>
    <w:pPr>
      <w:widowControl w:val="0"/>
      <w:spacing w:after="0" w:line="240" w:lineRule="auto"/>
      <w:ind w:left="1561"/>
      <w:outlineLvl w:val="1"/>
    </w:pPr>
    <w:rPr>
      <w:rFonts w:ascii="Arial" w:eastAsia="Arial" w:hAnsi="Arial" w:cs="Arial"/>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uiPriority w:val="1"/>
    <w:rsid w:val="00876703"/>
    <w:rPr>
      <w:rFonts w:ascii="Arial" w:eastAsia="Arial" w:hAnsi="Arial" w:cs="Arial"/>
      <w:b/>
      <w:bCs/>
      <w:sz w:val="24"/>
      <w:szCs w:val="24"/>
      <w:lang w:val="es-ES"/>
    </w:rPr>
  </w:style>
  <w:style w:type="character" w:customStyle="1" w:styleId="Ttulo2Car">
    <w:name w:val="Título 2 Car"/>
    <w:basedOn w:val="Fuentedeprrafopredeter"/>
    <w:uiPriority w:val="1"/>
    <w:rsid w:val="00876703"/>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876703"/>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876703"/>
    <w:rPr>
      <w:rFonts w:ascii="Arial MT" w:eastAsia="Arial MT" w:hAnsi="Arial MT" w:cs="Arial MT"/>
      <w:sz w:val="24"/>
      <w:szCs w:val="24"/>
      <w:lang w:val="es-ES"/>
    </w:rPr>
  </w:style>
  <w:style w:type="paragraph" w:styleId="Prrafodelista">
    <w:name w:val="List Paragraph"/>
    <w:basedOn w:val="Normal"/>
    <w:uiPriority w:val="34"/>
    <w:qFormat/>
    <w:rsid w:val="00876703"/>
    <w:pPr>
      <w:widowControl w:val="0"/>
      <w:autoSpaceDE w:val="0"/>
      <w:autoSpaceDN w:val="0"/>
      <w:spacing w:after="0" w:line="240" w:lineRule="auto"/>
      <w:ind w:left="2280" w:hanging="358"/>
    </w:pPr>
    <w:rPr>
      <w:rFonts w:ascii="Arial MT" w:eastAsia="Arial MT" w:hAnsi="Arial MT" w:cs="Arial MT"/>
      <w:lang w:val="es-ES"/>
    </w:rPr>
  </w:style>
  <w:style w:type="paragraph" w:styleId="Encabezado">
    <w:name w:val="header"/>
    <w:basedOn w:val="Normal"/>
    <w:link w:val="EncabezadoCar"/>
    <w:uiPriority w:val="99"/>
    <w:unhideWhenUsed/>
    <w:rsid w:val="00876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6703"/>
  </w:style>
  <w:style w:type="paragraph" w:styleId="Piedepgina">
    <w:name w:val="footer"/>
    <w:basedOn w:val="Normal"/>
    <w:link w:val="PiedepginaCar"/>
    <w:uiPriority w:val="99"/>
    <w:unhideWhenUsed/>
    <w:rsid w:val="00876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6703"/>
  </w:style>
  <w:style w:type="table" w:customStyle="1" w:styleId="TableNormal0">
    <w:name w:val="Table Normal"/>
    <w:uiPriority w:val="2"/>
    <w:semiHidden/>
    <w:unhideWhenUsed/>
    <w:qFormat/>
    <w:rsid w:val="008767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6D689D"/>
    <w:rPr>
      <w:sz w:val="16"/>
      <w:szCs w:val="16"/>
    </w:rPr>
  </w:style>
  <w:style w:type="paragraph" w:styleId="Textocomentario">
    <w:name w:val="annotation text"/>
    <w:basedOn w:val="Normal"/>
    <w:link w:val="TextocomentarioCar"/>
    <w:uiPriority w:val="99"/>
    <w:semiHidden/>
    <w:unhideWhenUsed/>
    <w:rsid w:val="006D68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689D"/>
    <w:rPr>
      <w:sz w:val="20"/>
      <w:szCs w:val="20"/>
    </w:rPr>
  </w:style>
  <w:style w:type="paragraph" w:styleId="Asuntodelcomentario">
    <w:name w:val="annotation subject"/>
    <w:basedOn w:val="Textocomentario"/>
    <w:next w:val="Textocomentario"/>
    <w:link w:val="AsuntodelcomentarioCar"/>
    <w:uiPriority w:val="99"/>
    <w:semiHidden/>
    <w:unhideWhenUsed/>
    <w:rsid w:val="006D689D"/>
    <w:rPr>
      <w:b/>
      <w:bCs/>
    </w:rPr>
  </w:style>
  <w:style w:type="character" w:customStyle="1" w:styleId="AsuntodelcomentarioCar">
    <w:name w:val="Asunto del comentario Car"/>
    <w:basedOn w:val="TextocomentarioCar"/>
    <w:link w:val="Asuntodelcomentario"/>
    <w:uiPriority w:val="99"/>
    <w:semiHidden/>
    <w:rsid w:val="006D689D"/>
    <w:rPr>
      <w:b/>
      <w:bCs/>
      <w:sz w:val="20"/>
      <w:szCs w:val="20"/>
    </w:rPr>
  </w:style>
  <w:style w:type="paragraph" w:styleId="Textodeglobo">
    <w:name w:val="Balloon Text"/>
    <w:basedOn w:val="Normal"/>
    <w:link w:val="TextodegloboCar"/>
    <w:uiPriority w:val="99"/>
    <w:semiHidden/>
    <w:unhideWhenUsed/>
    <w:rsid w:val="006D68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689D"/>
    <w:rPr>
      <w:rFonts w:ascii="Segoe UI" w:hAnsi="Segoe UI" w:cs="Segoe UI"/>
      <w:sz w:val="18"/>
      <w:szCs w:val="18"/>
    </w:rPr>
  </w:style>
  <w:style w:type="table" w:styleId="Tablaconcuadrcula">
    <w:name w:val="Table Grid"/>
    <w:basedOn w:val="Tablanormal"/>
    <w:uiPriority w:val="39"/>
    <w:rsid w:val="00FA45D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Fuentedeprrafopredeter"/>
    <w:rsid w:val="00FA45D4"/>
  </w:style>
  <w:style w:type="paragraph" w:customStyle="1" w:styleId="s4">
    <w:name w:val="s4"/>
    <w:basedOn w:val="Normal"/>
    <w:rsid w:val="00FA45D4"/>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NormalWeb">
    <w:name w:val="Normal (Web)"/>
    <w:basedOn w:val="Normal"/>
    <w:uiPriority w:val="99"/>
    <w:unhideWhenUsed/>
    <w:rsid w:val="001D0450"/>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3-nfasis4">
    <w:name w:val="Grid Table 3 Accent 4"/>
    <w:basedOn w:val="Tablanormal"/>
    <w:uiPriority w:val="48"/>
    <w:rsid w:val="00AC4A9E"/>
    <w:pPr>
      <w:spacing w:after="0" w:line="240" w:lineRule="auto"/>
    </w:pPr>
    <w:rPr>
      <w:rFonts w:eastAsiaTheme="minorEastAsia"/>
      <w:kern w:val="2"/>
      <w:lang w:val="es-MX"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character" w:styleId="Hipervnculo">
    <w:name w:val="Hyperlink"/>
    <w:basedOn w:val="Fuentedeprrafopredeter"/>
    <w:uiPriority w:val="99"/>
    <w:semiHidden/>
    <w:unhideWhenUsed/>
    <w:rsid w:val="006A0DA0"/>
    <w:rPr>
      <w:color w:val="0000FF"/>
      <w:u w:val="single"/>
    </w:rPr>
  </w:style>
  <w:style w:type="character" w:styleId="Textoennegrita">
    <w:name w:val="Strong"/>
    <w:basedOn w:val="Fuentedeprrafopredeter"/>
    <w:uiPriority w:val="22"/>
    <w:qFormat/>
    <w:rsid w:val="0050753C"/>
    <w:rPr>
      <w:b/>
      <w:bCs/>
    </w:rPr>
  </w:style>
  <w:style w:type="character" w:styleId="nfasis">
    <w:name w:val="Emphasis"/>
    <w:basedOn w:val="Fuentedeprrafopredeter"/>
    <w:uiPriority w:val="20"/>
    <w:qFormat/>
    <w:rsid w:val="0050753C"/>
    <w:rPr>
      <w:i/>
      <w:iCs/>
    </w:rPr>
  </w:style>
  <w:style w:type="table" w:customStyle="1" w:styleId="3">
    <w:name w:val="3"/>
    <w:basedOn w:val="Tablanormal"/>
    <w:rsid w:val="00F11AC8"/>
    <w:pPr>
      <w:widowControl w:val="0"/>
      <w:spacing w:after="0" w:line="240" w:lineRule="auto"/>
    </w:pPr>
    <w:rPr>
      <w:rFonts w:ascii="Times New Roman" w:eastAsia="Times New Roman" w:hAnsi="Times New Roman" w:cs="Times New Roman"/>
      <w:sz w:val="24"/>
      <w:szCs w:val="24"/>
      <w:lang w:val="en-US"/>
    </w:rPr>
    <w:tblPr>
      <w:tblStyleRowBandSize w:val="1"/>
      <w:tblStyleColBandSize w:val="1"/>
      <w:tblCellMar>
        <w:top w:w="100" w:type="dxa"/>
        <w:left w:w="100" w:type="dxa"/>
        <w:bottom w:w="100" w:type="dxa"/>
        <w:right w:w="10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0">
    <w:basedOn w:val="TableNormal0"/>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108" w:type="dxa"/>
        <w:right w:w="108" w:type="dxa"/>
      </w:tblCellMar>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5"/>
        </w:tcBorders>
      </w:tcPr>
    </w:tblStylePr>
    <w:tblStylePr w:type="nwCell">
      <w:tblPr/>
      <w:tcPr>
        <w:tcBorders>
          <w:bottom w:val="single" w:sz="4" w:space="0" w:color="FFD965"/>
        </w:tcBorders>
      </w:tcPr>
    </w:tblStylePr>
    <w:tblStylePr w:type="seCell">
      <w:tblPr/>
      <w:tcPr>
        <w:tcBorders>
          <w:top w:val="single" w:sz="4" w:space="0" w:color="FFD965"/>
        </w:tcBorders>
      </w:tcPr>
    </w:tblStylePr>
    <w:tblStylePr w:type="swCell">
      <w:tblPr/>
      <w:tcPr>
        <w:tcBorders>
          <w:top w:val="single" w:sz="4" w:space="0" w:color="FFD965"/>
        </w:tcBorders>
      </w:tcPr>
    </w:tblStylePr>
  </w:style>
  <w:style w:type="table" w:customStyle="1" w:styleId="a2">
    <w:basedOn w:val="TableNormal0"/>
    <w:tblPr>
      <w:tblStyleRowBandSize w:val="1"/>
      <w:tblStyleColBandSize w:val="1"/>
      <w:tblCellMar>
        <w:left w:w="108" w:type="dxa"/>
        <w:right w:w="108" w:type="dxa"/>
      </w:tblCellMar>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5"/>
        </w:tcBorders>
      </w:tcPr>
    </w:tblStylePr>
    <w:tblStylePr w:type="nwCell">
      <w:tblPr/>
      <w:tcPr>
        <w:tcBorders>
          <w:bottom w:val="single" w:sz="4" w:space="0" w:color="FFD965"/>
        </w:tcBorders>
      </w:tcPr>
    </w:tblStylePr>
    <w:tblStylePr w:type="seCell">
      <w:tblPr/>
      <w:tcPr>
        <w:tcBorders>
          <w:top w:val="single" w:sz="4" w:space="0" w:color="FFD965"/>
        </w:tcBorders>
      </w:tcPr>
    </w:tblStylePr>
    <w:tblStylePr w:type="swCell">
      <w:tblPr/>
      <w:tcPr>
        <w:tcBorders>
          <w:top w:val="single" w:sz="4" w:space="0" w:color="FFD965"/>
        </w:tcBorders>
      </w:tcPr>
    </w:tblStylePr>
  </w:style>
  <w:style w:type="table" w:customStyle="1" w:styleId="a3">
    <w:basedOn w:val="TableNormal0"/>
    <w:rPr>
      <w:rFonts w:ascii="Times New Roman" w:eastAsia="Times New Roman" w:hAnsi="Times New Roman" w:cs="Times New Roman"/>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uncionpublica.gov.co/eva/gestornormativo/norma.php?i=38664" TargetMode="External"/><Relationship Id="rId18" Type="http://schemas.openxmlformats.org/officeDocument/2006/relationships/hyperlink" Target="https://www.funcionpublica.gov.co/eva/gestornormativo/norma.php?i=190" TargetMode="External"/><Relationship Id="rId3" Type="http://schemas.openxmlformats.org/officeDocument/2006/relationships/styles" Target="styles.xml"/><Relationship Id="rId21" Type="http://schemas.openxmlformats.org/officeDocument/2006/relationships/hyperlink" Target="https://www.funcionpublica.gov.co/eva/gestornormativo/norma.php?i=11368" TargetMode="External"/><Relationship Id="rId7" Type="http://schemas.openxmlformats.org/officeDocument/2006/relationships/endnotes" Target="endnotes.xml"/><Relationship Id="rId12" Type="http://schemas.openxmlformats.org/officeDocument/2006/relationships/hyperlink" Target="https://www.funcionpublica.gov.co/eva/gestornormativo/norma.php?i=7839" TargetMode="External"/><Relationship Id="rId17" Type="http://schemas.openxmlformats.org/officeDocument/2006/relationships/hyperlink" Target="https://www.funcionpublica.gov.co/eva/gestornormativo/norma.php?i=19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uncionpublica.gov.co/eva/gestornormativo/norma.php?i=38664" TargetMode="External"/><Relationship Id="rId20" Type="http://schemas.openxmlformats.org/officeDocument/2006/relationships/hyperlink" Target="https://www.funcionpublica.gov.co/eva/gestornormativo/norma.php?i=113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uncionpublica.gov.co/eva/gestornormativo/norma.php?i=76935"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funcionpublica.gov.co/eva/gestornormativo/norma.php?i=6160"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funcionpublica.gov.co/eva/gestornormativo/norma.php?i=75982"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xnE8OfErb2Je/sqhnACv2Cn1Zw==">CgMxLjAyDmguOGhocXUyNnM5eG50Mg9pZC5zZzYwY3lrb2Nld2k4AHIhMTU2endwckdwbGJCZ3NIcl92Ri1uXzk3cVVQM1FJVFVO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6895</Words>
  <Characters>37924</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Andrés Rodríguez González</dc:creator>
  <cp:lastModifiedBy>Yina Paola Fierro Gaona</cp:lastModifiedBy>
  <cp:revision>4</cp:revision>
  <cp:lastPrinted>2025-09-09T15:59:00Z</cp:lastPrinted>
  <dcterms:created xsi:type="dcterms:W3CDTF">2025-09-09T15:44:00Z</dcterms:created>
  <dcterms:modified xsi:type="dcterms:W3CDTF">2025-09-09T21:00:00Z</dcterms:modified>
</cp:coreProperties>
</file>