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2B" w:rsidRDefault="00FA3500">
      <w:pPr>
        <w:spacing w:line="273" w:lineRule="auto"/>
        <w:jc w:val="right"/>
        <w:rPr>
          <w:rFonts w:ascii="Book Antiqua" w:eastAsia="Book Antiqua" w:hAnsi="Book Antiqua" w:cs="Book Antiqua"/>
          <w:b/>
          <w:sz w:val="24"/>
          <w:szCs w:val="24"/>
        </w:rPr>
      </w:pPr>
      <w:r>
        <w:rPr>
          <w:rFonts w:ascii="Book Antiqua" w:eastAsia="Book Antiqua" w:hAnsi="Book Antiqua" w:cs="Book Antiqua"/>
          <w:b/>
          <w:sz w:val="24"/>
          <w:szCs w:val="24"/>
        </w:rPr>
        <w:t>Bogotá, 02 de septiembre de 2025</w:t>
      </w:r>
    </w:p>
    <w:p w:rsidR="001C3F2B" w:rsidRDefault="00FA3500">
      <w:pPr>
        <w:spacing w:line="273"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spacing w:line="273"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spacing w:line="273"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Doctor</w:t>
      </w: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JAIME LUIS LACOUTURE PEÑALOZA</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Secretario General</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Honorable Cámara de Representantes</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Ciudad </w:t>
      </w: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spacing w:line="273" w:lineRule="auto"/>
        <w:jc w:val="right"/>
        <w:rPr>
          <w:rFonts w:ascii="Book Antiqua" w:eastAsia="Book Antiqua" w:hAnsi="Book Antiqua" w:cs="Book Antiqua"/>
          <w:b/>
          <w:sz w:val="24"/>
          <w:szCs w:val="24"/>
        </w:rPr>
      </w:pPr>
      <w:r>
        <w:rPr>
          <w:rFonts w:ascii="Book Antiqua" w:eastAsia="Book Antiqua" w:hAnsi="Book Antiqua" w:cs="Book Antiqua"/>
          <w:b/>
          <w:sz w:val="24"/>
          <w:szCs w:val="24"/>
        </w:rPr>
        <w:t>REF: RADICACIÓN PROYECTO DE LEY</w:t>
      </w: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 </w:t>
      </w:r>
    </w:p>
    <w:p w:rsidR="001C3F2B" w:rsidRDefault="00FA3500">
      <w:pPr>
        <w:jc w:val="both"/>
        <w:rPr>
          <w:rFonts w:ascii="Book Antiqua" w:eastAsia="Book Antiqua" w:hAnsi="Book Antiqua" w:cs="Book Antiqua"/>
          <w:i/>
          <w:sz w:val="24"/>
          <w:szCs w:val="24"/>
        </w:rPr>
      </w:pPr>
      <w:r>
        <w:rPr>
          <w:rFonts w:ascii="Book Antiqua" w:eastAsia="Book Antiqua" w:hAnsi="Book Antiqua" w:cs="Book Antiqua"/>
          <w:sz w:val="24"/>
          <w:szCs w:val="24"/>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sz w:val="24"/>
          <w:szCs w:val="24"/>
        </w:rPr>
        <w:t xml:space="preserve"> proyecto de ley </w:t>
      </w:r>
      <w:r>
        <w:rPr>
          <w:rFonts w:ascii="Book Antiqua" w:eastAsia="Book Antiqua" w:hAnsi="Book Antiqua" w:cs="Book Antiqua"/>
          <w:i/>
          <w:sz w:val="24"/>
          <w:szCs w:val="24"/>
        </w:rPr>
        <w:t>“Por medio de la cual se establecen lineamientos normativos para un sistema predial más equitativo y progresivo y se dictan otras disposiciones”</w:t>
      </w:r>
    </w:p>
    <w:p w:rsidR="001C3F2B" w:rsidRDefault="001C3F2B">
      <w:pPr>
        <w:jc w:val="both"/>
        <w:rPr>
          <w:rFonts w:ascii="Book Antiqua" w:eastAsia="Book Antiqua" w:hAnsi="Book Antiqua" w:cs="Book Antiqua"/>
          <w:i/>
          <w:sz w:val="24"/>
          <w:szCs w:val="24"/>
        </w:rPr>
      </w:pP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Cordialmente, </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1C3F2B">
      <w:pPr>
        <w:spacing w:line="273" w:lineRule="auto"/>
        <w:jc w:val="both"/>
        <w:rPr>
          <w:rFonts w:ascii="Book Antiqua" w:eastAsia="Book Antiqua" w:hAnsi="Book Antiqua" w:cs="Book Antiqua"/>
          <w:sz w:val="24"/>
          <w:szCs w:val="24"/>
        </w:rPr>
      </w:pPr>
    </w:p>
    <w:p w:rsidR="001C3F2B" w:rsidRDefault="001C3F2B">
      <w:pPr>
        <w:spacing w:line="273" w:lineRule="auto"/>
        <w:jc w:val="both"/>
        <w:rPr>
          <w:rFonts w:ascii="Book Antiqua" w:eastAsia="Book Antiqua" w:hAnsi="Book Antiqua" w:cs="Book Antiqua"/>
          <w:sz w:val="24"/>
          <w:szCs w:val="24"/>
        </w:rPr>
      </w:pP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ALVARO LEONEL RUEDA CABALLERO</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Representante a la Cámara por Santander</w:t>
      </w: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b/>
          <w:sz w:val="24"/>
          <w:szCs w:val="24"/>
        </w:rPr>
      </w:pPr>
    </w:p>
    <w:p w:rsidR="001C3F2B" w:rsidRDefault="001C3F2B">
      <w:pPr>
        <w:jc w:val="both"/>
        <w:rPr>
          <w:rFonts w:ascii="Book Antiqua" w:eastAsia="Book Antiqua" w:hAnsi="Book Antiqua" w:cs="Book Antiqua"/>
          <w:b/>
          <w:sz w:val="24"/>
          <w:szCs w:val="24"/>
        </w:rPr>
      </w:pPr>
    </w:p>
    <w:p w:rsidR="001C3F2B" w:rsidRDefault="001C3F2B">
      <w:pPr>
        <w:jc w:val="both"/>
        <w:rPr>
          <w:rFonts w:ascii="Book Antiqua" w:eastAsia="Book Antiqua" w:hAnsi="Book Antiqua" w:cs="Book Antiqua"/>
          <w:b/>
          <w:sz w:val="24"/>
          <w:szCs w:val="24"/>
        </w:rPr>
      </w:pPr>
    </w:p>
    <w:p w:rsidR="001C3F2B" w:rsidRDefault="001C3F2B">
      <w:pPr>
        <w:jc w:val="both"/>
        <w:rPr>
          <w:rFonts w:ascii="Book Antiqua" w:eastAsia="Book Antiqua" w:hAnsi="Book Antiqua" w:cs="Book Antiqua"/>
          <w:b/>
          <w:sz w:val="24"/>
          <w:szCs w:val="24"/>
        </w:rPr>
      </w:pPr>
    </w:p>
    <w:p w:rsidR="001C3F2B" w:rsidRDefault="001C3F2B">
      <w:pPr>
        <w:jc w:val="both"/>
        <w:rPr>
          <w:rFonts w:ascii="Book Antiqua" w:eastAsia="Book Antiqua" w:hAnsi="Book Antiqua" w:cs="Book Antiqua"/>
          <w:b/>
          <w:sz w:val="24"/>
          <w:szCs w:val="24"/>
        </w:rPr>
      </w:pPr>
    </w:p>
    <w:p w:rsidR="001C3F2B" w:rsidRDefault="001C3F2B">
      <w:pPr>
        <w:jc w:val="both"/>
        <w:rPr>
          <w:rFonts w:ascii="Book Antiqua" w:eastAsia="Book Antiqua" w:hAnsi="Book Antiqua" w:cs="Book Antiqua"/>
          <w:b/>
          <w:sz w:val="24"/>
          <w:szCs w:val="24"/>
        </w:rPr>
      </w:pPr>
    </w:p>
    <w:p w:rsidR="001C3F2B" w:rsidRDefault="001C3F2B">
      <w:pPr>
        <w:jc w:val="both"/>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PROYECTO DE LEY ____ DE 2025</w:t>
      </w:r>
    </w:p>
    <w:p w:rsidR="001C3F2B" w:rsidRDefault="001C3F2B">
      <w:pPr>
        <w:jc w:val="center"/>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“POR MEDIO DE LA CUAL SE ESTABLECEN LINEAMIENTOS NORMATIVOS PARA UN SISTEMA PREDIAL MÁS EQUITATIVO Y PROGRESIVO Y SE DICTAN OTRAS DISPOSICIONES”</w:t>
      </w:r>
    </w:p>
    <w:p w:rsidR="001C3F2B" w:rsidRDefault="001C3F2B">
      <w:pPr>
        <w:jc w:val="both"/>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EL CONGRESO DE LA REPÚBLICA DE COLOMBIA</w:t>
      </w:r>
    </w:p>
    <w:p w:rsidR="001C3F2B" w:rsidRDefault="001C3F2B">
      <w:pPr>
        <w:jc w:val="center"/>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DECRETA:</w:t>
      </w:r>
    </w:p>
    <w:p w:rsidR="001C3F2B" w:rsidRDefault="001C3F2B">
      <w:pPr>
        <w:jc w:val="center"/>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CAPÍTULO I </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DISPOSICIONES GENERALES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1. Objeto de la Ley.</w:t>
      </w:r>
      <w:r>
        <w:rPr>
          <w:rFonts w:ascii="Book Antiqua" w:eastAsia="Book Antiqua" w:hAnsi="Book Antiqua" w:cs="Book Antiqua"/>
          <w:sz w:val="24"/>
          <w:szCs w:val="24"/>
        </w:rPr>
        <w:t xml:space="preserve"> La presente ley tiene por objeto fijar los lineamientos para la configuración de un sistema de cobro del Impuesto Predial Unificado que responda a criterios de equidad, progresividad y eficiencia, en a</w:t>
      </w:r>
      <w:r>
        <w:rPr>
          <w:rFonts w:ascii="Book Antiqua" w:eastAsia="Book Antiqua" w:hAnsi="Book Antiqua" w:cs="Book Antiqua"/>
          <w:sz w:val="24"/>
          <w:szCs w:val="24"/>
        </w:rPr>
        <w:t>rmonía con la autonomía de los entes territoriales y en función de la variación del impuesto frente a los procesos de actualización y reajuste catastral, con el fin de garantizar mayor certeza, estabilidad y coherencia fiscal en el ámbito local.</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w:t>
      </w:r>
      <w:r>
        <w:rPr>
          <w:rFonts w:ascii="Book Antiqua" w:eastAsia="Book Antiqua" w:hAnsi="Book Antiqua" w:cs="Book Antiqua"/>
          <w:b/>
          <w:sz w:val="24"/>
          <w:szCs w:val="24"/>
        </w:rPr>
        <w:t>2. Ámbito de aplicación.</w:t>
      </w:r>
      <w:r>
        <w:rPr>
          <w:rFonts w:ascii="Book Antiqua" w:eastAsia="Book Antiqua" w:hAnsi="Book Antiqua" w:cs="Book Antiqua"/>
          <w:sz w:val="24"/>
          <w:szCs w:val="24"/>
        </w:rPr>
        <w:t xml:space="preserve"> Esta ley será aplicable en todo el territorio nacional y servirá como marco para los concejos municipales y distritales, quienes, en ejercicio de su autonomía, acogerán los lineamientos en sus acuerdos tributarios locales.</w:t>
      </w:r>
    </w:p>
    <w:p w:rsidR="001C3F2B" w:rsidRDefault="001C3F2B">
      <w:pPr>
        <w:jc w:val="both"/>
        <w:rPr>
          <w:rFonts w:ascii="Book Antiqua" w:eastAsia="Book Antiqua" w:hAnsi="Book Antiqua" w:cs="Book Antiqua"/>
          <w:sz w:val="24"/>
          <w:szCs w:val="24"/>
          <w:shd w:val="clear" w:color="auto" w:fill="FFF2CC"/>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3°. Definiciones.</w:t>
      </w:r>
      <w:r>
        <w:rPr>
          <w:rFonts w:ascii="Book Antiqua" w:eastAsia="Book Antiqua" w:hAnsi="Book Antiqua" w:cs="Book Antiqua"/>
          <w:sz w:val="24"/>
          <w:szCs w:val="24"/>
        </w:rPr>
        <w:t xml:space="preserve"> Para efectos de la presente ley, se entenderá por:</w:t>
      </w:r>
    </w:p>
    <w:p w:rsidR="001C3F2B" w:rsidRDefault="001C3F2B">
      <w:pPr>
        <w:jc w:val="both"/>
        <w:rPr>
          <w:rFonts w:ascii="Book Antiqua" w:eastAsia="Book Antiqua" w:hAnsi="Book Antiqua" w:cs="Book Antiqua"/>
          <w:sz w:val="24"/>
          <w:szCs w:val="24"/>
        </w:rPr>
      </w:pP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a) Actualización catastral: Procedimiento de formación o revisión integral del avalúo catastral, adelantado por el gestor catastral competente, cuyo resultado rige fiscalmente a</w:t>
      </w:r>
      <w:r>
        <w:rPr>
          <w:rFonts w:ascii="Book Antiqua" w:eastAsia="Book Antiqua" w:hAnsi="Book Antiqua" w:cs="Book Antiqua"/>
          <w:sz w:val="24"/>
          <w:szCs w:val="24"/>
        </w:rPr>
        <w:t xml:space="preserve"> partir del 1° de enero del año siguiente a su ejecutoria.</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 xml:space="preserve">b) Reajuste anual de avalúos: Incremento anual automático del avalúo catastral fijado por el Gobierno Nacional, previo concepto del CONPES, dentro del rango 70%–100% del </w:t>
      </w:r>
      <w:proofErr w:type="spellStart"/>
      <w:r>
        <w:rPr>
          <w:rFonts w:ascii="Book Antiqua" w:eastAsia="Book Antiqua" w:hAnsi="Book Antiqua" w:cs="Book Antiqua"/>
          <w:sz w:val="24"/>
          <w:szCs w:val="24"/>
        </w:rPr>
        <w:t>IPC.c</w:t>
      </w:r>
      <w:proofErr w:type="spellEnd"/>
      <w:r>
        <w:rPr>
          <w:rFonts w:ascii="Book Antiqua" w:eastAsia="Book Antiqua" w:hAnsi="Book Antiqua" w:cs="Book Antiqua"/>
          <w:sz w:val="24"/>
          <w:szCs w:val="24"/>
        </w:rPr>
        <w:t xml:space="preserve">) Segmentos de predio </w:t>
      </w:r>
      <w:r>
        <w:rPr>
          <w:rFonts w:ascii="Book Antiqua" w:eastAsia="Book Antiqua" w:hAnsi="Book Antiqua" w:cs="Book Antiqua"/>
          <w:sz w:val="24"/>
          <w:szCs w:val="24"/>
        </w:rPr>
        <w:t>(para fines del límite):</w:t>
      </w:r>
    </w:p>
    <w:p w:rsidR="001C3F2B" w:rsidRDefault="001C3F2B">
      <w:pPr>
        <w:jc w:val="both"/>
        <w:rPr>
          <w:rFonts w:ascii="Book Antiqua" w:eastAsia="Book Antiqua" w:hAnsi="Book Antiqua" w:cs="Book Antiqua"/>
          <w:sz w:val="24"/>
          <w:szCs w:val="24"/>
        </w:rPr>
      </w:pPr>
    </w:p>
    <w:p w:rsidR="001C3F2B" w:rsidRDefault="00FA3500">
      <w:pPr>
        <w:ind w:left="1440"/>
        <w:jc w:val="both"/>
        <w:rPr>
          <w:rFonts w:ascii="Book Antiqua" w:eastAsia="Book Antiqua" w:hAnsi="Book Antiqua" w:cs="Book Antiqua"/>
          <w:sz w:val="24"/>
          <w:szCs w:val="24"/>
        </w:rPr>
      </w:pPr>
      <w:r>
        <w:rPr>
          <w:rFonts w:ascii="Book Antiqua" w:eastAsia="Book Antiqua" w:hAnsi="Book Antiqua" w:cs="Book Antiqua"/>
          <w:sz w:val="24"/>
          <w:szCs w:val="24"/>
        </w:rPr>
        <w:t>i) Residencial VIS/VIP y asimilados: inmuebles habitacionales de estratos 1 y 2 con avalúo catastral ≤ 135 SMMLV.</w:t>
      </w:r>
    </w:p>
    <w:p w:rsidR="001C3F2B" w:rsidRDefault="00FA3500">
      <w:pPr>
        <w:ind w:left="1440"/>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ii) Residencial general: resto de inmuebles habitacionales no comprendidos en el numeral anterior.</w:t>
      </w:r>
    </w:p>
    <w:p w:rsidR="001C3F2B" w:rsidRDefault="00FA3500">
      <w:pPr>
        <w:ind w:left="1440"/>
        <w:jc w:val="both"/>
        <w:rPr>
          <w:rFonts w:ascii="Book Antiqua" w:eastAsia="Book Antiqua" w:hAnsi="Book Antiqua" w:cs="Book Antiqua"/>
          <w:sz w:val="24"/>
          <w:szCs w:val="24"/>
        </w:rPr>
      </w:pPr>
      <w:r>
        <w:rPr>
          <w:rFonts w:ascii="Book Antiqua" w:eastAsia="Book Antiqua" w:hAnsi="Book Antiqua" w:cs="Book Antiqua"/>
          <w:sz w:val="24"/>
          <w:szCs w:val="24"/>
        </w:rPr>
        <w:t>iii) No residencial: inmuebles de uso comercial, industrial, dotacional u otros no residenciales.</w:t>
      </w:r>
    </w:p>
    <w:p w:rsidR="001C3F2B" w:rsidRDefault="001C3F2B">
      <w:pPr>
        <w:ind w:left="720"/>
        <w:jc w:val="both"/>
        <w:rPr>
          <w:rFonts w:ascii="Book Antiqua" w:eastAsia="Book Antiqua" w:hAnsi="Book Antiqua" w:cs="Book Antiqua"/>
          <w:sz w:val="24"/>
          <w:szCs w:val="24"/>
        </w:rPr>
      </w:pP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c) Año t / Año t–1: Año gravable objeto de liquidación / año gravable inmediatamente anterior.</w:t>
      </w:r>
    </w:p>
    <w:p w:rsidR="001C3F2B" w:rsidRDefault="001C3F2B">
      <w:pPr>
        <w:jc w:val="both"/>
        <w:rPr>
          <w:rFonts w:ascii="Book Antiqua" w:eastAsia="Book Antiqua" w:hAnsi="Book Antiqua" w:cs="Book Antiqua"/>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CAPÍTULO II </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LÍMITES AL CRECIMIENTO DEL IMPUESTO PREDIAL UNIF</w:t>
      </w:r>
      <w:r>
        <w:rPr>
          <w:rFonts w:ascii="Book Antiqua" w:eastAsia="Book Antiqua" w:hAnsi="Book Antiqua" w:cs="Book Antiqua"/>
          <w:b/>
          <w:sz w:val="24"/>
          <w:szCs w:val="24"/>
        </w:rPr>
        <w:t>ICADO</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4°. Límite general al crecimiento del IPU por actualización o reajuste catastral.</w:t>
      </w:r>
      <w:r>
        <w:rPr>
          <w:rFonts w:ascii="Book Antiqua" w:eastAsia="Book Antiqua" w:hAnsi="Book Antiqua" w:cs="Book Antiqua"/>
          <w:sz w:val="24"/>
          <w:szCs w:val="24"/>
        </w:rPr>
        <w:t xml:space="preserve"> El IPU del año t (</w:t>
      </w:r>
      <w:proofErr w:type="spellStart"/>
      <w:r>
        <w:rPr>
          <w:rFonts w:ascii="Book Antiqua" w:eastAsia="Book Antiqua" w:hAnsi="Book Antiqua" w:cs="Book Antiqua"/>
          <w:sz w:val="24"/>
          <w:szCs w:val="24"/>
        </w:rPr>
        <w:t>I_t</w:t>
      </w:r>
      <w:proofErr w:type="spellEnd"/>
      <w:r>
        <w:rPr>
          <w:rFonts w:ascii="Book Antiqua" w:eastAsia="Book Antiqua" w:hAnsi="Book Antiqua" w:cs="Book Antiqua"/>
          <w:sz w:val="24"/>
          <w:szCs w:val="24"/>
        </w:rPr>
        <w:t>) no podrá exceder el valor del IPU del año t–1 (I_{t-1}) multiplicado por el factor de actualización determinado por el IPC y por un par</w:t>
      </w:r>
      <w:r>
        <w:rPr>
          <w:rFonts w:ascii="Book Antiqua" w:eastAsia="Book Antiqua" w:hAnsi="Book Antiqua" w:cs="Book Antiqua"/>
          <w:sz w:val="24"/>
          <w:szCs w:val="24"/>
        </w:rPr>
        <w:t>ámetro segmentado según la naturaleza del predio, así:</w:t>
      </w:r>
    </w:p>
    <w:p w:rsidR="001C3F2B" w:rsidRDefault="001C3F2B">
      <w:pPr>
        <w:jc w:val="both"/>
        <w:rPr>
          <w:rFonts w:ascii="Book Antiqua" w:eastAsia="Book Antiqua" w:hAnsi="Book Antiqua" w:cs="Book Antiqua"/>
          <w:sz w:val="24"/>
          <w:szCs w:val="24"/>
        </w:rPr>
      </w:pPr>
    </w:p>
    <w:p w:rsidR="001C3F2B" w:rsidRDefault="00FA3500">
      <w:pPr>
        <w:jc w:val="center"/>
        <w:rPr>
          <w:rFonts w:ascii="Book Antiqua" w:eastAsia="Book Antiqua" w:hAnsi="Book Antiqua" w:cs="Book Antiqua"/>
          <w:i/>
          <w:sz w:val="24"/>
          <w:szCs w:val="24"/>
        </w:rPr>
      </w:pPr>
      <w:proofErr w:type="spellStart"/>
      <w:r>
        <w:rPr>
          <w:rFonts w:ascii="Book Antiqua" w:eastAsia="Book Antiqua" w:hAnsi="Book Antiqua" w:cs="Book Antiqua"/>
          <w:i/>
          <w:sz w:val="24"/>
          <w:szCs w:val="24"/>
        </w:rPr>
        <w:t>I_t</w:t>
      </w:r>
      <w:proofErr w:type="spellEnd"/>
      <w:r>
        <w:rPr>
          <w:rFonts w:ascii="Book Antiqua" w:eastAsia="Book Antiqua" w:hAnsi="Book Antiqua" w:cs="Book Antiqua"/>
          <w:i/>
          <w:sz w:val="24"/>
          <w:szCs w:val="24"/>
        </w:rPr>
        <w:t xml:space="preserve"> ≤ I_{t-1} × (1 + π_t + α_s)</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donde:</w:t>
      </w:r>
    </w:p>
    <w:p w:rsidR="001C3F2B" w:rsidRDefault="001C3F2B">
      <w:pPr>
        <w:jc w:val="both"/>
        <w:rPr>
          <w:rFonts w:ascii="Book Antiqua" w:eastAsia="Book Antiqua" w:hAnsi="Book Antiqua" w:cs="Book Antiqua"/>
          <w:sz w:val="24"/>
          <w:szCs w:val="24"/>
        </w:rPr>
      </w:pPr>
    </w:p>
    <w:p w:rsidR="001C3F2B" w:rsidRDefault="00FA3500">
      <w:pPr>
        <w:numPr>
          <w:ilvl w:val="0"/>
          <w:numId w:val="1"/>
        </w:numPr>
        <w:jc w:val="both"/>
        <w:rPr>
          <w:rFonts w:ascii="Book Antiqua" w:eastAsia="Book Antiqua" w:hAnsi="Book Antiqua" w:cs="Book Antiqua"/>
          <w:sz w:val="24"/>
          <w:szCs w:val="24"/>
        </w:rPr>
      </w:pPr>
      <w:r>
        <w:rPr>
          <w:rFonts w:ascii="Book Antiqua" w:eastAsia="Book Antiqua" w:hAnsi="Book Antiqua" w:cs="Book Antiqua"/>
          <w:sz w:val="24"/>
          <w:szCs w:val="24"/>
        </w:rPr>
        <w:t>π_t es la variación anual del IPC certificada por el DANE para el periodo aplicable; y</w:t>
      </w:r>
    </w:p>
    <w:p w:rsidR="001C3F2B" w:rsidRDefault="00FA3500">
      <w:pPr>
        <w:numPr>
          <w:ilvl w:val="0"/>
          <w:numId w:val="1"/>
        </w:numPr>
        <w:jc w:val="both"/>
        <w:rPr>
          <w:rFonts w:ascii="Book Antiqua" w:eastAsia="Book Antiqua" w:hAnsi="Book Antiqua" w:cs="Book Antiqua"/>
          <w:sz w:val="24"/>
          <w:szCs w:val="24"/>
        </w:rPr>
      </w:pPr>
      <w:r>
        <w:rPr>
          <w:rFonts w:ascii="Book Antiqua" w:eastAsia="Book Antiqua" w:hAnsi="Book Antiqua" w:cs="Book Antiqua"/>
          <w:sz w:val="24"/>
          <w:szCs w:val="24"/>
        </w:rPr>
        <w:t>α_s es el parámetro adicional por segmento (s):</w:t>
      </w:r>
    </w:p>
    <w:p w:rsidR="001C3F2B" w:rsidRDefault="001C3F2B">
      <w:pPr>
        <w:ind w:left="720"/>
        <w:jc w:val="both"/>
        <w:rPr>
          <w:rFonts w:ascii="Book Antiqua" w:eastAsia="Book Antiqua" w:hAnsi="Book Antiqua" w:cs="Book Antiqua"/>
          <w:sz w:val="24"/>
          <w:szCs w:val="24"/>
        </w:rPr>
      </w:pPr>
    </w:p>
    <w:p w:rsidR="001C3F2B" w:rsidRDefault="00FA3500">
      <w:pPr>
        <w:numPr>
          <w:ilvl w:val="1"/>
          <w:numId w:val="1"/>
        </w:numPr>
        <w:jc w:val="both"/>
        <w:rPr>
          <w:rFonts w:ascii="Book Antiqua" w:eastAsia="Book Antiqua" w:hAnsi="Book Antiqua" w:cs="Book Antiqua"/>
          <w:sz w:val="24"/>
          <w:szCs w:val="24"/>
        </w:rPr>
      </w:pPr>
      <w:r>
        <w:rPr>
          <w:rFonts w:ascii="Book Antiqua" w:eastAsia="Book Antiqua" w:hAnsi="Book Antiqua" w:cs="Book Antiqua"/>
          <w:sz w:val="24"/>
          <w:szCs w:val="24"/>
        </w:rPr>
        <w:t>Residencial VIS/VIP (≤ 1</w:t>
      </w:r>
      <w:r>
        <w:rPr>
          <w:rFonts w:ascii="Book Antiqua" w:eastAsia="Book Antiqua" w:hAnsi="Book Antiqua" w:cs="Book Antiqua"/>
          <w:sz w:val="24"/>
          <w:szCs w:val="24"/>
        </w:rPr>
        <w:t>35 SMMLV, estratos 1–2): α_s = 0 (solo IPC).</w:t>
      </w:r>
    </w:p>
    <w:p w:rsidR="001C3F2B" w:rsidRDefault="00FA3500">
      <w:pPr>
        <w:numPr>
          <w:ilvl w:val="1"/>
          <w:numId w:val="1"/>
        </w:numPr>
        <w:jc w:val="both"/>
        <w:rPr>
          <w:rFonts w:ascii="Book Antiqua" w:eastAsia="Book Antiqua" w:hAnsi="Book Antiqua" w:cs="Book Antiqua"/>
          <w:sz w:val="24"/>
          <w:szCs w:val="24"/>
        </w:rPr>
      </w:pPr>
      <w:r>
        <w:rPr>
          <w:rFonts w:ascii="Book Antiqua" w:eastAsia="Book Antiqua" w:hAnsi="Book Antiqua" w:cs="Book Antiqua"/>
          <w:sz w:val="24"/>
          <w:szCs w:val="24"/>
        </w:rPr>
        <w:t>Residencial general: α_s = 0,04 (IPC + 4 puntos porcentuales).</w:t>
      </w:r>
    </w:p>
    <w:p w:rsidR="001C3F2B" w:rsidRDefault="00FA3500">
      <w:pPr>
        <w:numPr>
          <w:ilvl w:val="1"/>
          <w:numId w:val="1"/>
        </w:numPr>
        <w:jc w:val="both"/>
        <w:rPr>
          <w:rFonts w:ascii="Book Antiqua" w:eastAsia="Book Antiqua" w:hAnsi="Book Antiqua" w:cs="Book Antiqua"/>
          <w:sz w:val="24"/>
          <w:szCs w:val="24"/>
        </w:rPr>
      </w:pPr>
      <w:r>
        <w:rPr>
          <w:rFonts w:ascii="Book Antiqua" w:eastAsia="Book Antiqua" w:hAnsi="Book Antiqua" w:cs="Book Antiqua"/>
          <w:sz w:val="24"/>
          <w:szCs w:val="24"/>
        </w:rPr>
        <w:t>No residencial: α_s = 0,08 (IPC + 8 puntos porcentuales).</w:t>
      </w:r>
    </w:p>
    <w:p w:rsidR="001C3F2B" w:rsidRDefault="001C3F2B">
      <w:pPr>
        <w:ind w:left="1440"/>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Parágrafo 1°. </w:t>
      </w:r>
      <w:r>
        <w:rPr>
          <w:rFonts w:ascii="Book Antiqua" w:eastAsia="Book Antiqua" w:hAnsi="Book Antiqua" w:cs="Book Antiqua"/>
          <w:sz w:val="24"/>
          <w:szCs w:val="24"/>
        </w:rPr>
        <w:t>Los concejos municipales o distritales podrán fijar límites menores a los a</w:t>
      </w:r>
      <w:r>
        <w:rPr>
          <w:rFonts w:ascii="Book Antiqua" w:eastAsia="Book Antiqua" w:hAnsi="Book Antiqua" w:cs="Book Antiqua"/>
          <w:sz w:val="24"/>
          <w:szCs w:val="24"/>
        </w:rPr>
        <w:t>quí previstos para cualquiera de los segmentos, pero en ningún caso mayores.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Parágrafo 2°. </w:t>
      </w:r>
      <w:r>
        <w:rPr>
          <w:rFonts w:ascii="Book Antiqua" w:eastAsia="Book Antiqua" w:hAnsi="Book Antiqua" w:cs="Book Antiqua"/>
          <w:sz w:val="24"/>
          <w:szCs w:val="24"/>
        </w:rPr>
        <w:t>El límite establecido en este artículo aplica desde el primer año en que entre en vigencia fiscal la nueva base catastral resultante de una actualización o del reaj</w:t>
      </w:r>
      <w:r>
        <w:rPr>
          <w:rFonts w:ascii="Book Antiqua" w:eastAsia="Book Antiqua" w:hAnsi="Book Antiqua" w:cs="Book Antiqua"/>
          <w:sz w:val="24"/>
          <w:szCs w:val="24"/>
        </w:rPr>
        <w:t>uste anual.</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lastRenderedPageBreak/>
        <w:t xml:space="preserve">Parágrafo 3°. </w:t>
      </w:r>
      <w:r>
        <w:rPr>
          <w:rFonts w:ascii="Book Antiqua" w:eastAsia="Book Antiqua" w:hAnsi="Book Antiqua" w:cs="Book Antiqua"/>
          <w:sz w:val="24"/>
          <w:szCs w:val="24"/>
        </w:rPr>
        <w:t>El reajuste anual del avalúo catastral fijado por el Gobierno Nacional, previo concepto del CONPES, se mantiene y no se computará doble. El límite aquí establecido opera sobre el impuesto liquidado, no sobre el avalúo.</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5°. Excepciones al límite.</w:t>
      </w:r>
      <w:r>
        <w:rPr>
          <w:rFonts w:ascii="Book Antiqua" w:eastAsia="Book Antiqua" w:hAnsi="Book Antiqua" w:cs="Book Antiqua"/>
          <w:sz w:val="24"/>
          <w:szCs w:val="24"/>
        </w:rPr>
        <w:t xml:space="preserve"> El límite del artículo 4° no se aplicará en los siguientes casos:</w:t>
      </w:r>
    </w:p>
    <w:p w:rsidR="001C3F2B" w:rsidRDefault="001C3F2B">
      <w:pPr>
        <w:jc w:val="both"/>
        <w:rPr>
          <w:rFonts w:ascii="Book Antiqua" w:eastAsia="Book Antiqua" w:hAnsi="Book Antiqua" w:cs="Book Antiqua"/>
          <w:sz w:val="24"/>
          <w:szCs w:val="24"/>
        </w:rPr>
      </w:pP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a) Terrenos urbanizables no urbanizados y urbanizados no edificados, respecto de los cuales los concejos podrán fijar tarifas superiores hasta el treinta</w:t>
      </w:r>
      <w:r>
        <w:rPr>
          <w:rFonts w:ascii="Book Antiqua" w:eastAsia="Book Antiqua" w:hAnsi="Book Antiqua" w:cs="Book Antiqua"/>
          <w:sz w:val="24"/>
          <w:szCs w:val="24"/>
        </w:rPr>
        <w:t xml:space="preserve"> y tres por mil (33‰), conforme a la ley.</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b) Predios cuyo nuevo avalúo resulte de construcciones, ampliaciones o edificaciones ejecutadas.</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c) Predios con cambio de destino económico o modificaciones de áreas de terreno y/o construcción, debidamente incorpo</w:t>
      </w:r>
      <w:r>
        <w:rPr>
          <w:rFonts w:ascii="Book Antiqua" w:eastAsia="Book Antiqua" w:hAnsi="Book Antiqua" w:cs="Book Antiqua"/>
          <w:sz w:val="24"/>
          <w:szCs w:val="24"/>
        </w:rPr>
        <w:t>radas al catastro.</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 xml:space="preserve">d) Predios que utilicen </w:t>
      </w:r>
      <w:proofErr w:type="spellStart"/>
      <w:r>
        <w:rPr>
          <w:rFonts w:ascii="Book Antiqua" w:eastAsia="Book Antiqua" w:hAnsi="Book Antiqua" w:cs="Book Antiqua"/>
          <w:sz w:val="24"/>
          <w:szCs w:val="24"/>
        </w:rPr>
        <w:t>autoavalúo</w:t>
      </w:r>
      <w:proofErr w:type="spellEnd"/>
      <w:r>
        <w:rPr>
          <w:rFonts w:ascii="Book Antiqua" w:eastAsia="Book Antiqua" w:hAnsi="Book Antiqua" w:cs="Book Antiqua"/>
          <w:sz w:val="24"/>
          <w:szCs w:val="24"/>
        </w:rPr>
        <w:t xml:space="preserve"> o </w:t>
      </w:r>
      <w:proofErr w:type="spellStart"/>
      <w:r>
        <w:rPr>
          <w:rFonts w:ascii="Book Antiqua" w:eastAsia="Book Antiqua" w:hAnsi="Book Antiqua" w:cs="Book Antiqua"/>
          <w:sz w:val="24"/>
          <w:szCs w:val="24"/>
        </w:rPr>
        <w:t>autoestimación</w:t>
      </w:r>
      <w:proofErr w:type="spellEnd"/>
      <w:r>
        <w:rPr>
          <w:rFonts w:ascii="Book Antiqua" w:eastAsia="Book Antiqua" w:hAnsi="Book Antiqua" w:cs="Book Antiqua"/>
          <w:sz w:val="24"/>
          <w:szCs w:val="24"/>
        </w:rPr>
        <w:t xml:space="preserve"> como base gravable, de acuerdo con las normas catastrales vigentes.</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e) Predios rurales con superficie mayor a 100 hectáreas.</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f) Predios que no han sido objeto de formación catastral.</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w:t>
      </w:r>
      <w:r>
        <w:rPr>
          <w:rFonts w:ascii="Book Antiqua" w:eastAsia="Book Antiqua" w:hAnsi="Book Antiqua" w:cs="Book Antiqua"/>
          <w:b/>
          <w:sz w:val="24"/>
          <w:szCs w:val="24"/>
        </w:rPr>
        <w:t xml:space="preserve">rtículo 6°. Predios no actualizados. </w:t>
      </w:r>
      <w:r>
        <w:rPr>
          <w:rFonts w:ascii="Book Antiqua" w:eastAsia="Book Antiqua" w:hAnsi="Book Antiqua" w:cs="Book Antiqua"/>
          <w:sz w:val="24"/>
          <w:szCs w:val="24"/>
        </w:rPr>
        <w:t>Mientras un predio no haya sido objeto de actualización catastral ejecutoriada, el IPU del año t no podrá incrementar en más de cincuenta por ciento (50%) respecto del IPU del año t–1. Los concejos podrán adoptar un lím</w:t>
      </w:r>
      <w:r>
        <w:rPr>
          <w:rFonts w:ascii="Book Antiqua" w:eastAsia="Book Antiqua" w:hAnsi="Book Antiqua" w:cs="Book Antiqua"/>
          <w:sz w:val="24"/>
          <w:szCs w:val="24"/>
        </w:rPr>
        <w:t>ite inferior.</w:t>
      </w:r>
    </w:p>
    <w:p w:rsidR="001C3F2B" w:rsidRDefault="001C3F2B">
      <w:pPr>
        <w:jc w:val="both"/>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CAPÍTULO III </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TRANSPARENCIA, CONTROL Y REVISIÓN DEL IMPUESTO</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7°. Transparencia y trazabilidad en la factura del IPU. </w:t>
      </w:r>
      <w:r>
        <w:rPr>
          <w:rFonts w:ascii="Book Antiqua" w:eastAsia="Book Antiqua" w:hAnsi="Book Antiqua" w:cs="Book Antiqua"/>
          <w:sz w:val="24"/>
          <w:szCs w:val="24"/>
        </w:rPr>
        <w:t>Las entidades responsables de la liquidación del IPU deberán publicar en la factura o documento equivalente, de ma</w:t>
      </w:r>
      <w:r>
        <w:rPr>
          <w:rFonts w:ascii="Book Antiqua" w:eastAsia="Book Antiqua" w:hAnsi="Book Antiqua" w:cs="Book Antiqua"/>
          <w:sz w:val="24"/>
          <w:szCs w:val="24"/>
        </w:rPr>
        <w:t>nera visible y estandarizada: (i) el valor de I_{t-1}; (ii) el IPC utilizado (π_t); (iii) el segmento aplicado y el valor de α_s; y (iv) el tope resultante conforme al artículo 4°.</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b/>
          <w:sz w:val="24"/>
          <w:szCs w:val="24"/>
        </w:rPr>
        <w:t>Artículo 8°. Revisión de avalúo y suspensión del mayor cobro.</w:t>
      </w:r>
      <w:r>
        <w:rPr>
          <w:rFonts w:ascii="Book Antiqua" w:eastAsia="Book Antiqua" w:hAnsi="Book Antiqua" w:cs="Book Antiqua"/>
          <w:sz w:val="24"/>
          <w:szCs w:val="24"/>
        </w:rPr>
        <w:t xml:space="preserve"> La presentaci</w:t>
      </w:r>
      <w:r>
        <w:rPr>
          <w:rFonts w:ascii="Book Antiqua" w:eastAsia="Book Antiqua" w:hAnsi="Book Antiqua" w:cs="Book Antiqua"/>
          <w:sz w:val="24"/>
          <w:szCs w:val="24"/>
        </w:rPr>
        <w:t xml:space="preserve">ón de la solicitud de revisión de avalúo catastral por parte del propietario o poseedor </w:t>
      </w:r>
      <w:r>
        <w:rPr>
          <w:rFonts w:ascii="Book Antiqua" w:eastAsia="Book Antiqua" w:hAnsi="Book Antiqua" w:cs="Book Antiqua"/>
          <w:sz w:val="24"/>
          <w:szCs w:val="24"/>
        </w:rPr>
        <w:lastRenderedPageBreak/>
        <w:t>suspenderá la exigibilidad del mayor valor del IPU generado por la actualización, hasta la decisión de primera instancia en sede administrativa. Si esta fuere favorable</w:t>
      </w:r>
      <w:r>
        <w:rPr>
          <w:rFonts w:ascii="Book Antiqua" w:eastAsia="Book Antiqua" w:hAnsi="Book Antiqua" w:cs="Book Antiqua"/>
          <w:sz w:val="24"/>
          <w:szCs w:val="24"/>
        </w:rPr>
        <w:t xml:space="preserve"> al solicitante, la administración deberá </w:t>
      </w:r>
      <w:proofErr w:type="spellStart"/>
      <w:r>
        <w:rPr>
          <w:rFonts w:ascii="Book Antiqua" w:eastAsia="Book Antiqua" w:hAnsi="Book Antiqua" w:cs="Book Antiqua"/>
          <w:sz w:val="24"/>
          <w:szCs w:val="24"/>
        </w:rPr>
        <w:t>reliquidar</w:t>
      </w:r>
      <w:proofErr w:type="spellEnd"/>
      <w:r>
        <w:rPr>
          <w:rFonts w:ascii="Book Antiqua" w:eastAsia="Book Antiqua" w:hAnsi="Book Antiqua" w:cs="Book Antiqua"/>
          <w:sz w:val="24"/>
          <w:szCs w:val="24"/>
        </w:rPr>
        <w:t xml:space="preserve"> el impuesto y devolver los pagos en exceso con los intereses de ley, dentro de los treinta (30) días siguientes a la ejecutoria del acto.</w:t>
      </w:r>
    </w:p>
    <w:p w:rsidR="001C3F2B" w:rsidRDefault="00FA3500">
      <w:pPr>
        <w:spacing w:before="240" w:after="240"/>
        <w:jc w:val="both"/>
        <w:rPr>
          <w:rFonts w:ascii="Book Antiqua" w:eastAsia="Book Antiqua" w:hAnsi="Book Antiqua" w:cs="Book Antiqua"/>
          <w:b/>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xml:space="preserve"> El Gobierno Nacional reglamentará el formato único y e</w:t>
      </w:r>
      <w:r>
        <w:rPr>
          <w:rFonts w:ascii="Book Antiqua" w:eastAsia="Book Antiqua" w:hAnsi="Book Antiqua" w:cs="Book Antiqua"/>
          <w:sz w:val="24"/>
          <w:szCs w:val="24"/>
        </w:rPr>
        <w:t>l término máximo para decidir la revisión, sin exceder noventa (90) días.</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CAPÍTULO IV </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REGÍMENES DIFERENCIALES Y EXENCIONES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9. Lineamientos para regímenes especiales de exención a predios residenciales urbanos.</w:t>
      </w:r>
      <w:r>
        <w:rPr>
          <w:rFonts w:ascii="Book Antiqua" w:eastAsia="Book Antiqua" w:hAnsi="Book Antiqua" w:cs="Book Antiqua"/>
          <w:sz w:val="24"/>
          <w:szCs w:val="24"/>
        </w:rPr>
        <w:t xml:space="preserve"> Los concejos municipales podrán est</w:t>
      </w:r>
      <w:r>
        <w:rPr>
          <w:rFonts w:ascii="Book Antiqua" w:eastAsia="Book Antiqua" w:hAnsi="Book Antiqua" w:cs="Book Antiqua"/>
          <w:sz w:val="24"/>
          <w:szCs w:val="24"/>
        </w:rPr>
        <w:t xml:space="preserve">ablecer, mediante acuerdos, exenciones parciales del Impuesto Predial Unificado para: </w:t>
      </w:r>
    </w:p>
    <w:p w:rsidR="001C3F2B" w:rsidRDefault="001C3F2B">
      <w:pPr>
        <w:jc w:val="both"/>
        <w:rPr>
          <w:rFonts w:ascii="Book Antiqua" w:eastAsia="Book Antiqua" w:hAnsi="Book Antiqua" w:cs="Book Antiqua"/>
          <w:sz w:val="24"/>
          <w:szCs w:val="24"/>
        </w:rPr>
      </w:pPr>
    </w:p>
    <w:p w:rsidR="001C3F2B" w:rsidRDefault="00FA3500">
      <w:pPr>
        <w:numPr>
          <w:ilvl w:val="0"/>
          <w:numId w:val="4"/>
        </w:numPr>
        <w:jc w:val="both"/>
        <w:rPr>
          <w:rFonts w:ascii="Book Antiqua" w:eastAsia="Book Antiqua" w:hAnsi="Book Antiqua" w:cs="Book Antiqua"/>
          <w:sz w:val="24"/>
          <w:szCs w:val="24"/>
        </w:rPr>
      </w:pPr>
      <w:r>
        <w:rPr>
          <w:rFonts w:ascii="Book Antiqua" w:eastAsia="Book Antiqua" w:hAnsi="Book Antiqua" w:cs="Book Antiqua"/>
          <w:sz w:val="24"/>
          <w:szCs w:val="24"/>
        </w:rPr>
        <w:t>Los predios residenciales de estratos 1 y 2, propiedad de personas naturales, cuyo avalúo catastral sea igual o inferior a ciento treinta y cinco (135) SMMLV y destinad</w:t>
      </w:r>
      <w:r>
        <w:rPr>
          <w:rFonts w:ascii="Book Antiqua" w:eastAsia="Book Antiqua" w:hAnsi="Book Antiqua" w:cs="Book Antiqua"/>
          <w:sz w:val="24"/>
          <w:szCs w:val="24"/>
        </w:rPr>
        <w:t>os como vivienda principal del propietario.</w:t>
      </w:r>
    </w:p>
    <w:p w:rsidR="001C3F2B" w:rsidRDefault="00FA3500">
      <w:pPr>
        <w:numPr>
          <w:ilvl w:val="0"/>
          <w:numId w:val="4"/>
        </w:numPr>
        <w:jc w:val="both"/>
        <w:rPr>
          <w:rFonts w:ascii="Book Antiqua" w:eastAsia="Book Antiqua" w:hAnsi="Book Antiqua" w:cs="Book Antiqua"/>
          <w:sz w:val="24"/>
          <w:szCs w:val="24"/>
        </w:rPr>
      </w:pPr>
      <w:r>
        <w:rPr>
          <w:rFonts w:ascii="Book Antiqua" w:eastAsia="Book Antiqua" w:hAnsi="Book Antiqua" w:cs="Book Antiqua"/>
          <w:sz w:val="24"/>
          <w:szCs w:val="24"/>
        </w:rPr>
        <w:t>Los predios residenciales de estrato 3, propiedad de personas naturales, cuyo avalúo catastral sea igual o inferior a doscientos (200) SMMLV y destinados como vivienda principal del propietario.</w:t>
      </w:r>
    </w:p>
    <w:p w:rsidR="001C3F2B" w:rsidRDefault="00FA3500">
      <w:pPr>
        <w:numPr>
          <w:ilvl w:val="0"/>
          <w:numId w:val="4"/>
        </w:numPr>
        <w:jc w:val="both"/>
        <w:rPr>
          <w:rFonts w:ascii="Book Antiqua" w:eastAsia="Book Antiqua" w:hAnsi="Book Antiqua" w:cs="Book Antiqua"/>
          <w:sz w:val="24"/>
          <w:szCs w:val="24"/>
        </w:rPr>
      </w:pPr>
      <w:r>
        <w:rPr>
          <w:rFonts w:ascii="Book Antiqua" w:eastAsia="Book Antiqua" w:hAnsi="Book Antiqua" w:cs="Book Antiqua"/>
          <w:sz w:val="24"/>
          <w:szCs w:val="24"/>
        </w:rPr>
        <w:t>Los predios residenciales de estrato 4, propiedad de personas naturales, cuyo avalúo catastral sea igual o inferior a trescientos (300) SMMLV y destinados como vivienda principal del propietario.</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xml:space="preserve"> El porcentaje máximo de exención será de hasta e</w:t>
      </w:r>
      <w:r>
        <w:rPr>
          <w:rFonts w:ascii="Book Antiqua" w:eastAsia="Book Antiqua" w:hAnsi="Book Antiqua" w:cs="Book Antiqua"/>
          <w:sz w:val="24"/>
          <w:szCs w:val="24"/>
        </w:rPr>
        <w:t>l cincuenta por ciento (50%) del impuesto predial para los predios de estratos 1 y 2; de hasta el treinta y cinco por ciento (35%) para los predios de estrato 3; y de hasta el veinte por ciento (20%) para los predios de estrato 4. Los concejos podrán fijar</w:t>
      </w:r>
      <w:r>
        <w:rPr>
          <w:rFonts w:ascii="Book Antiqua" w:eastAsia="Book Antiqua" w:hAnsi="Book Antiqua" w:cs="Book Antiqua"/>
          <w:sz w:val="24"/>
          <w:szCs w:val="24"/>
        </w:rPr>
        <w:t xml:space="preserve"> montos menores o escalas progresivas dentro de estos rangos, pero no superiores.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10. Lineamientos para regímenes especiales de exención a predios rurales. </w:t>
      </w:r>
      <w:r>
        <w:rPr>
          <w:rFonts w:ascii="Book Antiqua" w:eastAsia="Book Antiqua" w:hAnsi="Book Antiqua" w:cs="Book Antiqua"/>
          <w:sz w:val="24"/>
          <w:szCs w:val="24"/>
        </w:rPr>
        <w:t>Los concejos municipales y distritales podrán establecer, mediante acuerdos, exenciones pa</w:t>
      </w:r>
      <w:r>
        <w:rPr>
          <w:rFonts w:ascii="Book Antiqua" w:eastAsia="Book Antiqua" w:hAnsi="Book Antiqua" w:cs="Book Antiqua"/>
          <w:sz w:val="24"/>
          <w:szCs w:val="24"/>
        </w:rPr>
        <w:t xml:space="preserve">rciales del Impuesto Predial Unificado para los predios rurales de </w:t>
      </w:r>
      <w:r>
        <w:rPr>
          <w:rFonts w:ascii="Book Antiqua" w:eastAsia="Book Antiqua" w:hAnsi="Book Antiqua" w:cs="Book Antiqua"/>
          <w:sz w:val="24"/>
          <w:szCs w:val="24"/>
        </w:rPr>
        <w:lastRenderedPageBreak/>
        <w:t xml:space="preserve">propiedad de personas naturales que ostenten la condición de pequeños productores agropecuarios, siempre que se cumplan todas las siguientes condiciones: </w:t>
      </w:r>
    </w:p>
    <w:p w:rsidR="001C3F2B" w:rsidRDefault="001C3F2B">
      <w:pPr>
        <w:jc w:val="both"/>
        <w:rPr>
          <w:rFonts w:ascii="Book Antiqua" w:eastAsia="Book Antiqua" w:hAnsi="Book Antiqua" w:cs="Book Antiqua"/>
          <w:sz w:val="24"/>
          <w:szCs w:val="24"/>
        </w:rPr>
      </w:pPr>
    </w:p>
    <w:p w:rsidR="001C3F2B" w:rsidRDefault="00FA3500">
      <w:pPr>
        <w:numPr>
          <w:ilvl w:val="0"/>
          <w:numId w:val="3"/>
        </w:numPr>
        <w:jc w:val="both"/>
        <w:rPr>
          <w:rFonts w:ascii="Book Antiqua" w:eastAsia="Book Antiqua" w:hAnsi="Book Antiqua" w:cs="Book Antiqua"/>
          <w:sz w:val="24"/>
          <w:szCs w:val="24"/>
        </w:rPr>
      </w:pPr>
      <w:r>
        <w:rPr>
          <w:rFonts w:ascii="Book Antiqua" w:eastAsia="Book Antiqua" w:hAnsi="Book Antiqua" w:cs="Book Antiqua"/>
          <w:sz w:val="24"/>
          <w:szCs w:val="24"/>
        </w:rPr>
        <w:t>Que la extensión del predio no su</w:t>
      </w:r>
      <w:r>
        <w:rPr>
          <w:rFonts w:ascii="Book Antiqua" w:eastAsia="Book Antiqua" w:hAnsi="Book Antiqua" w:cs="Book Antiqua"/>
          <w:sz w:val="24"/>
          <w:szCs w:val="24"/>
        </w:rPr>
        <w:t>pere veinte (20) hectáreas, o el umbral de pequeña propiedad rural que determine la reglamentación vigente.</w:t>
      </w:r>
    </w:p>
    <w:p w:rsidR="001C3F2B" w:rsidRDefault="00FA3500">
      <w:pPr>
        <w:numPr>
          <w:ilvl w:val="0"/>
          <w:numId w:val="3"/>
        </w:numPr>
        <w:jc w:val="both"/>
        <w:rPr>
          <w:rFonts w:ascii="Book Antiqua" w:eastAsia="Book Antiqua" w:hAnsi="Book Antiqua" w:cs="Book Antiqua"/>
          <w:sz w:val="24"/>
          <w:szCs w:val="24"/>
        </w:rPr>
      </w:pPr>
      <w:r>
        <w:rPr>
          <w:rFonts w:ascii="Book Antiqua" w:eastAsia="Book Antiqua" w:hAnsi="Book Antiqua" w:cs="Book Antiqua"/>
          <w:sz w:val="24"/>
          <w:szCs w:val="24"/>
        </w:rPr>
        <w:t>Que el suelo del predio se destine efectivamente a actividades agropecuarias (agrícolas o pecuarias) o a la conservación ambiental, de conformidad c</w:t>
      </w:r>
      <w:r>
        <w:rPr>
          <w:rFonts w:ascii="Book Antiqua" w:eastAsia="Book Antiqua" w:hAnsi="Book Antiqua" w:cs="Book Antiqua"/>
          <w:sz w:val="24"/>
          <w:szCs w:val="24"/>
        </w:rPr>
        <w:t xml:space="preserve">on los usos de suelo permitidos y verificados por la autoridad competente.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xml:space="preserve"> Para los predios rurales de pequeños productores agropecuarios, la exención parcial no podrá superar el cincuenta por ciento (50%) del impuesto predial y aplicará única</w:t>
      </w:r>
      <w:r>
        <w:rPr>
          <w:rFonts w:ascii="Book Antiqua" w:eastAsia="Book Antiqua" w:hAnsi="Book Antiqua" w:cs="Book Antiqua"/>
          <w:sz w:val="24"/>
          <w:szCs w:val="24"/>
        </w:rPr>
        <w:t>mente respecto de un (1) predio rural por cada beneficiario.</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11. Lineamientos para el Sistema de Pago Alternativo por Cuotas (SPAC).</w:t>
      </w:r>
      <w:r>
        <w:rPr>
          <w:rFonts w:ascii="Book Antiqua" w:eastAsia="Book Antiqua" w:hAnsi="Book Antiqua" w:cs="Book Antiqua"/>
          <w:sz w:val="24"/>
          <w:szCs w:val="24"/>
        </w:rPr>
        <w:t xml:space="preserve"> Los concejos municipales y distritales, mediante acuerdos, podrán establecer la modalidad de pago alternativo por</w:t>
      </w:r>
      <w:r>
        <w:rPr>
          <w:rFonts w:ascii="Book Antiqua" w:eastAsia="Book Antiqua" w:hAnsi="Book Antiqua" w:cs="Book Antiqua"/>
          <w:sz w:val="24"/>
          <w:szCs w:val="24"/>
        </w:rPr>
        <w:t xml:space="preserve"> cuotas voluntario para el Impuesto Predial Unificado, aplicable a todos los contribuyentes personas naturales o jurídicas, de conformidad con la reglamentación que expidan las administraciones municipales o distritales.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El SPAC podrá implementarse direc</w:t>
      </w:r>
      <w:r>
        <w:rPr>
          <w:rFonts w:ascii="Book Antiqua" w:eastAsia="Book Antiqua" w:hAnsi="Book Antiqua" w:cs="Book Antiqua"/>
          <w:sz w:val="24"/>
          <w:szCs w:val="24"/>
        </w:rPr>
        <w:t>tamente por la administración tributaria o a través de convenios con empresas de servicios públicos domiciliarios, operadores de telecomunicaciones o entidades financieras vigiladas por la Superintendencia Financiera, quienes podrán incluir en sus facturas</w:t>
      </w:r>
      <w:r>
        <w:rPr>
          <w:rFonts w:ascii="Book Antiqua" w:eastAsia="Book Antiqua" w:hAnsi="Book Antiqua" w:cs="Book Antiqua"/>
          <w:sz w:val="24"/>
          <w:szCs w:val="24"/>
        </w:rPr>
        <w:t xml:space="preserve"> o extractos el valor correspondiente al Impuesto Predial Unificado diferido al número de cuotas que determine el reglamento.</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El uso del SPAC no generará intereses para el contribuyente, salvo en caso de incumplimiento de las cuotas pactadas, evento en el</w:t>
      </w:r>
      <w:r>
        <w:rPr>
          <w:rFonts w:ascii="Book Antiqua" w:eastAsia="Book Antiqua" w:hAnsi="Book Antiqua" w:cs="Book Antiqua"/>
          <w:sz w:val="24"/>
          <w:szCs w:val="24"/>
        </w:rPr>
        <w:t xml:space="preserve"> cual se aplicarán los intereses moratorios previstos en la ley.</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El contribuyente que opte por este sistema deberá presentar la declaración inicial del impuesto dentro de los plazos establecidos en la reglamentación local. Dicha declaración prestará mérit</w:t>
      </w:r>
      <w:r>
        <w:rPr>
          <w:rFonts w:ascii="Book Antiqua" w:eastAsia="Book Antiqua" w:hAnsi="Book Antiqua" w:cs="Book Antiqua"/>
          <w:sz w:val="24"/>
          <w:szCs w:val="24"/>
        </w:rPr>
        <w:t>o ejecutivo por el saldo no pagado en caso de mora.</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lastRenderedPageBreak/>
        <w:t>Parágrafo.</w:t>
      </w:r>
      <w:r>
        <w:rPr>
          <w:rFonts w:ascii="Book Antiqua" w:eastAsia="Book Antiqua" w:hAnsi="Book Antiqua" w:cs="Book Antiqua"/>
          <w:sz w:val="24"/>
          <w:szCs w:val="24"/>
        </w:rPr>
        <w:t xml:space="preserve"> La reglamentación expedida por los concejos municipales podrá autorizar descuentos moderados para quienes se acojan al SPAC y cumplan con el pago oportuno de todas las cuotas, siempre que tale</w:t>
      </w:r>
      <w:r>
        <w:rPr>
          <w:rFonts w:ascii="Book Antiqua" w:eastAsia="Book Antiqua" w:hAnsi="Book Antiqua" w:cs="Book Antiqua"/>
          <w:sz w:val="24"/>
          <w:szCs w:val="24"/>
        </w:rPr>
        <w:t>s descuentos no comprometan la sostenibilidad fiscal ni los recursos de destinación específica.”</w:t>
      </w:r>
    </w:p>
    <w:p w:rsidR="001C3F2B" w:rsidRDefault="001C3F2B">
      <w:pPr>
        <w:jc w:val="both"/>
        <w:rPr>
          <w:rFonts w:ascii="Book Antiqua" w:eastAsia="Book Antiqua" w:hAnsi="Book Antiqua" w:cs="Book Antiqua"/>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CAPÍTULO V </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ARMONIZACIÓN TÉCNICA, INTEROPERABILIDAD INSTITUCIONAL Y SEGUIMIENTO DEL SISTEMA PREDIAL</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12°. Coordinación institucional y estándares.</w:t>
      </w:r>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El  Instituto</w:t>
      </w:r>
      <w:proofErr w:type="gramEnd"/>
      <w:r>
        <w:rPr>
          <w:rFonts w:ascii="Book Antiqua" w:eastAsia="Book Antiqua" w:hAnsi="Book Antiqua" w:cs="Book Antiqua"/>
          <w:sz w:val="24"/>
          <w:szCs w:val="24"/>
        </w:rPr>
        <w:t xml:space="preserve"> Geográfico Agustín Codazz</w:t>
      </w:r>
      <w:r>
        <w:rPr>
          <w:color w:val="474747"/>
          <w:sz w:val="24"/>
          <w:szCs w:val="24"/>
          <w:highlight w:val="white"/>
        </w:rPr>
        <w:t xml:space="preserve">i </w:t>
      </w:r>
      <w:r>
        <w:rPr>
          <w:rFonts w:ascii="Book Antiqua" w:eastAsia="Book Antiqua" w:hAnsi="Book Antiqua" w:cs="Book Antiqua"/>
          <w:sz w:val="24"/>
          <w:szCs w:val="24"/>
        </w:rPr>
        <w:t>(o</w:t>
      </w:r>
      <w:r>
        <w:rPr>
          <w:color w:val="474747"/>
          <w:sz w:val="24"/>
          <w:szCs w:val="24"/>
          <w:highlight w:val="white"/>
        </w:rPr>
        <w:t xml:space="preserve"> </w:t>
      </w:r>
      <w:r>
        <w:rPr>
          <w:rFonts w:ascii="Book Antiqua" w:eastAsia="Book Antiqua" w:hAnsi="Book Antiqua" w:cs="Book Antiqua"/>
          <w:sz w:val="24"/>
          <w:szCs w:val="24"/>
        </w:rPr>
        <w:t>IGAC</w:t>
      </w: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por sus siglas), como autoridad catastral y regulador técnico, y la Superintendencia de Notariado y Registro (o SNR por sus siglas), como autoridad de inspección, vigilancia y control, ajustarán sus normas </w:t>
      </w:r>
      <w:r>
        <w:rPr>
          <w:rFonts w:ascii="Book Antiqua" w:eastAsia="Book Antiqua" w:hAnsi="Book Antiqua" w:cs="Book Antiqua"/>
          <w:sz w:val="24"/>
          <w:szCs w:val="24"/>
        </w:rPr>
        <w:t>técnicas y operativas para garantizar la aplicación uniforme de los segmentos y del límite nacional previsto en esta ley, y la interoperabilidad con el SINIC y con los sistemas tributarios territoriales.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xml:space="preserve">  En un término de seis (6) meses contados desde la promulgación, el Gobierno Nacional expedirá la reglamentación técnica para: (i) segmentación y validación de α_s; (ii) plantillas de factura estandarizada; y (iii) reportes de seguimiento.</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Artículo 13°. </w:t>
      </w:r>
      <w:r>
        <w:rPr>
          <w:rFonts w:ascii="Book Antiqua" w:eastAsia="Book Antiqua" w:hAnsi="Book Antiqua" w:cs="Book Antiqua"/>
          <w:b/>
          <w:sz w:val="24"/>
          <w:szCs w:val="24"/>
        </w:rPr>
        <w:t>Remisiones y compatibilidades.</w:t>
      </w:r>
      <w:r>
        <w:rPr>
          <w:rFonts w:ascii="Book Antiqua" w:eastAsia="Book Antiqua" w:hAnsi="Book Antiqua" w:cs="Book Antiqua"/>
          <w:sz w:val="24"/>
          <w:szCs w:val="24"/>
        </w:rPr>
        <w:t xml:space="preserve"> Permanece vigente el reajuste anual de avalúos por CONPES y la normativa catastral y tributaria territorial aplicable, en cuanto no se oponga a esta ley. Los concejos mantendrán su competencia para definir tarifas dentro de l</w:t>
      </w:r>
      <w:r>
        <w:rPr>
          <w:rFonts w:ascii="Book Antiqua" w:eastAsia="Book Antiqua" w:hAnsi="Book Antiqua" w:cs="Book Antiqua"/>
          <w:sz w:val="24"/>
          <w:szCs w:val="24"/>
        </w:rPr>
        <w:t>as bandas legales.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Artículo 14°. Seguimiento y evaluación.</w:t>
      </w:r>
      <w:r>
        <w:rPr>
          <w:rFonts w:ascii="Book Antiqua" w:eastAsia="Book Antiqua" w:hAnsi="Book Antiqua" w:cs="Book Antiqua"/>
          <w:sz w:val="24"/>
          <w:szCs w:val="24"/>
        </w:rPr>
        <w:t xml:space="preserve"> El Ministerio de Hacienda y Crédito Público, con apoyo del DNP y del IGAC, publicará anualmente un informe sobre: (i) cobertura de actualización catastral; (ii) variación efectiva del IPU por segm</w:t>
      </w:r>
      <w:r>
        <w:rPr>
          <w:rFonts w:ascii="Book Antiqua" w:eastAsia="Book Antiqua" w:hAnsi="Book Antiqua" w:cs="Book Antiqua"/>
          <w:sz w:val="24"/>
          <w:szCs w:val="24"/>
        </w:rPr>
        <w:t>entos; (iii) recaudo predial y efectos sobre progresividad y sostenibilidad fiscal local.</w:t>
      </w:r>
    </w:p>
    <w:p w:rsidR="001C3F2B" w:rsidRDefault="001C3F2B">
      <w:pPr>
        <w:jc w:val="both"/>
        <w:rPr>
          <w:rFonts w:ascii="Book Antiqua" w:eastAsia="Book Antiqua" w:hAnsi="Book Antiqua" w:cs="Book Antiqua"/>
          <w:b/>
          <w:sz w:val="24"/>
          <w:szCs w:val="24"/>
        </w:rPr>
      </w:pPr>
    </w:p>
    <w:p w:rsidR="0079413F" w:rsidRDefault="0079413F">
      <w:pPr>
        <w:jc w:val="both"/>
        <w:rPr>
          <w:rFonts w:ascii="Book Antiqua" w:eastAsia="Book Antiqua" w:hAnsi="Book Antiqua" w:cs="Book Antiqua"/>
          <w:b/>
          <w:sz w:val="24"/>
          <w:szCs w:val="24"/>
        </w:rPr>
      </w:pPr>
    </w:p>
    <w:p w:rsidR="0079413F" w:rsidRDefault="0079413F">
      <w:pPr>
        <w:jc w:val="both"/>
        <w:rPr>
          <w:rFonts w:ascii="Book Antiqua" w:eastAsia="Book Antiqua" w:hAnsi="Book Antiqua" w:cs="Book Antiqua"/>
          <w:b/>
          <w:sz w:val="24"/>
          <w:szCs w:val="24"/>
        </w:rPr>
      </w:pPr>
    </w:p>
    <w:p w:rsidR="0079413F" w:rsidRDefault="0079413F">
      <w:pPr>
        <w:jc w:val="both"/>
        <w:rPr>
          <w:rFonts w:ascii="Book Antiqua" w:eastAsia="Book Antiqua" w:hAnsi="Book Antiqua" w:cs="Book Antiqua"/>
          <w:b/>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 xml:space="preserve">CAPÍTULO VI </w:t>
      </w: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t>VIGENCIA Y DEROGATORIAS</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15. Vigencia y derogatorias. </w:t>
      </w:r>
      <w:r>
        <w:rPr>
          <w:rFonts w:ascii="Book Antiqua" w:eastAsia="Book Antiqua" w:hAnsi="Book Antiqua" w:cs="Book Antiqua"/>
          <w:sz w:val="24"/>
          <w:szCs w:val="24"/>
        </w:rPr>
        <w:t>La presente ley rige a partir de la fecha de su promulgación y será aplicable para los he</w:t>
      </w:r>
      <w:r>
        <w:rPr>
          <w:rFonts w:ascii="Book Antiqua" w:eastAsia="Book Antiqua" w:hAnsi="Book Antiqua" w:cs="Book Antiqua"/>
          <w:sz w:val="24"/>
          <w:szCs w:val="24"/>
        </w:rPr>
        <w:t xml:space="preserve">chos generadores del Impuesto Predial Unificado causados a partir del primero (1º) de enero del año fiscal siguiente. Las liquidaciones efectuadas con anterioridad no serán objeto de reliquidación en virtud de lo dispuesto en esta ley.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A partir de su ent</w:t>
      </w:r>
      <w:r>
        <w:rPr>
          <w:rFonts w:ascii="Book Antiqua" w:eastAsia="Book Antiqua" w:hAnsi="Book Antiqua" w:cs="Book Antiqua"/>
          <w:sz w:val="24"/>
          <w:szCs w:val="24"/>
        </w:rPr>
        <w:t>rada en vigencia, se derogan todas las disposiciones que le sean contrarias y se derogan expresamente las normas de la Ley 1995 de 2019 sobre límites al crecimiento del impuesto predial unificado, sin perjuicio de lo establecido en el artículo 49 de la Ley</w:t>
      </w:r>
      <w:r>
        <w:rPr>
          <w:rFonts w:ascii="Book Antiqua" w:eastAsia="Book Antiqua" w:hAnsi="Book Antiqua" w:cs="Book Antiqua"/>
          <w:sz w:val="24"/>
          <w:szCs w:val="24"/>
        </w:rPr>
        <w:t xml:space="preserve"> 2294 de 2023, en virtud </w:t>
      </w:r>
      <w:proofErr w:type="gramStart"/>
      <w:r>
        <w:rPr>
          <w:rFonts w:ascii="Book Antiqua" w:eastAsia="Book Antiqua" w:hAnsi="Book Antiqua" w:cs="Book Antiqua"/>
          <w:sz w:val="24"/>
          <w:szCs w:val="24"/>
        </w:rPr>
        <w:t>del cual dichas normas</w:t>
      </w:r>
      <w:proofErr w:type="gramEnd"/>
      <w:r>
        <w:rPr>
          <w:rFonts w:ascii="Book Antiqua" w:eastAsia="Book Antiqua" w:hAnsi="Book Antiqua" w:cs="Book Antiqua"/>
          <w:sz w:val="24"/>
          <w:szCs w:val="24"/>
        </w:rPr>
        <w:t xml:space="preserve"> conservan su vigencia hasta tanto se expida una nueva ley que regule esta materia.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lo demás, se mantienen vigentes las disposiciones de la Ley 44 de 1990 y de la Ley 1450 de 2011, en lo que no haya sido </w:t>
      </w:r>
      <w:r>
        <w:rPr>
          <w:rFonts w:ascii="Book Antiqua" w:eastAsia="Book Antiqua" w:hAnsi="Book Antiqua" w:cs="Book Antiqua"/>
          <w:sz w:val="24"/>
          <w:szCs w:val="24"/>
        </w:rPr>
        <w:t>modificado por la presente ley.</w:t>
      </w: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1C3F2B" w:rsidRDefault="00FA3500">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Cordialmente,</w:t>
      </w:r>
    </w:p>
    <w:p w:rsidR="001C3F2B" w:rsidRDefault="001C3F2B">
      <w:pPr>
        <w:spacing w:line="240" w:lineRule="auto"/>
        <w:jc w:val="both"/>
        <w:rPr>
          <w:rFonts w:ascii="Book Antiqua" w:eastAsia="Book Antiqua" w:hAnsi="Book Antiqua" w:cs="Book Antiqua"/>
          <w:sz w:val="24"/>
          <w:szCs w:val="24"/>
        </w:rPr>
      </w:pPr>
    </w:p>
    <w:p w:rsidR="001C3F2B" w:rsidRDefault="001C3F2B">
      <w:pPr>
        <w:spacing w:line="240" w:lineRule="auto"/>
        <w:jc w:val="both"/>
        <w:rPr>
          <w:rFonts w:ascii="Book Antiqua" w:eastAsia="Book Antiqua" w:hAnsi="Book Antiqua" w:cs="Book Antiqua"/>
          <w:sz w:val="24"/>
          <w:szCs w:val="24"/>
        </w:rPr>
      </w:pPr>
    </w:p>
    <w:p w:rsidR="001C3F2B" w:rsidRDefault="001C3F2B">
      <w:pPr>
        <w:spacing w:line="240" w:lineRule="auto"/>
        <w:jc w:val="both"/>
        <w:rPr>
          <w:rFonts w:ascii="Book Antiqua" w:eastAsia="Book Antiqua" w:hAnsi="Book Antiqua" w:cs="Book Antiqua"/>
          <w:sz w:val="24"/>
          <w:szCs w:val="24"/>
        </w:rPr>
      </w:pPr>
    </w:p>
    <w:p w:rsidR="001C3F2B" w:rsidRDefault="001C3F2B">
      <w:pPr>
        <w:spacing w:line="240" w:lineRule="auto"/>
        <w:jc w:val="both"/>
        <w:rPr>
          <w:rFonts w:ascii="Book Antiqua" w:eastAsia="Book Antiqua" w:hAnsi="Book Antiqua" w:cs="Book Antiqua"/>
          <w:sz w:val="24"/>
          <w:szCs w:val="24"/>
        </w:rPr>
      </w:pPr>
    </w:p>
    <w:p w:rsidR="001C3F2B" w:rsidRDefault="001C3F2B">
      <w:pPr>
        <w:spacing w:line="240" w:lineRule="auto"/>
        <w:jc w:val="both"/>
        <w:rPr>
          <w:rFonts w:ascii="Book Antiqua" w:eastAsia="Book Antiqua" w:hAnsi="Book Antiqua" w:cs="Book Antiqua"/>
          <w:sz w:val="24"/>
          <w:szCs w:val="24"/>
        </w:rPr>
      </w:pPr>
    </w:p>
    <w:p w:rsidR="001C3F2B" w:rsidRDefault="00FA3500">
      <w:pPr>
        <w:spacing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ALVARO LEONEL RUEDA CABALLERO</w:t>
      </w:r>
    </w:p>
    <w:p w:rsidR="001C3F2B" w:rsidRDefault="00FA3500">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Representante a la Cámara por Santander.</w:t>
      </w: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79413F" w:rsidRDefault="0079413F">
      <w:pPr>
        <w:jc w:val="both"/>
        <w:rPr>
          <w:rFonts w:ascii="Book Antiqua" w:eastAsia="Book Antiqua" w:hAnsi="Book Antiqua" w:cs="Book Antiqua"/>
          <w:sz w:val="24"/>
          <w:szCs w:val="24"/>
        </w:rPr>
      </w:pPr>
      <w:bookmarkStart w:id="0" w:name="_GoBack"/>
      <w:bookmarkEnd w:id="0"/>
    </w:p>
    <w:p w:rsidR="001C3F2B" w:rsidRDefault="001C3F2B">
      <w:pPr>
        <w:jc w:val="both"/>
        <w:rPr>
          <w:rFonts w:ascii="Book Antiqua" w:eastAsia="Book Antiqua" w:hAnsi="Book Antiqua" w:cs="Book Antiqua"/>
          <w:sz w:val="24"/>
          <w:szCs w:val="24"/>
        </w:rPr>
      </w:pPr>
    </w:p>
    <w:p w:rsidR="001C3F2B" w:rsidRDefault="001C3F2B">
      <w:pPr>
        <w:jc w:val="both"/>
        <w:rPr>
          <w:rFonts w:ascii="Book Antiqua" w:eastAsia="Book Antiqua" w:hAnsi="Book Antiqua" w:cs="Book Antiqua"/>
          <w:sz w:val="24"/>
          <w:szCs w:val="24"/>
        </w:rPr>
      </w:pPr>
    </w:p>
    <w:p w:rsidR="001C3F2B" w:rsidRDefault="00FA3500">
      <w:pPr>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EXPOSICIÓN DE MOTIVOS</w:t>
      </w:r>
    </w:p>
    <w:p w:rsidR="001C3F2B" w:rsidRDefault="001C3F2B">
      <w:pPr>
        <w:jc w:val="center"/>
        <w:rPr>
          <w:rFonts w:ascii="Book Antiqua" w:eastAsia="Book Antiqua" w:hAnsi="Book Antiqua" w:cs="Book Antiqua"/>
        </w:rPr>
      </w:pPr>
    </w:p>
    <w:p w:rsidR="001C3F2B" w:rsidRDefault="00FA3500">
      <w:pPr>
        <w:jc w:val="center"/>
        <w:rPr>
          <w:rFonts w:ascii="Book Antiqua" w:eastAsia="Book Antiqua" w:hAnsi="Book Antiqua" w:cs="Book Antiqua"/>
          <w:i/>
          <w:sz w:val="24"/>
          <w:szCs w:val="24"/>
        </w:rPr>
      </w:pPr>
      <w:r>
        <w:rPr>
          <w:rFonts w:ascii="Book Antiqua" w:eastAsia="Book Antiqua" w:hAnsi="Book Antiqua" w:cs="Book Antiqua"/>
          <w:i/>
          <w:sz w:val="24"/>
          <w:szCs w:val="24"/>
        </w:rPr>
        <w:t>PROYECTO DE LEY ____ 2025</w:t>
      </w:r>
    </w:p>
    <w:p w:rsidR="001C3F2B" w:rsidRDefault="00FA3500">
      <w:pPr>
        <w:jc w:val="center"/>
        <w:rPr>
          <w:rFonts w:ascii="Book Antiqua" w:eastAsia="Book Antiqua" w:hAnsi="Book Antiqua" w:cs="Book Antiqua"/>
          <w:i/>
          <w:sz w:val="24"/>
          <w:szCs w:val="24"/>
        </w:rPr>
      </w:pPr>
      <w:r>
        <w:rPr>
          <w:rFonts w:ascii="Book Antiqua" w:eastAsia="Book Antiqua" w:hAnsi="Book Antiqua" w:cs="Book Antiqua"/>
          <w:i/>
          <w:sz w:val="24"/>
          <w:szCs w:val="24"/>
        </w:rPr>
        <w:t>“POR MEDIO DE LA CUAL SE ESTABLECEN LINEAMIENTOS NORMATIVOS PARA UN SISTEMA PREDIAL MÁS EQUITATIVO Y PROGRESIVO Y SE DICTAN OTRAS DISPOSICIONES”</w:t>
      </w:r>
    </w:p>
    <w:p w:rsidR="001C3F2B" w:rsidRDefault="001C3F2B">
      <w:pPr>
        <w:jc w:val="both"/>
        <w:rPr>
          <w:rFonts w:ascii="Book Antiqua" w:eastAsia="Book Antiqua" w:hAnsi="Book Antiqua" w:cs="Book Antiqua"/>
          <w:b/>
          <w:sz w:val="24"/>
          <w:szCs w:val="24"/>
        </w:rPr>
      </w:pPr>
    </w:p>
    <w:p w:rsidR="001C3F2B" w:rsidRDefault="00FA3500">
      <w:pPr>
        <w:numPr>
          <w:ilvl w:val="0"/>
          <w:numId w:val="2"/>
        </w:numPr>
        <w:jc w:val="both"/>
        <w:rPr>
          <w:rFonts w:ascii="Book Antiqua" w:eastAsia="Book Antiqua" w:hAnsi="Book Antiqua" w:cs="Book Antiqua"/>
          <w:b/>
          <w:sz w:val="24"/>
          <w:szCs w:val="24"/>
        </w:rPr>
      </w:pPr>
      <w:r>
        <w:rPr>
          <w:rFonts w:ascii="Book Antiqua" w:eastAsia="Book Antiqua" w:hAnsi="Book Antiqua" w:cs="Book Antiqua"/>
          <w:b/>
          <w:sz w:val="24"/>
          <w:szCs w:val="24"/>
        </w:rPr>
        <w:t>OBJETO DE LA LEY</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La presente ley, que surge como respuesta a la necesidad de aliviar la carga tributaria del impuesto predial sobre los hogares colombianos— en especial los de menores ingresos, sin desfinanciar a los municipios—, busca promover una reducción progresiva, eq</w:t>
      </w:r>
      <w:r>
        <w:rPr>
          <w:rFonts w:ascii="Book Antiqua" w:eastAsia="Book Antiqua" w:hAnsi="Book Antiqua" w:cs="Book Antiqua"/>
          <w:sz w:val="24"/>
          <w:szCs w:val="24"/>
        </w:rPr>
        <w:t>uitativa y técnicamente sustentada del IPU, a través de orientaciones claras sobre topes, exenciones y mecanismos de revisión. Para ello, se establecen lineamientos generales, respetuosos de la autonomía territorial, conforme a lo dispuesto en la Constituc</w:t>
      </w:r>
      <w:r>
        <w:rPr>
          <w:rFonts w:ascii="Book Antiqua" w:eastAsia="Book Antiqua" w:hAnsi="Book Antiqua" w:cs="Book Antiqua"/>
          <w:sz w:val="24"/>
          <w:szCs w:val="24"/>
        </w:rPr>
        <w:t>ión nacional</w:t>
      </w:r>
      <w:r>
        <w:rPr>
          <w:rFonts w:ascii="Book Antiqua" w:eastAsia="Book Antiqua" w:hAnsi="Book Antiqua" w:cs="Book Antiqua"/>
          <w:sz w:val="24"/>
          <w:szCs w:val="24"/>
          <w:vertAlign w:val="superscript"/>
        </w:rPr>
        <w:footnoteReference w:id="1"/>
      </w:r>
      <w:r>
        <w:rPr>
          <w:rFonts w:ascii="Book Antiqua" w:eastAsia="Book Antiqua" w:hAnsi="Book Antiqua" w:cs="Book Antiqua"/>
          <w:sz w:val="24"/>
          <w:szCs w:val="24"/>
        </w:rPr>
        <w:t>.</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highlight w:val="yellow"/>
        </w:rPr>
      </w:pPr>
      <w:r>
        <w:rPr>
          <w:rFonts w:ascii="Book Antiqua" w:eastAsia="Book Antiqua" w:hAnsi="Book Antiqua" w:cs="Book Antiqua"/>
          <w:sz w:val="24"/>
          <w:szCs w:val="24"/>
        </w:rPr>
        <w:t>En ese sentido y, con fundamento en las facultades propias del Congreso</w:t>
      </w:r>
      <w:r>
        <w:rPr>
          <w:rFonts w:ascii="Book Antiqua" w:eastAsia="Book Antiqua" w:hAnsi="Book Antiqua" w:cs="Book Antiqua"/>
          <w:sz w:val="24"/>
          <w:szCs w:val="24"/>
          <w:vertAlign w:val="superscript"/>
        </w:rPr>
        <w:footnoteReference w:id="2"/>
      </w:r>
      <w:r>
        <w:rPr>
          <w:rFonts w:ascii="Book Antiqua" w:eastAsia="Book Antiqua" w:hAnsi="Book Antiqua" w:cs="Book Antiqua"/>
          <w:sz w:val="24"/>
          <w:szCs w:val="24"/>
        </w:rPr>
        <w:t>, esta ley propone dichos lineamientos, que los concejos podrán desarrollar conforme a sus realidades fiscales y sociales. De esta forma, se prioriza la justicia tribut</w:t>
      </w:r>
      <w:r>
        <w:rPr>
          <w:rFonts w:ascii="Book Antiqua" w:eastAsia="Book Antiqua" w:hAnsi="Book Antiqua" w:cs="Book Antiqua"/>
          <w:sz w:val="24"/>
          <w:szCs w:val="24"/>
        </w:rPr>
        <w:t>aria, la equidad, la eficiencia y la progresividad</w:t>
      </w:r>
      <w:r>
        <w:rPr>
          <w:rFonts w:ascii="Book Antiqua" w:eastAsia="Book Antiqua" w:hAnsi="Book Antiqua" w:cs="Book Antiqua"/>
          <w:sz w:val="24"/>
          <w:szCs w:val="24"/>
          <w:vertAlign w:val="superscript"/>
        </w:rPr>
        <w:footnoteReference w:id="3"/>
      </w:r>
      <w:r>
        <w:rPr>
          <w:rFonts w:ascii="Book Antiqua" w:eastAsia="Book Antiqua" w:hAnsi="Book Antiqua" w:cs="Book Antiqua"/>
          <w:sz w:val="24"/>
          <w:szCs w:val="24"/>
        </w:rPr>
        <w:t xml:space="preserve"> del sistema catastral, orientando el impuesto predial hacia un modelo socialmente responsable, que alivie la carga de los sectores más vulnerables, sin comprometer la sostenibilidad fiscal municipal.</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En este contexto, se parte de una de las funciones propias del Estado, que indica que el sistema tributario cumple una función redistributiva esencial, donde se garantiza el financiamiento del Estado en condiciones de justicia social. En esa línea, el impu</w:t>
      </w:r>
      <w:r>
        <w:rPr>
          <w:rFonts w:ascii="Book Antiqua" w:eastAsia="Book Antiqua" w:hAnsi="Book Antiqua" w:cs="Book Antiqua"/>
          <w:sz w:val="24"/>
          <w:szCs w:val="24"/>
        </w:rPr>
        <w:t>esto predial unificado, al recaer sobre bienes inmuebles, debe ser diseñado de manera que refleje la capacidad económica real del contribuyente, evitando cargas excesivas que puedan comprometer el acceso a una vivienda digna o a condiciones básicas de habi</w:t>
      </w:r>
      <w:r>
        <w:rPr>
          <w:rFonts w:ascii="Book Antiqua" w:eastAsia="Book Antiqua" w:hAnsi="Book Antiqua" w:cs="Book Antiqua"/>
          <w:sz w:val="24"/>
          <w:szCs w:val="24"/>
        </w:rPr>
        <w:t xml:space="preserve">tabilidad.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Lo anterior, sin coartar los recursos y las capacidades de municipios y distritos, puesto que “el impuesto predial constituye una de las fuentes de ingresos más importantes que tienen los municipios para la oferta de bienes públicos locales” (</w:t>
      </w:r>
      <w:proofErr w:type="spellStart"/>
      <w:r>
        <w:rPr>
          <w:rFonts w:ascii="Book Antiqua" w:eastAsia="Book Antiqua" w:hAnsi="Book Antiqua" w:cs="Book Antiqua"/>
          <w:sz w:val="24"/>
          <w:szCs w:val="24"/>
        </w:rPr>
        <w:t>Iregui</w:t>
      </w:r>
      <w:proofErr w:type="spellEnd"/>
      <w:r>
        <w:rPr>
          <w:rFonts w:ascii="Book Antiqua" w:eastAsia="Book Antiqua" w:hAnsi="Book Antiqua" w:cs="Book Antiqua"/>
          <w:sz w:val="24"/>
          <w:szCs w:val="24"/>
        </w:rPr>
        <w:t xml:space="preserve"> et al., 2005; Camacho, Hurtado, Navarro, Hurtado, &amp; Nieves, 2017).</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En ese orden de ideas, la presente ley parte de la necesidad de establecer regímenes tributarios que armonicen tres elementos fundamentales. A saber, la suficiencia recaudatoria par</w:t>
      </w:r>
      <w:r>
        <w:rPr>
          <w:rFonts w:ascii="Book Antiqua" w:eastAsia="Book Antiqua" w:hAnsi="Book Antiqua" w:cs="Book Antiqua"/>
          <w:sz w:val="24"/>
          <w:szCs w:val="24"/>
        </w:rPr>
        <w:t>a atender las obligaciones administrativas locales; la equidad en el reparto de las cargas fiscales; y la capacidad de pago de los contribuyentes. De esta forma, este equilibrio es indispensable para promover un desarrollo territorial justo y sostenible.</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este escenario, los tributos no deben entenderse como simples cargas impuestas al contribuyente, sino como instrumentos de justicia distributiva que, conforme a los principios de equidad y progresividad, permiten que el contribuyente tribute en función </w:t>
      </w:r>
      <w:r>
        <w:rPr>
          <w:rFonts w:ascii="Book Antiqua" w:eastAsia="Book Antiqua" w:hAnsi="Book Antiqua" w:cs="Book Antiqua"/>
          <w:sz w:val="24"/>
          <w:szCs w:val="24"/>
        </w:rPr>
        <w:t>de su capacidad de pago</w:t>
      </w:r>
      <w:r>
        <w:rPr>
          <w:rFonts w:ascii="Book Antiqua" w:eastAsia="Book Antiqua" w:hAnsi="Book Antiqua" w:cs="Book Antiqua"/>
          <w:sz w:val="24"/>
          <w:szCs w:val="24"/>
          <w:vertAlign w:val="superscript"/>
        </w:rPr>
        <w:footnoteReference w:id="4"/>
      </w:r>
      <w:r>
        <w:rPr>
          <w:rFonts w:ascii="Book Antiqua" w:eastAsia="Book Antiqua" w:hAnsi="Book Antiqua" w:cs="Book Antiqua"/>
          <w:sz w:val="24"/>
          <w:szCs w:val="24"/>
        </w:rPr>
        <w:t>. De esta manera, el sistema tributario se convierte en una herramienta de política pública orientada a corregir desigualdades, proteger a los más vulnerables y fomentar una mayor cohesión social (por medio de la provisión de bienes</w:t>
      </w:r>
      <w:r>
        <w:rPr>
          <w:rFonts w:ascii="Book Antiqua" w:eastAsia="Book Antiqua" w:hAnsi="Book Antiqua" w:cs="Book Antiqua"/>
          <w:sz w:val="24"/>
          <w:szCs w:val="24"/>
        </w:rPr>
        <w:t xml:space="preserve"> y servicios públicos de calidad). Por tanto, resulta fundamental que el sistema predial tenga en cuenta factores como el estrato socioeconómico, el uso del predio, el avalúo real del inmueble y las dinámicas del mercado local.</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De modo que, para vislumbra</w:t>
      </w:r>
      <w:r>
        <w:rPr>
          <w:rFonts w:ascii="Book Antiqua" w:eastAsia="Book Antiqua" w:hAnsi="Book Antiqua" w:cs="Book Antiqua"/>
          <w:sz w:val="24"/>
          <w:szCs w:val="24"/>
        </w:rPr>
        <w:t>r la forma en la que el Congreso puede aliviar el bolsillo de la ciudadanía sin afectar las finanzas territoriales y sin violar la autonomía y descentralización administrativa, es preciso mencionar que cualquier modificación al impuesto predial debe respet</w:t>
      </w:r>
      <w:r>
        <w:rPr>
          <w:rFonts w:ascii="Book Antiqua" w:eastAsia="Book Antiqua" w:hAnsi="Book Antiqua" w:cs="Book Antiqua"/>
          <w:sz w:val="24"/>
          <w:szCs w:val="24"/>
        </w:rPr>
        <w:t>ar la autonomía fiscal territorial consagrada en la Constitución. Lo anterior, en particular, porque el artículo 294 de la Constitución sostiene que “la ley no podrá conceder exenciones ni tratamientos preferenciales en relación con los tributos de propied</w:t>
      </w:r>
      <w:r>
        <w:rPr>
          <w:rFonts w:ascii="Book Antiqua" w:eastAsia="Book Antiqua" w:hAnsi="Book Antiqua" w:cs="Book Antiqua"/>
          <w:sz w:val="24"/>
          <w:szCs w:val="24"/>
        </w:rPr>
        <w:t xml:space="preserve">ad de las entidades territoriales. Tampoco podrá </w:t>
      </w:r>
      <w:r>
        <w:rPr>
          <w:rFonts w:ascii="Book Antiqua" w:eastAsia="Book Antiqua" w:hAnsi="Book Antiqua" w:cs="Book Antiqua"/>
          <w:sz w:val="24"/>
          <w:szCs w:val="24"/>
        </w:rPr>
        <w:lastRenderedPageBreak/>
        <w:t>imponer recargos sobre sus impuestos salvo lo dispuesto en el artículo 317” (Constitución Política de Colombia, art. 294, 1991).</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Es decir, esto significa que el legislador no puede, por iniciativa propia, e</w:t>
      </w:r>
      <w:r>
        <w:rPr>
          <w:rFonts w:ascii="Book Antiqua" w:eastAsia="Book Antiqua" w:hAnsi="Book Antiqua" w:cs="Book Antiqua"/>
          <w:sz w:val="24"/>
          <w:szCs w:val="24"/>
        </w:rPr>
        <w:t>liminar o reducir la obligación tributaria de ciertos contribuyentes locales de forma general, pues esa facultad recae en los concejos municipales. Sin embargo, la ley sí puede establecer lineamientos y rangos dentro de los cuales los concejos ejercen su p</w:t>
      </w:r>
      <w:r>
        <w:rPr>
          <w:rFonts w:ascii="Book Antiqua" w:eastAsia="Book Antiqua" w:hAnsi="Book Antiqua" w:cs="Book Antiqua"/>
          <w:sz w:val="24"/>
          <w:szCs w:val="24"/>
        </w:rPr>
        <w:t>otestad tributaria, atendiendo los principios de legalidad, equidad y progresividad, así como los elementos mínimos del tributo (hecho generador, sujetos, base gravable y tarifa) que, según la Constitución, deben ser fijados por la ley, las ordenanzas o lo</w:t>
      </w:r>
      <w:r>
        <w:rPr>
          <w:rFonts w:ascii="Book Antiqua" w:eastAsia="Book Antiqua" w:hAnsi="Book Antiqua" w:cs="Book Antiqua"/>
          <w:sz w:val="24"/>
          <w:szCs w:val="24"/>
        </w:rPr>
        <w:t>s acuerdos</w:t>
      </w:r>
      <w:r>
        <w:rPr>
          <w:rFonts w:ascii="Book Antiqua" w:eastAsia="Book Antiqua" w:hAnsi="Book Antiqua" w:cs="Book Antiqua"/>
          <w:sz w:val="24"/>
          <w:szCs w:val="24"/>
          <w:vertAlign w:val="superscript"/>
        </w:rPr>
        <w:footnoteReference w:id="5"/>
      </w:r>
      <w:r>
        <w:rPr>
          <w:rFonts w:ascii="Book Antiqua" w:eastAsia="Book Antiqua" w:hAnsi="Book Antiqua" w:cs="Book Antiqua"/>
          <w:sz w:val="24"/>
          <w:szCs w:val="24"/>
        </w:rPr>
        <w:t>.</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Asimismo, el régimen municipal</w:t>
      </w:r>
      <w:r>
        <w:rPr>
          <w:rFonts w:ascii="Book Antiqua" w:eastAsia="Book Antiqua" w:hAnsi="Book Antiqua" w:cs="Book Antiqua"/>
          <w:sz w:val="24"/>
          <w:szCs w:val="24"/>
          <w:vertAlign w:val="superscript"/>
        </w:rPr>
        <w:footnoteReference w:id="6"/>
      </w:r>
      <w:r>
        <w:rPr>
          <w:rFonts w:ascii="Book Antiqua" w:eastAsia="Book Antiqua" w:hAnsi="Book Antiqua" w:cs="Book Antiqua"/>
          <w:sz w:val="24"/>
          <w:szCs w:val="24"/>
        </w:rPr>
        <w:t xml:space="preserve"> autoriza al concejo a conceder exenciones sobre impuestos municipales cuando así lo decida, sin contrariar las leyes marco. Por tanto, las reformas al Impuesto Predial Unificado que se planteen deben estructura</w:t>
      </w:r>
      <w:r>
        <w:rPr>
          <w:rFonts w:ascii="Book Antiqua" w:eastAsia="Book Antiqua" w:hAnsi="Book Antiqua" w:cs="Book Antiqua"/>
          <w:sz w:val="24"/>
          <w:szCs w:val="24"/>
        </w:rPr>
        <w:t>rse de forma tal que no incurran en prohibiciones constitucionales ni en perturbaciones al ordenamiento territorial colombiano.</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En ese sentido, los mecanismos para hacer del cobro del impuesto predial algo más equitativo y eficiente deben girar en torno a</w:t>
      </w:r>
      <w:r>
        <w:rPr>
          <w:rFonts w:ascii="Book Antiqua" w:eastAsia="Book Antiqua" w:hAnsi="Book Antiqua" w:cs="Book Antiqua"/>
          <w:sz w:val="24"/>
          <w:szCs w:val="24"/>
        </w:rPr>
        <w:t xml:space="preserve"> políticas de focalización, revisión técnica de los avalúos, regímenes de exenciones y límites razonables de incremento. Cuestiones que, en definitiva, permitirían proteger a la población vulnerable, sin sacrificar la capacidad financiera de los municipios</w:t>
      </w:r>
      <w:r>
        <w:rPr>
          <w:rFonts w:ascii="Book Antiqua" w:eastAsia="Book Antiqua" w:hAnsi="Book Antiqua" w:cs="Book Antiqua"/>
          <w:sz w:val="24"/>
          <w:szCs w:val="24"/>
        </w:rPr>
        <w:t>.</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Esta ley, entonces, se inscribe dentro del principio de corresponsabilidad entre nación y territorio. De igual forma, propone una arquitectura normativa que combina responsabilidad fiscal, sensibilidad social y fortalecimiento institucional. De esta for</w:t>
      </w:r>
      <w:r>
        <w:rPr>
          <w:rFonts w:ascii="Book Antiqua" w:eastAsia="Book Antiqua" w:hAnsi="Book Antiqua" w:cs="Book Antiqua"/>
          <w:sz w:val="24"/>
          <w:szCs w:val="24"/>
        </w:rPr>
        <w:t>ma, su implementación puede marcar un hito hacia un modelo tributario local más justo, moderno y funcional, sirviendo esto de antecedente para la búsqueda de diseños institucionales que acercan al país a mayores niveles de desarrollo y hacia una tributació</w:t>
      </w:r>
      <w:r>
        <w:rPr>
          <w:rFonts w:ascii="Book Antiqua" w:eastAsia="Book Antiqua" w:hAnsi="Book Antiqua" w:cs="Book Antiqua"/>
          <w:sz w:val="24"/>
          <w:szCs w:val="24"/>
        </w:rPr>
        <w:t>n más equitativa, sostenible y centrada en el bienestar ciudadano.</w:t>
      </w:r>
    </w:p>
    <w:p w:rsidR="001C3F2B" w:rsidRDefault="001C3F2B">
      <w:pPr>
        <w:jc w:val="both"/>
        <w:rPr>
          <w:rFonts w:ascii="Book Antiqua" w:eastAsia="Book Antiqua" w:hAnsi="Book Antiqua" w:cs="Book Antiqua"/>
          <w:sz w:val="24"/>
          <w:szCs w:val="24"/>
        </w:rPr>
      </w:pPr>
    </w:p>
    <w:p w:rsidR="001C3F2B" w:rsidRDefault="00FA3500">
      <w:pPr>
        <w:numPr>
          <w:ilvl w:val="0"/>
          <w:numId w:val="2"/>
        </w:numPr>
        <w:jc w:val="both"/>
        <w:rPr>
          <w:rFonts w:ascii="Book Antiqua" w:eastAsia="Book Antiqua" w:hAnsi="Book Antiqua" w:cs="Book Antiqua"/>
          <w:b/>
          <w:sz w:val="24"/>
          <w:szCs w:val="24"/>
        </w:rPr>
      </w:pPr>
      <w:r>
        <w:rPr>
          <w:rFonts w:ascii="Book Antiqua" w:eastAsia="Book Antiqua" w:hAnsi="Book Antiqua" w:cs="Book Antiqua"/>
          <w:b/>
          <w:sz w:val="24"/>
          <w:szCs w:val="24"/>
        </w:rPr>
        <w:t>JUSTIFICACIÓN DEL PROYECTO DE LEY</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El presente proyecto de ley tiene como finalidad establecer un límite legal, nacional y progresivo al crecimiento del Impuesto Predial Unificado (IPU) en </w:t>
      </w:r>
      <w:r>
        <w:rPr>
          <w:rFonts w:ascii="Book Antiqua" w:eastAsia="Book Antiqua" w:hAnsi="Book Antiqua" w:cs="Book Antiqua"/>
          <w:sz w:val="24"/>
          <w:szCs w:val="24"/>
        </w:rPr>
        <w:t xml:space="preserve">Colombia, tomando como base el impuesto efectivamente pagado el año anterior, el índice de precios al consumidor (IPC) y una variable de ajuste o “colchón” que depende del tipo de predio. </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A saber, la fórmula propuesta— </w:t>
      </w:r>
      <w:proofErr w:type="spellStart"/>
      <w:r>
        <w:rPr>
          <w:rFonts w:ascii="Book Antiqua" w:eastAsia="Book Antiqua" w:hAnsi="Book Antiqua" w:cs="Book Antiqua"/>
          <w:i/>
          <w:sz w:val="24"/>
          <w:szCs w:val="24"/>
        </w:rPr>
        <w:t>I_t</w:t>
      </w:r>
      <w:proofErr w:type="spellEnd"/>
      <w:r>
        <w:rPr>
          <w:rFonts w:ascii="Book Antiqua" w:eastAsia="Book Antiqua" w:hAnsi="Book Antiqua" w:cs="Book Antiqua"/>
          <w:i/>
          <w:sz w:val="24"/>
          <w:szCs w:val="24"/>
        </w:rPr>
        <w:t xml:space="preserve"> ≤ I_{t-1} × (1 + π_t + α_s)— </w:t>
      </w:r>
      <w:r>
        <w:rPr>
          <w:rFonts w:ascii="Book Antiqua" w:eastAsia="Book Antiqua" w:hAnsi="Book Antiqua" w:cs="Book Antiqua"/>
          <w:sz w:val="24"/>
          <w:szCs w:val="24"/>
        </w:rPr>
        <w:t>bus</w:t>
      </w:r>
      <w:r>
        <w:rPr>
          <w:rFonts w:ascii="Book Antiqua" w:eastAsia="Book Antiqua" w:hAnsi="Book Antiqua" w:cs="Book Antiqua"/>
          <w:sz w:val="24"/>
          <w:szCs w:val="24"/>
        </w:rPr>
        <w:t>ca proteger a los contribuyentes frente a incrementos desproporcionados del impuesto tras procesos de actualización catastral, sin afectar la sostenibilidad fiscal de municipios y distritos. Lo anterior, puesto que, según la Contraloría General de la Repúb</w:t>
      </w:r>
      <w:r>
        <w:rPr>
          <w:rFonts w:ascii="Book Antiqua" w:eastAsia="Book Antiqua" w:hAnsi="Book Antiqua" w:cs="Book Antiqua"/>
          <w:sz w:val="24"/>
          <w:szCs w:val="24"/>
        </w:rPr>
        <w:t>lica (2022), el proceso de actualización catastral multipropósito ha generado incrementos abruptos en el impuesto predial de hasta el 200%–300% en algunos municipios, causando protestas sociales y desincentivando el pago voluntario del tributo (Contraloría</w:t>
      </w:r>
      <w:r>
        <w:rPr>
          <w:rFonts w:ascii="Book Antiqua" w:eastAsia="Book Antiqua" w:hAnsi="Book Antiqua" w:cs="Book Antiqua"/>
          <w:sz w:val="24"/>
          <w:szCs w:val="24"/>
        </w:rPr>
        <w:t xml:space="preserve"> General de la República, 2022).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Frente a dicha situación, esta iniciativa desarrolla el mandato del artículo 49 de la Ley 2294 de 2023, que ordena estructurar una propuesta para limitar el crecimiento del IPU bajo principios de equidad y progresividad, </w:t>
      </w:r>
      <w:r>
        <w:rPr>
          <w:rFonts w:ascii="Book Antiqua" w:eastAsia="Book Antiqua" w:hAnsi="Book Antiqua" w:cs="Book Antiqua"/>
          <w:sz w:val="24"/>
          <w:szCs w:val="24"/>
        </w:rPr>
        <w:t>mediante un mecanismo simple, verificable y transparente, respetuoso de la autonomía territorial en la fijación de tarifas.</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t>Según el Departamento Administrativo Nacional de Estadística (DANE, 2023), alrededor del 35% de los hogares colombianos destinan más</w:t>
      </w:r>
      <w:r>
        <w:rPr>
          <w:rFonts w:ascii="Book Antiqua" w:eastAsia="Book Antiqua" w:hAnsi="Book Antiqua" w:cs="Book Antiqua"/>
          <w:sz w:val="24"/>
          <w:szCs w:val="24"/>
        </w:rPr>
        <w:t xml:space="preserve"> del 15% de sus ingresos mensuales al pago del impuesto predial, especialmente tras procesos de actualización catastral, superando así el estándar internacional recomendado del 5–10% (DANE, 2023). Por lo que, para evitar tales aumentos abruptos, el present</w:t>
      </w:r>
      <w:r>
        <w:rPr>
          <w:rFonts w:ascii="Book Antiqua" w:eastAsia="Book Antiqua" w:hAnsi="Book Antiqua" w:cs="Book Antiqua"/>
          <w:sz w:val="24"/>
          <w:szCs w:val="24"/>
        </w:rPr>
        <w:t xml:space="preserve">e proyecto ancla el crecimiento del IPU al IPC y lo modula según la naturaleza del predio, aportando previsibilidad al contribuyente y estabilidad a las finanzas locales. </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t>Así, el límite logra establecerse de forma segmentada. Para viviendas VIS/VIP (estra</w:t>
      </w:r>
      <w:r>
        <w:rPr>
          <w:rFonts w:ascii="Book Antiqua" w:eastAsia="Book Antiqua" w:hAnsi="Book Antiqua" w:cs="Book Antiqua"/>
          <w:sz w:val="24"/>
          <w:szCs w:val="24"/>
        </w:rPr>
        <w:t xml:space="preserve">tos 1 y 2 con avalúo catastral ≤ 135 SMMLV) el tope es igual al IPC; para </w:t>
      </w:r>
      <w:proofErr w:type="gramStart"/>
      <w:r>
        <w:rPr>
          <w:rFonts w:ascii="Book Antiqua" w:eastAsia="Book Antiqua" w:hAnsi="Book Antiqua" w:cs="Book Antiqua"/>
          <w:sz w:val="24"/>
          <w:szCs w:val="24"/>
        </w:rPr>
        <w:t>la residencial general</w:t>
      </w:r>
      <w:proofErr w:type="gramEnd"/>
      <w:r>
        <w:rPr>
          <w:rFonts w:ascii="Book Antiqua" w:eastAsia="Book Antiqua" w:hAnsi="Book Antiqua" w:cs="Book Antiqua"/>
          <w:sz w:val="24"/>
          <w:szCs w:val="24"/>
        </w:rPr>
        <w:t xml:space="preserve"> es IPC + 4 puntos porcentuales; y para la no residencial es IPC + 8 puntos porcentuales. Esta graduación protege con mayor intensidad a los hogares de menores </w:t>
      </w:r>
      <w:r>
        <w:rPr>
          <w:rFonts w:ascii="Book Antiqua" w:eastAsia="Book Antiqua" w:hAnsi="Book Antiqua" w:cs="Book Antiqua"/>
          <w:sz w:val="24"/>
          <w:szCs w:val="24"/>
        </w:rPr>
        <w:t>ingresos, modera el impacto sobre la clase media residencial y permite una senda de crecimiento controlada sobre predios destinados a actividades económicas, garantizando progresividad real y sostenibilidad fiscal territorial.</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El proyecto no altera las ban</w:t>
      </w:r>
      <w:r>
        <w:rPr>
          <w:rFonts w:ascii="Book Antiqua" w:eastAsia="Book Antiqua" w:hAnsi="Book Antiqua" w:cs="Book Antiqua"/>
          <w:sz w:val="24"/>
          <w:szCs w:val="24"/>
        </w:rPr>
        <w:t>das de tarifa previstas en la legislación vigente, ni interfiere con la competencia de los concejos para fijarlas dentro de esos rangos. Según el Banco Mundial (2020), los municipios que han implementado tarifas prediales diferenciadas según el estrato soc</w:t>
      </w:r>
      <w:r>
        <w:rPr>
          <w:rFonts w:ascii="Book Antiqua" w:eastAsia="Book Antiqua" w:hAnsi="Book Antiqua" w:cs="Book Antiqua"/>
          <w:sz w:val="24"/>
          <w:szCs w:val="24"/>
        </w:rPr>
        <w:t>ioeconómico han reportado incrementos en el recaudo efectivo del impuesto de hasta un 15%, así como una reducción significativa en las tasas de morosidad tributaria (Banco Mundial, 2020). Por ello, el Artículo 10 armoniza dichas bandas y reconoce la potest</w:t>
      </w:r>
      <w:r>
        <w:rPr>
          <w:rFonts w:ascii="Book Antiqua" w:eastAsia="Book Antiqua" w:hAnsi="Book Antiqua" w:cs="Book Antiqua"/>
          <w:sz w:val="24"/>
          <w:szCs w:val="24"/>
        </w:rPr>
        <w:t>ad local para aplicar tarifas diferenciales con base en estrato, uso del suelo, avalúo, área y antigüedad catastral.</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t xml:space="preserve">Asimismo, el proyecto ofrece lineamientos claros para las exenciones focalizadas. Estudios recientes de </w:t>
      </w:r>
      <w:proofErr w:type="spellStart"/>
      <w:r>
        <w:rPr>
          <w:rFonts w:ascii="Book Antiqua" w:eastAsia="Book Antiqua" w:hAnsi="Book Antiqua" w:cs="Book Antiqua"/>
          <w:sz w:val="24"/>
          <w:szCs w:val="24"/>
        </w:rPr>
        <w:t>Fedesarrollo</w:t>
      </w:r>
      <w:proofErr w:type="spellEnd"/>
      <w:r>
        <w:rPr>
          <w:rFonts w:ascii="Book Antiqua" w:eastAsia="Book Antiqua" w:hAnsi="Book Antiqua" w:cs="Book Antiqua"/>
          <w:sz w:val="24"/>
          <w:szCs w:val="24"/>
        </w:rPr>
        <w:t xml:space="preserve"> (2022) indican que la </w:t>
      </w:r>
      <w:r>
        <w:rPr>
          <w:rFonts w:ascii="Book Antiqua" w:eastAsia="Book Antiqua" w:hAnsi="Book Antiqua" w:cs="Book Antiqua"/>
          <w:sz w:val="24"/>
          <w:szCs w:val="24"/>
        </w:rPr>
        <w:t>focalización técnica de exenciones prediales dirigidas a sectores vulnerables puede mejorar en un 20% la equidad del sistema tributario local, sin afectar negativamente la sostenibilidad financiera municipal (</w:t>
      </w:r>
      <w:proofErr w:type="spellStart"/>
      <w:r>
        <w:rPr>
          <w:rFonts w:ascii="Book Antiqua" w:eastAsia="Book Antiqua" w:hAnsi="Book Antiqua" w:cs="Book Antiqua"/>
          <w:sz w:val="24"/>
          <w:szCs w:val="24"/>
        </w:rPr>
        <w:t>Fedesarrollo</w:t>
      </w:r>
      <w:proofErr w:type="spellEnd"/>
      <w:r>
        <w:rPr>
          <w:rFonts w:ascii="Book Antiqua" w:eastAsia="Book Antiqua" w:hAnsi="Book Antiqua" w:cs="Book Antiqua"/>
          <w:sz w:val="24"/>
          <w:szCs w:val="24"/>
        </w:rPr>
        <w:t xml:space="preserve">, 2022). Los Artículos 17 y 18 del </w:t>
      </w:r>
      <w:r>
        <w:rPr>
          <w:rFonts w:ascii="Book Antiqua" w:eastAsia="Book Antiqua" w:hAnsi="Book Antiqua" w:cs="Book Antiqua"/>
          <w:sz w:val="24"/>
          <w:szCs w:val="24"/>
        </w:rPr>
        <w:t>presente proyecto establecen estos lineamientos para exenciones urbanas y rurales que los concejos podrán adoptar mediante acuerdo, respetando la prohibición del art. 294 C.P. y asegurando una adecuada focalización del beneficio en población con menor capa</w:t>
      </w:r>
      <w:r>
        <w:rPr>
          <w:rFonts w:ascii="Book Antiqua" w:eastAsia="Book Antiqua" w:hAnsi="Book Antiqua" w:cs="Book Antiqua"/>
          <w:sz w:val="24"/>
          <w:szCs w:val="24"/>
        </w:rPr>
        <w:t>cidad contributiva.</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t>Adicionalmente, según la OCDE (2021), el 72% de los municipios colombianos presenta alta vulnerabilidad fiscal debido a su limitada autonomía tributaria y a la alta concentración de ingresos en pocos tributos locales, especialmente el predial, cuya eficien</w:t>
      </w:r>
      <w:r>
        <w:rPr>
          <w:rFonts w:ascii="Book Antiqua" w:eastAsia="Book Antiqua" w:hAnsi="Book Antiqua" w:cs="Book Antiqua"/>
          <w:sz w:val="24"/>
          <w:szCs w:val="24"/>
        </w:rPr>
        <w:t>cia en el recaudo es generalmente baja (OCDE, 2021). Para abordar este desafío, los Artículos 8 y 9 introducen mecanismos de transparencia y control ciudadano en la liquidación del impuesto predial, así como procedimientos claros para la revisión y suspens</w:t>
      </w:r>
      <w:r>
        <w:rPr>
          <w:rFonts w:ascii="Book Antiqua" w:eastAsia="Book Antiqua" w:hAnsi="Book Antiqua" w:cs="Book Antiqua"/>
          <w:sz w:val="24"/>
          <w:szCs w:val="24"/>
        </w:rPr>
        <w:t>ión provisional del mayor cobro por ajustes catastrales, fortaleciendo la cultura tributaria y la confianza institucional. El Artículo 12 establece además un esquema de seguimiento y evaluación anual a cargo del Ministerio de Hacienda y el DNP, creando así</w:t>
      </w:r>
      <w:r>
        <w:rPr>
          <w:rFonts w:ascii="Book Antiqua" w:eastAsia="Book Antiqua" w:hAnsi="Book Antiqua" w:cs="Book Antiqua"/>
          <w:sz w:val="24"/>
          <w:szCs w:val="24"/>
        </w:rPr>
        <w:t xml:space="preserve"> un circuito de mejora continua.</w:t>
      </w:r>
    </w:p>
    <w:p w:rsidR="001C3F2B" w:rsidRDefault="00FA3500">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t>Frente a este panorama, resulta preciso afirmar que, la presente propuesta configura un marco integral, realista y constitucionalmente viable que desarrolla la progresividad y la equidad (art. 363 C.P.), respeta la reserva municipal del predial y la autono</w:t>
      </w:r>
      <w:r>
        <w:rPr>
          <w:rFonts w:ascii="Book Antiqua" w:eastAsia="Book Antiqua" w:hAnsi="Book Antiqua" w:cs="Book Antiqua"/>
          <w:sz w:val="24"/>
          <w:szCs w:val="24"/>
        </w:rPr>
        <w:t xml:space="preserve">mía territorial (arts. 287 y 317 C.P.), acata la prohibición del art. 294 C.P. al no conceder exenciones nacionales— sino facultar a los concejos para diseñarlas con criterios técnicos—, y cumple el mandato legal vigente (art. 49 de la Ley 2294 de 2023). </w:t>
      </w:r>
      <w:r>
        <w:rPr>
          <w:rFonts w:ascii="Book Antiqua" w:eastAsia="Book Antiqua" w:hAnsi="Book Antiqua" w:cs="Book Antiqua"/>
          <w:sz w:val="24"/>
          <w:szCs w:val="24"/>
        </w:rPr>
        <w:lastRenderedPageBreak/>
        <w:t>C</w:t>
      </w:r>
      <w:r>
        <w:rPr>
          <w:rFonts w:ascii="Book Antiqua" w:eastAsia="Book Antiqua" w:hAnsi="Book Antiqua" w:cs="Book Antiqua"/>
          <w:sz w:val="24"/>
          <w:szCs w:val="24"/>
        </w:rPr>
        <w:t>on ello, se fortalece la seguridad jurídica, se protege al contribuyente y se consolidan finanzas locales estables y previsibles.</w:t>
      </w:r>
    </w:p>
    <w:p w:rsidR="001C3F2B" w:rsidRDefault="00FA3500">
      <w:pPr>
        <w:numPr>
          <w:ilvl w:val="0"/>
          <w:numId w:val="2"/>
        </w:numPr>
        <w:rPr>
          <w:rFonts w:ascii="Book Antiqua" w:eastAsia="Book Antiqua" w:hAnsi="Book Antiqua" w:cs="Book Antiqua"/>
          <w:b/>
          <w:sz w:val="24"/>
          <w:szCs w:val="24"/>
        </w:rPr>
      </w:pPr>
      <w:r>
        <w:rPr>
          <w:rFonts w:ascii="Book Antiqua" w:eastAsia="Book Antiqua" w:hAnsi="Book Antiqua" w:cs="Book Antiqua"/>
          <w:b/>
          <w:sz w:val="24"/>
          <w:szCs w:val="24"/>
        </w:rPr>
        <w:t>MARCO NORMATIVO</w:t>
      </w:r>
    </w:p>
    <w:p w:rsidR="001C3F2B" w:rsidRDefault="001C3F2B">
      <w:pPr>
        <w:jc w:val="both"/>
        <w:rPr>
          <w:rFonts w:ascii="Book Antiqua" w:eastAsia="Book Antiqua" w:hAnsi="Book Antiqua" w:cs="Book Antiqua"/>
          <w:b/>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IPU constituye uno de los principales instrumentos tributarios de los municipios y distritos en Colombia. </w:t>
      </w:r>
      <w:r>
        <w:rPr>
          <w:rFonts w:ascii="Book Antiqua" w:eastAsia="Book Antiqua" w:hAnsi="Book Antiqua" w:cs="Book Antiqua"/>
          <w:sz w:val="24"/>
          <w:szCs w:val="24"/>
        </w:rPr>
        <w:t>Por eso, cabe remarcar que, su regulación ha sido objeto de diversas reformas a lo largo de las últimas décadas, en un intento por armonizar los principios de equidad tributaria, sostenibilidad fiscal y actualización catastral. Así pues, la primera norma d</w:t>
      </w:r>
      <w:r>
        <w:rPr>
          <w:rFonts w:ascii="Book Antiqua" w:eastAsia="Book Antiqua" w:hAnsi="Book Antiqua" w:cs="Book Antiqua"/>
          <w:sz w:val="24"/>
          <w:szCs w:val="24"/>
        </w:rPr>
        <w:t>e gran impacto fue la Ley 14 de 1983, la cual estableció las bases del sistema predial moderno, introduciendo reglas para la actualización periódica de avalúos catastrales y fijando tarifas entre el 4% y el 12% del avalúo, con tarifas mínimas para vivienda</w:t>
      </w:r>
      <w:r>
        <w:rPr>
          <w:rFonts w:ascii="Book Antiqua" w:eastAsia="Book Antiqua" w:hAnsi="Book Antiqua" w:cs="Book Antiqua"/>
          <w:sz w:val="24"/>
          <w:szCs w:val="24"/>
        </w:rPr>
        <w:t xml:space="preserve"> popular y pequeña propiedad agropecuaria.</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Posteriormente, la Ley 75 de 1986 amplió a siete años el intervalo de actualización catastral y autorizó a los concejos a utilizar una base gravable inferior al avalúo, hasta en un 25%, como medida de alivio fisc</w:t>
      </w:r>
      <w:r>
        <w:rPr>
          <w:rFonts w:ascii="Book Antiqua" w:eastAsia="Book Antiqua" w:hAnsi="Book Antiqua" w:cs="Book Antiqua"/>
          <w:sz w:val="24"/>
          <w:szCs w:val="24"/>
        </w:rPr>
        <w:t>al opcional. En su momento, esta norma también introdujo la figura del avalúo fiscal como base alternativa, aunque su uso fue limitado. Después, el Decreto Ley 1333 de 1986, conocido como el Código de Régimen Municipal, compiló las disposiciones vigentes s</w:t>
      </w:r>
      <w:r>
        <w:rPr>
          <w:rFonts w:ascii="Book Antiqua" w:eastAsia="Book Antiqua" w:hAnsi="Book Antiqua" w:cs="Book Antiqua"/>
          <w:sz w:val="24"/>
          <w:szCs w:val="24"/>
        </w:rPr>
        <w:t>obre rentas municipales, incluyendo el impuesto predial, y estableció los elementos estructurales del tributo: hecho generador, sujeto pasivo y tarifas diferenciadas según el uso del predio.</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Luego, la Ley 44 de 1990 supuso una transformación estructural a</w:t>
      </w:r>
      <w:r>
        <w:rPr>
          <w:rFonts w:ascii="Book Antiqua" w:eastAsia="Book Antiqua" w:hAnsi="Book Antiqua" w:cs="Book Antiqua"/>
          <w:sz w:val="24"/>
          <w:szCs w:val="24"/>
        </w:rPr>
        <w:t xml:space="preserve">l crear el Impuesto Predial Unificado, fusionando en un solo gravamen varios tributos anteriores como el impuesto de parques, la sobretasa de levantamiento catastral y el impuesto de estratificación. Entonces, esta ley ratificó el uso del avalúo catastral </w:t>
      </w:r>
      <w:r>
        <w:rPr>
          <w:rFonts w:ascii="Book Antiqua" w:eastAsia="Book Antiqua" w:hAnsi="Book Antiqua" w:cs="Book Antiqua"/>
          <w:sz w:val="24"/>
          <w:szCs w:val="24"/>
        </w:rPr>
        <w:t>como base gravable y estableció una tarifa entre el 1% y el 16%, obligando a los concejos a aplicar tarifas progresivas teniendo en cuenta el uso del suelo, el estrato socioeconómico y la antigüedad del catastro. Además, autorizó tarifas superiores hasta d</w:t>
      </w:r>
      <w:r>
        <w:rPr>
          <w:rFonts w:ascii="Book Antiqua" w:eastAsia="Book Antiqua" w:hAnsi="Book Antiqua" w:cs="Book Antiqua"/>
          <w:sz w:val="24"/>
          <w:szCs w:val="24"/>
        </w:rPr>
        <w:t>el 33% para lotes urbanos no edificados y estableció un límite del 100% al incremento del impuesto tras una actualización catastral.</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Ahora, la normativa posterior ha complementado estas disposiciones. Pues, la Ley 242 de 1995 dispuso que los avalúos catas</w:t>
      </w:r>
      <w:r>
        <w:rPr>
          <w:rFonts w:ascii="Book Antiqua" w:eastAsia="Book Antiqua" w:hAnsi="Book Antiqua" w:cs="Book Antiqua"/>
          <w:sz w:val="24"/>
          <w:szCs w:val="24"/>
        </w:rPr>
        <w:t xml:space="preserve">trales anuales se reajusten según la meta de </w:t>
      </w:r>
      <w:r>
        <w:rPr>
          <w:rFonts w:ascii="Book Antiqua" w:eastAsia="Book Antiqua" w:hAnsi="Book Antiqua" w:cs="Book Antiqua"/>
          <w:sz w:val="24"/>
          <w:szCs w:val="24"/>
        </w:rPr>
        <w:lastRenderedPageBreak/>
        <w:t xml:space="preserve">inflación fijada por el Gobierno, y no por la inflación pasada. Además, el Decreto 2879 de 2001 </w:t>
      </w:r>
      <w:proofErr w:type="spellStart"/>
      <w:r>
        <w:rPr>
          <w:rFonts w:ascii="Book Antiqua" w:eastAsia="Book Antiqua" w:hAnsi="Book Antiqua" w:cs="Book Antiqua"/>
          <w:sz w:val="24"/>
          <w:szCs w:val="24"/>
        </w:rPr>
        <w:t>operacionalizó</w:t>
      </w:r>
      <w:proofErr w:type="spellEnd"/>
      <w:r>
        <w:rPr>
          <w:rFonts w:ascii="Book Antiqua" w:eastAsia="Book Antiqua" w:hAnsi="Book Antiqua" w:cs="Book Antiqua"/>
          <w:sz w:val="24"/>
          <w:szCs w:val="24"/>
        </w:rPr>
        <w:t xml:space="preserve"> estos criterios para un año fiscal específico. Y, en 2019, la Ley 1995 introdujo medidas temporales </w:t>
      </w:r>
      <w:r>
        <w:rPr>
          <w:rFonts w:ascii="Book Antiqua" w:eastAsia="Book Antiqua" w:hAnsi="Book Antiqua" w:cs="Book Antiqua"/>
          <w:sz w:val="24"/>
          <w:szCs w:val="24"/>
        </w:rPr>
        <w:t>para mitigar los efectos de la transición al catastro multipropósito. Allí, se fijaron límites explícitos al crecimiento anual del IPU (por ejemplo, IPC + 8 para predios actualizados y hasta el 100% del IPC para viviendas de estratos 1 y 2 con avalúo hasta</w:t>
      </w:r>
      <w:r>
        <w:rPr>
          <w:rFonts w:ascii="Book Antiqua" w:eastAsia="Book Antiqua" w:hAnsi="Book Antiqua" w:cs="Book Antiqua"/>
          <w:sz w:val="24"/>
          <w:szCs w:val="24"/>
        </w:rPr>
        <w:t xml:space="preserve"> 135 SMMLV), autorizó pagos en cuotas y permitió la revisión del avalúo a solicitud del contribuyente.</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De igual forma, cabe rescatar la Ley 1450 de 2011, que en su artículo 23, modificó las disposiciones de la Ley 44 de 1990 relacionadas con el Impuesto P</w:t>
      </w:r>
      <w:r>
        <w:rPr>
          <w:rFonts w:ascii="Book Antiqua" w:eastAsia="Book Antiqua" w:hAnsi="Book Antiqua" w:cs="Book Antiqua"/>
          <w:sz w:val="24"/>
          <w:szCs w:val="24"/>
        </w:rPr>
        <w:t>redial Unificado, estableciendo criterios de progresividad y segmentación más detallados para la fijación de tarifas. En particular, introdujo la obligación de aplicar tarifas diferenciales teniendo en cuenta factores como el estrato socioeconómico, el uso</w:t>
      </w:r>
      <w:r>
        <w:rPr>
          <w:rFonts w:ascii="Book Antiqua" w:eastAsia="Book Antiqua" w:hAnsi="Book Antiqua" w:cs="Book Antiqua"/>
          <w:sz w:val="24"/>
          <w:szCs w:val="24"/>
        </w:rPr>
        <w:t xml:space="preserve"> del suelo urbano, el avalúo catastral, el rango de área y la antigüedad del catastro. Esta reforma también estableció límites al incremento anual del IPU, precisando que el cobro total resultante no podría exceder el 25 % del monto liquidado el año anteri</w:t>
      </w:r>
      <w:r>
        <w:rPr>
          <w:rFonts w:ascii="Book Antiqua" w:eastAsia="Book Antiqua" w:hAnsi="Book Antiqua" w:cs="Book Antiqua"/>
          <w:sz w:val="24"/>
          <w:szCs w:val="24"/>
        </w:rPr>
        <w:t>or, salvo que existieran cambios físicos o económicos identificados en los procesos de actualización catastral.</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Adicionalmente, el artículo 24 de la misma ley dispuso que la formación y actualización catastral debe realizarse, como mínimo, cada cinco (5) </w:t>
      </w:r>
      <w:r>
        <w:rPr>
          <w:rFonts w:ascii="Book Antiqua" w:eastAsia="Book Antiqua" w:hAnsi="Book Antiqua" w:cs="Book Antiqua"/>
          <w:sz w:val="24"/>
          <w:szCs w:val="24"/>
        </w:rPr>
        <w:t xml:space="preserve">años, lo que crea un marco temporal regular para aplicar las actualizaciones de avalúos que inciden directamente sobre la base gravable del impuesto.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Ambos artículos (23 y 24) fundamentan la legalidad y razonabilidad del mecanismo propuesto en este proye</w:t>
      </w:r>
      <w:r>
        <w:rPr>
          <w:rFonts w:ascii="Book Antiqua" w:eastAsia="Book Antiqua" w:hAnsi="Book Antiqua" w:cs="Book Antiqua"/>
          <w:sz w:val="24"/>
          <w:szCs w:val="24"/>
        </w:rPr>
        <w:t>cto de ley, que incorpora dichos criterios como variables estructurales del modelo de crecimiento limitado del impuesto. Al hacer explícita esta conexión, se garantiza que la propuesta respeta el marco legal vigente, fortalece la seguridad jurídica y respo</w:t>
      </w:r>
      <w:r>
        <w:rPr>
          <w:rFonts w:ascii="Book Antiqua" w:eastAsia="Book Antiqua" w:hAnsi="Book Antiqua" w:cs="Book Antiqua"/>
          <w:sz w:val="24"/>
          <w:szCs w:val="24"/>
        </w:rPr>
        <w:t>nde al mandato constitucional de progresividad tributaria (Artículo 363 de la Constitución Política de Colombia).</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Así las cosas, es fundamental tener en cuenta que todas estas disposiciones deben armonizarse con la Constitución Política de 1991, particula</w:t>
      </w:r>
      <w:r>
        <w:rPr>
          <w:rFonts w:ascii="Book Antiqua" w:eastAsia="Book Antiqua" w:hAnsi="Book Antiqua" w:cs="Book Antiqua"/>
          <w:sz w:val="24"/>
          <w:szCs w:val="24"/>
        </w:rPr>
        <w:t>rmente con el artículo 294, que prohíbe al Congreso otorgar exenciones o tratamientos preferenciales en tributos de propiedad municipal. Lo cual implica que cualquier alivio o beneficio tributario en el predial debe ser aplicado por los concejos municipale</w:t>
      </w:r>
      <w:r>
        <w:rPr>
          <w:rFonts w:ascii="Book Antiqua" w:eastAsia="Book Antiqua" w:hAnsi="Book Antiqua" w:cs="Book Antiqua"/>
          <w:sz w:val="24"/>
          <w:szCs w:val="24"/>
        </w:rPr>
        <w:t xml:space="preserve">s, a partir de lineamientos </w:t>
      </w:r>
      <w:r>
        <w:rPr>
          <w:rFonts w:ascii="Book Antiqua" w:eastAsia="Book Antiqua" w:hAnsi="Book Antiqua" w:cs="Book Antiqua"/>
          <w:sz w:val="24"/>
          <w:szCs w:val="24"/>
        </w:rPr>
        <w:lastRenderedPageBreak/>
        <w:t>establecidos en leyes marco como la presente. Así, el marco normativo vigente ofrece múltiples herramientas para promover un sistema predial más justo, pero su implementación depende del ejercicio riguroso y transparente de la a</w:t>
      </w:r>
      <w:r>
        <w:rPr>
          <w:rFonts w:ascii="Book Antiqua" w:eastAsia="Book Antiqua" w:hAnsi="Book Antiqua" w:cs="Book Antiqua"/>
          <w:sz w:val="24"/>
          <w:szCs w:val="24"/>
        </w:rPr>
        <w:t>utonomía fiscal territorial.</w:t>
      </w:r>
    </w:p>
    <w:p w:rsidR="001C3F2B" w:rsidRDefault="001C3F2B">
      <w:pPr>
        <w:jc w:val="both"/>
        <w:rPr>
          <w:rFonts w:ascii="Book Antiqua" w:eastAsia="Book Antiqua" w:hAnsi="Book Antiqua" w:cs="Book Antiqua"/>
          <w:b/>
          <w:sz w:val="24"/>
          <w:szCs w:val="24"/>
        </w:rPr>
      </w:pPr>
    </w:p>
    <w:p w:rsidR="001C3F2B" w:rsidRDefault="00FA3500">
      <w:pPr>
        <w:numPr>
          <w:ilvl w:val="0"/>
          <w:numId w:val="2"/>
        </w:numPr>
        <w:rPr>
          <w:rFonts w:ascii="Book Antiqua" w:eastAsia="Book Antiqua" w:hAnsi="Book Antiqua" w:cs="Book Antiqua"/>
          <w:b/>
          <w:sz w:val="24"/>
          <w:szCs w:val="24"/>
        </w:rPr>
      </w:pPr>
      <w:r>
        <w:rPr>
          <w:rFonts w:ascii="Book Antiqua" w:eastAsia="Book Antiqua" w:hAnsi="Book Antiqua" w:cs="Book Antiqua"/>
          <w:b/>
          <w:sz w:val="24"/>
          <w:szCs w:val="24"/>
        </w:rPr>
        <w:t>IMPACTO FISCAL</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En el marco de lo establecido en el artículo 7 de la Ley 819 de 2003, por la cual se dictan normas orgánicas en materia de presupuesto, responsabilidad y transparencia fiscal y se dictan otras disposiciones, qu</w:t>
      </w:r>
      <w:r>
        <w:rPr>
          <w:rFonts w:ascii="Book Antiqua" w:eastAsia="Book Antiqua" w:hAnsi="Book Antiqua" w:cs="Book Antiqua"/>
          <w:sz w:val="24"/>
          <w:szCs w:val="24"/>
        </w:rPr>
        <w:t>e establece:</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i/>
          <w:sz w:val="24"/>
          <w:szCs w:val="24"/>
        </w:rPr>
      </w:pPr>
      <w:r>
        <w:rPr>
          <w:rFonts w:ascii="Book Antiqua" w:eastAsia="Book Antiqua" w:hAnsi="Book Antiqua" w:cs="Book Antiqua"/>
          <w:i/>
          <w:sz w:val="24"/>
          <w:szCs w:val="24"/>
        </w:rPr>
        <w:t>“En todo momento, el impacto fiscal de cualquier proyecto de ley, ordenanza o acuerdo, que ordene gasto o que otorgue beneficios tributarios, deberá hacerse explícito y deberá ser compatible con el Marco Fiscal de Mediano Plazo.”</w:t>
      </w:r>
    </w:p>
    <w:p w:rsidR="001C3F2B" w:rsidRDefault="001C3F2B">
      <w:pPr>
        <w:jc w:val="both"/>
        <w:rPr>
          <w:rFonts w:ascii="Book Antiqua" w:eastAsia="Book Antiqua" w:hAnsi="Book Antiqua" w:cs="Book Antiqua"/>
          <w:i/>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Se consider</w:t>
      </w:r>
      <w:r>
        <w:rPr>
          <w:rFonts w:ascii="Book Antiqua" w:eastAsia="Book Antiqua" w:hAnsi="Book Antiqua" w:cs="Book Antiqua"/>
          <w:sz w:val="24"/>
          <w:szCs w:val="24"/>
        </w:rPr>
        <w:t>a que el impacto fiscal de este proyecto de ley debe analizarse desde la perspectiva de su carácter orientador y no impositivo. Lo anterior puesto que, al tratarse de una ley marco, sus disposiciones no son de aplicación automática ni obligatoria, sino que</w:t>
      </w:r>
      <w:r>
        <w:rPr>
          <w:rFonts w:ascii="Book Antiqua" w:eastAsia="Book Antiqua" w:hAnsi="Book Antiqua" w:cs="Book Antiqua"/>
          <w:sz w:val="24"/>
          <w:szCs w:val="24"/>
        </w:rPr>
        <w:t xml:space="preserve"> constituyen lineamientos para que los concejos municipales y distritales adopten medidas más justas y progresivas en materia de impuesto predial. En consecuencia, no se derivan pérdidas fiscales inmediatas ni alteraciones estructurales al marco tributario</w:t>
      </w:r>
      <w:r>
        <w:rPr>
          <w:rFonts w:ascii="Book Antiqua" w:eastAsia="Book Antiqua" w:hAnsi="Book Antiqua" w:cs="Book Antiqua"/>
          <w:sz w:val="24"/>
          <w:szCs w:val="24"/>
        </w:rPr>
        <w:t xml:space="preserve"> vigente, lo que garantiza el respeto al principio de sostenibilidad fiscal y evita desfinanciar a las entidades territoriales. </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Además, el proyecto promueve mecanismos técnicos de focalización para que los beneficios tributarios— como exenciones parciales o límites al incremento del impuesto— se dirijan exclusivamente a la población con menor capacidad contributiva. Al establecer c</w:t>
      </w:r>
      <w:r>
        <w:rPr>
          <w:rFonts w:ascii="Book Antiqua" w:eastAsia="Book Antiqua" w:hAnsi="Book Antiqua" w:cs="Book Antiqua"/>
          <w:sz w:val="24"/>
          <w:szCs w:val="24"/>
        </w:rPr>
        <w:t>riterios objetivos como estrato, avalúo catastral, uso residencial y condición de vivienda principal, se reduce el riesgo de otorgar beneficios indiscriminados. Algo que permite mantener un recaudo adecuado, protegiendo simultáneamente la equidad del siste</w:t>
      </w:r>
      <w:r>
        <w:rPr>
          <w:rFonts w:ascii="Book Antiqua" w:eastAsia="Book Antiqua" w:hAnsi="Book Antiqua" w:cs="Book Antiqua"/>
          <w:sz w:val="24"/>
          <w:szCs w:val="24"/>
        </w:rPr>
        <w:t>ma y la estabilidad de los ingresos locales.</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El presente proyecto propone herramientas de planeación fiscal a mediano y largo plazo, como la gradualidad en la actualización catastral y la revisión excepcional de avalúos cuando estos superen desproporciona</w:t>
      </w:r>
      <w:r>
        <w:rPr>
          <w:rFonts w:ascii="Book Antiqua" w:eastAsia="Book Antiqua" w:hAnsi="Book Antiqua" w:cs="Book Antiqua"/>
          <w:sz w:val="24"/>
          <w:szCs w:val="24"/>
        </w:rPr>
        <w:t xml:space="preserve">damente los valores comerciales. Por lo </w:t>
      </w:r>
      <w:r>
        <w:rPr>
          <w:rFonts w:ascii="Book Antiqua" w:eastAsia="Book Antiqua" w:hAnsi="Book Antiqua" w:cs="Book Antiqua"/>
          <w:sz w:val="24"/>
          <w:szCs w:val="24"/>
        </w:rPr>
        <w:lastRenderedPageBreak/>
        <w:t>que, estas disposiciones apuntan a generar confianza en el sistema tributario, reducir la conflictividad por vía judicial y facilitar una mejor cultura de pago. En este sentido, el impacto fiscal puede ser incluso po</w:t>
      </w:r>
      <w:r>
        <w:rPr>
          <w:rFonts w:ascii="Book Antiqua" w:eastAsia="Book Antiqua" w:hAnsi="Book Antiqua" w:cs="Book Antiqua"/>
          <w:sz w:val="24"/>
          <w:szCs w:val="24"/>
        </w:rPr>
        <w:t>sitivo, al fomentar una mayor formalización, reducir la evasión y aumentar la legitimidad del impuesto predial unificado en los municipios del país.</w:t>
      </w:r>
    </w:p>
    <w:p w:rsidR="001C3F2B" w:rsidRDefault="001C3F2B">
      <w:pPr>
        <w:jc w:val="both"/>
        <w:rPr>
          <w:rFonts w:ascii="Book Antiqua" w:eastAsia="Book Antiqua" w:hAnsi="Book Antiqua" w:cs="Book Antiqua"/>
          <w:sz w:val="24"/>
          <w:szCs w:val="24"/>
        </w:rPr>
      </w:pPr>
    </w:p>
    <w:p w:rsidR="001C3F2B" w:rsidRDefault="00FA3500">
      <w:pPr>
        <w:numPr>
          <w:ilvl w:val="0"/>
          <w:numId w:val="2"/>
        </w:numPr>
        <w:rPr>
          <w:rFonts w:ascii="Book Antiqua" w:eastAsia="Book Antiqua" w:hAnsi="Book Antiqua" w:cs="Book Antiqua"/>
          <w:b/>
          <w:sz w:val="24"/>
          <w:szCs w:val="24"/>
        </w:rPr>
      </w:pPr>
      <w:r>
        <w:rPr>
          <w:rFonts w:ascii="Book Antiqua" w:eastAsia="Book Antiqua" w:hAnsi="Book Antiqua" w:cs="Book Antiqua"/>
          <w:b/>
          <w:sz w:val="24"/>
          <w:szCs w:val="24"/>
        </w:rPr>
        <w:t>CONFLICTO DE INTERÉS</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Dando cumplimiento a lo establecido en el artículo 3 de la Ley 2003 del 19 de noviem</w:t>
      </w:r>
      <w:r>
        <w:rPr>
          <w:rFonts w:ascii="Book Antiqua" w:eastAsia="Book Antiqua" w:hAnsi="Book Antiqua" w:cs="Book Antiqua"/>
          <w:sz w:val="24"/>
          <w:szCs w:val="24"/>
        </w:rPr>
        <w:t>bre de 2019, por la cual se modifica parcialmente la Ley 5 de 1992, se hacen las siguientes consideraciones:</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highlight w:val="yellow"/>
        </w:rPr>
      </w:pPr>
      <w:r>
        <w:rPr>
          <w:rFonts w:ascii="Book Antiqua" w:eastAsia="Book Antiqua" w:hAnsi="Book Antiqua" w:cs="Book Antiqua"/>
          <w:sz w:val="24"/>
          <w:szCs w:val="24"/>
        </w:rPr>
        <w:t>Se estima que la discusión y aprobación del presente Proyecto de Ley en principio no generaría conflictos de interés en razón de beneficios partic</w:t>
      </w:r>
      <w:r>
        <w:rPr>
          <w:rFonts w:ascii="Book Antiqua" w:eastAsia="Book Antiqua" w:hAnsi="Book Antiqua" w:cs="Book Antiqua"/>
          <w:sz w:val="24"/>
          <w:szCs w:val="24"/>
        </w:rPr>
        <w:t>ulares, actuales y directos a los congresistas conforme a lo dispuesto en la ley, toda vez que lo que busca es incorporar lineamientos generales para promover un sistema de cobro del impuesto predial unificado más equitativo, progresivo y eficiente, con én</w:t>
      </w:r>
      <w:r>
        <w:rPr>
          <w:rFonts w:ascii="Book Antiqua" w:eastAsia="Book Antiqua" w:hAnsi="Book Antiqua" w:cs="Book Antiqua"/>
          <w:sz w:val="24"/>
          <w:szCs w:val="24"/>
        </w:rPr>
        <w:t>fasis en la protección de los contribuyentes más vulnerables, sin que de ello se derive un beneficio particular, actual y directo para los miembros del Congreso de la República.</w:t>
      </w:r>
    </w:p>
    <w:p w:rsidR="001C3F2B" w:rsidRDefault="001C3F2B">
      <w:pPr>
        <w:jc w:val="both"/>
        <w:rPr>
          <w:rFonts w:ascii="Book Antiqua" w:eastAsia="Book Antiqua" w:hAnsi="Book Antiqua" w:cs="Book Antiqua"/>
          <w:sz w:val="24"/>
          <w:szCs w:val="24"/>
          <w:highlight w:val="yellow"/>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Sobre este asunto ha señalado el Consejo de Estado (2019):</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“No cualquier in</w:t>
      </w:r>
      <w:r>
        <w:rPr>
          <w:rFonts w:ascii="Book Antiqua" w:eastAsia="Book Antiqua" w:hAnsi="Book Antiqua" w:cs="Book Antiqua"/>
          <w:sz w:val="24"/>
          <w:szCs w:val="24"/>
        </w:rPr>
        <w:t>terés configura la causal de desinvestidura en comento, pues se sabe que sólo lo será aquél del que se pueda predicar que es directo, esto es, que per se el alegado beneficio, provecho o utilidad encuentre su fuente en el asunto que fue conocido por el leg</w:t>
      </w:r>
      <w:r>
        <w:rPr>
          <w:rFonts w:ascii="Book Antiqua" w:eastAsia="Book Antiqua" w:hAnsi="Book Antiqua" w:cs="Book Antiqua"/>
          <w:sz w:val="24"/>
          <w:szCs w:val="24"/>
        </w:rPr>
        <w:t>islador; particular, que el mismo sea específico o personal, bien para el congresista o quienes se encuentren relacionados con él; y actual o inmediato, que concurra para el momento en que ocurrió la participación o votación del congresista, lo que excluye</w:t>
      </w:r>
      <w:r>
        <w:rPr>
          <w:rFonts w:ascii="Book Antiqua" w:eastAsia="Book Antiqua" w:hAnsi="Book Antiqua" w:cs="Book Antiqua"/>
          <w:sz w:val="24"/>
          <w:szCs w:val="24"/>
        </w:rPr>
        <w:t xml:space="preserve"> sucesos contingentes, futuros o imprevisibles. También se tiene noticia que el interés puede ser de cualquier naturaleza, esto es, económico o moral, sin distinción alguna”.</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igual forma, es pertinente señalar lo que la Ley 5 de 1992 dispone sobre la </w:t>
      </w:r>
      <w:r>
        <w:rPr>
          <w:rFonts w:ascii="Book Antiqua" w:eastAsia="Book Antiqua" w:hAnsi="Book Antiqua" w:cs="Book Antiqua"/>
          <w:sz w:val="24"/>
          <w:szCs w:val="24"/>
        </w:rPr>
        <w:t>materia en el artículo 286, modificado por el artículo 1 de la Ley 2003 de 2019:</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 </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“Se entiende como conflicto de interés una situación donde la discusión o votación de un proyecto de ley o acto legislativo o artículo, pueda resultar en un beneficio particular, actual y directo a favor del congresista.</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a) Beneficio particular: aquel qu</w:t>
      </w:r>
      <w:r>
        <w:rPr>
          <w:rFonts w:ascii="Book Antiqua" w:eastAsia="Book Antiqua" w:hAnsi="Book Antiqua" w:cs="Book Antiqua"/>
          <w:sz w:val="24"/>
          <w:szCs w:val="24"/>
        </w:rPr>
        <w:t>e otorga un privilegio o genera ganancias o crea indemnizaciones económicas o elimina obligaciones a favor del congresista de las que no gozan el resto de los ciudadanos. Modifique normas que afecten investigaciones penales, disciplinarias, fiscales o admi</w:t>
      </w:r>
      <w:r>
        <w:rPr>
          <w:rFonts w:ascii="Book Antiqua" w:eastAsia="Book Antiqua" w:hAnsi="Book Antiqua" w:cs="Book Antiqua"/>
          <w:sz w:val="24"/>
          <w:szCs w:val="24"/>
        </w:rPr>
        <w:t>nistrativas a las que se encuentre formalmente vinculado.</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b) Beneficio actual: aquel que efectivamente se configura en las circunstancias presentes y existentes al momento en el que el congresista participa de la decisión.</w:t>
      </w:r>
    </w:p>
    <w:p w:rsidR="001C3F2B" w:rsidRDefault="00FA3500">
      <w:pPr>
        <w:ind w:left="720"/>
        <w:jc w:val="both"/>
        <w:rPr>
          <w:rFonts w:ascii="Book Antiqua" w:eastAsia="Book Antiqua" w:hAnsi="Book Antiqua" w:cs="Book Antiqua"/>
          <w:sz w:val="24"/>
          <w:szCs w:val="24"/>
        </w:rPr>
      </w:pPr>
      <w:r>
        <w:rPr>
          <w:rFonts w:ascii="Book Antiqua" w:eastAsia="Book Antiqua" w:hAnsi="Book Antiqua" w:cs="Book Antiqua"/>
          <w:sz w:val="24"/>
          <w:szCs w:val="24"/>
        </w:rPr>
        <w:t>c) Beneficio directo: aquel que s</w:t>
      </w:r>
      <w:r>
        <w:rPr>
          <w:rFonts w:ascii="Book Antiqua" w:eastAsia="Book Antiqua" w:hAnsi="Book Antiqua" w:cs="Book Antiqua"/>
          <w:sz w:val="24"/>
          <w:szCs w:val="24"/>
        </w:rPr>
        <w:t>e produzca de forma específica respecto del congresista, de su cónyuge, compañero o compañera permanente, o parientes dentro del segundo grado de consanguinidad, segundo de afinidad o primero civil.”</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Se recuerda que la descripción de los posibles conflic</w:t>
      </w:r>
      <w:r>
        <w:rPr>
          <w:rFonts w:ascii="Book Antiqua" w:eastAsia="Book Antiqua" w:hAnsi="Book Antiqua" w:cs="Book Antiqua"/>
          <w:sz w:val="24"/>
          <w:szCs w:val="24"/>
        </w:rPr>
        <w:t>tos de interés que se puedan presentar frente al trámite del presente proyecto de ley, conforme a lo dispuesto en el artículo 291 de la ley 5 de 1992 modificado por la ley 2003 de 2019, no exime al Congresista de identificar causales adicionales.</w:t>
      </w:r>
    </w:p>
    <w:p w:rsidR="001C3F2B" w:rsidRDefault="001C3F2B">
      <w:pPr>
        <w:jc w:val="both"/>
        <w:rPr>
          <w:rFonts w:ascii="Book Antiqua" w:eastAsia="Book Antiqua" w:hAnsi="Book Antiqua" w:cs="Book Antiqua"/>
          <w:sz w:val="24"/>
          <w:szCs w:val="24"/>
        </w:rPr>
      </w:pPr>
    </w:p>
    <w:p w:rsidR="001C3F2B" w:rsidRDefault="00FA3500">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Del Honorable Congresista,</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1C3F2B" w:rsidRDefault="001C3F2B">
      <w:pPr>
        <w:spacing w:line="273" w:lineRule="auto"/>
        <w:jc w:val="both"/>
        <w:rPr>
          <w:rFonts w:ascii="Book Antiqua" w:eastAsia="Book Antiqua" w:hAnsi="Book Antiqua" w:cs="Book Antiqua"/>
          <w:sz w:val="24"/>
          <w:szCs w:val="24"/>
        </w:rPr>
      </w:pPr>
    </w:p>
    <w:p w:rsidR="001C3F2B" w:rsidRDefault="001C3F2B">
      <w:pPr>
        <w:spacing w:line="273" w:lineRule="auto"/>
        <w:jc w:val="both"/>
        <w:rPr>
          <w:rFonts w:ascii="Book Antiqua" w:eastAsia="Book Antiqua" w:hAnsi="Book Antiqua" w:cs="Book Antiqua"/>
          <w:sz w:val="24"/>
          <w:szCs w:val="24"/>
        </w:rPr>
      </w:pPr>
    </w:p>
    <w:p w:rsidR="001C3F2B" w:rsidRDefault="001C3F2B">
      <w:pPr>
        <w:spacing w:line="273" w:lineRule="auto"/>
        <w:jc w:val="both"/>
        <w:rPr>
          <w:rFonts w:ascii="Book Antiqua" w:eastAsia="Book Antiqua" w:hAnsi="Book Antiqua" w:cs="Book Antiqua"/>
          <w:sz w:val="24"/>
          <w:szCs w:val="24"/>
        </w:rPr>
      </w:pPr>
    </w:p>
    <w:p w:rsidR="001C3F2B" w:rsidRDefault="00FA3500">
      <w:pPr>
        <w:spacing w:line="273"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ALVARO LEONEL RUEDA CABALLERO</w:t>
      </w:r>
    </w:p>
    <w:p w:rsidR="001C3F2B" w:rsidRDefault="00FA3500">
      <w:pPr>
        <w:spacing w:line="273" w:lineRule="auto"/>
        <w:jc w:val="both"/>
        <w:rPr>
          <w:rFonts w:ascii="Book Antiqua" w:eastAsia="Book Antiqua" w:hAnsi="Book Antiqua" w:cs="Book Antiqua"/>
          <w:sz w:val="24"/>
          <w:szCs w:val="24"/>
        </w:rPr>
      </w:pPr>
      <w:r>
        <w:rPr>
          <w:rFonts w:ascii="Book Antiqua" w:eastAsia="Book Antiqua" w:hAnsi="Book Antiqua" w:cs="Book Antiqua"/>
          <w:sz w:val="24"/>
          <w:szCs w:val="24"/>
        </w:rPr>
        <w:t>Representante a la Cámara por Santander.</w:t>
      </w:r>
    </w:p>
    <w:sectPr w:rsidR="001C3F2B">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00" w:rsidRDefault="00FA3500">
      <w:pPr>
        <w:spacing w:line="240" w:lineRule="auto"/>
      </w:pPr>
      <w:r>
        <w:separator/>
      </w:r>
    </w:p>
  </w:endnote>
  <w:endnote w:type="continuationSeparator" w:id="0">
    <w:p w:rsidR="00FA3500" w:rsidRDefault="00FA3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2B" w:rsidRDefault="00FA3500">
    <w:pPr>
      <w:ind w:left="720"/>
      <w:jc w:val="both"/>
      <w:rPr>
        <w:rFonts w:ascii="Book Antiqua" w:eastAsia="Book Antiqua" w:hAnsi="Book Antiqua" w:cs="Book Antiqua"/>
        <w:sz w:val="24"/>
        <w:szCs w:val="24"/>
        <w:shd w:val="clear" w:color="auto" w:fill="FFF2CC"/>
      </w:rPr>
    </w:pPr>
    <w:r>
      <w:rPr>
        <w:noProof/>
        <w:lang w:val="es-CO"/>
      </w:rPr>
      <w:drawing>
        <wp:anchor distT="0" distB="0" distL="0" distR="0" simplePos="0" relativeHeight="251660288" behindDoc="1" locked="0" layoutInCell="1" hidden="0" allowOverlap="1">
          <wp:simplePos x="0" y="0"/>
          <wp:positionH relativeFrom="column">
            <wp:posOffset>-744369</wp:posOffset>
          </wp:positionH>
          <wp:positionV relativeFrom="paragraph">
            <wp:posOffset>200025</wp:posOffset>
          </wp:positionV>
          <wp:extent cx="7215188" cy="870957"/>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5188" cy="870957"/>
                  </a:xfrm>
                  <a:prstGeom prst="rect">
                    <a:avLst/>
                  </a:prstGeom>
                  <a:ln/>
                </pic:spPr>
              </pic:pic>
            </a:graphicData>
          </a:graphic>
        </wp:anchor>
      </w:drawing>
    </w:r>
  </w:p>
  <w:p w:rsidR="001C3F2B" w:rsidRDefault="001C3F2B">
    <w:pPr>
      <w:rPr>
        <w:rFonts w:ascii="Book Antiqua" w:eastAsia="Book Antiqua" w:hAnsi="Book Antiqua" w:cs="Book Antiqua"/>
        <w:sz w:val="24"/>
        <w:szCs w:val="24"/>
        <w:shd w:val="clear" w:color="auto" w:fill="FFF2CC"/>
      </w:rPr>
    </w:pPr>
  </w:p>
  <w:p w:rsidR="001C3F2B" w:rsidRDefault="001C3F2B"/>
  <w:p w:rsidR="001C3F2B" w:rsidRDefault="001C3F2B"/>
  <w:p w:rsidR="001C3F2B" w:rsidRDefault="00FA350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00" w:rsidRDefault="00FA3500">
      <w:pPr>
        <w:spacing w:line="240" w:lineRule="auto"/>
      </w:pPr>
      <w:r>
        <w:separator/>
      </w:r>
    </w:p>
  </w:footnote>
  <w:footnote w:type="continuationSeparator" w:id="0">
    <w:p w:rsidR="00FA3500" w:rsidRDefault="00FA3500">
      <w:pPr>
        <w:spacing w:line="240" w:lineRule="auto"/>
      </w:pPr>
      <w:r>
        <w:continuationSeparator/>
      </w:r>
    </w:p>
  </w:footnote>
  <w:footnote w:id="1">
    <w:p w:rsidR="001C3F2B" w:rsidRDefault="00FA3500">
      <w:pPr>
        <w:spacing w:line="240" w:lineRule="auto"/>
        <w:rPr>
          <w:rFonts w:ascii="Book Antiqua" w:eastAsia="Book Antiqua" w:hAnsi="Book Antiqua" w:cs="Book Antiqua"/>
          <w:i/>
          <w:sz w:val="20"/>
          <w:szCs w:val="20"/>
        </w:rPr>
      </w:pPr>
      <w:r>
        <w:rPr>
          <w:vertAlign w:val="superscript"/>
        </w:rPr>
        <w:footnoteRef/>
      </w:r>
      <w:r>
        <w:rPr>
          <w:rFonts w:ascii="Book Antiqua" w:eastAsia="Book Antiqua" w:hAnsi="Book Antiqua" w:cs="Book Antiqua"/>
          <w:i/>
          <w:sz w:val="20"/>
          <w:szCs w:val="20"/>
        </w:rPr>
        <w:t xml:space="preserve"> Artículo 294 de la Constitución Política de Colombia</w:t>
      </w:r>
    </w:p>
  </w:footnote>
  <w:footnote w:id="2">
    <w:p w:rsidR="001C3F2B" w:rsidRDefault="00FA3500">
      <w:pPr>
        <w:spacing w:line="240" w:lineRule="auto"/>
        <w:rPr>
          <w:sz w:val="20"/>
          <w:szCs w:val="20"/>
        </w:rPr>
      </w:pPr>
      <w:r>
        <w:rPr>
          <w:vertAlign w:val="superscript"/>
        </w:rPr>
        <w:footnoteRef/>
      </w:r>
      <w:r>
        <w:rPr>
          <w:rFonts w:ascii="Book Antiqua" w:eastAsia="Book Antiqua" w:hAnsi="Book Antiqua" w:cs="Book Antiqua"/>
          <w:i/>
          <w:sz w:val="20"/>
          <w:szCs w:val="20"/>
        </w:rPr>
        <w:t xml:space="preserve"> Artículo 150 de la Constitución Política de Colombia</w:t>
      </w:r>
    </w:p>
  </w:footnote>
  <w:footnote w:id="3">
    <w:p w:rsidR="001C3F2B" w:rsidRDefault="00FA3500">
      <w:pPr>
        <w:spacing w:line="240" w:lineRule="auto"/>
        <w:rPr>
          <w:rFonts w:ascii="Book Antiqua" w:eastAsia="Book Antiqua" w:hAnsi="Book Antiqua" w:cs="Book Antiqua"/>
          <w:i/>
          <w:sz w:val="20"/>
          <w:szCs w:val="20"/>
        </w:rPr>
      </w:pPr>
      <w:r>
        <w:rPr>
          <w:vertAlign w:val="superscript"/>
        </w:rPr>
        <w:footnoteRef/>
      </w:r>
      <w:r>
        <w:rPr>
          <w:rFonts w:ascii="Book Antiqua" w:eastAsia="Book Antiqua" w:hAnsi="Book Antiqua" w:cs="Book Antiqua"/>
          <w:i/>
          <w:sz w:val="20"/>
          <w:szCs w:val="20"/>
        </w:rPr>
        <w:t xml:space="preserve"> Artículo 363 de la Constitución Política de Colombia </w:t>
      </w:r>
    </w:p>
  </w:footnote>
  <w:footnote w:id="4">
    <w:p w:rsidR="001C3F2B" w:rsidRDefault="00FA3500">
      <w:pPr>
        <w:spacing w:line="240" w:lineRule="auto"/>
        <w:rPr>
          <w:sz w:val="20"/>
          <w:szCs w:val="20"/>
        </w:rPr>
      </w:pPr>
      <w:r>
        <w:rPr>
          <w:vertAlign w:val="superscript"/>
        </w:rPr>
        <w:footnoteRef/>
      </w:r>
      <w:r>
        <w:rPr>
          <w:rFonts w:ascii="Book Antiqua" w:eastAsia="Book Antiqua" w:hAnsi="Book Antiqua" w:cs="Book Antiqua"/>
          <w:i/>
          <w:sz w:val="20"/>
          <w:szCs w:val="20"/>
        </w:rPr>
        <w:t xml:space="preserve"> “El principio de equidad tributaria tiene dos dimensiones: la horizontal y la vertical. La dimensión horizontal establece que “los tributos han </w:t>
      </w:r>
      <w:r>
        <w:rPr>
          <w:rFonts w:ascii="Book Antiqua" w:eastAsia="Book Antiqua" w:hAnsi="Book Antiqua" w:cs="Book Antiqua"/>
          <w:i/>
          <w:sz w:val="20"/>
          <w:szCs w:val="20"/>
        </w:rPr>
        <w:t>de gravar de igual manera a quienes tienen la misma capacidad de pago”. De otro lado, la dimensión vertical, que se identifica con el mandato de progresividad de los tributos, ordena “distribuir la carga tributaria de forma que quienes tienen mayor capacid</w:t>
      </w:r>
      <w:r>
        <w:rPr>
          <w:rFonts w:ascii="Book Antiqua" w:eastAsia="Book Antiqua" w:hAnsi="Book Antiqua" w:cs="Book Antiqua"/>
          <w:i/>
          <w:sz w:val="20"/>
          <w:szCs w:val="20"/>
        </w:rPr>
        <w:t>ad económica soporten una mayor proporción de gravamen” (Sentencia C-389, 2023).</w:t>
      </w:r>
    </w:p>
  </w:footnote>
  <w:footnote w:id="5">
    <w:p w:rsidR="001C3F2B" w:rsidRDefault="00FA3500">
      <w:pPr>
        <w:spacing w:line="240" w:lineRule="auto"/>
        <w:rPr>
          <w:sz w:val="20"/>
          <w:szCs w:val="20"/>
        </w:rPr>
      </w:pPr>
      <w:r>
        <w:rPr>
          <w:vertAlign w:val="superscript"/>
        </w:rPr>
        <w:footnoteRef/>
      </w:r>
      <w:r>
        <w:rPr>
          <w:rFonts w:ascii="Book Antiqua" w:eastAsia="Book Antiqua" w:hAnsi="Book Antiqua" w:cs="Book Antiqua"/>
          <w:i/>
          <w:sz w:val="20"/>
          <w:szCs w:val="20"/>
        </w:rPr>
        <w:t xml:space="preserve"> Artículo 150 de la Constitución Política de Colombia.</w:t>
      </w:r>
    </w:p>
  </w:footnote>
  <w:footnote w:id="6">
    <w:p w:rsidR="001C3F2B" w:rsidRDefault="00FA3500">
      <w:pPr>
        <w:spacing w:line="240" w:lineRule="auto"/>
        <w:rPr>
          <w:sz w:val="20"/>
          <w:szCs w:val="20"/>
        </w:rPr>
      </w:pPr>
      <w:r>
        <w:rPr>
          <w:vertAlign w:val="superscript"/>
        </w:rPr>
        <w:footnoteRef/>
      </w:r>
      <w:r>
        <w:rPr>
          <w:rFonts w:ascii="Book Antiqua" w:eastAsia="Book Antiqua" w:hAnsi="Book Antiqua" w:cs="Book Antiqua"/>
          <w:i/>
          <w:sz w:val="20"/>
          <w:szCs w:val="20"/>
        </w:rPr>
        <w:t xml:space="preserve"> Artículo 313 de la Constitución Política de 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2B" w:rsidRDefault="00FA3500">
    <w:pPr>
      <w:jc w:val="both"/>
    </w:pPr>
    <w:r>
      <w:rPr>
        <w:noProof/>
        <w:lang w:val="es-CO"/>
      </w:rPr>
      <w:drawing>
        <wp:anchor distT="0" distB="0" distL="0" distR="0" simplePos="0" relativeHeight="251658240" behindDoc="1" locked="0" layoutInCell="1" hidden="0" allowOverlap="1">
          <wp:simplePos x="0" y="0"/>
          <wp:positionH relativeFrom="column">
            <wp:posOffset>-447668</wp:posOffset>
          </wp:positionH>
          <wp:positionV relativeFrom="paragraph">
            <wp:posOffset>-52382</wp:posOffset>
          </wp:positionV>
          <wp:extent cx="1643063" cy="473766"/>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43063" cy="473766"/>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4010025</wp:posOffset>
          </wp:positionH>
          <wp:positionV relativeFrom="paragraph">
            <wp:posOffset>-204783</wp:posOffset>
          </wp:positionV>
          <wp:extent cx="2105025" cy="793198"/>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05025" cy="793198"/>
                  </a:xfrm>
                  <a:prstGeom prst="rect">
                    <a:avLst/>
                  </a:prstGeom>
                  <a:ln/>
                </pic:spPr>
              </pic:pic>
            </a:graphicData>
          </a:graphic>
        </wp:anchor>
      </w:drawing>
    </w:r>
  </w:p>
  <w:p w:rsidR="001C3F2B" w:rsidRDefault="001C3F2B"/>
  <w:p w:rsidR="001C3F2B" w:rsidRDefault="001C3F2B"/>
  <w:p w:rsidR="001C3F2B" w:rsidRDefault="001C3F2B"/>
  <w:p w:rsidR="001C3F2B" w:rsidRDefault="001C3F2B"/>
  <w:p w:rsidR="001C3F2B" w:rsidRDefault="001C3F2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B92"/>
    <w:multiLevelType w:val="multilevel"/>
    <w:tmpl w:val="40E87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AA332C"/>
    <w:multiLevelType w:val="multilevel"/>
    <w:tmpl w:val="BA6676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89A54C5"/>
    <w:multiLevelType w:val="multilevel"/>
    <w:tmpl w:val="ABBE0C2A"/>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51636"/>
    <w:multiLevelType w:val="multilevel"/>
    <w:tmpl w:val="84949F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2B"/>
    <w:rsid w:val="001C3F2B"/>
    <w:rsid w:val="0079413F"/>
    <w:rsid w:val="009C382B"/>
    <w:rsid w:val="00FA35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12F0"/>
  <w15:docId w15:val="{7F4AB01E-F993-457C-9D7A-2F9EAC45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8443A"/>
    <w:rPr>
      <w:sz w:val="16"/>
      <w:szCs w:val="16"/>
    </w:rPr>
  </w:style>
  <w:style w:type="paragraph" w:styleId="Textocomentario">
    <w:name w:val="annotation text"/>
    <w:basedOn w:val="Normal"/>
    <w:link w:val="TextocomentarioCar"/>
    <w:uiPriority w:val="99"/>
    <w:semiHidden/>
    <w:unhideWhenUsed/>
    <w:rsid w:val="006844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443A"/>
    <w:rPr>
      <w:sz w:val="20"/>
      <w:szCs w:val="20"/>
    </w:rPr>
  </w:style>
  <w:style w:type="paragraph" w:styleId="Asuntodelcomentario">
    <w:name w:val="annotation subject"/>
    <w:basedOn w:val="Textocomentario"/>
    <w:next w:val="Textocomentario"/>
    <w:link w:val="AsuntodelcomentarioCar"/>
    <w:uiPriority w:val="99"/>
    <w:semiHidden/>
    <w:unhideWhenUsed/>
    <w:rsid w:val="0068443A"/>
    <w:rPr>
      <w:b/>
      <w:bCs/>
    </w:rPr>
  </w:style>
  <w:style w:type="character" w:customStyle="1" w:styleId="AsuntodelcomentarioCar">
    <w:name w:val="Asunto del comentario Car"/>
    <w:basedOn w:val="TextocomentarioCar"/>
    <w:link w:val="Asuntodelcomentario"/>
    <w:uiPriority w:val="99"/>
    <w:semiHidden/>
    <w:rsid w:val="0068443A"/>
    <w:rPr>
      <w:b/>
      <w:bCs/>
      <w:sz w:val="20"/>
      <w:szCs w:val="20"/>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6TEKvuxz8LoL4JO9Jn7+U+uFGQ==">CgMxLjA4AHIhMS1jTXJHS0ZJOUIzc2FFRGE4Y0NVT2NvRTBHZlR1eklM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5240</Words>
  <Characters>28822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 Lucia  Sanchez Melendez UTL</dc:creator>
  <cp:lastModifiedBy>Ainara Lucia  Sanchez Melendez UTL</cp:lastModifiedBy>
  <cp:revision>4</cp:revision>
  <cp:lastPrinted>2025-09-02T20:11:00Z</cp:lastPrinted>
  <dcterms:created xsi:type="dcterms:W3CDTF">2025-07-15T20:02:00Z</dcterms:created>
  <dcterms:modified xsi:type="dcterms:W3CDTF">2025-09-02T20:11:00Z</dcterms:modified>
</cp:coreProperties>
</file>