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2C5EA" w14:textId="011963D1" w:rsidR="002034C0" w:rsidRDefault="00000000">
      <w:pPr>
        <w:spacing w:after="0" w:line="240" w:lineRule="auto"/>
        <w:ind w:hanging="2"/>
        <w:jc w:val="center"/>
        <w:rPr>
          <w:rFonts w:ascii="EB Garamond" w:eastAsia="EB Garamond" w:hAnsi="EB Garamond" w:cs="EB Garamond"/>
          <w:b/>
          <w:sz w:val="24"/>
          <w:szCs w:val="24"/>
        </w:rPr>
      </w:pPr>
      <w:r>
        <w:rPr>
          <w:rFonts w:ascii="EB Garamond" w:eastAsia="EB Garamond" w:hAnsi="EB Garamond" w:cs="EB Garamond"/>
          <w:b/>
          <w:sz w:val="24"/>
          <w:szCs w:val="24"/>
        </w:rPr>
        <w:t>PROYECTO DE LEY No</w:t>
      </w:r>
      <w:r w:rsidR="00E4481E">
        <w:rPr>
          <w:rFonts w:ascii="EB Garamond" w:eastAsia="EB Garamond" w:hAnsi="EB Garamond" w:cs="EB Garamond"/>
          <w:b/>
          <w:sz w:val="24"/>
          <w:szCs w:val="24"/>
        </w:rPr>
        <w:t>. 286</w:t>
      </w:r>
      <w:r>
        <w:rPr>
          <w:rFonts w:ascii="EB Garamond" w:eastAsia="EB Garamond" w:hAnsi="EB Garamond" w:cs="EB Garamond"/>
          <w:b/>
          <w:sz w:val="24"/>
          <w:szCs w:val="24"/>
        </w:rPr>
        <w:t xml:space="preserve"> DE 2025- CÁMARA</w:t>
      </w:r>
    </w:p>
    <w:p w14:paraId="120F7568" w14:textId="77777777" w:rsidR="002034C0" w:rsidRDefault="002034C0">
      <w:pPr>
        <w:spacing w:after="0" w:line="240" w:lineRule="auto"/>
        <w:ind w:hanging="2"/>
        <w:jc w:val="center"/>
        <w:rPr>
          <w:rFonts w:ascii="EB Garamond" w:eastAsia="EB Garamond" w:hAnsi="EB Garamond" w:cs="EB Garamond"/>
          <w:b/>
          <w:sz w:val="24"/>
          <w:szCs w:val="24"/>
        </w:rPr>
      </w:pPr>
    </w:p>
    <w:p w14:paraId="7617D09F" w14:textId="77777777" w:rsidR="002034C0" w:rsidRDefault="00000000">
      <w:pPr>
        <w:spacing w:after="0" w:line="240" w:lineRule="auto"/>
        <w:ind w:hanging="2"/>
        <w:jc w:val="center"/>
        <w:rPr>
          <w:rFonts w:ascii="EB Garamond" w:eastAsia="EB Garamond" w:hAnsi="EB Garamond" w:cs="EB Garamond"/>
          <w:b/>
          <w:sz w:val="24"/>
          <w:szCs w:val="24"/>
        </w:rPr>
      </w:pPr>
      <w:r>
        <w:rPr>
          <w:rFonts w:ascii="EB Garamond" w:eastAsia="EB Garamond" w:hAnsi="EB Garamond" w:cs="EB Garamond"/>
          <w:b/>
          <w:sz w:val="24"/>
          <w:szCs w:val="24"/>
        </w:rPr>
        <w:t xml:space="preserve"> “POR MEDIO DE LA CUAL SE DECLARA PATRIMONIO CULTURAL INMATERIAL DE LA NACIÓN A LAS PRÁCTICAS Y HABILIDADES ARTESANALES DE LA SUBREGIÓN DE LA DEPRESIÓN MOMPOSINA BOLIVARENSE Y SE DICTAN OTRAS DISPOSICIONES.”</w:t>
      </w:r>
    </w:p>
    <w:p w14:paraId="0AAB6CA9" w14:textId="77777777" w:rsidR="002034C0" w:rsidRDefault="002034C0">
      <w:pPr>
        <w:spacing w:after="0" w:line="240" w:lineRule="auto"/>
        <w:ind w:hanging="2"/>
        <w:jc w:val="center"/>
        <w:rPr>
          <w:rFonts w:ascii="EB Garamond" w:eastAsia="EB Garamond" w:hAnsi="EB Garamond" w:cs="EB Garamond"/>
          <w:b/>
          <w:sz w:val="24"/>
          <w:szCs w:val="24"/>
        </w:rPr>
      </w:pPr>
    </w:p>
    <w:p w14:paraId="6D743D79" w14:textId="77777777" w:rsidR="002034C0" w:rsidRDefault="00000000">
      <w:pPr>
        <w:spacing w:after="0" w:line="240" w:lineRule="auto"/>
        <w:ind w:hanging="2"/>
        <w:jc w:val="center"/>
        <w:rPr>
          <w:rFonts w:ascii="EB Garamond" w:eastAsia="EB Garamond" w:hAnsi="EB Garamond" w:cs="EB Garamond"/>
          <w:b/>
          <w:sz w:val="24"/>
          <w:szCs w:val="24"/>
        </w:rPr>
      </w:pPr>
      <w:r>
        <w:rPr>
          <w:rFonts w:ascii="EB Garamond" w:eastAsia="EB Garamond" w:hAnsi="EB Garamond" w:cs="EB Garamond"/>
          <w:b/>
          <w:sz w:val="24"/>
          <w:szCs w:val="24"/>
        </w:rPr>
        <w:t xml:space="preserve">El Congreso de Colombia, </w:t>
      </w:r>
    </w:p>
    <w:p w14:paraId="1F673FFF" w14:textId="77777777" w:rsidR="002034C0" w:rsidRDefault="002034C0">
      <w:pPr>
        <w:spacing w:after="0" w:line="240" w:lineRule="auto"/>
        <w:ind w:hanging="2"/>
        <w:jc w:val="center"/>
        <w:rPr>
          <w:rFonts w:ascii="EB Garamond" w:eastAsia="EB Garamond" w:hAnsi="EB Garamond" w:cs="EB Garamond"/>
          <w:b/>
          <w:sz w:val="24"/>
          <w:szCs w:val="24"/>
        </w:rPr>
      </w:pPr>
    </w:p>
    <w:p w14:paraId="570EE8FC" w14:textId="77777777" w:rsidR="002034C0" w:rsidRDefault="00000000">
      <w:pPr>
        <w:spacing w:after="0" w:line="240" w:lineRule="auto"/>
        <w:ind w:hanging="2"/>
        <w:jc w:val="center"/>
        <w:rPr>
          <w:rFonts w:ascii="EB Garamond" w:eastAsia="EB Garamond" w:hAnsi="EB Garamond" w:cs="EB Garamond"/>
          <w:b/>
          <w:sz w:val="24"/>
          <w:szCs w:val="24"/>
        </w:rPr>
      </w:pPr>
      <w:r>
        <w:rPr>
          <w:rFonts w:ascii="EB Garamond" w:eastAsia="EB Garamond" w:hAnsi="EB Garamond" w:cs="EB Garamond"/>
          <w:b/>
          <w:sz w:val="24"/>
          <w:szCs w:val="24"/>
        </w:rPr>
        <w:t>DECRETA:</w:t>
      </w:r>
    </w:p>
    <w:p w14:paraId="720CF318" w14:textId="77777777" w:rsidR="002034C0" w:rsidRDefault="002034C0">
      <w:pPr>
        <w:spacing w:after="0" w:line="240" w:lineRule="auto"/>
        <w:ind w:hanging="2"/>
        <w:jc w:val="center"/>
        <w:rPr>
          <w:rFonts w:ascii="EB Garamond" w:eastAsia="EB Garamond" w:hAnsi="EB Garamond" w:cs="EB Garamond"/>
          <w:b/>
          <w:sz w:val="24"/>
          <w:szCs w:val="24"/>
        </w:rPr>
      </w:pPr>
    </w:p>
    <w:p w14:paraId="75D6E0F8" w14:textId="77777777" w:rsidR="002034C0" w:rsidRDefault="00000000">
      <w:pPr>
        <w:spacing w:after="0" w:line="240" w:lineRule="auto"/>
        <w:ind w:hanging="2"/>
        <w:jc w:val="both"/>
        <w:rPr>
          <w:rFonts w:ascii="EB Garamond" w:eastAsia="EB Garamond" w:hAnsi="EB Garamond" w:cs="EB Garamond"/>
          <w:sz w:val="24"/>
          <w:szCs w:val="24"/>
          <w:highlight w:val="white"/>
        </w:rPr>
      </w:pPr>
      <w:r>
        <w:rPr>
          <w:rFonts w:ascii="EB Garamond" w:eastAsia="EB Garamond" w:hAnsi="EB Garamond" w:cs="EB Garamond"/>
          <w:b/>
          <w:sz w:val="24"/>
          <w:szCs w:val="24"/>
        </w:rPr>
        <w:t>ARTÍCULO 1o.</w:t>
      </w:r>
      <w:r>
        <w:rPr>
          <w:rFonts w:ascii="EB Garamond" w:eastAsia="EB Garamond" w:hAnsi="EB Garamond" w:cs="EB Garamond"/>
          <w:sz w:val="24"/>
          <w:szCs w:val="24"/>
        </w:rPr>
        <w:t xml:space="preserve"> Declárese, reconózcase y exáltese como patrimonio cultural inmaterial de la nación a las prácticas y habilidades antiquísimas, autóctonas e icónicas de notable tradición que ejercen los habitantes de los municipios que conforman la subregión de la Depresión Momposina Bolivarense (</w:t>
      </w:r>
      <w:proofErr w:type="spellStart"/>
      <w:r>
        <w:rPr>
          <w:rFonts w:ascii="EB Garamond" w:eastAsia="EB Garamond" w:hAnsi="EB Garamond" w:cs="EB Garamond"/>
          <w:sz w:val="24"/>
          <w:szCs w:val="24"/>
        </w:rPr>
        <w:t>Cicuco</w:t>
      </w:r>
      <w:proofErr w:type="spellEnd"/>
      <w:r>
        <w:rPr>
          <w:rFonts w:ascii="EB Garamond" w:eastAsia="EB Garamond" w:hAnsi="EB Garamond" w:cs="EB Garamond"/>
          <w:sz w:val="24"/>
          <w:szCs w:val="24"/>
        </w:rPr>
        <w:t>, Talaigua Nuevo, Santa Cruz de Mompox, San Fernando, Margarita y Hatillo de Loba), para manufacturar piezas</w:t>
      </w:r>
      <w:r>
        <w:rPr>
          <w:rFonts w:ascii="EB Garamond" w:eastAsia="EB Garamond" w:hAnsi="EB Garamond" w:cs="EB Garamond"/>
          <w:sz w:val="24"/>
          <w:szCs w:val="24"/>
          <w:highlight w:val="white"/>
        </w:rPr>
        <w:t xml:space="preserve"> artesanales de orfebrería, ebanistería, la alfarería y el tejido a mano de una calidad excelsa y de amplio reconocimiento.</w:t>
      </w:r>
    </w:p>
    <w:p w14:paraId="4F8170AC" w14:textId="77777777" w:rsidR="002034C0" w:rsidRDefault="002034C0">
      <w:pPr>
        <w:spacing w:after="0" w:line="240" w:lineRule="auto"/>
        <w:ind w:hanging="2"/>
        <w:jc w:val="both"/>
        <w:rPr>
          <w:rFonts w:ascii="EB Garamond" w:eastAsia="EB Garamond" w:hAnsi="EB Garamond" w:cs="EB Garamond"/>
          <w:sz w:val="24"/>
          <w:szCs w:val="24"/>
        </w:rPr>
      </w:pPr>
    </w:p>
    <w:p w14:paraId="33CC4396" w14:textId="77777777" w:rsidR="002034C0" w:rsidRDefault="00000000">
      <w:pPr>
        <w:spacing w:after="0" w:line="240" w:lineRule="auto"/>
        <w:ind w:hanging="2"/>
        <w:jc w:val="both"/>
        <w:rPr>
          <w:rFonts w:ascii="EB Garamond" w:eastAsia="EB Garamond" w:hAnsi="EB Garamond" w:cs="EB Garamond"/>
          <w:sz w:val="24"/>
          <w:szCs w:val="24"/>
        </w:rPr>
      </w:pPr>
      <w:r>
        <w:rPr>
          <w:rFonts w:ascii="EB Garamond" w:eastAsia="EB Garamond" w:hAnsi="EB Garamond" w:cs="EB Garamond"/>
          <w:b/>
          <w:sz w:val="24"/>
          <w:szCs w:val="24"/>
        </w:rPr>
        <w:t xml:space="preserve">ARTÍCULO 2o. </w:t>
      </w:r>
      <w:r>
        <w:rPr>
          <w:rFonts w:ascii="EB Garamond" w:eastAsia="EB Garamond" w:hAnsi="EB Garamond" w:cs="EB Garamond"/>
          <w:sz w:val="24"/>
          <w:szCs w:val="24"/>
        </w:rPr>
        <w:t xml:space="preserve">Facúltese al Gobierno Nacional a través del Ministerio de Cultura, para que articule con la ciudadanía postulante y convoque al Consejo Nacional de Patrimonio Cultural para la aprobación del concepto favorable de la manifestación patrimonial “Prácticas y Habilidades Artesanales </w:t>
      </w:r>
      <w:proofErr w:type="spellStart"/>
      <w:r>
        <w:rPr>
          <w:rFonts w:ascii="EB Garamond" w:eastAsia="EB Garamond" w:hAnsi="EB Garamond" w:cs="EB Garamond"/>
          <w:sz w:val="24"/>
          <w:szCs w:val="24"/>
        </w:rPr>
        <w:t>Momposinas</w:t>
      </w:r>
      <w:proofErr w:type="spellEnd"/>
      <w:r>
        <w:rPr>
          <w:rFonts w:ascii="EB Garamond" w:eastAsia="EB Garamond" w:hAnsi="EB Garamond" w:cs="EB Garamond"/>
          <w:sz w:val="24"/>
          <w:szCs w:val="24"/>
        </w:rPr>
        <w:t>”. Posterior a esto se apruebe la realización del Plan Especial de Salvaguardia y así lograr la inclusión de la manifestación en la Lista Representativa de Patrimonio Cultural Inmaterial (LRPCI) del ámbito nacional.</w:t>
      </w:r>
    </w:p>
    <w:p w14:paraId="3E49A7CF" w14:textId="77777777" w:rsidR="002034C0" w:rsidRDefault="002034C0">
      <w:pPr>
        <w:spacing w:after="0" w:line="240" w:lineRule="auto"/>
        <w:ind w:hanging="2"/>
        <w:jc w:val="both"/>
        <w:rPr>
          <w:rFonts w:ascii="EB Garamond" w:eastAsia="EB Garamond" w:hAnsi="EB Garamond" w:cs="EB Garamond"/>
          <w:sz w:val="24"/>
          <w:szCs w:val="24"/>
        </w:rPr>
      </w:pPr>
    </w:p>
    <w:p w14:paraId="2AB793A1" w14:textId="77777777" w:rsidR="002034C0" w:rsidRDefault="00000000">
      <w:pPr>
        <w:spacing w:after="0" w:line="240"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t xml:space="preserve">Así mismo, el Ministerio de Cultura incorporará las “Prácticas y Habilidades Artesanales </w:t>
      </w:r>
      <w:proofErr w:type="spellStart"/>
      <w:r>
        <w:rPr>
          <w:rFonts w:ascii="EB Garamond" w:eastAsia="EB Garamond" w:hAnsi="EB Garamond" w:cs="EB Garamond"/>
          <w:sz w:val="24"/>
          <w:szCs w:val="24"/>
        </w:rPr>
        <w:t>Momposinas</w:t>
      </w:r>
      <w:proofErr w:type="spellEnd"/>
      <w:r>
        <w:rPr>
          <w:rFonts w:ascii="EB Garamond" w:eastAsia="EB Garamond" w:hAnsi="EB Garamond" w:cs="EB Garamond"/>
          <w:sz w:val="24"/>
          <w:szCs w:val="24"/>
        </w:rPr>
        <w:t>” en el Banco de proyectos, con el objetivo de que las mismas se prioricen y se articulen con los planes de inversión de dicha entidad, y de esta manera se pueda velar su conservación, promoción, difusión local, nacional e internacional.</w:t>
      </w:r>
    </w:p>
    <w:p w14:paraId="5FA762C0" w14:textId="77777777" w:rsidR="002034C0" w:rsidRDefault="002034C0">
      <w:pPr>
        <w:spacing w:after="0" w:line="240" w:lineRule="auto"/>
        <w:ind w:hanging="2"/>
        <w:jc w:val="both"/>
        <w:rPr>
          <w:rFonts w:ascii="EB Garamond" w:eastAsia="EB Garamond" w:hAnsi="EB Garamond" w:cs="EB Garamond"/>
          <w:sz w:val="24"/>
          <w:szCs w:val="24"/>
        </w:rPr>
      </w:pPr>
    </w:p>
    <w:p w14:paraId="338442BB" w14:textId="77777777" w:rsidR="002034C0" w:rsidRDefault="00000000">
      <w:pPr>
        <w:spacing w:after="0" w:line="240" w:lineRule="auto"/>
        <w:ind w:hanging="2"/>
        <w:jc w:val="both"/>
        <w:rPr>
          <w:rFonts w:ascii="EB Garamond" w:eastAsia="EB Garamond" w:hAnsi="EB Garamond" w:cs="EB Garamond"/>
          <w:sz w:val="24"/>
          <w:szCs w:val="24"/>
        </w:rPr>
      </w:pPr>
      <w:r>
        <w:rPr>
          <w:rFonts w:ascii="EB Garamond" w:eastAsia="EB Garamond" w:hAnsi="EB Garamond" w:cs="EB Garamond"/>
          <w:b/>
          <w:sz w:val="24"/>
          <w:szCs w:val="24"/>
        </w:rPr>
        <w:t xml:space="preserve">ARTÍCULO 3o. </w:t>
      </w:r>
      <w:r>
        <w:rPr>
          <w:rFonts w:ascii="EB Garamond" w:eastAsia="EB Garamond" w:hAnsi="EB Garamond" w:cs="EB Garamond"/>
          <w:sz w:val="24"/>
          <w:szCs w:val="24"/>
        </w:rPr>
        <w:t>Autorícese al Gobierno Nacional apropiar las partidas presupuestales requeridas en cada vigencia en el Presupuesto General de la Nación, para desarrollar y ejecutar las correspondientes inversiones, y a su vez, la implementación de los proyectos que propendan por la salvaguardia y potencialización comercial de las prácticas y habilidades señaladas en la presente ley.</w:t>
      </w:r>
    </w:p>
    <w:p w14:paraId="7400D7BF" w14:textId="77777777" w:rsidR="002034C0" w:rsidRDefault="002034C0">
      <w:pPr>
        <w:spacing w:after="0" w:line="240" w:lineRule="auto"/>
        <w:ind w:hanging="2"/>
        <w:jc w:val="both"/>
        <w:rPr>
          <w:rFonts w:ascii="EB Garamond" w:eastAsia="EB Garamond" w:hAnsi="EB Garamond" w:cs="EB Garamond"/>
          <w:sz w:val="24"/>
          <w:szCs w:val="24"/>
        </w:rPr>
      </w:pPr>
    </w:p>
    <w:p w14:paraId="5F61B617" w14:textId="77777777" w:rsidR="002034C0" w:rsidRDefault="00000000">
      <w:pPr>
        <w:pBdr>
          <w:top w:val="nil"/>
          <w:left w:val="nil"/>
          <w:bottom w:val="nil"/>
          <w:right w:val="nil"/>
          <w:between w:val="nil"/>
        </w:pBdr>
        <w:spacing w:after="0" w:line="240" w:lineRule="auto"/>
        <w:ind w:hanging="2"/>
        <w:jc w:val="both"/>
        <w:rPr>
          <w:rFonts w:ascii="EB Garamond" w:eastAsia="EB Garamond" w:hAnsi="EB Garamond" w:cs="EB Garamond"/>
          <w:sz w:val="24"/>
          <w:szCs w:val="24"/>
          <w:highlight w:val="white"/>
        </w:rPr>
      </w:pPr>
      <w:r>
        <w:rPr>
          <w:rFonts w:ascii="EB Garamond" w:eastAsia="EB Garamond" w:hAnsi="EB Garamond" w:cs="EB Garamond"/>
          <w:b/>
          <w:sz w:val="24"/>
          <w:szCs w:val="24"/>
        </w:rPr>
        <w:t xml:space="preserve">ARTÍCULO 4o. </w:t>
      </w:r>
      <w:r>
        <w:rPr>
          <w:rFonts w:ascii="EB Garamond" w:eastAsia="EB Garamond" w:hAnsi="EB Garamond" w:cs="EB Garamond"/>
          <w:sz w:val="24"/>
          <w:szCs w:val="24"/>
          <w:highlight w:val="white"/>
        </w:rPr>
        <w:t xml:space="preserve">La Nación, a través del Ministerio de Cultura, en coordinación con la Gobernación de Bolívar contribuirán a la salvaguardia, promoción, sostenimiento y exaltación de </w:t>
      </w:r>
      <w:r>
        <w:rPr>
          <w:rFonts w:ascii="EB Garamond" w:eastAsia="EB Garamond" w:hAnsi="EB Garamond" w:cs="EB Garamond"/>
          <w:sz w:val="24"/>
          <w:szCs w:val="24"/>
          <w:highlight w:val="white"/>
        </w:rPr>
        <w:lastRenderedPageBreak/>
        <w:t xml:space="preserve">las prácticas </w:t>
      </w:r>
      <w:r>
        <w:rPr>
          <w:rFonts w:ascii="EB Garamond" w:eastAsia="EB Garamond" w:hAnsi="EB Garamond" w:cs="EB Garamond"/>
          <w:sz w:val="24"/>
          <w:szCs w:val="24"/>
        </w:rPr>
        <w:t>tradiciones</w:t>
      </w:r>
      <w:r>
        <w:rPr>
          <w:rFonts w:ascii="EB Garamond" w:eastAsia="EB Garamond" w:hAnsi="EB Garamond" w:cs="EB Garamond"/>
          <w:sz w:val="24"/>
          <w:szCs w:val="24"/>
          <w:highlight w:val="white"/>
        </w:rPr>
        <w:t xml:space="preserve"> artesanales de la subregión de la Depresión Momposina Bolivarense </w:t>
      </w:r>
      <w:r>
        <w:rPr>
          <w:rFonts w:ascii="EB Garamond" w:eastAsia="EB Garamond" w:hAnsi="EB Garamond" w:cs="EB Garamond"/>
          <w:sz w:val="24"/>
          <w:szCs w:val="24"/>
        </w:rPr>
        <w:t>(</w:t>
      </w:r>
      <w:proofErr w:type="spellStart"/>
      <w:r>
        <w:rPr>
          <w:rFonts w:ascii="EB Garamond" w:eastAsia="EB Garamond" w:hAnsi="EB Garamond" w:cs="EB Garamond"/>
          <w:sz w:val="24"/>
          <w:szCs w:val="24"/>
        </w:rPr>
        <w:t>Cicuco</w:t>
      </w:r>
      <w:proofErr w:type="spellEnd"/>
      <w:r>
        <w:rPr>
          <w:rFonts w:ascii="EB Garamond" w:eastAsia="EB Garamond" w:hAnsi="EB Garamond" w:cs="EB Garamond"/>
          <w:sz w:val="24"/>
          <w:szCs w:val="24"/>
        </w:rPr>
        <w:t>, Talaigua Nuevo, Santa Cruz de Mompox, San Fernando, Margarita y Hatillo de Loba)</w:t>
      </w:r>
      <w:r>
        <w:rPr>
          <w:rFonts w:ascii="EB Garamond" w:eastAsia="EB Garamond" w:hAnsi="EB Garamond" w:cs="EB Garamond"/>
          <w:sz w:val="24"/>
          <w:szCs w:val="24"/>
          <w:highlight w:val="white"/>
        </w:rPr>
        <w:t>.</w:t>
      </w:r>
    </w:p>
    <w:p w14:paraId="42938C5D" w14:textId="77777777" w:rsidR="002034C0" w:rsidRDefault="002034C0">
      <w:pPr>
        <w:pBdr>
          <w:top w:val="nil"/>
          <w:left w:val="nil"/>
          <w:bottom w:val="nil"/>
          <w:right w:val="nil"/>
          <w:between w:val="nil"/>
        </w:pBdr>
        <w:spacing w:after="0" w:line="240" w:lineRule="auto"/>
        <w:ind w:hanging="2"/>
        <w:jc w:val="both"/>
        <w:rPr>
          <w:rFonts w:ascii="EB Garamond" w:eastAsia="EB Garamond" w:hAnsi="EB Garamond" w:cs="EB Garamond"/>
          <w:sz w:val="24"/>
          <w:szCs w:val="24"/>
          <w:highlight w:val="white"/>
        </w:rPr>
      </w:pPr>
    </w:p>
    <w:p w14:paraId="317C96DD" w14:textId="77777777" w:rsidR="002034C0" w:rsidRDefault="00000000">
      <w:pPr>
        <w:spacing w:after="0" w:line="240" w:lineRule="auto"/>
        <w:ind w:hanging="2"/>
        <w:jc w:val="both"/>
        <w:rPr>
          <w:rFonts w:ascii="EB Garamond" w:eastAsia="EB Garamond" w:hAnsi="EB Garamond" w:cs="EB Garamond"/>
          <w:sz w:val="24"/>
          <w:szCs w:val="24"/>
        </w:rPr>
      </w:pPr>
      <w:r>
        <w:rPr>
          <w:rFonts w:ascii="EB Garamond" w:eastAsia="EB Garamond" w:hAnsi="EB Garamond" w:cs="EB Garamond"/>
          <w:b/>
          <w:sz w:val="24"/>
          <w:szCs w:val="24"/>
        </w:rPr>
        <w:t xml:space="preserve">ARTÍCULO 5o. </w:t>
      </w:r>
      <w:r>
        <w:rPr>
          <w:rFonts w:ascii="EB Garamond" w:eastAsia="EB Garamond" w:hAnsi="EB Garamond" w:cs="EB Garamond"/>
          <w:sz w:val="24"/>
          <w:szCs w:val="24"/>
        </w:rPr>
        <w:t>La presente ley rige a partir de su sanción y publicación en el diario oficial y deroga las demás disposiciones que le sean contrarias.</w:t>
      </w:r>
    </w:p>
    <w:p w14:paraId="13B47647" w14:textId="77777777" w:rsidR="002034C0" w:rsidRDefault="002034C0">
      <w:pPr>
        <w:spacing w:after="0" w:line="240" w:lineRule="auto"/>
        <w:ind w:hanging="2"/>
        <w:jc w:val="both"/>
        <w:rPr>
          <w:rFonts w:ascii="EB Garamond" w:eastAsia="EB Garamond" w:hAnsi="EB Garamond" w:cs="EB Garamond"/>
          <w:sz w:val="24"/>
          <w:szCs w:val="24"/>
        </w:rPr>
      </w:pPr>
    </w:p>
    <w:p w14:paraId="0D2A3B0B" w14:textId="77777777" w:rsidR="002034C0" w:rsidRDefault="002034C0">
      <w:pPr>
        <w:spacing w:after="0" w:line="240" w:lineRule="auto"/>
        <w:ind w:hanging="2"/>
        <w:jc w:val="both"/>
        <w:rPr>
          <w:rFonts w:ascii="EB Garamond" w:eastAsia="EB Garamond" w:hAnsi="EB Garamond" w:cs="EB Garamond"/>
          <w:sz w:val="24"/>
          <w:szCs w:val="24"/>
        </w:rPr>
      </w:pPr>
    </w:p>
    <w:p w14:paraId="2827BFC8" w14:textId="77777777" w:rsidR="002034C0" w:rsidRDefault="00000000">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t>De los honorables Congresistas,</w:t>
      </w:r>
    </w:p>
    <w:p w14:paraId="17F52AA2" w14:textId="77777777" w:rsidR="002034C0" w:rsidRDefault="002034C0">
      <w:pPr>
        <w:spacing w:after="0"/>
        <w:ind w:hanging="2"/>
        <w:rPr>
          <w:rFonts w:ascii="EB Garamond" w:eastAsia="EB Garamond" w:hAnsi="EB Garamond" w:cs="EB Garamond"/>
          <w:sz w:val="24"/>
          <w:szCs w:val="24"/>
        </w:rPr>
      </w:pPr>
    </w:p>
    <w:p w14:paraId="33714D90" w14:textId="77777777" w:rsidR="002034C0" w:rsidRDefault="002034C0">
      <w:pPr>
        <w:spacing w:after="0"/>
        <w:ind w:hanging="2"/>
        <w:rPr>
          <w:rFonts w:ascii="EB Garamond" w:eastAsia="EB Garamond" w:hAnsi="EB Garamond" w:cs="EB Garamond"/>
          <w:b/>
          <w:sz w:val="24"/>
          <w:szCs w:val="24"/>
        </w:rPr>
      </w:pPr>
    </w:p>
    <w:tbl>
      <w:tblPr>
        <w:tblStyle w:val="a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2034C0" w14:paraId="1942BDCA" w14:textId="77777777">
        <w:tc>
          <w:tcPr>
            <w:tcW w:w="4414" w:type="dxa"/>
            <w:shd w:val="clear" w:color="auto" w:fill="auto"/>
            <w:tcMar>
              <w:top w:w="100" w:type="dxa"/>
              <w:left w:w="100" w:type="dxa"/>
              <w:bottom w:w="100" w:type="dxa"/>
              <w:right w:w="100" w:type="dxa"/>
            </w:tcMar>
          </w:tcPr>
          <w:p w14:paraId="1CB95672" w14:textId="77777777" w:rsidR="002034C0" w:rsidRDefault="00000000">
            <w:pPr>
              <w:shd w:val="clear" w:color="auto" w:fill="FFFFFF"/>
              <w:ind w:hanging="2"/>
              <w:jc w:val="center"/>
              <w:rPr>
                <w:rFonts w:ascii="EB Garamond" w:eastAsia="EB Garamond" w:hAnsi="EB Garamond" w:cs="EB Garamond"/>
                <w:b/>
                <w:sz w:val="20"/>
                <w:szCs w:val="20"/>
              </w:rPr>
            </w:pPr>
            <w:r>
              <w:rPr>
                <w:rFonts w:ascii="EB Garamond" w:eastAsia="EB Garamond" w:hAnsi="EB Garamond" w:cs="EB Garamond"/>
                <w:i/>
                <w:noProof/>
                <w:sz w:val="20"/>
                <w:szCs w:val="20"/>
              </w:rPr>
              <w:drawing>
                <wp:inline distT="114300" distB="114300" distL="114300" distR="114300" wp14:anchorId="1F713199" wp14:editId="54888A4E">
                  <wp:extent cx="1916812" cy="656300"/>
                  <wp:effectExtent l="0" t="0" r="0" b="0"/>
                  <wp:docPr id="181055325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916812" cy="656300"/>
                          </a:xfrm>
                          <a:prstGeom prst="rect">
                            <a:avLst/>
                          </a:prstGeom>
                          <a:ln/>
                        </pic:spPr>
                      </pic:pic>
                    </a:graphicData>
                  </a:graphic>
                </wp:inline>
              </w:drawing>
            </w:r>
          </w:p>
          <w:p w14:paraId="0D3611AF" w14:textId="77777777" w:rsidR="002034C0" w:rsidRDefault="00000000">
            <w:pPr>
              <w:widowControl w:val="0"/>
              <w:ind w:hanging="2"/>
              <w:jc w:val="center"/>
              <w:rPr>
                <w:rFonts w:ascii="EB Garamond" w:eastAsia="EB Garamond" w:hAnsi="EB Garamond" w:cs="EB Garamond"/>
                <w:sz w:val="20"/>
                <w:szCs w:val="20"/>
              </w:rPr>
            </w:pPr>
            <w:r>
              <w:rPr>
                <w:rFonts w:ascii="EB Garamond" w:eastAsia="EB Garamond" w:hAnsi="EB Garamond" w:cs="EB Garamond"/>
                <w:b/>
                <w:sz w:val="20"/>
                <w:szCs w:val="20"/>
              </w:rPr>
              <w:t xml:space="preserve"> </w:t>
            </w:r>
            <w:r>
              <w:rPr>
                <w:rFonts w:ascii="EB Garamond" w:eastAsia="EB Garamond" w:hAnsi="EB Garamond" w:cs="EB Garamond"/>
                <w:sz w:val="20"/>
                <w:szCs w:val="20"/>
              </w:rPr>
              <w:t xml:space="preserve">ANDRÉS GUILLERMO MONTES CELEDÓN </w:t>
            </w:r>
          </w:p>
          <w:p w14:paraId="6E5117E0" w14:textId="77777777" w:rsidR="002034C0" w:rsidRDefault="00000000">
            <w:pPr>
              <w:widowControl w:val="0"/>
              <w:ind w:hanging="2"/>
              <w:jc w:val="center"/>
              <w:rPr>
                <w:rFonts w:ascii="EB Garamond" w:eastAsia="EB Garamond" w:hAnsi="EB Garamond" w:cs="EB Garamond"/>
                <w:b/>
                <w:sz w:val="20"/>
                <w:szCs w:val="20"/>
              </w:rPr>
            </w:pPr>
            <w:r>
              <w:rPr>
                <w:rFonts w:ascii="EB Garamond" w:eastAsia="EB Garamond" w:hAnsi="EB Garamond" w:cs="EB Garamond"/>
                <w:b/>
                <w:sz w:val="20"/>
                <w:szCs w:val="20"/>
              </w:rPr>
              <w:t>Representante a la Cámara</w:t>
            </w:r>
          </w:p>
          <w:p w14:paraId="380DDA25" w14:textId="77777777" w:rsidR="002034C0" w:rsidRDefault="00000000">
            <w:pPr>
              <w:widowControl w:val="0"/>
              <w:ind w:hanging="2"/>
              <w:jc w:val="center"/>
              <w:rPr>
                <w:rFonts w:ascii="EB Garamond" w:eastAsia="EB Garamond" w:hAnsi="EB Garamond" w:cs="EB Garamond"/>
                <w:b/>
                <w:sz w:val="20"/>
                <w:szCs w:val="20"/>
              </w:rPr>
            </w:pPr>
            <w:r>
              <w:rPr>
                <w:rFonts w:ascii="EB Garamond" w:eastAsia="EB Garamond" w:hAnsi="EB Garamond" w:cs="EB Garamond"/>
                <w:b/>
                <w:sz w:val="20"/>
                <w:szCs w:val="20"/>
              </w:rPr>
              <w:t>Partido Conservador Colombiano</w:t>
            </w:r>
            <w:r>
              <w:rPr>
                <w:rFonts w:ascii="EB Garamond" w:eastAsia="EB Garamond" w:hAnsi="EB Garamond" w:cs="EB Garamond"/>
                <w:b/>
                <w:sz w:val="20"/>
                <w:szCs w:val="20"/>
              </w:rPr>
              <w:br/>
            </w:r>
          </w:p>
          <w:p w14:paraId="06769B55" w14:textId="77777777" w:rsidR="002034C0" w:rsidRDefault="00000000">
            <w:pPr>
              <w:widowControl w:val="0"/>
              <w:ind w:hanging="2"/>
              <w:jc w:val="center"/>
              <w:rPr>
                <w:rFonts w:ascii="EB Garamond" w:eastAsia="EB Garamond" w:hAnsi="EB Garamond" w:cs="EB Garamond"/>
                <w:sz w:val="20"/>
                <w:szCs w:val="20"/>
              </w:rPr>
            </w:pPr>
            <w:r>
              <w:rPr>
                <w:rFonts w:ascii="EB Garamond" w:eastAsia="EB Garamond" w:hAnsi="EB Garamond" w:cs="EB Garamond"/>
                <w:b/>
                <w:sz w:val="20"/>
                <w:szCs w:val="20"/>
              </w:rPr>
              <w:t>AUTOR</w:t>
            </w:r>
            <w:r>
              <w:rPr>
                <w:rFonts w:ascii="EB Garamond" w:eastAsia="EB Garamond" w:hAnsi="EB Garamond" w:cs="EB Garamond"/>
                <w:sz w:val="20"/>
                <w:szCs w:val="20"/>
              </w:rPr>
              <w:t xml:space="preserve"> </w:t>
            </w:r>
          </w:p>
        </w:tc>
        <w:tc>
          <w:tcPr>
            <w:tcW w:w="4414" w:type="dxa"/>
            <w:shd w:val="clear" w:color="auto" w:fill="auto"/>
            <w:tcMar>
              <w:top w:w="100" w:type="dxa"/>
              <w:left w:w="100" w:type="dxa"/>
              <w:bottom w:w="100" w:type="dxa"/>
              <w:right w:w="100" w:type="dxa"/>
            </w:tcMar>
          </w:tcPr>
          <w:p w14:paraId="0F31AFD9" w14:textId="77777777" w:rsidR="002034C0" w:rsidRDefault="00000000">
            <w:pPr>
              <w:widowControl w:val="0"/>
              <w:ind w:hanging="2"/>
              <w:jc w:val="center"/>
              <w:rPr>
                <w:rFonts w:ascii="EB Garamond" w:eastAsia="EB Garamond" w:hAnsi="EB Garamond" w:cs="EB Garamond"/>
                <w:sz w:val="24"/>
                <w:szCs w:val="24"/>
              </w:rPr>
            </w:pPr>
            <w:r>
              <w:rPr>
                <w:rFonts w:ascii="EB Garamond" w:eastAsia="EB Garamond" w:hAnsi="EB Garamond" w:cs="EB Garamond"/>
                <w:noProof/>
                <w:sz w:val="24"/>
                <w:szCs w:val="24"/>
              </w:rPr>
              <w:drawing>
                <wp:inline distT="114300" distB="114300" distL="114300" distR="114300" wp14:anchorId="152EB65E" wp14:editId="3C16FA6F">
                  <wp:extent cx="1329690" cy="540187"/>
                  <wp:effectExtent l="0" t="0" r="0" b="0"/>
                  <wp:docPr id="181055327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329690" cy="540187"/>
                          </a:xfrm>
                          <a:prstGeom prst="rect">
                            <a:avLst/>
                          </a:prstGeom>
                          <a:ln/>
                        </pic:spPr>
                      </pic:pic>
                    </a:graphicData>
                  </a:graphic>
                </wp:inline>
              </w:drawing>
            </w:r>
          </w:p>
          <w:p w14:paraId="0033D281" w14:textId="77777777" w:rsidR="002034C0" w:rsidRDefault="00000000">
            <w:pPr>
              <w:widowControl w:val="0"/>
              <w:ind w:hanging="2"/>
              <w:jc w:val="center"/>
              <w:rPr>
                <w:rFonts w:ascii="EB Garamond" w:eastAsia="EB Garamond" w:hAnsi="EB Garamond" w:cs="EB Garamond"/>
                <w:sz w:val="20"/>
                <w:szCs w:val="20"/>
              </w:rPr>
            </w:pPr>
            <w:r>
              <w:rPr>
                <w:rFonts w:ascii="EB Garamond" w:eastAsia="EB Garamond" w:hAnsi="EB Garamond" w:cs="EB Garamond"/>
                <w:sz w:val="20"/>
                <w:szCs w:val="20"/>
              </w:rPr>
              <w:t xml:space="preserve">FERNANDO DAVID NIÑO MENDOZA </w:t>
            </w:r>
          </w:p>
          <w:p w14:paraId="5F1F5AF4" w14:textId="77777777" w:rsidR="002034C0" w:rsidRDefault="00000000">
            <w:pPr>
              <w:widowControl w:val="0"/>
              <w:ind w:hanging="2"/>
              <w:jc w:val="center"/>
              <w:rPr>
                <w:rFonts w:ascii="EB Garamond" w:eastAsia="EB Garamond" w:hAnsi="EB Garamond" w:cs="EB Garamond"/>
                <w:b/>
                <w:sz w:val="20"/>
                <w:szCs w:val="20"/>
              </w:rPr>
            </w:pPr>
            <w:r>
              <w:rPr>
                <w:rFonts w:ascii="EB Garamond" w:eastAsia="EB Garamond" w:hAnsi="EB Garamond" w:cs="EB Garamond"/>
                <w:b/>
                <w:sz w:val="20"/>
                <w:szCs w:val="20"/>
              </w:rPr>
              <w:t xml:space="preserve">Representante a la Cámara </w:t>
            </w:r>
            <w:r>
              <w:rPr>
                <w:rFonts w:ascii="EB Garamond" w:eastAsia="EB Garamond" w:hAnsi="EB Garamond" w:cs="EB Garamond"/>
                <w:b/>
                <w:sz w:val="20"/>
                <w:szCs w:val="20"/>
              </w:rPr>
              <w:br/>
              <w:t>Partido Conservador Colombiano</w:t>
            </w:r>
          </w:p>
          <w:p w14:paraId="50F13668" w14:textId="77777777" w:rsidR="002034C0" w:rsidRDefault="002034C0">
            <w:pPr>
              <w:widowControl w:val="0"/>
              <w:ind w:hanging="2"/>
              <w:rPr>
                <w:rFonts w:ascii="EB Garamond" w:eastAsia="EB Garamond" w:hAnsi="EB Garamond" w:cs="EB Garamond"/>
                <w:b/>
                <w:sz w:val="20"/>
                <w:szCs w:val="20"/>
              </w:rPr>
            </w:pPr>
          </w:p>
          <w:p w14:paraId="50C10DFF" w14:textId="77777777" w:rsidR="002034C0" w:rsidRDefault="00000000">
            <w:pPr>
              <w:widowControl w:val="0"/>
              <w:ind w:hanging="2"/>
              <w:jc w:val="center"/>
              <w:rPr>
                <w:rFonts w:ascii="EB Garamond" w:eastAsia="EB Garamond" w:hAnsi="EB Garamond" w:cs="EB Garamond"/>
                <w:sz w:val="24"/>
                <w:szCs w:val="24"/>
              </w:rPr>
            </w:pPr>
            <w:r>
              <w:rPr>
                <w:rFonts w:ascii="EB Garamond" w:eastAsia="EB Garamond" w:hAnsi="EB Garamond" w:cs="EB Garamond"/>
                <w:b/>
                <w:sz w:val="20"/>
                <w:szCs w:val="20"/>
              </w:rPr>
              <w:t xml:space="preserve">COAUTOR </w:t>
            </w:r>
          </w:p>
        </w:tc>
      </w:tr>
      <w:tr w:rsidR="002034C0" w14:paraId="1EAE2DA9" w14:textId="77777777">
        <w:trPr>
          <w:trHeight w:val="2964"/>
        </w:trPr>
        <w:tc>
          <w:tcPr>
            <w:tcW w:w="4414" w:type="dxa"/>
          </w:tcPr>
          <w:p w14:paraId="3077B32B" w14:textId="77777777" w:rsidR="002034C0" w:rsidRDefault="00000000">
            <w:pPr>
              <w:spacing w:line="276" w:lineRule="auto"/>
              <w:ind w:firstLine="0"/>
              <w:jc w:val="both"/>
              <w:rPr>
                <w:rFonts w:ascii="Arial" w:eastAsia="Arial" w:hAnsi="Arial" w:cs="Arial"/>
                <w:sz w:val="22"/>
                <w:szCs w:val="22"/>
              </w:rPr>
            </w:pPr>
            <w:r>
              <w:rPr>
                <w:noProof/>
              </w:rPr>
              <w:drawing>
                <wp:anchor distT="0" distB="0" distL="0" distR="0" simplePos="0" relativeHeight="251658240" behindDoc="1" locked="0" layoutInCell="1" hidden="0" allowOverlap="1" wp14:anchorId="58923656" wp14:editId="7C3B5C0D">
                  <wp:simplePos x="0" y="0"/>
                  <wp:positionH relativeFrom="column">
                    <wp:posOffset>521969</wp:posOffset>
                  </wp:positionH>
                  <wp:positionV relativeFrom="paragraph">
                    <wp:posOffset>17780</wp:posOffset>
                  </wp:positionV>
                  <wp:extent cx="1450975" cy="676910"/>
                  <wp:effectExtent l="0" t="0" r="0" b="0"/>
                  <wp:wrapNone/>
                  <wp:docPr id="181055325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1450975" cy="676910"/>
                          </a:xfrm>
                          <a:prstGeom prst="rect">
                            <a:avLst/>
                          </a:prstGeom>
                          <a:ln/>
                        </pic:spPr>
                      </pic:pic>
                    </a:graphicData>
                  </a:graphic>
                </wp:anchor>
              </w:drawing>
            </w:r>
          </w:p>
          <w:p w14:paraId="7B2148B7" w14:textId="77777777" w:rsidR="002034C0" w:rsidRDefault="002034C0">
            <w:pPr>
              <w:spacing w:line="276" w:lineRule="auto"/>
              <w:ind w:firstLine="0"/>
              <w:jc w:val="both"/>
              <w:rPr>
                <w:rFonts w:ascii="Arial" w:eastAsia="Arial" w:hAnsi="Arial" w:cs="Arial"/>
                <w:sz w:val="22"/>
                <w:szCs w:val="22"/>
              </w:rPr>
            </w:pPr>
          </w:p>
          <w:p w14:paraId="46EF9B5A" w14:textId="77777777" w:rsidR="002034C0" w:rsidRDefault="002034C0">
            <w:pPr>
              <w:spacing w:line="276" w:lineRule="auto"/>
              <w:ind w:firstLine="0"/>
              <w:jc w:val="both"/>
              <w:rPr>
                <w:rFonts w:ascii="EB Garamond" w:eastAsia="EB Garamond" w:hAnsi="EB Garamond" w:cs="EB Garamond"/>
                <w:sz w:val="20"/>
                <w:szCs w:val="20"/>
              </w:rPr>
            </w:pPr>
          </w:p>
          <w:p w14:paraId="7127A3BC" w14:textId="77777777" w:rsidR="002034C0" w:rsidRDefault="002034C0">
            <w:pPr>
              <w:spacing w:line="276" w:lineRule="auto"/>
              <w:ind w:firstLine="0"/>
              <w:jc w:val="both"/>
              <w:rPr>
                <w:rFonts w:ascii="EB Garamond" w:eastAsia="EB Garamond" w:hAnsi="EB Garamond" w:cs="EB Garamond"/>
                <w:sz w:val="20"/>
                <w:szCs w:val="20"/>
              </w:rPr>
            </w:pPr>
          </w:p>
          <w:p w14:paraId="18C14D8C" w14:textId="77777777" w:rsidR="002034C0" w:rsidRDefault="00000000">
            <w:pPr>
              <w:spacing w:after="240" w:line="276" w:lineRule="auto"/>
              <w:ind w:firstLine="0"/>
              <w:jc w:val="center"/>
              <w:rPr>
                <w:rFonts w:ascii="EB Garamond" w:eastAsia="EB Garamond" w:hAnsi="EB Garamond" w:cs="EB Garamond"/>
                <w:b/>
                <w:sz w:val="20"/>
                <w:szCs w:val="20"/>
              </w:rPr>
            </w:pPr>
            <w:r>
              <w:rPr>
                <w:rFonts w:ascii="EB Garamond" w:eastAsia="EB Garamond" w:hAnsi="EB Garamond" w:cs="EB Garamond"/>
                <w:sz w:val="20"/>
                <w:szCs w:val="20"/>
              </w:rPr>
              <w:t xml:space="preserve">ALFREDO APE CUELLO BAUTE </w:t>
            </w:r>
            <w:r>
              <w:rPr>
                <w:rFonts w:ascii="EB Garamond" w:eastAsia="EB Garamond" w:hAnsi="EB Garamond" w:cs="EB Garamond"/>
                <w:sz w:val="20"/>
                <w:szCs w:val="20"/>
              </w:rPr>
              <w:br/>
            </w:r>
            <w:r>
              <w:rPr>
                <w:rFonts w:ascii="EB Garamond" w:eastAsia="EB Garamond" w:hAnsi="EB Garamond" w:cs="EB Garamond"/>
                <w:b/>
                <w:sz w:val="20"/>
                <w:szCs w:val="20"/>
              </w:rPr>
              <w:t xml:space="preserve">Representante a la Cámara </w:t>
            </w:r>
            <w:r>
              <w:rPr>
                <w:rFonts w:ascii="EB Garamond" w:eastAsia="EB Garamond" w:hAnsi="EB Garamond" w:cs="EB Garamond"/>
                <w:b/>
                <w:sz w:val="20"/>
                <w:szCs w:val="20"/>
              </w:rPr>
              <w:br/>
              <w:t xml:space="preserve">Partido Conservador Colombiano </w:t>
            </w:r>
            <w:r>
              <w:rPr>
                <w:rFonts w:ascii="EB Garamond" w:eastAsia="EB Garamond" w:hAnsi="EB Garamond" w:cs="EB Garamond"/>
                <w:b/>
                <w:sz w:val="20"/>
                <w:szCs w:val="20"/>
              </w:rPr>
              <w:br/>
            </w:r>
          </w:p>
          <w:p w14:paraId="4AC8BD37" w14:textId="77777777" w:rsidR="002034C0" w:rsidRDefault="00000000">
            <w:pPr>
              <w:spacing w:after="240" w:line="276" w:lineRule="auto"/>
              <w:ind w:firstLine="0"/>
              <w:jc w:val="center"/>
              <w:rPr>
                <w:rFonts w:ascii="EB Garamond" w:eastAsia="EB Garamond" w:hAnsi="EB Garamond" w:cs="EB Garamond"/>
                <w:b/>
                <w:sz w:val="20"/>
                <w:szCs w:val="20"/>
              </w:rPr>
            </w:pPr>
            <w:r>
              <w:rPr>
                <w:rFonts w:ascii="EB Garamond" w:eastAsia="EB Garamond" w:hAnsi="EB Garamond" w:cs="EB Garamond"/>
                <w:b/>
                <w:sz w:val="20"/>
                <w:szCs w:val="20"/>
              </w:rPr>
              <w:t xml:space="preserve">COAUTOR </w:t>
            </w:r>
          </w:p>
        </w:tc>
        <w:tc>
          <w:tcPr>
            <w:tcW w:w="4414" w:type="dxa"/>
          </w:tcPr>
          <w:p w14:paraId="120FBA27" w14:textId="77777777" w:rsidR="002034C0" w:rsidRDefault="00000000">
            <w:pPr>
              <w:spacing w:after="160"/>
              <w:ind w:firstLine="0"/>
              <w:jc w:val="center"/>
              <w:rPr>
                <w:rFonts w:ascii="EB Garamond" w:eastAsia="EB Garamond" w:hAnsi="EB Garamond" w:cs="EB Garamond"/>
                <w:sz w:val="20"/>
                <w:szCs w:val="20"/>
              </w:rPr>
            </w:pPr>
            <w:r>
              <w:rPr>
                <w:rFonts w:ascii="EB Garamond" w:eastAsia="EB Garamond" w:hAnsi="EB Garamond" w:cs="EB Garamond"/>
                <w:noProof/>
                <w:sz w:val="20"/>
                <w:szCs w:val="20"/>
              </w:rPr>
              <w:drawing>
                <wp:inline distT="114300" distB="114300" distL="114300" distR="114300" wp14:anchorId="0C47649F" wp14:editId="29EBF204">
                  <wp:extent cx="877253" cy="780548"/>
                  <wp:effectExtent l="0" t="0" r="0" b="0"/>
                  <wp:docPr id="181055325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l="10659" r="15914"/>
                          <a:stretch>
                            <a:fillRect/>
                          </a:stretch>
                        </pic:blipFill>
                        <pic:spPr>
                          <a:xfrm>
                            <a:off x="0" y="0"/>
                            <a:ext cx="877253" cy="780548"/>
                          </a:xfrm>
                          <a:prstGeom prst="rect">
                            <a:avLst/>
                          </a:prstGeom>
                          <a:ln/>
                        </pic:spPr>
                      </pic:pic>
                    </a:graphicData>
                  </a:graphic>
                </wp:inline>
              </w:drawing>
            </w:r>
          </w:p>
          <w:p w14:paraId="0065357A" w14:textId="77777777" w:rsidR="002034C0" w:rsidRDefault="00000000">
            <w:pPr>
              <w:spacing w:after="160"/>
              <w:ind w:firstLine="0"/>
              <w:jc w:val="center"/>
              <w:rPr>
                <w:rFonts w:ascii="EB Garamond" w:eastAsia="EB Garamond" w:hAnsi="EB Garamond" w:cs="EB Garamond"/>
                <w:b/>
                <w:sz w:val="20"/>
                <w:szCs w:val="20"/>
              </w:rPr>
            </w:pPr>
            <w:r>
              <w:rPr>
                <w:rFonts w:ascii="EB Garamond" w:eastAsia="EB Garamond" w:hAnsi="EB Garamond" w:cs="EB Garamond"/>
                <w:sz w:val="20"/>
                <w:szCs w:val="20"/>
              </w:rPr>
              <w:t>LIBARDO CRUZ CASADO</w:t>
            </w:r>
            <w:r>
              <w:rPr>
                <w:rFonts w:ascii="EB Garamond" w:eastAsia="EB Garamond" w:hAnsi="EB Garamond" w:cs="EB Garamond"/>
                <w:sz w:val="20"/>
                <w:szCs w:val="20"/>
              </w:rPr>
              <w:br/>
            </w:r>
            <w:r>
              <w:rPr>
                <w:rFonts w:ascii="EB Garamond" w:eastAsia="EB Garamond" w:hAnsi="EB Garamond" w:cs="EB Garamond"/>
                <w:b/>
                <w:sz w:val="20"/>
                <w:szCs w:val="20"/>
              </w:rPr>
              <w:t>Representante a la Cámara</w:t>
            </w:r>
            <w:r>
              <w:rPr>
                <w:rFonts w:ascii="EB Garamond" w:eastAsia="EB Garamond" w:hAnsi="EB Garamond" w:cs="EB Garamond"/>
                <w:b/>
                <w:sz w:val="20"/>
                <w:szCs w:val="20"/>
              </w:rPr>
              <w:br/>
              <w:t xml:space="preserve">Partido Conservador Colombiano </w:t>
            </w:r>
            <w:r>
              <w:rPr>
                <w:rFonts w:ascii="EB Garamond" w:eastAsia="EB Garamond" w:hAnsi="EB Garamond" w:cs="EB Garamond"/>
                <w:b/>
                <w:sz w:val="20"/>
                <w:szCs w:val="20"/>
              </w:rPr>
              <w:br/>
            </w:r>
          </w:p>
          <w:p w14:paraId="45C12B7D" w14:textId="77777777" w:rsidR="002034C0" w:rsidRDefault="00000000">
            <w:pPr>
              <w:spacing w:after="160"/>
              <w:ind w:firstLine="0"/>
              <w:jc w:val="center"/>
              <w:rPr>
                <w:rFonts w:ascii="EB Garamond" w:eastAsia="EB Garamond" w:hAnsi="EB Garamond" w:cs="EB Garamond"/>
                <w:b/>
                <w:sz w:val="20"/>
                <w:szCs w:val="20"/>
              </w:rPr>
            </w:pPr>
            <w:r>
              <w:rPr>
                <w:rFonts w:ascii="EB Garamond" w:eastAsia="EB Garamond" w:hAnsi="EB Garamond" w:cs="EB Garamond"/>
                <w:b/>
                <w:sz w:val="20"/>
                <w:szCs w:val="20"/>
              </w:rPr>
              <w:t xml:space="preserve">COAUTOR </w:t>
            </w:r>
          </w:p>
        </w:tc>
      </w:tr>
      <w:tr w:rsidR="002034C0" w14:paraId="12400018" w14:textId="77777777">
        <w:trPr>
          <w:trHeight w:val="2964"/>
        </w:trPr>
        <w:tc>
          <w:tcPr>
            <w:tcW w:w="4414" w:type="dxa"/>
          </w:tcPr>
          <w:p w14:paraId="1B1A66B1" w14:textId="77777777" w:rsidR="002034C0" w:rsidRDefault="00000000">
            <w:pPr>
              <w:spacing w:line="276" w:lineRule="auto"/>
              <w:ind w:firstLine="0"/>
              <w:jc w:val="both"/>
              <w:rPr>
                <w:rFonts w:ascii="Arial" w:eastAsia="Arial" w:hAnsi="Arial" w:cs="Arial"/>
                <w:sz w:val="22"/>
                <w:szCs w:val="22"/>
              </w:rPr>
            </w:pPr>
            <w:r>
              <w:rPr>
                <w:noProof/>
              </w:rPr>
              <w:drawing>
                <wp:anchor distT="114300" distB="114300" distL="114300" distR="114300" simplePos="0" relativeHeight="251659264" behindDoc="0" locked="0" layoutInCell="1" hidden="0" allowOverlap="1" wp14:anchorId="5BB05D84" wp14:editId="18007788">
                  <wp:simplePos x="0" y="0"/>
                  <wp:positionH relativeFrom="column">
                    <wp:posOffset>523875</wp:posOffset>
                  </wp:positionH>
                  <wp:positionV relativeFrom="paragraph">
                    <wp:posOffset>114300</wp:posOffset>
                  </wp:positionV>
                  <wp:extent cx="1519238" cy="866775"/>
                  <wp:effectExtent l="0" t="0" r="0" b="0"/>
                  <wp:wrapNone/>
                  <wp:docPr id="18105532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t="-6593" b="6593"/>
                          <a:stretch>
                            <a:fillRect/>
                          </a:stretch>
                        </pic:blipFill>
                        <pic:spPr>
                          <a:xfrm>
                            <a:off x="0" y="0"/>
                            <a:ext cx="1519238" cy="866775"/>
                          </a:xfrm>
                          <a:prstGeom prst="rect">
                            <a:avLst/>
                          </a:prstGeom>
                          <a:ln/>
                        </pic:spPr>
                      </pic:pic>
                    </a:graphicData>
                  </a:graphic>
                </wp:anchor>
              </w:drawing>
            </w:r>
          </w:p>
          <w:p w14:paraId="5EE253EA" w14:textId="77777777" w:rsidR="002034C0" w:rsidRDefault="002034C0">
            <w:pPr>
              <w:spacing w:line="276" w:lineRule="auto"/>
              <w:ind w:firstLine="0"/>
              <w:jc w:val="both"/>
              <w:rPr>
                <w:rFonts w:ascii="Arial" w:eastAsia="Arial" w:hAnsi="Arial" w:cs="Arial"/>
                <w:sz w:val="22"/>
                <w:szCs w:val="22"/>
              </w:rPr>
            </w:pPr>
          </w:p>
          <w:p w14:paraId="2BBA1A04" w14:textId="77777777" w:rsidR="002034C0" w:rsidRDefault="002034C0">
            <w:pPr>
              <w:spacing w:line="276" w:lineRule="auto"/>
              <w:ind w:firstLine="0"/>
              <w:jc w:val="both"/>
              <w:rPr>
                <w:rFonts w:ascii="Arial" w:eastAsia="Arial" w:hAnsi="Arial" w:cs="Arial"/>
                <w:sz w:val="22"/>
                <w:szCs w:val="22"/>
              </w:rPr>
            </w:pPr>
          </w:p>
          <w:p w14:paraId="1D84D569" w14:textId="77777777" w:rsidR="002034C0" w:rsidRDefault="002034C0">
            <w:pPr>
              <w:spacing w:line="276" w:lineRule="auto"/>
              <w:ind w:firstLine="0"/>
              <w:jc w:val="both"/>
              <w:rPr>
                <w:rFonts w:ascii="Arial" w:eastAsia="Arial" w:hAnsi="Arial" w:cs="Arial"/>
                <w:sz w:val="22"/>
                <w:szCs w:val="22"/>
              </w:rPr>
            </w:pPr>
          </w:p>
          <w:p w14:paraId="0BFBDB57" w14:textId="77777777" w:rsidR="002034C0" w:rsidRDefault="002034C0">
            <w:pPr>
              <w:spacing w:line="276" w:lineRule="auto"/>
              <w:ind w:firstLine="0"/>
              <w:jc w:val="both"/>
              <w:rPr>
                <w:rFonts w:ascii="Arial" w:eastAsia="Arial" w:hAnsi="Arial" w:cs="Arial"/>
                <w:sz w:val="22"/>
                <w:szCs w:val="22"/>
              </w:rPr>
            </w:pPr>
          </w:p>
          <w:p w14:paraId="581A42F0" w14:textId="77777777" w:rsidR="002034C0" w:rsidRDefault="002034C0">
            <w:pPr>
              <w:widowControl w:val="0"/>
              <w:ind w:hanging="2"/>
              <w:rPr>
                <w:rFonts w:ascii="Arial" w:eastAsia="Arial" w:hAnsi="Arial" w:cs="Arial"/>
                <w:sz w:val="22"/>
                <w:szCs w:val="22"/>
              </w:rPr>
            </w:pPr>
          </w:p>
          <w:p w14:paraId="0286E315" w14:textId="77777777" w:rsidR="002034C0" w:rsidRDefault="00000000">
            <w:pPr>
              <w:widowControl w:val="0"/>
              <w:ind w:hanging="2"/>
              <w:jc w:val="center"/>
              <w:rPr>
                <w:rFonts w:ascii="EB Garamond" w:eastAsia="EB Garamond" w:hAnsi="EB Garamond" w:cs="EB Garamond"/>
                <w:sz w:val="20"/>
                <w:szCs w:val="20"/>
              </w:rPr>
            </w:pPr>
            <w:r>
              <w:rPr>
                <w:rFonts w:ascii="EB Garamond" w:eastAsia="EB Garamond" w:hAnsi="EB Garamond" w:cs="EB Garamond"/>
                <w:sz w:val="20"/>
                <w:szCs w:val="20"/>
              </w:rPr>
              <w:t>ANGELA MARÍA VERGARA GONZALEZ</w:t>
            </w:r>
          </w:p>
          <w:p w14:paraId="0BC253B4" w14:textId="77777777" w:rsidR="002034C0" w:rsidRDefault="00000000">
            <w:pPr>
              <w:widowControl w:val="0"/>
              <w:ind w:hanging="2"/>
              <w:jc w:val="center"/>
              <w:rPr>
                <w:rFonts w:ascii="EB Garamond" w:eastAsia="EB Garamond" w:hAnsi="EB Garamond" w:cs="EB Garamond"/>
                <w:b/>
                <w:sz w:val="20"/>
                <w:szCs w:val="20"/>
              </w:rPr>
            </w:pPr>
            <w:r>
              <w:rPr>
                <w:rFonts w:ascii="EB Garamond" w:eastAsia="EB Garamond" w:hAnsi="EB Garamond" w:cs="EB Garamond"/>
                <w:b/>
                <w:sz w:val="20"/>
                <w:szCs w:val="20"/>
              </w:rPr>
              <w:t xml:space="preserve">Representante a la Cámara </w:t>
            </w:r>
          </w:p>
          <w:p w14:paraId="3911E747" w14:textId="77777777" w:rsidR="002034C0" w:rsidRDefault="00000000">
            <w:pPr>
              <w:widowControl w:val="0"/>
              <w:ind w:hanging="2"/>
              <w:jc w:val="center"/>
              <w:rPr>
                <w:rFonts w:ascii="EB Garamond" w:eastAsia="EB Garamond" w:hAnsi="EB Garamond" w:cs="EB Garamond"/>
                <w:b/>
                <w:sz w:val="20"/>
                <w:szCs w:val="20"/>
              </w:rPr>
            </w:pPr>
            <w:r>
              <w:rPr>
                <w:rFonts w:ascii="EB Garamond" w:eastAsia="EB Garamond" w:hAnsi="EB Garamond" w:cs="EB Garamond"/>
                <w:b/>
                <w:sz w:val="20"/>
                <w:szCs w:val="20"/>
              </w:rPr>
              <w:t>Partido Conservador Colombiano</w:t>
            </w:r>
          </w:p>
          <w:p w14:paraId="7EE252D1" w14:textId="77777777" w:rsidR="002034C0" w:rsidRDefault="002034C0">
            <w:pPr>
              <w:widowControl w:val="0"/>
              <w:ind w:hanging="2"/>
              <w:jc w:val="center"/>
              <w:rPr>
                <w:rFonts w:ascii="EB Garamond" w:eastAsia="EB Garamond" w:hAnsi="EB Garamond" w:cs="EB Garamond"/>
                <w:sz w:val="20"/>
                <w:szCs w:val="20"/>
              </w:rPr>
            </w:pPr>
          </w:p>
          <w:p w14:paraId="4B900A25" w14:textId="77777777" w:rsidR="002034C0" w:rsidRDefault="00000000">
            <w:pPr>
              <w:widowControl w:val="0"/>
              <w:ind w:hanging="2"/>
              <w:jc w:val="center"/>
              <w:rPr>
                <w:rFonts w:ascii="Arial" w:eastAsia="Arial" w:hAnsi="Arial" w:cs="Arial"/>
                <w:sz w:val="22"/>
                <w:szCs w:val="22"/>
              </w:rPr>
            </w:pPr>
            <w:r>
              <w:rPr>
                <w:rFonts w:ascii="EB Garamond" w:eastAsia="EB Garamond" w:hAnsi="EB Garamond" w:cs="EB Garamond"/>
                <w:b/>
                <w:sz w:val="20"/>
                <w:szCs w:val="20"/>
              </w:rPr>
              <w:t>COAUTORA</w:t>
            </w:r>
          </w:p>
        </w:tc>
        <w:tc>
          <w:tcPr>
            <w:tcW w:w="4414" w:type="dxa"/>
          </w:tcPr>
          <w:p w14:paraId="6FE20EC5" w14:textId="77777777" w:rsidR="002034C0" w:rsidRDefault="002034C0">
            <w:pPr>
              <w:widowControl w:val="0"/>
              <w:ind w:hanging="2"/>
              <w:jc w:val="center"/>
              <w:rPr>
                <w:rFonts w:ascii="EB Garamond" w:eastAsia="EB Garamond" w:hAnsi="EB Garamond" w:cs="EB Garamond"/>
                <w:sz w:val="20"/>
                <w:szCs w:val="20"/>
              </w:rPr>
            </w:pPr>
          </w:p>
          <w:p w14:paraId="4E5D99E5" w14:textId="77777777" w:rsidR="002034C0" w:rsidRDefault="002034C0">
            <w:pPr>
              <w:widowControl w:val="0"/>
              <w:ind w:hanging="2"/>
              <w:jc w:val="center"/>
              <w:rPr>
                <w:rFonts w:ascii="EB Garamond" w:eastAsia="EB Garamond" w:hAnsi="EB Garamond" w:cs="EB Garamond"/>
                <w:sz w:val="20"/>
                <w:szCs w:val="20"/>
              </w:rPr>
            </w:pPr>
          </w:p>
          <w:p w14:paraId="77E5C99E" w14:textId="77777777" w:rsidR="002034C0" w:rsidRDefault="002034C0">
            <w:pPr>
              <w:widowControl w:val="0"/>
              <w:ind w:hanging="2"/>
              <w:jc w:val="center"/>
              <w:rPr>
                <w:rFonts w:ascii="EB Garamond" w:eastAsia="EB Garamond" w:hAnsi="EB Garamond" w:cs="EB Garamond"/>
                <w:sz w:val="20"/>
                <w:szCs w:val="20"/>
              </w:rPr>
            </w:pPr>
          </w:p>
          <w:p w14:paraId="4574B406" w14:textId="77777777" w:rsidR="002034C0" w:rsidRDefault="00000000">
            <w:pPr>
              <w:widowControl w:val="0"/>
              <w:ind w:hanging="2"/>
              <w:jc w:val="center"/>
              <w:rPr>
                <w:rFonts w:ascii="EB Garamond" w:eastAsia="EB Garamond" w:hAnsi="EB Garamond" w:cs="EB Garamond"/>
                <w:sz w:val="20"/>
                <w:szCs w:val="20"/>
              </w:rPr>
            </w:pPr>
            <w:r>
              <w:rPr>
                <w:noProof/>
              </w:rPr>
              <w:drawing>
                <wp:anchor distT="114300" distB="114300" distL="114300" distR="114300" simplePos="0" relativeHeight="251660288" behindDoc="0" locked="0" layoutInCell="1" hidden="0" allowOverlap="1" wp14:anchorId="64F6696E" wp14:editId="5C3796AC">
                  <wp:simplePos x="0" y="0"/>
                  <wp:positionH relativeFrom="column">
                    <wp:posOffset>647700</wp:posOffset>
                  </wp:positionH>
                  <wp:positionV relativeFrom="paragraph">
                    <wp:posOffset>118110</wp:posOffset>
                  </wp:positionV>
                  <wp:extent cx="1520190" cy="238010"/>
                  <wp:effectExtent l="0" t="0" r="0" b="0"/>
                  <wp:wrapNone/>
                  <wp:docPr id="181055324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1520190" cy="238010"/>
                          </a:xfrm>
                          <a:prstGeom prst="rect">
                            <a:avLst/>
                          </a:prstGeom>
                          <a:ln/>
                        </pic:spPr>
                      </pic:pic>
                    </a:graphicData>
                  </a:graphic>
                </wp:anchor>
              </w:drawing>
            </w:r>
          </w:p>
          <w:p w14:paraId="292B2D50" w14:textId="77777777" w:rsidR="002034C0" w:rsidRDefault="002034C0">
            <w:pPr>
              <w:widowControl w:val="0"/>
              <w:ind w:hanging="2"/>
              <w:jc w:val="center"/>
              <w:rPr>
                <w:rFonts w:ascii="EB Garamond" w:eastAsia="EB Garamond" w:hAnsi="EB Garamond" w:cs="EB Garamond"/>
                <w:sz w:val="20"/>
                <w:szCs w:val="20"/>
              </w:rPr>
            </w:pPr>
          </w:p>
          <w:p w14:paraId="78761573" w14:textId="77777777" w:rsidR="002034C0" w:rsidRDefault="00000000">
            <w:pPr>
              <w:widowControl w:val="0"/>
              <w:ind w:hanging="2"/>
              <w:jc w:val="center"/>
              <w:rPr>
                <w:rFonts w:ascii="EB Garamond" w:eastAsia="EB Garamond" w:hAnsi="EB Garamond" w:cs="EB Garamond"/>
                <w:sz w:val="20"/>
                <w:szCs w:val="20"/>
              </w:rPr>
            </w:pPr>
            <w:r>
              <w:rPr>
                <w:rFonts w:ascii="EB Garamond" w:eastAsia="EB Garamond" w:hAnsi="EB Garamond" w:cs="EB Garamond"/>
                <w:sz w:val="20"/>
                <w:szCs w:val="20"/>
              </w:rPr>
              <w:t>JULIANA ARAY FRANCO</w:t>
            </w:r>
          </w:p>
          <w:p w14:paraId="6521D03D" w14:textId="77777777" w:rsidR="002034C0" w:rsidRDefault="00000000">
            <w:pPr>
              <w:widowControl w:val="0"/>
              <w:ind w:hanging="2"/>
              <w:jc w:val="center"/>
              <w:rPr>
                <w:rFonts w:ascii="EB Garamond" w:eastAsia="EB Garamond" w:hAnsi="EB Garamond" w:cs="EB Garamond"/>
                <w:b/>
                <w:sz w:val="20"/>
                <w:szCs w:val="20"/>
              </w:rPr>
            </w:pPr>
            <w:r>
              <w:rPr>
                <w:rFonts w:ascii="EB Garamond" w:eastAsia="EB Garamond" w:hAnsi="EB Garamond" w:cs="EB Garamond"/>
                <w:b/>
                <w:sz w:val="20"/>
                <w:szCs w:val="20"/>
              </w:rPr>
              <w:t xml:space="preserve">Representante a la Cámara </w:t>
            </w:r>
          </w:p>
          <w:p w14:paraId="5D3EB0EA" w14:textId="77777777" w:rsidR="002034C0" w:rsidRDefault="00000000">
            <w:pPr>
              <w:widowControl w:val="0"/>
              <w:ind w:hanging="2"/>
              <w:jc w:val="center"/>
              <w:rPr>
                <w:rFonts w:ascii="EB Garamond" w:eastAsia="EB Garamond" w:hAnsi="EB Garamond" w:cs="EB Garamond"/>
                <w:b/>
                <w:sz w:val="20"/>
                <w:szCs w:val="20"/>
              </w:rPr>
            </w:pPr>
            <w:r>
              <w:rPr>
                <w:rFonts w:ascii="EB Garamond" w:eastAsia="EB Garamond" w:hAnsi="EB Garamond" w:cs="EB Garamond"/>
                <w:b/>
                <w:sz w:val="20"/>
                <w:szCs w:val="20"/>
              </w:rPr>
              <w:t>Partido Conservador Colombiano</w:t>
            </w:r>
          </w:p>
          <w:p w14:paraId="4915EB68" w14:textId="77777777" w:rsidR="002034C0" w:rsidRDefault="002034C0">
            <w:pPr>
              <w:widowControl w:val="0"/>
              <w:ind w:hanging="2"/>
              <w:jc w:val="center"/>
              <w:rPr>
                <w:rFonts w:ascii="EB Garamond" w:eastAsia="EB Garamond" w:hAnsi="EB Garamond" w:cs="EB Garamond"/>
                <w:sz w:val="20"/>
                <w:szCs w:val="20"/>
              </w:rPr>
            </w:pPr>
          </w:p>
          <w:p w14:paraId="68F4CBEC" w14:textId="77777777" w:rsidR="002034C0" w:rsidRDefault="00000000">
            <w:pPr>
              <w:widowControl w:val="0"/>
              <w:ind w:hanging="2"/>
              <w:jc w:val="center"/>
              <w:rPr>
                <w:rFonts w:ascii="EB Garamond" w:eastAsia="EB Garamond" w:hAnsi="EB Garamond" w:cs="EB Garamond"/>
                <w:sz w:val="24"/>
                <w:szCs w:val="24"/>
              </w:rPr>
            </w:pPr>
            <w:r>
              <w:rPr>
                <w:rFonts w:ascii="EB Garamond" w:eastAsia="EB Garamond" w:hAnsi="EB Garamond" w:cs="EB Garamond"/>
                <w:b/>
                <w:sz w:val="20"/>
                <w:szCs w:val="20"/>
              </w:rPr>
              <w:t>COAUTORA</w:t>
            </w:r>
            <w:r>
              <w:rPr>
                <w:rFonts w:ascii="EB Garamond" w:eastAsia="EB Garamond" w:hAnsi="EB Garamond" w:cs="EB Garamond"/>
                <w:sz w:val="24"/>
                <w:szCs w:val="24"/>
              </w:rPr>
              <w:br/>
            </w:r>
          </w:p>
        </w:tc>
      </w:tr>
    </w:tbl>
    <w:p w14:paraId="3C5046A6" w14:textId="77777777" w:rsidR="002034C0" w:rsidRDefault="002034C0">
      <w:pPr>
        <w:spacing w:after="0" w:line="240" w:lineRule="auto"/>
        <w:ind w:hanging="2"/>
        <w:rPr>
          <w:rFonts w:ascii="EB Garamond" w:eastAsia="EB Garamond" w:hAnsi="EB Garamond" w:cs="EB Garamond"/>
          <w:b/>
          <w:sz w:val="24"/>
          <w:szCs w:val="24"/>
        </w:rPr>
      </w:pPr>
    </w:p>
    <w:p w14:paraId="6EB33567" w14:textId="77777777" w:rsidR="002034C0" w:rsidRDefault="002034C0">
      <w:pPr>
        <w:spacing w:after="0" w:line="240" w:lineRule="auto"/>
        <w:ind w:hanging="2"/>
        <w:jc w:val="center"/>
        <w:rPr>
          <w:rFonts w:ascii="EB Garamond" w:eastAsia="EB Garamond" w:hAnsi="EB Garamond" w:cs="EB Garamond"/>
          <w:b/>
          <w:sz w:val="24"/>
          <w:szCs w:val="24"/>
        </w:rPr>
      </w:pPr>
    </w:p>
    <w:p w14:paraId="6C14AE38" w14:textId="35458694" w:rsidR="002034C0" w:rsidRDefault="00E4481E" w:rsidP="00E4481E">
      <w:pPr>
        <w:spacing w:after="0" w:line="240" w:lineRule="auto"/>
        <w:ind w:hanging="2"/>
        <w:jc w:val="center"/>
        <w:rPr>
          <w:rFonts w:ascii="EB Garamond" w:eastAsia="EB Garamond" w:hAnsi="EB Garamond" w:cs="EB Garamond"/>
          <w:b/>
          <w:sz w:val="24"/>
          <w:szCs w:val="24"/>
        </w:rPr>
      </w:pPr>
      <w:r>
        <w:rPr>
          <w:rFonts w:ascii="EB Garamond" w:eastAsia="EB Garamond" w:hAnsi="EB Garamond" w:cs="EB Garamond"/>
          <w:b/>
          <w:sz w:val="24"/>
          <w:szCs w:val="24"/>
        </w:rPr>
        <w:t>PROYECTO DE LEY No. 286 DE 2025- CÁMARA</w:t>
      </w:r>
    </w:p>
    <w:p w14:paraId="706C99A5" w14:textId="77777777" w:rsidR="002034C0" w:rsidRDefault="002034C0">
      <w:pPr>
        <w:spacing w:after="0" w:line="240" w:lineRule="auto"/>
        <w:ind w:hanging="2"/>
        <w:jc w:val="center"/>
        <w:rPr>
          <w:rFonts w:ascii="EB Garamond" w:eastAsia="EB Garamond" w:hAnsi="EB Garamond" w:cs="EB Garamond"/>
          <w:b/>
          <w:sz w:val="24"/>
          <w:szCs w:val="24"/>
        </w:rPr>
      </w:pPr>
    </w:p>
    <w:p w14:paraId="114F4029" w14:textId="77777777" w:rsidR="002034C0" w:rsidRDefault="00000000">
      <w:pPr>
        <w:spacing w:after="0" w:line="240" w:lineRule="auto"/>
        <w:ind w:hanging="2"/>
        <w:jc w:val="center"/>
        <w:rPr>
          <w:rFonts w:ascii="EB Garamond" w:eastAsia="EB Garamond" w:hAnsi="EB Garamond" w:cs="EB Garamond"/>
          <w:b/>
          <w:sz w:val="24"/>
          <w:szCs w:val="24"/>
        </w:rPr>
      </w:pPr>
      <w:r>
        <w:rPr>
          <w:rFonts w:ascii="EB Garamond" w:eastAsia="EB Garamond" w:hAnsi="EB Garamond" w:cs="EB Garamond"/>
          <w:b/>
          <w:sz w:val="24"/>
          <w:szCs w:val="24"/>
        </w:rPr>
        <w:t xml:space="preserve"> “POR MEDIO DE LA CUAL SE DECLARA PATRIMONIO CULTURAL INMATERIAL DE LA NACIÓN A LAS PRÁCTICAS Y HABILIDADES ARTESANALES DE LA SUBREGIÓN DE LA DEPRESIÓN MOMPOSINA BOLIVARENSE Y SE DICTAN OTRAS DISPOSICIONES.”</w:t>
      </w:r>
    </w:p>
    <w:p w14:paraId="285D2A0E" w14:textId="77777777" w:rsidR="002034C0" w:rsidRDefault="002034C0">
      <w:pPr>
        <w:spacing w:after="0" w:line="240" w:lineRule="auto"/>
        <w:ind w:hanging="2"/>
        <w:jc w:val="center"/>
        <w:rPr>
          <w:rFonts w:ascii="EB Garamond" w:eastAsia="EB Garamond" w:hAnsi="EB Garamond" w:cs="EB Garamond"/>
          <w:b/>
          <w:sz w:val="24"/>
          <w:szCs w:val="24"/>
        </w:rPr>
      </w:pPr>
    </w:p>
    <w:p w14:paraId="192327AA" w14:textId="77777777" w:rsidR="002034C0" w:rsidRDefault="00000000">
      <w:pPr>
        <w:spacing w:after="0" w:line="240" w:lineRule="auto"/>
        <w:ind w:hanging="2"/>
        <w:jc w:val="center"/>
        <w:rPr>
          <w:rFonts w:ascii="EB Garamond" w:eastAsia="EB Garamond" w:hAnsi="EB Garamond" w:cs="EB Garamond"/>
          <w:b/>
          <w:sz w:val="24"/>
          <w:szCs w:val="24"/>
        </w:rPr>
      </w:pPr>
      <w:r>
        <w:rPr>
          <w:rFonts w:ascii="EB Garamond" w:eastAsia="EB Garamond" w:hAnsi="EB Garamond" w:cs="EB Garamond"/>
          <w:b/>
          <w:sz w:val="24"/>
          <w:szCs w:val="24"/>
        </w:rPr>
        <w:t>EXPOSICIÓN DE MOTIVOS</w:t>
      </w:r>
    </w:p>
    <w:p w14:paraId="74B570A8" w14:textId="77777777" w:rsidR="002034C0" w:rsidRDefault="002034C0">
      <w:pPr>
        <w:spacing w:after="0" w:line="240" w:lineRule="auto"/>
        <w:ind w:hanging="2"/>
        <w:jc w:val="center"/>
        <w:rPr>
          <w:rFonts w:ascii="EB Garamond" w:eastAsia="EB Garamond" w:hAnsi="EB Garamond" w:cs="EB Garamond"/>
          <w:b/>
          <w:sz w:val="24"/>
          <w:szCs w:val="24"/>
        </w:rPr>
      </w:pPr>
    </w:p>
    <w:p w14:paraId="6FAFDD4E" w14:textId="77777777" w:rsidR="002034C0" w:rsidRDefault="00000000">
      <w:pPr>
        <w:numPr>
          <w:ilvl w:val="0"/>
          <w:numId w:val="2"/>
        </w:numPr>
        <w:pBdr>
          <w:top w:val="nil"/>
          <w:left w:val="nil"/>
          <w:bottom w:val="nil"/>
          <w:right w:val="nil"/>
          <w:between w:val="nil"/>
        </w:pBdr>
        <w:spacing w:after="0" w:line="240" w:lineRule="auto"/>
        <w:ind w:left="0" w:hanging="2"/>
        <w:jc w:val="both"/>
        <w:rPr>
          <w:rFonts w:ascii="EB Garamond" w:eastAsia="EB Garamond" w:hAnsi="EB Garamond" w:cs="EB Garamond"/>
          <w:b/>
          <w:sz w:val="24"/>
          <w:szCs w:val="24"/>
        </w:rPr>
      </w:pPr>
      <w:r>
        <w:rPr>
          <w:rFonts w:ascii="EB Garamond" w:eastAsia="EB Garamond" w:hAnsi="EB Garamond" w:cs="EB Garamond"/>
          <w:b/>
          <w:sz w:val="24"/>
          <w:szCs w:val="24"/>
        </w:rPr>
        <w:t>ANTECEDENTES.</w:t>
      </w:r>
    </w:p>
    <w:p w14:paraId="48C9F857" w14:textId="77777777" w:rsidR="002034C0" w:rsidRDefault="002034C0">
      <w:pPr>
        <w:pBdr>
          <w:top w:val="nil"/>
          <w:left w:val="nil"/>
          <w:bottom w:val="nil"/>
          <w:right w:val="nil"/>
          <w:between w:val="nil"/>
        </w:pBdr>
        <w:spacing w:after="0" w:line="240" w:lineRule="auto"/>
        <w:ind w:hanging="2"/>
        <w:jc w:val="both"/>
        <w:rPr>
          <w:rFonts w:ascii="EB Garamond" w:eastAsia="EB Garamond" w:hAnsi="EB Garamond" w:cs="EB Garamond"/>
          <w:b/>
          <w:sz w:val="24"/>
          <w:szCs w:val="24"/>
        </w:rPr>
      </w:pPr>
    </w:p>
    <w:p w14:paraId="0748F6F4" w14:textId="77777777" w:rsidR="002034C0" w:rsidRDefault="00000000">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t xml:space="preserve">En el periodo legislativo 2022-2023 se presentó el Proyecto de Ley No. 377 de 2023- Cámara por medio de la cual se declara patrimonio cultural inmaterial de la nación a las prácticas culturales del distrito de Mompox en el marco de la celebración de la Semana Santa. Esta iniciativa tiene por objeto declarar, reconocer y exaltar como patrimonio cultural inmaterial de la nación las prácticas culturales propias de la manifestación inmaterial del Distrito de Mompox en el marco de la Semana Santa. </w:t>
      </w:r>
    </w:p>
    <w:p w14:paraId="15369DD9" w14:textId="77777777" w:rsidR="002034C0" w:rsidRDefault="002034C0">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p>
    <w:p w14:paraId="6B5251F1" w14:textId="77777777" w:rsidR="002034C0" w:rsidRDefault="00000000">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t>Ahora bien, es importante aclarar que la presente iniciativa busca exaltar las técnicas artesanales tradicionales tales como: La orfebrería, ebanistería, alfarería y el tejido de mando. Las cuales han sido prácticas y habilidades antiquísimas, transmitidas de generación en generación entre los habitantes de la Depresión Momposina.</w:t>
      </w:r>
    </w:p>
    <w:p w14:paraId="501E68A9" w14:textId="77777777" w:rsidR="002034C0" w:rsidRDefault="002034C0">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p>
    <w:p w14:paraId="39A1FAA1" w14:textId="77777777" w:rsidR="002034C0" w:rsidRDefault="00000000">
      <w:pPr>
        <w:spacing w:after="0" w:line="240" w:lineRule="auto"/>
        <w:ind w:hanging="2"/>
        <w:jc w:val="both"/>
        <w:rPr>
          <w:rFonts w:ascii="EB Garamond" w:eastAsia="EB Garamond" w:hAnsi="EB Garamond" w:cs="EB Garamond"/>
          <w:b/>
          <w:sz w:val="24"/>
          <w:szCs w:val="24"/>
        </w:rPr>
      </w:pPr>
      <w:r>
        <w:rPr>
          <w:rFonts w:ascii="EB Garamond" w:eastAsia="EB Garamond" w:hAnsi="EB Garamond" w:cs="EB Garamond"/>
          <w:b/>
          <w:sz w:val="24"/>
          <w:szCs w:val="24"/>
        </w:rPr>
        <w:t>II.  GENERALIDADES.</w:t>
      </w:r>
    </w:p>
    <w:p w14:paraId="1618C729" w14:textId="77777777" w:rsidR="002034C0" w:rsidRDefault="002034C0">
      <w:pPr>
        <w:spacing w:after="0" w:line="240" w:lineRule="auto"/>
        <w:ind w:hanging="2"/>
        <w:jc w:val="both"/>
        <w:rPr>
          <w:rFonts w:ascii="EB Garamond" w:eastAsia="EB Garamond" w:hAnsi="EB Garamond" w:cs="EB Garamond"/>
          <w:b/>
          <w:sz w:val="24"/>
          <w:szCs w:val="24"/>
        </w:rPr>
      </w:pPr>
    </w:p>
    <w:p w14:paraId="4F9D2D1C" w14:textId="77777777" w:rsidR="002034C0" w:rsidRDefault="00000000">
      <w:pPr>
        <w:spacing w:after="0" w:line="240"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t>La subregión de la Depresión Momposina en el departamento de Bolívar, conocida también como la Isla de Mompox, es una extensión territorial del departamento de Bolívar que es conformada por seis municipios a saber:</w:t>
      </w:r>
    </w:p>
    <w:p w14:paraId="5BD8745F" w14:textId="77777777" w:rsidR="002034C0" w:rsidRDefault="002034C0">
      <w:pPr>
        <w:spacing w:after="0" w:line="240" w:lineRule="auto"/>
        <w:ind w:hanging="2"/>
        <w:jc w:val="both"/>
        <w:rPr>
          <w:rFonts w:ascii="EB Garamond" w:eastAsia="EB Garamond" w:hAnsi="EB Garamond" w:cs="EB Garamond"/>
          <w:sz w:val="24"/>
          <w:szCs w:val="24"/>
        </w:rPr>
      </w:pPr>
    </w:p>
    <w:p w14:paraId="19F53B41" w14:textId="77777777" w:rsidR="002034C0" w:rsidRDefault="00000000">
      <w:pPr>
        <w:numPr>
          <w:ilvl w:val="0"/>
          <w:numId w:val="3"/>
        </w:numPr>
        <w:spacing w:after="0" w:line="240" w:lineRule="auto"/>
        <w:ind w:left="0" w:hanging="2"/>
        <w:jc w:val="both"/>
        <w:rPr>
          <w:rFonts w:ascii="EB Garamond" w:eastAsia="EB Garamond" w:hAnsi="EB Garamond" w:cs="EB Garamond"/>
          <w:sz w:val="24"/>
          <w:szCs w:val="24"/>
        </w:rPr>
      </w:pPr>
      <w:proofErr w:type="spellStart"/>
      <w:r>
        <w:rPr>
          <w:rFonts w:ascii="EB Garamond" w:eastAsia="EB Garamond" w:hAnsi="EB Garamond" w:cs="EB Garamond"/>
          <w:sz w:val="24"/>
          <w:szCs w:val="24"/>
        </w:rPr>
        <w:t>Cicuco</w:t>
      </w:r>
      <w:proofErr w:type="spellEnd"/>
    </w:p>
    <w:p w14:paraId="6FEEDED0" w14:textId="77777777" w:rsidR="002034C0" w:rsidRDefault="00000000">
      <w:pPr>
        <w:numPr>
          <w:ilvl w:val="0"/>
          <w:numId w:val="3"/>
        </w:numPr>
        <w:spacing w:after="0" w:line="240" w:lineRule="auto"/>
        <w:ind w:left="0" w:hanging="2"/>
        <w:jc w:val="both"/>
        <w:rPr>
          <w:rFonts w:ascii="EB Garamond" w:eastAsia="EB Garamond" w:hAnsi="EB Garamond" w:cs="EB Garamond"/>
          <w:sz w:val="24"/>
          <w:szCs w:val="24"/>
        </w:rPr>
      </w:pPr>
      <w:r>
        <w:rPr>
          <w:rFonts w:ascii="EB Garamond" w:eastAsia="EB Garamond" w:hAnsi="EB Garamond" w:cs="EB Garamond"/>
          <w:sz w:val="24"/>
          <w:szCs w:val="24"/>
        </w:rPr>
        <w:t>Talaigua Nuevo</w:t>
      </w:r>
    </w:p>
    <w:p w14:paraId="39E6C63A" w14:textId="77777777" w:rsidR="002034C0" w:rsidRDefault="00000000">
      <w:pPr>
        <w:numPr>
          <w:ilvl w:val="0"/>
          <w:numId w:val="3"/>
        </w:numPr>
        <w:spacing w:after="0" w:line="240" w:lineRule="auto"/>
        <w:ind w:left="0" w:hanging="2"/>
        <w:jc w:val="both"/>
        <w:rPr>
          <w:rFonts w:ascii="EB Garamond" w:eastAsia="EB Garamond" w:hAnsi="EB Garamond" w:cs="EB Garamond"/>
          <w:sz w:val="24"/>
          <w:szCs w:val="24"/>
        </w:rPr>
      </w:pPr>
      <w:r>
        <w:rPr>
          <w:rFonts w:ascii="EB Garamond" w:eastAsia="EB Garamond" w:hAnsi="EB Garamond" w:cs="EB Garamond"/>
          <w:sz w:val="24"/>
          <w:szCs w:val="24"/>
        </w:rPr>
        <w:t>Santa Cruz de Mompox</w:t>
      </w:r>
    </w:p>
    <w:p w14:paraId="654F71DD" w14:textId="77777777" w:rsidR="002034C0" w:rsidRDefault="00000000">
      <w:pPr>
        <w:numPr>
          <w:ilvl w:val="0"/>
          <w:numId w:val="3"/>
        </w:numPr>
        <w:spacing w:after="0" w:line="240" w:lineRule="auto"/>
        <w:ind w:left="0" w:hanging="2"/>
        <w:jc w:val="both"/>
        <w:rPr>
          <w:rFonts w:ascii="EB Garamond" w:eastAsia="EB Garamond" w:hAnsi="EB Garamond" w:cs="EB Garamond"/>
          <w:sz w:val="24"/>
          <w:szCs w:val="24"/>
        </w:rPr>
      </w:pPr>
      <w:r>
        <w:rPr>
          <w:rFonts w:ascii="EB Garamond" w:eastAsia="EB Garamond" w:hAnsi="EB Garamond" w:cs="EB Garamond"/>
          <w:sz w:val="24"/>
          <w:szCs w:val="24"/>
        </w:rPr>
        <w:t>San Fernando</w:t>
      </w:r>
    </w:p>
    <w:p w14:paraId="33D02079" w14:textId="77777777" w:rsidR="002034C0" w:rsidRDefault="00000000">
      <w:pPr>
        <w:numPr>
          <w:ilvl w:val="0"/>
          <w:numId w:val="3"/>
        </w:numPr>
        <w:spacing w:after="0" w:line="240" w:lineRule="auto"/>
        <w:ind w:left="0" w:hanging="2"/>
        <w:jc w:val="both"/>
        <w:rPr>
          <w:rFonts w:ascii="EB Garamond" w:eastAsia="EB Garamond" w:hAnsi="EB Garamond" w:cs="EB Garamond"/>
          <w:sz w:val="24"/>
          <w:szCs w:val="24"/>
        </w:rPr>
      </w:pPr>
      <w:r>
        <w:rPr>
          <w:rFonts w:ascii="EB Garamond" w:eastAsia="EB Garamond" w:hAnsi="EB Garamond" w:cs="EB Garamond"/>
          <w:sz w:val="24"/>
          <w:szCs w:val="24"/>
        </w:rPr>
        <w:t>Margarita</w:t>
      </w:r>
    </w:p>
    <w:p w14:paraId="527A9F18" w14:textId="77777777" w:rsidR="002034C0" w:rsidRDefault="00000000">
      <w:pPr>
        <w:numPr>
          <w:ilvl w:val="0"/>
          <w:numId w:val="3"/>
        </w:numPr>
        <w:spacing w:after="0" w:line="240" w:lineRule="auto"/>
        <w:ind w:left="0" w:hanging="2"/>
        <w:jc w:val="both"/>
        <w:rPr>
          <w:rFonts w:ascii="EB Garamond" w:eastAsia="EB Garamond" w:hAnsi="EB Garamond" w:cs="EB Garamond"/>
          <w:sz w:val="24"/>
          <w:szCs w:val="24"/>
        </w:rPr>
      </w:pPr>
      <w:r>
        <w:rPr>
          <w:rFonts w:ascii="EB Garamond" w:eastAsia="EB Garamond" w:hAnsi="EB Garamond" w:cs="EB Garamond"/>
          <w:sz w:val="24"/>
          <w:szCs w:val="24"/>
        </w:rPr>
        <w:t>Hatillo de Loba</w:t>
      </w:r>
    </w:p>
    <w:p w14:paraId="45362D17" w14:textId="77777777" w:rsidR="002034C0" w:rsidRDefault="002034C0">
      <w:pPr>
        <w:spacing w:after="0" w:line="240" w:lineRule="auto"/>
        <w:ind w:hanging="2"/>
        <w:jc w:val="both"/>
        <w:rPr>
          <w:rFonts w:ascii="EB Garamond" w:eastAsia="EB Garamond" w:hAnsi="EB Garamond" w:cs="EB Garamond"/>
          <w:sz w:val="24"/>
          <w:szCs w:val="24"/>
        </w:rPr>
      </w:pPr>
    </w:p>
    <w:p w14:paraId="4A6CAF3C" w14:textId="77777777" w:rsidR="002034C0" w:rsidRDefault="00000000">
      <w:pPr>
        <w:spacing w:after="0" w:line="240"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lastRenderedPageBreak/>
        <w:t>Esta subregión se forma por la bifurcación del río Magdalena en los brazos de Mompox que marca el límite con el departamento de Magdalena y Loba que marca la separación con los municipios de la subregión de la Mojana, a la altura del municipio de el Banco.</w:t>
      </w:r>
    </w:p>
    <w:p w14:paraId="468B6F82" w14:textId="77777777" w:rsidR="002034C0" w:rsidRDefault="002034C0">
      <w:pPr>
        <w:spacing w:after="0" w:line="240" w:lineRule="auto"/>
        <w:ind w:hanging="2"/>
        <w:jc w:val="both"/>
        <w:rPr>
          <w:rFonts w:ascii="EB Garamond" w:eastAsia="EB Garamond" w:hAnsi="EB Garamond" w:cs="EB Garamond"/>
          <w:sz w:val="24"/>
          <w:szCs w:val="24"/>
        </w:rPr>
      </w:pPr>
    </w:p>
    <w:p w14:paraId="6E41987A" w14:textId="77777777" w:rsidR="002034C0" w:rsidRDefault="00000000">
      <w:pPr>
        <w:spacing w:after="0" w:line="240" w:lineRule="auto"/>
        <w:ind w:hanging="2"/>
        <w:jc w:val="center"/>
        <w:rPr>
          <w:rFonts w:ascii="EB Garamond" w:eastAsia="EB Garamond" w:hAnsi="EB Garamond" w:cs="EB Garamond"/>
          <w:sz w:val="24"/>
          <w:szCs w:val="24"/>
        </w:rPr>
      </w:pPr>
      <w:r>
        <w:rPr>
          <w:rFonts w:ascii="EB Garamond" w:eastAsia="EB Garamond" w:hAnsi="EB Garamond" w:cs="EB Garamond"/>
          <w:noProof/>
          <w:sz w:val="24"/>
          <w:szCs w:val="24"/>
        </w:rPr>
        <w:drawing>
          <wp:inline distT="114300" distB="114300" distL="114300" distR="114300" wp14:anchorId="5B9C2C09" wp14:editId="11523029">
            <wp:extent cx="4268153" cy="5438775"/>
            <wp:effectExtent l="0" t="0" r="0" b="0"/>
            <wp:docPr id="181055325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4268153" cy="5438775"/>
                    </a:xfrm>
                    <a:prstGeom prst="rect">
                      <a:avLst/>
                    </a:prstGeom>
                    <a:ln/>
                  </pic:spPr>
                </pic:pic>
              </a:graphicData>
            </a:graphic>
          </wp:inline>
        </w:drawing>
      </w:r>
    </w:p>
    <w:p w14:paraId="658380BF" w14:textId="77777777" w:rsidR="002034C0" w:rsidRDefault="002034C0">
      <w:pPr>
        <w:spacing w:after="0" w:line="240" w:lineRule="auto"/>
        <w:ind w:hanging="2"/>
        <w:jc w:val="both"/>
        <w:rPr>
          <w:rFonts w:ascii="EB Garamond" w:eastAsia="EB Garamond" w:hAnsi="EB Garamond" w:cs="EB Garamond"/>
          <w:sz w:val="24"/>
          <w:szCs w:val="24"/>
        </w:rPr>
      </w:pPr>
    </w:p>
    <w:p w14:paraId="00EF061E" w14:textId="77777777" w:rsidR="002034C0" w:rsidRDefault="00000000">
      <w:pPr>
        <w:spacing w:after="0" w:line="240" w:lineRule="auto"/>
        <w:ind w:hanging="2"/>
        <w:jc w:val="both"/>
        <w:rPr>
          <w:rFonts w:ascii="EB Garamond" w:eastAsia="EB Garamond" w:hAnsi="EB Garamond" w:cs="EB Garamond"/>
          <w:b/>
          <w:sz w:val="24"/>
          <w:szCs w:val="24"/>
        </w:rPr>
      </w:pPr>
      <w:r>
        <w:rPr>
          <w:rFonts w:ascii="EB Garamond" w:eastAsia="EB Garamond" w:hAnsi="EB Garamond" w:cs="EB Garamond"/>
          <w:b/>
          <w:sz w:val="24"/>
          <w:szCs w:val="24"/>
        </w:rPr>
        <w:t>Orígenes de las prácticas artesanales</w:t>
      </w:r>
    </w:p>
    <w:p w14:paraId="6CCA617F" w14:textId="77777777" w:rsidR="002034C0" w:rsidRDefault="002034C0">
      <w:pPr>
        <w:spacing w:after="0" w:line="240" w:lineRule="auto"/>
        <w:ind w:hanging="2"/>
        <w:jc w:val="both"/>
        <w:rPr>
          <w:rFonts w:ascii="EB Garamond" w:eastAsia="EB Garamond" w:hAnsi="EB Garamond" w:cs="EB Garamond"/>
          <w:b/>
          <w:sz w:val="24"/>
          <w:szCs w:val="24"/>
        </w:rPr>
      </w:pPr>
    </w:p>
    <w:p w14:paraId="2B0B329C" w14:textId="77777777" w:rsidR="002034C0" w:rsidRDefault="00000000">
      <w:pPr>
        <w:spacing w:after="0" w:line="240"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t>Mompox supo desarrollarse como una región con vocación ganadera y minera para el siglo XVIII, hitos históricos que permitieron la explotación de la orfebrería, la que sería una de las actividades económicas más características de esta región (Viloria de la Hoz, 2011).</w:t>
      </w:r>
    </w:p>
    <w:p w14:paraId="67A15838" w14:textId="77777777" w:rsidR="002034C0" w:rsidRDefault="002034C0">
      <w:pPr>
        <w:spacing w:after="0" w:line="240" w:lineRule="auto"/>
        <w:ind w:hanging="2"/>
        <w:jc w:val="both"/>
        <w:rPr>
          <w:rFonts w:ascii="EB Garamond" w:eastAsia="EB Garamond" w:hAnsi="EB Garamond" w:cs="EB Garamond"/>
          <w:sz w:val="24"/>
          <w:szCs w:val="24"/>
        </w:rPr>
      </w:pPr>
    </w:p>
    <w:p w14:paraId="33C25C79" w14:textId="77777777" w:rsidR="002034C0" w:rsidRDefault="00000000">
      <w:pPr>
        <w:spacing w:after="0" w:line="240"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lastRenderedPageBreak/>
        <w:t xml:space="preserve">La región </w:t>
      </w:r>
      <w:proofErr w:type="spellStart"/>
      <w:r>
        <w:rPr>
          <w:rFonts w:ascii="EB Garamond" w:eastAsia="EB Garamond" w:hAnsi="EB Garamond" w:cs="EB Garamond"/>
          <w:sz w:val="24"/>
          <w:szCs w:val="24"/>
        </w:rPr>
        <w:t>momposina</w:t>
      </w:r>
      <w:proofErr w:type="spellEnd"/>
      <w:r>
        <w:rPr>
          <w:rFonts w:ascii="EB Garamond" w:eastAsia="EB Garamond" w:hAnsi="EB Garamond" w:cs="EB Garamond"/>
          <w:sz w:val="24"/>
          <w:szCs w:val="24"/>
        </w:rPr>
        <w:t xml:space="preserve"> fue un epicentro de prosperidad económica hasta que empezó su declive a mediados del siglo XIX cuando deja de ser uno de los 19 departamentos de la Nueva Granada y pasa al departamento de Bolívar en 1910. Así mismo, un fenómeno natural contribuyó al decaimiento de la región de Mompox cuando el río Magdalena cambió su curso, dando lugar al brazo de Loba, dejando al brazo Mompox casi innavegable y dándole un nuevo auge al municipio de Magangué. Sin embargo, el auge de Magangué sirvió para reactivar actividades como la minería en los distritos de Loba, Morales y Simití, lo que le dio un nuevo impulso a los orfebres </w:t>
      </w:r>
      <w:proofErr w:type="spellStart"/>
      <w:r>
        <w:rPr>
          <w:rFonts w:ascii="EB Garamond" w:eastAsia="EB Garamond" w:hAnsi="EB Garamond" w:cs="EB Garamond"/>
          <w:sz w:val="24"/>
          <w:szCs w:val="24"/>
        </w:rPr>
        <w:t>momposinos</w:t>
      </w:r>
      <w:proofErr w:type="spellEnd"/>
      <w:r>
        <w:rPr>
          <w:rFonts w:ascii="EB Garamond" w:eastAsia="EB Garamond" w:hAnsi="EB Garamond" w:cs="EB Garamond"/>
          <w:sz w:val="24"/>
          <w:szCs w:val="24"/>
        </w:rPr>
        <w:t xml:space="preserve"> para continuar desarrollando sus ya conocidas prácticas de tiempo atrás hasta nuestros días donde estas habilidades se han perfeccionado, por ejemplo, la mundialmente conocida filigrana </w:t>
      </w:r>
      <w:proofErr w:type="spellStart"/>
      <w:r>
        <w:rPr>
          <w:rFonts w:ascii="EB Garamond" w:eastAsia="EB Garamond" w:hAnsi="EB Garamond" w:cs="EB Garamond"/>
          <w:sz w:val="24"/>
          <w:szCs w:val="24"/>
        </w:rPr>
        <w:t>momposina</w:t>
      </w:r>
      <w:proofErr w:type="spellEnd"/>
      <w:r>
        <w:rPr>
          <w:rFonts w:ascii="EB Garamond" w:eastAsia="EB Garamond" w:hAnsi="EB Garamond" w:cs="EB Garamond"/>
          <w:sz w:val="24"/>
          <w:szCs w:val="24"/>
        </w:rPr>
        <w:t xml:space="preserve"> que convierte la rigidez del metal en finos hilos delgados retorcidos por medio de dos tablitas hasta quedar increíblemente entrelazados en forma de trenza, para ser colocado en distintas figuras, circulares, semicirculares o elípticas, de las joyas.  (Viloria de la Hoz, 2011)</w:t>
      </w:r>
    </w:p>
    <w:p w14:paraId="426258A9" w14:textId="77777777" w:rsidR="002034C0" w:rsidRDefault="002034C0">
      <w:pPr>
        <w:spacing w:after="0" w:line="240" w:lineRule="auto"/>
        <w:ind w:hanging="2"/>
        <w:jc w:val="both"/>
        <w:rPr>
          <w:rFonts w:ascii="EB Garamond" w:eastAsia="EB Garamond" w:hAnsi="EB Garamond" w:cs="EB Garamond"/>
          <w:sz w:val="24"/>
          <w:szCs w:val="24"/>
        </w:rPr>
      </w:pPr>
    </w:p>
    <w:p w14:paraId="51F028E7" w14:textId="77777777" w:rsidR="002034C0" w:rsidRDefault="00000000">
      <w:pPr>
        <w:spacing w:after="0" w:line="240"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t xml:space="preserve">La actividad artesanal se empezó a diversificar a lo largo de la isla de Mompox dando lugar a una nueva variedad de habilidades como la ebanistería, el manejo de la cerámica, la alfarería y el tejido a mano. En el municipio de </w:t>
      </w:r>
      <w:proofErr w:type="spellStart"/>
      <w:r>
        <w:rPr>
          <w:rFonts w:ascii="EB Garamond" w:eastAsia="EB Garamond" w:hAnsi="EB Garamond" w:cs="EB Garamond"/>
          <w:sz w:val="24"/>
          <w:szCs w:val="24"/>
        </w:rPr>
        <w:t>Cicuco</w:t>
      </w:r>
      <w:proofErr w:type="spellEnd"/>
      <w:r>
        <w:rPr>
          <w:rFonts w:ascii="EB Garamond" w:eastAsia="EB Garamond" w:hAnsi="EB Garamond" w:cs="EB Garamond"/>
          <w:sz w:val="24"/>
          <w:szCs w:val="24"/>
        </w:rPr>
        <w:t xml:space="preserve"> por ejemplo, son distintivas las habilidades en tejido que crean artículos como escobas, esteras, mochilas y </w:t>
      </w:r>
      <w:proofErr w:type="spellStart"/>
      <w:r>
        <w:rPr>
          <w:rFonts w:ascii="EB Garamond" w:eastAsia="EB Garamond" w:hAnsi="EB Garamond" w:cs="EB Garamond"/>
          <w:sz w:val="24"/>
          <w:szCs w:val="24"/>
        </w:rPr>
        <w:t>balays</w:t>
      </w:r>
      <w:proofErr w:type="spellEnd"/>
      <w:r>
        <w:rPr>
          <w:rFonts w:ascii="EB Garamond" w:eastAsia="EB Garamond" w:hAnsi="EB Garamond" w:cs="EB Garamond"/>
          <w:sz w:val="24"/>
          <w:szCs w:val="24"/>
        </w:rPr>
        <w:t>;</w:t>
      </w:r>
    </w:p>
    <w:p w14:paraId="055E1A23" w14:textId="77777777" w:rsidR="002034C0" w:rsidRDefault="002034C0">
      <w:pPr>
        <w:spacing w:after="0" w:line="240" w:lineRule="auto"/>
        <w:ind w:hanging="2"/>
        <w:rPr>
          <w:rFonts w:ascii="EB Garamond" w:eastAsia="EB Garamond" w:hAnsi="EB Garamond" w:cs="EB Garamond"/>
          <w:sz w:val="24"/>
          <w:szCs w:val="24"/>
        </w:rPr>
      </w:pPr>
    </w:p>
    <w:p w14:paraId="061D59A1" w14:textId="77777777" w:rsidR="002034C0" w:rsidRDefault="002034C0">
      <w:pPr>
        <w:spacing w:after="0" w:line="240" w:lineRule="auto"/>
        <w:ind w:hanging="2"/>
        <w:jc w:val="center"/>
        <w:rPr>
          <w:rFonts w:ascii="EB Garamond" w:eastAsia="EB Garamond" w:hAnsi="EB Garamond" w:cs="EB Garamond"/>
          <w:sz w:val="24"/>
          <w:szCs w:val="24"/>
        </w:rPr>
      </w:pPr>
    </w:p>
    <w:tbl>
      <w:tblPr>
        <w:tblStyle w:val="af2"/>
        <w:tblW w:w="882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80"/>
        <w:gridCol w:w="1275"/>
        <w:gridCol w:w="3765"/>
      </w:tblGrid>
      <w:tr w:rsidR="002034C0" w14:paraId="75F9A672" w14:textId="77777777">
        <w:trPr>
          <w:jc w:val="center"/>
        </w:trPr>
        <w:tc>
          <w:tcPr>
            <w:tcW w:w="3780" w:type="dxa"/>
            <w:shd w:val="clear" w:color="auto" w:fill="auto"/>
            <w:tcMar>
              <w:top w:w="100" w:type="dxa"/>
              <w:left w:w="100" w:type="dxa"/>
              <w:bottom w:w="100" w:type="dxa"/>
              <w:right w:w="100" w:type="dxa"/>
            </w:tcMar>
          </w:tcPr>
          <w:p w14:paraId="2F042FB5" w14:textId="77777777" w:rsidR="002034C0" w:rsidRDefault="00000000">
            <w:pPr>
              <w:ind w:hanging="2"/>
              <w:jc w:val="center"/>
              <w:rPr>
                <w:rFonts w:ascii="EB Garamond" w:eastAsia="EB Garamond" w:hAnsi="EB Garamond" w:cs="EB Garamond"/>
                <w:sz w:val="24"/>
                <w:szCs w:val="24"/>
              </w:rPr>
            </w:pPr>
            <w:r>
              <w:rPr>
                <w:rFonts w:ascii="EB Garamond" w:eastAsia="EB Garamond" w:hAnsi="EB Garamond" w:cs="EB Garamond"/>
                <w:noProof/>
                <w:sz w:val="24"/>
                <w:szCs w:val="24"/>
              </w:rPr>
              <w:drawing>
                <wp:inline distT="114300" distB="114300" distL="114300" distR="114300" wp14:anchorId="190E5509" wp14:editId="55E10054">
                  <wp:extent cx="1866900" cy="1661733"/>
                  <wp:effectExtent l="0" t="0" r="0" b="0"/>
                  <wp:docPr id="1810553255"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5"/>
                          <a:srcRect b="50154"/>
                          <a:stretch>
                            <a:fillRect/>
                          </a:stretch>
                        </pic:blipFill>
                        <pic:spPr>
                          <a:xfrm>
                            <a:off x="0" y="0"/>
                            <a:ext cx="1866900" cy="1661733"/>
                          </a:xfrm>
                          <a:prstGeom prst="rect">
                            <a:avLst/>
                          </a:prstGeom>
                          <a:ln/>
                        </pic:spPr>
                      </pic:pic>
                    </a:graphicData>
                  </a:graphic>
                </wp:inline>
              </w:drawing>
            </w:r>
          </w:p>
        </w:tc>
        <w:tc>
          <w:tcPr>
            <w:tcW w:w="1275" w:type="dxa"/>
            <w:shd w:val="clear" w:color="auto" w:fill="auto"/>
            <w:tcMar>
              <w:top w:w="100" w:type="dxa"/>
              <w:left w:w="100" w:type="dxa"/>
              <w:bottom w:w="100" w:type="dxa"/>
              <w:right w:w="100" w:type="dxa"/>
            </w:tcMar>
          </w:tcPr>
          <w:p w14:paraId="4EA711C3" w14:textId="77777777" w:rsidR="002034C0" w:rsidRDefault="002034C0">
            <w:pPr>
              <w:widowControl w:val="0"/>
              <w:pBdr>
                <w:top w:val="nil"/>
                <w:left w:val="nil"/>
                <w:bottom w:val="nil"/>
                <w:right w:val="nil"/>
                <w:between w:val="nil"/>
              </w:pBdr>
              <w:ind w:hanging="2"/>
              <w:rPr>
                <w:rFonts w:ascii="EB Garamond" w:eastAsia="EB Garamond" w:hAnsi="EB Garamond" w:cs="EB Garamond"/>
                <w:sz w:val="24"/>
                <w:szCs w:val="24"/>
              </w:rPr>
            </w:pPr>
          </w:p>
          <w:p w14:paraId="7A614BF7" w14:textId="77777777" w:rsidR="002034C0" w:rsidRDefault="002034C0">
            <w:pPr>
              <w:widowControl w:val="0"/>
              <w:pBdr>
                <w:top w:val="nil"/>
                <w:left w:val="nil"/>
                <w:bottom w:val="nil"/>
                <w:right w:val="nil"/>
                <w:between w:val="nil"/>
              </w:pBdr>
              <w:ind w:hanging="2"/>
              <w:rPr>
                <w:rFonts w:ascii="EB Garamond" w:eastAsia="EB Garamond" w:hAnsi="EB Garamond" w:cs="EB Garamond"/>
                <w:sz w:val="24"/>
                <w:szCs w:val="24"/>
              </w:rPr>
            </w:pPr>
          </w:p>
          <w:p w14:paraId="01AC32AD" w14:textId="77777777" w:rsidR="002034C0" w:rsidRDefault="002034C0">
            <w:pPr>
              <w:widowControl w:val="0"/>
              <w:pBdr>
                <w:top w:val="nil"/>
                <w:left w:val="nil"/>
                <w:bottom w:val="nil"/>
                <w:right w:val="nil"/>
                <w:between w:val="nil"/>
              </w:pBdr>
              <w:ind w:hanging="2"/>
              <w:rPr>
                <w:rFonts w:ascii="EB Garamond" w:eastAsia="EB Garamond" w:hAnsi="EB Garamond" w:cs="EB Garamond"/>
                <w:sz w:val="24"/>
                <w:szCs w:val="24"/>
              </w:rPr>
            </w:pPr>
          </w:p>
          <w:p w14:paraId="4620D8B6" w14:textId="77777777" w:rsidR="002034C0" w:rsidRDefault="002034C0">
            <w:pPr>
              <w:widowControl w:val="0"/>
              <w:pBdr>
                <w:top w:val="nil"/>
                <w:left w:val="nil"/>
                <w:bottom w:val="nil"/>
                <w:right w:val="nil"/>
                <w:between w:val="nil"/>
              </w:pBdr>
              <w:ind w:hanging="2"/>
              <w:rPr>
                <w:rFonts w:ascii="EB Garamond" w:eastAsia="EB Garamond" w:hAnsi="EB Garamond" w:cs="EB Garamond"/>
                <w:sz w:val="24"/>
                <w:szCs w:val="24"/>
              </w:rPr>
            </w:pPr>
          </w:p>
          <w:p w14:paraId="75268AFE" w14:textId="77777777" w:rsidR="002034C0" w:rsidRDefault="00000000">
            <w:pPr>
              <w:widowControl w:val="0"/>
              <w:pBdr>
                <w:top w:val="nil"/>
                <w:left w:val="nil"/>
                <w:bottom w:val="nil"/>
                <w:right w:val="nil"/>
                <w:between w:val="nil"/>
              </w:pBdr>
              <w:ind w:hanging="2"/>
              <w:jc w:val="center"/>
              <w:rPr>
                <w:rFonts w:ascii="EB Garamond" w:eastAsia="EB Garamond" w:hAnsi="EB Garamond" w:cs="EB Garamond"/>
                <w:sz w:val="24"/>
                <w:szCs w:val="24"/>
              </w:rPr>
            </w:pPr>
            <w:proofErr w:type="spellStart"/>
            <w:r>
              <w:rPr>
                <w:rFonts w:ascii="EB Garamond" w:eastAsia="EB Garamond" w:hAnsi="EB Garamond" w:cs="EB Garamond"/>
                <w:sz w:val="24"/>
                <w:szCs w:val="24"/>
              </w:rPr>
              <w:t>Cicuco</w:t>
            </w:r>
            <w:proofErr w:type="spellEnd"/>
          </w:p>
        </w:tc>
        <w:tc>
          <w:tcPr>
            <w:tcW w:w="3765" w:type="dxa"/>
            <w:shd w:val="clear" w:color="auto" w:fill="auto"/>
            <w:tcMar>
              <w:top w:w="100" w:type="dxa"/>
              <w:left w:w="100" w:type="dxa"/>
              <w:bottom w:w="100" w:type="dxa"/>
              <w:right w:w="100" w:type="dxa"/>
            </w:tcMar>
          </w:tcPr>
          <w:p w14:paraId="62AF310D" w14:textId="77777777" w:rsidR="002034C0" w:rsidRDefault="00000000">
            <w:pPr>
              <w:ind w:hanging="2"/>
              <w:jc w:val="center"/>
              <w:rPr>
                <w:rFonts w:ascii="EB Garamond" w:eastAsia="EB Garamond" w:hAnsi="EB Garamond" w:cs="EB Garamond"/>
                <w:sz w:val="24"/>
                <w:szCs w:val="24"/>
              </w:rPr>
            </w:pPr>
            <w:r>
              <w:rPr>
                <w:rFonts w:ascii="EB Garamond" w:eastAsia="EB Garamond" w:hAnsi="EB Garamond" w:cs="EB Garamond"/>
                <w:noProof/>
                <w:sz w:val="24"/>
                <w:szCs w:val="24"/>
              </w:rPr>
              <w:drawing>
                <wp:inline distT="114300" distB="114300" distL="114300" distR="114300" wp14:anchorId="33D669FD" wp14:editId="43ACCFB9">
                  <wp:extent cx="1866900" cy="1664873"/>
                  <wp:effectExtent l="0" t="0" r="0" b="0"/>
                  <wp:docPr id="1810553259"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5"/>
                          <a:srcRect t="50060"/>
                          <a:stretch>
                            <a:fillRect/>
                          </a:stretch>
                        </pic:blipFill>
                        <pic:spPr>
                          <a:xfrm>
                            <a:off x="0" y="0"/>
                            <a:ext cx="1866900" cy="1664873"/>
                          </a:xfrm>
                          <a:prstGeom prst="rect">
                            <a:avLst/>
                          </a:prstGeom>
                          <a:ln/>
                        </pic:spPr>
                      </pic:pic>
                    </a:graphicData>
                  </a:graphic>
                </wp:inline>
              </w:drawing>
            </w:r>
          </w:p>
        </w:tc>
      </w:tr>
    </w:tbl>
    <w:p w14:paraId="057364BF" w14:textId="77777777" w:rsidR="002034C0" w:rsidRDefault="002034C0">
      <w:pPr>
        <w:spacing w:after="0" w:line="240" w:lineRule="auto"/>
        <w:ind w:hanging="2"/>
        <w:jc w:val="center"/>
        <w:rPr>
          <w:rFonts w:ascii="EB Garamond" w:eastAsia="EB Garamond" w:hAnsi="EB Garamond" w:cs="EB Garamond"/>
          <w:sz w:val="24"/>
          <w:szCs w:val="24"/>
        </w:rPr>
      </w:pPr>
    </w:p>
    <w:p w14:paraId="36EC9448" w14:textId="77777777" w:rsidR="002034C0" w:rsidRDefault="00000000">
      <w:pPr>
        <w:spacing w:after="0" w:line="240"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t>por otro lado, en Talaigua Nuevo son reconocidas las habilidades en el manejo de la madera, el fique, el cuero y la badana que finalizan en artesanías como los chinchorros, atarrayas, aguaderas, mucutos y mecedoras;</w:t>
      </w:r>
    </w:p>
    <w:p w14:paraId="2D015E08" w14:textId="77777777" w:rsidR="002034C0" w:rsidRDefault="002034C0">
      <w:pPr>
        <w:spacing w:after="0" w:line="240" w:lineRule="auto"/>
        <w:ind w:hanging="2"/>
        <w:jc w:val="both"/>
        <w:rPr>
          <w:rFonts w:ascii="EB Garamond" w:eastAsia="EB Garamond" w:hAnsi="EB Garamond" w:cs="EB Garamond"/>
          <w:sz w:val="24"/>
          <w:szCs w:val="24"/>
        </w:rPr>
      </w:pPr>
    </w:p>
    <w:p w14:paraId="28812483" w14:textId="77777777" w:rsidR="002034C0" w:rsidRDefault="002034C0">
      <w:pPr>
        <w:spacing w:after="0" w:line="240" w:lineRule="auto"/>
        <w:ind w:hanging="2"/>
        <w:rPr>
          <w:rFonts w:ascii="EB Garamond" w:eastAsia="EB Garamond" w:hAnsi="EB Garamond" w:cs="EB Garamond"/>
          <w:sz w:val="24"/>
          <w:szCs w:val="24"/>
        </w:rPr>
      </w:pPr>
    </w:p>
    <w:tbl>
      <w:tblPr>
        <w:tblStyle w:val="af3"/>
        <w:tblW w:w="882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1710"/>
        <w:gridCol w:w="3510"/>
      </w:tblGrid>
      <w:tr w:rsidR="002034C0" w14:paraId="4DBD81C3" w14:textId="77777777">
        <w:trPr>
          <w:jc w:val="center"/>
        </w:trPr>
        <w:tc>
          <w:tcPr>
            <w:tcW w:w="3600" w:type="dxa"/>
            <w:shd w:val="clear" w:color="auto" w:fill="auto"/>
            <w:tcMar>
              <w:top w:w="100" w:type="dxa"/>
              <w:left w:w="100" w:type="dxa"/>
              <w:bottom w:w="100" w:type="dxa"/>
              <w:right w:w="100" w:type="dxa"/>
            </w:tcMar>
          </w:tcPr>
          <w:p w14:paraId="7D6273A1" w14:textId="77777777" w:rsidR="002034C0" w:rsidRDefault="00000000">
            <w:pPr>
              <w:ind w:hanging="2"/>
              <w:jc w:val="center"/>
              <w:rPr>
                <w:rFonts w:ascii="EB Garamond" w:eastAsia="EB Garamond" w:hAnsi="EB Garamond" w:cs="EB Garamond"/>
                <w:sz w:val="24"/>
                <w:szCs w:val="24"/>
              </w:rPr>
            </w:pPr>
            <w:r>
              <w:rPr>
                <w:rFonts w:ascii="EB Garamond" w:eastAsia="EB Garamond" w:hAnsi="EB Garamond" w:cs="EB Garamond"/>
                <w:noProof/>
                <w:sz w:val="24"/>
                <w:szCs w:val="24"/>
              </w:rPr>
              <w:lastRenderedPageBreak/>
              <w:drawing>
                <wp:inline distT="114300" distB="114300" distL="114300" distR="114300" wp14:anchorId="57A9CA9E" wp14:editId="27CEE425">
                  <wp:extent cx="1905000" cy="1697452"/>
                  <wp:effectExtent l="0" t="0" r="0" b="0"/>
                  <wp:docPr id="181055325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6"/>
                          <a:srcRect b="49940"/>
                          <a:stretch>
                            <a:fillRect/>
                          </a:stretch>
                        </pic:blipFill>
                        <pic:spPr>
                          <a:xfrm>
                            <a:off x="0" y="0"/>
                            <a:ext cx="1905000" cy="1697452"/>
                          </a:xfrm>
                          <a:prstGeom prst="rect">
                            <a:avLst/>
                          </a:prstGeom>
                          <a:ln/>
                        </pic:spPr>
                      </pic:pic>
                    </a:graphicData>
                  </a:graphic>
                </wp:inline>
              </w:drawing>
            </w:r>
          </w:p>
        </w:tc>
        <w:tc>
          <w:tcPr>
            <w:tcW w:w="1710" w:type="dxa"/>
            <w:shd w:val="clear" w:color="auto" w:fill="auto"/>
            <w:tcMar>
              <w:top w:w="100" w:type="dxa"/>
              <w:left w:w="100" w:type="dxa"/>
              <w:bottom w:w="100" w:type="dxa"/>
              <w:right w:w="100" w:type="dxa"/>
            </w:tcMar>
          </w:tcPr>
          <w:p w14:paraId="44FAD09D" w14:textId="77777777" w:rsidR="002034C0" w:rsidRDefault="002034C0">
            <w:pPr>
              <w:widowControl w:val="0"/>
              <w:pBdr>
                <w:top w:val="nil"/>
                <w:left w:val="nil"/>
                <w:bottom w:val="nil"/>
                <w:right w:val="nil"/>
                <w:between w:val="nil"/>
              </w:pBdr>
              <w:ind w:hanging="2"/>
              <w:rPr>
                <w:rFonts w:ascii="EB Garamond" w:eastAsia="EB Garamond" w:hAnsi="EB Garamond" w:cs="EB Garamond"/>
                <w:sz w:val="24"/>
                <w:szCs w:val="24"/>
              </w:rPr>
            </w:pPr>
          </w:p>
          <w:p w14:paraId="6521EAE1" w14:textId="77777777" w:rsidR="002034C0" w:rsidRDefault="002034C0">
            <w:pPr>
              <w:widowControl w:val="0"/>
              <w:pBdr>
                <w:top w:val="nil"/>
                <w:left w:val="nil"/>
                <w:bottom w:val="nil"/>
                <w:right w:val="nil"/>
                <w:between w:val="nil"/>
              </w:pBdr>
              <w:ind w:hanging="2"/>
              <w:rPr>
                <w:rFonts w:ascii="EB Garamond" w:eastAsia="EB Garamond" w:hAnsi="EB Garamond" w:cs="EB Garamond"/>
                <w:sz w:val="24"/>
                <w:szCs w:val="24"/>
              </w:rPr>
            </w:pPr>
          </w:p>
          <w:p w14:paraId="613C9D64" w14:textId="77777777" w:rsidR="002034C0" w:rsidRDefault="002034C0">
            <w:pPr>
              <w:widowControl w:val="0"/>
              <w:pBdr>
                <w:top w:val="nil"/>
                <w:left w:val="nil"/>
                <w:bottom w:val="nil"/>
                <w:right w:val="nil"/>
                <w:between w:val="nil"/>
              </w:pBdr>
              <w:ind w:hanging="2"/>
              <w:rPr>
                <w:rFonts w:ascii="EB Garamond" w:eastAsia="EB Garamond" w:hAnsi="EB Garamond" w:cs="EB Garamond"/>
                <w:sz w:val="24"/>
                <w:szCs w:val="24"/>
              </w:rPr>
            </w:pPr>
          </w:p>
          <w:p w14:paraId="6D6EF57E" w14:textId="77777777" w:rsidR="002034C0" w:rsidRDefault="002034C0">
            <w:pPr>
              <w:widowControl w:val="0"/>
              <w:pBdr>
                <w:top w:val="nil"/>
                <w:left w:val="nil"/>
                <w:bottom w:val="nil"/>
                <w:right w:val="nil"/>
                <w:between w:val="nil"/>
              </w:pBdr>
              <w:ind w:hanging="2"/>
              <w:jc w:val="center"/>
              <w:rPr>
                <w:rFonts w:ascii="EB Garamond" w:eastAsia="EB Garamond" w:hAnsi="EB Garamond" w:cs="EB Garamond"/>
                <w:sz w:val="24"/>
                <w:szCs w:val="24"/>
              </w:rPr>
            </w:pPr>
          </w:p>
          <w:p w14:paraId="54CCDFC1" w14:textId="77777777" w:rsidR="002034C0" w:rsidRDefault="002034C0">
            <w:pPr>
              <w:widowControl w:val="0"/>
              <w:pBdr>
                <w:top w:val="nil"/>
                <w:left w:val="nil"/>
                <w:bottom w:val="nil"/>
                <w:right w:val="nil"/>
                <w:between w:val="nil"/>
              </w:pBdr>
              <w:ind w:hanging="2"/>
              <w:jc w:val="center"/>
              <w:rPr>
                <w:rFonts w:ascii="EB Garamond" w:eastAsia="EB Garamond" w:hAnsi="EB Garamond" w:cs="EB Garamond"/>
                <w:sz w:val="24"/>
                <w:szCs w:val="24"/>
              </w:rPr>
            </w:pPr>
          </w:p>
          <w:p w14:paraId="52B0C80D" w14:textId="77777777" w:rsidR="002034C0" w:rsidRDefault="00000000">
            <w:pPr>
              <w:widowControl w:val="0"/>
              <w:pBdr>
                <w:top w:val="nil"/>
                <w:left w:val="nil"/>
                <w:bottom w:val="nil"/>
                <w:right w:val="nil"/>
                <w:between w:val="nil"/>
              </w:pBdr>
              <w:ind w:hanging="2"/>
              <w:jc w:val="center"/>
              <w:rPr>
                <w:rFonts w:ascii="EB Garamond" w:eastAsia="EB Garamond" w:hAnsi="EB Garamond" w:cs="EB Garamond"/>
                <w:sz w:val="24"/>
                <w:szCs w:val="24"/>
              </w:rPr>
            </w:pPr>
            <w:r>
              <w:rPr>
                <w:rFonts w:ascii="EB Garamond" w:eastAsia="EB Garamond" w:hAnsi="EB Garamond" w:cs="EB Garamond"/>
                <w:sz w:val="24"/>
                <w:szCs w:val="24"/>
              </w:rPr>
              <w:t>Talaigua Nuevo</w:t>
            </w:r>
          </w:p>
        </w:tc>
        <w:tc>
          <w:tcPr>
            <w:tcW w:w="3510" w:type="dxa"/>
            <w:shd w:val="clear" w:color="auto" w:fill="auto"/>
            <w:tcMar>
              <w:top w:w="100" w:type="dxa"/>
              <w:left w:w="100" w:type="dxa"/>
              <w:bottom w:w="100" w:type="dxa"/>
              <w:right w:w="100" w:type="dxa"/>
            </w:tcMar>
          </w:tcPr>
          <w:p w14:paraId="62F78BDD" w14:textId="77777777" w:rsidR="002034C0" w:rsidRDefault="00000000">
            <w:pPr>
              <w:ind w:hanging="2"/>
              <w:jc w:val="center"/>
              <w:rPr>
                <w:rFonts w:ascii="EB Garamond" w:eastAsia="EB Garamond" w:hAnsi="EB Garamond" w:cs="EB Garamond"/>
                <w:sz w:val="24"/>
                <w:szCs w:val="24"/>
              </w:rPr>
            </w:pPr>
            <w:r>
              <w:rPr>
                <w:rFonts w:ascii="EB Garamond" w:eastAsia="EB Garamond" w:hAnsi="EB Garamond" w:cs="EB Garamond"/>
                <w:noProof/>
                <w:sz w:val="24"/>
                <w:szCs w:val="24"/>
              </w:rPr>
              <w:drawing>
                <wp:inline distT="114300" distB="114300" distL="114300" distR="114300" wp14:anchorId="471323A0" wp14:editId="444A9634">
                  <wp:extent cx="1905000" cy="1697169"/>
                  <wp:effectExtent l="0" t="0" r="0" b="0"/>
                  <wp:docPr id="181055326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6"/>
                          <a:srcRect t="49949"/>
                          <a:stretch>
                            <a:fillRect/>
                          </a:stretch>
                        </pic:blipFill>
                        <pic:spPr>
                          <a:xfrm>
                            <a:off x="0" y="0"/>
                            <a:ext cx="1905000" cy="1697169"/>
                          </a:xfrm>
                          <a:prstGeom prst="rect">
                            <a:avLst/>
                          </a:prstGeom>
                          <a:ln/>
                        </pic:spPr>
                      </pic:pic>
                    </a:graphicData>
                  </a:graphic>
                </wp:inline>
              </w:drawing>
            </w:r>
          </w:p>
        </w:tc>
      </w:tr>
    </w:tbl>
    <w:p w14:paraId="7A2805EE" w14:textId="77777777" w:rsidR="002034C0" w:rsidRDefault="002034C0">
      <w:pPr>
        <w:spacing w:after="0" w:line="240" w:lineRule="auto"/>
        <w:ind w:hanging="2"/>
        <w:jc w:val="center"/>
        <w:rPr>
          <w:rFonts w:ascii="EB Garamond" w:eastAsia="EB Garamond" w:hAnsi="EB Garamond" w:cs="EB Garamond"/>
          <w:sz w:val="24"/>
          <w:szCs w:val="24"/>
        </w:rPr>
      </w:pPr>
    </w:p>
    <w:p w14:paraId="6C787178" w14:textId="77777777" w:rsidR="002034C0" w:rsidRDefault="002034C0">
      <w:pPr>
        <w:spacing w:after="0" w:line="240" w:lineRule="auto"/>
        <w:ind w:hanging="2"/>
        <w:jc w:val="both"/>
        <w:rPr>
          <w:rFonts w:ascii="EB Garamond" w:eastAsia="EB Garamond" w:hAnsi="EB Garamond" w:cs="EB Garamond"/>
          <w:sz w:val="24"/>
          <w:szCs w:val="24"/>
        </w:rPr>
      </w:pPr>
    </w:p>
    <w:p w14:paraId="63A60C17" w14:textId="77777777" w:rsidR="002034C0" w:rsidRDefault="00000000">
      <w:pPr>
        <w:spacing w:after="0" w:line="240"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t>Mompox no es solo famoso por sus artesanías en metal y oro, también es conocido por sus artesanos especialistas en crear sillas y mecedoras tejidas con paja y hechas en solera o roble;</w:t>
      </w:r>
    </w:p>
    <w:p w14:paraId="742AC62A" w14:textId="77777777" w:rsidR="002034C0" w:rsidRDefault="002034C0">
      <w:pPr>
        <w:spacing w:after="0" w:line="240" w:lineRule="auto"/>
        <w:ind w:hanging="2"/>
        <w:rPr>
          <w:rFonts w:ascii="EB Garamond" w:eastAsia="EB Garamond" w:hAnsi="EB Garamond" w:cs="EB Garamond"/>
          <w:sz w:val="24"/>
          <w:szCs w:val="24"/>
        </w:rPr>
      </w:pPr>
    </w:p>
    <w:p w14:paraId="2801241B" w14:textId="77777777" w:rsidR="002034C0" w:rsidRDefault="002034C0">
      <w:pPr>
        <w:spacing w:after="0" w:line="240" w:lineRule="auto"/>
        <w:ind w:hanging="2"/>
        <w:rPr>
          <w:rFonts w:ascii="EB Garamond" w:eastAsia="EB Garamond" w:hAnsi="EB Garamond" w:cs="EB Garamond"/>
          <w:sz w:val="24"/>
          <w:szCs w:val="24"/>
        </w:rPr>
      </w:pPr>
    </w:p>
    <w:tbl>
      <w:tblPr>
        <w:tblStyle w:val="af4"/>
        <w:tblW w:w="882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55"/>
        <w:gridCol w:w="1740"/>
        <w:gridCol w:w="3525"/>
      </w:tblGrid>
      <w:tr w:rsidR="002034C0" w14:paraId="5A04FD2D" w14:textId="77777777">
        <w:trPr>
          <w:jc w:val="center"/>
        </w:trPr>
        <w:tc>
          <w:tcPr>
            <w:tcW w:w="3555" w:type="dxa"/>
            <w:shd w:val="clear" w:color="auto" w:fill="auto"/>
            <w:tcMar>
              <w:top w:w="100" w:type="dxa"/>
              <w:left w:w="100" w:type="dxa"/>
              <w:bottom w:w="100" w:type="dxa"/>
              <w:right w:w="100" w:type="dxa"/>
            </w:tcMar>
          </w:tcPr>
          <w:p w14:paraId="4ED2FA8C" w14:textId="77777777" w:rsidR="002034C0" w:rsidRDefault="00000000">
            <w:pPr>
              <w:ind w:hanging="2"/>
              <w:jc w:val="center"/>
              <w:rPr>
                <w:rFonts w:ascii="EB Garamond" w:eastAsia="EB Garamond" w:hAnsi="EB Garamond" w:cs="EB Garamond"/>
                <w:sz w:val="24"/>
                <w:szCs w:val="24"/>
              </w:rPr>
            </w:pPr>
            <w:r>
              <w:rPr>
                <w:rFonts w:ascii="EB Garamond" w:eastAsia="EB Garamond" w:hAnsi="EB Garamond" w:cs="EB Garamond"/>
                <w:noProof/>
                <w:sz w:val="24"/>
                <w:szCs w:val="24"/>
              </w:rPr>
              <w:drawing>
                <wp:inline distT="114300" distB="114300" distL="114300" distR="114300" wp14:anchorId="7C712400" wp14:editId="1B7F0F69">
                  <wp:extent cx="1828800" cy="1619466"/>
                  <wp:effectExtent l="0" t="0" r="0" b="0"/>
                  <wp:docPr id="1810553260"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7"/>
                          <a:srcRect b="50430"/>
                          <a:stretch>
                            <a:fillRect/>
                          </a:stretch>
                        </pic:blipFill>
                        <pic:spPr>
                          <a:xfrm>
                            <a:off x="0" y="0"/>
                            <a:ext cx="1828800" cy="1619466"/>
                          </a:xfrm>
                          <a:prstGeom prst="rect">
                            <a:avLst/>
                          </a:prstGeom>
                          <a:ln/>
                        </pic:spPr>
                      </pic:pic>
                    </a:graphicData>
                  </a:graphic>
                </wp:inline>
              </w:drawing>
            </w:r>
          </w:p>
        </w:tc>
        <w:tc>
          <w:tcPr>
            <w:tcW w:w="1740" w:type="dxa"/>
            <w:shd w:val="clear" w:color="auto" w:fill="auto"/>
            <w:tcMar>
              <w:top w:w="100" w:type="dxa"/>
              <w:left w:w="100" w:type="dxa"/>
              <w:bottom w:w="100" w:type="dxa"/>
              <w:right w:w="100" w:type="dxa"/>
            </w:tcMar>
          </w:tcPr>
          <w:p w14:paraId="0EE2A56E" w14:textId="77777777" w:rsidR="002034C0" w:rsidRDefault="002034C0">
            <w:pPr>
              <w:widowControl w:val="0"/>
              <w:pBdr>
                <w:top w:val="nil"/>
                <w:left w:val="nil"/>
                <w:bottom w:val="nil"/>
                <w:right w:val="nil"/>
                <w:between w:val="nil"/>
              </w:pBdr>
              <w:ind w:hanging="2"/>
              <w:rPr>
                <w:rFonts w:ascii="EB Garamond" w:eastAsia="EB Garamond" w:hAnsi="EB Garamond" w:cs="EB Garamond"/>
                <w:sz w:val="24"/>
                <w:szCs w:val="24"/>
              </w:rPr>
            </w:pPr>
          </w:p>
          <w:p w14:paraId="27F114E6" w14:textId="77777777" w:rsidR="002034C0" w:rsidRDefault="002034C0">
            <w:pPr>
              <w:widowControl w:val="0"/>
              <w:pBdr>
                <w:top w:val="nil"/>
                <w:left w:val="nil"/>
                <w:bottom w:val="nil"/>
                <w:right w:val="nil"/>
                <w:between w:val="nil"/>
              </w:pBdr>
              <w:ind w:hanging="2"/>
              <w:rPr>
                <w:rFonts w:ascii="EB Garamond" w:eastAsia="EB Garamond" w:hAnsi="EB Garamond" w:cs="EB Garamond"/>
                <w:sz w:val="24"/>
                <w:szCs w:val="24"/>
              </w:rPr>
            </w:pPr>
          </w:p>
          <w:p w14:paraId="66BB8E46" w14:textId="77777777" w:rsidR="002034C0" w:rsidRDefault="002034C0">
            <w:pPr>
              <w:widowControl w:val="0"/>
              <w:pBdr>
                <w:top w:val="nil"/>
                <w:left w:val="nil"/>
                <w:bottom w:val="nil"/>
                <w:right w:val="nil"/>
                <w:between w:val="nil"/>
              </w:pBdr>
              <w:ind w:hanging="2"/>
              <w:rPr>
                <w:rFonts w:ascii="EB Garamond" w:eastAsia="EB Garamond" w:hAnsi="EB Garamond" w:cs="EB Garamond"/>
                <w:sz w:val="24"/>
                <w:szCs w:val="24"/>
              </w:rPr>
            </w:pPr>
          </w:p>
          <w:p w14:paraId="444E01A6" w14:textId="77777777" w:rsidR="002034C0" w:rsidRDefault="002034C0">
            <w:pPr>
              <w:widowControl w:val="0"/>
              <w:pBdr>
                <w:top w:val="nil"/>
                <w:left w:val="nil"/>
                <w:bottom w:val="nil"/>
                <w:right w:val="nil"/>
                <w:between w:val="nil"/>
              </w:pBdr>
              <w:ind w:hanging="2"/>
              <w:rPr>
                <w:rFonts w:ascii="EB Garamond" w:eastAsia="EB Garamond" w:hAnsi="EB Garamond" w:cs="EB Garamond"/>
                <w:sz w:val="24"/>
                <w:szCs w:val="24"/>
              </w:rPr>
            </w:pPr>
          </w:p>
          <w:p w14:paraId="7FA21E8F" w14:textId="77777777" w:rsidR="002034C0" w:rsidRDefault="00000000">
            <w:pPr>
              <w:widowControl w:val="0"/>
              <w:pBdr>
                <w:top w:val="nil"/>
                <w:left w:val="nil"/>
                <w:bottom w:val="nil"/>
                <w:right w:val="nil"/>
                <w:between w:val="nil"/>
              </w:pBdr>
              <w:ind w:hanging="2"/>
              <w:jc w:val="center"/>
              <w:rPr>
                <w:rFonts w:ascii="EB Garamond" w:eastAsia="EB Garamond" w:hAnsi="EB Garamond" w:cs="EB Garamond"/>
                <w:sz w:val="24"/>
                <w:szCs w:val="24"/>
              </w:rPr>
            </w:pPr>
            <w:r>
              <w:rPr>
                <w:rFonts w:ascii="EB Garamond" w:eastAsia="EB Garamond" w:hAnsi="EB Garamond" w:cs="EB Garamond"/>
                <w:sz w:val="24"/>
                <w:szCs w:val="24"/>
              </w:rPr>
              <w:t xml:space="preserve">Santa Cruz de </w:t>
            </w:r>
            <w:proofErr w:type="spellStart"/>
            <w:r>
              <w:rPr>
                <w:rFonts w:ascii="EB Garamond" w:eastAsia="EB Garamond" w:hAnsi="EB Garamond" w:cs="EB Garamond"/>
                <w:sz w:val="24"/>
                <w:szCs w:val="24"/>
              </w:rPr>
              <w:t>mompox</w:t>
            </w:r>
            <w:proofErr w:type="spellEnd"/>
          </w:p>
        </w:tc>
        <w:tc>
          <w:tcPr>
            <w:tcW w:w="3525" w:type="dxa"/>
            <w:shd w:val="clear" w:color="auto" w:fill="auto"/>
            <w:tcMar>
              <w:top w:w="100" w:type="dxa"/>
              <w:left w:w="100" w:type="dxa"/>
              <w:bottom w:w="100" w:type="dxa"/>
              <w:right w:w="100" w:type="dxa"/>
            </w:tcMar>
          </w:tcPr>
          <w:p w14:paraId="097B4B50" w14:textId="77777777" w:rsidR="002034C0" w:rsidRDefault="00000000">
            <w:pPr>
              <w:ind w:hanging="2"/>
              <w:jc w:val="center"/>
              <w:rPr>
                <w:rFonts w:ascii="EB Garamond" w:eastAsia="EB Garamond" w:hAnsi="EB Garamond" w:cs="EB Garamond"/>
                <w:sz w:val="24"/>
                <w:szCs w:val="24"/>
              </w:rPr>
            </w:pPr>
            <w:r>
              <w:rPr>
                <w:rFonts w:ascii="EB Garamond" w:eastAsia="EB Garamond" w:hAnsi="EB Garamond" w:cs="EB Garamond"/>
                <w:noProof/>
                <w:sz w:val="24"/>
                <w:szCs w:val="24"/>
              </w:rPr>
              <w:drawing>
                <wp:inline distT="114300" distB="114300" distL="114300" distR="114300" wp14:anchorId="747EE8E9" wp14:editId="43BA3492">
                  <wp:extent cx="1828800" cy="1617248"/>
                  <wp:effectExtent l="0" t="0" r="0" b="0"/>
                  <wp:docPr id="1810553264"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7"/>
                          <a:srcRect t="50497"/>
                          <a:stretch>
                            <a:fillRect/>
                          </a:stretch>
                        </pic:blipFill>
                        <pic:spPr>
                          <a:xfrm>
                            <a:off x="0" y="0"/>
                            <a:ext cx="1828800" cy="1617248"/>
                          </a:xfrm>
                          <a:prstGeom prst="rect">
                            <a:avLst/>
                          </a:prstGeom>
                          <a:ln/>
                        </pic:spPr>
                      </pic:pic>
                    </a:graphicData>
                  </a:graphic>
                </wp:inline>
              </w:drawing>
            </w:r>
          </w:p>
        </w:tc>
      </w:tr>
    </w:tbl>
    <w:p w14:paraId="0C717B45" w14:textId="77777777" w:rsidR="002034C0" w:rsidRDefault="002034C0">
      <w:pPr>
        <w:spacing w:after="0" w:line="240" w:lineRule="auto"/>
        <w:ind w:hanging="2"/>
        <w:jc w:val="both"/>
        <w:rPr>
          <w:rFonts w:ascii="EB Garamond" w:eastAsia="EB Garamond" w:hAnsi="EB Garamond" w:cs="EB Garamond"/>
          <w:sz w:val="24"/>
          <w:szCs w:val="24"/>
        </w:rPr>
      </w:pPr>
    </w:p>
    <w:p w14:paraId="7892CA53" w14:textId="77777777" w:rsidR="002034C0" w:rsidRDefault="00000000">
      <w:pPr>
        <w:spacing w:after="0" w:line="240"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t>En San Fernando son las mujeres quienes poseen las habilidades para manipular el fique o el hilo para tejer bolsos, carteras, mochilas, así como las habilidades para hacer sillas en madera fina y mecedoras de fique;</w:t>
      </w:r>
    </w:p>
    <w:p w14:paraId="3268BE33" w14:textId="77777777" w:rsidR="002034C0" w:rsidRDefault="002034C0">
      <w:pPr>
        <w:spacing w:after="0" w:line="240" w:lineRule="auto"/>
        <w:ind w:hanging="2"/>
        <w:jc w:val="center"/>
        <w:rPr>
          <w:rFonts w:ascii="EB Garamond" w:eastAsia="EB Garamond" w:hAnsi="EB Garamond" w:cs="EB Garamond"/>
          <w:sz w:val="24"/>
          <w:szCs w:val="24"/>
        </w:rPr>
      </w:pPr>
    </w:p>
    <w:p w14:paraId="775581AA" w14:textId="77777777" w:rsidR="002034C0" w:rsidRDefault="002034C0">
      <w:pPr>
        <w:spacing w:after="0" w:line="240" w:lineRule="auto"/>
        <w:ind w:hanging="2"/>
        <w:jc w:val="center"/>
        <w:rPr>
          <w:rFonts w:ascii="EB Garamond" w:eastAsia="EB Garamond" w:hAnsi="EB Garamond" w:cs="EB Garamond"/>
          <w:sz w:val="24"/>
          <w:szCs w:val="24"/>
        </w:rPr>
      </w:pPr>
    </w:p>
    <w:tbl>
      <w:tblPr>
        <w:tblStyle w:val="af5"/>
        <w:tblW w:w="88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2034C0" w14:paraId="39E5FE9A" w14:textId="77777777">
        <w:trPr>
          <w:jc w:val="center"/>
        </w:trPr>
        <w:tc>
          <w:tcPr>
            <w:tcW w:w="4419" w:type="dxa"/>
            <w:shd w:val="clear" w:color="auto" w:fill="auto"/>
            <w:tcMar>
              <w:top w:w="100" w:type="dxa"/>
              <w:left w:w="100" w:type="dxa"/>
              <w:bottom w:w="100" w:type="dxa"/>
              <w:right w:w="100" w:type="dxa"/>
            </w:tcMar>
          </w:tcPr>
          <w:p w14:paraId="265C607A" w14:textId="77777777" w:rsidR="002034C0" w:rsidRDefault="002034C0">
            <w:pPr>
              <w:widowControl w:val="0"/>
              <w:pBdr>
                <w:top w:val="nil"/>
                <w:left w:val="nil"/>
                <w:bottom w:val="nil"/>
                <w:right w:val="nil"/>
                <w:between w:val="nil"/>
              </w:pBdr>
              <w:ind w:hanging="2"/>
              <w:rPr>
                <w:rFonts w:ascii="EB Garamond" w:eastAsia="EB Garamond" w:hAnsi="EB Garamond" w:cs="EB Garamond"/>
                <w:sz w:val="24"/>
                <w:szCs w:val="24"/>
              </w:rPr>
            </w:pPr>
          </w:p>
          <w:p w14:paraId="40EDFCC4" w14:textId="77777777" w:rsidR="002034C0" w:rsidRDefault="002034C0">
            <w:pPr>
              <w:widowControl w:val="0"/>
              <w:pBdr>
                <w:top w:val="nil"/>
                <w:left w:val="nil"/>
                <w:bottom w:val="nil"/>
                <w:right w:val="nil"/>
                <w:between w:val="nil"/>
              </w:pBdr>
              <w:ind w:hanging="2"/>
              <w:rPr>
                <w:rFonts w:ascii="EB Garamond" w:eastAsia="EB Garamond" w:hAnsi="EB Garamond" w:cs="EB Garamond"/>
                <w:sz w:val="24"/>
                <w:szCs w:val="24"/>
              </w:rPr>
            </w:pPr>
          </w:p>
          <w:p w14:paraId="0506B9E2" w14:textId="77777777" w:rsidR="002034C0" w:rsidRDefault="002034C0">
            <w:pPr>
              <w:widowControl w:val="0"/>
              <w:pBdr>
                <w:top w:val="nil"/>
                <w:left w:val="nil"/>
                <w:bottom w:val="nil"/>
                <w:right w:val="nil"/>
                <w:between w:val="nil"/>
              </w:pBdr>
              <w:ind w:hanging="2"/>
              <w:rPr>
                <w:rFonts w:ascii="EB Garamond" w:eastAsia="EB Garamond" w:hAnsi="EB Garamond" w:cs="EB Garamond"/>
                <w:sz w:val="24"/>
                <w:szCs w:val="24"/>
              </w:rPr>
            </w:pPr>
          </w:p>
          <w:p w14:paraId="6E15BBEF" w14:textId="77777777" w:rsidR="002034C0" w:rsidRDefault="00000000">
            <w:pPr>
              <w:widowControl w:val="0"/>
              <w:pBdr>
                <w:top w:val="nil"/>
                <w:left w:val="nil"/>
                <w:bottom w:val="nil"/>
                <w:right w:val="nil"/>
                <w:between w:val="nil"/>
              </w:pBdr>
              <w:ind w:hanging="2"/>
              <w:jc w:val="center"/>
              <w:rPr>
                <w:rFonts w:ascii="EB Garamond" w:eastAsia="EB Garamond" w:hAnsi="EB Garamond" w:cs="EB Garamond"/>
                <w:sz w:val="24"/>
                <w:szCs w:val="24"/>
              </w:rPr>
            </w:pPr>
            <w:r>
              <w:rPr>
                <w:rFonts w:ascii="EB Garamond" w:eastAsia="EB Garamond" w:hAnsi="EB Garamond" w:cs="EB Garamond"/>
                <w:sz w:val="24"/>
                <w:szCs w:val="24"/>
              </w:rPr>
              <w:t>San Fernando</w:t>
            </w:r>
          </w:p>
        </w:tc>
        <w:tc>
          <w:tcPr>
            <w:tcW w:w="4419" w:type="dxa"/>
            <w:shd w:val="clear" w:color="auto" w:fill="auto"/>
            <w:tcMar>
              <w:top w:w="100" w:type="dxa"/>
              <w:left w:w="100" w:type="dxa"/>
              <w:bottom w:w="100" w:type="dxa"/>
              <w:right w:w="100" w:type="dxa"/>
            </w:tcMar>
          </w:tcPr>
          <w:p w14:paraId="52D7BFCD" w14:textId="77777777" w:rsidR="002034C0" w:rsidRDefault="00000000">
            <w:pPr>
              <w:ind w:hanging="2"/>
              <w:jc w:val="center"/>
              <w:rPr>
                <w:rFonts w:ascii="EB Garamond" w:eastAsia="EB Garamond" w:hAnsi="EB Garamond" w:cs="EB Garamond"/>
                <w:sz w:val="24"/>
                <w:szCs w:val="24"/>
              </w:rPr>
            </w:pPr>
            <w:r>
              <w:rPr>
                <w:rFonts w:ascii="EB Garamond" w:eastAsia="EB Garamond" w:hAnsi="EB Garamond" w:cs="EB Garamond"/>
                <w:noProof/>
                <w:sz w:val="24"/>
                <w:szCs w:val="24"/>
              </w:rPr>
              <w:drawing>
                <wp:inline distT="114300" distB="114300" distL="114300" distR="114300" wp14:anchorId="597F9DAE" wp14:editId="0FD0F17C">
                  <wp:extent cx="2096453" cy="1330279"/>
                  <wp:effectExtent l="0" t="0" r="0" b="0"/>
                  <wp:docPr id="181055326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8"/>
                          <a:srcRect/>
                          <a:stretch>
                            <a:fillRect/>
                          </a:stretch>
                        </pic:blipFill>
                        <pic:spPr>
                          <a:xfrm>
                            <a:off x="0" y="0"/>
                            <a:ext cx="2096453" cy="1330279"/>
                          </a:xfrm>
                          <a:prstGeom prst="rect">
                            <a:avLst/>
                          </a:prstGeom>
                          <a:ln/>
                        </pic:spPr>
                      </pic:pic>
                    </a:graphicData>
                  </a:graphic>
                </wp:inline>
              </w:drawing>
            </w:r>
          </w:p>
        </w:tc>
      </w:tr>
    </w:tbl>
    <w:p w14:paraId="47653FB3" w14:textId="77777777" w:rsidR="002034C0" w:rsidRDefault="002034C0">
      <w:pPr>
        <w:spacing w:after="0" w:line="240" w:lineRule="auto"/>
        <w:ind w:hanging="2"/>
        <w:jc w:val="both"/>
        <w:rPr>
          <w:rFonts w:ascii="EB Garamond" w:eastAsia="EB Garamond" w:hAnsi="EB Garamond" w:cs="EB Garamond"/>
          <w:sz w:val="24"/>
          <w:szCs w:val="24"/>
        </w:rPr>
      </w:pPr>
    </w:p>
    <w:p w14:paraId="12498322" w14:textId="77777777" w:rsidR="002034C0" w:rsidRDefault="002034C0">
      <w:pPr>
        <w:spacing w:after="0" w:line="240" w:lineRule="auto"/>
        <w:ind w:hanging="2"/>
        <w:jc w:val="both"/>
        <w:rPr>
          <w:rFonts w:ascii="EB Garamond" w:eastAsia="EB Garamond" w:hAnsi="EB Garamond" w:cs="EB Garamond"/>
          <w:sz w:val="24"/>
          <w:szCs w:val="24"/>
        </w:rPr>
      </w:pPr>
    </w:p>
    <w:p w14:paraId="29385F4F" w14:textId="77777777" w:rsidR="002034C0" w:rsidRDefault="00000000">
      <w:pPr>
        <w:spacing w:after="0" w:line="240"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lastRenderedPageBreak/>
        <w:t>En Margarita se encuentran los especialistas en el manejo de palma amarga y penca para hacer abanicos y aguaderas, así también están quienes manejan el curricán para hacer atarrayas y chinchorros, también se presencia la maestría para forjar figuras en madera; finalmente, el municipio de Hatillo de Loba es reconocido por el manejo de la palma de vino para hacer figuras y la alfarería con sus distintivas ollas de barro, tinajas y aguamaniles.</w:t>
      </w:r>
    </w:p>
    <w:p w14:paraId="72AD16C3" w14:textId="77777777" w:rsidR="002034C0" w:rsidRDefault="002034C0">
      <w:pPr>
        <w:spacing w:after="0" w:line="240" w:lineRule="auto"/>
        <w:ind w:hanging="2"/>
        <w:jc w:val="both"/>
        <w:rPr>
          <w:rFonts w:ascii="EB Garamond" w:eastAsia="EB Garamond" w:hAnsi="EB Garamond" w:cs="EB Garamond"/>
          <w:sz w:val="24"/>
          <w:szCs w:val="24"/>
        </w:rPr>
      </w:pPr>
    </w:p>
    <w:p w14:paraId="754F3876" w14:textId="77777777" w:rsidR="002034C0" w:rsidRDefault="00000000">
      <w:pPr>
        <w:spacing w:after="0" w:line="240"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t xml:space="preserve">Si bien, la subregión de la Depresión Momposina ha mostrado un gran potencial en desarrollo gracias a los saberes que forjan sus artesanías, estas habilidades y prácticas se han visto puestas en riesgo debido a una variedad de factores que atentan contra su continuidad, entre dichos factores podemos encontrar dinámicas propias de la sociedad </w:t>
      </w:r>
      <w:proofErr w:type="spellStart"/>
      <w:r>
        <w:rPr>
          <w:rFonts w:ascii="EB Garamond" w:eastAsia="EB Garamond" w:hAnsi="EB Garamond" w:cs="EB Garamond"/>
          <w:sz w:val="24"/>
          <w:szCs w:val="24"/>
        </w:rPr>
        <w:t>momposina</w:t>
      </w:r>
      <w:proofErr w:type="spellEnd"/>
      <w:r>
        <w:rPr>
          <w:rFonts w:ascii="EB Garamond" w:eastAsia="EB Garamond" w:hAnsi="EB Garamond" w:cs="EB Garamond"/>
          <w:sz w:val="24"/>
          <w:szCs w:val="24"/>
        </w:rPr>
        <w:t xml:space="preserve"> donde la práctica de formas de asociación tradicionales lideradas por un pequeño grupo de artesanos (a menudo maestros mayores), que fomentan liderazgos personalistas refuerzan las jerarquías tradicionales, desembocando en un malestar generalizado por parte de los artesanos jóvenes que no encuentran formas de inclusión y representación en las asociaciones, dando como resultado un estancamiento de los productos y falta de individuos que continúen e innoven las prácticas ancestrales (Montero y </w:t>
      </w:r>
      <w:proofErr w:type="spellStart"/>
      <w:r>
        <w:rPr>
          <w:rFonts w:ascii="EB Garamond" w:eastAsia="EB Garamond" w:hAnsi="EB Garamond" w:cs="EB Garamond"/>
          <w:sz w:val="24"/>
          <w:szCs w:val="24"/>
        </w:rPr>
        <w:t>Calderon</w:t>
      </w:r>
      <w:proofErr w:type="spellEnd"/>
      <w:r>
        <w:rPr>
          <w:rFonts w:ascii="EB Garamond" w:eastAsia="EB Garamond" w:hAnsi="EB Garamond" w:cs="EB Garamond"/>
          <w:sz w:val="24"/>
          <w:szCs w:val="24"/>
        </w:rPr>
        <w:t>, 2018); así también, los artesanos tienen problemas de aprovisionamiento de materias primas. Un estudio del Ministerio de Comercio (2012), indica que el 52% de los artesanos del país encuentran dificultades para en insuficiencia y escasez de elementos para trabajar sus artículos, el informe también refleja que es mucho más complicado conseguir las materias primas que proceden de procesos biológicos vegetales, lo que afecta a quienes practican la tejeduría, cuando se trata de insumos minerales los artesanos están supeditados a las fluctuaciones de los precios de mercado y la disponibilidad, este último aspecto genera que el 71% de los artesanos dedicados a orfebrería compre al detal, de los cuales, el 84% lo hace en el mismo sitio o cerca de su zona de operación, aunque en el caso de Mompox, lo que es el aprovisionamiento de plata es mediante importación desde Canadá (Min Comercio, 2012); igualmente, se presentan otros factores externos como la falta de la institucionalidad permanente que lidere y consolide procesos de gobernanza en pro del desarrollo y continuidad de la habilidad artesanal, al igual que una creciente ola de violencia promovida por la presencia de grupos al margen de la ley que han sometido y condicionado a la población artesanal, ocasionando la migración forzada hacía zonas fuera del control territorial de los grupos.</w:t>
      </w:r>
    </w:p>
    <w:p w14:paraId="7B36105B" w14:textId="77777777" w:rsidR="002034C0" w:rsidRDefault="002034C0">
      <w:pPr>
        <w:spacing w:after="0" w:line="240" w:lineRule="auto"/>
        <w:ind w:hanging="2"/>
        <w:jc w:val="both"/>
        <w:rPr>
          <w:rFonts w:ascii="EB Garamond" w:eastAsia="EB Garamond" w:hAnsi="EB Garamond" w:cs="EB Garamond"/>
          <w:sz w:val="24"/>
          <w:szCs w:val="24"/>
        </w:rPr>
      </w:pPr>
    </w:p>
    <w:p w14:paraId="641E7F3F" w14:textId="77777777" w:rsidR="002034C0" w:rsidRDefault="00000000">
      <w:pPr>
        <w:spacing w:after="0" w:line="240" w:lineRule="auto"/>
        <w:ind w:hanging="2"/>
        <w:jc w:val="both"/>
        <w:rPr>
          <w:rFonts w:ascii="EB Garamond" w:eastAsia="EB Garamond" w:hAnsi="EB Garamond" w:cs="EB Garamond"/>
          <w:sz w:val="24"/>
          <w:szCs w:val="24"/>
        </w:rPr>
      </w:pPr>
      <w:hyperlink r:id="rId19">
        <w:r>
          <w:rPr>
            <w:rFonts w:ascii="EB Garamond" w:eastAsia="EB Garamond" w:hAnsi="EB Garamond" w:cs="EB Garamond"/>
            <w:color w:val="1155CC"/>
            <w:sz w:val="24"/>
            <w:szCs w:val="24"/>
            <w:u w:val="single"/>
          </w:rPr>
          <w:t>Vista de La orfebrería prehispánica de Colombia (banrepcultural.org)</w:t>
        </w:r>
      </w:hyperlink>
      <w:r>
        <w:rPr>
          <w:rFonts w:ascii="EB Garamond" w:eastAsia="EB Garamond" w:hAnsi="EB Garamond" w:cs="EB Garamond"/>
          <w:sz w:val="24"/>
          <w:szCs w:val="24"/>
        </w:rPr>
        <w:t xml:space="preserve"> </w:t>
      </w:r>
    </w:p>
    <w:p w14:paraId="01048E66" w14:textId="77777777" w:rsidR="002034C0" w:rsidRDefault="00000000">
      <w:pPr>
        <w:spacing w:after="0" w:line="240" w:lineRule="auto"/>
        <w:ind w:hanging="2"/>
        <w:jc w:val="both"/>
        <w:rPr>
          <w:rFonts w:ascii="EB Garamond" w:eastAsia="EB Garamond" w:hAnsi="EB Garamond" w:cs="EB Garamond"/>
          <w:sz w:val="24"/>
          <w:szCs w:val="24"/>
        </w:rPr>
      </w:pPr>
      <w:hyperlink r:id="rId20">
        <w:r>
          <w:rPr>
            <w:rFonts w:ascii="EB Garamond" w:eastAsia="EB Garamond" w:hAnsi="EB Garamond" w:cs="EB Garamond"/>
            <w:color w:val="1155CC"/>
            <w:sz w:val="24"/>
            <w:szCs w:val="24"/>
            <w:u w:val="single"/>
          </w:rPr>
          <w:t>C-224-16 Corte Constitucional de Colombia</w:t>
        </w:r>
      </w:hyperlink>
      <w:r>
        <w:rPr>
          <w:rFonts w:ascii="EB Garamond" w:eastAsia="EB Garamond" w:hAnsi="EB Garamond" w:cs="EB Garamond"/>
          <w:sz w:val="24"/>
          <w:szCs w:val="24"/>
        </w:rPr>
        <w:t xml:space="preserve"> </w:t>
      </w:r>
    </w:p>
    <w:p w14:paraId="26D791DC" w14:textId="77777777" w:rsidR="002034C0" w:rsidRDefault="002034C0">
      <w:pPr>
        <w:spacing w:after="0" w:line="240" w:lineRule="auto"/>
        <w:ind w:hanging="2"/>
        <w:jc w:val="both"/>
        <w:rPr>
          <w:rFonts w:ascii="EB Garamond" w:eastAsia="EB Garamond" w:hAnsi="EB Garamond" w:cs="EB Garamond"/>
          <w:sz w:val="24"/>
          <w:szCs w:val="24"/>
        </w:rPr>
      </w:pPr>
    </w:p>
    <w:p w14:paraId="0CFFC28C" w14:textId="77777777" w:rsidR="002034C0" w:rsidRDefault="002034C0" w:rsidP="00E4481E">
      <w:pPr>
        <w:spacing w:after="0" w:line="240" w:lineRule="auto"/>
        <w:ind w:firstLine="0"/>
        <w:jc w:val="both"/>
        <w:rPr>
          <w:rFonts w:ascii="EB Garamond" w:eastAsia="EB Garamond" w:hAnsi="EB Garamond" w:cs="EB Garamond"/>
          <w:sz w:val="24"/>
          <w:szCs w:val="24"/>
        </w:rPr>
      </w:pPr>
    </w:p>
    <w:p w14:paraId="4AD723B0" w14:textId="77777777" w:rsidR="002034C0" w:rsidRDefault="00000000">
      <w:pPr>
        <w:spacing w:after="0" w:line="240" w:lineRule="auto"/>
        <w:ind w:hanging="2"/>
        <w:jc w:val="both"/>
        <w:rPr>
          <w:rFonts w:ascii="EB Garamond" w:eastAsia="EB Garamond" w:hAnsi="EB Garamond" w:cs="EB Garamond"/>
          <w:b/>
          <w:sz w:val="24"/>
          <w:szCs w:val="24"/>
        </w:rPr>
      </w:pPr>
      <w:r>
        <w:rPr>
          <w:rFonts w:ascii="EB Garamond" w:eastAsia="EB Garamond" w:hAnsi="EB Garamond" w:cs="EB Garamond"/>
          <w:b/>
          <w:sz w:val="24"/>
          <w:szCs w:val="24"/>
        </w:rPr>
        <w:t>III.  OBJETO DEL PROYECTO.</w:t>
      </w:r>
    </w:p>
    <w:p w14:paraId="3A8104EF" w14:textId="77777777" w:rsidR="002034C0" w:rsidRDefault="002034C0">
      <w:pPr>
        <w:spacing w:after="0" w:line="240" w:lineRule="auto"/>
        <w:ind w:hanging="2"/>
        <w:jc w:val="both"/>
        <w:rPr>
          <w:rFonts w:ascii="EB Garamond" w:eastAsia="EB Garamond" w:hAnsi="EB Garamond" w:cs="EB Garamond"/>
          <w:b/>
          <w:sz w:val="24"/>
          <w:szCs w:val="24"/>
        </w:rPr>
      </w:pPr>
    </w:p>
    <w:p w14:paraId="02A7112E" w14:textId="77777777" w:rsidR="002034C0" w:rsidRDefault="00000000">
      <w:pPr>
        <w:spacing w:after="0" w:line="240" w:lineRule="auto"/>
        <w:ind w:hanging="2"/>
        <w:jc w:val="both"/>
        <w:rPr>
          <w:rFonts w:ascii="EB Garamond" w:eastAsia="EB Garamond" w:hAnsi="EB Garamond" w:cs="EB Garamond"/>
          <w:b/>
          <w:sz w:val="24"/>
          <w:szCs w:val="24"/>
        </w:rPr>
      </w:pPr>
      <w:r>
        <w:rPr>
          <w:rFonts w:ascii="EB Garamond" w:eastAsia="EB Garamond" w:hAnsi="EB Garamond" w:cs="EB Garamond"/>
          <w:sz w:val="24"/>
          <w:szCs w:val="24"/>
        </w:rPr>
        <w:t>¿Por qué declarar las habilidades y oficios ancestrales de esta región un patrimonio?</w:t>
      </w:r>
    </w:p>
    <w:p w14:paraId="5E4AC8B5" w14:textId="77777777" w:rsidR="002034C0" w:rsidRDefault="002034C0">
      <w:pPr>
        <w:spacing w:after="0" w:line="240" w:lineRule="auto"/>
        <w:ind w:hanging="2"/>
        <w:jc w:val="both"/>
        <w:rPr>
          <w:rFonts w:ascii="EB Garamond" w:eastAsia="EB Garamond" w:hAnsi="EB Garamond" w:cs="EB Garamond"/>
          <w:sz w:val="24"/>
          <w:szCs w:val="24"/>
        </w:rPr>
      </w:pPr>
    </w:p>
    <w:p w14:paraId="7602AE08" w14:textId="77777777" w:rsidR="002034C0" w:rsidRDefault="00000000">
      <w:pPr>
        <w:spacing w:after="0" w:line="240"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lastRenderedPageBreak/>
        <w:t>Con el objetivo de consolidar la importancia y riqueza cultural que ostenta la subregión de la Depresión Momposina Bolivarense en una gran diversidad de oficios y habilidades que desembocan en piezas artesanales únicas de reconocimiento nacional y mundial por su calidad; se pretende declarar como patrimonio cultural inmaterial de la Nación estas habilidades y oficios para que el Estado vele por su protección, garanticen su continuidad y consoliden su fortalecimiento, se propone la discusión y aprobación de esta iniciativa de ley, para que sea declarado dentro del inventario de patrimonios y ostente un nivel de priorización para focalizar las acciones y políticas del Estado.</w:t>
      </w:r>
    </w:p>
    <w:p w14:paraId="5FDB576D" w14:textId="77777777" w:rsidR="002034C0" w:rsidRDefault="002034C0">
      <w:pPr>
        <w:spacing w:after="0" w:line="240" w:lineRule="auto"/>
        <w:ind w:hanging="2"/>
        <w:jc w:val="both"/>
        <w:rPr>
          <w:rFonts w:ascii="EB Garamond" w:eastAsia="EB Garamond" w:hAnsi="EB Garamond" w:cs="EB Garamond"/>
          <w:sz w:val="24"/>
          <w:szCs w:val="24"/>
        </w:rPr>
      </w:pPr>
    </w:p>
    <w:p w14:paraId="7CB5C770" w14:textId="77777777" w:rsidR="002034C0" w:rsidRDefault="00000000">
      <w:pPr>
        <w:spacing w:after="0" w:line="240"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t xml:space="preserve">Formando parte de la Lista Representativa de Patrimonio Cultural Inmaterial como un medio de salvaguardia de manifestaciones o prácticas culturales, que para el caso, serían las habilidades y oficios que dan forma y describen la identidad de la subregión de la depresión </w:t>
      </w:r>
      <w:proofErr w:type="spellStart"/>
      <w:r>
        <w:rPr>
          <w:rFonts w:ascii="EB Garamond" w:eastAsia="EB Garamond" w:hAnsi="EB Garamond" w:cs="EB Garamond"/>
          <w:sz w:val="24"/>
          <w:szCs w:val="24"/>
        </w:rPr>
        <w:t>momposina</w:t>
      </w:r>
      <w:proofErr w:type="spellEnd"/>
      <w:r>
        <w:rPr>
          <w:rFonts w:ascii="EB Garamond" w:eastAsia="EB Garamond" w:hAnsi="EB Garamond" w:cs="EB Garamond"/>
          <w:sz w:val="24"/>
          <w:szCs w:val="24"/>
        </w:rPr>
        <w:t xml:space="preserve"> mediante sus piezas artesanales; las instituciones públicas, organizaciones civiles y entidades se obligan y comprometen a salvaguardar, documentar, investigar, promover, fomentar, transmitir y revitalizar dichas manifestación o prácticas, buscando su continuidad en el tiempo como referentes de identidad e innovando con los procesos y experiencias que se vayan forjando en el camino.</w:t>
      </w:r>
    </w:p>
    <w:p w14:paraId="64B10188" w14:textId="77777777" w:rsidR="002034C0" w:rsidRDefault="002034C0">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p>
    <w:p w14:paraId="7594A355" w14:textId="77777777" w:rsidR="002034C0" w:rsidRDefault="002034C0">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p>
    <w:p w14:paraId="624AE76B" w14:textId="77777777" w:rsidR="002034C0" w:rsidRDefault="002034C0">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p>
    <w:p w14:paraId="6E9CD14E" w14:textId="77777777" w:rsidR="002034C0" w:rsidRDefault="00000000">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r>
        <w:rPr>
          <w:rFonts w:ascii="EB Garamond" w:eastAsia="EB Garamond" w:hAnsi="EB Garamond" w:cs="EB Garamond"/>
          <w:b/>
          <w:sz w:val="24"/>
          <w:szCs w:val="24"/>
        </w:rPr>
        <w:t>IV.  CONSTITUCIONALIDAD Y LEGALIDAD</w:t>
      </w:r>
    </w:p>
    <w:p w14:paraId="11168A96" w14:textId="77777777" w:rsidR="002034C0" w:rsidRDefault="002034C0">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p>
    <w:p w14:paraId="28CF49AD" w14:textId="77777777" w:rsidR="002034C0" w:rsidRDefault="00000000">
      <w:pPr>
        <w:spacing w:after="0" w:line="240"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t>De acuerdo a los lineamientos del ordenamiento constitucional, en particular con el artículo 150, “</w:t>
      </w:r>
      <w:r>
        <w:rPr>
          <w:rFonts w:ascii="EB Garamond" w:eastAsia="EB Garamond" w:hAnsi="EB Garamond" w:cs="EB Garamond"/>
          <w:i/>
          <w:sz w:val="24"/>
          <w:szCs w:val="24"/>
        </w:rPr>
        <w:t>Corresponde al Congreso hacer las leyes</w:t>
      </w:r>
      <w:r>
        <w:rPr>
          <w:rFonts w:ascii="EB Garamond" w:eastAsia="EB Garamond" w:hAnsi="EB Garamond" w:cs="EB Garamond"/>
          <w:sz w:val="24"/>
          <w:szCs w:val="24"/>
        </w:rPr>
        <w:t>…”, con la finalidad de propender al interés y bien general de sus ciudadanos.</w:t>
      </w:r>
    </w:p>
    <w:p w14:paraId="334A39A1" w14:textId="77777777" w:rsidR="002034C0" w:rsidRDefault="002034C0">
      <w:pPr>
        <w:spacing w:after="0" w:line="240" w:lineRule="auto"/>
        <w:ind w:hanging="2"/>
        <w:jc w:val="both"/>
        <w:rPr>
          <w:rFonts w:ascii="EB Garamond" w:eastAsia="EB Garamond" w:hAnsi="EB Garamond" w:cs="EB Garamond"/>
          <w:sz w:val="24"/>
          <w:szCs w:val="24"/>
        </w:rPr>
      </w:pPr>
    </w:p>
    <w:p w14:paraId="4191AFC7" w14:textId="77777777" w:rsidR="002034C0" w:rsidRDefault="00000000">
      <w:pPr>
        <w:spacing w:after="0" w:line="240"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t>Seguidamente, La Constitución Política como fundamento normativo, establece y determina en su artículo 1°, que “</w:t>
      </w:r>
      <w:r>
        <w:rPr>
          <w:rFonts w:ascii="EB Garamond" w:eastAsia="EB Garamond" w:hAnsi="EB Garamond" w:cs="EB Garamond"/>
          <w:i/>
          <w:sz w:val="24"/>
          <w:szCs w:val="24"/>
        </w:rPr>
        <w:t>Colombia es un Estado social de Derecho, fundada en el respeto de la dignidad humana, en el trabajo y la solidaridad de las personas que la integran y en la prevalencia del interés general</w:t>
      </w:r>
      <w:r>
        <w:rPr>
          <w:rFonts w:ascii="EB Garamond" w:eastAsia="EB Garamond" w:hAnsi="EB Garamond" w:cs="EB Garamond"/>
          <w:sz w:val="24"/>
          <w:szCs w:val="24"/>
        </w:rPr>
        <w:t>”. En su artículo 8°, otorga la responsabilidad al Estado de “</w:t>
      </w:r>
      <w:r>
        <w:rPr>
          <w:rFonts w:ascii="EB Garamond" w:eastAsia="EB Garamond" w:hAnsi="EB Garamond" w:cs="EB Garamond"/>
          <w:b/>
          <w:i/>
          <w:sz w:val="24"/>
          <w:szCs w:val="24"/>
        </w:rPr>
        <w:t>proteger las riquezas culturales</w:t>
      </w:r>
      <w:r>
        <w:rPr>
          <w:rFonts w:ascii="EB Garamond" w:eastAsia="EB Garamond" w:hAnsi="EB Garamond" w:cs="EB Garamond"/>
          <w:i/>
          <w:sz w:val="24"/>
          <w:szCs w:val="24"/>
        </w:rPr>
        <w:t xml:space="preserve"> y naturales de la Nación</w:t>
      </w:r>
      <w:r>
        <w:rPr>
          <w:rFonts w:ascii="EB Garamond" w:eastAsia="EB Garamond" w:hAnsi="EB Garamond" w:cs="EB Garamond"/>
          <w:sz w:val="24"/>
          <w:szCs w:val="24"/>
        </w:rPr>
        <w:t>”, (</w:t>
      </w:r>
      <w:r>
        <w:rPr>
          <w:rFonts w:ascii="EB Garamond" w:eastAsia="EB Garamond" w:hAnsi="EB Garamond" w:cs="EB Garamond"/>
          <w:i/>
          <w:sz w:val="24"/>
          <w:szCs w:val="24"/>
        </w:rPr>
        <w:t>Negrilla fuera del texto</w:t>
      </w:r>
      <w:r>
        <w:rPr>
          <w:rFonts w:ascii="EB Garamond" w:eastAsia="EB Garamond" w:hAnsi="EB Garamond" w:cs="EB Garamond"/>
          <w:sz w:val="24"/>
          <w:szCs w:val="24"/>
        </w:rPr>
        <w:t>).</w:t>
      </w:r>
    </w:p>
    <w:p w14:paraId="0D113A6A" w14:textId="77777777" w:rsidR="002034C0" w:rsidRDefault="002034C0">
      <w:pPr>
        <w:spacing w:after="0" w:line="240" w:lineRule="auto"/>
        <w:ind w:hanging="2"/>
        <w:jc w:val="both"/>
        <w:rPr>
          <w:rFonts w:ascii="EB Garamond" w:eastAsia="EB Garamond" w:hAnsi="EB Garamond" w:cs="EB Garamond"/>
          <w:sz w:val="24"/>
          <w:szCs w:val="24"/>
        </w:rPr>
      </w:pPr>
    </w:p>
    <w:p w14:paraId="68FAB52B" w14:textId="77777777" w:rsidR="002034C0" w:rsidRDefault="00000000">
      <w:pPr>
        <w:spacing w:after="0" w:line="240"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t>Ahora bien, en cumplimiento de lo anterior, en virtud de la materia que se pretende declarar por medio de este proyecto de ley, es importante hacer alusión a los artículos 70, 71 y 72 de la Constitución Política, que propenden al fomento, promoción del acceso a la cultura como una responsabilidad del Estado, su protección, así como, “</w:t>
      </w:r>
      <w:r>
        <w:rPr>
          <w:rFonts w:ascii="EB Garamond" w:eastAsia="EB Garamond" w:hAnsi="EB Garamond" w:cs="EB Garamond"/>
          <w:i/>
          <w:sz w:val="24"/>
          <w:szCs w:val="24"/>
          <w:u w:val="single"/>
        </w:rPr>
        <w:t>La cultura en sus diversas manifestaciones es fundamento de la nacionalidad</w:t>
      </w:r>
      <w:r>
        <w:rPr>
          <w:rFonts w:ascii="EB Garamond" w:eastAsia="EB Garamond" w:hAnsi="EB Garamond" w:cs="EB Garamond"/>
          <w:i/>
          <w:sz w:val="24"/>
          <w:szCs w:val="24"/>
        </w:rPr>
        <w:t xml:space="preserve">. </w:t>
      </w:r>
      <w:r>
        <w:rPr>
          <w:rFonts w:ascii="EB Garamond" w:eastAsia="EB Garamond" w:hAnsi="EB Garamond" w:cs="EB Garamond"/>
          <w:i/>
          <w:sz w:val="24"/>
          <w:szCs w:val="24"/>
          <w:u w:val="single"/>
        </w:rPr>
        <w:t>El Estado reconoce la igualdad y dignidad de todas las que conviven en el país</w:t>
      </w:r>
      <w:r>
        <w:rPr>
          <w:rFonts w:ascii="EB Garamond" w:eastAsia="EB Garamond" w:hAnsi="EB Garamond" w:cs="EB Garamond"/>
          <w:i/>
          <w:sz w:val="24"/>
          <w:szCs w:val="24"/>
        </w:rPr>
        <w:t xml:space="preserve">. </w:t>
      </w:r>
      <w:r>
        <w:rPr>
          <w:rFonts w:ascii="EB Garamond" w:eastAsia="EB Garamond" w:hAnsi="EB Garamond" w:cs="EB Garamond"/>
          <w:i/>
          <w:sz w:val="24"/>
          <w:szCs w:val="24"/>
          <w:u w:val="single"/>
        </w:rPr>
        <w:t>El Estado promoverá</w:t>
      </w:r>
      <w:r>
        <w:rPr>
          <w:rFonts w:ascii="EB Garamond" w:eastAsia="EB Garamond" w:hAnsi="EB Garamond" w:cs="EB Garamond"/>
          <w:i/>
          <w:sz w:val="24"/>
          <w:szCs w:val="24"/>
        </w:rPr>
        <w:t xml:space="preserve"> la investigación, la ciencia, </w:t>
      </w:r>
      <w:r>
        <w:rPr>
          <w:rFonts w:ascii="EB Garamond" w:eastAsia="EB Garamond" w:hAnsi="EB Garamond" w:cs="EB Garamond"/>
          <w:i/>
          <w:sz w:val="24"/>
          <w:szCs w:val="24"/>
          <w:u w:val="single"/>
        </w:rPr>
        <w:t>el desarrollo y la difusión de los valores culturales de la Nación</w:t>
      </w:r>
      <w:r>
        <w:rPr>
          <w:rFonts w:ascii="EB Garamond" w:eastAsia="EB Garamond" w:hAnsi="EB Garamond" w:cs="EB Garamond"/>
          <w:sz w:val="24"/>
          <w:szCs w:val="24"/>
        </w:rPr>
        <w:t xml:space="preserve">.” (Subrayado fuera del texto). En el numeral 8 del artículo 95, nos </w:t>
      </w:r>
      <w:r>
        <w:rPr>
          <w:rFonts w:ascii="EB Garamond" w:eastAsia="EB Garamond" w:hAnsi="EB Garamond" w:cs="EB Garamond"/>
          <w:sz w:val="24"/>
          <w:szCs w:val="24"/>
        </w:rPr>
        <w:lastRenderedPageBreak/>
        <w:t>otorga como colombianos la responsabilidad de “</w:t>
      </w:r>
      <w:r>
        <w:rPr>
          <w:rFonts w:ascii="EB Garamond" w:eastAsia="EB Garamond" w:hAnsi="EB Garamond" w:cs="EB Garamond"/>
          <w:i/>
          <w:sz w:val="24"/>
          <w:szCs w:val="24"/>
          <w:u w:val="single"/>
        </w:rPr>
        <w:t>Proteger los recursos culturales</w:t>
      </w:r>
      <w:r>
        <w:rPr>
          <w:rFonts w:ascii="EB Garamond" w:eastAsia="EB Garamond" w:hAnsi="EB Garamond" w:cs="EB Garamond"/>
          <w:i/>
          <w:sz w:val="24"/>
          <w:szCs w:val="24"/>
        </w:rPr>
        <w:t xml:space="preserve"> y naturales del país </w:t>
      </w:r>
      <w:r>
        <w:rPr>
          <w:rFonts w:ascii="EB Garamond" w:eastAsia="EB Garamond" w:hAnsi="EB Garamond" w:cs="EB Garamond"/>
          <w:i/>
          <w:sz w:val="24"/>
          <w:szCs w:val="24"/>
          <w:u w:val="single"/>
        </w:rPr>
        <w:t>y velar por la conservación</w:t>
      </w:r>
      <w:r>
        <w:rPr>
          <w:rFonts w:ascii="EB Garamond" w:eastAsia="EB Garamond" w:hAnsi="EB Garamond" w:cs="EB Garamond"/>
          <w:i/>
          <w:sz w:val="24"/>
          <w:szCs w:val="24"/>
        </w:rPr>
        <w:t xml:space="preserve"> …</w:t>
      </w:r>
      <w:r>
        <w:rPr>
          <w:rFonts w:ascii="EB Garamond" w:eastAsia="EB Garamond" w:hAnsi="EB Garamond" w:cs="EB Garamond"/>
          <w:sz w:val="24"/>
          <w:szCs w:val="24"/>
        </w:rPr>
        <w:t>” (Subrayado fuera del texto).</w:t>
      </w:r>
    </w:p>
    <w:p w14:paraId="75052974" w14:textId="77777777" w:rsidR="002034C0" w:rsidRDefault="002034C0">
      <w:pPr>
        <w:spacing w:after="0" w:line="240" w:lineRule="auto"/>
        <w:ind w:hanging="2"/>
        <w:jc w:val="both"/>
        <w:rPr>
          <w:rFonts w:ascii="EB Garamond" w:eastAsia="EB Garamond" w:hAnsi="EB Garamond" w:cs="EB Garamond"/>
          <w:sz w:val="24"/>
          <w:szCs w:val="24"/>
        </w:rPr>
      </w:pPr>
    </w:p>
    <w:p w14:paraId="62144A7D" w14:textId="77777777" w:rsidR="002034C0" w:rsidRDefault="00000000">
      <w:pPr>
        <w:spacing w:after="0" w:line="240"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t>Ampliando el fundamento normativo, pasamos de los aportes Constitucionales, a los de orden Legal, como lo son los siguientes:</w:t>
      </w:r>
    </w:p>
    <w:p w14:paraId="3F7A8749" w14:textId="77777777" w:rsidR="002034C0" w:rsidRDefault="002034C0">
      <w:pPr>
        <w:spacing w:after="0" w:line="240" w:lineRule="auto"/>
        <w:ind w:hanging="2"/>
        <w:jc w:val="both"/>
        <w:rPr>
          <w:rFonts w:ascii="EB Garamond" w:eastAsia="EB Garamond" w:hAnsi="EB Garamond" w:cs="EB Garamond"/>
          <w:sz w:val="24"/>
          <w:szCs w:val="24"/>
        </w:rPr>
      </w:pPr>
    </w:p>
    <w:p w14:paraId="5AA4C83F" w14:textId="77777777" w:rsidR="002034C0" w:rsidRDefault="00000000">
      <w:pPr>
        <w:numPr>
          <w:ilvl w:val="0"/>
          <w:numId w:val="1"/>
        </w:numPr>
        <w:spacing w:after="0" w:line="240" w:lineRule="auto"/>
        <w:ind w:left="0" w:hanging="2"/>
        <w:jc w:val="both"/>
        <w:rPr>
          <w:rFonts w:ascii="EB Garamond" w:eastAsia="EB Garamond" w:hAnsi="EB Garamond" w:cs="EB Garamond"/>
          <w:sz w:val="24"/>
          <w:szCs w:val="24"/>
        </w:rPr>
      </w:pPr>
      <w:r>
        <w:rPr>
          <w:rFonts w:ascii="EB Garamond" w:eastAsia="EB Garamond" w:hAnsi="EB Garamond" w:cs="EB Garamond"/>
          <w:b/>
          <w:sz w:val="24"/>
          <w:szCs w:val="24"/>
        </w:rPr>
        <w:t>Ley 5</w:t>
      </w:r>
      <w:r>
        <w:rPr>
          <w:rFonts w:ascii="EB Garamond" w:eastAsia="EB Garamond" w:hAnsi="EB Garamond" w:cs="EB Garamond"/>
          <w:b/>
          <w:sz w:val="24"/>
          <w:szCs w:val="24"/>
          <w:vertAlign w:val="superscript"/>
        </w:rPr>
        <w:t>a</w:t>
      </w:r>
      <w:r>
        <w:rPr>
          <w:rFonts w:ascii="EB Garamond" w:eastAsia="EB Garamond" w:hAnsi="EB Garamond" w:cs="EB Garamond"/>
          <w:b/>
          <w:sz w:val="24"/>
          <w:szCs w:val="24"/>
        </w:rPr>
        <w:t xml:space="preserve"> de 1992</w:t>
      </w:r>
      <w:r>
        <w:rPr>
          <w:rFonts w:ascii="EB Garamond" w:eastAsia="EB Garamond" w:hAnsi="EB Garamond" w:cs="EB Garamond"/>
          <w:sz w:val="24"/>
          <w:szCs w:val="24"/>
        </w:rPr>
        <w:t xml:space="preserve"> - “</w:t>
      </w:r>
      <w:r>
        <w:rPr>
          <w:rFonts w:ascii="EB Garamond" w:eastAsia="EB Garamond" w:hAnsi="EB Garamond" w:cs="EB Garamond"/>
          <w:i/>
          <w:sz w:val="24"/>
          <w:szCs w:val="24"/>
        </w:rPr>
        <w:t>Por la cual se expide el Reglamento del Congreso; el Senado y la Cámara de Representantes</w:t>
      </w:r>
      <w:r>
        <w:rPr>
          <w:rFonts w:ascii="EB Garamond" w:eastAsia="EB Garamond" w:hAnsi="EB Garamond" w:cs="EB Garamond"/>
          <w:sz w:val="24"/>
          <w:szCs w:val="24"/>
        </w:rPr>
        <w:t>”. En su artículo 6°. “</w:t>
      </w:r>
      <w:r>
        <w:rPr>
          <w:rFonts w:ascii="EB Garamond" w:eastAsia="EB Garamond" w:hAnsi="EB Garamond" w:cs="EB Garamond"/>
          <w:i/>
          <w:sz w:val="24"/>
          <w:szCs w:val="24"/>
        </w:rPr>
        <w:t>Clases de funciones del Congreso. El Congreso de la República cumple:</w:t>
      </w:r>
    </w:p>
    <w:p w14:paraId="7EA2F2B9" w14:textId="77777777" w:rsidR="002034C0" w:rsidRDefault="00000000">
      <w:pPr>
        <w:spacing w:after="0" w:line="240" w:lineRule="auto"/>
        <w:ind w:hanging="2"/>
        <w:jc w:val="both"/>
        <w:rPr>
          <w:rFonts w:ascii="EB Garamond" w:eastAsia="EB Garamond" w:hAnsi="EB Garamond" w:cs="EB Garamond"/>
          <w:i/>
          <w:sz w:val="24"/>
          <w:szCs w:val="24"/>
        </w:rPr>
      </w:pPr>
      <w:r>
        <w:rPr>
          <w:rFonts w:ascii="EB Garamond" w:eastAsia="EB Garamond" w:hAnsi="EB Garamond" w:cs="EB Garamond"/>
          <w:i/>
          <w:sz w:val="24"/>
          <w:szCs w:val="24"/>
        </w:rPr>
        <w:t>(…)</w:t>
      </w:r>
    </w:p>
    <w:p w14:paraId="4C469B3E" w14:textId="77777777" w:rsidR="002034C0" w:rsidRDefault="00000000">
      <w:pPr>
        <w:spacing w:after="0" w:line="240" w:lineRule="auto"/>
        <w:ind w:hanging="2"/>
        <w:jc w:val="both"/>
        <w:rPr>
          <w:rFonts w:ascii="EB Garamond" w:eastAsia="EB Garamond" w:hAnsi="EB Garamond" w:cs="EB Garamond"/>
          <w:sz w:val="24"/>
          <w:szCs w:val="24"/>
        </w:rPr>
      </w:pPr>
      <w:r>
        <w:rPr>
          <w:rFonts w:ascii="EB Garamond" w:eastAsia="EB Garamond" w:hAnsi="EB Garamond" w:cs="EB Garamond"/>
          <w:i/>
          <w:sz w:val="24"/>
          <w:szCs w:val="24"/>
        </w:rPr>
        <w:t xml:space="preserve">2. </w:t>
      </w:r>
      <w:r>
        <w:rPr>
          <w:rFonts w:ascii="EB Garamond" w:eastAsia="EB Garamond" w:hAnsi="EB Garamond" w:cs="EB Garamond"/>
          <w:b/>
          <w:i/>
          <w:sz w:val="24"/>
          <w:szCs w:val="24"/>
        </w:rPr>
        <w:t>Función legislativa, para elaborar,</w:t>
      </w:r>
      <w:r>
        <w:rPr>
          <w:rFonts w:ascii="EB Garamond" w:eastAsia="EB Garamond" w:hAnsi="EB Garamond" w:cs="EB Garamond"/>
          <w:i/>
          <w:sz w:val="24"/>
          <w:szCs w:val="24"/>
        </w:rPr>
        <w:t xml:space="preserve"> interpretar, reformar y derogar </w:t>
      </w:r>
      <w:r>
        <w:rPr>
          <w:rFonts w:ascii="EB Garamond" w:eastAsia="EB Garamond" w:hAnsi="EB Garamond" w:cs="EB Garamond"/>
          <w:b/>
          <w:i/>
          <w:sz w:val="24"/>
          <w:szCs w:val="24"/>
        </w:rPr>
        <w:t>las leyes</w:t>
      </w:r>
      <w:r>
        <w:rPr>
          <w:rFonts w:ascii="EB Garamond" w:eastAsia="EB Garamond" w:hAnsi="EB Garamond" w:cs="EB Garamond"/>
          <w:i/>
          <w:sz w:val="24"/>
          <w:szCs w:val="24"/>
        </w:rPr>
        <w:t xml:space="preserve"> y códigos en todos los ramos de la legislación</w:t>
      </w:r>
      <w:r>
        <w:rPr>
          <w:rFonts w:ascii="EB Garamond" w:eastAsia="EB Garamond" w:hAnsi="EB Garamond" w:cs="EB Garamond"/>
          <w:sz w:val="24"/>
          <w:szCs w:val="24"/>
        </w:rPr>
        <w:t>”.</w:t>
      </w:r>
    </w:p>
    <w:p w14:paraId="4BBE7310" w14:textId="77777777" w:rsidR="002034C0" w:rsidRDefault="002034C0">
      <w:pPr>
        <w:spacing w:after="0" w:line="240" w:lineRule="auto"/>
        <w:ind w:hanging="2"/>
        <w:jc w:val="both"/>
        <w:rPr>
          <w:rFonts w:ascii="EB Garamond" w:eastAsia="EB Garamond" w:hAnsi="EB Garamond" w:cs="EB Garamond"/>
          <w:sz w:val="24"/>
          <w:szCs w:val="24"/>
        </w:rPr>
      </w:pPr>
    </w:p>
    <w:p w14:paraId="645108F9" w14:textId="77777777" w:rsidR="002034C0" w:rsidRDefault="00000000">
      <w:pPr>
        <w:spacing w:after="0" w:line="240"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t>Artículo 139°. “</w:t>
      </w:r>
      <w:r>
        <w:rPr>
          <w:rFonts w:ascii="EB Garamond" w:eastAsia="EB Garamond" w:hAnsi="EB Garamond" w:cs="EB Garamond"/>
          <w:i/>
          <w:sz w:val="24"/>
          <w:szCs w:val="24"/>
        </w:rPr>
        <w:t>Presentación de proyectos. Los proyectos de ley podrán presentarse en la Secretaría General de las Cámaras o en sus plenarias</w:t>
      </w:r>
      <w:r>
        <w:rPr>
          <w:rFonts w:ascii="EB Garamond" w:eastAsia="EB Garamond" w:hAnsi="EB Garamond" w:cs="EB Garamond"/>
          <w:sz w:val="24"/>
          <w:szCs w:val="24"/>
        </w:rPr>
        <w:t>”.</w:t>
      </w:r>
    </w:p>
    <w:p w14:paraId="13D22255" w14:textId="77777777" w:rsidR="002034C0" w:rsidRDefault="002034C0">
      <w:pPr>
        <w:spacing w:after="0" w:line="240" w:lineRule="auto"/>
        <w:ind w:hanging="2"/>
        <w:jc w:val="both"/>
        <w:rPr>
          <w:rFonts w:ascii="EB Garamond" w:eastAsia="EB Garamond" w:hAnsi="EB Garamond" w:cs="EB Garamond"/>
          <w:sz w:val="24"/>
          <w:szCs w:val="24"/>
        </w:rPr>
      </w:pPr>
    </w:p>
    <w:p w14:paraId="7F7BE39A" w14:textId="77777777" w:rsidR="002034C0" w:rsidRDefault="00000000">
      <w:pPr>
        <w:spacing w:after="0" w:line="240" w:lineRule="auto"/>
        <w:ind w:hanging="2"/>
        <w:jc w:val="both"/>
        <w:rPr>
          <w:rFonts w:ascii="EB Garamond" w:eastAsia="EB Garamond" w:hAnsi="EB Garamond" w:cs="EB Garamond"/>
          <w:i/>
          <w:sz w:val="24"/>
          <w:szCs w:val="24"/>
        </w:rPr>
      </w:pPr>
      <w:r>
        <w:rPr>
          <w:rFonts w:ascii="EB Garamond" w:eastAsia="EB Garamond" w:hAnsi="EB Garamond" w:cs="EB Garamond"/>
          <w:sz w:val="24"/>
          <w:szCs w:val="24"/>
        </w:rPr>
        <w:t xml:space="preserve">Artículo 140°. </w:t>
      </w:r>
      <w:r>
        <w:rPr>
          <w:rFonts w:ascii="EB Garamond" w:eastAsia="EB Garamond" w:hAnsi="EB Garamond" w:cs="EB Garamond"/>
          <w:i/>
          <w:sz w:val="24"/>
          <w:szCs w:val="24"/>
        </w:rPr>
        <w:t xml:space="preserve">“(modificado por el artículo 13 de la Ley 974 de 2005). Iniciativa legislativa. </w:t>
      </w:r>
      <w:r>
        <w:rPr>
          <w:rFonts w:ascii="EB Garamond" w:eastAsia="EB Garamond" w:hAnsi="EB Garamond" w:cs="EB Garamond"/>
          <w:b/>
          <w:i/>
          <w:sz w:val="24"/>
          <w:szCs w:val="24"/>
        </w:rPr>
        <w:t>Pueden presentar proyectos de ley</w:t>
      </w:r>
      <w:r>
        <w:rPr>
          <w:rFonts w:ascii="EB Garamond" w:eastAsia="EB Garamond" w:hAnsi="EB Garamond" w:cs="EB Garamond"/>
          <w:i/>
          <w:sz w:val="24"/>
          <w:szCs w:val="24"/>
        </w:rPr>
        <w:t>:</w:t>
      </w:r>
    </w:p>
    <w:p w14:paraId="4ED78B26" w14:textId="77777777" w:rsidR="002034C0" w:rsidRDefault="00000000">
      <w:pPr>
        <w:spacing w:after="0" w:line="240" w:lineRule="auto"/>
        <w:ind w:hanging="2"/>
        <w:jc w:val="both"/>
        <w:rPr>
          <w:rFonts w:ascii="EB Garamond" w:eastAsia="EB Garamond" w:hAnsi="EB Garamond" w:cs="EB Garamond"/>
          <w:i/>
          <w:sz w:val="24"/>
          <w:szCs w:val="24"/>
        </w:rPr>
      </w:pPr>
      <w:r>
        <w:rPr>
          <w:rFonts w:ascii="EB Garamond" w:eastAsia="EB Garamond" w:hAnsi="EB Garamond" w:cs="EB Garamond"/>
          <w:i/>
          <w:sz w:val="24"/>
          <w:szCs w:val="24"/>
        </w:rPr>
        <w:t>1.</w:t>
      </w:r>
      <w:r>
        <w:rPr>
          <w:rFonts w:ascii="EB Garamond" w:eastAsia="EB Garamond" w:hAnsi="EB Garamond" w:cs="EB Garamond"/>
          <w:sz w:val="24"/>
          <w:szCs w:val="24"/>
        </w:rPr>
        <w:t xml:space="preserve">            </w:t>
      </w:r>
      <w:r>
        <w:rPr>
          <w:rFonts w:ascii="EB Garamond" w:eastAsia="EB Garamond" w:hAnsi="EB Garamond" w:cs="EB Garamond"/>
          <w:i/>
          <w:sz w:val="24"/>
          <w:szCs w:val="24"/>
        </w:rPr>
        <w:t xml:space="preserve">Los Senadores y </w:t>
      </w:r>
      <w:r>
        <w:rPr>
          <w:rFonts w:ascii="EB Garamond" w:eastAsia="EB Garamond" w:hAnsi="EB Garamond" w:cs="EB Garamond"/>
          <w:b/>
          <w:i/>
          <w:sz w:val="24"/>
          <w:szCs w:val="24"/>
        </w:rPr>
        <w:t>Representantes a la Cámara</w:t>
      </w:r>
      <w:r>
        <w:rPr>
          <w:rFonts w:ascii="EB Garamond" w:eastAsia="EB Garamond" w:hAnsi="EB Garamond" w:cs="EB Garamond"/>
          <w:i/>
          <w:sz w:val="24"/>
          <w:szCs w:val="24"/>
        </w:rPr>
        <w:t xml:space="preserve"> individualmente y a través de las bancadas.</w:t>
      </w:r>
    </w:p>
    <w:p w14:paraId="3E02028D" w14:textId="77777777" w:rsidR="002034C0" w:rsidRDefault="00000000">
      <w:pPr>
        <w:spacing w:after="0" w:line="240" w:lineRule="auto"/>
        <w:ind w:hanging="2"/>
        <w:jc w:val="both"/>
        <w:rPr>
          <w:rFonts w:ascii="EB Garamond" w:eastAsia="EB Garamond" w:hAnsi="EB Garamond" w:cs="EB Garamond"/>
          <w:sz w:val="24"/>
          <w:szCs w:val="24"/>
        </w:rPr>
      </w:pPr>
      <w:r>
        <w:rPr>
          <w:rFonts w:ascii="EB Garamond" w:eastAsia="EB Garamond" w:hAnsi="EB Garamond" w:cs="EB Garamond"/>
          <w:i/>
          <w:sz w:val="24"/>
          <w:szCs w:val="24"/>
        </w:rPr>
        <w:t>(…)”</w:t>
      </w:r>
      <w:r>
        <w:rPr>
          <w:rFonts w:ascii="EB Garamond" w:eastAsia="EB Garamond" w:hAnsi="EB Garamond" w:cs="EB Garamond"/>
          <w:sz w:val="24"/>
          <w:szCs w:val="24"/>
        </w:rPr>
        <w:t>. (</w:t>
      </w:r>
      <w:r>
        <w:rPr>
          <w:rFonts w:ascii="EB Garamond" w:eastAsia="EB Garamond" w:hAnsi="EB Garamond" w:cs="EB Garamond"/>
          <w:i/>
          <w:sz w:val="24"/>
          <w:szCs w:val="24"/>
        </w:rPr>
        <w:t>Negrilla fuera del texto</w:t>
      </w:r>
      <w:r>
        <w:rPr>
          <w:rFonts w:ascii="EB Garamond" w:eastAsia="EB Garamond" w:hAnsi="EB Garamond" w:cs="EB Garamond"/>
          <w:sz w:val="24"/>
          <w:szCs w:val="24"/>
        </w:rPr>
        <w:t>).</w:t>
      </w:r>
    </w:p>
    <w:p w14:paraId="6E28BB94" w14:textId="77777777" w:rsidR="002034C0" w:rsidRDefault="002034C0">
      <w:pPr>
        <w:spacing w:after="0" w:line="240" w:lineRule="auto"/>
        <w:ind w:hanging="2"/>
        <w:jc w:val="both"/>
        <w:rPr>
          <w:rFonts w:ascii="EB Garamond" w:eastAsia="EB Garamond" w:hAnsi="EB Garamond" w:cs="EB Garamond"/>
          <w:sz w:val="24"/>
          <w:szCs w:val="24"/>
        </w:rPr>
      </w:pPr>
    </w:p>
    <w:p w14:paraId="2BB10D3C" w14:textId="77777777" w:rsidR="002034C0" w:rsidRDefault="00000000">
      <w:pPr>
        <w:spacing w:after="0" w:line="240" w:lineRule="auto"/>
        <w:ind w:hanging="2"/>
        <w:jc w:val="both"/>
        <w:rPr>
          <w:rFonts w:ascii="EB Garamond" w:eastAsia="EB Garamond" w:hAnsi="EB Garamond" w:cs="EB Garamond"/>
          <w:sz w:val="24"/>
          <w:szCs w:val="24"/>
        </w:rPr>
      </w:pPr>
      <w:r>
        <w:rPr>
          <w:rFonts w:ascii="Times New Roman" w:eastAsia="Times New Roman" w:hAnsi="Times New Roman" w:cs="Times New Roman"/>
          <w:sz w:val="24"/>
          <w:szCs w:val="24"/>
        </w:rPr>
        <w:t>●</w:t>
      </w:r>
      <w:r>
        <w:rPr>
          <w:rFonts w:ascii="EB Garamond" w:eastAsia="EB Garamond" w:hAnsi="EB Garamond" w:cs="EB Garamond"/>
          <w:sz w:val="24"/>
          <w:szCs w:val="24"/>
        </w:rPr>
        <w:t xml:space="preserve">     </w:t>
      </w:r>
      <w:r>
        <w:rPr>
          <w:rFonts w:ascii="EB Garamond" w:eastAsia="EB Garamond" w:hAnsi="EB Garamond" w:cs="EB Garamond"/>
          <w:sz w:val="24"/>
          <w:szCs w:val="24"/>
        </w:rPr>
        <w:tab/>
      </w:r>
      <w:r>
        <w:rPr>
          <w:rFonts w:ascii="EB Garamond" w:eastAsia="EB Garamond" w:hAnsi="EB Garamond" w:cs="EB Garamond"/>
          <w:b/>
          <w:sz w:val="24"/>
          <w:szCs w:val="24"/>
        </w:rPr>
        <w:t>Ley 397 de 1997</w:t>
      </w:r>
      <w:r>
        <w:rPr>
          <w:rFonts w:ascii="EB Garamond" w:eastAsia="EB Garamond" w:hAnsi="EB Garamond" w:cs="EB Garamond"/>
          <w:sz w:val="24"/>
          <w:szCs w:val="24"/>
        </w:rPr>
        <w:t xml:space="preserve"> - “</w:t>
      </w:r>
      <w:r>
        <w:rPr>
          <w:rFonts w:ascii="EB Garamond" w:eastAsia="EB Garamond" w:hAnsi="EB Garamond" w:cs="EB Garamond"/>
          <w:i/>
          <w:sz w:val="24"/>
          <w:szCs w:val="24"/>
        </w:rPr>
        <w:t>Por la cual se desarrollan los artículos 70, 71 y 72 y demás artículos concordantes de la Constitución Política y se dictan normas sobre patrimonio cultural, fomentos y estímulos a la cultura, se crea el Ministerio de la Cultura y se trasladan algunas dependencias</w:t>
      </w:r>
      <w:r>
        <w:rPr>
          <w:rFonts w:ascii="EB Garamond" w:eastAsia="EB Garamond" w:hAnsi="EB Garamond" w:cs="EB Garamond"/>
          <w:sz w:val="24"/>
          <w:szCs w:val="24"/>
        </w:rPr>
        <w:t>”.</w:t>
      </w:r>
    </w:p>
    <w:p w14:paraId="42558300" w14:textId="77777777" w:rsidR="002034C0" w:rsidRDefault="00000000">
      <w:pPr>
        <w:spacing w:after="0" w:line="240"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t xml:space="preserve"> </w:t>
      </w:r>
    </w:p>
    <w:p w14:paraId="658F666C" w14:textId="77777777" w:rsidR="002034C0" w:rsidRDefault="00000000">
      <w:pPr>
        <w:spacing w:after="0" w:line="240" w:lineRule="auto"/>
        <w:ind w:hanging="2"/>
        <w:jc w:val="both"/>
        <w:rPr>
          <w:rFonts w:ascii="EB Garamond" w:eastAsia="EB Garamond" w:hAnsi="EB Garamond" w:cs="EB Garamond"/>
          <w:i/>
          <w:sz w:val="24"/>
          <w:szCs w:val="24"/>
        </w:rPr>
      </w:pPr>
      <w:r>
        <w:rPr>
          <w:rFonts w:ascii="Times New Roman" w:eastAsia="Times New Roman" w:hAnsi="Times New Roman" w:cs="Times New Roman"/>
          <w:sz w:val="24"/>
          <w:szCs w:val="24"/>
        </w:rPr>
        <w:t>●</w:t>
      </w:r>
      <w:r>
        <w:rPr>
          <w:rFonts w:ascii="EB Garamond" w:eastAsia="EB Garamond" w:hAnsi="EB Garamond" w:cs="EB Garamond"/>
          <w:sz w:val="24"/>
          <w:szCs w:val="24"/>
        </w:rPr>
        <w:t xml:space="preserve">     </w:t>
      </w:r>
      <w:r>
        <w:rPr>
          <w:rFonts w:ascii="EB Garamond" w:eastAsia="EB Garamond" w:hAnsi="EB Garamond" w:cs="EB Garamond"/>
          <w:sz w:val="24"/>
          <w:szCs w:val="24"/>
        </w:rPr>
        <w:tab/>
      </w:r>
      <w:r>
        <w:rPr>
          <w:rFonts w:ascii="EB Garamond" w:eastAsia="EB Garamond" w:hAnsi="EB Garamond" w:cs="EB Garamond"/>
          <w:b/>
          <w:sz w:val="24"/>
          <w:szCs w:val="24"/>
        </w:rPr>
        <w:t>Ley 1037 de 2006</w:t>
      </w:r>
      <w:r>
        <w:rPr>
          <w:rFonts w:ascii="EB Garamond" w:eastAsia="EB Garamond" w:hAnsi="EB Garamond" w:cs="EB Garamond"/>
          <w:sz w:val="24"/>
          <w:szCs w:val="24"/>
        </w:rPr>
        <w:t xml:space="preserve"> - “</w:t>
      </w:r>
      <w:r>
        <w:rPr>
          <w:rFonts w:ascii="EB Garamond" w:eastAsia="EB Garamond" w:hAnsi="EB Garamond" w:cs="EB Garamond"/>
          <w:i/>
          <w:sz w:val="24"/>
          <w:szCs w:val="24"/>
        </w:rPr>
        <w:t>Por medio de la cual se aprueba la “Convención para la Salvaguardia del Patrimonio Cultural Inmaterial”, aprobada por la Conferencia General de la Unesco en su XXXII reunión, celebrada en París y clausurada el diecisiete (17) de octubre de dos mil tres (2003), y hecha y firmada en París el tres (3) de noviembre de dos mil tres (2003)</w:t>
      </w:r>
      <w:r>
        <w:rPr>
          <w:rFonts w:ascii="EB Garamond" w:eastAsia="EB Garamond" w:hAnsi="EB Garamond" w:cs="EB Garamond"/>
          <w:sz w:val="24"/>
          <w:szCs w:val="24"/>
        </w:rPr>
        <w:t xml:space="preserve">, en su artículo 1° dispone las finalidades de la convención: </w:t>
      </w:r>
      <w:r>
        <w:rPr>
          <w:rFonts w:ascii="EB Garamond" w:eastAsia="EB Garamond" w:hAnsi="EB Garamond" w:cs="EB Garamond"/>
          <w:i/>
          <w:sz w:val="24"/>
          <w:szCs w:val="24"/>
        </w:rPr>
        <w:t>“a) La Salvaguardia del Patrimonio Cultural Inmaterial; b) El respeto del patrimonio cultural inmaterial de las comunidades, grupos e individuos de que se trate; c) La sensibilización en el plano local, nacional e internacional a la importancia del patrimonio cultural inmaterial y de su reconocimiento recíproco; d) La cooperación y asistencia internacionales.”</w:t>
      </w:r>
    </w:p>
    <w:p w14:paraId="49592BC1" w14:textId="77777777" w:rsidR="002034C0" w:rsidRDefault="002034C0">
      <w:pPr>
        <w:spacing w:after="0" w:line="240" w:lineRule="auto"/>
        <w:ind w:hanging="2"/>
        <w:jc w:val="both"/>
        <w:rPr>
          <w:rFonts w:ascii="EB Garamond" w:eastAsia="EB Garamond" w:hAnsi="EB Garamond" w:cs="EB Garamond"/>
          <w:sz w:val="24"/>
          <w:szCs w:val="24"/>
        </w:rPr>
      </w:pPr>
    </w:p>
    <w:p w14:paraId="7CF061E0" w14:textId="77777777" w:rsidR="002034C0" w:rsidRDefault="00000000">
      <w:pPr>
        <w:spacing w:after="0" w:line="240" w:lineRule="auto"/>
        <w:ind w:hanging="2"/>
        <w:jc w:val="both"/>
        <w:rPr>
          <w:rFonts w:ascii="EB Garamond" w:eastAsia="EB Garamond" w:hAnsi="EB Garamond" w:cs="EB Garamond"/>
          <w:sz w:val="24"/>
          <w:szCs w:val="24"/>
        </w:rPr>
      </w:pPr>
      <w:r>
        <w:rPr>
          <w:rFonts w:ascii="Times New Roman" w:eastAsia="Times New Roman" w:hAnsi="Times New Roman" w:cs="Times New Roman"/>
          <w:sz w:val="24"/>
          <w:szCs w:val="24"/>
        </w:rPr>
        <w:t>●</w:t>
      </w:r>
      <w:r>
        <w:rPr>
          <w:rFonts w:ascii="EB Garamond" w:eastAsia="EB Garamond" w:hAnsi="EB Garamond" w:cs="EB Garamond"/>
          <w:sz w:val="24"/>
          <w:szCs w:val="24"/>
        </w:rPr>
        <w:t xml:space="preserve">     </w:t>
      </w:r>
      <w:r>
        <w:rPr>
          <w:rFonts w:ascii="EB Garamond" w:eastAsia="EB Garamond" w:hAnsi="EB Garamond" w:cs="EB Garamond"/>
          <w:sz w:val="24"/>
          <w:szCs w:val="24"/>
        </w:rPr>
        <w:tab/>
        <w:t>Ley 1185 de 2008 – “</w:t>
      </w:r>
      <w:r>
        <w:rPr>
          <w:rFonts w:ascii="EB Garamond" w:eastAsia="EB Garamond" w:hAnsi="EB Garamond" w:cs="EB Garamond"/>
          <w:i/>
          <w:sz w:val="24"/>
          <w:szCs w:val="24"/>
        </w:rPr>
        <w:t>Por la cual se modifica y adiciona la Ley 397 de 1997 –Ley General de Cultura– y se dictan otras disposiciones</w:t>
      </w:r>
      <w:r>
        <w:rPr>
          <w:rFonts w:ascii="EB Garamond" w:eastAsia="EB Garamond" w:hAnsi="EB Garamond" w:cs="EB Garamond"/>
          <w:sz w:val="24"/>
          <w:szCs w:val="24"/>
        </w:rPr>
        <w:t>.”</w:t>
      </w:r>
    </w:p>
    <w:p w14:paraId="2CE7DB9E" w14:textId="77777777" w:rsidR="002034C0" w:rsidRDefault="00000000">
      <w:pPr>
        <w:spacing w:after="0" w:line="240"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t xml:space="preserve"> </w:t>
      </w:r>
    </w:p>
    <w:p w14:paraId="55E0FF02" w14:textId="77777777" w:rsidR="002034C0" w:rsidRDefault="00000000">
      <w:pPr>
        <w:spacing w:after="0" w:line="240" w:lineRule="auto"/>
        <w:ind w:hanging="2"/>
        <w:jc w:val="both"/>
        <w:rPr>
          <w:rFonts w:ascii="EB Garamond" w:eastAsia="EB Garamond" w:hAnsi="EB Garamond" w:cs="EB Garamond"/>
          <w:sz w:val="24"/>
          <w:szCs w:val="24"/>
        </w:rPr>
      </w:pPr>
      <w:r>
        <w:rPr>
          <w:rFonts w:ascii="Times New Roman" w:eastAsia="Times New Roman" w:hAnsi="Times New Roman" w:cs="Times New Roman"/>
          <w:sz w:val="24"/>
          <w:szCs w:val="24"/>
        </w:rPr>
        <w:t>●</w:t>
      </w:r>
      <w:r>
        <w:rPr>
          <w:rFonts w:ascii="EB Garamond" w:eastAsia="EB Garamond" w:hAnsi="EB Garamond" w:cs="EB Garamond"/>
          <w:sz w:val="24"/>
          <w:szCs w:val="24"/>
        </w:rPr>
        <w:t xml:space="preserve">     </w:t>
      </w:r>
      <w:r>
        <w:rPr>
          <w:rFonts w:ascii="EB Garamond" w:eastAsia="EB Garamond" w:hAnsi="EB Garamond" w:cs="EB Garamond"/>
          <w:sz w:val="24"/>
          <w:szCs w:val="24"/>
        </w:rPr>
        <w:tab/>
        <w:t>Decreto 2941 de 2009 – “</w:t>
      </w:r>
      <w:r>
        <w:rPr>
          <w:rFonts w:ascii="EB Garamond" w:eastAsia="EB Garamond" w:hAnsi="EB Garamond" w:cs="EB Garamond"/>
          <w:i/>
          <w:sz w:val="24"/>
          <w:szCs w:val="24"/>
        </w:rPr>
        <w:t xml:space="preserve">Por el cual se reglamenta parcialmente la Ley 397 de 1997 modificada por la Ley 1185 de 2008, en lo correspondiente al Patrimonio Cultural de la Nación de </w:t>
      </w:r>
      <w:r>
        <w:rPr>
          <w:rFonts w:ascii="EB Garamond" w:eastAsia="EB Garamond" w:hAnsi="EB Garamond" w:cs="EB Garamond"/>
          <w:i/>
          <w:sz w:val="24"/>
          <w:szCs w:val="24"/>
        </w:rPr>
        <w:lastRenderedPageBreak/>
        <w:t>naturaleza inmaterial.</w:t>
      </w:r>
      <w:r>
        <w:rPr>
          <w:rFonts w:ascii="EB Garamond" w:eastAsia="EB Garamond" w:hAnsi="EB Garamond" w:cs="EB Garamond"/>
          <w:sz w:val="24"/>
          <w:szCs w:val="24"/>
        </w:rPr>
        <w:t>”, determina en su artículo 8 “</w:t>
      </w:r>
      <w:r>
        <w:rPr>
          <w:rFonts w:ascii="EB Garamond" w:eastAsia="EB Garamond" w:hAnsi="EB Garamond" w:cs="EB Garamond"/>
          <w:i/>
          <w:sz w:val="24"/>
          <w:szCs w:val="24"/>
        </w:rPr>
        <w:t>Campos de alcance de la Lista Representativa de Patrimonio Cultural Inmaterial. La Lista Representativa de Patrimonio Cultural Inmaterial se podrá integrar con manifestaciones que correspondan a uno o varios de los siguientes campos:”, (…) numeral “6) Técnicas y tradiciones asociadas a la fabricación de objetos artesanales. Comprende el conjunto de tradiciones familiares y comunitarias asociadas a la producción de tejidos, cerámica, cestería, adornos y en general, de objetos utilitarios de valor artesanal</w:t>
      </w:r>
      <w:r>
        <w:rPr>
          <w:rFonts w:ascii="EB Garamond" w:eastAsia="EB Garamond" w:hAnsi="EB Garamond" w:cs="EB Garamond"/>
          <w:sz w:val="24"/>
          <w:szCs w:val="24"/>
        </w:rPr>
        <w:t>.”</w:t>
      </w:r>
    </w:p>
    <w:p w14:paraId="33A3DBED" w14:textId="77777777" w:rsidR="002034C0" w:rsidRDefault="002034C0">
      <w:pPr>
        <w:spacing w:after="0" w:line="240" w:lineRule="auto"/>
        <w:ind w:hanging="2"/>
        <w:jc w:val="both"/>
        <w:rPr>
          <w:rFonts w:ascii="EB Garamond" w:eastAsia="EB Garamond" w:hAnsi="EB Garamond" w:cs="EB Garamond"/>
          <w:sz w:val="24"/>
          <w:szCs w:val="24"/>
        </w:rPr>
      </w:pPr>
    </w:p>
    <w:p w14:paraId="3038D1AA" w14:textId="77777777" w:rsidR="002034C0" w:rsidRDefault="00000000">
      <w:pPr>
        <w:spacing w:after="0" w:line="240" w:lineRule="auto"/>
        <w:ind w:hanging="2"/>
        <w:jc w:val="both"/>
        <w:rPr>
          <w:rFonts w:ascii="EB Garamond" w:eastAsia="EB Garamond" w:hAnsi="EB Garamond" w:cs="EB Garamond"/>
          <w:sz w:val="24"/>
          <w:szCs w:val="24"/>
        </w:rPr>
      </w:pPr>
      <w:r>
        <w:rPr>
          <w:rFonts w:ascii="Times New Roman" w:eastAsia="Times New Roman" w:hAnsi="Times New Roman" w:cs="Times New Roman"/>
          <w:sz w:val="24"/>
          <w:szCs w:val="24"/>
        </w:rPr>
        <w:t>●</w:t>
      </w:r>
      <w:r>
        <w:rPr>
          <w:rFonts w:ascii="EB Garamond" w:eastAsia="EB Garamond" w:hAnsi="EB Garamond" w:cs="EB Garamond"/>
          <w:sz w:val="24"/>
          <w:szCs w:val="24"/>
        </w:rPr>
        <w:t xml:space="preserve">                   Decreto 1080 de 2015 - “</w:t>
      </w:r>
      <w:r>
        <w:rPr>
          <w:rFonts w:ascii="EB Garamond" w:eastAsia="EB Garamond" w:hAnsi="EB Garamond" w:cs="EB Garamond"/>
          <w:i/>
          <w:sz w:val="24"/>
          <w:szCs w:val="24"/>
        </w:rPr>
        <w:t>Por medio del cual se expide el Decreto Único Reglamentario del Sector Cultura</w:t>
      </w:r>
      <w:r>
        <w:rPr>
          <w:rFonts w:ascii="EB Garamond" w:eastAsia="EB Garamond" w:hAnsi="EB Garamond" w:cs="EB Garamond"/>
          <w:sz w:val="24"/>
          <w:szCs w:val="24"/>
        </w:rPr>
        <w:t>”, Modificado por el Decreto 2358 de 2019 – “</w:t>
      </w:r>
      <w:r>
        <w:rPr>
          <w:rFonts w:ascii="EB Garamond" w:eastAsia="EB Garamond" w:hAnsi="EB Garamond" w:cs="EB Garamond"/>
          <w:i/>
          <w:sz w:val="24"/>
          <w:szCs w:val="24"/>
        </w:rPr>
        <w:t>Por el cual se modifica y adiciona el decreto 1080 de 2015, Decreto Único Reglamentario del Sector Cultura, en lo relacionado con el Patrimonio Cultural Material e Inmaterial.</w:t>
      </w:r>
      <w:r>
        <w:rPr>
          <w:rFonts w:ascii="EB Garamond" w:eastAsia="EB Garamond" w:hAnsi="EB Garamond" w:cs="EB Garamond"/>
          <w:sz w:val="24"/>
          <w:szCs w:val="24"/>
        </w:rPr>
        <w:t>”, lineamientos que permiten la regulación del sector cultural y lo referente al patrimonio cultural inmaterial.</w:t>
      </w:r>
    </w:p>
    <w:p w14:paraId="0ED033F0" w14:textId="77777777" w:rsidR="002034C0" w:rsidRDefault="002034C0">
      <w:pPr>
        <w:spacing w:after="0" w:line="240" w:lineRule="auto"/>
        <w:ind w:hanging="2"/>
        <w:jc w:val="both"/>
        <w:rPr>
          <w:rFonts w:ascii="EB Garamond" w:eastAsia="EB Garamond" w:hAnsi="EB Garamond" w:cs="EB Garamond"/>
          <w:sz w:val="24"/>
          <w:szCs w:val="24"/>
        </w:rPr>
      </w:pPr>
    </w:p>
    <w:p w14:paraId="6465351C" w14:textId="77777777" w:rsidR="002034C0" w:rsidRDefault="00000000">
      <w:pPr>
        <w:spacing w:after="0" w:line="240"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t>Lo anteriormente expuesto, es la base Constitucional y legal que se ostenta como fundamento normativo para impulsar el trámite legislativo de la propuesta planteada en el proyecto de ley que permitirá y dará garantías al desarrollo cultural, en la declaratoria, reconocimiento y exaltación del patrimonio cultural inmaterial de la nación a las prácticas y habilidades que ejercen los habitantes de los municipios que conforman la subregión de la Depresión Momposina Bolivarense; así mismo y de manera estratégica, contribuir con el fomento, protección y fortalecimiento del patrimonio cultura, la tradición y sus expresiones artísticas en el territorio.</w:t>
      </w:r>
    </w:p>
    <w:p w14:paraId="19B3527C" w14:textId="77777777" w:rsidR="002034C0" w:rsidRDefault="002034C0">
      <w:pPr>
        <w:spacing w:after="0" w:line="240" w:lineRule="auto"/>
        <w:ind w:hanging="2"/>
        <w:jc w:val="both"/>
        <w:rPr>
          <w:rFonts w:ascii="EB Garamond" w:eastAsia="EB Garamond" w:hAnsi="EB Garamond" w:cs="EB Garamond"/>
          <w:sz w:val="24"/>
          <w:szCs w:val="24"/>
        </w:rPr>
      </w:pPr>
    </w:p>
    <w:p w14:paraId="0F701453" w14:textId="77777777" w:rsidR="002034C0" w:rsidRDefault="002034C0">
      <w:pPr>
        <w:spacing w:after="0" w:line="240" w:lineRule="auto"/>
        <w:ind w:hanging="2"/>
        <w:jc w:val="both"/>
        <w:rPr>
          <w:rFonts w:ascii="EB Garamond" w:eastAsia="EB Garamond" w:hAnsi="EB Garamond" w:cs="EB Garamond"/>
          <w:sz w:val="24"/>
          <w:szCs w:val="24"/>
        </w:rPr>
      </w:pPr>
    </w:p>
    <w:p w14:paraId="59C86D3F" w14:textId="77777777" w:rsidR="002034C0" w:rsidRDefault="002034C0">
      <w:pPr>
        <w:spacing w:after="0" w:line="240" w:lineRule="auto"/>
        <w:ind w:hanging="2"/>
        <w:jc w:val="both"/>
        <w:rPr>
          <w:rFonts w:ascii="EB Garamond" w:eastAsia="EB Garamond" w:hAnsi="EB Garamond" w:cs="EB Garamond"/>
          <w:sz w:val="24"/>
          <w:szCs w:val="24"/>
        </w:rPr>
      </w:pPr>
    </w:p>
    <w:p w14:paraId="7913F375" w14:textId="77777777" w:rsidR="002034C0" w:rsidRDefault="00000000">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r>
        <w:rPr>
          <w:rFonts w:ascii="EB Garamond" w:eastAsia="EB Garamond" w:hAnsi="EB Garamond" w:cs="EB Garamond"/>
          <w:b/>
          <w:sz w:val="24"/>
          <w:szCs w:val="24"/>
        </w:rPr>
        <w:t>V.  IMPACTO FISCAL</w:t>
      </w:r>
    </w:p>
    <w:p w14:paraId="0D6FCD16" w14:textId="77777777" w:rsidR="002034C0" w:rsidRDefault="002034C0">
      <w:pPr>
        <w:spacing w:after="0" w:line="276" w:lineRule="auto"/>
        <w:ind w:hanging="2"/>
        <w:jc w:val="both"/>
        <w:rPr>
          <w:rFonts w:ascii="EB Garamond" w:eastAsia="EB Garamond" w:hAnsi="EB Garamond" w:cs="EB Garamond"/>
          <w:sz w:val="24"/>
          <w:szCs w:val="24"/>
        </w:rPr>
      </w:pPr>
    </w:p>
    <w:p w14:paraId="151B88F5" w14:textId="77777777" w:rsidR="002034C0" w:rsidRDefault="00000000">
      <w:pPr>
        <w:spacing w:after="0" w:line="276"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t xml:space="preserve">En cumplimiento del artículo 7º de la Ley 819 de 2003, el cual señala que </w:t>
      </w:r>
      <w:r>
        <w:rPr>
          <w:rFonts w:ascii="EB Garamond" w:eastAsia="EB Garamond" w:hAnsi="EB Garamond" w:cs="EB Garamond"/>
          <w:i/>
          <w:sz w:val="24"/>
          <w:szCs w:val="24"/>
        </w:rPr>
        <w:t>“(...) En todo momento, el impacto fiscal de cualquier proyecto de ley, ordenanza o acuerdo, que ordene gasto o que otorgue beneficios tributarios, deberá hacerse explícito y deberá ser compatible con el Marco Fiscal de Mediano Plazo (...)”</w:t>
      </w:r>
      <w:r>
        <w:rPr>
          <w:rFonts w:ascii="EB Garamond" w:eastAsia="EB Garamond" w:hAnsi="EB Garamond" w:cs="EB Garamond"/>
          <w:sz w:val="24"/>
          <w:szCs w:val="24"/>
        </w:rPr>
        <w:t>; es preciso determinar que el presente proyecto de ley no genera impacto fiscal, toda vez que no ordena gasto adicional ni tampoco otorga beneficios tributarios de ningún tipo; solamente se autoriza al Gobierno nacional para que apropie las partidas presupuestales necesarias o las que se requieran para el cumplimiento de lo dispuesto, ya que las mismas deben estar incluidas en la lista Representativa de Patrimonio Cultural Inmaterial (LRPCI).</w:t>
      </w:r>
    </w:p>
    <w:p w14:paraId="5C61C8D0" w14:textId="77777777" w:rsidR="002034C0" w:rsidRDefault="002034C0">
      <w:pPr>
        <w:spacing w:after="0" w:line="276" w:lineRule="auto"/>
        <w:ind w:hanging="2"/>
        <w:jc w:val="both"/>
        <w:rPr>
          <w:rFonts w:ascii="EB Garamond" w:eastAsia="EB Garamond" w:hAnsi="EB Garamond" w:cs="EB Garamond"/>
          <w:sz w:val="24"/>
          <w:szCs w:val="24"/>
        </w:rPr>
      </w:pPr>
    </w:p>
    <w:p w14:paraId="2E61BB0A" w14:textId="77777777" w:rsidR="002034C0" w:rsidRDefault="00000000">
      <w:pPr>
        <w:spacing w:after="0" w:line="276"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t xml:space="preserve">Particularmente, el artículo referido de la Ley 819 de 2003, ha sido objeto de fallo por parte de la Corte Constitucional, teniendo en cuenta lo dispuesto en la Sentencia C-502 de 2007, el cual señala que los incisos del artículo 7, </w:t>
      </w:r>
      <w:r>
        <w:rPr>
          <w:rFonts w:ascii="EB Garamond" w:eastAsia="EB Garamond" w:hAnsi="EB Garamond" w:cs="EB Garamond"/>
          <w:i/>
          <w:sz w:val="24"/>
          <w:szCs w:val="24"/>
        </w:rPr>
        <w:t xml:space="preserve">“debe interpretarse en el sentido de que su fin es obtener que las </w:t>
      </w:r>
      <w:r>
        <w:rPr>
          <w:rFonts w:ascii="EB Garamond" w:eastAsia="EB Garamond" w:hAnsi="EB Garamond" w:cs="EB Garamond"/>
          <w:i/>
          <w:sz w:val="24"/>
          <w:szCs w:val="24"/>
        </w:rPr>
        <w:lastRenderedPageBreak/>
        <w:t>leyes que se dicten tengan en cuenta las realidades macroeconómicas, pero sin crear barreras insalvables en el ejercicio de la función legislativa ni crear un poder de veto legislativo en cabeza del Ministro de Hacienda”.</w:t>
      </w:r>
      <w:r>
        <w:rPr>
          <w:rFonts w:ascii="EB Garamond" w:eastAsia="EB Garamond" w:hAnsi="EB Garamond" w:cs="EB Garamond"/>
          <w:sz w:val="24"/>
          <w:szCs w:val="24"/>
        </w:rPr>
        <w:t xml:space="preserve"> En atención a la jurisprudencia citada para dar soporte al impacto fiscal de la iniciativa, es preciso tener claridad a lo establecido por la corte Constitucional en atención a que la carga de demostrar la inconveniencia del proyecto de ley con el marco fiscal de mediano plazo, corresponde y es competencia del Ministerio de Hacienda y Crédito Público, sin que ello genere un poder de veto al legislativo para adelantar y llevar a cabo su ejercicio de la función legislativa.</w:t>
      </w:r>
    </w:p>
    <w:p w14:paraId="7651428D" w14:textId="77777777" w:rsidR="002034C0" w:rsidRDefault="002034C0">
      <w:pPr>
        <w:spacing w:after="0" w:line="276" w:lineRule="auto"/>
        <w:ind w:hanging="2"/>
        <w:jc w:val="both"/>
        <w:rPr>
          <w:rFonts w:ascii="EB Garamond" w:eastAsia="EB Garamond" w:hAnsi="EB Garamond" w:cs="EB Garamond"/>
          <w:sz w:val="24"/>
          <w:szCs w:val="24"/>
        </w:rPr>
      </w:pPr>
    </w:p>
    <w:p w14:paraId="267305D9" w14:textId="77777777" w:rsidR="002034C0" w:rsidRDefault="00000000">
      <w:pPr>
        <w:spacing w:after="0" w:line="276"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t>Por lo expuesto, la iniciativa legislativa no genera un costo fiscal directo y cumple con lo requerido en el artículo 7 de la Ley 819 de 2003.</w:t>
      </w:r>
    </w:p>
    <w:p w14:paraId="25B41B98" w14:textId="77777777" w:rsidR="002034C0" w:rsidRDefault="002034C0">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p>
    <w:p w14:paraId="09934DD2" w14:textId="77777777" w:rsidR="002034C0" w:rsidRDefault="002034C0">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p>
    <w:p w14:paraId="731D1C38" w14:textId="77777777" w:rsidR="002034C0" w:rsidRDefault="00000000">
      <w:pPr>
        <w:pBdr>
          <w:top w:val="nil"/>
          <w:left w:val="nil"/>
          <w:bottom w:val="nil"/>
          <w:right w:val="nil"/>
          <w:between w:val="nil"/>
        </w:pBdr>
        <w:spacing w:after="0" w:line="240" w:lineRule="auto"/>
        <w:ind w:hanging="2"/>
        <w:jc w:val="both"/>
        <w:rPr>
          <w:rFonts w:ascii="EB Garamond" w:eastAsia="EB Garamond" w:hAnsi="EB Garamond" w:cs="EB Garamond"/>
          <w:color w:val="000000"/>
          <w:sz w:val="24"/>
          <w:szCs w:val="24"/>
        </w:rPr>
      </w:pPr>
      <w:r>
        <w:rPr>
          <w:rFonts w:ascii="EB Garamond" w:eastAsia="EB Garamond" w:hAnsi="EB Garamond" w:cs="EB Garamond"/>
          <w:b/>
          <w:color w:val="000000"/>
          <w:sz w:val="24"/>
          <w:szCs w:val="24"/>
        </w:rPr>
        <w:t>VI.  CIRCUNSTANCIAS O EVENTOS QUE PODRÍAN GENERAR CONFLICTOS DE INTERÉS</w:t>
      </w:r>
    </w:p>
    <w:p w14:paraId="3ED0939E" w14:textId="77777777" w:rsidR="002034C0" w:rsidRDefault="002034C0">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p>
    <w:p w14:paraId="62BBF73A" w14:textId="77777777" w:rsidR="002034C0" w:rsidRDefault="00000000">
      <w:pPr>
        <w:pBdr>
          <w:top w:val="nil"/>
          <w:left w:val="nil"/>
          <w:bottom w:val="nil"/>
          <w:right w:val="nil"/>
          <w:between w:val="nil"/>
        </w:pBdr>
        <w:spacing w:after="0" w:line="240" w:lineRule="auto"/>
        <w:ind w:hanging="2"/>
        <w:jc w:val="both"/>
        <w:rPr>
          <w:rFonts w:ascii="EB Garamond" w:eastAsia="EB Garamond" w:hAnsi="EB Garamond" w:cs="EB Garamond"/>
          <w:color w:val="000000"/>
          <w:sz w:val="24"/>
          <w:szCs w:val="24"/>
        </w:rPr>
      </w:pPr>
      <w:r>
        <w:rPr>
          <w:rFonts w:ascii="EB Garamond" w:eastAsia="EB Garamond" w:hAnsi="EB Garamond" w:cs="EB Garamond"/>
          <w:color w:val="000000"/>
          <w:sz w:val="24"/>
          <w:szCs w:val="24"/>
        </w:rPr>
        <w:t>De acuerdo con el artículo 3 de la Ley 2003 de 2019, atentamente nos disponemos a señalar algunos criterios guías en los que se podría configurar conflictos de intereses, para que los congresistas tomen una decisión en torno a si se encuentran inmersos en alguna de estas causales, sin embargo, pueden existir otras causales en las que se pueda encontrar cada congresista, las cuales deberán ser determinadas para cada caso en particular por su titular, siendo estos criterios meramente informativos y que deben ser analizados teniendo en cuenta lo expresado en el artículo 1 de la Ley 2003 de 2019.</w:t>
      </w:r>
    </w:p>
    <w:p w14:paraId="60085C50" w14:textId="77777777" w:rsidR="002034C0" w:rsidRDefault="002034C0">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p>
    <w:p w14:paraId="3BCA46A6" w14:textId="77777777" w:rsidR="002034C0" w:rsidRDefault="00000000">
      <w:pPr>
        <w:pBdr>
          <w:top w:val="nil"/>
          <w:left w:val="nil"/>
          <w:bottom w:val="nil"/>
          <w:right w:val="nil"/>
          <w:between w:val="nil"/>
        </w:pBdr>
        <w:spacing w:after="0" w:line="240" w:lineRule="auto"/>
        <w:ind w:hanging="2"/>
        <w:jc w:val="both"/>
        <w:rPr>
          <w:rFonts w:ascii="EB Garamond" w:eastAsia="EB Garamond" w:hAnsi="EB Garamond" w:cs="EB Garamond"/>
          <w:color w:val="000000"/>
          <w:sz w:val="24"/>
          <w:szCs w:val="24"/>
        </w:rPr>
      </w:pPr>
      <w:r>
        <w:rPr>
          <w:rFonts w:ascii="EB Garamond" w:eastAsia="EB Garamond" w:hAnsi="EB Garamond" w:cs="EB Garamond"/>
          <w:color w:val="000000"/>
          <w:sz w:val="24"/>
          <w:szCs w:val="24"/>
        </w:rPr>
        <w:t xml:space="preserve">Entre las situaciones que señala el artículo 1o antes mencionado, se encuentran: “a) </w:t>
      </w:r>
      <w:r>
        <w:rPr>
          <w:rFonts w:ascii="EB Garamond" w:eastAsia="EB Garamond" w:hAnsi="EB Garamond" w:cs="EB Garamond"/>
          <w:b/>
          <w:i/>
          <w:color w:val="000000"/>
          <w:sz w:val="24"/>
          <w:szCs w:val="24"/>
        </w:rPr>
        <w:t>Beneficio particular:</w:t>
      </w:r>
      <w:r>
        <w:rPr>
          <w:rFonts w:ascii="EB Garamond" w:eastAsia="EB Garamond" w:hAnsi="EB Garamond" w:cs="EB Garamond"/>
          <w:i/>
          <w:color w:val="000000"/>
          <w:sz w:val="24"/>
          <w:szCs w:val="24"/>
        </w:rPr>
        <w:t xml:space="preserve">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b) </w:t>
      </w:r>
      <w:r>
        <w:rPr>
          <w:rFonts w:ascii="EB Garamond" w:eastAsia="EB Garamond" w:hAnsi="EB Garamond" w:cs="EB Garamond"/>
          <w:b/>
          <w:i/>
          <w:color w:val="000000"/>
          <w:sz w:val="24"/>
          <w:szCs w:val="24"/>
        </w:rPr>
        <w:t> Beneficio actual:</w:t>
      </w:r>
      <w:r>
        <w:rPr>
          <w:rFonts w:ascii="EB Garamond" w:eastAsia="EB Garamond" w:hAnsi="EB Garamond" w:cs="EB Garamond"/>
          <w:i/>
          <w:color w:val="000000"/>
          <w:sz w:val="24"/>
          <w:szCs w:val="24"/>
        </w:rPr>
        <w:t xml:space="preserve"> aquel que efectivamente se configura en las circunstancias presentes y existentes al momento en el que el congresista participa de la decisión; y el c) </w:t>
      </w:r>
      <w:r>
        <w:rPr>
          <w:rFonts w:ascii="EB Garamond" w:eastAsia="EB Garamond" w:hAnsi="EB Garamond" w:cs="EB Garamond"/>
          <w:b/>
          <w:i/>
          <w:color w:val="000000"/>
          <w:sz w:val="24"/>
          <w:szCs w:val="24"/>
        </w:rPr>
        <w:t>Beneficio directo</w:t>
      </w:r>
      <w:r>
        <w:rPr>
          <w:rFonts w:ascii="EB Garamond" w:eastAsia="EB Garamond" w:hAnsi="EB Garamond" w:cs="EB Garamond"/>
          <w:i/>
          <w:color w:val="000000"/>
          <w:sz w:val="24"/>
          <w:szCs w:val="24"/>
        </w:rPr>
        <w:t>: aquel que se produzca de forma específica respecto del congresista, de su cónyuge, compañero o compañera permanente, o parientes dentro del segundo grado de consanguinidad, segundo de afinidad o primero civil</w:t>
      </w:r>
      <w:r>
        <w:rPr>
          <w:rFonts w:ascii="EB Garamond" w:eastAsia="EB Garamond" w:hAnsi="EB Garamond" w:cs="EB Garamond"/>
          <w:color w:val="000000"/>
          <w:sz w:val="24"/>
          <w:szCs w:val="24"/>
        </w:rPr>
        <w:t>.”.</w:t>
      </w:r>
    </w:p>
    <w:p w14:paraId="5A05231F" w14:textId="77777777" w:rsidR="002034C0" w:rsidRDefault="002034C0">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p>
    <w:p w14:paraId="12214DC8" w14:textId="77777777" w:rsidR="002034C0" w:rsidRDefault="00000000">
      <w:pPr>
        <w:pBdr>
          <w:top w:val="nil"/>
          <w:left w:val="nil"/>
          <w:bottom w:val="nil"/>
          <w:right w:val="nil"/>
          <w:between w:val="nil"/>
        </w:pBdr>
        <w:spacing w:after="0" w:line="240" w:lineRule="auto"/>
        <w:ind w:hanging="2"/>
        <w:jc w:val="both"/>
        <w:rPr>
          <w:rFonts w:ascii="EB Garamond" w:eastAsia="EB Garamond" w:hAnsi="EB Garamond" w:cs="EB Garamond"/>
          <w:b/>
          <w:sz w:val="24"/>
          <w:szCs w:val="24"/>
        </w:rPr>
      </w:pPr>
      <w:r>
        <w:rPr>
          <w:rFonts w:ascii="EB Garamond" w:eastAsia="EB Garamond" w:hAnsi="EB Garamond" w:cs="EB Garamond"/>
          <w:color w:val="000000"/>
          <w:sz w:val="24"/>
          <w:szCs w:val="24"/>
        </w:rPr>
        <w:t xml:space="preserve">Por lo anterior, las circunstancias o eventos que podrían generar un conflicto de interés serían aquellos que tengan un beneficio particular, actual y directo en </w:t>
      </w:r>
      <w:r>
        <w:rPr>
          <w:rFonts w:ascii="EB Garamond" w:eastAsia="EB Garamond" w:hAnsi="EB Garamond" w:cs="EB Garamond"/>
          <w:sz w:val="24"/>
          <w:szCs w:val="24"/>
        </w:rPr>
        <w:t>actividades</w:t>
      </w:r>
      <w:r>
        <w:rPr>
          <w:rFonts w:ascii="EB Garamond" w:eastAsia="EB Garamond" w:hAnsi="EB Garamond" w:cs="EB Garamond"/>
          <w:color w:val="000000"/>
          <w:sz w:val="24"/>
          <w:szCs w:val="24"/>
        </w:rPr>
        <w:t xml:space="preserve"> relacionadas con </w:t>
      </w:r>
      <w:r>
        <w:rPr>
          <w:rFonts w:ascii="EB Garamond" w:eastAsia="EB Garamond" w:hAnsi="EB Garamond" w:cs="EB Garamond"/>
          <w:sz w:val="24"/>
          <w:szCs w:val="24"/>
        </w:rPr>
        <w:t>el objeto de la iniciativa; además el proyecto de ley es de carácter general y no implica un conflicto de interés de carácter particular</w:t>
      </w:r>
      <w:r>
        <w:rPr>
          <w:rFonts w:ascii="EB Garamond" w:eastAsia="EB Garamond" w:hAnsi="EB Garamond" w:cs="EB Garamond"/>
          <w:color w:val="000000"/>
          <w:sz w:val="24"/>
          <w:szCs w:val="24"/>
        </w:rPr>
        <w:t>.</w:t>
      </w:r>
    </w:p>
    <w:p w14:paraId="22B1AC41" w14:textId="77777777" w:rsidR="002034C0" w:rsidRDefault="002034C0">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p>
    <w:p w14:paraId="1529EEBE" w14:textId="77777777" w:rsidR="002034C0" w:rsidRDefault="00000000">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t>Es preciso aclarar que los conflictos de interés son de carácter personal y corresponde a cada uno de los congresistas evaluarlos, teniendo presente que lo referido anteriormente, no los exonera de examinar cuidadosamente las posibles circunstancias que pueden dar lugar a conflictos de interés para conocer y votar este tipo de iniciativas.</w:t>
      </w:r>
    </w:p>
    <w:p w14:paraId="04B89A30" w14:textId="77777777" w:rsidR="002034C0" w:rsidRDefault="002034C0">
      <w:pPr>
        <w:keepLines/>
        <w:pBdr>
          <w:top w:val="nil"/>
          <w:left w:val="nil"/>
          <w:bottom w:val="nil"/>
          <w:right w:val="nil"/>
          <w:between w:val="nil"/>
        </w:pBdr>
        <w:spacing w:after="0" w:line="240" w:lineRule="auto"/>
        <w:ind w:hanging="2"/>
        <w:jc w:val="both"/>
        <w:rPr>
          <w:rFonts w:ascii="EB Garamond" w:eastAsia="EB Garamond" w:hAnsi="EB Garamond" w:cs="EB Garamond"/>
          <w:sz w:val="24"/>
          <w:szCs w:val="24"/>
        </w:rPr>
      </w:pPr>
    </w:p>
    <w:p w14:paraId="38FFC887" w14:textId="77777777" w:rsidR="002034C0" w:rsidRDefault="002034C0">
      <w:pPr>
        <w:keepLines/>
        <w:pBdr>
          <w:top w:val="nil"/>
          <w:left w:val="nil"/>
          <w:bottom w:val="nil"/>
          <w:right w:val="nil"/>
          <w:between w:val="nil"/>
        </w:pBdr>
        <w:spacing w:after="0" w:line="240" w:lineRule="auto"/>
        <w:ind w:hanging="2"/>
        <w:jc w:val="both"/>
        <w:rPr>
          <w:rFonts w:ascii="EB Garamond" w:eastAsia="EB Garamond" w:hAnsi="EB Garamond" w:cs="EB Garamond"/>
          <w:sz w:val="24"/>
          <w:szCs w:val="24"/>
        </w:rPr>
      </w:pPr>
    </w:p>
    <w:p w14:paraId="47BCB983" w14:textId="77777777" w:rsidR="002034C0" w:rsidRDefault="00000000">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t>De los honorables Congresistas,</w:t>
      </w:r>
    </w:p>
    <w:p w14:paraId="74B5173D" w14:textId="77777777" w:rsidR="002034C0" w:rsidRDefault="002034C0" w:rsidP="00E4481E">
      <w:pPr>
        <w:spacing w:after="0"/>
        <w:ind w:firstLine="0"/>
        <w:rPr>
          <w:rFonts w:ascii="EB Garamond" w:eastAsia="EB Garamond" w:hAnsi="EB Garamond" w:cs="EB Garamond"/>
          <w:b/>
          <w:sz w:val="24"/>
          <w:szCs w:val="24"/>
        </w:rPr>
      </w:pPr>
    </w:p>
    <w:tbl>
      <w:tblPr>
        <w:tblStyle w:val="af6"/>
        <w:tblW w:w="88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2034C0" w14:paraId="46A1A429" w14:textId="77777777">
        <w:tc>
          <w:tcPr>
            <w:tcW w:w="4414" w:type="dxa"/>
            <w:shd w:val="clear" w:color="auto" w:fill="auto"/>
            <w:tcMar>
              <w:top w:w="100" w:type="dxa"/>
              <w:left w:w="100" w:type="dxa"/>
              <w:bottom w:w="100" w:type="dxa"/>
              <w:right w:w="100" w:type="dxa"/>
            </w:tcMar>
          </w:tcPr>
          <w:p w14:paraId="624962E3" w14:textId="77777777" w:rsidR="002034C0" w:rsidRDefault="00000000">
            <w:pPr>
              <w:shd w:val="clear" w:color="auto" w:fill="FFFFFF"/>
              <w:ind w:hanging="2"/>
              <w:jc w:val="center"/>
              <w:rPr>
                <w:rFonts w:ascii="EB Garamond" w:eastAsia="EB Garamond" w:hAnsi="EB Garamond" w:cs="EB Garamond"/>
                <w:b/>
                <w:sz w:val="20"/>
                <w:szCs w:val="20"/>
              </w:rPr>
            </w:pPr>
            <w:r>
              <w:rPr>
                <w:rFonts w:ascii="EB Garamond" w:eastAsia="EB Garamond" w:hAnsi="EB Garamond" w:cs="EB Garamond"/>
                <w:i/>
                <w:noProof/>
                <w:sz w:val="20"/>
                <w:szCs w:val="20"/>
              </w:rPr>
              <w:drawing>
                <wp:inline distT="114300" distB="114300" distL="114300" distR="114300" wp14:anchorId="5DCCCA48" wp14:editId="14791AC1">
                  <wp:extent cx="1916812" cy="656300"/>
                  <wp:effectExtent l="0" t="0" r="0" b="0"/>
                  <wp:docPr id="181055325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916812" cy="656300"/>
                          </a:xfrm>
                          <a:prstGeom prst="rect">
                            <a:avLst/>
                          </a:prstGeom>
                          <a:ln/>
                        </pic:spPr>
                      </pic:pic>
                    </a:graphicData>
                  </a:graphic>
                </wp:inline>
              </w:drawing>
            </w:r>
          </w:p>
          <w:p w14:paraId="346395AD" w14:textId="77777777" w:rsidR="002034C0" w:rsidRDefault="00000000">
            <w:pPr>
              <w:widowControl w:val="0"/>
              <w:ind w:hanging="2"/>
              <w:jc w:val="center"/>
              <w:rPr>
                <w:rFonts w:ascii="EB Garamond" w:eastAsia="EB Garamond" w:hAnsi="EB Garamond" w:cs="EB Garamond"/>
                <w:sz w:val="20"/>
                <w:szCs w:val="20"/>
              </w:rPr>
            </w:pPr>
            <w:r>
              <w:rPr>
                <w:rFonts w:ascii="EB Garamond" w:eastAsia="EB Garamond" w:hAnsi="EB Garamond" w:cs="EB Garamond"/>
                <w:b/>
                <w:sz w:val="20"/>
                <w:szCs w:val="20"/>
              </w:rPr>
              <w:t xml:space="preserve"> </w:t>
            </w:r>
            <w:r>
              <w:rPr>
                <w:rFonts w:ascii="EB Garamond" w:eastAsia="EB Garamond" w:hAnsi="EB Garamond" w:cs="EB Garamond"/>
                <w:sz w:val="20"/>
                <w:szCs w:val="20"/>
              </w:rPr>
              <w:t xml:space="preserve">ANDRÉS GUILLERMO MONTES CELEDÓN </w:t>
            </w:r>
          </w:p>
          <w:p w14:paraId="6B71E74F" w14:textId="77777777" w:rsidR="002034C0" w:rsidRDefault="00000000">
            <w:pPr>
              <w:widowControl w:val="0"/>
              <w:ind w:hanging="2"/>
              <w:jc w:val="center"/>
              <w:rPr>
                <w:rFonts w:ascii="EB Garamond" w:eastAsia="EB Garamond" w:hAnsi="EB Garamond" w:cs="EB Garamond"/>
                <w:b/>
                <w:sz w:val="20"/>
                <w:szCs w:val="20"/>
              </w:rPr>
            </w:pPr>
            <w:r>
              <w:rPr>
                <w:rFonts w:ascii="EB Garamond" w:eastAsia="EB Garamond" w:hAnsi="EB Garamond" w:cs="EB Garamond"/>
                <w:b/>
                <w:sz w:val="20"/>
                <w:szCs w:val="20"/>
              </w:rPr>
              <w:t>Representante a la Cámara</w:t>
            </w:r>
          </w:p>
          <w:p w14:paraId="0BC3BD42" w14:textId="77777777" w:rsidR="002034C0" w:rsidRDefault="00000000">
            <w:pPr>
              <w:widowControl w:val="0"/>
              <w:ind w:hanging="2"/>
              <w:jc w:val="center"/>
              <w:rPr>
                <w:rFonts w:ascii="EB Garamond" w:eastAsia="EB Garamond" w:hAnsi="EB Garamond" w:cs="EB Garamond"/>
                <w:b/>
                <w:sz w:val="20"/>
                <w:szCs w:val="20"/>
              </w:rPr>
            </w:pPr>
            <w:r>
              <w:rPr>
                <w:rFonts w:ascii="EB Garamond" w:eastAsia="EB Garamond" w:hAnsi="EB Garamond" w:cs="EB Garamond"/>
                <w:b/>
                <w:sz w:val="20"/>
                <w:szCs w:val="20"/>
              </w:rPr>
              <w:t>Partido Conservador Colombiano</w:t>
            </w:r>
            <w:r>
              <w:rPr>
                <w:rFonts w:ascii="EB Garamond" w:eastAsia="EB Garamond" w:hAnsi="EB Garamond" w:cs="EB Garamond"/>
                <w:b/>
                <w:sz w:val="20"/>
                <w:szCs w:val="20"/>
              </w:rPr>
              <w:br/>
            </w:r>
          </w:p>
          <w:p w14:paraId="6F4054AE" w14:textId="77777777" w:rsidR="002034C0" w:rsidRDefault="00000000">
            <w:pPr>
              <w:widowControl w:val="0"/>
              <w:ind w:hanging="2"/>
              <w:jc w:val="center"/>
              <w:rPr>
                <w:rFonts w:ascii="EB Garamond" w:eastAsia="EB Garamond" w:hAnsi="EB Garamond" w:cs="EB Garamond"/>
                <w:sz w:val="20"/>
                <w:szCs w:val="20"/>
              </w:rPr>
            </w:pPr>
            <w:r>
              <w:rPr>
                <w:rFonts w:ascii="EB Garamond" w:eastAsia="EB Garamond" w:hAnsi="EB Garamond" w:cs="EB Garamond"/>
                <w:b/>
                <w:sz w:val="20"/>
                <w:szCs w:val="20"/>
              </w:rPr>
              <w:t>AUTOR</w:t>
            </w:r>
            <w:r>
              <w:rPr>
                <w:rFonts w:ascii="EB Garamond" w:eastAsia="EB Garamond" w:hAnsi="EB Garamond" w:cs="EB Garamond"/>
                <w:sz w:val="20"/>
                <w:szCs w:val="20"/>
              </w:rPr>
              <w:t xml:space="preserve"> </w:t>
            </w:r>
          </w:p>
        </w:tc>
        <w:tc>
          <w:tcPr>
            <w:tcW w:w="4414" w:type="dxa"/>
            <w:shd w:val="clear" w:color="auto" w:fill="auto"/>
            <w:tcMar>
              <w:top w:w="100" w:type="dxa"/>
              <w:left w:w="100" w:type="dxa"/>
              <w:bottom w:w="100" w:type="dxa"/>
              <w:right w:w="100" w:type="dxa"/>
            </w:tcMar>
          </w:tcPr>
          <w:p w14:paraId="11FD90E6" w14:textId="77777777" w:rsidR="002034C0" w:rsidRDefault="00000000">
            <w:pPr>
              <w:widowControl w:val="0"/>
              <w:ind w:hanging="2"/>
              <w:jc w:val="center"/>
              <w:rPr>
                <w:rFonts w:ascii="EB Garamond" w:eastAsia="EB Garamond" w:hAnsi="EB Garamond" w:cs="EB Garamond"/>
                <w:sz w:val="24"/>
                <w:szCs w:val="24"/>
              </w:rPr>
            </w:pPr>
            <w:r>
              <w:rPr>
                <w:rFonts w:ascii="EB Garamond" w:eastAsia="EB Garamond" w:hAnsi="EB Garamond" w:cs="EB Garamond"/>
                <w:noProof/>
                <w:sz w:val="24"/>
                <w:szCs w:val="24"/>
              </w:rPr>
              <w:drawing>
                <wp:inline distT="114300" distB="114300" distL="114300" distR="114300" wp14:anchorId="0504157D" wp14:editId="08B918CE">
                  <wp:extent cx="1329690" cy="540187"/>
                  <wp:effectExtent l="0" t="0" r="0" b="0"/>
                  <wp:docPr id="181055326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329690" cy="540187"/>
                          </a:xfrm>
                          <a:prstGeom prst="rect">
                            <a:avLst/>
                          </a:prstGeom>
                          <a:ln/>
                        </pic:spPr>
                      </pic:pic>
                    </a:graphicData>
                  </a:graphic>
                </wp:inline>
              </w:drawing>
            </w:r>
          </w:p>
          <w:p w14:paraId="47AC7A6E" w14:textId="77777777" w:rsidR="002034C0" w:rsidRDefault="00000000">
            <w:pPr>
              <w:widowControl w:val="0"/>
              <w:ind w:hanging="2"/>
              <w:jc w:val="center"/>
              <w:rPr>
                <w:rFonts w:ascii="EB Garamond" w:eastAsia="EB Garamond" w:hAnsi="EB Garamond" w:cs="EB Garamond"/>
                <w:sz w:val="20"/>
                <w:szCs w:val="20"/>
              </w:rPr>
            </w:pPr>
            <w:r>
              <w:rPr>
                <w:rFonts w:ascii="EB Garamond" w:eastAsia="EB Garamond" w:hAnsi="EB Garamond" w:cs="EB Garamond"/>
                <w:sz w:val="20"/>
                <w:szCs w:val="20"/>
              </w:rPr>
              <w:t xml:space="preserve">FERNANDO DAVID NIÑO MENDOZA </w:t>
            </w:r>
          </w:p>
          <w:p w14:paraId="3EE1B49D" w14:textId="77777777" w:rsidR="002034C0" w:rsidRDefault="00000000">
            <w:pPr>
              <w:widowControl w:val="0"/>
              <w:ind w:hanging="2"/>
              <w:jc w:val="center"/>
              <w:rPr>
                <w:rFonts w:ascii="EB Garamond" w:eastAsia="EB Garamond" w:hAnsi="EB Garamond" w:cs="EB Garamond"/>
                <w:b/>
                <w:sz w:val="20"/>
                <w:szCs w:val="20"/>
              </w:rPr>
            </w:pPr>
            <w:r>
              <w:rPr>
                <w:rFonts w:ascii="EB Garamond" w:eastAsia="EB Garamond" w:hAnsi="EB Garamond" w:cs="EB Garamond"/>
                <w:b/>
                <w:sz w:val="20"/>
                <w:szCs w:val="20"/>
              </w:rPr>
              <w:t xml:space="preserve">Representante a la Cámara </w:t>
            </w:r>
            <w:r>
              <w:rPr>
                <w:rFonts w:ascii="EB Garamond" w:eastAsia="EB Garamond" w:hAnsi="EB Garamond" w:cs="EB Garamond"/>
                <w:b/>
                <w:sz w:val="20"/>
                <w:szCs w:val="20"/>
              </w:rPr>
              <w:br/>
              <w:t>Partido Conservador Colombiano</w:t>
            </w:r>
          </w:p>
          <w:p w14:paraId="73DABF07" w14:textId="77777777" w:rsidR="002034C0" w:rsidRDefault="002034C0">
            <w:pPr>
              <w:widowControl w:val="0"/>
              <w:ind w:hanging="2"/>
              <w:rPr>
                <w:rFonts w:ascii="EB Garamond" w:eastAsia="EB Garamond" w:hAnsi="EB Garamond" w:cs="EB Garamond"/>
                <w:b/>
                <w:sz w:val="20"/>
                <w:szCs w:val="20"/>
              </w:rPr>
            </w:pPr>
          </w:p>
          <w:p w14:paraId="29DF6123" w14:textId="77777777" w:rsidR="002034C0" w:rsidRDefault="002034C0">
            <w:pPr>
              <w:widowControl w:val="0"/>
              <w:ind w:hanging="2"/>
              <w:rPr>
                <w:rFonts w:ascii="EB Garamond" w:eastAsia="EB Garamond" w:hAnsi="EB Garamond" w:cs="EB Garamond"/>
                <w:b/>
                <w:sz w:val="20"/>
                <w:szCs w:val="20"/>
              </w:rPr>
            </w:pPr>
          </w:p>
          <w:p w14:paraId="799E3D46" w14:textId="77777777" w:rsidR="002034C0" w:rsidRDefault="00000000">
            <w:pPr>
              <w:widowControl w:val="0"/>
              <w:ind w:hanging="2"/>
              <w:jc w:val="center"/>
              <w:rPr>
                <w:rFonts w:ascii="EB Garamond" w:eastAsia="EB Garamond" w:hAnsi="EB Garamond" w:cs="EB Garamond"/>
                <w:sz w:val="24"/>
                <w:szCs w:val="24"/>
              </w:rPr>
            </w:pPr>
            <w:r>
              <w:rPr>
                <w:rFonts w:ascii="EB Garamond" w:eastAsia="EB Garamond" w:hAnsi="EB Garamond" w:cs="EB Garamond"/>
                <w:b/>
                <w:sz w:val="20"/>
                <w:szCs w:val="20"/>
              </w:rPr>
              <w:t xml:space="preserve">COAUTOR </w:t>
            </w:r>
          </w:p>
        </w:tc>
      </w:tr>
      <w:tr w:rsidR="002034C0" w14:paraId="3E658908" w14:textId="77777777">
        <w:tc>
          <w:tcPr>
            <w:tcW w:w="4414" w:type="dxa"/>
          </w:tcPr>
          <w:p w14:paraId="42238AF1" w14:textId="77777777" w:rsidR="002034C0" w:rsidRDefault="00000000">
            <w:pPr>
              <w:spacing w:line="276" w:lineRule="auto"/>
              <w:ind w:firstLine="0"/>
              <w:jc w:val="both"/>
              <w:rPr>
                <w:rFonts w:ascii="Arial" w:eastAsia="Arial" w:hAnsi="Arial" w:cs="Arial"/>
                <w:sz w:val="22"/>
                <w:szCs w:val="22"/>
              </w:rPr>
            </w:pPr>
            <w:r>
              <w:rPr>
                <w:noProof/>
              </w:rPr>
              <w:drawing>
                <wp:anchor distT="0" distB="0" distL="0" distR="0" simplePos="0" relativeHeight="251661312" behindDoc="1" locked="0" layoutInCell="1" hidden="0" allowOverlap="1" wp14:anchorId="3FF959BF" wp14:editId="5BF4D618">
                  <wp:simplePos x="0" y="0"/>
                  <wp:positionH relativeFrom="column">
                    <wp:posOffset>521969</wp:posOffset>
                  </wp:positionH>
                  <wp:positionV relativeFrom="paragraph">
                    <wp:posOffset>17780</wp:posOffset>
                  </wp:positionV>
                  <wp:extent cx="1450975" cy="676910"/>
                  <wp:effectExtent l="0" t="0" r="0" b="0"/>
                  <wp:wrapNone/>
                  <wp:docPr id="181055326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1450975" cy="676910"/>
                          </a:xfrm>
                          <a:prstGeom prst="rect">
                            <a:avLst/>
                          </a:prstGeom>
                          <a:ln/>
                        </pic:spPr>
                      </pic:pic>
                    </a:graphicData>
                  </a:graphic>
                </wp:anchor>
              </w:drawing>
            </w:r>
          </w:p>
          <w:p w14:paraId="6896156B" w14:textId="77777777" w:rsidR="002034C0" w:rsidRDefault="002034C0">
            <w:pPr>
              <w:spacing w:line="276" w:lineRule="auto"/>
              <w:ind w:firstLine="0"/>
              <w:jc w:val="both"/>
              <w:rPr>
                <w:rFonts w:ascii="Arial" w:eastAsia="Arial" w:hAnsi="Arial" w:cs="Arial"/>
                <w:sz w:val="22"/>
                <w:szCs w:val="22"/>
              </w:rPr>
            </w:pPr>
          </w:p>
          <w:p w14:paraId="60C089DA" w14:textId="77777777" w:rsidR="002034C0" w:rsidRDefault="002034C0">
            <w:pPr>
              <w:spacing w:line="276" w:lineRule="auto"/>
              <w:ind w:firstLine="0"/>
              <w:jc w:val="both"/>
              <w:rPr>
                <w:rFonts w:ascii="EB Garamond" w:eastAsia="EB Garamond" w:hAnsi="EB Garamond" w:cs="EB Garamond"/>
                <w:sz w:val="20"/>
                <w:szCs w:val="20"/>
              </w:rPr>
            </w:pPr>
          </w:p>
          <w:p w14:paraId="5575642F" w14:textId="77777777" w:rsidR="002034C0" w:rsidRDefault="002034C0">
            <w:pPr>
              <w:spacing w:line="276" w:lineRule="auto"/>
              <w:ind w:firstLine="0"/>
              <w:jc w:val="both"/>
              <w:rPr>
                <w:rFonts w:ascii="EB Garamond" w:eastAsia="EB Garamond" w:hAnsi="EB Garamond" w:cs="EB Garamond"/>
                <w:sz w:val="20"/>
                <w:szCs w:val="20"/>
              </w:rPr>
            </w:pPr>
          </w:p>
          <w:p w14:paraId="13913FCF" w14:textId="77777777" w:rsidR="002034C0" w:rsidRDefault="00000000">
            <w:pPr>
              <w:spacing w:after="240" w:line="276" w:lineRule="auto"/>
              <w:ind w:firstLine="0"/>
              <w:jc w:val="center"/>
              <w:rPr>
                <w:rFonts w:ascii="EB Garamond" w:eastAsia="EB Garamond" w:hAnsi="EB Garamond" w:cs="EB Garamond"/>
                <w:b/>
                <w:sz w:val="20"/>
                <w:szCs w:val="20"/>
              </w:rPr>
            </w:pPr>
            <w:r>
              <w:rPr>
                <w:rFonts w:ascii="EB Garamond" w:eastAsia="EB Garamond" w:hAnsi="EB Garamond" w:cs="EB Garamond"/>
                <w:sz w:val="20"/>
                <w:szCs w:val="20"/>
              </w:rPr>
              <w:t xml:space="preserve">ALFREDO APE CUELLO BAUTE </w:t>
            </w:r>
            <w:r>
              <w:rPr>
                <w:rFonts w:ascii="EB Garamond" w:eastAsia="EB Garamond" w:hAnsi="EB Garamond" w:cs="EB Garamond"/>
                <w:sz w:val="20"/>
                <w:szCs w:val="20"/>
              </w:rPr>
              <w:br/>
            </w:r>
            <w:r>
              <w:rPr>
                <w:rFonts w:ascii="EB Garamond" w:eastAsia="EB Garamond" w:hAnsi="EB Garamond" w:cs="EB Garamond"/>
                <w:b/>
                <w:sz w:val="20"/>
                <w:szCs w:val="20"/>
              </w:rPr>
              <w:t xml:space="preserve">Representante a la Cámara </w:t>
            </w:r>
            <w:r>
              <w:rPr>
                <w:rFonts w:ascii="EB Garamond" w:eastAsia="EB Garamond" w:hAnsi="EB Garamond" w:cs="EB Garamond"/>
                <w:b/>
                <w:sz w:val="20"/>
                <w:szCs w:val="20"/>
              </w:rPr>
              <w:br/>
              <w:t xml:space="preserve">Partido Conservador Colombiano </w:t>
            </w:r>
            <w:r>
              <w:rPr>
                <w:rFonts w:ascii="EB Garamond" w:eastAsia="EB Garamond" w:hAnsi="EB Garamond" w:cs="EB Garamond"/>
                <w:b/>
                <w:sz w:val="20"/>
                <w:szCs w:val="20"/>
              </w:rPr>
              <w:br/>
            </w:r>
          </w:p>
          <w:p w14:paraId="4649AEC8" w14:textId="77777777" w:rsidR="002034C0" w:rsidRDefault="00000000">
            <w:pPr>
              <w:spacing w:after="240" w:line="276" w:lineRule="auto"/>
              <w:ind w:firstLine="0"/>
              <w:jc w:val="center"/>
              <w:rPr>
                <w:rFonts w:ascii="EB Garamond" w:eastAsia="EB Garamond" w:hAnsi="EB Garamond" w:cs="EB Garamond"/>
                <w:b/>
                <w:sz w:val="20"/>
                <w:szCs w:val="20"/>
              </w:rPr>
            </w:pPr>
            <w:r>
              <w:rPr>
                <w:rFonts w:ascii="EB Garamond" w:eastAsia="EB Garamond" w:hAnsi="EB Garamond" w:cs="EB Garamond"/>
                <w:b/>
                <w:sz w:val="20"/>
                <w:szCs w:val="20"/>
              </w:rPr>
              <w:t xml:space="preserve">COAUTOR </w:t>
            </w:r>
          </w:p>
        </w:tc>
        <w:tc>
          <w:tcPr>
            <w:tcW w:w="4414" w:type="dxa"/>
          </w:tcPr>
          <w:p w14:paraId="13C30C8B" w14:textId="77777777" w:rsidR="002034C0" w:rsidRDefault="00000000">
            <w:pPr>
              <w:spacing w:after="160"/>
              <w:ind w:firstLine="0"/>
              <w:jc w:val="center"/>
              <w:rPr>
                <w:rFonts w:ascii="EB Garamond" w:eastAsia="EB Garamond" w:hAnsi="EB Garamond" w:cs="EB Garamond"/>
                <w:sz w:val="20"/>
                <w:szCs w:val="20"/>
              </w:rPr>
            </w:pPr>
            <w:r>
              <w:rPr>
                <w:rFonts w:ascii="EB Garamond" w:eastAsia="EB Garamond" w:hAnsi="EB Garamond" w:cs="EB Garamond"/>
                <w:noProof/>
                <w:sz w:val="20"/>
                <w:szCs w:val="20"/>
              </w:rPr>
              <w:drawing>
                <wp:inline distT="114300" distB="114300" distL="114300" distR="114300" wp14:anchorId="5AC62B29" wp14:editId="7F72B8EE">
                  <wp:extent cx="877253" cy="780548"/>
                  <wp:effectExtent l="0" t="0" r="0" b="0"/>
                  <wp:docPr id="181055326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l="10659" r="15914"/>
                          <a:stretch>
                            <a:fillRect/>
                          </a:stretch>
                        </pic:blipFill>
                        <pic:spPr>
                          <a:xfrm>
                            <a:off x="0" y="0"/>
                            <a:ext cx="877253" cy="780548"/>
                          </a:xfrm>
                          <a:prstGeom prst="rect">
                            <a:avLst/>
                          </a:prstGeom>
                          <a:ln/>
                        </pic:spPr>
                      </pic:pic>
                    </a:graphicData>
                  </a:graphic>
                </wp:inline>
              </w:drawing>
            </w:r>
          </w:p>
          <w:p w14:paraId="3CC4FAD3" w14:textId="77777777" w:rsidR="002034C0" w:rsidRDefault="00000000">
            <w:pPr>
              <w:spacing w:after="160"/>
              <w:ind w:firstLine="0"/>
              <w:jc w:val="center"/>
              <w:rPr>
                <w:rFonts w:ascii="EB Garamond" w:eastAsia="EB Garamond" w:hAnsi="EB Garamond" w:cs="EB Garamond"/>
                <w:b/>
                <w:sz w:val="20"/>
                <w:szCs w:val="20"/>
              </w:rPr>
            </w:pPr>
            <w:r>
              <w:rPr>
                <w:rFonts w:ascii="EB Garamond" w:eastAsia="EB Garamond" w:hAnsi="EB Garamond" w:cs="EB Garamond"/>
                <w:sz w:val="20"/>
                <w:szCs w:val="20"/>
              </w:rPr>
              <w:t>LIBARDO CRUZ CASADO</w:t>
            </w:r>
            <w:r>
              <w:rPr>
                <w:rFonts w:ascii="EB Garamond" w:eastAsia="EB Garamond" w:hAnsi="EB Garamond" w:cs="EB Garamond"/>
                <w:sz w:val="20"/>
                <w:szCs w:val="20"/>
              </w:rPr>
              <w:br/>
            </w:r>
            <w:r>
              <w:rPr>
                <w:rFonts w:ascii="EB Garamond" w:eastAsia="EB Garamond" w:hAnsi="EB Garamond" w:cs="EB Garamond"/>
                <w:b/>
                <w:sz w:val="20"/>
                <w:szCs w:val="20"/>
              </w:rPr>
              <w:t>Representante a la Cámara</w:t>
            </w:r>
            <w:r>
              <w:rPr>
                <w:rFonts w:ascii="EB Garamond" w:eastAsia="EB Garamond" w:hAnsi="EB Garamond" w:cs="EB Garamond"/>
                <w:b/>
                <w:sz w:val="20"/>
                <w:szCs w:val="20"/>
              </w:rPr>
              <w:br/>
              <w:t xml:space="preserve">Partido Conservador Colombiano </w:t>
            </w:r>
            <w:r>
              <w:rPr>
                <w:rFonts w:ascii="EB Garamond" w:eastAsia="EB Garamond" w:hAnsi="EB Garamond" w:cs="EB Garamond"/>
                <w:b/>
                <w:sz w:val="20"/>
                <w:szCs w:val="20"/>
              </w:rPr>
              <w:br/>
            </w:r>
          </w:p>
          <w:p w14:paraId="6BD751AF" w14:textId="77777777" w:rsidR="002034C0" w:rsidRDefault="00000000">
            <w:pPr>
              <w:spacing w:after="160"/>
              <w:ind w:firstLine="0"/>
              <w:jc w:val="center"/>
              <w:rPr>
                <w:rFonts w:ascii="EB Garamond" w:eastAsia="EB Garamond" w:hAnsi="EB Garamond" w:cs="EB Garamond"/>
                <w:b/>
                <w:sz w:val="20"/>
                <w:szCs w:val="20"/>
              </w:rPr>
            </w:pPr>
            <w:r>
              <w:rPr>
                <w:rFonts w:ascii="EB Garamond" w:eastAsia="EB Garamond" w:hAnsi="EB Garamond" w:cs="EB Garamond"/>
                <w:b/>
                <w:sz w:val="20"/>
                <w:szCs w:val="20"/>
              </w:rPr>
              <w:t xml:space="preserve">COAUTOR </w:t>
            </w:r>
          </w:p>
        </w:tc>
      </w:tr>
      <w:tr w:rsidR="002034C0" w14:paraId="5FCF0812" w14:textId="77777777">
        <w:tc>
          <w:tcPr>
            <w:tcW w:w="4414" w:type="dxa"/>
          </w:tcPr>
          <w:p w14:paraId="5846C575" w14:textId="77777777" w:rsidR="002034C0" w:rsidRDefault="002034C0">
            <w:pPr>
              <w:widowControl w:val="0"/>
              <w:ind w:hanging="2"/>
              <w:jc w:val="center"/>
              <w:rPr>
                <w:rFonts w:ascii="EB Garamond" w:eastAsia="EB Garamond" w:hAnsi="EB Garamond" w:cs="EB Garamond"/>
                <w:sz w:val="20"/>
                <w:szCs w:val="20"/>
              </w:rPr>
            </w:pPr>
          </w:p>
          <w:p w14:paraId="2E11F345" w14:textId="77777777" w:rsidR="002034C0" w:rsidRDefault="002034C0">
            <w:pPr>
              <w:widowControl w:val="0"/>
              <w:ind w:hanging="2"/>
              <w:jc w:val="center"/>
              <w:rPr>
                <w:rFonts w:ascii="EB Garamond" w:eastAsia="EB Garamond" w:hAnsi="EB Garamond" w:cs="EB Garamond"/>
                <w:sz w:val="20"/>
                <w:szCs w:val="20"/>
              </w:rPr>
            </w:pPr>
          </w:p>
          <w:p w14:paraId="01AE68C6" w14:textId="77777777" w:rsidR="002034C0" w:rsidRDefault="00000000">
            <w:pPr>
              <w:widowControl w:val="0"/>
              <w:ind w:hanging="2"/>
              <w:jc w:val="center"/>
              <w:rPr>
                <w:rFonts w:ascii="EB Garamond" w:eastAsia="EB Garamond" w:hAnsi="EB Garamond" w:cs="EB Garamond"/>
                <w:sz w:val="20"/>
                <w:szCs w:val="20"/>
              </w:rPr>
            </w:pPr>
            <w:r>
              <w:rPr>
                <w:noProof/>
              </w:rPr>
              <w:drawing>
                <wp:anchor distT="114300" distB="114300" distL="114300" distR="114300" simplePos="0" relativeHeight="251662336" behindDoc="0" locked="0" layoutInCell="1" hidden="0" allowOverlap="1" wp14:anchorId="6F2D7805" wp14:editId="3E6257DF">
                  <wp:simplePos x="0" y="0"/>
                  <wp:positionH relativeFrom="column">
                    <wp:posOffset>371475</wp:posOffset>
                  </wp:positionH>
                  <wp:positionV relativeFrom="paragraph">
                    <wp:posOffset>154305</wp:posOffset>
                  </wp:positionV>
                  <wp:extent cx="1519238" cy="866775"/>
                  <wp:effectExtent l="0" t="0" r="0" b="0"/>
                  <wp:wrapNone/>
                  <wp:docPr id="181055325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t="-6593" b="6593"/>
                          <a:stretch>
                            <a:fillRect/>
                          </a:stretch>
                        </pic:blipFill>
                        <pic:spPr>
                          <a:xfrm>
                            <a:off x="0" y="0"/>
                            <a:ext cx="1519238" cy="866775"/>
                          </a:xfrm>
                          <a:prstGeom prst="rect">
                            <a:avLst/>
                          </a:prstGeom>
                          <a:ln/>
                        </pic:spPr>
                      </pic:pic>
                    </a:graphicData>
                  </a:graphic>
                </wp:anchor>
              </w:drawing>
            </w:r>
          </w:p>
          <w:p w14:paraId="1AF62B14" w14:textId="77777777" w:rsidR="002034C0" w:rsidRDefault="002034C0">
            <w:pPr>
              <w:widowControl w:val="0"/>
              <w:ind w:hanging="2"/>
              <w:jc w:val="center"/>
              <w:rPr>
                <w:rFonts w:ascii="EB Garamond" w:eastAsia="EB Garamond" w:hAnsi="EB Garamond" w:cs="EB Garamond"/>
                <w:sz w:val="20"/>
                <w:szCs w:val="20"/>
              </w:rPr>
            </w:pPr>
          </w:p>
          <w:p w14:paraId="70DF6C1E" w14:textId="77777777" w:rsidR="002034C0" w:rsidRDefault="002034C0">
            <w:pPr>
              <w:widowControl w:val="0"/>
              <w:ind w:hanging="2"/>
              <w:jc w:val="center"/>
              <w:rPr>
                <w:rFonts w:ascii="EB Garamond" w:eastAsia="EB Garamond" w:hAnsi="EB Garamond" w:cs="EB Garamond"/>
                <w:sz w:val="20"/>
                <w:szCs w:val="20"/>
              </w:rPr>
            </w:pPr>
          </w:p>
          <w:p w14:paraId="4643A12D" w14:textId="77777777" w:rsidR="002034C0" w:rsidRDefault="002034C0">
            <w:pPr>
              <w:widowControl w:val="0"/>
              <w:ind w:hanging="2"/>
              <w:jc w:val="center"/>
              <w:rPr>
                <w:rFonts w:ascii="EB Garamond" w:eastAsia="EB Garamond" w:hAnsi="EB Garamond" w:cs="EB Garamond"/>
                <w:sz w:val="20"/>
                <w:szCs w:val="20"/>
              </w:rPr>
            </w:pPr>
          </w:p>
          <w:p w14:paraId="2B8B12F1" w14:textId="77777777" w:rsidR="002034C0" w:rsidRDefault="002034C0">
            <w:pPr>
              <w:widowControl w:val="0"/>
              <w:ind w:hanging="2"/>
              <w:rPr>
                <w:rFonts w:ascii="EB Garamond" w:eastAsia="EB Garamond" w:hAnsi="EB Garamond" w:cs="EB Garamond"/>
                <w:sz w:val="20"/>
                <w:szCs w:val="20"/>
              </w:rPr>
            </w:pPr>
          </w:p>
          <w:p w14:paraId="116267FE" w14:textId="77777777" w:rsidR="002034C0" w:rsidRDefault="002034C0">
            <w:pPr>
              <w:widowControl w:val="0"/>
              <w:ind w:hanging="2"/>
              <w:rPr>
                <w:rFonts w:ascii="EB Garamond" w:eastAsia="EB Garamond" w:hAnsi="EB Garamond" w:cs="EB Garamond"/>
                <w:sz w:val="20"/>
                <w:szCs w:val="20"/>
              </w:rPr>
            </w:pPr>
          </w:p>
          <w:p w14:paraId="073C36D8" w14:textId="77777777" w:rsidR="002034C0" w:rsidRDefault="00000000">
            <w:pPr>
              <w:widowControl w:val="0"/>
              <w:ind w:hanging="2"/>
              <w:jc w:val="center"/>
              <w:rPr>
                <w:rFonts w:ascii="EB Garamond" w:eastAsia="EB Garamond" w:hAnsi="EB Garamond" w:cs="EB Garamond"/>
                <w:sz w:val="20"/>
                <w:szCs w:val="20"/>
              </w:rPr>
            </w:pPr>
            <w:r>
              <w:rPr>
                <w:rFonts w:ascii="EB Garamond" w:eastAsia="EB Garamond" w:hAnsi="EB Garamond" w:cs="EB Garamond"/>
                <w:sz w:val="20"/>
                <w:szCs w:val="20"/>
              </w:rPr>
              <w:t>ANGELA MARÍA VERGARA GONZALEZ</w:t>
            </w:r>
          </w:p>
          <w:p w14:paraId="2C10BF75" w14:textId="77777777" w:rsidR="002034C0" w:rsidRDefault="00000000">
            <w:pPr>
              <w:widowControl w:val="0"/>
              <w:ind w:hanging="2"/>
              <w:jc w:val="center"/>
              <w:rPr>
                <w:rFonts w:ascii="EB Garamond" w:eastAsia="EB Garamond" w:hAnsi="EB Garamond" w:cs="EB Garamond"/>
                <w:b/>
                <w:sz w:val="20"/>
                <w:szCs w:val="20"/>
              </w:rPr>
            </w:pPr>
            <w:r>
              <w:rPr>
                <w:rFonts w:ascii="EB Garamond" w:eastAsia="EB Garamond" w:hAnsi="EB Garamond" w:cs="EB Garamond"/>
                <w:b/>
                <w:sz w:val="20"/>
                <w:szCs w:val="20"/>
              </w:rPr>
              <w:t xml:space="preserve">Representante a la Cámara </w:t>
            </w:r>
          </w:p>
          <w:p w14:paraId="198DADD1" w14:textId="77777777" w:rsidR="002034C0" w:rsidRDefault="00000000">
            <w:pPr>
              <w:widowControl w:val="0"/>
              <w:ind w:hanging="2"/>
              <w:jc w:val="center"/>
              <w:rPr>
                <w:rFonts w:ascii="EB Garamond" w:eastAsia="EB Garamond" w:hAnsi="EB Garamond" w:cs="EB Garamond"/>
                <w:b/>
                <w:sz w:val="20"/>
                <w:szCs w:val="20"/>
              </w:rPr>
            </w:pPr>
            <w:r>
              <w:rPr>
                <w:rFonts w:ascii="EB Garamond" w:eastAsia="EB Garamond" w:hAnsi="EB Garamond" w:cs="EB Garamond"/>
                <w:b/>
                <w:sz w:val="20"/>
                <w:szCs w:val="20"/>
              </w:rPr>
              <w:t>Partido Conservador Colombiano</w:t>
            </w:r>
          </w:p>
          <w:p w14:paraId="6B51FB3F" w14:textId="77777777" w:rsidR="002034C0" w:rsidRDefault="002034C0">
            <w:pPr>
              <w:widowControl w:val="0"/>
              <w:ind w:hanging="2"/>
              <w:jc w:val="center"/>
              <w:rPr>
                <w:rFonts w:ascii="EB Garamond" w:eastAsia="EB Garamond" w:hAnsi="EB Garamond" w:cs="EB Garamond"/>
                <w:sz w:val="20"/>
                <w:szCs w:val="20"/>
              </w:rPr>
            </w:pPr>
          </w:p>
          <w:p w14:paraId="4320954D" w14:textId="77777777" w:rsidR="002034C0" w:rsidRDefault="00000000">
            <w:pPr>
              <w:widowControl w:val="0"/>
              <w:ind w:hanging="2"/>
              <w:jc w:val="center"/>
              <w:rPr>
                <w:rFonts w:ascii="Arial" w:eastAsia="Arial" w:hAnsi="Arial" w:cs="Arial"/>
                <w:sz w:val="22"/>
                <w:szCs w:val="22"/>
              </w:rPr>
            </w:pPr>
            <w:r>
              <w:rPr>
                <w:rFonts w:ascii="EB Garamond" w:eastAsia="EB Garamond" w:hAnsi="EB Garamond" w:cs="EB Garamond"/>
                <w:b/>
                <w:sz w:val="20"/>
                <w:szCs w:val="20"/>
              </w:rPr>
              <w:t>COAUTORA</w:t>
            </w:r>
          </w:p>
        </w:tc>
        <w:tc>
          <w:tcPr>
            <w:tcW w:w="4414" w:type="dxa"/>
          </w:tcPr>
          <w:p w14:paraId="540C76B9" w14:textId="77777777" w:rsidR="002034C0" w:rsidRDefault="002034C0">
            <w:pPr>
              <w:widowControl w:val="0"/>
              <w:ind w:hanging="2"/>
              <w:jc w:val="center"/>
              <w:rPr>
                <w:rFonts w:ascii="EB Garamond" w:eastAsia="EB Garamond" w:hAnsi="EB Garamond" w:cs="EB Garamond"/>
                <w:sz w:val="20"/>
                <w:szCs w:val="20"/>
              </w:rPr>
            </w:pPr>
          </w:p>
          <w:p w14:paraId="7D33898B" w14:textId="77777777" w:rsidR="002034C0" w:rsidRDefault="002034C0">
            <w:pPr>
              <w:widowControl w:val="0"/>
              <w:ind w:hanging="2"/>
              <w:jc w:val="center"/>
              <w:rPr>
                <w:rFonts w:ascii="EB Garamond" w:eastAsia="EB Garamond" w:hAnsi="EB Garamond" w:cs="EB Garamond"/>
                <w:sz w:val="20"/>
                <w:szCs w:val="20"/>
              </w:rPr>
            </w:pPr>
          </w:p>
          <w:p w14:paraId="3D30A0BE" w14:textId="77777777" w:rsidR="002034C0" w:rsidRDefault="002034C0">
            <w:pPr>
              <w:widowControl w:val="0"/>
              <w:ind w:hanging="2"/>
              <w:jc w:val="center"/>
              <w:rPr>
                <w:rFonts w:ascii="EB Garamond" w:eastAsia="EB Garamond" w:hAnsi="EB Garamond" w:cs="EB Garamond"/>
                <w:sz w:val="20"/>
                <w:szCs w:val="20"/>
              </w:rPr>
            </w:pPr>
          </w:p>
          <w:p w14:paraId="0D936D9F" w14:textId="77777777" w:rsidR="002034C0" w:rsidRDefault="002034C0">
            <w:pPr>
              <w:widowControl w:val="0"/>
              <w:ind w:hanging="2"/>
              <w:jc w:val="center"/>
              <w:rPr>
                <w:rFonts w:ascii="EB Garamond" w:eastAsia="EB Garamond" w:hAnsi="EB Garamond" w:cs="EB Garamond"/>
                <w:sz w:val="20"/>
                <w:szCs w:val="20"/>
              </w:rPr>
            </w:pPr>
          </w:p>
          <w:p w14:paraId="6BE12302" w14:textId="77777777" w:rsidR="002034C0" w:rsidRDefault="00000000">
            <w:pPr>
              <w:widowControl w:val="0"/>
              <w:ind w:hanging="2"/>
              <w:jc w:val="center"/>
              <w:rPr>
                <w:rFonts w:ascii="EB Garamond" w:eastAsia="EB Garamond" w:hAnsi="EB Garamond" w:cs="EB Garamond"/>
                <w:sz w:val="20"/>
                <w:szCs w:val="20"/>
              </w:rPr>
            </w:pPr>
            <w:r>
              <w:rPr>
                <w:noProof/>
              </w:rPr>
              <w:drawing>
                <wp:anchor distT="114300" distB="114300" distL="114300" distR="114300" simplePos="0" relativeHeight="251663360" behindDoc="0" locked="0" layoutInCell="1" hidden="0" allowOverlap="1" wp14:anchorId="5DD1C9D2" wp14:editId="543865E3">
                  <wp:simplePos x="0" y="0"/>
                  <wp:positionH relativeFrom="column">
                    <wp:posOffset>571500</wp:posOffset>
                  </wp:positionH>
                  <wp:positionV relativeFrom="paragraph">
                    <wp:posOffset>135255</wp:posOffset>
                  </wp:positionV>
                  <wp:extent cx="1520190" cy="238010"/>
                  <wp:effectExtent l="0" t="0" r="0" b="0"/>
                  <wp:wrapNone/>
                  <wp:docPr id="181055326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1520190" cy="238010"/>
                          </a:xfrm>
                          <a:prstGeom prst="rect">
                            <a:avLst/>
                          </a:prstGeom>
                          <a:ln/>
                        </pic:spPr>
                      </pic:pic>
                    </a:graphicData>
                  </a:graphic>
                </wp:anchor>
              </w:drawing>
            </w:r>
          </w:p>
          <w:p w14:paraId="3708F10C" w14:textId="77777777" w:rsidR="002034C0" w:rsidRDefault="002034C0">
            <w:pPr>
              <w:widowControl w:val="0"/>
              <w:ind w:hanging="2"/>
              <w:jc w:val="center"/>
              <w:rPr>
                <w:rFonts w:ascii="EB Garamond" w:eastAsia="EB Garamond" w:hAnsi="EB Garamond" w:cs="EB Garamond"/>
                <w:sz w:val="20"/>
                <w:szCs w:val="20"/>
              </w:rPr>
            </w:pPr>
          </w:p>
          <w:p w14:paraId="6D1433CC" w14:textId="77777777" w:rsidR="002034C0" w:rsidRDefault="002034C0">
            <w:pPr>
              <w:widowControl w:val="0"/>
              <w:ind w:hanging="2"/>
              <w:jc w:val="center"/>
              <w:rPr>
                <w:rFonts w:ascii="EB Garamond" w:eastAsia="EB Garamond" w:hAnsi="EB Garamond" w:cs="EB Garamond"/>
                <w:sz w:val="20"/>
                <w:szCs w:val="20"/>
              </w:rPr>
            </w:pPr>
          </w:p>
          <w:p w14:paraId="3B13FC2A" w14:textId="77777777" w:rsidR="002034C0" w:rsidRDefault="00000000">
            <w:pPr>
              <w:widowControl w:val="0"/>
              <w:ind w:hanging="2"/>
              <w:jc w:val="center"/>
              <w:rPr>
                <w:rFonts w:ascii="EB Garamond" w:eastAsia="EB Garamond" w:hAnsi="EB Garamond" w:cs="EB Garamond"/>
                <w:sz w:val="20"/>
                <w:szCs w:val="20"/>
              </w:rPr>
            </w:pPr>
            <w:r>
              <w:rPr>
                <w:rFonts w:ascii="EB Garamond" w:eastAsia="EB Garamond" w:hAnsi="EB Garamond" w:cs="EB Garamond"/>
                <w:sz w:val="20"/>
                <w:szCs w:val="20"/>
              </w:rPr>
              <w:t>JULIANA ARAY FRANCO</w:t>
            </w:r>
          </w:p>
          <w:p w14:paraId="08BDB632" w14:textId="77777777" w:rsidR="002034C0" w:rsidRDefault="00000000">
            <w:pPr>
              <w:widowControl w:val="0"/>
              <w:ind w:hanging="2"/>
              <w:jc w:val="center"/>
              <w:rPr>
                <w:rFonts w:ascii="EB Garamond" w:eastAsia="EB Garamond" w:hAnsi="EB Garamond" w:cs="EB Garamond"/>
                <w:b/>
                <w:sz w:val="20"/>
                <w:szCs w:val="20"/>
              </w:rPr>
            </w:pPr>
            <w:r>
              <w:rPr>
                <w:rFonts w:ascii="EB Garamond" w:eastAsia="EB Garamond" w:hAnsi="EB Garamond" w:cs="EB Garamond"/>
                <w:b/>
                <w:sz w:val="20"/>
                <w:szCs w:val="20"/>
              </w:rPr>
              <w:t xml:space="preserve">Representante a la Cámara </w:t>
            </w:r>
          </w:p>
          <w:p w14:paraId="710354F5" w14:textId="77777777" w:rsidR="002034C0" w:rsidRDefault="00000000">
            <w:pPr>
              <w:widowControl w:val="0"/>
              <w:ind w:hanging="2"/>
              <w:jc w:val="center"/>
              <w:rPr>
                <w:rFonts w:ascii="EB Garamond" w:eastAsia="EB Garamond" w:hAnsi="EB Garamond" w:cs="EB Garamond"/>
                <w:b/>
                <w:sz w:val="20"/>
                <w:szCs w:val="20"/>
              </w:rPr>
            </w:pPr>
            <w:r>
              <w:rPr>
                <w:rFonts w:ascii="EB Garamond" w:eastAsia="EB Garamond" w:hAnsi="EB Garamond" w:cs="EB Garamond"/>
                <w:b/>
                <w:sz w:val="20"/>
                <w:szCs w:val="20"/>
              </w:rPr>
              <w:t>Partido Conservador Colombiano</w:t>
            </w:r>
          </w:p>
          <w:p w14:paraId="27DF2F12" w14:textId="77777777" w:rsidR="002034C0" w:rsidRDefault="002034C0">
            <w:pPr>
              <w:widowControl w:val="0"/>
              <w:ind w:hanging="2"/>
              <w:jc w:val="center"/>
              <w:rPr>
                <w:rFonts w:ascii="EB Garamond" w:eastAsia="EB Garamond" w:hAnsi="EB Garamond" w:cs="EB Garamond"/>
                <w:sz w:val="20"/>
                <w:szCs w:val="20"/>
              </w:rPr>
            </w:pPr>
          </w:p>
          <w:p w14:paraId="381D86F4" w14:textId="77777777" w:rsidR="002034C0" w:rsidRDefault="00000000">
            <w:pPr>
              <w:widowControl w:val="0"/>
              <w:ind w:hanging="2"/>
              <w:jc w:val="center"/>
              <w:rPr>
                <w:rFonts w:ascii="EB Garamond" w:eastAsia="EB Garamond" w:hAnsi="EB Garamond" w:cs="EB Garamond"/>
                <w:sz w:val="24"/>
                <w:szCs w:val="24"/>
              </w:rPr>
            </w:pPr>
            <w:r>
              <w:rPr>
                <w:rFonts w:ascii="EB Garamond" w:eastAsia="EB Garamond" w:hAnsi="EB Garamond" w:cs="EB Garamond"/>
                <w:b/>
                <w:sz w:val="20"/>
                <w:szCs w:val="20"/>
              </w:rPr>
              <w:t>COAUTORA</w:t>
            </w:r>
            <w:r>
              <w:rPr>
                <w:rFonts w:ascii="EB Garamond" w:eastAsia="EB Garamond" w:hAnsi="EB Garamond" w:cs="EB Garamond"/>
                <w:sz w:val="24"/>
                <w:szCs w:val="24"/>
              </w:rPr>
              <w:br/>
            </w:r>
          </w:p>
        </w:tc>
      </w:tr>
    </w:tbl>
    <w:p w14:paraId="4909FE65" w14:textId="77777777" w:rsidR="002034C0" w:rsidRDefault="002034C0" w:rsidP="00E4481E">
      <w:pPr>
        <w:pBdr>
          <w:top w:val="nil"/>
          <w:left w:val="nil"/>
          <w:bottom w:val="nil"/>
          <w:right w:val="nil"/>
          <w:between w:val="nil"/>
        </w:pBdr>
        <w:spacing w:after="0" w:line="240" w:lineRule="auto"/>
        <w:ind w:firstLine="0"/>
        <w:jc w:val="both"/>
        <w:rPr>
          <w:rFonts w:ascii="Arial Narrow" w:eastAsia="Arial Narrow" w:hAnsi="Arial Narrow" w:cs="Arial Narrow"/>
          <w:sz w:val="24"/>
          <w:szCs w:val="24"/>
        </w:rPr>
      </w:pPr>
    </w:p>
    <w:sectPr w:rsidR="002034C0">
      <w:headerReference w:type="even" r:id="rId21"/>
      <w:headerReference w:type="default" r:id="rId22"/>
      <w:footerReference w:type="even" r:id="rId23"/>
      <w:footerReference w:type="default" r:id="rId24"/>
      <w:headerReference w:type="first" r:id="rId25"/>
      <w:footerReference w:type="first" r:id="rId2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53AC4" w14:textId="77777777" w:rsidR="00C02718" w:rsidRDefault="00C02718">
      <w:pPr>
        <w:spacing w:after="0" w:line="240" w:lineRule="auto"/>
      </w:pPr>
      <w:r>
        <w:separator/>
      </w:r>
    </w:p>
  </w:endnote>
  <w:endnote w:type="continuationSeparator" w:id="0">
    <w:p w14:paraId="49E2734E" w14:textId="77777777" w:rsidR="00C02718" w:rsidRDefault="00C02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EB Garamond">
    <w:panose1 w:val="00000500000000000000"/>
    <w:charset w:val="00"/>
    <w:family w:val="auto"/>
    <w:pitch w:val="variable"/>
    <w:sig w:usb0="E00002FF" w:usb1="020004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77B0" w14:textId="77777777" w:rsidR="002034C0" w:rsidRDefault="002034C0">
    <w:pPr>
      <w:pBdr>
        <w:top w:val="nil"/>
        <w:left w:val="nil"/>
        <w:bottom w:val="nil"/>
        <w:right w:val="nil"/>
        <w:between w:val="nil"/>
      </w:pBdr>
      <w:spacing w:after="0" w:line="240" w:lineRule="auto"/>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00FC" w14:textId="77777777" w:rsidR="002034C0" w:rsidRDefault="002034C0">
    <w:pPr>
      <w:pBdr>
        <w:top w:val="nil"/>
        <w:left w:val="nil"/>
        <w:bottom w:val="nil"/>
        <w:right w:val="nil"/>
        <w:between w:val="nil"/>
      </w:pBdr>
      <w:spacing w:after="0" w:line="240" w:lineRule="auto"/>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11ED" w14:textId="77777777" w:rsidR="002034C0" w:rsidRDefault="002034C0">
    <w:pPr>
      <w:pBdr>
        <w:top w:val="nil"/>
        <w:left w:val="nil"/>
        <w:bottom w:val="nil"/>
        <w:right w:val="nil"/>
        <w:between w:val="nil"/>
      </w:pBdr>
      <w:spacing w:after="0" w:line="240" w:lineRule="auto"/>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8E0C1" w14:textId="77777777" w:rsidR="00C02718" w:rsidRDefault="00C02718">
      <w:pPr>
        <w:spacing w:after="0" w:line="240" w:lineRule="auto"/>
      </w:pPr>
      <w:r>
        <w:separator/>
      </w:r>
    </w:p>
  </w:footnote>
  <w:footnote w:type="continuationSeparator" w:id="0">
    <w:p w14:paraId="41AB655D" w14:textId="77777777" w:rsidR="00C02718" w:rsidRDefault="00C02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B151" w14:textId="77777777" w:rsidR="002034C0" w:rsidRDefault="002034C0">
    <w:pPr>
      <w:pBdr>
        <w:top w:val="nil"/>
        <w:left w:val="nil"/>
        <w:bottom w:val="nil"/>
        <w:right w:val="nil"/>
        <w:between w:val="nil"/>
      </w:pBdr>
      <w:spacing w:after="0" w:line="240" w:lineRule="auto"/>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3F1D4" w14:textId="77777777" w:rsidR="002034C0" w:rsidRDefault="00000000">
    <w:pPr>
      <w:pBdr>
        <w:top w:val="nil"/>
        <w:left w:val="nil"/>
        <w:bottom w:val="nil"/>
        <w:right w:val="nil"/>
        <w:between w:val="nil"/>
      </w:pBdr>
      <w:spacing w:after="0" w:line="240" w:lineRule="auto"/>
      <w:ind w:hanging="2"/>
      <w:rPr>
        <w:color w:val="000000"/>
      </w:rPr>
    </w:pPr>
    <w:r>
      <w:rPr>
        <w:noProof/>
        <w:color w:val="000000"/>
      </w:rPr>
      <w:drawing>
        <wp:inline distT="0" distB="0" distL="0" distR="0" wp14:anchorId="39494566" wp14:editId="4AF82954">
          <wp:extent cx="1171654" cy="476987"/>
          <wp:effectExtent l="0" t="0" r="0" b="0"/>
          <wp:docPr id="181055326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
                  <a:srcRect l="23668" t="37713" r="22321" b="40298"/>
                  <a:stretch>
                    <a:fillRect/>
                  </a:stretch>
                </pic:blipFill>
                <pic:spPr>
                  <a:xfrm>
                    <a:off x="0" y="0"/>
                    <a:ext cx="1171654" cy="476987"/>
                  </a:xfrm>
                  <a:prstGeom prst="rect">
                    <a:avLst/>
                  </a:prstGeom>
                  <a:ln/>
                </pic:spPr>
              </pic:pic>
            </a:graphicData>
          </a:graphic>
        </wp:inline>
      </w:drawing>
    </w:r>
    <w:r>
      <w:rPr>
        <w:color w:val="000000"/>
      </w:rPr>
      <w:t xml:space="preserve">                                                                                                        </w:t>
    </w:r>
    <w:r>
      <w:rPr>
        <w:noProof/>
      </w:rPr>
      <w:drawing>
        <wp:inline distT="0" distB="0" distL="114300" distR="114300" wp14:anchorId="2D565C1A" wp14:editId="65180A17">
          <wp:extent cx="1167441" cy="386464"/>
          <wp:effectExtent l="0" t="0" r="0" b="0"/>
          <wp:docPr id="1810553266"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2"/>
                  <a:srcRect/>
                  <a:stretch>
                    <a:fillRect/>
                  </a:stretch>
                </pic:blipFill>
                <pic:spPr>
                  <a:xfrm>
                    <a:off x="0" y="0"/>
                    <a:ext cx="1167441" cy="386464"/>
                  </a:xfrm>
                  <a:prstGeom prst="rect">
                    <a:avLst/>
                  </a:prstGeom>
                  <a:ln/>
                </pic:spPr>
              </pic:pic>
            </a:graphicData>
          </a:graphic>
        </wp:inline>
      </w:drawing>
    </w:r>
  </w:p>
  <w:p w14:paraId="5A410BA2" w14:textId="77777777" w:rsidR="002034C0" w:rsidRDefault="002034C0">
    <w:pPr>
      <w:pBdr>
        <w:top w:val="nil"/>
        <w:left w:val="nil"/>
        <w:bottom w:val="nil"/>
        <w:right w:val="nil"/>
        <w:between w:val="nil"/>
      </w:pBdr>
      <w:spacing w:after="0" w:line="240" w:lineRule="auto"/>
      <w:ind w:hanging="2"/>
      <w:jc w:val="center"/>
      <w:rPr>
        <w:color w:val="000000"/>
      </w:rPr>
    </w:pPr>
  </w:p>
  <w:p w14:paraId="0C6839D8" w14:textId="77777777" w:rsidR="002034C0" w:rsidRDefault="002034C0">
    <w:pPr>
      <w:pBdr>
        <w:top w:val="nil"/>
        <w:left w:val="nil"/>
        <w:bottom w:val="nil"/>
        <w:right w:val="nil"/>
        <w:between w:val="nil"/>
      </w:pBdr>
      <w:spacing w:after="0" w:line="240" w:lineRule="auto"/>
      <w:ind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E670" w14:textId="77777777" w:rsidR="002034C0" w:rsidRDefault="002034C0">
    <w:pPr>
      <w:pBdr>
        <w:top w:val="nil"/>
        <w:left w:val="nil"/>
        <w:bottom w:val="nil"/>
        <w:right w:val="nil"/>
        <w:between w:val="nil"/>
      </w:pBdr>
      <w:spacing w:after="0" w:line="240" w:lineRule="auto"/>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6DB"/>
    <w:multiLevelType w:val="multilevel"/>
    <w:tmpl w:val="573C0BBA"/>
    <w:lvl w:ilvl="0">
      <w:start w:val="1"/>
      <w:numFmt w:val="bullet"/>
      <w:lvlText w:val="●"/>
      <w:lvlJc w:val="left"/>
      <w:pPr>
        <w:ind w:left="70" w:firstLine="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5076CC"/>
    <w:multiLevelType w:val="multilevel"/>
    <w:tmpl w:val="6C8E1AD6"/>
    <w:lvl w:ilvl="0">
      <w:start w:val="1"/>
      <w:numFmt w:val="upperRoman"/>
      <w:lvlText w:val="%1."/>
      <w:lvlJc w:val="left"/>
      <w:pPr>
        <w:ind w:left="718" w:hanging="720"/>
      </w:pPr>
      <w:rPr>
        <w:vertAlign w:val="baseline"/>
      </w:rPr>
    </w:lvl>
    <w:lvl w:ilvl="1">
      <w:start w:val="1"/>
      <w:numFmt w:val="lowerLetter"/>
      <w:lvlText w:val="%2."/>
      <w:lvlJc w:val="left"/>
      <w:pPr>
        <w:ind w:left="1078" w:hanging="360"/>
      </w:pPr>
      <w:rPr>
        <w:vertAlign w:val="baseline"/>
      </w:rPr>
    </w:lvl>
    <w:lvl w:ilvl="2">
      <w:start w:val="1"/>
      <w:numFmt w:val="lowerRoman"/>
      <w:lvlText w:val="%3."/>
      <w:lvlJc w:val="right"/>
      <w:pPr>
        <w:ind w:left="1798" w:hanging="180"/>
      </w:pPr>
      <w:rPr>
        <w:vertAlign w:val="baseline"/>
      </w:rPr>
    </w:lvl>
    <w:lvl w:ilvl="3">
      <w:start w:val="1"/>
      <w:numFmt w:val="decimal"/>
      <w:lvlText w:val="%4."/>
      <w:lvlJc w:val="left"/>
      <w:pPr>
        <w:ind w:left="2518" w:hanging="360"/>
      </w:pPr>
      <w:rPr>
        <w:vertAlign w:val="baseline"/>
      </w:rPr>
    </w:lvl>
    <w:lvl w:ilvl="4">
      <w:start w:val="1"/>
      <w:numFmt w:val="lowerLetter"/>
      <w:lvlText w:val="%5."/>
      <w:lvlJc w:val="left"/>
      <w:pPr>
        <w:ind w:left="3238" w:hanging="360"/>
      </w:pPr>
      <w:rPr>
        <w:vertAlign w:val="baseline"/>
      </w:rPr>
    </w:lvl>
    <w:lvl w:ilvl="5">
      <w:start w:val="1"/>
      <w:numFmt w:val="lowerRoman"/>
      <w:lvlText w:val="%6."/>
      <w:lvlJc w:val="right"/>
      <w:pPr>
        <w:ind w:left="3958" w:hanging="180"/>
      </w:pPr>
      <w:rPr>
        <w:vertAlign w:val="baseline"/>
      </w:rPr>
    </w:lvl>
    <w:lvl w:ilvl="6">
      <w:start w:val="1"/>
      <w:numFmt w:val="decimal"/>
      <w:lvlText w:val="%7."/>
      <w:lvlJc w:val="left"/>
      <w:pPr>
        <w:ind w:left="4678" w:hanging="360"/>
      </w:pPr>
      <w:rPr>
        <w:vertAlign w:val="baseline"/>
      </w:rPr>
    </w:lvl>
    <w:lvl w:ilvl="7">
      <w:start w:val="1"/>
      <w:numFmt w:val="lowerLetter"/>
      <w:lvlText w:val="%8."/>
      <w:lvlJc w:val="left"/>
      <w:pPr>
        <w:ind w:left="5398" w:hanging="360"/>
      </w:pPr>
      <w:rPr>
        <w:vertAlign w:val="baseline"/>
      </w:rPr>
    </w:lvl>
    <w:lvl w:ilvl="8">
      <w:start w:val="1"/>
      <w:numFmt w:val="lowerRoman"/>
      <w:lvlText w:val="%9."/>
      <w:lvlJc w:val="right"/>
      <w:pPr>
        <w:ind w:left="6118" w:hanging="180"/>
      </w:pPr>
      <w:rPr>
        <w:vertAlign w:val="baseline"/>
      </w:rPr>
    </w:lvl>
  </w:abstractNum>
  <w:abstractNum w:abstractNumId="2" w15:restartNumberingAfterBreak="0">
    <w:nsid w:val="5CE100AA"/>
    <w:multiLevelType w:val="multilevel"/>
    <w:tmpl w:val="62AA6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31490782">
    <w:abstractNumId w:val="0"/>
  </w:num>
  <w:num w:numId="2" w16cid:durableId="836656765">
    <w:abstractNumId w:val="1"/>
  </w:num>
  <w:num w:numId="3" w16cid:durableId="292952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4C0"/>
    <w:rsid w:val="000D7D0B"/>
    <w:rsid w:val="002034C0"/>
    <w:rsid w:val="005705A7"/>
    <w:rsid w:val="00C02718"/>
    <w:rsid w:val="00E448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726130A0"/>
  <w15:docId w15:val="{FE30EBE0-2734-2F4D-A6B2-8581865B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1"/>
        <w:szCs w:val="21"/>
        <w:lang w:val="es-CO" w:eastAsia="es-MX" w:bidi="ar-SA"/>
      </w:rPr>
    </w:rPrDefault>
    <w:pPrDefault>
      <w:pPr>
        <w:spacing w:after="200" w:line="288"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60" w:after="40" w:line="240" w:lineRule="auto"/>
      <w:outlineLvl w:val="0"/>
    </w:pPr>
    <w:rPr>
      <w:color w:val="538135"/>
      <w:sz w:val="40"/>
      <w:szCs w:val="40"/>
    </w:rPr>
  </w:style>
  <w:style w:type="paragraph" w:styleId="Ttulo2">
    <w:name w:val="heading 2"/>
    <w:basedOn w:val="Normal"/>
    <w:next w:val="Normal"/>
    <w:uiPriority w:val="9"/>
    <w:semiHidden/>
    <w:unhideWhenUsed/>
    <w:qFormat/>
    <w:pPr>
      <w:keepNext/>
      <w:keepLines/>
      <w:spacing w:before="80" w:after="0" w:line="240" w:lineRule="auto"/>
      <w:outlineLvl w:val="1"/>
    </w:pPr>
    <w:rPr>
      <w:color w:val="538135"/>
      <w:sz w:val="28"/>
      <w:szCs w:val="28"/>
    </w:rPr>
  </w:style>
  <w:style w:type="paragraph" w:styleId="Ttulo3">
    <w:name w:val="heading 3"/>
    <w:basedOn w:val="Normal"/>
    <w:next w:val="Normal"/>
    <w:uiPriority w:val="9"/>
    <w:semiHidden/>
    <w:unhideWhenUsed/>
    <w:qFormat/>
    <w:pPr>
      <w:keepNext/>
      <w:keepLines/>
      <w:spacing w:before="80" w:after="0" w:line="240" w:lineRule="auto"/>
      <w:outlineLvl w:val="2"/>
    </w:pPr>
    <w:rPr>
      <w:color w:val="538135"/>
      <w:sz w:val="24"/>
      <w:szCs w:val="24"/>
    </w:rPr>
  </w:style>
  <w:style w:type="paragraph" w:styleId="Ttulo4">
    <w:name w:val="heading 4"/>
    <w:basedOn w:val="Normal"/>
    <w:next w:val="Normal"/>
    <w:uiPriority w:val="9"/>
    <w:semiHidden/>
    <w:unhideWhenUsed/>
    <w:qFormat/>
    <w:pPr>
      <w:keepNext/>
      <w:keepLines/>
      <w:spacing w:before="80" w:after="0"/>
      <w:outlineLvl w:val="3"/>
    </w:pPr>
    <w:rPr>
      <w:color w:val="70AD47"/>
      <w:sz w:val="22"/>
      <w:szCs w:val="22"/>
    </w:rPr>
  </w:style>
  <w:style w:type="paragraph" w:styleId="Ttulo5">
    <w:name w:val="heading 5"/>
    <w:basedOn w:val="Normal"/>
    <w:next w:val="Normal"/>
    <w:uiPriority w:val="9"/>
    <w:semiHidden/>
    <w:unhideWhenUsed/>
    <w:qFormat/>
    <w:pPr>
      <w:keepNext/>
      <w:keepLines/>
      <w:spacing w:before="40" w:after="0"/>
      <w:outlineLvl w:val="4"/>
    </w:pPr>
    <w:rPr>
      <w:i/>
      <w:color w:val="70AD47"/>
      <w:sz w:val="22"/>
      <w:szCs w:val="22"/>
    </w:rPr>
  </w:style>
  <w:style w:type="paragraph" w:styleId="Ttulo6">
    <w:name w:val="heading 6"/>
    <w:basedOn w:val="Normal"/>
    <w:next w:val="Normal"/>
    <w:uiPriority w:val="9"/>
    <w:semiHidden/>
    <w:unhideWhenUsed/>
    <w:qFormat/>
    <w:pPr>
      <w:keepNext/>
      <w:keepLines/>
      <w:spacing w:before="40" w:after="0"/>
      <w:outlineLvl w:val="5"/>
    </w:pPr>
    <w:rPr>
      <w:color w:val="70AD47"/>
    </w:rPr>
  </w:style>
  <w:style w:type="paragraph" w:styleId="Ttulo7">
    <w:name w:val="heading 7"/>
    <w:basedOn w:val="Normal"/>
    <w:next w:val="Normal"/>
    <w:pPr>
      <w:keepNext/>
      <w:keepLines/>
      <w:spacing w:before="40" w:after="0"/>
      <w:outlineLvl w:val="6"/>
    </w:pPr>
    <w:rPr>
      <w:rFonts w:ascii="Calibri Light" w:eastAsia="Times New Roman" w:hAnsi="Calibri Light" w:cs="Times New Roman"/>
      <w:b/>
      <w:bCs/>
      <w:color w:val="70AD47"/>
    </w:rPr>
  </w:style>
  <w:style w:type="paragraph" w:styleId="Ttulo8">
    <w:name w:val="heading 8"/>
    <w:basedOn w:val="Normal"/>
    <w:next w:val="Normal"/>
    <w:pPr>
      <w:keepNext/>
      <w:keepLines/>
      <w:spacing w:before="4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pPr>
      <w:keepNext/>
      <w:keepLines/>
      <w:spacing w:before="4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spacing w:after="0" w:line="240" w:lineRule="auto"/>
    </w:pPr>
    <w:rPr>
      <w:color w:val="262626"/>
      <w:sz w:val="96"/>
      <w:szCs w:val="96"/>
    </w:rPr>
  </w:style>
  <w:style w:type="table" w:customStyle="1" w:styleId="TableNormal0">
    <w:name w:val="TableNormal"/>
    <w:tblPr>
      <w:tblCellMar>
        <w:top w:w="100" w:type="dxa"/>
        <w:left w:w="100" w:type="dxa"/>
        <w:bottom w:w="100" w:type="dxa"/>
        <w:right w:w="10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next w:val="TableNormal8"/>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rPr>
      <w:w w:val="100"/>
      <w:position w:val="-1"/>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Sinespaciado">
    <w:name w:val="No Spacing"/>
    <w:pPr>
      <w:spacing w:line="1" w:lineRule="atLeast"/>
      <w:ind w:leftChars="-1" w:left="-1" w:hangingChars="1"/>
      <w:textAlignment w:val="top"/>
      <w:outlineLvl w:val="0"/>
    </w:pPr>
    <w:rPr>
      <w:position w:val="-1"/>
      <w:lang w:eastAsia="en-US"/>
    </w:rPr>
  </w:style>
  <w:style w:type="character" w:customStyle="1" w:styleId="apple-converted-space">
    <w:name w:val="apple-converted-space"/>
    <w:rPr>
      <w:w w:val="100"/>
      <w:position w:val="-1"/>
      <w:effect w:val="none"/>
      <w:vertAlign w:val="baseline"/>
      <w:cs w:val="0"/>
      <w:em w:val="none"/>
    </w:rPr>
  </w:style>
  <w:style w:type="paragraph" w:styleId="Encabezado">
    <w:name w:val="header"/>
    <w:basedOn w:val="Normal"/>
    <w:pPr>
      <w:spacing w:after="0" w:line="240" w:lineRule="auto"/>
    </w:pPr>
  </w:style>
  <w:style w:type="character" w:customStyle="1" w:styleId="EncabezadoCar">
    <w:name w:val="Encabezado Car"/>
    <w:rPr>
      <w:w w:val="100"/>
      <w:position w:val="-1"/>
      <w:effect w:val="none"/>
      <w:vertAlign w:val="baseline"/>
      <w:cs w:val="0"/>
      <w:em w:val="none"/>
    </w:rPr>
  </w:style>
  <w:style w:type="paragraph" w:styleId="Piedepgina">
    <w:name w:val="footer"/>
    <w:basedOn w:val="Normal"/>
    <w:pPr>
      <w:spacing w:after="0" w:line="240" w:lineRule="auto"/>
    </w:pPr>
  </w:style>
  <w:style w:type="character" w:customStyle="1" w:styleId="PiedepginaCar">
    <w:name w:val="Pie de página Car"/>
    <w:rPr>
      <w:w w:val="100"/>
      <w:position w:val="-1"/>
      <w:effect w:val="none"/>
      <w:vertAlign w:val="baseline"/>
      <w:cs w:val="0"/>
      <w:em w:val="none"/>
    </w:rPr>
  </w:style>
  <w:style w:type="character" w:styleId="Hipervnculo">
    <w:name w:val="Hyperlink"/>
    <w:rPr>
      <w:color w:val="0000FF"/>
      <w:w w:val="100"/>
      <w:position w:val="-1"/>
      <w:u w:val="single"/>
      <w:effect w:val="none"/>
      <w:vertAlign w:val="baseline"/>
      <w:cs w:val="0"/>
      <w:em w:val="none"/>
    </w:rPr>
  </w:style>
  <w:style w:type="character" w:customStyle="1" w:styleId="Ttulo3Car">
    <w:name w:val="Título 3 Car"/>
    <w:rPr>
      <w:rFonts w:ascii="Calibri Light" w:eastAsia="Times New Roman" w:hAnsi="Calibri Light" w:cs="Times New Roman"/>
      <w:color w:val="538135"/>
      <w:w w:val="100"/>
      <w:position w:val="-1"/>
      <w:sz w:val="24"/>
      <w:szCs w:val="24"/>
      <w:effect w:val="none"/>
      <w:vertAlign w:val="baseline"/>
      <w:cs w:val="0"/>
      <w:em w:val="none"/>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pPr>
      <w:spacing w:line="240" w:lineRule="auto"/>
    </w:pPr>
    <w:rPr>
      <w:sz w:val="20"/>
      <w:szCs w:val="20"/>
    </w:rPr>
  </w:style>
  <w:style w:type="character" w:customStyle="1" w:styleId="TextocomentarioCar">
    <w:name w:val="Texto comentario Car"/>
    <w:rPr>
      <w:w w:val="100"/>
      <w:position w:val="-1"/>
      <w:sz w:val="20"/>
      <w:szCs w:val="20"/>
      <w:effect w:val="none"/>
      <w:vertAlign w:val="baseline"/>
      <w:cs w:val="0"/>
      <w:em w:val="none"/>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b/>
      <w:bCs/>
      <w:w w:val="100"/>
      <w:position w:val="-1"/>
      <w:sz w:val="20"/>
      <w:szCs w:val="20"/>
      <w:effect w:val="none"/>
      <w:vertAlign w:val="baseline"/>
      <w:cs w:val="0"/>
      <w:em w:val="none"/>
    </w:rPr>
  </w:style>
  <w:style w:type="paragraph" w:styleId="Textodeglobo">
    <w:name w:val="Balloon Text"/>
    <w:basedOn w:val="Normal"/>
    <w:pPr>
      <w:spacing w:after="0" w:line="240" w:lineRule="auto"/>
    </w:pPr>
    <w:rPr>
      <w:rFonts w:ascii="Segoe UI" w:hAnsi="Segoe UI" w:cs="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rPr>
  </w:style>
  <w:style w:type="paragraph" w:styleId="Textonotapie">
    <w:name w:val="footnote text"/>
    <w:basedOn w:val="Normal"/>
    <w:pPr>
      <w:spacing w:after="0" w:line="240" w:lineRule="auto"/>
    </w:pPr>
    <w:rPr>
      <w:sz w:val="20"/>
      <w:szCs w:val="20"/>
    </w:rPr>
  </w:style>
  <w:style w:type="character" w:customStyle="1" w:styleId="TextonotapieCar">
    <w:name w:val="Texto nota pie Car"/>
    <w:rPr>
      <w:w w:val="100"/>
      <w:position w:val="-1"/>
      <w:sz w:val="20"/>
      <w:szCs w:val="20"/>
      <w:effect w:val="none"/>
      <w:vertAlign w:val="baseline"/>
      <w:cs w:val="0"/>
      <w:em w:val="none"/>
    </w:rPr>
  </w:style>
  <w:style w:type="character" w:styleId="Refdenotaalpie">
    <w:name w:val="footnote reference"/>
    <w:rPr>
      <w:w w:val="100"/>
      <w:position w:val="-1"/>
      <w:effect w:val="none"/>
      <w:vertAlign w:val="superscript"/>
      <w:cs w:val="0"/>
      <w:em w:val="none"/>
    </w:rPr>
  </w:style>
  <w:style w:type="character" w:customStyle="1" w:styleId="Ttulo1Car">
    <w:name w:val="Título 1 Car"/>
    <w:rPr>
      <w:rFonts w:ascii="Calibri Light" w:eastAsia="Times New Roman" w:hAnsi="Calibri Light" w:cs="Times New Roman"/>
      <w:color w:val="538135"/>
      <w:w w:val="100"/>
      <w:position w:val="-1"/>
      <w:sz w:val="40"/>
      <w:szCs w:val="40"/>
      <w:effect w:val="none"/>
      <w:vertAlign w:val="baseline"/>
      <w:cs w:val="0"/>
      <w:em w:val="none"/>
    </w:rPr>
  </w:style>
  <w:style w:type="character" w:customStyle="1" w:styleId="Ttulo2Car">
    <w:name w:val="Título 2 Car"/>
    <w:rPr>
      <w:rFonts w:ascii="Calibri Light" w:eastAsia="Times New Roman" w:hAnsi="Calibri Light" w:cs="Times New Roman"/>
      <w:color w:val="538135"/>
      <w:w w:val="100"/>
      <w:position w:val="-1"/>
      <w:sz w:val="28"/>
      <w:szCs w:val="28"/>
      <w:effect w:val="none"/>
      <w:vertAlign w:val="baseline"/>
      <w:cs w:val="0"/>
      <w:em w:val="none"/>
    </w:rPr>
  </w:style>
  <w:style w:type="character" w:customStyle="1" w:styleId="Ttulo4Car">
    <w:name w:val="Título 4 Car"/>
    <w:rPr>
      <w:rFonts w:ascii="Calibri Light" w:eastAsia="Times New Roman" w:hAnsi="Calibri Light" w:cs="Times New Roman"/>
      <w:color w:val="70AD47"/>
      <w:w w:val="100"/>
      <w:position w:val="-1"/>
      <w:sz w:val="22"/>
      <w:szCs w:val="22"/>
      <w:effect w:val="none"/>
      <w:vertAlign w:val="baseline"/>
      <w:cs w:val="0"/>
      <w:em w:val="none"/>
    </w:rPr>
  </w:style>
  <w:style w:type="character" w:customStyle="1" w:styleId="Ttulo5Car">
    <w:name w:val="Título 5 Car"/>
    <w:rPr>
      <w:rFonts w:ascii="Calibri Light" w:eastAsia="Times New Roman" w:hAnsi="Calibri Light" w:cs="Times New Roman"/>
      <w:i/>
      <w:iCs/>
      <w:color w:val="70AD47"/>
      <w:w w:val="100"/>
      <w:position w:val="-1"/>
      <w:sz w:val="22"/>
      <w:szCs w:val="22"/>
      <w:effect w:val="none"/>
      <w:vertAlign w:val="baseline"/>
      <w:cs w:val="0"/>
      <w:em w:val="none"/>
    </w:rPr>
  </w:style>
  <w:style w:type="character" w:customStyle="1" w:styleId="Ttulo6Car">
    <w:name w:val="Título 6 Car"/>
    <w:rPr>
      <w:rFonts w:ascii="Calibri Light" w:eastAsia="Times New Roman" w:hAnsi="Calibri Light" w:cs="Times New Roman"/>
      <w:color w:val="70AD47"/>
      <w:w w:val="100"/>
      <w:position w:val="-1"/>
      <w:effect w:val="none"/>
      <w:vertAlign w:val="baseline"/>
      <w:cs w:val="0"/>
      <w:em w:val="none"/>
    </w:rPr>
  </w:style>
  <w:style w:type="character" w:customStyle="1" w:styleId="Ttulo7Car">
    <w:name w:val="Título 7 Car"/>
    <w:rPr>
      <w:rFonts w:ascii="Calibri Light" w:eastAsia="Times New Roman" w:hAnsi="Calibri Light" w:cs="Times New Roman"/>
      <w:b/>
      <w:bCs/>
      <w:color w:val="70AD47"/>
      <w:w w:val="100"/>
      <w:position w:val="-1"/>
      <w:effect w:val="none"/>
      <w:vertAlign w:val="baseline"/>
      <w:cs w:val="0"/>
      <w:em w:val="none"/>
    </w:rPr>
  </w:style>
  <w:style w:type="character" w:customStyle="1" w:styleId="Ttulo8Car">
    <w:name w:val="Título 8 Car"/>
    <w:rPr>
      <w:rFonts w:ascii="Calibri Light" w:eastAsia="Times New Roman" w:hAnsi="Calibri Light" w:cs="Times New Roman"/>
      <w:b/>
      <w:bCs/>
      <w:i/>
      <w:iCs/>
      <w:color w:val="70AD47"/>
      <w:w w:val="100"/>
      <w:position w:val="-1"/>
      <w:sz w:val="20"/>
      <w:szCs w:val="20"/>
      <w:effect w:val="none"/>
      <w:vertAlign w:val="baseline"/>
      <w:cs w:val="0"/>
      <w:em w:val="none"/>
    </w:rPr>
  </w:style>
  <w:style w:type="character" w:customStyle="1" w:styleId="Ttulo9Car">
    <w:name w:val="Título 9 Car"/>
    <w:rPr>
      <w:rFonts w:ascii="Calibri Light" w:eastAsia="Times New Roman" w:hAnsi="Calibri Light" w:cs="Times New Roman"/>
      <w:i/>
      <w:iCs/>
      <w:color w:val="70AD47"/>
      <w:w w:val="100"/>
      <w:position w:val="-1"/>
      <w:sz w:val="20"/>
      <w:szCs w:val="20"/>
      <w:effect w:val="none"/>
      <w:vertAlign w:val="baseline"/>
      <w:cs w:val="0"/>
      <w:em w:val="none"/>
    </w:rPr>
  </w:style>
  <w:style w:type="paragraph" w:styleId="Descripcin">
    <w:name w:val="caption"/>
    <w:basedOn w:val="Normal"/>
    <w:next w:val="Normal"/>
    <w:pPr>
      <w:spacing w:line="240" w:lineRule="auto"/>
    </w:pPr>
    <w:rPr>
      <w:b/>
      <w:bCs/>
      <w:smallCaps/>
      <w:color w:val="595959"/>
    </w:rPr>
  </w:style>
  <w:style w:type="character" w:customStyle="1" w:styleId="TtuloCar">
    <w:name w:val="Título Car"/>
    <w:rPr>
      <w:rFonts w:ascii="Calibri Light" w:eastAsia="Times New Roman" w:hAnsi="Calibri Light" w:cs="Times New Roman"/>
      <w:color w:val="262626"/>
      <w:spacing w:val="-15"/>
      <w:w w:val="100"/>
      <w:position w:val="-1"/>
      <w:sz w:val="96"/>
      <w:szCs w:val="96"/>
      <w:effect w:val="none"/>
      <w:vertAlign w:val="baseline"/>
      <w:cs w:val="0"/>
      <w:em w:val="none"/>
    </w:rPr>
  </w:style>
  <w:style w:type="character" w:customStyle="1" w:styleId="SubttuloCar">
    <w:name w:val="Subtítulo Car"/>
    <w:rPr>
      <w:rFonts w:ascii="Calibri Light" w:eastAsia="Times New Roman" w:hAnsi="Calibri Light" w:cs="Times New Roman"/>
      <w:w w:val="100"/>
      <w:position w:val="-1"/>
      <w:sz w:val="30"/>
      <w:szCs w:val="30"/>
      <w:effect w:val="none"/>
      <w:vertAlign w:val="baseline"/>
      <w:cs w:val="0"/>
      <w:em w:val="none"/>
    </w:rPr>
  </w:style>
  <w:style w:type="character" w:styleId="nfasis">
    <w:name w:val="Emphasis"/>
    <w:rPr>
      <w:i/>
      <w:iCs/>
      <w:color w:val="70AD47"/>
      <w:w w:val="100"/>
      <w:position w:val="-1"/>
      <w:effect w:val="none"/>
      <w:vertAlign w:val="baseline"/>
      <w:cs w:val="0"/>
      <w:em w:val="none"/>
    </w:rPr>
  </w:style>
  <w:style w:type="paragraph" w:styleId="Cita">
    <w:name w:val="Quote"/>
    <w:basedOn w:val="Normal"/>
    <w:next w:val="Normal"/>
    <w:pPr>
      <w:spacing w:before="160"/>
      <w:ind w:left="720" w:right="720"/>
      <w:jc w:val="center"/>
    </w:pPr>
    <w:rPr>
      <w:i/>
      <w:iCs/>
      <w:color w:val="262626"/>
    </w:rPr>
  </w:style>
  <w:style w:type="character" w:customStyle="1" w:styleId="CitaCar">
    <w:name w:val="Cita Car"/>
    <w:rPr>
      <w:i/>
      <w:iCs/>
      <w:color w:val="262626"/>
      <w:w w:val="100"/>
      <w:position w:val="-1"/>
      <w:effect w:val="none"/>
      <w:vertAlign w:val="baseline"/>
      <w:cs w:val="0"/>
      <w:em w:val="none"/>
    </w:rPr>
  </w:style>
  <w:style w:type="paragraph" w:styleId="Citadestacada">
    <w:name w:val="Intense Quote"/>
    <w:basedOn w:val="Normal"/>
    <w:next w:val="Normal"/>
    <w:pPr>
      <w:spacing w:before="160" w:after="160" w:line="264" w:lineRule="auto"/>
      <w:ind w:left="720" w:right="720"/>
      <w:jc w:val="center"/>
    </w:pPr>
    <w:rPr>
      <w:rFonts w:ascii="Calibri Light" w:eastAsia="Times New Roman" w:hAnsi="Calibri Light" w:cs="Times New Roman"/>
      <w:i/>
      <w:iCs/>
      <w:color w:val="70AD47"/>
      <w:sz w:val="32"/>
      <w:szCs w:val="32"/>
    </w:rPr>
  </w:style>
  <w:style w:type="character" w:customStyle="1" w:styleId="CitadestacadaCar">
    <w:name w:val="Cita destacada Car"/>
    <w:rPr>
      <w:rFonts w:ascii="Calibri Light" w:eastAsia="Times New Roman" w:hAnsi="Calibri Light" w:cs="Times New Roman"/>
      <w:i/>
      <w:iCs/>
      <w:color w:val="70AD47"/>
      <w:w w:val="100"/>
      <w:position w:val="-1"/>
      <w:sz w:val="32"/>
      <w:szCs w:val="32"/>
      <w:effect w:val="none"/>
      <w:vertAlign w:val="baseline"/>
      <w:cs w:val="0"/>
      <w:em w:val="none"/>
    </w:rPr>
  </w:style>
  <w:style w:type="character" w:styleId="nfasissutil">
    <w:name w:val="Subtle Emphasis"/>
    <w:rPr>
      <w:i/>
      <w:iCs/>
      <w:w w:val="100"/>
      <w:position w:val="-1"/>
      <w:effect w:val="none"/>
      <w:vertAlign w:val="baseline"/>
      <w:cs w:val="0"/>
      <w:em w:val="none"/>
    </w:rPr>
  </w:style>
  <w:style w:type="character" w:styleId="nfasisintenso">
    <w:name w:val="Intense Emphasis"/>
    <w:rPr>
      <w:b/>
      <w:bCs/>
      <w:i/>
      <w:iCs/>
      <w:w w:val="100"/>
      <w:position w:val="-1"/>
      <w:effect w:val="none"/>
      <w:vertAlign w:val="baseline"/>
      <w:cs w:val="0"/>
      <w:em w:val="none"/>
    </w:rPr>
  </w:style>
  <w:style w:type="character" w:styleId="Referenciasutil">
    <w:name w:val="Subtle Reference"/>
    <w:rPr>
      <w:smallCaps/>
      <w:color w:val="595959"/>
      <w:w w:val="100"/>
      <w:position w:val="-1"/>
      <w:effect w:val="none"/>
      <w:vertAlign w:val="baseline"/>
      <w:cs w:val="0"/>
      <w:em w:val="none"/>
    </w:rPr>
  </w:style>
  <w:style w:type="character" w:styleId="Referenciaintensa">
    <w:name w:val="Intense Reference"/>
    <w:rPr>
      <w:b/>
      <w:bCs/>
      <w:smallCaps/>
      <w:color w:val="70AD47"/>
      <w:w w:val="100"/>
      <w:position w:val="-1"/>
      <w:effect w:val="none"/>
      <w:vertAlign w:val="baseline"/>
      <w:cs w:val="0"/>
      <w:em w:val="none"/>
    </w:rPr>
  </w:style>
  <w:style w:type="character" w:styleId="Ttulodellibro">
    <w:name w:val="Book Title"/>
    <w:rPr>
      <w:b/>
      <w:bCs/>
      <w:smallCaps/>
      <w:spacing w:val="7"/>
      <w:w w:val="100"/>
      <w:position w:val="-1"/>
      <w:sz w:val="21"/>
      <w:szCs w:val="21"/>
      <w:effect w:val="none"/>
      <w:vertAlign w:val="baseline"/>
      <w:cs w:val="0"/>
      <w:em w:val="none"/>
    </w:rPr>
  </w:style>
  <w:style w:type="paragraph" w:styleId="TtuloTDC">
    <w:name w:val="TOC Heading"/>
    <w:next w:val="Normal"/>
  </w:style>
  <w:style w:type="table" w:styleId="Tablaconcuadrcula">
    <w:name w:val="Table Grid"/>
    <w:basedOn w:val="Tablanormal"/>
    <w:pPr>
      <w:spacing w:after="0" w:line="240" w:lineRule="auto"/>
      <w:ind w:leftChars="-1" w:left="-1" w:hangingChars="1"/>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line="1" w:lineRule="atLeast"/>
      <w:ind w:leftChars="-1" w:left="-1" w:hangingChars="1"/>
      <w:textAlignment w:val="top"/>
      <w:outlineLvl w:val="0"/>
    </w:pPr>
    <w:rPr>
      <w:rFonts w:ascii="Verdana" w:hAnsi="Verdana" w:cs="Verdana"/>
      <w:color w:val="000000"/>
      <w:position w:val="-1"/>
      <w:sz w:val="24"/>
      <w:szCs w:val="24"/>
      <w:lang w:eastAsia="en-US"/>
    </w:rPr>
  </w:style>
  <w:style w:type="paragraph" w:styleId="Prrafodelista">
    <w:name w:val="List Paragraph"/>
    <w:basedOn w:val="Normal"/>
    <w:pPr>
      <w:spacing w:after="160" w:line="256" w:lineRule="auto"/>
      <w:ind w:left="720"/>
      <w:contextualSpacing/>
    </w:pPr>
    <w:rPr>
      <w:rFonts w:cs="Times New Roman"/>
      <w:sz w:val="22"/>
      <w:szCs w:val="22"/>
    </w:rPr>
  </w:style>
  <w:style w:type="character" w:customStyle="1" w:styleId="Fecha1">
    <w:name w:val="Fecha1"/>
    <w:rPr>
      <w:w w:val="100"/>
      <w:position w:val="-1"/>
      <w:effect w:val="none"/>
      <w:vertAlign w:val="baseline"/>
      <w:cs w:val="0"/>
      <w:em w:val="none"/>
    </w:rPr>
  </w:style>
  <w:style w:type="table" w:customStyle="1" w:styleId="a">
    <w:basedOn w:val="TableNormal9"/>
    <w:tblPr>
      <w:tblStyleRowBandSize w:val="1"/>
      <w:tblStyleColBandSize w:val="1"/>
      <w:tblCellMar>
        <w:left w:w="108" w:type="dxa"/>
        <w:right w:w="108" w:type="dxa"/>
      </w:tblCellMar>
    </w:tbl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table" w:customStyle="1" w:styleId="a0">
    <w:basedOn w:val="TableNormal9"/>
    <w:tblPr>
      <w:tblStyleRowBandSize w:val="1"/>
      <w:tblStyleColBandSize w:val="1"/>
      <w:tblCellMar>
        <w:top w:w="100" w:type="dxa"/>
        <w:left w:w="100" w:type="dxa"/>
        <w:bottom w:w="100" w:type="dxa"/>
        <w:right w:w="100" w:type="dxa"/>
      </w:tblCellMar>
    </w:tblPr>
  </w:style>
  <w:style w:type="table" w:customStyle="1" w:styleId="a1">
    <w:basedOn w:val="TableNormal8"/>
    <w:tblPr>
      <w:tblStyleRowBandSize w:val="1"/>
      <w:tblStyleColBandSize w:val="1"/>
      <w:tblCellMar>
        <w:top w:w="100" w:type="dxa"/>
        <w:left w:w="100" w:type="dxa"/>
        <w:bottom w:w="100" w:type="dxa"/>
        <w:right w:w="100" w:type="dxa"/>
      </w:tblCellMar>
    </w:tblPr>
  </w:style>
  <w:style w:type="table" w:customStyle="1" w:styleId="a2">
    <w:basedOn w:val="TableNormal8"/>
    <w:tblPr>
      <w:tblStyleRowBandSize w:val="1"/>
      <w:tblStyleColBandSize w:val="1"/>
      <w:tblCellMar>
        <w:top w:w="100" w:type="dxa"/>
        <w:left w:w="100" w:type="dxa"/>
        <w:bottom w:w="100" w:type="dxa"/>
        <w:right w:w="100" w:type="dxa"/>
      </w:tblCellMar>
    </w:tblPr>
  </w:style>
  <w:style w:type="table" w:customStyle="1" w:styleId="a3">
    <w:basedOn w:val="TableNormal8"/>
    <w:tblPr>
      <w:tblStyleRowBandSize w:val="1"/>
      <w:tblStyleColBandSize w:val="1"/>
      <w:tblCellMar>
        <w:top w:w="100" w:type="dxa"/>
        <w:left w:w="100" w:type="dxa"/>
        <w:bottom w:w="100" w:type="dxa"/>
        <w:right w:w="100" w:type="dxa"/>
      </w:tblCellMar>
    </w:tblPr>
  </w:style>
  <w:style w:type="table" w:customStyle="1" w:styleId="a4">
    <w:basedOn w:val="TableNormal5"/>
    <w:tblPr>
      <w:tblStyleRowBandSize w:val="1"/>
      <w:tblStyleColBandSize w:val="1"/>
      <w:tblCellMar>
        <w:top w:w="100" w:type="dxa"/>
        <w:left w:w="100" w:type="dxa"/>
        <w:bottom w:w="100" w:type="dxa"/>
        <w:right w:w="100" w:type="dxa"/>
      </w:tblCellMar>
    </w:tblPr>
  </w:style>
  <w:style w:type="table" w:customStyle="1" w:styleId="a5">
    <w:basedOn w:val="TableNormal2"/>
    <w:pPr>
      <w:spacing w:after="0" w:line="240" w:lineRule="auto"/>
    </w:pPr>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pPr>
      <w:spacing w:after="0" w:line="240" w:lineRule="auto"/>
    </w:pPr>
    <w:tblPr>
      <w:tblStyleRowBandSize w:val="1"/>
      <w:tblStyleColBandSize w:val="1"/>
      <w:tblCellMar>
        <w:left w:w="108" w:type="dxa"/>
        <w:right w:w="108" w:type="dxa"/>
      </w:tblCellMar>
    </w:tblPr>
  </w:style>
  <w:style w:type="table" w:customStyle="1" w:styleId="ab">
    <w:basedOn w:val="TableNormal2"/>
    <w:pPr>
      <w:spacing w:after="0" w:line="240" w:lineRule="auto"/>
    </w:pPr>
    <w:tblPr>
      <w:tblStyleRowBandSize w:val="1"/>
      <w:tblStyleColBandSize w:val="1"/>
      <w:tblCellMar>
        <w:left w:w="108" w:type="dxa"/>
        <w:right w:w="108" w:type="dxa"/>
      </w:tblCellMar>
    </w:tblPr>
  </w:style>
  <w:style w:type="table" w:customStyle="1" w:styleId="ac">
    <w:basedOn w:val="TableNormal2"/>
    <w:pPr>
      <w:spacing w:after="0" w:line="240" w:lineRule="auto"/>
    </w:pPr>
    <w:tblPr>
      <w:tblStyleRowBandSize w:val="1"/>
      <w:tblStyleColBandSize w:val="1"/>
      <w:tblCellMar>
        <w:left w:w="108" w:type="dxa"/>
        <w:right w:w="108" w:type="dxa"/>
      </w:tblCellMar>
    </w:tblPr>
  </w:style>
  <w:style w:type="table" w:customStyle="1" w:styleId="ad">
    <w:basedOn w:val="TableNormal2"/>
    <w:pPr>
      <w:spacing w:after="0" w:line="240" w:lineRule="auto"/>
    </w:pPr>
    <w:tblPr>
      <w:tblStyleRowBandSize w:val="1"/>
      <w:tblStyleColBandSize w:val="1"/>
      <w:tblCellMar>
        <w:left w:w="108" w:type="dxa"/>
        <w:right w:w="108" w:type="dxa"/>
      </w:tblCellMar>
    </w:tblPr>
  </w:style>
  <w:style w:type="table" w:customStyle="1" w:styleId="ae">
    <w:basedOn w:val="TableNormal2"/>
    <w:pPr>
      <w:spacing w:after="0" w:line="240" w:lineRule="auto"/>
    </w:pPr>
    <w:tblPr>
      <w:tblStyleRowBandSize w:val="1"/>
      <w:tblStyleColBandSize w:val="1"/>
      <w:tblCellMar>
        <w:left w:w="108" w:type="dxa"/>
        <w:right w:w="108" w:type="dxa"/>
      </w:tblCellMar>
    </w:tblPr>
  </w:style>
  <w:style w:type="table" w:customStyle="1" w:styleId="af">
    <w:basedOn w:val="TableNormal2"/>
    <w:pPr>
      <w:spacing w:after="0" w:line="240" w:lineRule="auto"/>
    </w:pPr>
    <w:tblPr>
      <w:tblStyleRowBandSize w:val="1"/>
      <w:tblStyleColBandSize w:val="1"/>
      <w:tblCellMar>
        <w:left w:w="108" w:type="dxa"/>
        <w:right w:w="108" w:type="dxa"/>
      </w:tblCellMar>
    </w:tblPr>
  </w:style>
  <w:style w:type="table" w:customStyle="1" w:styleId="af0">
    <w:basedOn w:val="TableNormal2"/>
    <w:pPr>
      <w:spacing w:after="0" w:line="240" w:lineRule="auto"/>
    </w:pPr>
    <w:tblPr>
      <w:tblStyleRowBandSize w:val="1"/>
      <w:tblStyleColBandSize w:val="1"/>
      <w:tblCellMar>
        <w:left w:w="108" w:type="dxa"/>
        <w:right w:w="108"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f1">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3">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4">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0"/>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hyperlink" Target="https://www.corteconstitucional.gov.co/relatoria/2016/c-224-16.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publicaciones.banrepcultural.org/index.php/bmo/article/view/7354/762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3.jpg"/><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5O/4+22Vze2BoMT4m56CiE2axA==">CgMxLjA4AHIhMWR0T0FIMm9aTU1LOFJqOXFFQUYxWEItR0JxMzJwWmtO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3399</Words>
  <Characters>18698</Characters>
  <Application>Microsoft Office Word</Application>
  <DocSecurity>0</DocSecurity>
  <Lines>155</Lines>
  <Paragraphs>44</Paragraphs>
  <ScaleCrop>false</ScaleCrop>
  <Company/>
  <LinksUpToDate>false</LinksUpToDate>
  <CharactersWithSpaces>22053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Isabel Vanegas</dc:creator>
  <cp:lastModifiedBy>Alejandra  Valentina Velasquez Garcia</cp:lastModifiedBy>
  <cp:revision>2</cp:revision>
  <dcterms:created xsi:type="dcterms:W3CDTF">2025-09-02T16:45:00Z</dcterms:created>
  <dcterms:modified xsi:type="dcterms:W3CDTF">2025-09-02T16:45:00Z</dcterms:modified>
</cp:coreProperties>
</file>