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Bogotá, D.C., miércoles 20 de agosto de 2025</w:t>
      </w: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Honorable Representante</w:t>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t>Doctor</w:t>
      </w:r>
    </w:p>
    <w:p w:rsidR="005B18DA" w:rsidRDefault="009A4251">
      <w:pPr>
        <w:spacing w:after="120"/>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JULIÁN LÓPEZ</w:t>
      </w:r>
      <w:r>
        <w:rPr>
          <w:rFonts w:ascii="Arial Narrow" w:eastAsia="Arial Narrow" w:hAnsi="Arial Narrow" w:cs="Arial Narrow"/>
          <w:b/>
          <w:color w:val="1B1C1D"/>
          <w:sz w:val="24"/>
          <w:szCs w:val="24"/>
        </w:rPr>
        <w:tab/>
      </w:r>
      <w:r>
        <w:rPr>
          <w:rFonts w:ascii="Arial Narrow" w:eastAsia="Arial Narrow" w:hAnsi="Arial Narrow" w:cs="Arial Narrow"/>
          <w:b/>
          <w:color w:val="1B1C1D"/>
          <w:sz w:val="24"/>
          <w:szCs w:val="24"/>
        </w:rPr>
        <w:tab/>
      </w:r>
      <w:r>
        <w:rPr>
          <w:rFonts w:ascii="Arial Narrow" w:eastAsia="Arial Narrow" w:hAnsi="Arial Narrow" w:cs="Arial Narrow"/>
          <w:b/>
          <w:color w:val="1B1C1D"/>
          <w:sz w:val="24"/>
          <w:szCs w:val="24"/>
        </w:rPr>
        <w:tab/>
      </w:r>
      <w:r>
        <w:rPr>
          <w:rFonts w:ascii="Arial Narrow" w:eastAsia="Arial Narrow" w:hAnsi="Arial Narrow" w:cs="Arial Narrow"/>
          <w:b/>
          <w:color w:val="1B1C1D"/>
          <w:sz w:val="24"/>
          <w:szCs w:val="24"/>
        </w:rPr>
        <w:tab/>
        <w:t xml:space="preserve">     </w:t>
      </w:r>
      <w:r>
        <w:rPr>
          <w:rFonts w:ascii="Arial Narrow" w:eastAsia="Arial Narrow" w:hAnsi="Arial Narrow" w:cs="Arial Narrow"/>
          <w:b/>
          <w:color w:val="1B1C1D"/>
          <w:sz w:val="24"/>
          <w:szCs w:val="24"/>
        </w:rPr>
        <w:tab/>
        <w:t>JAIME LUIS LACOUTURE PEÑALOZA</w:t>
      </w: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Presidente Cámara de Representantes</w:t>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t>Secretario Cámara de Representantes</w:t>
      </w: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L.C.</w:t>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r>
      <w:r>
        <w:rPr>
          <w:rFonts w:ascii="Arial Narrow" w:eastAsia="Arial Narrow" w:hAnsi="Arial Narrow" w:cs="Arial Narrow"/>
          <w:color w:val="1B1C1D"/>
          <w:sz w:val="24"/>
          <w:szCs w:val="24"/>
        </w:rPr>
        <w:tab/>
        <w:t>L.C.</w:t>
      </w:r>
    </w:p>
    <w:p w:rsidR="005B18DA" w:rsidRDefault="005B18DA">
      <w:pPr>
        <w:spacing w:after="120"/>
        <w:rPr>
          <w:rFonts w:ascii="Arial Narrow" w:eastAsia="Arial Narrow" w:hAnsi="Arial Narrow" w:cs="Arial Narrow"/>
          <w:color w:val="1B1C1D"/>
          <w:sz w:val="24"/>
          <w:szCs w:val="24"/>
        </w:rPr>
      </w:pPr>
    </w:p>
    <w:p w:rsidR="005B18DA" w:rsidRDefault="009A4251">
      <w:pPr>
        <w:spacing w:after="120"/>
        <w:ind w:left="720" w:firstLine="72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Referencia: </w:t>
      </w:r>
      <w:r>
        <w:rPr>
          <w:rFonts w:ascii="Arial Narrow" w:eastAsia="Arial Narrow" w:hAnsi="Arial Narrow" w:cs="Arial Narrow"/>
          <w:color w:val="1B1C1D"/>
          <w:sz w:val="24"/>
          <w:szCs w:val="24"/>
        </w:rPr>
        <w:t xml:space="preserve">Radicación de Proyecto de ley No. ______ de 2025 - Cámara, "Por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p w:rsidR="005B18DA" w:rsidRDefault="005B18DA">
      <w:pPr>
        <w:spacing w:after="120"/>
        <w:rPr>
          <w:rFonts w:ascii="Arial Narrow" w:eastAsia="Arial Narrow" w:hAnsi="Arial Narrow" w:cs="Arial Narrow"/>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Respetados,</w:t>
      </w:r>
    </w:p>
    <w:p w:rsidR="005B18DA" w:rsidRDefault="005B18DA">
      <w:pPr>
        <w:spacing w:after="120"/>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Comedidamente nos permitimos radicar ante Ustedes el </w:t>
      </w:r>
      <w:r>
        <w:rPr>
          <w:rFonts w:ascii="Arial Narrow" w:eastAsia="Arial Narrow" w:hAnsi="Arial Narrow" w:cs="Arial Narrow"/>
          <w:color w:val="1B1C1D"/>
          <w:sz w:val="24"/>
          <w:szCs w:val="24"/>
        </w:rPr>
        <w:t xml:space="preserve">Proyecto de </w:t>
      </w:r>
      <w:proofErr w:type="gramStart"/>
      <w:r>
        <w:rPr>
          <w:rFonts w:ascii="Arial Narrow" w:eastAsia="Arial Narrow" w:hAnsi="Arial Narrow" w:cs="Arial Narrow"/>
          <w:color w:val="1B1C1D"/>
          <w:sz w:val="24"/>
          <w:szCs w:val="24"/>
        </w:rPr>
        <w:t>Ley  No.</w:t>
      </w:r>
      <w:proofErr w:type="gramEnd"/>
      <w:r>
        <w:rPr>
          <w:rFonts w:ascii="Arial Narrow" w:eastAsia="Arial Narrow" w:hAnsi="Arial Narrow" w:cs="Arial Narrow"/>
          <w:color w:val="1B1C1D"/>
          <w:sz w:val="24"/>
          <w:szCs w:val="24"/>
        </w:rPr>
        <w:t xml:space="preserve"> _____ de 2025 - Cámara, "Por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p w:rsidR="005B18DA" w:rsidRDefault="009A4251">
      <w:pPr>
        <w:spacing w:after="12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En este sentido, nos permitimos radicar el presente, con el fin de iniciar el trá</w:t>
      </w:r>
      <w:r>
        <w:rPr>
          <w:rFonts w:ascii="Arial Narrow" w:eastAsia="Arial Narrow" w:hAnsi="Arial Narrow" w:cs="Arial Narrow"/>
          <w:color w:val="1B1C1D"/>
          <w:sz w:val="24"/>
          <w:szCs w:val="24"/>
        </w:rPr>
        <w:t>mite correspondiente y cumplir con las exigencias dictadas por la Ley y la Constitución Política de Colombia, respecto a su trámite legislativo.</w:t>
      </w:r>
    </w:p>
    <w:p w:rsidR="005B18DA" w:rsidRDefault="005B18DA">
      <w:pPr>
        <w:spacing w:after="120"/>
        <w:jc w:val="both"/>
        <w:rPr>
          <w:rFonts w:ascii="Arial Narrow" w:eastAsia="Arial Narrow" w:hAnsi="Arial Narrow" w:cs="Arial Narrow"/>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Cordialmente,</w:t>
      </w: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CARMEN FELISA RAMÍREZ BOSCÁN</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Representante a la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Circunscripción Internacional</w:t>
      </w:r>
    </w:p>
    <w:p w:rsidR="005B18DA" w:rsidRDefault="009A4251">
      <w:pPr>
        <w:spacing w:before="240"/>
        <w:jc w:val="center"/>
        <w:rPr>
          <w:rFonts w:ascii="Calibri" w:eastAsia="Calibri" w:hAnsi="Calibri" w:cs="Calibri"/>
          <w:b/>
          <w:color w:val="1B1C1D"/>
          <w:sz w:val="24"/>
          <w:szCs w:val="24"/>
        </w:rPr>
      </w:pPr>
      <w:r>
        <w:rPr>
          <w:rFonts w:ascii="Calibri" w:eastAsia="Calibri" w:hAnsi="Calibri" w:cs="Calibri"/>
          <w:b/>
          <w:color w:val="1B1C1D"/>
          <w:sz w:val="24"/>
          <w:szCs w:val="24"/>
        </w:rPr>
        <w:lastRenderedPageBreak/>
        <w:t xml:space="preserve">PROYECTO </w:t>
      </w:r>
      <w:r>
        <w:rPr>
          <w:rFonts w:ascii="Calibri" w:eastAsia="Calibri" w:hAnsi="Calibri" w:cs="Calibri"/>
          <w:b/>
          <w:color w:val="1B1C1D"/>
          <w:sz w:val="24"/>
          <w:szCs w:val="24"/>
        </w:rPr>
        <w:t>DE LEY No. ____ de 2025 - CÁMARA</w:t>
      </w:r>
    </w:p>
    <w:p w:rsidR="005B18DA" w:rsidRDefault="009A4251">
      <w:pPr>
        <w:spacing w:after="120"/>
        <w:jc w:val="center"/>
        <w:rPr>
          <w:rFonts w:ascii="Calibri" w:eastAsia="Calibri" w:hAnsi="Calibri" w:cs="Calibri"/>
          <w:color w:val="1B1C1D"/>
          <w:sz w:val="24"/>
          <w:szCs w:val="24"/>
        </w:rPr>
      </w:pPr>
      <w:r>
        <w:rPr>
          <w:rFonts w:ascii="Arial Narrow" w:eastAsia="Arial Narrow" w:hAnsi="Arial Narrow" w:cs="Arial Narrow"/>
          <w:color w:val="1B1C1D"/>
          <w:sz w:val="24"/>
          <w:szCs w:val="24"/>
        </w:rPr>
        <w:t xml:space="preserve">"Por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p w:rsidR="005B18DA" w:rsidRDefault="009A4251">
      <w:pPr>
        <w:spacing w:before="240"/>
        <w:jc w:val="center"/>
        <w:rPr>
          <w:rFonts w:ascii="Calibri" w:eastAsia="Calibri" w:hAnsi="Calibri" w:cs="Calibri"/>
          <w:b/>
          <w:color w:val="1B1C1D"/>
          <w:sz w:val="24"/>
          <w:szCs w:val="24"/>
        </w:rPr>
      </w:pPr>
      <w:r>
        <w:rPr>
          <w:rFonts w:ascii="Calibri" w:eastAsia="Calibri" w:hAnsi="Calibri" w:cs="Calibri"/>
          <w:b/>
          <w:color w:val="1B1C1D"/>
          <w:sz w:val="24"/>
          <w:szCs w:val="24"/>
        </w:rPr>
        <w:t>PROYECTO DE LEY No. ____ de 2025 - CÁMARA</w:t>
      </w:r>
    </w:p>
    <w:p w:rsidR="005B18DA" w:rsidRDefault="009A4251">
      <w:pPr>
        <w:spacing w:after="120"/>
        <w:jc w:val="center"/>
        <w:rPr>
          <w:rFonts w:ascii="Calibri" w:eastAsia="Calibri" w:hAnsi="Calibri" w:cs="Calibri"/>
          <w:color w:val="1B1C1D"/>
          <w:sz w:val="24"/>
          <w:szCs w:val="24"/>
        </w:rPr>
      </w:pPr>
      <w:r>
        <w:rPr>
          <w:rFonts w:ascii="Arial Narrow" w:eastAsia="Arial Narrow" w:hAnsi="Arial Narrow" w:cs="Arial Narrow"/>
          <w:color w:val="1B1C1D"/>
          <w:sz w:val="24"/>
          <w:szCs w:val="24"/>
        </w:rPr>
        <w:t xml:space="preserve">"Por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p w:rsidR="005B18DA" w:rsidRDefault="005B18DA">
      <w:pPr>
        <w:spacing w:after="120"/>
        <w:jc w:val="center"/>
        <w:rPr>
          <w:rFonts w:ascii="Calibri" w:eastAsia="Calibri" w:hAnsi="Calibri" w:cs="Calibri"/>
          <w:color w:val="1B1C1D"/>
          <w:sz w:val="24"/>
          <w:szCs w:val="24"/>
        </w:rPr>
      </w:pPr>
    </w:p>
    <w:sdt>
      <w:sdtPr>
        <w:tag w:val="goog_rdk_0"/>
        <w:id w:val="-540459271"/>
        <w:lock w:val="contentLocked"/>
      </w:sdtPr>
      <w:sdtEndPr/>
      <w:sdtContent>
        <w:tbl>
          <w:tblPr>
            <w:tblStyle w:val="a0"/>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20"/>
            <w:gridCol w:w="4320"/>
          </w:tblGrid>
          <w:tr w:rsidR="005B18DA">
            <w:trPr>
              <w:trHeight w:val="2580"/>
            </w:trPr>
            <w:tc>
              <w:tcPr>
                <w:tcW w:w="43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B18DA" w:rsidRDefault="009A4251">
                <w:pPr>
                  <w:spacing w:before="380" w:after="380"/>
                  <w:ind w:right="140"/>
                  <w:rPr>
                    <w:rFonts w:ascii="Calibri" w:eastAsia="Calibri" w:hAnsi="Calibri" w:cs="Calibri"/>
                    <w:color w:val="1B1C1D"/>
                    <w:sz w:val="24"/>
                    <w:szCs w:val="24"/>
                  </w:rPr>
                </w:pPr>
                <w:r>
                  <w:rPr>
                    <w:rFonts w:ascii="Calibri" w:eastAsia="Calibri" w:hAnsi="Calibri" w:cs="Calibri"/>
                    <w:color w:val="1B1C1D"/>
                    <w:sz w:val="24"/>
                    <w:szCs w:val="24"/>
                  </w:rPr>
                  <w:t xml:space="preserve">  </w:t>
                </w:r>
              </w:p>
            </w:tc>
            <w:tc>
              <w:tcPr>
                <w:tcW w:w="4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B18DA" w:rsidRDefault="005B18DA">
                <w:pPr>
                  <w:spacing w:after="0" w:line="240" w:lineRule="auto"/>
                  <w:ind w:right="-234"/>
                  <w:jc w:val="center"/>
                  <w:rPr>
                    <w:rFonts w:ascii="Calibri" w:eastAsia="Calibri" w:hAnsi="Calibri" w:cs="Calibri"/>
                    <w:color w:val="1B1C1D"/>
                    <w:sz w:val="24"/>
                    <w:szCs w:val="24"/>
                  </w:rPr>
                </w:pPr>
              </w:p>
            </w:tc>
          </w:tr>
          <w:tr w:rsidR="005B18DA">
            <w:trPr>
              <w:trHeight w:val="2475"/>
            </w:trPr>
            <w:tc>
              <w:tcPr>
                <w:tcW w:w="43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18DA" w:rsidRDefault="009A4251">
                <w:pPr>
                  <w:spacing w:before="380" w:after="380"/>
                  <w:ind w:left="140" w:right="140"/>
                  <w:rPr>
                    <w:rFonts w:ascii="Calibri" w:eastAsia="Calibri" w:hAnsi="Calibri" w:cs="Calibri"/>
                    <w:color w:val="1B1C1D"/>
                    <w:sz w:val="24"/>
                    <w:szCs w:val="24"/>
                  </w:rPr>
                </w:pPr>
                <w:r>
                  <w:rPr>
                    <w:rFonts w:ascii="Calibri" w:eastAsia="Calibri" w:hAnsi="Calibri" w:cs="Calibri"/>
                    <w:color w:val="1B1C1D"/>
                    <w:sz w:val="24"/>
                    <w:szCs w:val="24"/>
                  </w:rPr>
                  <w:t xml:space="preserve">   </w:t>
                </w:r>
              </w:p>
            </w:tc>
            <w:tc>
              <w:tcPr>
                <w:tcW w:w="4320" w:type="dxa"/>
                <w:tcBorders>
                  <w:top w:val="nil"/>
                  <w:left w:val="nil"/>
                  <w:bottom w:val="single" w:sz="6" w:space="0" w:color="000000"/>
                  <w:right w:val="single" w:sz="6" w:space="0" w:color="000000"/>
                </w:tcBorders>
                <w:tcMar>
                  <w:top w:w="0" w:type="dxa"/>
                  <w:left w:w="100" w:type="dxa"/>
                  <w:bottom w:w="0" w:type="dxa"/>
                  <w:right w:w="100" w:type="dxa"/>
                </w:tcMar>
              </w:tcPr>
              <w:p w:rsidR="005B18DA" w:rsidRDefault="009A4251">
                <w:pPr>
                  <w:spacing w:before="380" w:after="380"/>
                  <w:ind w:left="140" w:right="140"/>
                  <w:rPr>
                    <w:rFonts w:ascii="Calibri" w:eastAsia="Calibri" w:hAnsi="Calibri" w:cs="Calibri"/>
                    <w:color w:val="1B1C1D"/>
                    <w:sz w:val="24"/>
                    <w:szCs w:val="24"/>
                  </w:rPr>
                </w:pPr>
                <w:r>
                  <w:rPr>
                    <w:rFonts w:ascii="Calibri" w:eastAsia="Calibri" w:hAnsi="Calibri" w:cs="Calibri"/>
                    <w:color w:val="1B1C1D"/>
                    <w:sz w:val="24"/>
                    <w:szCs w:val="24"/>
                  </w:rPr>
                  <w:t xml:space="preserve">  </w:t>
                </w:r>
              </w:p>
              <w:p w:rsidR="005B18DA" w:rsidRDefault="005B18DA">
                <w:pPr>
                  <w:spacing w:before="380" w:after="380"/>
                  <w:ind w:left="140" w:right="140"/>
                  <w:rPr>
                    <w:rFonts w:ascii="Calibri" w:eastAsia="Calibri" w:hAnsi="Calibri" w:cs="Calibri"/>
                    <w:color w:val="1B1C1D"/>
                    <w:sz w:val="24"/>
                    <w:szCs w:val="24"/>
                  </w:rPr>
                </w:pPr>
              </w:p>
              <w:p w:rsidR="005B18DA" w:rsidRDefault="005B18DA">
                <w:pPr>
                  <w:spacing w:before="380" w:after="380"/>
                  <w:ind w:left="140" w:right="140"/>
                  <w:rPr>
                    <w:rFonts w:ascii="Calibri" w:eastAsia="Calibri" w:hAnsi="Calibri" w:cs="Calibri"/>
                    <w:color w:val="1B1C1D"/>
                    <w:sz w:val="24"/>
                    <w:szCs w:val="24"/>
                  </w:rPr>
                </w:pPr>
              </w:p>
              <w:p w:rsidR="005B18DA" w:rsidRDefault="005B18DA">
                <w:pPr>
                  <w:spacing w:before="380" w:after="380"/>
                  <w:ind w:left="140" w:right="140"/>
                  <w:rPr>
                    <w:rFonts w:ascii="Calibri" w:eastAsia="Calibri" w:hAnsi="Calibri" w:cs="Calibri"/>
                    <w:color w:val="1B1C1D"/>
                    <w:sz w:val="24"/>
                    <w:szCs w:val="24"/>
                  </w:rPr>
                </w:pPr>
              </w:p>
            </w:tc>
          </w:tr>
          <w:tr w:rsidR="005B18DA">
            <w:trPr>
              <w:trHeight w:val="2520"/>
            </w:trPr>
            <w:tc>
              <w:tcPr>
                <w:tcW w:w="43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18DA" w:rsidRDefault="009A4251">
                <w:pPr>
                  <w:spacing w:before="380" w:after="380"/>
                  <w:ind w:left="140" w:right="140"/>
                  <w:rPr>
                    <w:rFonts w:ascii="Calibri" w:eastAsia="Calibri" w:hAnsi="Calibri" w:cs="Calibri"/>
                    <w:color w:val="1B1C1D"/>
                    <w:sz w:val="24"/>
                    <w:szCs w:val="24"/>
                  </w:rPr>
                </w:pPr>
                <w:r>
                  <w:rPr>
                    <w:rFonts w:ascii="Calibri" w:eastAsia="Calibri" w:hAnsi="Calibri" w:cs="Calibri"/>
                    <w:color w:val="1B1C1D"/>
                    <w:sz w:val="24"/>
                    <w:szCs w:val="24"/>
                  </w:rPr>
                  <w:lastRenderedPageBreak/>
                  <w:t xml:space="preserve">   </w:t>
                </w:r>
              </w:p>
              <w:p w:rsidR="005B18DA" w:rsidRDefault="005B18DA">
                <w:pPr>
                  <w:spacing w:before="380" w:after="380"/>
                  <w:ind w:left="140" w:right="140"/>
                  <w:rPr>
                    <w:rFonts w:ascii="Calibri" w:eastAsia="Calibri" w:hAnsi="Calibri" w:cs="Calibri"/>
                    <w:color w:val="1B1C1D"/>
                    <w:sz w:val="24"/>
                    <w:szCs w:val="24"/>
                  </w:rPr>
                </w:pPr>
              </w:p>
            </w:tc>
            <w:tc>
              <w:tcPr>
                <w:tcW w:w="4320" w:type="dxa"/>
                <w:tcBorders>
                  <w:top w:val="nil"/>
                  <w:left w:val="nil"/>
                  <w:bottom w:val="single" w:sz="6" w:space="0" w:color="000000"/>
                  <w:right w:val="single" w:sz="6" w:space="0" w:color="000000"/>
                </w:tcBorders>
                <w:tcMar>
                  <w:top w:w="0" w:type="dxa"/>
                  <w:left w:w="100" w:type="dxa"/>
                  <w:bottom w:w="0" w:type="dxa"/>
                  <w:right w:w="100" w:type="dxa"/>
                </w:tcMar>
              </w:tcPr>
              <w:p w:rsidR="005B18DA" w:rsidRDefault="009A4251">
                <w:pPr>
                  <w:spacing w:before="380" w:after="380"/>
                  <w:ind w:left="140" w:right="140"/>
                  <w:rPr>
                    <w:rFonts w:ascii="Calibri" w:eastAsia="Calibri" w:hAnsi="Calibri" w:cs="Calibri"/>
                    <w:color w:val="1B1C1D"/>
                    <w:sz w:val="24"/>
                    <w:szCs w:val="24"/>
                  </w:rPr>
                </w:pPr>
                <w:r>
                  <w:rPr>
                    <w:rFonts w:ascii="Calibri" w:eastAsia="Calibri" w:hAnsi="Calibri" w:cs="Calibri"/>
                    <w:color w:val="1B1C1D"/>
                    <w:sz w:val="24"/>
                    <w:szCs w:val="24"/>
                  </w:rPr>
                  <w:t xml:space="preserve">   </w:t>
                </w:r>
              </w:p>
              <w:p w:rsidR="005B18DA" w:rsidRDefault="005B18DA">
                <w:pPr>
                  <w:spacing w:before="380" w:after="380"/>
                  <w:ind w:left="140" w:right="140"/>
                  <w:rPr>
                    <w:rFonts w:ascii="Calibri" w:eastAsia="Calibri" w:hAnsi="Calibri" w:cs="Calibri"/>
                    <w:color w:val="1B1C1D"/>
                    <w:sz w:val="24"/>
                    <w:szCs w:val="24"/>
                  </w:rPr>
                </w:pPr>
              </w:p>
              <w:p w:rsidR="005B18DA" w:rsidRDefault="009A4251">
                <w:pPr>
                  <w:spacing w:before="380" w:after="380"/>
                  <w:ind w:left="140" w:right="140"/>
                  <w:rPr>
                    <w:rFonts w:ascii="Calibri" w:eastAsia="Calibri" w:hAnsi="Calibri" w:cs="Calibri"/>
                    <w:color w:val="1B1C1D"/>
                    <w:sz w:val="24"/>
                    <w:szCs w:val="24"/>
                  </w:rPr>
                </w:pPr>
              </w:p>
            </w:tc>
          </w:tr>
        </w:tbl>
      </w:sdtContent>
    </w:sdt>
    <w:p w:rsidR="005B18DA" w:rsidRDefault="005B18DA">
      <w:pPr>
        <w:spacing w:before="240"/>
        <w:jc w:val="center"/>
        <w:rPr>
          <w:rFonts w:ascii="Calibri" w:eastAsia="Calibri" w:hAnsi="Calibri" w:cs="Calibri"/>
          <w:b/>
          <w:color w:val="1B1C1D"/>
          <w:sz w:val="24"/>
          <w:szCs w:val="24"/>
        </w:rPr>
      </w:pP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PROYECTO DE LEY No. _________ DE 2025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"POR MEDIO DE LA CUAL SE DECLARA EL 18 DE AGOSTO COMO EL DÍA NACIONAL DE LA MEMORIA DEL INSILIO Y SE DICTAN OTRAS DISPOSICIONES"</w:t>
      </w:r>
    </w:p>
    <w:p w:rsidR="005B18DA" w:rsidRDefault="005B18DA">
      <w:pPr>
        <w:spacing w:after="120"/>
        <w:jc w:val="center"/>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El Congreso de la República</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DECRETA:</w:t>
      </w:r>
    </w:p>
    <w:p w:rsidR="005B18DA" w:rsidRDefault="005B18DA">
      <w:pPr>
        <w:spacing w:after="0"/>
        <w:jc w:val="both"/>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Artículo 1. Objeto. </w:t>
      </w:r>
      <w:r>
        <w:rPr>
          <w:rFonts w:ascii="Arial Narrow" w:eastAsia="Arial Narrow" w:hAnsi="Arial Narrow" w:cs="Arial Narrow"/>
          <w:color w:val="1B1C1D"/>
          <w:sz w:val="24"/>
          <w:szCs w:val="24"/>
        </w:rPr>
        <w:t xml:space="preserve">La presente ley tiene por objeto establecer el 18 de agosto de cada año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con el fin de reconocer y visibilizar a las víctimas del conflicto armado interno colombiano que sufrieron violencia estructural, afecti</w:t>
      </w:r>
      <w:r>
        <w:rPr>
          <w:rFonts w:ascii="Arial Narrow" w:eastAsia="Arial Narrow" w:hAnsi="Arial Narrow" w:cs="Arial Narrow"/>
          <w:color w:val="1B1C1D"/>
          <w:sz w:val="24"/>
          <w:szCs w:val="24"/>
        </w:rPr>
        <w:t xml:space="preserve">va y silenciamiento al permanecer en el país mientras sus seres queridos fueron forzados al exilio. La ley busca promover actos conmemorativos, iniciativas pedagógicas y culturales que fortalezcan la memoria histórica sobre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hecho </w:t>
      </w:r>
      <w:proofErr w:type="spellStart"/>
      <w:r>
        <w:rPr>
          <w:rFonts w:ascii="Arial Narrow" w:eastAsia="Arial Narrow" w:hAnsi="Arial Narrow" w:cs="Arial Narrow"/>
          <w:color w:val="1B1C1D"/>
          <w:sz w:val="24"/>
          <w:szCs w:val="24"/>
        </w:rPr>
        <w:t>victimizan</w:t>
      </w:r>
      <w:r>
        <w:rPr>
          <w:rFonts w:ascii="Arial Narrow" w:eastAsia="Arial Narrow" w:hAnsi="Arial Narrow" w:cs="Arial Narrow"/>
          <w:color w:val="1B1C1D"/>
          <w:sz w:val="24"/>
          <w:szCs w:val="24"/>
        </w:rPr>
        <w:t>te</w:t>
      </w:r>
      <w:proofErr w:type="spellEnd"/>
      <w:r>
        <w:rPr>
          <w:rFonts w:ascii="Arial Narrow" w:eastAsia="Arial Narrow" w:hAnsi="Arial Narrow" w:cs="Arial Narrow"/>
          <w:color w:val="1B1C1D"/>
          <w:sz w:val="24"/>
          <w:szCs w:val="24"/>
        </w:rPr>
        <w:t>, mediante la articulación del Estado, las víctimas, la academia y la sociedad civil.</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Artículo 2. Declaratoria del Día Nacional de la Memoria del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w:t>
      </w:r>
      <w:r>
        <w:rPr>
          <w:rFonts w:ascii="Arial Narrow" w:eastAsia="Arial Narrow" w:hAnsi="Arial Narrow" w:cs="Arial Narrow"/>
          <w:color w:val="1B1C1D"/>
          <w:sz w:val="24"/>
          <w:szCs w:val="24"/>
        </w:rPr>
        <w:t xml:space="preserve"> Declárase el 18 de agosto de cada año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en homenaje</w:t>
      </w:r>
      <w:r>
        <w:rPr>
          <w:rFonts w:ascii="Arial Narrow" w:eastAsia="Arial Narrow" w:hAnsi="Arial Narrow" w:cs="Arial Narrow"/>
          <w:color w:val="1B1C1D"/>
          <w:sz w:val="24"/>
          <w:szCs w:val="24"/>
        </w:rPr>
        <w:t xml:space="preserve"> a las víctimas del conflicto armado interno colombiano que, sin haber abandonado el país, vivieron formas de violencia estructural, afectiva y de silenciamiento como consecuencia de la guerra y el exilio forzado de sus seres queridos.</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lastRenderedPageBreak/>
        <w:t xml:space="preserve">Artículo 3. Actos </w:t>
      </w:r>
      <w:r>
        <w:rPr>
          <w:rFonts w:ascii="Arial Narrow" w:eastAsia="Arial Narrow" w:hAnsi="Arial Narrow" w:cs="Arial Narrow"/>
          <w:b/>
          <w:color w:val="1B1C1D"/>
          <w:sz w:val="24"/>
          <w:szCs w:val="24"/>
        </w:rPr>
        <w:t xml:space="preserve">conmemorativos. </w:t>
      </w:r>
      <w:r>
        <w:rPr>
          <w:rFonts w:ascii="Arial Narrow" w:eastAsia="Arial Narrow" w:hAnsi="Arial Narrow" w:cs="Arial Narrow"/>
          <w:color w:val="1B1C1D"/>
          <w:sz w:val="24"/>
          <w:szCs w:val="24"/>
        </w:rPr>
        <w:t xml:space="preserve">El 18 de agosto de cada año se promoverán actos simbólicos, conmemoraciones públicas, cátedras de memoria, estrategias pedagógicas y producciones culturales que visibilicen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hecho </w:t>
      </w:r>
      <w:proofErr w:type="spellStart"/>
      <w:r>
        <w:rPr>
          <w:rFonts w:ascii="Arial Narrow" w:eastAsia="Arial Narrow" w:hAnsi="Arial Narrow" w:cs="Arial Narrow"/>
          <w:color w:val="1B1C1D"/>
          <w:sz w:val="24"/>
          <w:szCs w:val="24"/>
        </w:rPr>
        <w:t>victimizante</w:t>
      </w:r>
      <w:proofErr w:type="spellEnd"/>
      <w:r>
        <w:rPr>
          <w:rFonts w:ascii="Arial Narrow" w:eastAsia="Arial Narrow" w:hAnsi="Arial Narrow" w:cs="Arial Narrow"/>
          <w:color w:val="1B1C1D"/>
          <w:sz w:val="24"/>
          <w:szCs w:val="24"/>
        </w:rPr>
        <w:t xml:space="preserve"> en el conflicto armado en Colomb</w:t>
      </w:r>
      <w:r>
        <w:rPr>
          <w:rFonts w:ascii="Arial Narrow" w:eastAsia="Arial Narrow" w:hAnsi="Arial Narrow" w:cs="Arial Narrow"/>
          <w:color w:val="1B1C1D"/>
          <w:sz w:val="24"/>
          <w:szCs w:val="24"/>
        </w:rPr>
        <w:t>ia, y fortalezcan la memoria colectiva.</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4.</w:t>
      </w:r>
      <w:r>
        <w:rPr>
          <w:rFonts w:ascii="Arial Narrow" w:eastAsia="Arial Narrow" w:hAnsi="Arial Narrow" w:cs="Arial Narrow"/>
          <w:color w:val="1B1C1D"/>
          <w:sz w:val="24"/>
          <w:szCs w:val="24"/>
        </w:rPr>
        <w:t xml:space="preserve"> </w:t>
      </w:r>
      <w:r>
        <w:rPr>
          <w:rFonts w:ascii="Arial Narrow" w:eastAsia="Arial Narrow" w:hAnsi="Arial Narrow" w:cs="Arial Narrow"/>
          <w:b/>
          <w:color w:val="1B1C1D"/>
          <w:sz w:val="24"/>
          <w:szCs w:val="24"/>
        </w:rPr>
        <w:t xml:space="preserve">Iniciativas pedagógicas y culturales sobre el exilio. </w:t>
      </w:r>
      <w:r>
        <w:rPr>
          <w:rFonts w:ascii="Arial Narrow" w:eastAsia="Arial Narrow" w:hAnsi="Arial Narrow" w:cs="Arial Narrow"/>
          <w:color w:val="1B1C1D"/>
          <w:sz w:val="24"/>
          <w:szCs w:val="24"/>
        </w:rPr>
        <w:t>El Gobierno Nacional, a través del Centro Nacional de Memoria Histórica —en articulación con su estrategia MHERI—, el Ministerio de Educación Nacional, el Ministerio de las Culturas, las Artes y los Saberes, y demás entidades competentes, podrá diseñar e i</w:t>
      </w:r>
      <w:r>
        <w:rPr>
          <w:rFonts w:ascii="Arial Narrow" w:eastAsia="Arial Narrow" w:hAnsi="Arial Narrow" w:cs="Arial Narrow"/>
          <w:color w:val="1B1C1D"/>
          <w:sz w:val="24"/>
          <w:szCs w:val="24"/>
        </w:rPr>
        <w:t xml:space="preserve">mplementar, en coordinación con víctimas, organizaciones sociales y universidades públicas, iniciativas pedagógicas y culturales sobre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Artículo 5. Autorización. </w:t>
      </w:r>
      <w:r>
        <w:rPr>
          <w:rFonts w:ascii="Arial Narrow" w:eastAsia="Arial Narrow" w:hAnsi="Arial Narrow" w:cs="Arial Narrow"/>
          <w:color w:val="1B1C1D"/>
          <w:sz w:val="24"/>
          <w:szCs w:val="24"/>
        </w:rPr>
        <w:t>Autorícese al Gobierno Nacional para incluir en el Presupuesto General de la Naci</w:t>
      </w:r>
      <w:r>
        <w:rPr>
          <w:rFonts w:ascii="Arial Narrow" w:eastAsia="Arial Narrow" w:hAnsi="Arial Narrow" w:cs="Arial Narrow"/>
          <w:color w:val="1B1C1D"/>
          <w:sz w:val="24"/>
          <w:szCs w:val="24"/>
        </w:rPr>
        <w:t>ón las partidas necesarias para el cumplimiento de esta ley, según disponibilidad presupuestal y planificación.</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6.</w:t>
      </w:r>
      <w:r>
        <w:rPr>
          <w:rFonts w:ascii="Arial Narrow" w:eastAsia="Arial Narrow" w:hAnsi="Arial Narrow" w:cs="Arial Narrow"/>
          <w:color w:val="1B1C1D"/>
          <w:sz w:val="24"/>
          <w:szCs w:val="24"/>
        </w:rPr>
        <w:t xml:space="preserve"> </w:t>
      </w:r>
      <w:r>
        <w:rPr>
          <w:rFonts w:ascii="Arial Narrow" w:eastAsia="Arial Narrow" w:hAnsi="Arial Narrow" w:cs="Arial Narrow"/>
          <w:b/>
          <w:color w:val="1B1C1D"/>
          <w:sz w:val="24"/>
          <w:szCs w:val="24"/>
        </w:rPr>
        <w:t xml:space="preserve">Vigencia y derogatorias. </w:t>
      </w:r>
      <w:r>
        <w:rPr>
          <w:rFonts w:ascii="Arial Narrow" w:eastAsia="Arial Narrow" w:hAnsi="Arial Narrow" w:cs="Arial Narrow"/>
          <w:color w:val="1B1C1D"/>
          <w:sz w:val="24"/>
          <w:szCs w:val="24"/>
        </w:rPr>
        <w:t>La presente ley rige a partir de su promulgación y sanción, y deroga todas las anteriores que le sean con</w:t>
      </w:r>
      <w:r>
        <w:rPr>
          <w:rFonts w:ascii="Arial Narrow" w:eastAsia="Arial Narrow" w:hAnsi="Arial Narrow" w:cs="Arial Narrow"/>
          <w:color w:val="1B1C1D"/>
          <w:sz w:val="24"/>
          <w:szCs w:val="24"/>
        </w:rPr>
        <w:t xml:space="preserve">trarias. </w:t>
      </w:r>
    </w:p>
    <w:p w:rsidR="005B18DA" w:rsidRDefault="005B18DA">
      <w:pPr>
        <w:spacing w:after="120"/>
        <w:jc w:val="center"/>
        <w:rPr>
          <w:rFonts w:ascii="Arial Narrow" w:eastAsia="Arial Narrow" w:hAnsi="Arial Narrow" w:cs="Arial Narrow"/>
          <w:b/>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Atentamente,</w:t>
      </w: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CARMEN FELISA RAMÍREZ BOSCÁN</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Representante a la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Circunscripción Internacional</w:t>
      </w:r>
      <w:r>
        <w:br w:type="page"/>
      </w:r>
    </w:p>
    <w:p w:rsidR="005B18DA" w:rsidRDefault="009A4251">
      <w:pPr>
        <w:spacing w:before="240"/>
        <w:jc w:val="center"/>
        <w:rPr>
          <w:rFonts w:ascii="Calibri" w:eastAsia="Calibri" w:hAnsi="Calibri" w:cs="Calibri"/>
          <w:b/>
          <w:color w:val="1B1C1D"/>
          <w:sz w:val="24"/>
          <w:szCs w:val="24"/>
        </w:rPr>
      </w:pPr>
      <w:r>
        <w:rPr>
          <w:rFonts w:ascii="Calibri" w:eastAsia="Calibri" w:hAnsi="Calibri" w:cs="Calibri"/>
          <w:b/>
          <w:color w:val="1B1C1D"/>
          <w:sz w:val="24"/>
          <w:szCs w:val="24"/>
        </w:rPr>
        <w:lastRenderedPageBreak/>
        <w:t>PROYECTO DE LEY No. ____ de 2025 - CÁMARA</w:t>
      </w:r>
    </w:p>
    <w:p w:rsidR="005B18DA" w:rsidRDefault="009A4251">
      <w:pPr>
        <w:spacing w:after="120"/>
        <w:jc w:val="center"/>
        <w:rPr>
          <w:rFonts w:ascii="Calibri" w:eastAsia="Calibri" w:hAnsi="Calibri" w:cs="Calibri"/>
          <w:color w:val="1B1C1D"/>
          <w:sz w:val="24"/>
          <w:szCs w:val="24"/>
        </w:rPr>
      </w:pPr>
      <w:r>
        <w:rPr>
          <w:rFonts w:ascii="Arial Narrow" w:eastAsia="Arial Narrow" w:hAnsi="Arial Narrow" w:cs="Arial Narrow"/>
          <w:color w:val="1B1C1D"/>
          <w:sz w:val="24"/>
          <w:szCs w:val="24"/>
        </w:rPr>
        <w:t xml:space="preserve">"Por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tbl>
      <w:tblPr>
        <w:tblStyle w:val="a1"/>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20"/>
        <w:gridCol w:w="4320"/>
      </w:tblGrid>
      <w:tr w:rsidR="005B18DA">
        <w:trPr>
          <w:trHeight w:val="2580"/>
        </w:trPr>
        <w:tc>
          <w:tcPr>
            <w:tcW w:w="43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B18DA" w:rsidRDefault="005B18DA">
            <w:pPr>
              <w:spacing w:after="120" w:line="240" w:lineRule="auto"/>
              <w:jc w:val="center"/>
              <w:rPr>
                <w:rFonts w:ascii="Calibri" w:eastAsia="Calibri" w:hAnsi="Calibri" w:cs="Calibri"/>
                <w:color w:val="1B1C1D"/>
                <w:sz w:val="24"/>
                <w:szCs w:val="24"/>
              </w:rPr>
            </w:pPr>
          </w:p>
        </w:tc>
        <w:tc>
          <w:tcPr>
            <w:tcW w:w="4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B18DA" w:rsidRDefault="005B18DA">
            <w:pPr>
              <w:spacing w:before="380" w:after="380"/>
              <w:ind w:left="140" w:right="140"/>
              <w:rPr>
                <w:rFonts w:ascii="Calibri" w:eastAsia="Calibri" w:hAnsi="Calibri" w:cs="Calibri"/>
                <w:color w:val="1B1C1D"/>
                <w:sz w:val="24"/>
                <w:szCs w:val="24"/>
              </w:rPr>
            </w:pPr>
          </w:p>
        </w:tc>
      </w:tr>
      <w:tr w:rsidR="005B18DA">
        <w:trPr>
          <w:trHeight w:val="2475"/>
        </w:trPr>
        <w:tc>
          <w:tcPr>
            <w:tcW w:w="4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B18DA" w:rsidRDefault="005B18DA">
            <w:pPr>
              <w:spacing w:after="0" w:line="240" w:lineRule="auto"/>
              <w:ind w:right="-234"/>
              <w:jc w:val="center"/>
              <w:rPr>
                <w:rFonts w:ascii="Calibri" w:eastAsia="Calibri" w:hAnsi="Calibri" w:cs="Calibri"/>
                <w:color w:val="1B1C1D"/>
                <w:sz w:val="24"/>
                <w:szCs w:val="24"/>
              </w:rPr>
            </w:pPr>
          </w:p>
        </w:tc>
        <w:tc>
          <w:tcPr>
            <w:tcW w:w="4320" w:type="dxa"/>
            <w:tcBorders>
              <w:top w:val="nil"/>
              <w:left w:val="nil"/>
              <w:bottom w:val="single" w:sz="6" w:space="0" w:color="000000"/>
              <w:right w:val="single" w:sz="6" w:space="0" w:color="000000"/>
            </w:tcBorders>
            <w:tcMar>
              <w:top w:w="0" w:type="dxa"/>
              <w:left w:w="100" w:type="dxa"/>
              <w:bottom w:w="0" w:type="dxa"/>
              <w:right w:w="100" w:type="dxa"/>
            </w:tcMar>
          </w:tcPr>
          <w:p w:rsidR="005B18DA" w:rsidRDefault="005B18DA">
            <w:pPr>
              <w:spacing w:before="380" w:after="380"/>
              <w:ind w:left="140" w:right="140"/>
              <w:rPr>
                <w:rFonts w:ascii="Calibri" w:eastAsia="Calibri" w:hAnsi="Calibri" w:cs="Calibri"/>
                <w:color w:val="1B1C1D"/>
                <w:sz w:val="24"/>
                <w:szCs w:val="24"/>
              </w:rPr>
            </w:pPr>
          </w:p>
        </w:tc>
      </w:tr>
      <w:tr w:rsidR="005B18DA">
        <w:trPr>
          <w:trHeight w:val="2520"/>
        </w:trPr>
        <w:tc>
          <w:tcPr>
            <w:tcW w:w="43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18DA" w:rsidRDefault="005B18DA">
            <w:pPr>
              <w:spacing w:before="380" w:after="380"/>
              <w:ind w:left="140" w:right="140"/>
              <w:rPr>
                <w:rFonts w:ascii="Calibri" w:eastAsia="Calibri" w:hAnsi="Calibri" w:cs="Calibri"/>
                <w:color w:val="1B1C1D"/>
                <w:sz w:val="24"/>
                <w:szCs w:val="24"/>
              </w:rPr>
            </w:pPr>
          </w:p>
        </w:tc>
        <w:tc>
          <w:tcPr>
            <w:tcW w:w="4320" w:type="dxa"/>
            <w:tcBorders>
              <w:top w:val="nil"/>
              <w:left w:val="nil"/>
              <w:bottom w:val="single" w:sz="6" w:space="0" w:color="000000"/>
              <w:right w:val="single" w:sz="6" w:space="0" w:color="000000"/>
            </w:tcBorders>
            <w:tcMar>
              <w:top w:w="0" w:type="dxa"/>
              <w:left w:w="100" w:type="dxa"/>
              <w:bottom w:w="0" w:type="dxa"/>
              <w:right w:w="100" w:type="dxa"/>
            </w:tcMar>
          </w:tcPr>
          <w:p w:rsidR="005B18DA" w:rsidRDefault="005B18DA">
            <w:pPr>
              <w:spacing w:before="380" w:after="380"/>
              <w:ind w:left="140" w:right="140"/>
              <w:rPr>
                <w:rFonts w:ascii="Calibri" w:eastAsia="Calibri" w:hAnsi="Calibri" w:cs="Calibri"/>
                <w:color w:val="1B1C1D"/>
                <w:sz w:val="24"/>
                <w:szCs w:val="24"/>
              </w:rPr>
            </w:pPr>
          </w:p>
        </w:tc>
      </w:tr>
    </w:tbl>
    <w:p w:rsidR="005B18DA" w:rsidRDefault="009A4251">
      <w:pPr>
        <w:spacing w:after="120"/>
        <w:jc w:val="center"/>
        <w:rPr>
          <w:rFonts w:ascii="Arial Narrow" w:eastAsia="Arial Narrow" w:hAnsi="Arial Narrow" w:cs="Arial Narrow"/>
          <w:color w:val="1B1C1D"/>
          <w:sz w:val="24"/>
          <w:szCs w:val="24"/>
        </w:rPr>
      </w:pPr>
      <w:r>
        <w:br w:type="page"/>
      </w:r>
      <w:r>
        <w:rPr>
          <w:rFonts w:ascii="Arial Narrow" w:eastAsia="Arial Narrow" w:hAnsi="Arial Narrow" w:cs="Arial Narrow"/>
          <w:b/>
          <w:color w:val="1B1C1D"/>
          <w:sz w:val="24"/>
          <w:szCs w:val="24"/>
        </w:rPr>
        <w:lastRenderedPageBreak/>
        <w:t>PROYECTO DE LEY No. _________ DE 2025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"POR MEDIO DE LA CUAL SE DECLARA EL 18 DE AGOSTO COMO EL DÍA NACIONAL DE LA MEMORIA DEL INSILIO Y SE DICTAN OTRAS DISPOSICIONES"</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Exposición de motivos</w:t>
      </w:r>
    </w:p>
    <w:p w:rsidR="005B18DA" w:rsidRDefault="005B18DA">
      <w:pPr>
        <w:spacing w:after="120"/>
        <w:jc w:val="center"/>
        <w:rPr>
          <w:rFonts w:ascii="Arial Narrow" w:eastAsia="Arial Narrow" w:hAnsi="Arial Narrow" w:cs="Arial Narrow"/>
          <w:b/>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Capítulo 1</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Reconocimiento del fenómeno del </w:t>
      </w:r>
      <w:proofErr w:type="spellStart"/>
      <w:r>
        <w:rPr>
          <w:rFonts w:ascii="Arial Narrow" w:eastAsia="Arial Narrow" w:hAnsi="Arial Narrow" w:cs="Arial Narrow"/>
          <w:b/>
          <w:color w:val="1B1C1D"/>
          <w:sz w:val="24"/>
          <w:szCs w:val="24"/>
        </w:rPr>
        <w:t>insilio</w:t>
      </w:r>
      <w:proofErr w:type="spellEnd"/>
    </w:p>
    <w:p w:rsidR="005B18DA" w:rsidRDefault="005B18DA">
      <w:pPr>
        <w:spacing w:after="120"/>
        <w:jc w:val="center"/>
        <w:rPr>
          <w:rFonts w:ascii="Arial Narrow" w:eastAsia="Arial Narrow" w:hAnsi="Arial Narrow" w:cs="Arial Narrow"/>
          <w:b/>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presente Proyecto de Ley tiene como objetivo pri</w:t>
      </w:r>
      <w:r>
        <w:rPr>
          <w:rFonts w:ascii="Arial Narrow" w:eastAsia="Arial Narrow" w:hAnsi="Arial Narrow" w:cs="Arial Narrow"/>
          <w:color w:val="1B1C1D"/>
          <w:sz w:val="24"/>
          <w:szCs w:val="24"/>
        </w:rPr>
        <w:t xml:space="preserve">ncipal declarar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Esta iniciativa busca establecer un acto simbólico y pedagógico de profundo reconocimiento histórico, político y social a las víctimas del conflicto armado interno colombiano. </w:t>
      </w:r>
      <w:r>
        <w:rPr>
          <w:rFonts w:ascii="Arial Narrow" w:eastAsia="Arial Narrow" w:hAnsi="Arial Narrow" w:cs="Arial Narrow"/>
          <w:color w:val="1B1C1D"/>
          <w:sz w:val="24"/>
          <w:szCs w:val="24"/>
        </w:rPr>
        <w:t>Se dirige específicamente a aquellas personas que, sin haber abandonado el país, experimentaron afectaciones severas y a menudo invisibles, derivadas de la guerra y del exilio forzado de sus seres queridos.</w:t>
      </w: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Las afectaciones centrales que este proyecto busc</w:t>
      </w:r>
      <w:r>
        <w:rPr>
          <w:rFonts w:ascii="Arial Narrow" w:eastAsia="Arial Narrow" w:hAnsi="Arial Narrow" w:cs="Arial Narrow"/>
          <w:color w:val="1B1C1D"/>
          <w:sz w:val="24"/>
          <w:szCs w:val="24"/>
        </w:rPr>
        <w:t>a visibilizar y reconocer incluyen el silenciamiento, el aislamiento social, la ruptura familiar, el confinamiento emocional y el desarraigo. Estas manifestaciones representan formas de sufrimiento únicas y frecuentemente pasadas por alto, que han impactad</w:t>
      </w:r>
      <w:r>
        <w:rPr>
          <w:rFonts w:ascii="Arial Narrow" w:eastAsia="Arial Narrow" w:hAnsi="Arial Narrow" w:cs="Arial Narrow"/>
          <w:color w:val="1B1C1D"/>
          <w:sz w:val="24"/>
          <w:szCs w:val="24"/>
        </w:rPr>
        <w:t xml:space="preserve">o profundamente el tejido social y emocional de las familias. La propuesta de ley, al nombrar explícitamente estos daños no físicos, amplía la comprensión tradicional de la victimización. Esto significa que el trauma del conflicto se reconoce más allá del </w:t>
      </w:r>
      <w:r>
        <w:rPr>
          <w:rFonts w:ascii="Arial Narrow" w:eastAsia="Arial Narrow" w:hAnsi="Arial Narrow" w:cs="Arial Narrow"/>
          <w:color w:val="1B1C1D"/>
          <w:sz w:val="24"/>
          <w:szCs w:val="24"/>
        </w:rPr>
        <w:t>daño físico directo o el desplazamiento, abarcando las profundas consecuencias psicológicas y sociales. Este paso es fundamental para una comprensión más matizada y completa de los efectos generalizados de la guerra, alineándose con los principios modernos</w:t>
      </w:r>
      <w:r>
        <w:rPr>
          <w:rFonts w:ascii="Arial Narrow" w:eastAsia="Arial Narrow" w:hAnsi="Arial Narrow" w:cs="Arial Narrow"/>
          <w:color w:val="1B1C1D"/>
          <w:sz w:val="24"/>
          <w:szCs w:val="24"/>
        </w:rPr>
        <w:t xml:space="preserve"> de justicia transicional que abogan por una reparación holística. Al formalizar una categoría de víctimas cuyo sufrimiento, aunque profundo, ha sido históricamente marginado o </w:t>
      </w:r>
      <w:proofErr w:type="spellStart"/>
      <w:r>
        <w:rPr>
          <w:rFonts w:ascii="Arial Narrow" w:eastAsia="Arial Narrow" w:hAnsi="Arial Narrow" w:cs="Arial Narrow"/>
          <w:color w:val="1B1C1D"/>
          <w:sz w:val="24"/>
          <w:szCs w:val="24"/>
        </w:rPr>
        <w:t>invisibilizado</w:t>
      </w:r>
      <w:proofErr w:type="spellEnd"/>
      <w:r>
        <w:rPr>
          <w:rFonts w:ascii="Arial Narrow" w:eastAsia="Arial Narrow" w:hAnsi="Arial Narrow" w:cs="Arial Narrow"/>
          <w:color w:val="1B1C1D"/>
          <w:sz w:val="24"/>
          <w:szCs w:val="24"/>
        </w:rPr>
        <w:t>, se da un paso crucial hacia la justicia integral.</w:t>
      </w:r>
    </w:p>
    <w:p w:rsidR="005B18DA" w:rsidRDefault="005B18DA">
      <w:pPr>
        <w:spacing w:after="120"/>
        <w:jc w:val="center"/>
        <w:rPr>
          <w:rFonts w:ascii="Arial Narrow" w:eastAsia="Arial Narrow" w:hAnsi="Arial Narrow" w:cs="Arial Narrow"/>
          <w:b/>
          <w:color w:val="1B1C1D"/>
          <w:sz w:val="24"/>
          <w:szCs w:val="24"/>
        </w:rPr>
      </w:pPr>
    </w:p>
    <w:p w:rsidR="005B18DA" w:rsidRDefault="005B18DA">
      <w:pPr>
        <w:spacing w:after="120"/>
        <w:jc w:val="center"/>
        <w:rPr>
          <w:rFonts w:ascii="Arial Narrow" w:eastAsia="Arial Narrow" w:hAnsi="Arial Narrow" w:cs="Arial Narrow"/>
          <w:b/>
          <w:color w:val="1B1C1D"/>
          <w:sz w:val="24"/>
          <w:szCs w:val="24"/>
        </w:rPr>
      </w:pPr>
    </w:p>
    <w:p w:rsidR="005B18DA" w:rsidRDefault="005B18DA">
      <w:pPr>
        <w:spacing w:after="120"/>
        <w:jc w:val="center"/>
        <w:rPr>
          <w:rFonts w:ascii="Arial Narrow" w:eastAsia="Arial Narrow" w:hAnsi="Arial Narrow" w:cs="Arial Narrow"/>
          <w:b/>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lastRenderedPageBreak/>
        <w:t>Capítulo 2</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Articulado y composición de la ley</w:t>
      </w:r>
    </w:p>
    <w:p w:rsidR="005B18DA" w:rsidRDefault="005B18DA">
      <w:pPr>
        <w:spacing w:after="120"/>
        <w:jc w:val="center"/>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normatividad propuesta se compone de los siguientes artículos, los cuales </w:t>
      </w:r>
      <w:r>
        <w:rPr>
          <w:rFonts w:ascii="Arial Narrow" w:eastAsia="Arial Narrow" w:hAnsi="Arial Narrow" w:cs="Arial Narrow"/>
          <w:sz w:val="24"/>
          <w:szCs w:val="24"/>
        </w:rPr>
        <w:t>procuran un enfoque deliberado y progresivo</w:t>
      </w:r>
      <w:r>
        <w:rPr>
          <w:rFonts w:ascii="Arial Narrow" w:eastAsia="Arial Narrow" w:hAnsi="Arial Narrow" w:cs="Arial Narrow"/>
          <w:color w:val="FF0000"/>
          <w:sz w:val="24"/>
          <w:szCs w:val="24"/>
        </w:rPr>
        <w:t xml:space="preserve"> </w:t>
      </w:r>
      <w:r>
        <w:rPr>
          <w:rFonts w:ascii="Arial Narrow" w:eastAsia="Arial Narrow" w:hAnsi="Arial Narrow" w:cs="Arial Narrow"/>
          <w:color w:val="1B1C1D"/>
          <w:sz w:val="24"/>
          <w:szCs w:val="24"/>
        </w:rPr>
        <w:t xml:space="preserve">para abordar la compleja realidad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Colombia.</w:t>
      </w:r>
    </w:p>
    <w:p w:rsidR="005B18DA" w:rsidRDefault="005B18DA">
      <w:pPr>
        <w:spacing w:after="12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1:</w:t>
      </w:r>
      <w:r>
        <w:rPr>
          <w:rFonts w:ascii="Arial Narrow" w:eastAsia="Arial Narrow" w:hAnsi="Arial Narrow" w:cs="Arial Narrow"/>
          <w:color w:val="1B1C1D"/>
          <w:sz w:val="24"/>
          <w:szCs w:val="24"/>
        </w:rPr>
        <w:t xml:space="preserve"> Establece el objeto de la ley.</w:t>
      </w:r>
    </w:p>
    <w:p w:rsidR="005B18DA" w:rsidRDefault="005B18DA">
      <w:pPr>
        <w:spacing w:after="0"/>
        <w:ind w:left="72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Artículos 2: </w:t>
      </w:r>
      <w:r>
        <w:rPr>
          <w:rFonts w:ascii="Arial Narrow" w:eastAsia="Arial Narrow" w:hAnsi="Arial Narrow" w:cs="Arial Narrow"/>
          <w:color w:val="1B1C1D"/>
          <w:sz w:val="24"/>
          <w:szCs w:val="24"/>
        </w:rPr>
        <w:t xml:space="preserve">Propone la declaración del 18 de agosto de cada año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w:t>
      </w:r>
    </w:p>
    <w:p w:rsidR="005B18DA" w:rsidRDefault="005B18DA">
      <w:pPr>
        <w:spacing w:after="0"/>
        <w:ind w:left="72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3:</w:t>
      </w:r>
      <w:r>
        <w:rPr>
          <w:rFonts w:ascii="Arial Narrow" w:eastAsia="Arial Narrow" w:hAnsi="Arial Narrow" w:cs="Arial Narrow"/>
          <w:color w:val="1B1C1D"/>
          <w:sz w:val="24"/>
          <w:szCs w:val="24"/>
        </w:rPr>
        <w:t xml:space="preserve"> Establece la promoción de actos simbólicos, conmemoraciones públicas, cátedras de memoria, estr</w:t>
      </w:r>
      <w:r>
        <w:rPr>
          <w:rFonts w:ascii="Arial Narrow" w:eastAsia="Arial Narrow" w:hAnsi="Arial Narrow" w:cs="Arial Narrow"/>
          <w:color w:val="1B1C1D"/>
          <w:sz w:val="24"/>
          <w:szCs w:val="24"/>
        </w:rPr>
        <w:t xml:space="preserve">ategias pedagógicas y producciones culturales en esta fecha. El propósito es visibilizar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un hecho </w:t>
      </w:r>
      <w:proofErr w:type="spellStart"/>
      <w:r>
        <w:rPr>
          <w:rFonts w:ascii="Arial Narrow" w:eastAsia="Arial Narrow" w:hAnsi="Arial Narrow" w:cs="Arial Narrow"/>
          <w:color w:val="1B1C1D"/>
          <w:sz w:val="24"/>
          <w:szCs w:val="24"/>
        </w:rPr>
        <w:t>victimizante</w:t>
      </w:r>
      <w:proofErr w:type="spellEnd"/>
      <w:r>
        <w:rPr>
          <w:rFonts w:ascii="Arial Narrow" w:eastAsia="Arial Narrow" w:hAnsi="Arial Narrow" w:cs="Arial Narrow"/>
          <w:color w:val="1B1C1D"/>
          <w:sz w:val="24"/>
          <w:szCs w:val="24"/>
        </w:rPr>
        <w:t xml:space="preserve"> específico y, con ello, fortalecer la memoria colectiva en torno a este fenómeno.</w:t>
      </w:r>
    </w:p>
    <w:p w:rsidR="005B18DA" w:rsidRDefault="005B18DA">
      <w:pPr>
        <w:spacing w:after="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4:</w:t>
      </w:r>
      <w:r>
        <w:rPr>
          <w:rFonts w:ascii="Arial Narrow" w:eastAsia="Arial Narrow" w:hAnsi="Arial Narrow" w:cs="Arial Narrow"/>
          <w:color w:val="1B1C1D"/>
          <w:sz w:val="24"/>
          <w:szCs w:val="24"/>
        </w:rPr>
        <w:t xml:space="preserve"> Autoriza al Gobierno Nacional, a t</w:t>
      </w:r>
      <w:r>
        <w:rPr>
          <w:rFonts w:ascii="Arial Narrow" w:eastAsia="Arial Narrow" w:hAnsi="Arial Narrow" w:cs="Arial Narrow"/>
          <w:color w:val="1B1C1D"/>
          <w:sz w:val="24"/>
          <w:szCs w:val="24"/>
        </w:rPr>
        <w:t xml:space="preserve">ravés del Centro Nacional de Memoria Histórica (CNMH) y su estrategia MHERI, en coordinación con el Ministerio de Educación Nacional, el Ministerio de las Culturas, las Artes y los Saberes y otras entidades competentes, a diseñar e implementar iniciativas </w:t>
      </w:r>
      <w:r>
        <w:rPr>
          <w:rFonts w:ascii="Arial Narrow" w:eastAsia="Arial Narrow" w:hAnsi="Arial Narrow" w:cs="Arial Narrow"/>
          <w:color w:val="1B1C1D"/>
          <w:sz w:val="24"/>
          <w:szCs w:val="24"/>
        </w:rPr>
        <w:t xml:space="preserve">pedagógicas y culturales sobre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Establece que esta labor se realizará en colaboración con víctimas, organizaciones sociales y universidades públicas, garantizando un enfoque participativo e inclusivo.</w:t>
      </w:r>
    </w:p>
    <w:p w:rsidR="005B18DA" w:rsidRDefault="005B18DA">
      <w:pPr>
        <w:spacing w:after="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5:</w:t>
      </w:r>
      <w:r>
        <w:rPr>
          <w:rFonts w:ascii="Arial Narrow" w:eastAsia="Arial Narrow" w:hAnsi="Arial Narrow" w:cs="Arial Narrow"/>
          <w:color w:val="1B1C1D"/>
          <w:sz w:val="24"/>
          <w:szCs w:val="24"/>
        </w:rPr>
        <w:t xml:space="preserve"> Autoriza al Gobierno Nacional a</w:t>
      </w:r>
      <w:r>
        <w:rPr>
          <w:rFonts w:ascii="Arial Narrow" w:eastAsia="Arial Narrow" w:hAnsi="Arial Narrow" w:cs="Arial Narrow"/>
          <w:color w:val="1B1C1D"/>
          <w:sz w:val="24"/>
          <w:szCs w:val="24"/>
        </w:rPr>
        <w:t xml:space="preserve"> incluir las asignaciones presupuestales necesarias en el Presupuesto General de la Nación para el cumplimiento de esta ley. Dicha asignación estará sujeta a la disponibilidad presupuestal y a la planificación estratégica, lo que asegura la viabilidad fina</w:t>
      </w:r>
      <w:r>
        <w:rPr>
          <w:rFonts w:ascii="Arial Narrow" w:eastAsia="Arial Narrow" w:hAnsi="Arial Narrow" w:cs="Arial Narrow"/>
          <w:color w:val="1B1C1D"/>
          <w:sz w:val="24"/>
          <w:szCs w:val="24"/>
        </w:rPr>
        <w:t>nciera de las acciones propuestas a largo plazo.</w:t>
      </w:r>
    </w:p>
    <w:p w:rsidR="005B18DA" w:rsidRDefault="005B18DA">
      <w:pPr>
        <w:spacing w:after="0"/>
        <w:jc w:val="both"/>
        <w:rPr>
          <w:rFonts w:ascii="Arial Narrow" w:eastAsia="Arial Narrow" w:hAnsi="Arial Narrow" w:cs="Arial Narrow"/>
          <w:color w:val="1B1C1D"/>
          <w:sz w:val="24"/>
          <w:szCs w:val="24"/>
        </w:rPr>
      </w:pPr>
    </w:p>
    <w:p w:rsidR="005B18DA" w:rsidRDefault="009A4251">
      <w:pPr>
        <w:numPr>
          <w:ilvl w:val="0"/>
          <w:numId w:val="2"/>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Artículo 6:</w:t>
      </w:r>
      <w:r>
        <w:rPr>
          <w:rFonts w:ascii="Arial Narrow" w:eastAsia="Arial Narrow" w:hAnsi="Arial Narrow" w:cs="Arial Narrow"/>
          <w:color w:val="1B1C1D"/>
          <w:sz w:val="24"/>
          <w:szCs w:val="24"/>
        </w:rPr>
        <w:t xml:space="preserve"> Determina la vigencia y derogatorias.</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lastRenderedPageBreak/>
        <w:t>El articulado estipula entonces el reconocimiento simbólico (Artículo 1), hacia la educación pública y la sensibilización (Artículo 2), luego a la acción i</w:t>
      </w:r>
      <w:r>
        <w:rPr>
          <w:rFonts w:ascii="Arial Narrow" w:eastAsia="Arial Narrow" w:hAnsi="Arial Narrow" w:cs="Arial Narrow"/>
          <w:color w:val="1B1C1D"/>
          <w:sz w:val="24"/>
          <w:szCs w:val="24"/>
        </w:rPr>
        <w:t>nstitucional y el desarrollo de políticas (Artículo 3), y finalmente, a la obtención de los recursos financieros necesarios para una implementación sostenida (Artículo 4). Esta estructura no es fortuita; representa un plan meticuloso para pasar de un conce</w:t>
      </w:r>
      <w:r>
        <w:rPr>
          <w:rFonts w:ascii="Arial Narrow" w:eastAsia="Arial Narrow" w:hAnsi="Arial Narrow" w:cs="Arial Narrow"/>
          <w:color w:val="1B1C1D"/>
          <w:sz w:val="24"/>
          <w:szCs w:val="24"/>
        </w:rPr>
        <w:t xml:space="preserve">pto abstracto a medidas concretas y ejecutables. </w:t>
      </w: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Para una forma de victimización previamente "invisible" como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los esfuerzos de sensibilización pública y educación son precursores indispensables para una implementación efectiva de políticas y l</w:t>
      </w:r>
      <w:r>
        <w:rPr>
          <w:rFonts w:ascii="Arial Narrow" w:eastAsia="Arial Narrow" w:hAnsi="Arial Narrow" w:cs="Arial Narrow"/>
          <w:color w:val="1B1C1D"/>
          <w:sz w:val="24"/>
          <w:szCs w:val="24"/>
        </w:rPr>
        <w:t>a asignación de recursos. Este enfoque garantiza que la intención legislativa sea comprendida, apoyada por la sociedad y sostenible en el tiempo, lo que conducirá a un impacto significativo y duradero.</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Capítulo 3</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Fundamentos para el reconocimiento integra</w:t>
      </w:r>
      <w:r>
        <w:rPr>
          <w:rFonts w:ascii="Arial Narrow" w:eastAsia="Arial Narrow" w:hAnsi="Arial Narrow" w:cs="Arial Narrow"/>
          <w:b/>
          <w:color w:val="1B1C1D"/>
          <w:sz w:val="24"/>
          <w:szCs w:val="24"/>
        </w:rPr>
        <w:t xml:space="preserve">l del </w:t>
      </w:r>
      <w:proofErr w:type="spellStart"/>
      <w:r>
        <w:rPr>
          <w:rFonts w:ascii="Arial Narrow" w:eastAsia="Arial Narrow" w:hAnsi="Arial Narrow" w:cs="Arial Narrow"/>
          <w:b/>
          <w:color w:val="1B1C1D"/>
          <w:sz w:val="24"/>
          <w:szCs w:val="24"/>
        </w:rPr>
        <w:t>insilio</w:t>
      </w:r>
      <w:proofErr w:type="spellEnd"/>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A continuación, se profundiza en los fundamentos legales, éticos e históricos que justifican la promulgación de esta Ley para el reconocimiento integral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w:t>
      </w: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3.1. Marco jurídico nacional e internacional del reconocimiento de víctimas</w:t>
      </w:r>
      <w:r>
        <w:rPr>
          <w:rFonts w:ascii="Arial Narrow" w:eastAsia="Arial Narrow" w:hAnsi="Arial Narrow" w:cs="Arial Narrow"/>
          <w:b/>
          <w:color w:val="1B1C1D"/>
          <w:sz w:val="24"/>
          <w:szCs w:val="24"/>
        </w:rPr>
        <w:t>: Consolidando el deber estatal</w:t>
      </w: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3.1.1. La Ley 1448 de 2011 (Ley de Víctimas y Restitución de Tierras) y el derecho a la reparación integral</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Ley 1448 de 2011, conocida como la Ley de Víctimas y Restitución de Tierras, es la piedra angular del marco de justicia transicional en Colombia. Esta ley estableció el Sistema Nacional de Atención y Reparación Integral a las Víctimas (SNARIV) </w:t>
      </w:r>
      <w:r>
        <w:rPr>
          <w:rFonts w:ascii="Arial Narrow" w:eastAsia="Arial Narrow" w:hAnsi="Arial Narrow" w:cs="Arial Narrow"/>
          <w:color w:val="575B5F"/>
          <w:sz w:val="24"/>
          <w:szCs w:val="24"/>
          <w:vertAlign w:val="superscript"/>
        </w:rPr>
        <w:t>1</w:t>
      </w:r>
      <w:r>
        <w:rPr>
          <w:rFonts w:ascii="Arial Narrow" w:eastAsia="Arial Narrow" w:hAnsi="Arial Narrow" w:cs="Arial Narrow"/>
          <w:color w:val="1B1C1D"/>
          <w:sz w:val="24"/>
          <w:szCs w:val="24"/>
        </w:rPr>
        <w:t>, reafir</w:t>
      </w:r>
      <w:r>
        <w:rPr>
          <w:rFonts w:ascii="Arial Narrow" w:eastAsia="Arial Narrow" w:hAnsi="Arial Narrow" w:cs="Arial Narrow"/>
          <w:color w:val="1B1C1D"/>
          <w:sz w:val="24"/>
          <w:szCs w:val="24"/>
        </w:rPr>
        <w:t>mando los derechos fundamentales de las víctimas a la verdad, la justicia, la reparación integral y las garantías de no repetición.</w:t>
      </w:r>
      <w:r>
        <w:rPr>
          <w:rFonts w:ascii="Arial Narrow" w:eastAsia="Arial Narrow" w:hAnsi="Arial Narrow" w:cs="Arial Narrow"/>
          <w:color w:val="575B5F"/>
          <w:sz w:val="24"/>
          <w:szCs w:val="24"/>
          <w:vertAlign w:val="superscript"/>
        </w:rPr>
        <w:t>2</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Un aspecto crucial de la Ley 1448 es su definición amplia de "víctima", que abarca a individuos y grupos que han sufrido d</w:t>
      </w:r>
      <w:r>
        <w:rPr>
          <w:rFonts w:ascii="Arial Narrow" w:eastAsia="Arial Narrow" w:hAnsi="Arial Narrow" w:cs="Arial Narrow"/>
          <w:color w:val="1B1C1D"/>
          <w:sz w:val="24"/>
          <w:szCs w:val="24"/>
        </w:rPr>
        <w:t>años debido a violaciones del Derecho Internacional Humanitario (DIH) o normas internacionales de derechos humanos en el contexto del conflicto armado interno, incluyendo a aquellos que se encuentran en el extranjero, independientemente de su estatus migra</w:t>
      </w:r>
      <w:r>
        <w:rPr>
          <w:rFonts w:ascii="Arial Narrow" w:eastAsia="Arial Narrow" w:hAnsi="Arial Narrow" w:cs="Arial Narrow"/>
          <w:color w:val="1B1C1D"/>
          <w:sz w:val="24"/>
          <w:szCs w:val="24"/>
        </w:rPr>
        <w:t>torio.</w:t>
      </w:r>
      <w:r>
        <w:rPr>
          <w:rFonts w:ascii="Arial Narrow" w:eastAsia="Arial Narrow" w:hAnsi="Arial Narrow" w:cs="Arial Narrow"/>
          <w:color w:val="575B5F"/>
          <w:sz w:val="24"/>
          <w:szCs w:val="24"/>
          <w:vertAlign w:val="superscript"/>
        </w:rPr>
        <w:t>2</w:t>
      </w:r>
      <w:r>
        <w:rPr>
          <w:rFonts w:ascii="Arial Narrow" w:eastAsia="Arial Narrow" w:hAnsi="Arial Narrow" w:cs="Arial Narrow"/>
          <w:color w:val="1B1C1D"/>
          <w:sz w:val="24"/>
          <w:szCs w:val="24"/>
        </w:rPr>
        <w:t xml:space="preserve"> Más allá de la víctima directa, la ley extiende explícitamente la condición de víctima al </w:t>
      </w:r>
      <w:r>
        <w:rPr>
          <w:rFonts w:ascii="Arial Narrow" w:eastAsia="Arial Narrow" w:hAnsi="Arial Narrow" w:cs="Arial Narrow"/>
          <w:color w:val="1B1C1D"/>
          <w:sz w:val="24"/>
          <w:szCs w:val="24"/>
        </w:rPr>
        <w:lastRenderedPageBreak/>
        <w:t xml:space="preserve">cónyuge, compañero o compañera permanente, parejas del mismo sexo, y familiares hasta el primer grado de consanguinidad o crianza, o primer grado civil de la </w:t>
      </w:r>
      <w:r>
        <w:rPr>
          <w:rFonts w:ascii="Arial Narrow" w:eastAsia="Arial Narrow" w:hAnsi="Arial Narrow" w:cs="Arial Narrow"/>
          <w:color w:val="1B1C1D"/>
          <w:sz w:val="24"/>
          <w:szCs w:val="24"/>
        </w:rPr>
        <w:t>víctima directa, especialmente si esta fue asesinada, desaparecida, secuestrada o sufrió daños por crímenes de lesa humanidad y graves violaciones del DIH o del derecho internacional de los derechos humanos.</w:t>
      </w:r>
      <w:r>
        <w:rPr>
          <w:rFonts w:ascii="Arial Narrow" w:eastAsia="Arial Narrow" w:hAnsi="Arial Narrow" w:cs="Arial Narrow"/>
          <w:color w:val="575B5F"/>
          <w:sz w:val="24"/>
          <w:szCs w:val="24"/>
          <w:vertAlign w:val="superscript"/>
        </w:rPr>
        <w:t>2</w:t>
      </w:r>
      <w:r>
        <w:rPr>
          <w:rFonts w:ascii="Arial Narrow" w:eastAsia="Arial Narrow" w:hAnsi="Arial Narrow" w:cs="Arial Narrow"/>
          <w:color w:val="1B1C1D"/>
          <w:sz w:val="24"/>
          <w:szCs w:val="24"/>
        </w:rPr>
        <w:t xml:space="preserve"> La inclusión de la "familia de crianza" a travé</w:t>
      </w:r>
      <w:r>
        <w:rPr>
          <w:rFonts w:ascii="Arial Narrow" w:eastAsia="Arial Narrow" w:hAnsi="Arial Narrow" w:cs="Arial Narrow"/>
          <w:color w:val="1B1C1D"/>
          <w:sz w:val="24"/>
          <w:szCs w:val="24"/>
        </w:rPr>
        <w:t xml:space="preserve">s de la Ley 2421 de 2024 </w:t>
      </w:r>
      <w:r>
        <w:rPr>
          <w:rFonts w:ascii="Arial Narrow" w:eastAsia="Arial Narrow" w:hAnsi="Arial Narrow" w:cs="Arial Narrow"/>
          <w:color w:val="575B5F"/>
          <w:sz w:val="24"/>
          <w:szCs w:val="24"/>
          <w:vertAlign w:val="superscript"/>
        </w:rPr>
        <w:t>2</w:t>
      </w:r>
      <w:r>
        <w:rPr>
          <w:rFonts w:ascii="Arial Narrow" w:eastAsia="Arial Narrow" w:hAnsi="Arial Narrow" w:cs="Arial Narrow"/>
          <w:color w:val="1B1C1D"/>
          <w:sz w:val="24"/>
          <w:szCs w:val="24"/>
        </w:rPr>
        <w:t xml:space="preserve"> amplía aún más este alcance, proporcionando una base legal clara dentro de la legislación nacional existente para reconocer a los familiares que permanecieron en Colombia como víctimas de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El Proyecto de Ley, al buscar el reconocimiento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no está creando una nueva categoría de víctimas de la nada, sino que está clarificando y formalizando un reconocimiento ya implícito dentro del marco de víctimas establecido por la Ley 1448. Esto</w:t>
      </w:r>
      <w:r>
        <w:rPr>
          <w:rFonts w:ascii="Arial Narrow" w:eastAsia="Arial Narrow" w:hAnsi="Arial Narrow" w:cs="Arial Narrow"/>
          <w:color w:val="1B1C1D"/>
          <w:sz w:val="24"/>
          <w:szCs w:val="24"/>
        </w:rPr>
        <w:t xml:space="preserve"> refuerza la legitimidad jurídica de la legislación propuesta, demostrando su alineación con la ley nacional establecida y su papel en la </w:t>
      </w:r>
      <w:proofErr w:type="spellStart"/>
      <w:r>
        <w:rPr>
          <w:rFonts w:ascii="Arial Narrow" w:eastAsia="Arial Narrow" w:hAnsi="Arial Narrow" w:cs="Arial Narrow"/>
          <w:color w:val="1B1C1D"/>
          <w:sz w:val="24"/>
          <w:szCs w:val="24"/>
        </w:rPr>
        <w:t>operacionalización</w:t>
      </w:r>
      <w:proofErr w:type="spellEnd"/>
      <w:r>
        <w:rPr>
          <w:rFonts w:ascii="Arial Narrow" w:eastAsia="Arial Narrow" w:hAnsi="Arial Narrow" w:cs="Arial Narrow"/>
          <w:color w:val="1B1C1D"/>
          <w:sz w:val="24"/>
          <w:szCs w:val="24"/>
        </w:rPr>
        <w:t xml:space="preserve"> de los deberes existentes del Estado hacia las víctimas. Además, la Ley 1448 exige un "enfoque dife</w:t>
      </w:r>
      <w:r>
        <w:rPr>
          <w:rFonts w:ascii="Arial Narrow" w:eastAsia="Arial Narrow" w:hAnsi="Arial Narrow" w:cs="Arial Narrow"/>
          <w:color w:val="1B1C1D"/>
          <w:sz w:val="24"/>
          <w:szCs w:val="24"/>
        </w:rPr>
        <w:t>rencial" en todos los aspectos de la atención, asistencia y reparación integral, integrando una perspectiva de género.</w:t>
      </w:r>
      <w:r>
        <w:rPr>
          <w:rFonts w:ascii="Arial Narrow" w:eastAsia="Arial Narrow" w:hAnsi="Arial Narrow" w:cs="Arial Narrow"/>
          <w:color w:val="575B5F"/>
          <w:sz w:val="24"/>
          <w:szCs w:val="24"/>
          <w:vertAlign w:val="superscript"/>
        </w:rPr>
        <w:t>1</w:t>
      </w:r>
      <w:r>
        <w:rPr>
          <w:rFonts w:ascii="Arial Narrow" w:eastAsia="Arial Narrow" w:hAnsi="Arial Narrow" w:cs="Arial Narrow"/>
          <w:color w:val="1B1C1D"/>
          <w:sz w:val="24"/>
          <w:szCs w:val="24"/>
        </w:rPr>
        <w:t xml:space="preserve"> Este principio es vital para abordar los impactos específicos y variados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diversas poblaciones, asegurando que el reconoci</w:t>
      </w:r>
      <w:r>
        <w:rPr>
          <w:rFonts w:ascii="Arial Narrow" w:eastAsia="Arial Narrow" w:hAnsi="Arial Narrow" w:cs="Arial Narrow"/>
          <w:color w:val="1B1C1D"/>
          <w:sz w:val="24"/>
          <w:szCs w:val="24"/>
        </w:rPr>
        <w:t>miento sea inclusivo y equitativo.</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3.1.2. El Sistema Integral de verdad, justicia, reparación y no repetición como pilar de la paz</w:t>
      </w:r>
    </w:p>
    <w:p w:rsidR="005B18DA" w:rsidRDefault="005B18DA">
      <w:pPr>
        <w:spacing w:after="0"/>
        <w:rPr>
          <w:rFonts w:ascii="Arial Narrow" w:eastAsia="Arial Narrow" w:hAnsi="Arial Narrow" w:cs="Arial Narrow"/>
          <w:b/>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Sistema Integral de Verdad, Justicia, Reparación y No Repetición, establecido por el Acto Legislativo 01 de 2017, const</w:t>
      </w:r>
      <w:r>
        <w:rPr>
          <w:rFonts w:ascii="Arial Narrow" w:eastAsia="Arial Narrow" w:hAnsi="Arial Narrow" w:cs="Arial Narrow"/>
          <w:color w:val="1B1C1D"/>
          <w:sz w:val="24"/>
          <w:szCs w:val="24"/>
        </w:rPr>
        <w:t>ituye la piedra angular de los esfuerzos de Colombia para cumplir el Acuerdo Final de Paz y construir una paz estable y duradera.</w:t>
      </w:r>
      <w:r>
        <w:rPr>
          <w:rFonts w:ascii="Arial Narrow" w:eastAsia="Arial Narrow" w:hAnsi="Arial Narrow" w:cs="Arial Narrow"/>
          <w:color w:val="575B5F"/>
          <w:sz w:val="24"/>
          <w:szCs w:val="24"/>
          <w:vertAlign w:val="superscript"/>
        </w:rPr>
        <w:t>3</w:t>
      </w:r>
      <w:r>
        <w:rPr>
          <w:rFonts w:ascii="Arial Narrow" w:eastAsia="Arial Narrow" w:hAnsi="Arial Narrow" w:cs="Arial Narrow"/>
          <w:color w:val="1B1C1D"/>
          <w:sz w:val="24"/>
          <w:szCs w:val="24"/>
        </w:rPr>
        <w:t xml:space="preserve"> Este sistema opera a través de un conjunto complementario de mecanismos judiciales y extrajudiciales, que incluyen la Comisió</w:t>
      </w:r>
      <w:r>
        <w:rPr>
          <w:rFonts w:ascii="Arial Narrow" w:eastAsia="Arial Narrow" w:hAnsi="Arial Narrow" w:cs="Arial Narrow"/>
          <w:color w:val="1B1C1D"/>
          <w:sz w:val="24"/>
          <w:szCs w:val="24"/>
        </w:rPr>
        <w:t>n para el Esclarecimiento de la Verdad, la Convivencia y la No Repetición (CEV), la Unidad para la Búsqueda de Personas dadas por Desaparecidas (UBPD) y la Jurisdicción Especial para la Paz (JEP).</w:t>
      </w:r>
      <w:r>
        <w:rPr>
          <w:rFonts w:ascii="Arial Narrow" w:eastAsia="Arial Narrow" w:hAnsi="Arial Narrow" w:cs="Arial Narrow"/>
          <w:color w:val="575B5F"/>
          <w:sz w:val="24"/>
          <w:szCs w:val="24"/>
          <w:vertAlign w:val="superscript"/>
        </w:rPr>
        <w:t>3</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propósito primordial del SIVJRNR es "satisfacer en may</w:t>
      </w:r>
      <w:r>
        <w:rPr>
          <w:rFonts w:ascii="Arial Narrow" w:eastAsia="Arial Narrow" w:hAnsi="Arial Narrow" w:cs="Arial Narrow"/>
          <w:color w:val="1B1C1D"/>
          <w:sz w:val="24"/>
          <w:szCs w:val="24"/>
        </w:rPr>
        <w:t>or grado los derechos de las víctimas, contribuyendo a la convivencia, la reconciliación y la no repetición del conflicto".</w:t>
      </w:r>
      <w:r>
        <w:rPr>
          <w:rFonts w:ascii="Arial Narrow" w:eastAsia="Arial Narrow" w:hAnsi="Arial Narrow" w:cs="Arial Narrow"/>
          <w:color w:val="575B5F"/>
          <w:sz w:val="24"/>
          <w:szCs w:val="24"/>
          <w:vertAlign w:val="superscript"/>
        </w:rPr>
        <w:t>3</w:t>
      </w:r>
      <w:r>
        <w:rPr>
          <w:rFonts w:ascii="Arial Narrow" w:eastAsia="Arial Narrow" w:hAnsi="Arial Narrow" w:cs="Arial Narrow"/>
          <w:color w:val="1B1C1D"/>
          <w:sz w:val="24"/>
          <w:szCs w:val="24"/>
        </w:rPr>
        <w:t xml:space="preserve"> Dentro de este sistema, el papel específico de la CEV es "esclarecer y promover el reconocimiento de prácticas y actos constitutivo</w:t>
      </w:r>
      <w:r>
        <w:rPr>
          <w:rFonts w:ascii="Arial Narrow" w:eastAsia="Arial Narrow" w:hAnsi="Arial Narrow" w:cs="Arial Narrow"/>
          <w:color w:val="1B1C1D"/>
          <w:sz w:val="24"/>
          <w:szCs w:val="24"/>
        </w:rPr>
        <w:t>s de graves violaciones de los derechos humanos y graves infracciones del Derecho Internacional Humanitario (DIH)".</w:t>
      </w:r>
      <w:r>
        <w:rPr>
          <w:rFonts w:ascii="Arial Narrow" w:eastAsia="Arial Narrow" w:hAnsi="Arial Narrow" w:cs="Arial Narrow"/>
          <w:color w:val="575B5F"/>
          <w:sz w:val="24"/>
          <w:szCs w:val="24"/>
          <w:vertAlign w:val="superscript"/>
        </w:rPr>
        <w:t>3</w:t>
      </w:r>
      <w:r>
        <w:rPr>
          <w:rFonts w:ascii="Arial Narrow" w:eastAsia="Arial Narrow" w:hAnsi="Arial Narrow" w:cs="Arial Narrow"/>
          <w:color w:val="1B1C1D"/>
          <w:sz w:val="24"/>
          <w:szCs w:val="24"/>
        </w:rPr>
        <w:t xml:space="preserve"> La inclusión del reconocimiento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a través de este proyecto de ley no es un acto aislado, sino una parte integral de la arquitect</w:t>
      </w:r>
      <w:r>
        <w:rPr>
          <w:rFonts w:ascii="Arial Narrow" w:eastAsia="Arial Narrow" w:hAnsi="Arial Narrow" w:cs="Arial Narrow"/>
          <w:color w:val="1B1C1D"/>
          <w:sz w:val="24"/>
          <w:szCs w:val="24"/>
        </w:rPr>
        <w:t xml:space="preserve">ura más amplia de </w:t>
      </w:r>
      <w:r>
        <w:rPr>
          <w:rFonts w:ascii="Arial Narrow" w:eastAsia="Arial Narrow" w:hAnsi="Arial Narrow" w:cs="Arial Narrow"/>
          <w:color w:val="1B1C1D"/>
          <w:sz w:val="24"/>
          <w:szCs w:val="24"/>
        </w:rPr>
        <w:lastRenderedPageBreak/>
        <w:t>justicia transicional de Colombia. Al abordar una "herida invisible", el proyecto de ley contribuye al objetivo holístico del SIVJRNR de lograr una verdad, justicia y reparación integrales, fortaleciendo así los cimientos para una paz est</w:t>
      </w:r>
      <w:r>
        <w:rPr>
          <w:rFonts w:ascii="Arial Narrow" w:eastAsia="Arial Narrow" w:hAnsi="Arial Narrow" w:cs="Arial Narrow"/>
          <w:color w:val="1B1C1D"/>
          <w:sz w:val="24"/>
          <w:szCs w:val="24"/>
        </w:rPr>
        <w:t>able y duradera. Demuestra un compromiso con una comprensión matizada y evolutiva de los daños relacionados con el conflicto y el espectro completo de las víctimas.</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3.1.3. Estándares Internacionales de derechos humanos y la protección de la unidad famili</w:t>
      </w:r>
      <w:r>
        <w:rPr>
          <w:rFonts w:ascii="Arial Narrow" w:eastAsia="Arial Narrow" w:hAnsi="Arial Narrow" w:cs="Arial Narrow"/>
          <w:b/>
          <w:color w:val="1B1C1D"/>
          <w:sz w:val="24"/>
          <w:szCs w:val="24"/>
        </w:rPr>
        <w:t>ar en contextos de conflicto</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marco global de derechos humanos subraya cada vez más el reconocimiento integral de las necesidades y derechos de las víctimas, incluyendo a aquellos afectados indirectamente por el conflicto y sus familias.</w:t>
      </w:r>
      <w:r>
        <w:rPr>
          <w:rFonts w:ascii="Arial Narrow" w:eastAsia="Arial Narrow" w:hAnsi="Arial Narrow" w:cs="Arial Narrow"/>
          <w:color w:val="575B5F"/>
          <w:sz w:val="24"/>
          <w:szCs w:val="24"/>
          <w:vertAlign w:val="superscript"/>
        </w:rPr>
        <w:t>5</w:t>
      </w:r>
      <w:r>
        <w:rPr>
          <w:rFonts w:ascii="Arial Narrow" w:eastAsia="Arial Narrow" w:hAnsi="Arial Narrow" w:cs="Arial Narrow"/>
          <w:color w:val="1B1C1D"/>
          <w:sz w:val="24"/>
          <w:szCs w:val="24"/>
        </w:rPr>
        <w:t xml:space="preserve"> Diversos instru</w:t>
      </w:r>
      <w:r>
        <w:rPr>
          <w:rFonts w:ascii="Arial Narrow" w:eastAsia="Arial Narrow" w:hAnsi="Arial Narrow" w:cs="Arial Narrow"/>
          <w:color w:val="1B1C1D"/>
          <w:sz w:val="24"/>
          <w:szCs w:val="24"/>
        </w:rPr>
        <w:t>mentos internacionales fundamentales afirman la inviolabilidad de la vida familiar. La Declaración Universal de Derechos Humanos (DUDH) establece que "Nadie será objeto de injerencias arbitrarias en su vida privada, su familia, su domicilio o su correspond</w:t>
      </w:r>
      <w:r>
        <w:rPr>
          <w:rFonts w:ascii="Arial Narrow" w:eastAsia="Arial Narrow" w:hAnsi="Arial Narrow" w:cs="Arial Narrow"/>
          <w:color w:val="1B1C1D"/>
          <w:sz w:val="24"/>
          <w:szCs w:val="24"/>
        </w:rPr>
        <w:t>encia" (Artículo 12) y que "La familia es el elemento natural y fundamental de la sociedad y tiene derecho a la protección de la sociedad y del Estado" (Artículo 16(3)).</w:t>
      </w:r>
      <w:r>
        <w:rPr>
          <w:rFonts w:ascii="Arial Narrow" w:eastAsia="Arial Narrow" w:hAnsi="Arial Narrow" w:cs="Arial Narrow"/>
          <w:color w:val="575B5F"/>
          <w:sz w:val="24"/>
          <w:szCs w:val="24"/>
          <w:vertAlign w:val="superscript"/>
        </w:rPr>
        <w:t>8</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Asimismo, la Convención sobre los Derechos del Niño (CDN) impone a los Estados la ob</w:t>
      </w:r>
      <w:r>
        <w:rPr>
          <w:rFonts w:ascii="Arial Narrow" w:eastAsia="Arial Narrow" w:hAnsi="Arial Narrow" w:cs="Arial Narrow"/>
          <w:color w:val="1B1C1D"/>
          <w:sz w:val="24"/>
          <w:szCs w:val="24"/>
        </w:rPr>
        <w:t>ligación de proteger a los niños contra la discriminación basada en el estatus o las actividades de sus padres, de respetar el derecho del niño a la identidad, incluyendo las relaciones familiares, y de asegurar que los niños cuyos padres residen en difere</w:t>
      </w:r>
      <w:r>
        <w:rPr>
          <w:rFonts w:ascii="Arial Narrow" w:eastAsia="Arial Narrow" w:hAnsi="Arial Narrow" w:cs="Arial Narrow"/>
          <w:color w:val="1B1C1D"/>
          <w:sz w:val="24"/>
          <w:szCs w:val="24"/>
        </w:rPr>
        <w:t>ntes Estados tengan derecho a mantener contacto regular. También aborda específicamente situaciones en las que la separación familiar resulta de acciones estatales como el exilio.</w:t>
      </w:r>
      <w:r>
        <w:rPr>
          <w:rFonts w:ascii="Arial Narrow" w:eastAsia="Arial Narrow" w:hAnsi="Arial Narrow" w:cs="Arial Narrow"/>
          <w:color w:val="575B5F"/>
          <w:sz w:val="24"/>
          <w:szCs w:val="24"/>
          <w:vertAlign w:val="superscript"/>
        </w:rPr>
        <w:t>10</w:t>
      </w:r>
      <w:r>
        <w:rPr>
          <w:rFonts w:ascii="Arial Narrow" w:eastAsia="Arial Narrow" w:hAnsi="Arial Narrow" w:cs="Arial Narrow"/>
          <w:color w:val="1B1C1D"/>
          <w:sz w:val="24"/>
          <w:szCs w:val="24"/>
        </w:rPr>
        <w:t xml:space="preserve"> Otros tratados internacionales, como los Reglamentos de La Haya, el Cuarto</w:t>
      </w:r>
      <w:r>
        <w:rPr>
          <w:rFonts w:ascii="Arial Narrow" w:eastAsia="Arial Narrow" w:hAnsi="Arial Narrow" w:cs="Arial Narrow"/>
          <w:color w:val="1B1C1D"/>
          <w:sz w:val="24"/>
          <w:szCs w:val="24"/>
        </w:rPr>
        <w:t xml:space="preserve"> Convenio de Ginebra, el Convenio Europeo de Derechos Humanos y el Pacto Internacional de Derechos Civiles y Políticos (PIDCP), enfatizan consistentemente el "Respeto a la Vida Familiar" y la protección de los derechos familiares.</w:t>
      </w:r>
      <w:r>
        <w:rPr>
          <w:rFonts w:ascii="Arial Narrow" w:eastAsia="Arial Narrow" w:hAnsi="Arial Narrow" w:cs="Arial Narrow"/>
          <w:color w:val="575B5F"/>
          <w:sz w:val="24"/>
          <w:szCs w:val="24"/>
          <w:vertAlign w:val="superscript"/>
        </w:rPr>
        <w:t>9</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Esta Ley aborda la "rup</w:t>
      </w:r>
      <w:r>
        <w:rPr>
          <w:rFonts w:ascii="Arial Narrow" w:eastAsia="Arial Narrow" w:hAnsi="Arial Narrow" w:cs="Arial Narrow"/>
          <w:color w:val="1B1C1D"/>
          <w:sz w:val="24"/>
          <w:szCs w:val="24"/>
        </w:rPr>
        <w:t xml:space="preserve">tura familiar" y el "aislamiento" como impactos clave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El derecho internacional, tal como se refleja en los instrumentos citados, protege de manera consistente la vida familiar y el derecho a mantener el contacto familiar. El exilio forzado, po</w:t>
      </w:r>
      <w:r>
        <w:rPr>
          <w:rFonts w:ascii="Arial Narrow" w:eastAsia="Arial Narrow" w:hAnsi="Arial Narrow" w:cs="Arial Narrow"/>
          <w:color w:val="1B1C1D"/>
          <w:sz w:val="24"/>
          <w:szCs w:val="24"/>
        </w:rPr>
        <w:t xml:space="preserve">r su propia naturaleza, interrumpe estos derechos fundamentales para quienes quedan atrás. El reconocimiento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a través de esta ley alinea los esfuerzos legislativos nacionales de Colombia con los estándares internacionales de derechos humanos en</w:t>
      </w:r>
      <w:r>
        <w:rPr>
          <w:rFonts w:ascii="Arial Narrow" w:eastAsia="Arial Narrow" w:hAnsi="Arial Narrow" w:cs="Arial Narrow"/>
          <w:color w:val="1B1C1D"/>
          <w:sz w:val="24"/>
          <w:szCs w:val="24"/>
        </w:rPr>
        <w:t xml:space="preserve"> evolución, que enfatizan la protección de la unidad familiar y el reconocimiento integral de las víctimas, incluyendo a aquellas afectadas indirectamente por el </w:t>
      </w:r>
      <w:r>
        <w:rPr>
          <w:rFonts w:ascii="Arial Narrow" w:eastAsia="Arial Narrow" w:hAnsi="Arial Narrow" w:cs="Arial Narrow"/>
          <w:color w:val="1B1C1D"/>
          <w:sz w:val="24"/>
          <w:szCs w:val="24"/>
        </w:rPr>
        <w:lastRenderedPageBreak/>
        <w:t>conflicto. Esto demuestra el compromiso de Colombia con sus obligaciones internacionales y con</w:t>
      </w:r>
      <w:r>
        <w:rPr>
          <w:rFonts w:ascii="Arial Narrow" w:eastAsia="Arial Narrow" w:hAnsi="Arial Narrow" w:cs="Arial Narrow"/>
          <w:color w:val="1B1C1D"/>
          <w:sz w:val="24"/>
          <w:szCs w:val="24"/>
        </w:rPr>
        <w:t xml:space="preserve"> la adopción de las mejores prácticas en justicia transicional, reforzando así el imperativo moral y legal de la ley propuesta.</w:t>
      </w:r>
    </w:p>
    <w:p w:rsidR="005B18DA" w:rsidRDefault="005B18DA">
      <w:pPr>
        <w:spacing w:after="120"/>
        <w:jc w:val="both"/>
        <w:rPr>
          <w:rFonts w:ascii="Arial Narrow" w:eastAsia="Arial Narrow" w:hAnsi="Arial Narrow" w:cs="Arial Narrow"/>
          <w:b/>
          <w:color w:val="1B1C1D"/>
          <w:sz w:val="24"/>
          <w:szCs w:val="24"/>
        </w:rPr>
      </w:pP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3.2. Hallazgos y Recomendaciones de la Comisión de la Verdad (CEV) sobre el exilio y 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La voz de la verdad esclareci</w:t>
      </w:r>
      <w:r>
        <w:rPr>
          <w:rFonts w:ascii="Arial Narrow" w:eastAsia="Arial Narrow" w:hAnsi="Arial Narrow" w:cs="Arial Narrow"/>
          <w:b/>
          <w:color w:val="1B1C1D"/>
          <w:sz w:val="24"/>
          <w:szCs w:val="24"/>
        </w:rPr>
        <w:t>da</w:t>
      </w:r>
    </w:p>
    <w:p w:rsidR="005B18DA" w:rsidRDefault="005B18DA">
      <w:pPr>
        <w:spacing w:after="120"/>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3.2.1. El Capítulo 'La Colombia fuera de Colombia' y la </w:t>
      </w:r>
      <w:proofErr w:type="spellStart"/>
      <w:r>
        <w:rPr>
          <w:rFonts w:ascii="Arial Narrow" w:eastAsia="Arial Narrow" w:hAnsi="Arial Narrow" w:cs="Arial Narrow"/>
          <w:b/>
          <w:color w:val="1B1C1D"/>
          <w:sz w:val="24"/>
          <w:szCs w:val="24"/>
        </w:rPr>
        <w:t>visibilización</w:t>
      </w:r>
      <w:proofErr w:type="spellEnd"/>
      <w:r>
        <w:rPr>
          <w:rFonts w:ascii="Arial Narrow" w:eastAsia="Arial Narrow" w:hAnsi="Arial Narrow" w:cs="Arial Narrow"/>
          <w:b/>
          <w:color w:val="1B1C1D"/>
          <w:sz w:val="24"/>
          <w:szCs w:val="24"/>
        </w:rPr>
        <w:t xml:space="preserve"> del exilio como victimización</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Informe Final de la Comisión para el Esclarecimiento de la Verdad (CEV), particularmente el capítulo titulado 'La Colombia fuera de Colombia', docum</w:t>
      </w:r>
      <w:r>
        <w:rPr>
          <w:rFonts w:ascii="Arial Narrow" w:eastAsia="Arial Narrow" w:hAnsi="Arial Narrow" w:cs="Arial Narrow"/>
          <w:color w:val="1B1C1D"/>
          <w:sz w:val="24"/>
          <w:szCs w:val="24"/>
        </w:rPr>
        <w:t>entó meticulosamente los profundos impactos tanto del exilio como del insilio.</w:t>
      </w:r>
      <w:r>
        <w:rPr>
          <w:rFonts w:ascii="Arial Narrow" w:eastAsia="Arial Narrow" w:hAnsi="Arial Narrow" w:cs="Arial Narrow"/>
          <w:color w:val="575B5F"/>
          <w:sz w:val="24"/>
          <w:szCs w:val="24"/>
          <w:vertAlign w:val="superscript"/>
        </w:rPr>
        <w:t>11</w:t>
      </w:r>
      <w:r>
        <w:rPr>
          <w:rFonts w:ascii="Arial Narrow" w:eastAsia="Arial Narrow" w:hAnsi="Arial Narrow" w:cs="Arial Narrow"/>
          <w:color w:val="1B1C1D"/>
          <w:sz w:val="24"/>
          <w:szCs w:val="24"/>
        </w:rPr>
        <w:t xml:space="preserve"> La CEV recopiló más de 2.080 testimonios en 24 países, estableciendo el exilio como una forma generalizada de victimización que afectó a más de un millón de personas.</w:t>
      </w:r>
      <w:r>
        <w:rPr>
          <w:rFonts w:ascii="Arial Narrow" w:eastAsia="Arial Narrow" w:hAnsi="Arial Narrow" w:cs="Arial Narrow"/>
          <w:color w:val="575B5F"/>
          <w:sz w:val="24"/>
          <w:szCs w:val="24"/>
          <w:vertAlign w:val="superscript"/>
        </w:rPr>
        <w:t>11</w:t>
      </w:r>
      <w:r>
        <w:rPr>
          <w:rFonts w:ascii="Arial Narrow" w:eastAsia="Arial Narrow" w:hAnsi="Arial Narrow" w:cs="Arial Narrow"/>
          <w:color w:val="1B1C1D"/>
          <w:sz w:val="24"/>
          <w:szCs w:val="24"/>
        </w:rPr>
        <w:t xml:space="preserve"> Esta m</w:t>
      </w:r>
      <w:r>
        <w:rPr>
          <w:rFonts w:ascii="Arial Narrow" w:eastAsia="Arial Narrow" w:hAnsi="Arial Narrow" w:cs="Arial Narrow"/>
          <w:color w:val="1B1C1D"/>
          <w:sz w:val="24"/>
          <w:szCs w:val="24"/>
        </w:rPr>
        <w:t>agnitud llevó a la CEV a identificar el exilio como "la segunda victimización del país, después del desplazamiento forzado", subrayando la urgencia crítica de su reconocimiento, reparación y garantías de no repetición.</w:t>
      </w:r>
      <w:r>
        <w:rPr>
          <w:rFonts w:ascii="Arial Narrow" w:eastAsia="Arial Narrow" w:hAnsi="Arial Narrow" w:cs="Arial Narrow"/>
          <w:color w:val="575B5F"/>
          <w:sz w:val="24"/>
          <w:szCs w:val="24"/>
          <w:vertAlign w:val="superscript"/>
        </w:rPr>
        <w:t>12</w:t>
      </w:r>
    </w:p>
    <w:p w:rsidR="005B18DA" w:rsidRDefault="005B18DA">
      <w:pPr>
        <w:spacing w:after="120"/>
        <w:jc w:val="both"/>
        <w:rPr>
          <w:rFonts w:ascii="Arial Narrow" w:eastAsia="Arial Narrow" w:hAnsi="Arial Narrow" w:cs="Arial Narrow"/>
          <w:b/>
          <w:color w:val="1B1C1D"/>
          <w:sz w:val="24"/>
          <w:szCs w:val="24"/>
        </w:rPr>
      </w:pP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3.2.2. Las recomendaciones explícitas de la CEV para el reconocimiento y reparación del exilio y el </w:t>
      </w:r>
      <w:proofErr w:type="spellStart"/>
      <w:r>
        <w:rPr>
          <w:rFonts w:ascii="Arial Narrow" w:eastAsia="Arial Narrow" w:hAnsi="Arial Narrow" w:cs="Arial Narrow"/>
          <w:b/>
          <w:color w:val="1B1C1D"/>
          <w:sz w:val="24"/>
          <w:szCs w:val="24"/>
        </w:rPr>
        <w:t>insilio</w:t>
      </w:r>
      <w:proofErr w:type="spellEnd"/>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El Informe Final de la CEV, concebido como una "herramienta ética, pedagógica y política" </w:t>
      </w:r>
      <w:r>
        <w:rPr>
          <w:rFonts w:ascii="Arial Narrow" w:eastAsia="Arial Narrow" w:hAnsi="Arial Narrow" w:cs="Arial Narrow"/>
          <w:color w:val="575B5F"/>
          <w:sz w:val="24"/>
          <w:szCs w:val="24"/>
          <w:vertAlign w:val="superscript"/>
        </w:rPr>
        <w:t>14</w:t>
      </w:r>
      <w:r>
        <w:rPr>
          <w:rFonts w:ascii="Arial Narrow" w:eastAsia="Arial Narrow" w:hAnsi="Arial Narrow" w:cs="Arial Narrow"/>
          <w:color w:val="1B1C1D"/>
          <w:sz w:val="24"/>
          <w:szCs w:val="24"/>
        </w:rPr>
        <w:t>, incluyó más de 60 recomendaciones para la no repetició</w:t>
      </w:r>
      <w:r>
        <w:rPr>
          <w:rFonts w:ascii="Arial Narrow" w:eastAsia="Arial Narrow" w:hAnsi="Arial Narrow" w:cs="Arial Narrow"/>
          <w:color w:val="1B1C1D"/>
          <w:sz w:val="24"/>
          <w:szCs w:val="24"/>
        </w:rPr>
        <w:t>n. Entre estas, la CEV recomendó explícitamente:</w:t>
      </w:r>
    </w:p>
    <w:p w:rsidR="005B18DA" w:rsidRDefault="005B18DA">
      <w:pPr>
        <w:spacing w:after="0"/>
        <w:jc w:val="both"/>
        <w:rPr>
          <w:rFonts w:ascii="Arial Narrow" w:eastAsia="Arial Narrow" w:hAnsi="Arial Narrow" w:cs="Arial Narrow"/>
          <w:color w:val="1B1C1D"/>
          <w:sz w:val="24"/>
          <w:szCs w:val="24"/>
        </w:rPr>
      </w:pPr>
    </w:p>
    <w:p w:rsidR="005B18DA" w:rsidRDefault="009A4251">
      <w:pPr>
        <w:numPr>
          <w:ilvl w:val="0"/>
          <w:numId w:val="3"/>
        </w:num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Reconocer y reparar a las víctimas del exilio y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parte integral de la población víctima del conflicto armado.</w:t>
      </w:r>
      <w:r>
        <w:rPr>
          <w:rFonts w:ascii="Arial Narrow" w:eastAsia="Arial Narrow" w:hAnsi="Arial Narrow" w:cs="Arial Narrow"/>
          <w:color w:val="575B5F"/>
          <w:sz w:val="24"/>
          <w:szCs w:val="24"/>
          <w:vertAlign w:val="superscript"/>
        </w:rPr>
        <w:t>14</w:t>
      </w:r>
    </w:p>
    <w:p w:rsidR="005B18DA" w:rsidRDefault="009A4251">
      <w:pPr>
        <w:numPr>
          <w:ilvl w:val="0"/>
          <w:numId w:val="3"/>
        </w:num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Incorporar un enfoque diferencial e </w:t>
      </w:r>
      <w:proofErr w:type="spellStart"/>
      <w:r>
        <w:rPr>
          <w:rFonts w:ascii="Arial Narrow" w:eastAsia="Arial Narrow" w:hAnsi="Arial Narrow" w:cs="Arial Narrow"/>
          <w:color w:val="1B1C1D"/>
          <w:sz w:val="24"/>
          <w:szCs w:val="24"/>
        </w:rPr>
        <w:t>interseccional</w:t>
      </w:r>
      <w:proofErr w:type="spellEnd"/>
      <w:r>
        <w:rPr>
          <w:rFonts w:ascii="Arial Narrow" w:eastAsia="Arial Narrow" w:hAnsi="Arial Narrow" w:cs="Arial Narrow"/>
          <w:color w:val="1B1C1D"/>
          <w:sz w:val="24"/>
          <w:szCs w:val="24"/>
        </w:rPr>
        <w:t xml:space="preserve"> para abordar los impactos es</w:t>
      </w:r>
      <w:r>
        <w:rPr>
          <w:rFonts w:ascii="Arial Narrow" w:eastAsia="Arial Narrow" w:hAnsi="Arial Narrow" w:cs="Arial Narrow"/>
          <w:color w:val="1B1C1D"/>
          <w:sz w:val="24"/>
          <w:szCs w:val="24"/>
        </w:rPr>
        <w:t>pecíficos y desproporcionados del conflicto en grupos vulnerables, como mujeres, niñas, niños, adolescentes, personas mayores y comunidades étnicas.</w:t>
      </w:r>
      <w:r>
        <w:rPr>
          <w:rFonts w:ascii="Arial Narrow" w:eastAsia="Arial Narrow" w:hAnsi="Arial Narrow" w:cs="Arial Narrow"/>
          <w:color w:val="575B5F"/>
          <w:sz w:val="24"/>
          <w:szCs w:val="24"/>
          <w:vertAlign w:val="superscript"/>
        </w:rPr>
        <w:t>14</w:t>
      </w:r>
      <w:r>
        <w:rPr>
          <w:rFonts w:ascii="Arial Narrow" w:eastAsia="Arial Narrow" w:hAnsi="Arial Narrow" w:cs="Arial Narrow"/>
          <w:color w:val="1B1C1D"/>
          <w:sz w:val="24"/>
          <w:szCs w:val="24"/>
        </w:rPr>
        <w:t xml:space="preserve"> Esto es crucial para las víctimas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cuyas experiencias varían considerablemente.</w:t>
      </w:r>
    </w:p>
    <w:p w:rsidR="005B18DA" w:rsidRDefault="009A4251">
      <w:pPr>
        <w:numPr>
          <w:ilvl w:val="0"/>
          <w:numId w:val="3"/>
        </w:num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lastRenderedPageBreak/>
        <w:t xml:space="preserve">Garantizar procesos de memoria histórica participativos que incluyan activamente a las segundas generaciones de exiliados y a quienes vivieron la ausencia forzada dentro del país (víctimas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w:t>
      </w:r>
      <w:r>
        <w:rPr>
          <w:rFonts w:ascii="Arial Narrow" w:eastAsia="Arial Narrow" w:hAnsi="Arial Narrow" w:cs="Arial Narrow"/>
          <w:color w:val="575B5F"/>
          <w:sz w:val="24"/>
          <w:szCs w:val="24"/>
          <w:vertAlign w:val="superscript"/>
        </w:rPr>
        <w:t>14</w:t>
      </w:r>
    </w:p>
    <w:p w:rsidR="005B18DA" w:rsidRDefault="005B18DA">
      <w:pPr>
        <w:spacing w:after="0"/>
        <w:ind w:left="72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575B5F"/>
          <w:sz w:val="24"/>
          <w:szCs w:val="24"/>
          <w:vertAlign w:val="superscript"/>
        </w:rPr>
      </w:pPr>
      <w:r>
        <w:rPr>
          <w:rFonts w:ascii="Arial Narrow" w:eastAsia="Arial Narrow" w:hAnsi="Arial Narrow" w:cs="Arial Narrow"/>
          <w:color w:val="1B1C1D"/>
          <w:sz w:val="24"/>
          <w:szCs w:val="24"/>
        </w:rPr>
        <w:t>Las recomendaciones de la CEV también se extendier</w:t>
      </w:r>
      <w:r>
        <w:rPr>
          <w:rFonts w:ascii="Arial Narrow" w:eastAsia="Arial Narrow" w:hAnsi="Arial Narrow" w:cs="Arial Narrow"/>
          <w:color w:val="1B1C1D"/>
          <w:sz w:val="24"/>
          <w:szCs w:val="24"/>
        </w:rPr>
        <w:t xml:space="preserve">on al fortalecimiento de programas integrales de atención en salud y psicosocial, específicamente para abordar los impactos particulares de actos </w:t>
      </w:r>
      <w:proofErr w:type="spellStart"/>
      <w:r>
        <w:rPr>
          <w:rFonts w:ascii="Arial Narrow" w:eastAsia="Arial Narrow" w:hAnsi="Arial Narrow" w:cs="Arial Narrow"/>
          <w:color w:val="1B1C1D"/>
          <w:sz w:val="24"/>
          <w:szCs w:val="24"/>
        </w:rPr>
        <w:t>victimizantes</w:t>
      </w:r>
      <w:proofErr w:type="spellEnd"/>
      <w:r>
        <w:rPr>
          <w:rFonts w:ascii="Arial Narrow" w:eastAsia="Arial Narrow" w:hAnsi="Arial Narrow" w:cs="Arial Narrow"/>
          <w:color w:val="1B1C1D"/>
          <w:sz w:val="24"/>
          <w:szCs w:val="24"/>
        </w:rPr>
        <w:t xml:space="preserve"> como el exilio y la orfandad.</w:t>
      </w:r>
      <w:r>
        <w:rPr>
          <w:rFonts w:ascii="Arial Narrow" w:eastAsia="Arial Narrow" w:hAnsi="Arial Narrow" w:cs="Arial Narrow"/>
          <w:color w:val="575B5F"/>
          <w:sz w:val="24"/>
          <w:szCs w:val="24"/>
          <w:vertAlign w:val="superscript"/>
        </w:rPr>
        <w:t>14</w:t>
      </w:r>
      <w:r>
        <w:rPr>
          <w:rFonts w:ascii="Arial Narrow" w:eastAsia="Arial Narrow" w:hAnsi="Arial Narrow" w:cs="Arial Narrow"/>
          <w:color w:val="1B1C1D"/>
          <w:sz w:val="24"/>
          <w:szCs w:val="24"/>
        </w:rPr>
        <w:t xml:space="preserve"> Además, hizo un llamado a establecer medidas específicas de asis</w:t>
      </w:r>
      <w:r>
        <w:rPr>
          <w:rFonts w:ascii="Arial Narrow" w:eastAsia="Arial Narrow" w:hAnsi="Arial Narrow" w:cs="Arial Narrow"/>
          <w:color w:val="1B1C1D"/>
          <w:sz w:val="24"/>
          <w:szCs w:val="24"/>
        </w:rPr>
        <w:t>tencia y reparación integral para las víctimas del exilio y el refugio transfronterizo, lo que implícitamente incluye el reconocimiento de los efectos en sus familiares que quedaron atrás.</w:t>
      </w:r>
      <w:r>
        <w:rPr>
          <w:rFonts w:ascii="Arial Narrow" w:eastAsia="Arial Narrow" w:hAnsi="Arial Narrow" w:cs="Arial Narrow"/>
          <w:color w:val="575B5F"/>
          <w:sz w:val="24"/>
          <w:szCs w:val="24"/>
          <w:vertAlign w:val="superscript"/>
        </w:rPr>
        <w:t>14</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 CEV instó explícitamente a la adopción de un "enfoque diferen</w:t>
      </w:r>
      <w:r>
        <w:rPr>
          <w:rFonts w:ascii="Arial Narrow" w:eastAsia="Arial Narrow" w:hAnsi="Arial Narrow" w:cs="Arial Narrow"/>
          <w:color w:val="1B1C1D"/>
          <w:sz w:val="24"/>
          <w:szCs w:val="24"/>
        </w:rPr>
        <w:t xml:space="preserve">cial e </w:t>
      </w:r>
      <w:proofErr w:type="spellStart"/>
      <w:r>
        <w:rPr>
          <w:rFonts w:ascii="Arial Narrow" w:eastAsia="Arial Narrow" w:hAnsi="Arial Narrow" w:cs="Arial Narrow"/>
          <w:color w:val="1B1C1D"/>
          <w:sz w:val="24"/>
          <w:szCs w:val="24"/>
        </w:rPr>
        <w:t>interseccional</w:t>
      </w:r>
      <w:proofErr w:type="spellEnd"/>
      <w:r>
        <w:rPr>
          <w:rFonts w:ascii="Arial Narrow" w:eastAsia="Arial Narrow" w:hAnsi="Arial Narrow" w:cs="Arial Narrow"/>
          <w:color w:val="1B1C1D"/>
          <w:sz w:val="24"/>
          <w:szCs w:val="24"/>
        </w:rPr>
        <w:t xml:space="preserve">". La definición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el proyecto de ley y sus acciones pedagógicas y políticas propuestas (Artículos 2 y 3) deben, por extensión, adoptar este enfoque. Los impactos de la separación familiar </w:t>
      </w:r>
      <w:r>
        <w:rPr>
          <w:rFonts w:ascii="Arial Narrow" w:eastAsia="Arial Narrow" w:hAnsi="Arial Narrow" w:cs="Arial Narrow"/>
          <w:color w:val="575B5F"/>
          <w:sz w:val="24"/>
          <w:szCs w:val="24"/>
          <w:vertAlign w:val="superscript"/>
        </w:rPr>
        <w:t>15</w:t>
      </w:r>
      <w:r>
        <w:rPr>
          <w:rFonts w:ascii="Arial Narrow" w:eastAsia="Arial Narrow" w:hAnsi="Arial Narrow" w:cs="Arial Narrow"/>
          <w:color w:val="1B1C1D"/>
          <w:sz w:val="24"/>
          <w:szCs w:val="24"/>
        </w:rPr>
        <w:t xml:space="preserve"> pueden variar significativamen</w:t>
      </w:r>
      <w:r>
        <w:rPr>
          <w:rFonts w:ascii="Arial Narrow" w:eastAsia="Arial Narrow" w:hAnsi="Arial Narrow" w:cs="Arial Narrow"/>
          <w:color w:val="1B1C1D"/>
          <w:sz w:val="24"/>
          <w:szCs w:val="24"/>
        </w:rPr>
        <w:t xml:space="preserve">te según el género, la edad, la etnia y otros factores </w:t>
      </w:r>
      <w:proofErr w:type="spellStart"/>
      <w:r>
        <w:rPr>
          <w:rFonts w:ascii="Arial Narrow" w:eastAsia="Arial Narrow" w:hAnsi="Arial Narrow" w:cs="Arial Narrow"/>
          <w:color w:val="1B1C1D"/>
          <w:sz w:val="24"/>
          <w:szCs w:val="24"/>
        </w:rPr>
        <w:t>interseccionales</w:t>
      </w:r>
      <w:proofErr w:type="spellEnd"/>
      <w:r>
        <w:rPr>
          <w:rFonts w:ascii="Arial Narrow" w:eastAsia="Arial Narrow" w:hAnsi="Arial Narrow" w:cs="Arial Narrow"/>
          <w:color w:val="1B1C1D"/>
          <w:sz w:val="24"/>
          <w:szCs w:val="24"/>
        </w:rPr>
        <w:t>. Esto subraya una comprensión sofisticada de la victimización, que va más allá de una visión monolítica para reconocer los impactos diversos y específicos del conflicto en diferentes g</w:t>
      </w:r>
      <w:r>
        <w:rPr>
          <w:rFonts w:ascii="Arial Narrow" w:eastAsia="Arial Narrow" w:hAnsi="Arial Narrow" w:cs="Arial Narrow"/>
          <w:color w:val="1B1C1D"/>
          <w:sz w:val="24"/>
          <w:szCs w:val="24"/>
        </w:rPr>
        <w:t xml:space="preserve">rupos. Al integrar este enfoque, el proyecto de ley asegura que el reconocimiento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no sea un acto superficial, sino que conduzca a políticas que aborden genuinamente las diversas experiencias y necesidades de las víctimas, garantizando así medid</w:t>
      </w:r>
      <w:r>
        <w:rPr>
          <w:rFonts w:ascii="Arial Narrow" w:eastAsia="Arial Narrow" w:hAnsi="Arial Narrow" w:cs="Arial Narrow"/>
          <w:color w:val="1B1C1D"/>
          <w:sz w:val="24"/>
          <w:szCs w:val="24"/>
        </w:rPr>
        <w:t>as reparadoras verdaderamente equitativas y efectivas y contribuyendo a la no repetición.</w:t>
      </w: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 siguiente tabla ilustra la correlación directa entre las recomendaciones autorizadas de la CEV y las disposiciones específicas de esta Ley, sirviendo como una cla</w:t>
      </w:r>
      <w:r>
        <w:rPr>
          <w:rFonts w:ascii="Arial Narrow" w:eastAsia="Arial Narrow" w:hAnsi="Arial Narrow" w:cs="Arial Narrow"/>
          <w:color w:val="1B1C1D"/>
          <w:sz w:val="24"/>
          <w:szCs w:val="24"/>
        </w:rPr>
        <w:t>ra justificación de la intención legislativa:</w:t>
      </w:r>
    </w:p>
    <w:p w:rsidR="005B18DA" w:rsidRDefault="009A4251">
      <w:pPr>
        <w:spacing w:after="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Tabla 1: Articulación de las recomendaciones de la CEV con el Proyecto de Ley</w:t>
      </w:r>
    </w:p>
    <w:p w:rsidR="005B18DA" w:rsidRDefault="005B18DA">
      <w:pPr>
        <w:spacing w:after="0"/>
        <w:jc w:val="both"/>
        <w:rPr>
          <w:rFonts w:ascii="Arial Narrow" w:eastAsia="Arial Narrow" w:hAnsi="Arial Narrow" w:cs="Arial Narrow"/>
          <w:color w:val="1B1C1D"/>
          <w:sz w:val="24"/>
          <w:szCs w:val="24"/>
        </w:rPr>
      </w:pPr>
    </w:p>
    <w:tbl>
      <w:tblPr>
        <w:tblStyle w:val="a2"/>
        <w:tblW w:w="8624" w:type="dxa"/>
        <w:tblInd w:w="0" w:type="dxa"/>
        <w:tblLayout w:type="fixed"/>
        <w:tblLook w:val="0400" w:firstRow="0" w:lastRow="0" w:firstColumn="0" w:lastColumn="0" w:noHBand="0" w:noVBand="1"/>
      </w:tblPr>
      <w:tblGrid>
        <w:gridCol w:w="2728"/>
        <w:gridCol w:w="2466"/>
        <w:gridCol w:w="3430"/>
      </w:tblGrid>
      <w:tr w:rsidR="005B18DA">
        <w:trPr>
          <w:tblHeader/>
        </w:trPr>
        <w:tc>
          <w:tcPr>
            <w:tcW w:w="27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Recomendación de la CEV</w:t>
            </w:r>
          </w:p>
        </w:tc>
        <w:tc>
          <w:tcPr>
            <w:tcW w:w="2466"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Fuente (CEV)</w:t>
            </w:r>
          </w:p>
        </w:tc>
        <w:tc>
          <w:tcPr>
            <w:tcW w:w="3430"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Articulación con el Proyecto de Ley</w:t>
            </w:r>
          </w:p>
        </w:tc>
      </w:tr>
      <w:tr w:rsidR="005B18DA">
        <w:tc>
          <w:tcPr>
            <w:tcW w:w="2728"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Reconocer y reparar a víctimas del exilio y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como parte integral de las víctimas del conflicto armado.</w:t>
            </w:r>
          </w:p>
        </w:tc>
        <w:tc>
          <w:tcPr>
            <w:tcW w:w="2466"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Informe Final CEV, Capítulo 'La Colombia fuera de Colombia' / Recomendaciones IF </w:t>
            </w:r>
            <w:r>
              <w:rPr>
                <w:rFonts w:ascii="Arial Narrow" w:eastAsia="Arial Narrow" w:hAnsi="Arial Narrow" w:cs="Arial Narrow"/>
                <w:color w:val="575B5F"/>
                <w:sz w:val="20"/>
                <w:szCs w:val="20"/>
                <w:vertAlign w:val="superscript"/>
              </w:rPr>
              <w:t>14</w:t>
            </w:r>
          </w:p>
        </w:tc>
        <w:tc>
          <w:tcPr>
            <w:tcW w:w="3430"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Objeto del Proyecto de Ley: Reconocimiento histórico, polít</w:t>
            </w:r>
            <w:r>
              <w:rPr>
                <w:rFonts w:ascii="Arial Narrow" w:eastAsia="Arial Narrow" w:hAnsi="Arial Narrow" w:cs="Arial Narrow"/>
                <w:color w:val="1B1C1D"/>
                <w:sz w:val="20"/>
                <w:szCs w:val="20"/>
              </w:rPr>
              <w:t xml:space="preserve">ico y social a las víctimas del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Artículo 1: Declaración del Día Nacional de la Memoria del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w:t>
            </w:r>
          </w:p>
        </w:tc>
      </w:tr>
      <w:tr w:rsidR="005B18DA">
        <w:tc>
          <w:tcPr>
            <w:tcW w:w="27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lastRenderedPageBreak/>
              <w:t xml:space="preserve">Incorporar un enfoque diferencial e </w:t>
            </w:r>
            <w:proofErr w:type="spellStart"/>
            <w:r>
              <w:rPr>
                <w:rFonts w:ascii="Arial Narrow" w:eastAsia="Arial Narrow" w:hAnsi="Arial Narrow" w:cs="Arial Narrow"/>
                <w:color w:val="1B1C1D"/>
                <w:sz w:val="20"/>
                <w:szCs w:val="20"/>
              </w:rPr>
              <w:t>interseccional</w:t>
            </w:r>
            <w:proofErr w:type="spellEnd"/>
            <w:r>
              <w:rPr>
                <w:rFonts w:ascii="Arial Narrow" w:eastAsia="Arial Narrow" w:hAnsi="Arial Narrow" w:cs="Arial Narrow"/>
                <w:color w:val="1B1C1D"/>
                <w:sz w:val="20"/>
                <w:szCs w:val="20"/>
              </w:rPr>
              <w:t>.</w:t>
            </w:r>
          </w:p>
        </w:tc>
        <w:tc>
          <w:tcPr>
            <w:tcW w:w="2466"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Informe Final CEV, Recomendaciones IF </w:t>
            </w:r>
            <w:r>
              <w:rPr>
                <w:rFonts w:ascii="Arial Narrow" w:eastAsia="Arial Narrow" w:hAnsi="Arial Narrow" w:cs="Arial Narrow"/>
                <w:color w:val="575B5F"/>
                <w:sz w:val="20"/>
                <w:szCs w:val="20"/>
                <w:vertAlign w:val="superscript"/>
              </w:rPr>
              <w:t>14</w:t>
            </w:r>
          </w:p>
        </w:tc>
        <w:tc>
          <w:tcPr>
            <w:tcW w:w="3430"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Objeto del Proyecto de Ley: Reconocimiento con enfoqu</w:t>
            </w:r>
            <w:r>
              <w:rPr>
                <w:rFonts w:ascii="Arial Narrow" w:eastAsia="Arial Narrow" w:hAnsi="Arial Narrow" w:cs="Arial Narrow"/>
                <w:color w:val="1B1C1D"/>
                <w:sz w:val="20"/>
                <w:szCs w:val="20"/>
              </w:rPr>
              <w:t xml:space="preserve">e diferencial. Artículo 3: Diseño e implementación de iniciativas pedagógicas y culturales sobre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con enfoque diferencial.</w:t>
            </w:r>
          </w:p>
        </w:tc>
      </w:tr>
      <w:tr w:rsidR="005B18DA">
        <w:tc>
          <w:tcPr>
            <w:tcW w:w="2728"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Garantizar procesos de memoria histórica participativos que incluyan a quienes vivieron la ausencia forzada en el país.</w:t>
            </w:r>
          </w:p>
        </w:tc>
        <w:tc>
          <w:tcPr>
            <w:tcW w:w="2466"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Informe Final CEV, Recomendaciones IF </w:t>
            </w:r>
            <w:r>
              <w:rPr>
                <w:rFonts w:ascii="Arial Narrow" w:eastAsia="Arial Narrow" w:hAnsi="Arial Narrow" w:cs="Arial Narrow"/>
                <w:color w:val="575B5F"/>
                <w:sz w:val="20"/>
                <w:szCs w:val="20"/>
                <w:vertAlign w:val="superscript"/>
              </w:rPr>
              <w:t>14</w:t>
            </w:r>
          </w:p>
        </w:tc>
        <w:tc>
          <w:tcPr>
            <w:tcW w:w="3430"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Artículo 2: Promoción de actos conmemorativos y pedagógicos que visibilicen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Artículo 3: Diseño e implementación de iniciativas en coordinación con víctimas y organizaciones sociales.</w:t>
            </w:r>
          </w:p>
        </w:tc>
      </w:tr>
      <w:tr w:rsidR="005B18DA">
        <w:tc>
          <w:tcPr>
            <w:tcW w:w="27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Establecer medidas </w:t>
            </w:r>
            <w:r>
              <w:rPr>
                <w:rFonts w:ascii="Arial Narrow" w:eastAsia="Arial Narrow" w:hAnsi="Arial Narrow" w:cs="Arial Narrow"/>
                <w:color w:val="1B1C1D"/>
                <w:sz w:val="20"/>
                <w:szCs w:val="20"/>
              </w:rPr>
              <w:t>específicas de asistencia y reparación integral para víctimas del exilio y el refugio transfronterizo.</w:t>
            </w:r>
          </w:p>
        </w:tc>
        <w:tc>
          <w:tcPr>
            <w:tcW w:w="2466"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Informe Final CEV, Recomendaciones IF </w:t>
            </w:r>
            <w:r>
              <w:rPr>
                <w:rFonts w:ascii="Arial Narrow" w:eastAsia="Arial Narrow" w:hAnsi="Arial Narrow" w:cs="Arial Narrow"/>
                <w:color w:val="575B5F"/>
                <w:sz w:val="20"/>
                <w:szCs w:val="20"/>
                <w:vertAlign w:val="superscript"/>
              </w:rPr>
              <w:t>14</w:t>
            </w:r>
          </w:p>
        </w:tc>
        <w:tc>
          <w:tcPr>
            <w:tcW w:w="3430"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Objeto del Proyecto de Ley: Reconocimiento a víctimas del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Artículo 2: Promoción de actos que visibilice</w:t>
            </w:r>
            <w:r>
              <w:rPr>
                <w:rFonts w:ascii="Arial Narrow" w:eastAsia="Arial Narrow" w:hAnsi="Arial Narrow" w:cs="Arial Narrow"/>
                <w:color w:val="1B1C1D"/>
                <w:sz w:val="20"/>
                <w:szCs w:val="20"/>
              </w:rPr>
              <w:t xml:space="preserve">n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como hecho </w:t>
            </w:r>
            <w:proofErr w:type="spellStart"/>
            <w:r>
              <w:rPr>
                <w:rFonts w:ascii="Arial Narrow" w:eastAsia="Arial Narrow" w:hAnsi="Arial Narrow" w:cs="Arial Narrow"/>
                <w:color w:val="1B1C1D"/>
                <w:sz w:val="20"/>
                <w:szCs w:val="20"/>
              </w:rPr>
              <w:t>victimizante</w:t>
            </w:r>
            <w:proofErr w:type="spellEnd"/>
            <w:r>
              <w:rPr>
                <w:rFonts w:ascii="Arial Narrow" w:eastAsia="Arial Narrow" w:hAnsi="Arial Narrow" w:cs="Arial Narrow"/>
                <w:color w:val="1B1C1D"/>
                <w:sz w:val="20"/>
                <w:szCs w:val="20"/>
              </w:rPr>
              <w:t>.</w:t>
            </w:r>
          </w:p>
        </w:tc>
      </w:tr>
    </w:tbl>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Esta tabla es fundamental para un informe legislativo, ya que conecta de manera visual y explícita la ley propuesta con el trabajo fundacional de la Comisión de la Verdad. Proporciona un argumento sólido para conclui</w:t>
      </w:r>
      <w:r>
        <w:rPr>
          <w:rFonts w:ascii="Arial Narrow" w:eastAsia="Arial Narrow" w:hAnsi="Arial Narrow" w:cs="Arial Narrow"/>
          <w:color w:val="1B1C1D"/>
          <w:sz w:val="24"/>
          <w:szCs w:val="24"/>
        </w:rPr>
        <w:t>r que esta Ley no es una propuesta arbitraria, sino una respuesta directa y basada en evidencia a los hallazgos y recomendaciones del organismo encargado de esclarecer la verdad del conflicto, fortaleciendo así su peso político y ético.</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3.2.3. 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xml:space="preserve"> como "herida invisible": Profundización en sus afectaciones psicosociales y comunitarias</w:t>
      </w: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Primera Asamblea MHERI del CNMH consolidó testimonios que subrayan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herida invisible que requiere reconocimiento institucional". E</w:t>
      </w:r>
      <w:r>
        <w:rPr>
          <w:rFonts w:ascii="Arial Narrow" w:eastAsia="Arial Narrow" w:hAnsi="Arial Narrow" w:cs="Arial Narrow"/>
          <w:color w:val="1B1C1D"/>
          <w:sz w:val="24"/>
          <w:szCs w:val="24"/>
        </w:rPr>
        <w:t xml:space="preserve">sto destaca la naturaleza a menudo no percibida de esta forma particular de sufrimiento. La definición de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el proyecto de ley enumera explícitamente sus impactos fundamentales: "silenciamiento, aislamiento social, estigmatización, ruptura de vínc</w:t>
      </w:r>
      <w:r>
        <w:rPr>
          <w:rFonts w:ascii="Arial Narrow" w:eastAsia="Arial Narrow" w:hAnsi="Arial Narrow" w:cs="Arial Narrow"/>
          <w:color w:val="1B1C1D"/>
          <w:sz w:val="24"/>
          <w:szCs w:val="24"/>
        </w:rPr>
        <w:t xml:space="preserve">ulos afectivos, confinamiento emocional y desarraigo". Estas son </w:t>
      </w:r>
      <w:r>
        <w:rPr>
          <w:rFonts w:ascii="Arial Narrow" w:eastAsia="Arial Narrow" w:hAnsi="Arial Narrow" w:cs="Arial Narrow"/>
          <w:color w:val="1B1C1D"/>
          <w:sz w:val="24"/>
          <w:szCs w:val="24"/>
        </w:rPr>
        <w:lastRenderedPageBreak/>
        <w:t>predominantemente afectaciones psicosociales y sociales, distintas de las lesiones físicas o el desplazamiento directo.</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Investigaciones exhaustivas sobre la separación familiar en contextos d</w:t>
      </w:r>
      <w:r>
        <w:rPr>
          <w:rFonts w:ascii="Arial Narrow" w:eastAsia="Arial Narrow" w:hAnsi="Arial Narrow" w:cs="Arial Narrow"/>
          <w:color w:val="1B1C1D"/>
          <w:sz w:val="24"/>
          <w:szCs w:val="24"/>
        </w:rPr>
        <w:t>e conflicto corroboran estos impactos. Los estudios indican que la separación familiar es una fuente principal de angustia tanto para quienes están en el exilio como para quienes quedan atrás, manifestándose como un miedo profundo por la seguridad de la fa</w:t>
      </w:r>
      <w:r>
        <w:rPr>
          <w:rFonts w:ascii="Arial Narrow" w:eastAsia="Arial Narrow" w:hAnsi="Arial Narrow" w:cs="Arial Narrow"/>
          <w:color w:val="1B1C1D"/>
          <w:sz w:val="24"/>
          <w:szCs w:val="24"/>
        </w:rPr>
        <w:t>milia, sentimientos de impotencia, disrupción cultural, aislamiento intenso e inseguridad generalizada.</w:t>
      </w:r>
      <w:r>
        <w:rPr>
          <w:rFonts w:ascii="Arial Narrow" w:eastAsia="Arial Narrow" w:hAnsi="Arial Narrow" w:cs="Arial Narrow"/>
          <w:color w:val="575B5F"/>
          <w:sz w:val="24"/>
          <w:szCs w:val="24"/>
          <w:vertAlign w:val="superscript"/>
        </w:rPr>
        <w:t>15</w:t>
      </w:r>
      <w:r>
        <w:rPr>
          <w:rFonts w:ascii="Arial Narrow" w:eastAsia="Arial Narrow" w:hAnsi="Arial Narrow" w:cs="Arial Narrow"/>
          <w:color w:val="1B1C1D"/>
          <w:sz w:val="24"/>
          <w:szCs w:val="24"/>
        </w:rPr>
        <w:t xml:space="preserve"> Las respuestas psicológicas y fisiológicas a dicho trauma, incluida la separación familiar prolongada, pueden conducir a un deterioro a largo plazo en el funcionamiento diario.</w:t>
      </w:r>
      <w:r>
        <w:rPr>
          <w:rFonts w:ascii="Arial Narrow" w:eastAsia="Arial Narrow" w:hAnsi="Arial Narrow" w:cs="Arial Narrow"/>
          <w:color w:val="575B5F"/>
          <w:sz w:val="24"/>
          <w:szCs w:val="24"/>
          <w:vertAlign w:val="superscript"/>
        </w:rPr>
        <w:t>16</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Los impactos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como el silenciamiento, el aislamiento y el confi</w:t>
      </w:r>
      <w:r>
        <w:rPr>
          <w:rFonts w:ascii="Arial Narrow" w:eastAsia="Arial Narrow" w:hAnsi="Arial Narrow" w:cs="Arial Narrow"/>
          <w:color w:val="1B1C1D"/>
          <w:sz w:val="24"/>
          <w:szCs w:val="24"/>
        </w:rPr>
        <w:t xml:space="preserve">namiento emocional, son inherentemente menos visibles que las lesiones físicas o el desplazamiento forzado. La caracterización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una "herida invisible" señala directamente este desafío. Esto significa que el sufrimiento es a menudo interno, </w:t>
      </w:r>
      <w:r>
        <w:rPr>
          <w:rFonts w:ascii="Arial Narrow" w:eastAsia="Arial Narrow" w:hAnsi="Arial Narrow" w:cs="Arial Narrow"/>
          <w:color w:val="1B1C1D"/>
          <w:sz w:val="24"/>
          <w:szCs w:val="24"/>
        </w:rPr>
        <w:t>no físico y carece de un "evento" claro que pueda documentarse fácilmente en los registros de víctimas tradicionales. Esto subraya la importancia del componente pedagógico del proyecto de ley (Artículo 2), ya que la educación pública es crucial para visibi</w:t>
      </w:r>
      <w:r>
        <w:rPr>
          <w:rFonts w:ascii="Arial Narrow" w:eastAsia="Arial Narrow" w:hAnsi="Arial Narrow" w:cs="Arial Narrow"/>
          <w:color w:val="1B1C1D"/>
          <w:sz w:val="24"/>
          <w:szCs w:val="24"/>
        </w:rPr>
        <w:t xml:space="preserve">lizar este sufrimiento y fomentar la empatía y el apoyo social hacia las víctimas. También implica la necesidad de mecanismos especializados de apoyo psicosocial, como se destaca en las recomendaciones de la CEV </w:t>
      </w:r>
      <w:r>
        <w:rPr>
          <w:rFonts w:ascii="Arial Narrow" w:eastAsia="Arial Narrow" w:hAnsi="Arial Narrow" w:cs="Arial Narrow"/>
          <w:color w:val="575B5F"/>
          <w:sz w:val="24"/>
          <w:szCs w:val="24"/>
          <w:vertAlign w:val="superscript"/>
        </w:rPr>
        <w:t>14</w:t>
      </w:r>
      <w:r>
        <w:rPr>
          <w:rFonts w:ascii="Arial Narrow" w:eastAsia="Arial Narrow" w:hAnsi="Arial Narrow" w:cs="Arial Narrow"/>
          <w:color w:val="1B1C1D"/>
          <w:sz w:val="24"/>
          <w:szCs w:val="24"/>
        </w:rPr>
        <w:t>, porque las medidas reparadoras tradicion</w:t>
      </w:r>
      <w:r>
        <w:rPr>
          <w:rFonts w:ascii="Arial Narrow" w:eastAsia="Arial Narrow" w:hAnsi="Arial Narrow" w:cs="Arial Narrow"/>
          <w:color w:val="1B1C1D"/>
          <w:sz w:val="24"/>
          <w:szCs w:val="24"/>
        </w:rPr>
        <w:t>ales por sí solas pueden no abordar estos daños profundos y no materiales.</w:t>
      </w: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siguiente tabla proporciona una visión estructurada y detallada de los daños complejos y a menudo intangibles experimentados por las víctimas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clasificándolos por di</w:t>
      </w:r>
      <w:r>
        <w:rPr>
          <w:rFonts w:ascii="Arial Narrow" w:eastAsia="Arial Narrow" w:hAnsi="Arial Narrow" w:cs="Arial Narrow"/>
          <w:color w:val="1B1C1D"/>
          <w:sz w:val="24"/>
          <w:szCs w:val="24"/>
        </w:rPr>
        <w:t>mensión e ilustrándolos con manifestaciones específicas. Esto sirve para profundizar la comprensión de la "herida invisible":</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0"/>
        <w:jc w:val="center"/>
        <w:rPr>
          <w:rFonts w:ascii="Arial Narrow" w:eastAsia="Arial Narrow" w:hAnsi="Arial Narrow" w:cs="Arial Narrow"/>
          <w:b/>
          <w:color w:val="1B1C1D"/>
          <w:sz w:val="24"/>
          <w:szCs w:val="24"/>
        </w:rPr>
      </w:pPr>
    </w:p>
    <w:p w:rsidR="005B18DA" w:rsidRDefault="009A4251">
      <w:pPr>
        <w:spacing w:after="0"/>
        <w:jc w:val="center"/>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Tabla 2: Afectaciones del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Dimensiones y manifestaciones</w:t>
      </w:r>
    </w:p>
    <w:tbl>
      <w:tblPr>
        <w:tblStyle w:val="a3"/>
        <w:tblW w:w="8624" w:type="dxa"/>
        <w:tblInd w:w="0" w:type="dxa"/>
        <w:tblLayout w:type="fixed"/>
        <w:tblLook w:val="0400" w:firstRow="0" w:lastRow="0" w:firstColumn="0" w:lastColumn="0" w:noHBand="0" w:noVBand="1"/>
      </w:tblPr>
      <w:tblGrid>
        <w:gridCol w:w="2157"/>
        <w:gridCol w:w="4228"/>
        <w:gridCol w:w="2239"/>
      </w:tblGrid>
      <w:tr w:rsidR="005B18DA">
        <w:trPr>
          <w:tblHeader/>
        </w:trPr>
        <w:tc>
          <w:tcPr>
            <w:tcW w:w="2157"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Dimensión de la Afectación</w:t>
            </w:r>
          </w:p>
        </w:tc>
        <w:tc>
          <w:tcPr>
            <w:tcW w:w="42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 xml:space="preserve">Manifestaciones Específicas del </w:t>
            </w:r>
            <w:proofErr w:type="spellStart"/>
            <w:r>
              <w:rPr>
                <w:rFonts w:ascii="Arial Narrow" w:eastAsia="Arial Narrow" w:hAnsi="Arial Narrow" w:cs="Arial Narrow"/>
                <w:b/>
                <w:color w:val="1B1C1D"/>
                <w:sz w:val="20"/>
                <w:szCs w:val="20"/>
              </w:rPr>
              <w:t>Insi</w:t>
            </w:r>
            <w:r>
              <w:rPr>
                <w:rFonts w:ascii="Arial Narrow" w:eastAsia="Arial Narrow" w:hAnsi="Arial Narrow" w:cs="Arial Narrow"/>
                <w:b/>
                <w:color w:val="1B1C1D"/>
                <w:sz w:val="20"/>
                <w:szCs w:val="20"/>
              </w:rPr>
              <w:t>lio</w:t>
            </w:r>
            <w:proofErr w:type="spellEnd"/>
          </w:p>
        </w:tc>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Fuente/Referencia</w:t>
            </w:r>
          </w:p>
        </w:tc>
      </w:tr>
      <w:tr w:rsidR="005B18DA">
        <w:tc>
          <w:tcPr>
            <w:tcW w:w="2157"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Psicosocial/Emocional</w:t>
            </w:r>
          </w:p>
        </w:tc>
        <w:tc>
          <w:tcPr>
            <w:tcW w:w="4228"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Confinamiento emocional, Miedo constante por la seguridad de los familiares en el exilio, Sensación de impotencia, Impacto en la salud mental (ansiedad, </w:t>
            </w:r>
            <w:r>
              <w:rPr>
                <w:rFonts w:ascii="Arial Narrow" w:eastAsia="Arial Narrow" w:hAnsi="Arial Narrow" w:cs="Arial Narrow"/>
                <w:color w:val="1B1C1D"/>
                <w:sz w:val="20"/>
                <w:szCs w:val="20"/>
              </w:rPr>
              <w:lastRenderedPageBreak/>
              <w:t>depresión), Desarraigo (sentido de pérdida de pertenencia).</w:t>
            </w:r>
          </w:p>
        </w:tc>
        <w:tc>
          <w:tcPr>
            <w:tcW w:w="2239"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lastRenderedPageBreak/>
              <w:t>Definición del Proyecto de Ley; CNMH MHERI;</w:t>
            </w:r>
            <w:r>
              <w:rPr>
                <w:rFonts w:ascii="Arial Narrow" w:eastAsia="Arial Narrow" w:hAnsi="Arial Narrow" w:cs="Arial Narrow"/>
                <w:color w:val="1B1C1D"/>
                <w:sz w:val="20"/>
                <w:szCs w:val="20"/>
              </w:rPr>
              <w:t xml:space="preserve"> </w:t>
            </w:r>
            <w:r>
              <w:rPr>
                <w:rFonts w:ascii="Arial Narrow" w:eastAsia="Arial Narrow" w:hAnsi="Arial Narrow" w:cs="Arial Narrow"/>
                <w:color w:val="575B5F"/>
                <w:sz w:val="20"/>
                <w:szCs w:val="20"/>
                <w:vertAlign w:val="superscript"/>
              </w:rPr>
              <w:t>15</w:t>
            </w:r>
          </w:p>
        </w:tc>
      </w:tr>
      <w:tr w:rsidR="005B18DA">
        <w:tc>
          <w:tcPr>
            <w:tcW w:w="2157"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lastRenderedPageBreak/>
              <w:t>Social/Comunitaria</w:t>
            </w:r>
          </w:p>
        </w:tc>
        <w:tc>
          <w:tcPr>
            <w:tcW w:w="42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Aislamiento social (debido a estigma o temor), Estigmatización, Deterioro de la vida cotidiana y comunitaria.</w:t>
            </w:r>
          </w:p>
        </w:tc>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Definición del Proyecto de Ley; CNMH MHERI; </w:t>
            </w:r>
            <w:r>
              <w:rPr>
                <w:rFonts w:ascii="Arial Narrow" w:eastAsia="Arial Narrow" w:hAnsi="Arial Narrow" w:cs="Arial Narrow"/>
                <w:color w:val="575B5F"/>
                <w:sz w:val="20"/>
                <w:szCs w:val="20"/>
                <w:vertAlign w:val="superscript"/>
              </w:rPr>
              <w:t>17</w:t>
            </w:r>
          </w:p>
        </w:tc>
      </w:tr>
      <w:tr w:rsidR="005B18DA">
        <w:tc>
          <w:tcPr>
            <w:tcW w:w="2157"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Relacional</w:t>
            </w:r>
          </w:p>
        </w:tc>
        <w:tc>
          <w:tcPr>
            <w:tcW w:w="4228"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Ruptura de vínculos afectivos (distancia, pérdida de contacto), Dificultad para acceder a información sobre familiares.</w:t>
            </w:r>
          </w:p>
        </w:tc>
        <w:tc>
          <w:tcPr>
            <w:tcW w:w="2239"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Definición del Proyecto de Ley; CNMH MHERI; </w:t>
            </w:r>
            <w:r>
              <w:rPr>
                <w:rFonts w:ascii="Arial Narrow" w:eastAsia="Arial Narrow" w:hAnsi="Arial Narrow" w:cs="Arial Narrow"/>
                <w:color w:val="575B5F"/>
                <w:sz w:val="20"/>
                <w:szCs w:val="20"/>
                <w:vertAlign w:val="superscript"/>
              </w:rPr>
              <w:t>15</w:t>
            </w:r>
          </w:p>
        </w:tc>
      </w:tr>
      <w:tr w:rsidR="005B18DA">
        <w:tc>
          <w:tcPr>
            <w:tcW w:w="2157"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Existencial</w:t>
            </w:r>
          </w:p>
        </w:tc>
        <w:tc>
          <w:tcPr>
            <w:tcW w:w="4228"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Silenciamiento (incapacidad de hablar de la ausencia o sus circunstancias).</w:t>
            </w:r>
          </w:p>
        </w:tc>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Definición del Proyecto de Ley; CNMH MHERI</w:t>
            </w:r>
          </w:p>
        </w:tc>
      </w:tr>
    </w:tbl>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Articular claramente los daños específicos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es esencial para justificar la necesidad de políticas y reparaciones dirigidas. Esto traslada la discusión de conceptos abstractos al sufrimiento humano con</w:t>
      </w:r>
      <w:r>
        <w:rPr>
          <w:rFonts w:ascii="Arial Narrow" w:eastAsia="Arial Narrow" w:hAnsi="Arial Narrow" w:cs="Arial Narrow"/>
          <w:color w:val="1B1C1D"/>
          <w:sz w:val="24"/>
          <w:szCs w:val="24"/>
        </w:rPr>
        <w:t>creto, haciendo que el caso del proyecto de ley sea más convincente y demostrando una comprensión exhaustiva de los matices del problema.</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3.3. El Rol del Centro Nacional de Memoria Histórica (CNMH) y la Estrategia MHERI: Un Aliado Institucional Clave</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3.3</w:t>
      </w:r>
      <w:r>
        <w:rPr>
          <w:rFonts w:ascii="Arial Narrow" w:eastAsia="Arial Narrow" w:hAnsi="Arial Narrow" w:cs="Arial Narrow"/>
          <w:b/>
          <w:color w:val="1B1C1D"/>
          <w:sz w:val="24"/>
          <w:szCs w:val="24"/>
        </w:rPr>
        <w:t>.1. Mandato del CNMH en la construcción de memoria histórica</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Centro Nacional de Memoria Histórica (CNMH), establecido por la Ley 1448 de 2011, posee un mandato legal crucial para reconocer, dinamizar, difundir y preservar la pluralidad de los procesos d</w:t>
      </w:r>
      <w:r>
        <w:rPr>
          <w:rFonts w:ascii="Arial Narrow" w:eastAsia="Arial Narrow" w:hAnsi="Arial Narrow" w:cs="Arial Narrow"/>
          <w:color w:val="1B1C1D"/>
          <w:sz w:val="24"/>
          <w:szCs w:val="24"/>
        </w:rPr>
        <w:t>e construcción de memoria histórica relacionados con el conflicto armado.</w:t>
      </w:r>
      <w:r>
        <w:rPr>
          <w:rFonts w:ascii="Arial Narrow" w:eastAsia="Arial Narrow" w:hAnsi="Arial Narrow" w:cs="Arial Narrow"/>
          <w:color w:val="575B5F"/>
          <w:sz w:val="24"/>
          <w:szCs w:val="24"/>
          <w:vertAlign w:val="superscript"/>
        </w:rPr>
        <w:t>19</w:t>
      </w:r>
      <w:r>
        <w:rPr>
          <w:rFonts w:ascii="Arial Narrow" w:eastAsia="Arial Narrow" w:hAnsi="Arial Narrow" w:cs="Arial Narrow"/>
          <w:color w:val="1B1C1D"/>
          <w:sz w:val="24"/>
          <w:szCs w:val="24"/>
        </w:rPr>
        <w:t xml:space="preserve"> Su misión contribuye directamente al esclarecimiento de la verdad, la reparación integral, la transformación cultural y el objetivo más amplio de la paz en Colombia.</w:t>
      </w:r>
      <w:r>
        <w:rPr>
          <w:rFonts w:ascii="Arial Narrow" w:eastAsia="Arial Narrow" w:hAnsi="Arial Narrow" w:cs="Arial Narrow"/>
          <w:color w:val="575B5F"/>
          <w:sz w:val="24"/>
          <w:szCs w:val="24"/>
          <w:vertAlign w:val="superscript"/>
        </w:rPr>
        <w:t>19</w:t>
      </w:r>
      <w:r>
        <w:rPr>
          <w:rFonts w:ascii="Arial Narrow" w:eastAsia="Arial Narrow" w:hAnsi="Arial Narrow" w:cs="Arial Narrow"/>
          <w:color w:val="1B1C1D"/>
          <w:sz w:val="24"/>
          <w:szCs w:val="24"/>
        </w:rPr>
        <w:t xml:space="preserve"> El Plan Estratégico del CNMH para 2023-2026 establece explícitamente el objetivo de "ampliar la escucha, inclusión y preservación de las memorias de las víctimas, tanto individuales como colectivas, ubicadas dentro del país y en el exilio".</w:t>
      </w:r>
      <w:r>
        <w:rPr>
          <w:rFonts w:ascii="Arial Narrow" w:eastAsia="Arial Narrow" w:hAnsi="Arial Narrow" w:cs="Arial Narrow"/>
          <w:color w:val="575B5F"/>
          <w:sz w:val="24"/>
          <w:szCs w:val="24"/>
          <w:vertAlign w:val="superscript"/>
        </w:rPr>
        <w:t>19</w:t>
      </w:r>
      <w:r>
        <w:rPr>
          <w:rFonts w:ascii="Arial Narrow" w:eastAsia="Arial Narrow" w:hAnsi="Arial Narrow" w:cs="Arial Narrow"/>
          <w:color w:val="1B1C1D"/>
          <w:sz w:val="24"/>
          <w:szCs w:val="24"/>
        </w:rPr>
        <w:t xml:space="preserve"> Esto demuest</w:t>
      </w:r>
      <w:r>
        <w:rPr>
          <w:rFonts w:ascii="Arial Narrow" w:eastAsia="Arial Narrow" w:hAnsi="Arial Narrow" w:cs="Arial Narrow"/>
          <w:color w:val="1B1C1D"/>
          <w:sz w:val="24"/>
          <w:szCs w:val="24"/>
        </w:rPr>
        <w:t>ra un compromiso institucional claro con esta dimensión de la victimización.</w:t>
      </w:r>
    </w:p>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participación directa del CNMH en la elaboración de este proyecto de ley, junto con su mandato y objetivos estratégicos explícitos en relación con el exilio y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brin</w:t>
      </w:r>
      <w:r>
        <w:rPr>
          <w:rFonts w:ascii="Arial Narrow" w:eastAsia="Arial Narrow" w:hAnsi="Arial Narrow" w:cs="Arial Narrow"/>
          <w:color w:val="1B1C1D"/>
          <w:sz w:val="24"/>
          <w:szCs w:val="24"/>
        </w:rPr>
        <w:t>dan confianza en la capacidad institucional existente para implementar los objetivos del proyecto de ley. Esto asegura que las acciones conmemorativas y pedagógicas propuestas (Artículos 2 y 3) serán llevadas a cabo de manera efectiva por una entidad exper</w:t>
      </w:r>
      <w:r>
        <w:rPr>
          <w:rFonts w:ascii="Arial Narrow" w:eastAsia="Arial Narrow" w:hAnsi="Arial Narrow" w:cs="Arial Narrow"/>
          <w:color w:val="1B1C1D"/>
          <w:sz w:val="24"/>
          <w:szCs w:val="24"/>
        </w:rPr>
        <w:t>imentada y con un mandato claro, garantizando la continuidad, la experiencia y un enfoque centrado en las víctimas.</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3.3.2. La Estrategia MHERI y su contribución al reconocimiento del </w:t>
      </w:r>
      <w:proofErr w:type="spellStart"/>
      <w:r>
        <w:rPr>
          <w:rFonts w:ascii="Arial Narrow" w:eastAsia="Arial Narrow" w:hAnsi="Arial Narrow" w:cs="Arial Narrow"/>
          <w:b/>
          <w:color w:val="1B1C1D"/>
          <w:sz w:val="24"/>
          <w:szCs w:val="24"/>
        </w:rPr>
        <w:t>insilio</w:t>
      </w:r>
      <w:proofErr w:type="spellEnd"/>
    </w:p>
    <w:p w:rsidR="005B18DA" w:rsidRDefault="009A4251">
      <w:pPr>
        <w:spacing w:after="0"/>
        <w:jc w:val="both"/>
        <w:rPr>
          <w:rFonts w:ascii="Arial Narrow" w:eastAsia="Arial Narrow" w:hAnsi="Arial Narrow" w:cs="Arial Narrow"/>
          <w:color w:val="575B5F"/>
          <w:sz w:val="24"/>
          <w:szCs w:val="24"/>
          <w:vertAlign w:val="superscript"/>
        </w:rPr>
      </w:pPr>
      <w:r>
        <w:rPr>
          <w:rFonts w:ascii="Arial Narrow" w:eastAsia="Arial Narrow" w:hAnsi="Arial Narrow" w:cs="Arial Narrow"/>
          <w:color w:val="1B1C1D"/>
          <w:sz w:val="24"/>
          <w:szCs w:val="24"/>
        </w:rPr>
        <w:t>El CNMH lanzó la Estrategia MHERI (Memoria Histórica del Exilio,</w:t>
      </w:r>
      <w:r>
        <w:rPr>
          <w:rFonts w:ascii="Arial Narrow" w:eastAsia="Arial Narrow" w:hAnsi="Arial Narrow" w:cs="Arial Narrow"/>
          <w:color w:val="1B1C1D"/>
          <w:sz w:val="24"/>
          <w:szCs w:val="24"/>
        </w:rPr>
        <w:t xml:space="preserve"> Retorno 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2023, como parte de sus esfuerzos continuos para documentar y reconocer las experiencias de las poblaciones afectadas por el conflicto. El objetivo central de MHERI es reconocer y documentar estas experiencias como parte integral de </w:t>
      </w:r>
      <w:r>
        <w:rPr>
          <w:rFonts w:ascii="Arial Narrow" w:eastAsia="Arial Narrow" w:hAnsi="Arial Narrow" w:cs="Arial Narrow"/>
          <w:color w:val="1B1C1D"/>
          <w:sz w:val="24"/>
          <w:szCs w:val="24"/>
        </w:rPr>
        <w:t>la memoria colectiva de la nación.</w:t>
      </w:r>
      <w:r>
        <w:rPr>
          <w:rFonts w:ascii="Arial Narrow" w:eastAsia="Arial Narrow" w:hAnsi="Arial Narrow" w:cs="Arial Narrow"/>
          <w:color w:val="575B5F"/>
          <w:sz w:val="24"/>
          <w:szCs w:val="24"/>
          <w:vertAlign w:val="superscript"/>
        </w:rPr>
        <w:t>11</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 Primera Asamblea MHERI, celebrada el 29 de junio de 2024, se centró específicamente en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hecho </w:t>
      </w:r>
      <w:proofErr w:type="spellStart"/>
      <w:r>
        <w:rPr>
          <w:rFonts w:ascii="Arial Narrow" w:eastAsia="Arial Narrow" w:hAnsi="Arial Narrow" w:cs="Arial Narrow"/>
          <w:color w:val="1B1C1D"/>
          <w:sz w:val="24"/>
          <w:szCs w:val="24"/>
        </w:rPr>
        <w:t>victimizante</w:t>
      </w:r>
      <w:proofErr w:type="spellEnd"/>
      <w:r>
        <w:rPr>
          <w:rFonts w:ascii="Arial Narrow" w:eastAsia="Arial Narrow" w:hAnsi="Arial Narrow" w:cs="Arial Narrow"/>
          <w:color w:val="1B1C1D"/>
          <w:sz w:val="24"/>
          <w:szCs w:val="24"/>
        </w:rPr>
        <w:t>". Esta asamblea reunió a víctimas, organizaciones sociales y expertos, consolidando testimon</w:t>
      </w:r>
      <w:r>
        <w:rPr>
          <w:rFonts w:ascii="Arial Narrow" w:eastAsia="Arial Narrow" w:hAnsi="Arial Narrow" w:cs="Arial Narrow"/>
          <w:color w:val="1B1C1D"/>
          <w:sz w:val="24"/>
          <w:szCs w:val="24"/>
        </w:rPr>
        <w:t xml:space="preserve">ios y recomendaciones que resaltaron la necesidad urgente de un reconocimiento institucional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acciones pedagógicas específicas para explicar su naturaleza y su plena integración en las políticas públicas de reparación y memoria. El informe de g</w:t>
      </w:r>
      <w:r>
        <w:rPr>
          <w:rFonts w:ascii="Arial Narrow" w:eastAsia="Arial Narrow" w:hAnsi="Arial Narrow" w:cs="Arial Narrow"/>
          <w:color w:val="1B1C1D"/>
          <w:sz w:val="24"/>
          <w:szCs w:val="24"/>
        </w:rPr>
        <w:t xml:space="preserve">estión del CNMH de 2023 confirma además el compromiso activo a través del "Plan de Identificación, localización y Registro Especial de Archivos de los Derechos Humanos y Memoria Histórica del Exilio, Retorno 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 MHERI".</w:t>
      </w:r>
      <w:r>
        <w:rPr>
          <w:rFonts w:ascii="Arial Narrow" w:eastAsia="Arial Narrow" w:hAnsi="Arial Narrow" w:cs="Arial Narrow"/>
          <w:color w:val="575B5F"/>
          <w:sz w:val="24"/>
          <w:szCs w:val="24"/>
          <w:vertAlign w:val="superscript"/>
        </w:rPr>
        <w:t>20</w:t>
      </w:r>
    </w:p>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El compromiso proactivo de MHERI con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incluyendo su enfoque en la recopilación de testimonios y la defensa del reconocimiento institucional, demuestra que el proyecto de ley es una respuesta directa a un llamado a la acción impulsado por la base</w:t>
      </w:r>
      <w:r>
        <w:rPr>
          <w:rFonts w:ascii="Arial Narrow" w:eastAsia="Arial Narrow" w:hAnsi="Arial Narrow" w:cs="Arial Narrow"/>
          <w:color w:val="1B1C1D"/>
          <w:sz w:val="24"/>
          <w:szCs w:val="24"/>
        </w:rPr>
        <w:t xml:space="preserve"> y por expertos. Esto refuerza la naturaleza participativa y centrada en las víctimas de la propuesta legislativa, asegurando que esté arraigada en las experiencias vividas y las demandas de los afectados, en lugar de ser una imposición de arriba hacia aba</w:t>
      </w:r>
      <w:r>
        <w:rPr>
          <w:rFonts w:ascii="Arial Narrow" w:eastAsia="Arial Narrow" w:hAnsi="Arial Narrow" w:cs="Arial Narrow"/>
          <w:color w:val="1B1C1D"/>
          <w:sz w:val="24"/>
          <w:szCs w:val="24"/>
        </w:rPr>
        <w:t>jo.</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lastRenderedPageBreak/>
        <w:t xml:space="preserve">3.4. Precedente Jurisprudencial: El caso del Dr. Carlos Bonilla Cifuentes y la consolidación del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xml:space="preserve"> como Hecho </w:t>
      </w:r>
      <w:proofErr w:type="spellStart"/>
      <w:r>
        <w:rPr>
          <w:rFonts w:ascii="Arial Narrow" w:eastAsia="Arial Narrow" w:hAnsi="Arial Narrow" w:cs="Arial Narrow"/>
          <w:b/>
          <w:color w:val="1B1C1D"/>
          <w:sz w:val="24"/>
          <w:szCs w:val="24"/>
        </w:rPr>
        <w:t>Victimizante</w:t>
      </w:r>
      <w:proofErr w:type="spellEnd"/>
      <w:r>
        <w:rPr>
          <w:rFonts w:ascii="Arial Narrow" w:eastAsia="Arial Narrow" w:hAnsi="Arial Narrow" w:cs="Arial Narrow"/>
          <w:b/>
          <w:color w:val="1B1C1D"/>
          <w:sz w:val="24"/>
          <w:szCs w:val="24"/>
        </w:rPr>
        <w:t xml:space="preserve"> en Colombia</w:t>
      </w:r>
    </w:p>
    <w:p w:rsidR="005B18DA" w:rsidRDefault="005B18DA">
      <w:pPr>
        <w:spacing w:after="120"/>
        <w:jc w:val="both"/>
        <w:rPr>
          <w:rFonts w:ascii="Arial Narrow" w:eastAsia="Arial Narrow" w:hAnsi="Arial Narrow" w:cs="Arial Narrow"/>
          <w:b/>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3.4.1. Descripción del caso y el exilio forzado</w:t>
      </w:r>
    </w:p>
    <w:p w:rsidR="005B18DA" w:rsidRDefault="009A4251">
      <w:pPr>
        <w:spacing w:after="0"/>
        <w:jc w:val="both"/>
        <w:rPr>
          <w:rFonts w:ascii="Arial Narrow" w:eastAsia="Arial Narrow" w:hAnsi="Arial Narrow" w:cs="Arial Narrow"/>
          <w:color w:val="575B5F"/>
          <w:sz w:val="24"/>
          <w:szCs w:val="24"/>
          <w:vertAlign w:val="superscript"/>
        </w:rPr>
      </w:pPr>
      <w:r>
        <w:rPr>
          <w:rFonts w:ascii="Arial Narrow" w:eastAsia="Arial Narrow" w:hAnsi="Arial Narrow" w:cs="Arial Narrow"/>
          <w:color w:val="1B1C1D"/>
          <w:sz w:val="24"/>
          <w:szCs w:val="24"/>
        </w:rPr>
        <w:t>El caso del Dr. Carlos Bonilla Cifuentes sirve como un ejempl</w:t>
      </w:r>
      <w:r>
        <w:rPr>
          <w:rFonts w:ascii="Arial Narrow" w:eastAsia="Arial Narrow" w:hAnsi="Arial Narrow" w:cs="Arial Narrow"/>
          <w:color w:val="1B1C1D"/>
          <w:sz w:val="24"/>
          <w:szCs w:val="24"/>
        </w:rPr>
        <w:t xml:space="preserve">o conmovedor y emblemático del exilio forzado y sus profundas consecuencias indirectas. El 18 de agosto de 1999, el Dr. Bonilla, fiscal en Medellín que investigaba casos sensibles relacionados con asesinatos selectivos y paramilitarismo, se vio obligado a </w:t>
      </w:r>
      <w:r>
        <w:rPr>
          <w:rFonts w:ascii="Arial Narrow" w:eastAsia="Arial Narrow" w:hAnsi="Arial Narrow" w:cs="Arial Narrow"/>
          <w:color w:val="1B1C1D"/>
          <w:sz w:val="24"/>
          <w:szCs w:val="24"/>
        </w:rPr>
        <w:t>huir a Suiza con su familia debido a amenazas de muerte creíbles. Este exilio fue una consecuencia directa de la falta de protección adecuada por parte del Estado, a pesar de conocer su situación de alto riesgo.</w:t>
      </w:r>
      <w:r>
        <w:rPr>
          <w:rFonts w:ascii="Arial Narrow" w:eastAsia="Arial Narrow" w:hAnsi="Arial Narrow" w:cs="Arial Narrow"/>
          <w:color w:val="575B5F"/>
          <w:sz w:val="24"/>
          <w:szCs w:val="24"/>
          <w:vertAlign w:val="superscript"/>
        </w:rPr>
        <w:t>21</w:t>
      </w: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fecha de su partida forzada, el 18 de </w:t>
      </w:r>
      <w:r>
        <w:rPr>
          <w:rFonts w:ascii="Arial Narrow" w:eastAsia="Arial Narrow" w:hAnsi="Arial Narrow" w:cs="Arial Narrow"/>
          <w:color w:val="1B1C1D"/>
          <w:sz w:val="24"/>
          <w:szCs w:val="24"/>
        </w:rPr>
        <w:t xml:space="preserve">agosto, es precisamente la fecha propuesta para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lo que hace que la conmemoración esté profundamente arraigada en una experiencia concreta y reconocida de victimización. El caso Bonilla es un ejemplo concreto y con</w:t>
      </w:r>
      <w:r>
        <w:rPr>
          <w:rFonts w:ascii="Arial Narrow" w:eastAsia="Arial Narrow" w:hAnsi="Arial Narrow" w:cs="Arial Narrow"/>
          <w:color w:val="1B1C1D"/>
          <w:sz w:val="24"/>
          <w:szCs w:val="24"/>
        </w:rPr>
        <w:t xml:space="preserve">movedor que humaniza el concepto abstracto de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Ilustra las consecuencias graves y que alteran la vida del exilio forzado no solo para el individuo que se va, sino para toda la unidad familiar, haciendo que la necesidad de reconocimiento sea tangibl</w:t>
      </w:r>
      <w:r>
        <w:rPr>
          <w:rFonts w:ascii="Arial Narrow" w:eastAsia="Arial Narrow" w:hAnsi="Arial Narrow" w:cs="Arial Narrow"/>
          <w:color w:val="1B1C1D"/>
          <w:sz w:val="24"/>
          <w:szCs w:val="24"/>
        </w:rPr>
        <w:t>e y fácil de entender. Este elemento narrativo es poderoso en un informe legislativo, ya que proporciona una dimensión humana convincente a los argumentos legales.</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3.4.2. El fallo del Consejo de Estado y su impacto en la jurisprudencia colombiana</w:t>
      </w: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27 de</w:t>
      </w:r>
      <w:r>
        <w:rPr>
          <w:rFonts w:ascii="Arial Narrow" w:eastAsia="Arial Narrow" w:hAnsi="Arial Narrow" w:cs="Arial Narrow"/>
          <w:color w:val="1B1C1D"/>
          <w:sz w:val="24"/>
          <w:szCs w:val="24"/>
        </w:rPr>
        <w:t xml:space="preserve"> marzo de 2021, el </w:t>
      </w:r>
      <w:hyperlink r:id="rId8">
        <w:r>
          <w:rPr>
            <w:rFonts w:ascii="Arial Narrow" w:eastAsia="Arial Narrow" w:hAnsi="Arial Narrow" w:cs="Arial Narrow"/>
            <w:color w:val="0000FF"/>
            <w:sz w:val="24"/>
            <w:szCs w:val="24"/>
            <w:u w:val="single"/>
          </w:rPr>
          <w:t>Consejo de Estado de Colombia emitió un fallo histórico en el caso del Dr. Carlos Bonilla Cifuentes</w:t>
        </w:r>
      </w:hyperlink>
      <w:r>
        <w:rPr>
          <w:rFonts w:ascii="Arial Narrow" w:eastAsia="Arial Narrow" w:hAnsi="Arial Narrow" w:cs="Arial Narrow"/>
          <w:color w:val="1B1C1D"/>
          <w:sz w:val="24"/>
          <w:szCs w:val="24"/>
        </w:rPr>
        <w:t>. Esta decisión trascendental reconoc</w:t>
      </w:r>
      <w:r>
        <w:rPr>
          <w:rFonts w:ascii="Arial Narrow" w:eastAsia="Arial Narrow" w:hAnsi="Arial Narrow" w:cs="Arial Narrow"/>
          <w:color w:val="1B1C1D"/>
          <w:sz w:val="24"/>
          <w:szCs w:val="24"/>
        </w:rPr>
        <w:t>ió los daños sufridos por el Dr. Bonilla y su familia como consecuencia directa de su exilio forzado.</w:t>
      </w:r>
      <w:r>
        <w:rPr>
          <w:rFonts w:ascii="Arial Narrow" w:eastAsia="Arial Narrow" w:hAnsi="Arial Narrow" w:cs="Arial Narrow"/>
          <w:color w:val="575B5F"/>
          <w:sz w:val="24"/>
          <w:szCs w:val="24"/>
          <w:vertAlign w:val="superscript"/>
        </w:rPr>
        <w:t>21</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Crucialmente, por primera vez en la jurisprudencia colombiana, el tribunal reconoció oficialmente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como un hecho </w:t>
      </w:r>
      <w:proofErr w:type="spellStart"/>
      <w:r>
        <w:rPr>
          <w:rFonts w:ascii="Arial Narrow" w:eastAsia="Arial Narrow" w:hAnsi="Arial Narrow" w:cs="Arial Narrow"/>
          <w:color w:val="1B1C1D"/>
          <w:sz w:val="24"/>
          <w:szCs w:val="24"/>
        </w:rPr>
        <w:t>victimizante</w:t>
      </w:r>
      <w:proofErr w:type="spellEnd"/>
      <w:r>
        <w:rPr>
          <w:rFonts w:ascii="Arial Narrow" w:eastAsia="Arial Narrow" w:hAnsi="Arial Narrow" w:cs="Arial Narrow"/>
          <w:color w:val="1B1C1D"/>
          <w:sz w:val="24"/>
          <w:szCs w:val="24"/>
        </w:rPr>
        <w:t xml:space="preserve"> distinto deri</w:t>
      </w:r>
      <w:r>
        <w:rPr>
          <w:rFonts w:ascii="Arial Narrow" w:eastAsia="Arial Narrow" w:hAnsi="Arial Narrow" w:cs="Arial Narrow"/>
          <w:color w:val="1B1C1D"/>
          <w:sz w:val="24"/>
          <w:szCs w:val="24"/>
        </w:rPr>
        <w:t>vado del exilio. El fallo estableció explícitamente que los padres de Bonilla, quienes permanecieron en Colombia, "también experimentaron lo que la Comisión de la Verdad denomina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Este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se describe como </w:t>
      </w:r>
      <w:r>
        <w:rPr>
          <w:rFonts w:ascii="Arial Narrow" w:eastAsia="Arial Narrow" w:hAnsi="Arial Narrow" w:cs="Arial Narrow"/>
          <w:b/>
          <w:color w:val="1B1C1D"/>
          <w:sz w:val="24"/>
          <w:szCs w:val="24"/>
          <w:u w:val="single"/>
        </w:rPr>
        <w:t xml:space="preserve">'permanecer atrapados en Colombia </w:t>
      </w:r>
      <w:r>
        <w:rPr>
          <w:rFonts w:ascii="Arial Narrow" w:eastAsia="Arial Narrow" w:hAnsi="Arial Narrow" w:cs="Arial Narrow"/>
          <w:b/>
          <w:color w:val="1B1C1D"/>
          <w:sz w:val="24"/>
          <w:szCs w:val="24"/>
          <w:u w:val="single"/>
        </w:rPr>
        <w:t>viviendo una vida incompleta debido a la huida forzada de sus seres queridos</w:t>
      </w:r>
      <w:r>
        <w:rPr>
          <w:rFonts w:ascii="Arial Narrow" w:eastAsia="Arial Narrow" w:hAnsi="Arial Narrow" w:cs="Arial Narrow"/>
          <w:color w:val="1B1C1D"/>
          <w:sz w:val="24"/>
          <w:szCs w:val="24"/>
        </w:rPr>
        <w:t>'".</w:t>
      </w:r>
      <w:r>
        <w:rPr>
          <w:rFonts w:ascii="Arial Narrow" w:eastAsia="Arial Narrow" w:hAnsi="Arial Narrow" w:cs="Arial Narrow"/>
          <w:color w:val="575B5F"/>
          <w:sz w:val="24"/>
          <w:szCs w:val="24"/>
          <w:vertAlign w:val="superscript"/>
        </w:rPr>
        <w:t>21</w:t>
      </w:r>
      <w:r>
        <w:rPr>
          <w:rFonts w:ascii="Arial Narrow" w:eastAsia="Arial Narrow" w:hAnsi="Arial Narrow" w:cs="Arial Narrow"/>
          <w:color w:val="1B1C1D"/>
          <w:sz w:val="24"/>
          <w:szCs w:val="24"/>
        </w:rPr>
        <w:t xml:space="preserve"> El tribunal detalló el profundo sufrimiento de los padres, incluyendo la muerte del padre de Bonilla sin poder despedirse, y la posterior ansiedad de la madre y su incapacidad para reunirse </w:t>
      </w:r>
      <w:r>
        <w:rPr>
          <w:rFonts w:ascii="Arial Narrow" w:eastAsia="Arial Narrow" w:hAnsi="Arial Narrow" w:cs="Arial Narrow"/>
          <w:color w:val="1B1C1D"/>
          <w:sz w:val="24"/>
          <w:szCs w:val="24"/>
        </w:rPr>
        <w:lastRenderedPageBreak/>
        <w:t>con su hijo debido a la falta de recursos y seguridad.</w:t>
      </w:r>
      <w:r>
        <w:rPr>
          <w:rFonts w:ascii="Arial Narrow" w:eastAsia="Arial Narrow" w:hAnsi="Arial Narrow" w:cs="Arial Narrow"/>
          <w:color w:val="575B5F"/>
          <w:sz w:val="24"/>
          <w:szCs w:val="24"/>
          <w:vertAlign w:val="superscript"/>
        </w:rPr>
        <w:t>21</w:t>
      </w:r>
      <w:r>
        <w:rPr>
          <w:rFonts w:ascii="Arial Narrow" w:eastAsia="Arial Narrow" w:hAnsi="Arial Narrow" w:cs="Arial Narrow"/>
          <w:color w:val="1B1C1D"/>
          <w:sz w:val="24"/>
          <w:szCs w:val="24"/>
        </w:rPr>
        <w:t xml:space="preserve"> Los padr</w:t>
      </w:r>
      <w:r>
        <w:rPr>
          <w:rFonts w:ascii="Arial Narrow" w:eastAsia="Arial Narrow" w:hAnsi="Arial Narrow" w:cs="Arial Narrow"/>
          <w:color w:val="1B1C1D"/>
          <w:sz w:val="24"/>
          <w:szCs w:val="24"/>
        </w:rPr>
        <w:t>es de la esposa de Bonilla también fueron reconocidos como afectados.</w:t>
      </w:r>
    </w:p>
    <w:p w:rsidR="005B18DA" w:rsidRDefault="005B18DA">
      <w:pPr>
        <w:spacing w:after="0"/>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El fallo del Consejo de Estado representa un momento transformador. Valida legalmente los hallazgos de la CEV sobre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traduciendo un concepto de comisión de la verdad en juris</w:t>
      </w:r>
      <w:r>
        <w:rPr>
          <w:rFonts w:ascii="Arial Narrow" w:eastAsia="Arial Narrow" w:hAnsi="Arial Narrow" w:cs="Arial Narrow"/>
          <w:color w:val="1B1C1D"/>
          <w:sz w:val="24"/>
          <w:szCs w:val="24"/>
        </w:rPr>
        <w:t>prudencia vinculante. El uso explícito del término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por parte del tribunal y su determinación de la responsabilidad del Estado por el daño sufrido por quienes quedaron atrás </w:t>
      </w:r>
      <w:r>
        <w:rPr>
          <w:rFonts w:ascii="Arial Narrow" w:eastAsia="Arial Narrow" w:hAnsi="Arial Narrow" w:cs="Arial Narrow"/>
          <w:color w:val="575B5F"/>
          <w:sz w:val="24"/>
          <w:szCs w:val="24"/>
          <w:vertAlign w:val="superscript"/>
        </w:rPr>
        <w:t>21</w:t>
      </w:r>
      <w:r>
        <w:rPr>
          <w:rFonts w:ascii="Arial Narrow" w:eastAsia="Arial Narrow" w:hAnsi="Arial Narrow" w:cs="Arial Narrow"/>
          <w:color w:val="1B1C1D"/>
          <w:sz w:val="24"/>
          <w:szCs w:val="24"/>
        </w:rPr>
        <w:t xml:space="preserve"> crea un precedente legal poderoso e innegable. Esto destaca la relació</w:t>
      </w:r>
      <w:r>
        <w:rPr>
          <w:rFonts w:ascii="Arial Narrow" w:eastAsia="Arial Narrow" w:hAnsi="Arial Narrow" w:cs="Arial Narrow"/>
          <w:color w:val="1B1C1D"/>
          <w:sz w:val="24"/>
          <w:szCs w:val="24"/>
        </w:rPr>
        <w:t>n sinérgica entre los mecanismos de esclarecimiento de la verdad (CEV), las instituciones de memoria (CNMH) y el poder judicial en el avance de la justicia transicional. El brazo judicial proporciona la fuerza legal y el precedente que pueden consolidar lo</w:t>
      </w:r>
      <w:r>
        <w:rPr>
          <w:rFonts w:ascii="Arial Narrow" w:eastAsia="Arial Narrow" w:hAnsi="Arial Narrow" w:cs="Arial Narrow"/>
          <w:color w:val="1B1C1D"/>
          <w:sz w:val="24"/>
          <w:szCs w:val="24"/>
        </w:rPr>
        <w:t>s hallazgos y recomendaciones de las comisiones de la verdad en marcos legales accionables, fortaleciendo así el proceso de paz en general. La declaración legislativa de un día conmemorativo no es, por lo tanto, meramente simbólica, sino una consecuencia d</w:t>
      </w:r>
      <w:r>
        <w:rPr>
          <w:rFonts w:ascii="Arial Narrow" w:eastAsia="Arial Narrow" w:hAnsi="Arial Narrow" w:cs="Arial Narrow"/>
          <w:color w:val="1B1C1D"/>
          <w:sz w:val="24"/>
          <w:szCs w:val="24"/>
        </w:rPr>
        <w:t>irecta de obligaciones legales establecidas y una respuesta a un daño judicialmente reconocido.</w:t>
      </w:r>
    </w:p>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 siguiente tabla presenta una visión cronológica clara de los hitos legislativos, institucionales y judiciales más significativos que han llevado colectivame</w:t>
      </w:r>
      <w:r>
        <w:rPr>
          <w:rFonts w:ascii="Arial Narrow" w:eastAsia="Arial Narrow" w:hAnsi="Arial Narrow" w:cs="Arial Narrow"/>
          <w:color w:val="1B1C1D"/>
          <w:sz w:val="24"/>
          <w:szCs w:val="24"/>
        </w:rPr>
        <w:t xml:space="preserve">nte al reconocimiento formal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Colombia. Demuestra que el proyecto de ley propuesto es la culminación de un esfuerzo multifacético y sostenido.</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Tabla 3: Hitos clave en el reconocimiento del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xml:space="preserve"> en Colombia</w:t>
      </w:r>
    </w:p>
    <w:tbl>
      <w:tblPr>
        <w:tblStyle w:val="a4"/>
        <w:tblW w:w="8624" w:type="dxa"/>
        <w:tblInd w:w="0" w:type="dxa"/>
        <w:tblLayout w:type="fixed"/>
        <w:tblLook w:val="0400" w:firstRow="0" w:lastRow="0" w:firstColumn="0" w:lastColumn="0" w:noHBand="0" w:noVBand="1"/>
      </w:tblPr>
      <w:tblGrid>
        <w:gridCol w:w="1855"/>
        <w:gridCol w:w="1551"/>
        <w:gridCol w:w="1854"/>
        <w:gridCol w:w="3364"/>
      </w:tblGrid>
      <w:tr w:rsidR="005B18DA">
        <w:trPr>
          <w:tblHeader/>
        </w:trPr>
        <w:tc>
          <w:tcPr>
            <w:tcW w:w="1855"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 xml:space="preserve">Hito </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Fecha/Periodo</w:t>
            </w:r>
          </w:p>
        </w:tc>
        <w:tc>
          <w:tcPr>
            <w:tcW w:w="185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Institución/</w:t>
            </w:r>
            <w:r>
              <w:rPr>
                <w:rFonts w:ascii="Arial Narrow" w:eastAsia="Arial Narrow" w:hAnsi="Arial Narrow" w:cs="Arial Narrow"/>
                <w:b/>
                <w:color w:val="1B1C1D"/>
                <w:sz w:val="20"/>
                <w:szCs w:val="20"/>
              </w:rPr>
              <w:t>Actor principal</w:t>
            </w:r>
          </w:p>
        </w:tc>
        <w:tc>
          <w:tcPr>
            <w:tcW w:w="336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jc w:val="center"/>
              <w:rPr>
                <w:rFonts w:ascii="Arial Narrow" w:eastAsia="Arial Narrow" w:hAnsi="Arial Narrow" w:cs="Arial Narrow"/>
                <w:b/>
                <w:color w:val="1B1C1D"/>
                <w:sz w:val="20"/>
                <w:szCs w:val="20"/>
              </w:rPr>
            </w:pPr>
            <w:r>
              <w:rPr>
                <w:rFonts w:ascii="Arial Narrow" w:eastAsia="Arial Narrow" w:hAnsi="Arial Narrow" w:cs="Arial Narrow"/>
                <w:b/>
                <w:color w:val="1B1C1D"/>
                <w:sz w:val="20"/>
                <w:szCs w:val="20"/>
              </w:rPr>
              <w:t xml:space="preserve">Descripción y relevancia para el </w:t>
            </w:r>
            <w:proofErr w:type="spellStart"/>
            <w:r>
              <w:rPr>
                <w:rFonts w:ascii="Arial Narrow" w:eastAsia="Arial Narrow" w:hAnsi="Arial Narrow" w:cs="Arial Narrow"/>
                <w:b/>
                <w:color w:val="1B1C1D"/>
                <w:sz w:val="20"/>
                <w:szCs w:val="20"/>
              </w:rPr>
              <w:t>insilio</w:t>
            </w:r>
            <w:proofErr w:type="spellEnd"/>
          </w:p>
        </w:tc>
      </w:tr>
      <w:tr w:rsidR="005B18DA">
        <w:tc>
          <w:tcPr>
            <w:tcW w:w="1855"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Promulgación de la Ley de Víctimas</w:t>
            </w:r>
          </w:p>
        </w:tc>
        <w:tc>
          <w:tcPr>
            <w:tcW w:w="1551"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2011</w:t>
            </w:r>
          </w:p>
        </w:tc>
        <w:tc>
          <w:tcPr>
            <w:tcW w:w="185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Congreso de la República</w:t>
            </w:r>
          </w:p>
        </w:tc>
        <w:tc>
          <w:tcPr>
            <w:tcW w:w="336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Establece el marco legal de atención a víctimas, incluyendo la definición amplia de víctima que sienta bases para el reconocimiento de familiares de exiliados.</w:t>
            </w:r>
          </w:p>
        </w:tc>
      </w:tr>
      <w:tr w:rsidR="005B18DA">
        <w:tc>
          <w:tcPr>
            <w:tcW w:w="1855"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Firma del Acuerdo Final de Paz</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2016</w:t>
            </w:r>
          </w:p>
        </w:tc>
        <w:tc>
          <w:tcPr>
            <w:tcW w:w="185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Gobierno Nacional/FARC-EP</w:t>
            </w:r>
          </w:p>
        </w:tc>
        <w:tc>
          <w:tcPr>
            <w:tcW w:w="336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Crea el SIVJRNR, incluyendo la CEV, que posteriormente documentaría el exilio y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w:t>
            </w:r>
          </w:p>
        </w:tc>
      </w:tr>
      <w:tr w:rsidR="005B18DA">
        <w:tc>
          <w:tcPr>
            <w:tcW w:w="1855"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lastRenderedPageBreak/>
              <w:t>Fallo del Consejo de Estado en el Caso Bonilla</w:t>
            </w:r>
          </w:p>
        </w:tc>
        <w:tc>
          <w:tcPr>
            <w:tcW w:w="1551"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Marzo 2021</w:t>
            </w:r>
          </w:p>
        </w:tc>
        <w:tc>
          <w:tcPr>
            <w:tcW w:w="185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Consejo de Estado</w:t>
            </w:r>
          </w:p>
        </w:tc>
        <w:tc>
          <w:tcPr>
            <w:tcW w:w="336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Reconoce judicialmente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como hecho </w:t>
            </w:r>
            <w:proofErr w:type="spellStart"/>
            <w:r>
              <w:rPr>
                <w:rFonts w:ascii="Arial Narrow" w:eastAsia="Arial Narrow" w:hAnsi="Arial Narrow" w:cs="Arial Narrow"/>
                <w:color w:val="1B1C1D"/>
                <w:sz w:val="20"/>
                <w:szCs w:val="20"/>
              </w:rPr>
              <w:t>victimizante</w:t>
            </w:r>
            <w:proofErr w:type="spellEnd"/>
            <w:r>
              <w:rPr>
                <w:rFonts w:ascii="Arial Narrow" w:eastAsia="Arial Narrow" w:hAnsi="Arial Narrow" w:cs="Arial Narrow"/>
                <w:color w:val="1B1C1D"/>
                <w:sz w:val="20"/>
                <w:szCs w:val="20"/>
              </w:rPr>
              <w:t xml:space="preserve"> derivado del exilio forzado, </w:t>
            </w:r>
            <w:r>
              <w:rPr>
                <w:rFonts w:ascii="Arial Narrow" w:eastAsia="Arial Narrow" w:hAnsi="Arial Narrow" w:cs="Arial Narrow"/>
                <w:color w:val="1B1C1D"/>
                <w:sz w:val="20"/>
                <w:szCs w:val="20"/>
              </w:rPr>
              <w:t>sentando un precedente legal.</w:t>
            </w:r>
          </w:p>
        </w:tc>
      </w:tr>
      <w:tr w:rsidR="005B18DA">
        <w:tc>
          <w:tcPr>
            <w:tcW w:w="1855"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Publicación del Informe Final de la CEV</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2022</w:t>
            </w:r>
          </w:p>
        </w:tc>
        <w:tc>
          <w:tcPr>
            <w:tcW w:w="185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Comisión de la Verdad</w:t>
            </w:r>
          </w:p>
        </w:tc>
        <w:tc>
          <w:tcPr>
            <w:tcW w:w="336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Documenta el exilio y 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como victimizaciones masivas y emite recomendaciones explícitas para su reconocimiento y reparación.</w:t>
            </w:r>
          </w:p>
        </w:tc>
      </w:tr>
      <w:tr w:rsidR="005B18DA">
        <w:tc>
          <w:tcPr>
            <w:tcW w:w="1855"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Lanzamiento de la Estrategia MHERI del CNMH</w:t>
            </w:r>
          </w:p>
        </w:tc>
        <w:tc>
          <w:tcPr>
            <w:tcW w:w="1551"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2024</w:t>
            </w:r>
          </w:p>
        </w:tc>
        <w:tc>
          <w:tcPr>
            <w:tcW w:w="185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CNMH</w:t>
            </w:r>
          </w:p>
        </w:tc>
        <w:tc>
          <w:tcPr>
            <w:tcW w:w="3364" w:type="dxa"/>
            <w:tcBorders>
              <w:top w:val="single" w:sz="6" w:space="0" w:color="000000"/>
              <w:left w:val="single" w:sz="6" w:space="0" w:color="000000"/>
              <w:bottom w:val="single" w:sz="6" w:space="0" w:color="000000"/>
              <w:right w:val="single" w:sz="6" w:space="0" w:color="000000"/>
            </w:tcBorders>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Impulsa la documentación, </w:t>
            </w:r>
            <w:proofErr w:type="spellStart"/>
            <w:r>
              <w:rPr>
                <w:rFonts w:ascii="Arial Narrow" w:eastAsia="Arial Narrow" w:hAnsi="Arial Narrow" w:cs="Arial Narrow"/>
                <w:color w:val="1B1C1D"/>
                <w:sz w:val="20"/>
                <w:szCs w:val="20"/>
              </w:rPr>
              <w:t>visibilización</w:t>
            </w:r>
            <w:proofErr w:type="spellEnd"/>
            <w:r>
              <w:rPr>
                <w:rFonts w:ascii="Arial Narrow" w:eastAsia="Arial Narrow" w:hAnsi="Arial Narrow" w:cs="Arial Narrow"/>
                <w:color w:val="1B1C1D"/>
                <w:sz w:val="20"/>
                <w:szCs w:val="20"/>
              </w:rPr>
              <w:t xml:space="preserve"> y reconocimiento del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como parte de la memoria colectiva.</w:t>
            </w:r>
          </w:p>
        </w:tc>
      </w:tr>
      <w:tr w:rsidR="005B18DA">
        <w:tc>
          <w:tcPr>
            <w:tcW w:w="1855"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 xml:space="preserve">Radicación del Proyecto de Ley del Día del </w:t>
            </w:r>
            <w:proofErr w:type="spellStart"/>
            <w:r>
              <w:rPr>
                <w:rFonts w:ascii="Arial Narrow" w:eastAsia="Arial Narrow" w:hAnsi="Arial Narrow" w:cs="Arial Narrow"/>
                <w:color w:val="1B1C1D"/>
                <w:sz w:val="20"/>
                <w:szCs w:val="20"/>
              </w:rPr>
              <w:t>Insilio</w:t>
            </w:r>
            <w:proofErr w:type="spellEnd"/>
          </w:p>
        </w:tc>
        <w:tc>
          <w:tcPr>
            <w:tcW w:w="1551"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2025</w:t>
            </w:r>
          </w:p>
        </w:tc>
        <w:tc>
          <w:tcPr>
            <w:tcW w:w="185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Cámara de Representantes</w:t>
            </w:r>
          </w:p>
        </w:tc>
        <w:tc>
          <w:tcPr>
            <w:tcW w:w="3364" w:type="dxa"/>
            <w:tcBorders>
              <w:top w:val="single" w:sz="6" w:space="0" w:color="000000"/>
              <w:left w:val="single" w:sz="6" w:space="0" w:color="000000"/>
              <w:bottom w:val="single" w:sz="6" w:space="0" w:color="000000"/>
              <w:right w:val="single" w:sz="6" w:space="0" w:color="000000"/>
            </w:tcBorders>
            <w:shd w:val="clear" w:color="auto" w:fill="D9D9D9"/>
            <w:tcMar>
              <w:top w:w="120" w:type="dxa"/>
              <w:left w:w="180" w:type="dxa"/>
              <w:bottom w:w="120" w:type="dxa"/>
              <w:right w:w="180" w:type="dxa"/>
            </w:tcMar>
            <w:vAlign w:val="center"/>
          </w:tcPr>
          <w:p w:rsidR="005B18DA" w:rsidRDefault="009A4251">
            <w:pPr>
              <w:spacing w:after="0"/>
              <w:rPr>
                <w:rFonts w:ascii="Arial Narrow" w:eastAsia="Arial Narrow" w:hAnsi="Arial Narrow" w:cs="Arial Narrow"/>
                <w:color w:val="1B1C1D"/>
                <w:sz w:val="20"/>
                <w:szCs w:val="20"/>
              </w:rPr>
            </w:pPr>
            <w:r>
              <w:rPr>
                <w:rFonts w:ascii="Arial Narrow" w:eastAsia="Arial Narrow" w:hAnsi="Arial Narrow" w:cs="Arial Narrow"/>
                <w:color w:val="1B1C1D"/>
                <w:sz w:val="20"/>
                <w:szCs w:val="20"/>
              </w:rPr>
              <w:t>Propone la con</w:t>
            </w:r>
            <w:r>
              <w:rPr>
                <w:rFonts w:ascii="Arial Narrow" w:eastAsia="Arial Narrow" w:hAnsi="Arial Narrow" w:cs="Arial Narrow"/>
                <w:color w:val="1B1C1D"/>
                <w:sz w:val="20"/>
                <w:szCs w:val="20"/>
              </w:rPr>
              <w:t xml:space="preserve">memoración anual del </w:t>
            </w:r>
            <w:proofErr w:type="spellStart"/>
            <w:r>
              <w:rPr>
                <w:rFonts w:ascii="Arial Narrow" w:eastAsia="Arial Narrow" w:hAnsi="Arial Narrow" w:cs="Arial Narrow"/>
                <w:color w:val="1B1C1D"/>
                <w:sz w:val="20"/>
                <w:szCs w:val="20"/>
              </w:rPr>
              <w:t>insilio</w:t>
            </w:r>
            <w:proofErr w:type="spellEnd"/>
            <w:r>
              <w:rPr>
                <w:rFonts w:ascii="Arial Narrow" w:eastAsia="Arial Narrow" w:hAnsi="Arial Narrow" w:cs="Arial Narrow"/>
                <w:color w:val="1B1C1D"/>
                <w:sz w:val="20"/>
                <w:szCs w:val="20"/>
              </w:rPr>
              <w:t xml:space="preserve"> y el desarrollo de políticas públicas para su atención integral.</w:t>
            </w:r>
          </w:p>
        </w:tc>
      </w:tr>
    </w:tbl>
    <w:p w:rsidR="005B18DA" w:rsidRDefault="005B18DA">
      <w:pPr>
        <w:spacing w:after="24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Esta cronología de eventos clave ayuda a contextualizar esta ley de la República, mostrándolo como parte de un proceso continuo y evolutivo de justicia transicional en Colombia. Subraya los esfuerzos colaborativos de diferentes ramas del Estado y la socied</w:t>
      </w:r>
      <w:r>
        <w:rPr>
          <w:rFonts w:ascii="Arial Narrow" w:eastAsia="Arial Narrow" w:hAnsi="Arial Narrow" w:cs="Arial Narrow"/>
          <w:color w:val="1B1C1D"/>
          <w:sz w:val="24"/>
          <w:szCs w:val="24"/>
        </w:rPr>
        <w:t>ad civil para abordar los legados del conflicto, proporcionando un argumento convincente para su necesidad y oportunidad.</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 xml:space="preserve">3.5. Definición Consolidada del </w:t>
      </w:r>
      <w:proofErr w:type="spellStart"/>
      <w:r>
        <w:rPr>
          <w:rFonts w:ascii="Arial Narrow" w:eastAsia="Arial Narrow" w:hAnsi="Arial Narrow" w:cs="Arial Narrow"/>
          <w:b/>
          <w:color w:val="1B1C1D"/>
          <w:sz w:val="24"/>
          <w:szCs w:val="24"/>
        </w:rPr>
        <w:t>Insilio</w:t>
      </w:r>
      <w:proofErr w:type="spellEnd"/>
      <w:r>
        <w:rPr>
          <w:rFonts w:ascii="Arial Narrow" w:eastAsia="Arial Narrow" w:hAnsi="Arial Narrow" w:cs="Arial Narrow"/>
          <w:b/>
          <w:color w:val="1B1C1D"/>
          <w:sz w:val="24"/>
          <w:szCs w:val="24"/>
        </w:rPr>
        <w:t xml:space="preserve"> en el Contexto Colombiano: Claridad y Alcance</w:t>
      </w:r>
    </w:p>
    <w:p w:rsidR="005B18DA" w:rsidRDefault="009A4251">
      <w:pPr>
        <w:spacing w:after="0"/>
        <w:jc w:val="both"/>
        <w:rPr>
          <w:rFonts w:ascii="Arial Narrow" w:eastAsia="Arial Narrow" w:hAnsi="Arial Narrow" w:cs="Arial Narrow"/>
          <w:color w:val="575B5F"/>
          <w:sz w:val="24"/>
          <w:szCs w:val="24"/>
          <w:vertAlign w:val="superscript"/>
        </w:rPr>
      </w:pPr>
      <w:r>
        <w:rPr>
          <w:rFonts w:ascii="Arial Narrow" w:eastAsia="Arial Narrow" w:hAnsi="Arial Narrow" w:cs="Arial Narrow"/>
          <w:color w:val="1B1C1D"/>
          <w:sz w:val="24"/>
          <w:szCs w:val="24"/>
        </w:rPr>
        <w:t xml:space="preserve">El Proyecto de Ley adopta una definición precisa de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para el contexto del conflicto armado colombiano: "La condición de victimización vivida por personas que permanecieron en el país mientras familiares cercanos fueron forzados al exilio, y que, com</w:t>
      </w:r>
      <w:r>
        <w:rPr>
          <w:rFonts w:ascii="Arial Narrow" w:eastAsia="Arial Narrow" w:hAnsi="Arial Narrow" w:cs="Arial Narrow"/>
          <w:color w:val="1B1C1D"/>
          <w:sz w:val="24"/>
          <w:szCs w:val="24"/>
        </w:rPr>
        <w:t>o consecuencia, experimentaron silenciamiento, aislamiento social, estigmatización, ruptura de vínculos afectivos, confinamiento emocional y afectaciones a su vida cotidiana y comunitaria". Esta definición se contextualiza con la descripción de la CEV, que</w:t>
      </w:r>
      <w:r>
        <w:rPr>
          <w:rFonts w:ascii="Arial Narrow" w:eastAsia="Arial Narrow" w:hAnsi="Arial Narrow" w:cs="Arial Narrow"/>
          <w:color w:val="1B1C1D"/>
          <w:sz w:val="24"/>
          <w:szCs w:val="24"/>
        </w:rPr>
        <w:t xml:space="preserve"> aclara la doble naturaleza de este "confinamiento":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se refiere a los familiares afectados por el exilio de sus familiares, pero que se quedaron aquí. Los dos tiempos de este tipo de confinamiento: los que tuvieron que irse expulsados por el pe</w:t>
      </w:r>
      <w:r>
        <w:rPr>
          <w:rFonts w:ascii="Arial Narrow" w:eastAsia="Arial Narrow" w:hAnsi="Arial Narrow" w:cs="Arial Narrow"/>
          <w:color w:val="1B1C1D"/>
          <w:sz w:val="24"/>
          <w:szCs w:val="24"/>
        </w:rPr>
        <w:t>ligro de muerte, y los que se quedaron y tuvieron que vivir con esa ausencia".</w:t>
      </w:r>
      <w:r>
        <w:rPr>
          <w:rFonts w:ascii="Arial Narrow" w:eastAsia="Arial Narrow" w:hAnsi="Arial Narrow" w:cs="Arial Narrow"/>
          <w:color w:val="575B5F"/>
          <w:sz w:val="24"/>
          <w:szCs w:val="24"/>
          <w:vertAlign w:val="superscript"/>
        </w:rPr>
        <w:t>22</w:t>
      </w: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0"/>
        <w:jc w:val="both"/>
        <w:rPr>
          <w:rFonts w:ascii="Arial Narrow" w:eastAsia="Arial Narrow" w:hAnsi="Arial Narrow" w:cs="Arial Narrow"/>
          <w:color w:val="575B5F"/>
          <w:sz w:val="24"/>
          <w:szCs w:val="24"/>
          <w:vertAlign w:val="superscript"/>
        </w:rPr>
      </w:pPr>
      <w:r>
        <w:rPr>
          <w:rFonts w:ascii="Arial Narrow" w:eastAsia="Arial Narrow" w:hAnsi="Arial Narrow" w:cs="Arial Narrow"/>
          <w:color w:val="1B1C1D"/>
          <w:sz w:val="24"/>
          <w:szCs w:val="24"/>
        </w:rPr>
        <w:t>La elaboración de esta definición se basa en la investigación detallada para explicar la profundidad y la naturaleza multifacética de los impactos enumerados. Por ejemplo, el</w:t>
      </w:r>
      <w:r>
        <w:rPr>
          <w:rFonts w:ascii="Arial Narrow" w:eastAsia="Arial Narrow" w:hAnsi="Arial Narrow" w:cs="Arial Narrow"/>
          <w:color w:val="1B1C1D"/>
          <w:sz w:val="24"/>
          <w:szCs w:val="24"/>
        </w:rPr>
        <w:t xml:space="preserve"> "silenciamiento" puede manifestarse como una incapacidad para hablar sobre el ser querido ausente o las circunstancias de su partida debido al miedo o al estigma. El "aislamiento social" y la "ruptura de vínculos afectivos" son consecuencias directas de l</w:t>
      </w:r>
      <w:r>
        <w:rPr>
          <w:rFonts w:ascii="Arial Narrow" w:eastAsia="Arial Narrow" w:hAnsi="Arial Narrow" w:cs="Arial Narrow"/>
          <w:color w:val="1B1C1D"/>
          <w:sz w:val="24"/>
          <w:szCs w:val="24"/>
        </w:rPr>
        <w:t>a separación forzada y el miedo o la incomprensión resultantes de la comunidad.</w:t>
      </w:r>
      <w:r>
        <w:rPr>
          <w:rFonts w:ascii="Arial Narrow" w:eastAsia="Arial Narrow" w:hAnsi="Arial Narrow" w:cs="Arial Narrow"/>
          <w:color w:val="575B5F"/>
          <w:sz w:val="24"/>
          <w:szCs w:val="24"/>
          <w:vertAlign w:val="superscript"/>
        </w:rPr>
        <w:t>17</w:t>
      </w:r>
      <w:r>
        <w:rPr>
          <w:rFonts w:ascii="Arial Narrow" w:eastAsia="Arial Narrow" w:hAnsi="Arial Narrow" w:cs="Arial Narrow"/>
          <w:color w:val="1B1C1D"/>
          <w:sz w:val="24"/>
          <w:szCs w:val="24"/>
        </w:rPr>
        <w:t xml:space="preserve"> El "confinamiento emocional" y el "desarraigo" se refieren a la profunda angustia psicológica y existencial, incluyendo sentimientos de impotencia y pérdida de pertenencia, i</w:t>
      </w:r>
      <w:r>
        <w:rPr>
          <w:rFonts w:ascii="Arial Narrow" w:eastAsia="Arial Narrow" w:hAnsi="Arial Narrow" w:cs="Arial Narrow"/>
          <w:color w:val="1B1C1D"/>
          <w:sz w:val="24"/>
          <w:szCs w:val="24"/>
        </w:rPr>
        <w:t>ncluso mientras se permanece físicamente en la patria.</w:t>
      </w:r>
      <w:r>
        <w:rPr>
          <w:rFonts w:ascii="Arial Narrow" w:eastAsia="Arial Narrow" w:hAnsi="Arial Narrow" w:cs="Arial Narrow"/>
          <w:color w:val="575B5F"/>
          <w:sz w:val="24"/>
          <w:szCs w:val="24"/>
          <w:vertAlign w:val="superscript"/>
        </w:rPr>
        <w:t>15</w:t>
      </w:r>
    </w:p>
    <w:p w:rsidR="005B18DA" w:rsidRDefault="005B18DA">
      <w:pPr>
        <w:spacing w:after="0"/>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La definición precisa y completa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en el proyecto de ley, informada por los hallazgos de la CEV y el precedente judicial, es crucial para la eficacia de la implementación de políticas. Del</w:t>
      </w:r>
      <w:r>
        <w:rPr>
          <w:rFonts w:ascii="Arial Narrow" w:eastAsia="Arial Narrow" w:hAnsi="Arial Narrow" w:cs="Arial Narrow"/>
          <w:color w:val="1B1C1D"/>
          <w:sz w:val="24"/>
          <w:szCs w:val="24"/>
        </w:rPr>
        <w:t xml:space="preserve">inea claramente quién constituye una víctima de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los daños específicos, a menudo no físicos, que sufrieron. Esta claridad es esencial para permitir intervenciones específicas, diseñar programas de reparación apropiados y evitar la ambigüedad en fu</w:t>
      </w:r>
      <w:r>
        <w:rPr>
          <w:rFonts w:ascii="Arial Narrow" w:eastAsia="Arial Narrow" w:hAnsi="Arial Narrow" w:cs="Arial Narrow"/>
          <w:color w:val="1B1C1D"/>
          <w:sz w:val="24"/>
          <w:szCs w:val="24"/>
        </w:rPr>
        <w:t>turos procesos legales y administrativos, asegurando que la intención de la ley sea clara para las agencias implementadoras y que los beneficiarios correctos sean alcanzados con medidas apropiadas y diferenciadas.</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120"/>
        <w:jc w:val="both"/>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3.6. Enfoque progresivo del Proyecto de L</w:t>
      </w:r>
      <w:r>
        <w:rPr>
          <w:rFonts w:ascii="Arial Narrow" w:eastAsia="Arial Narrow" w:hAnsi="Arial Narrow" w:cs="Arial Narrow"/>
          <w:b/>
          <w:color w:val="1B1C1D"/>
          <w:sz w:val="24"/>
          <w:szCs w:val="24"/>
        </w:rPr>
        <w:t>ey: Conmemoración, pedagogía y política pública para la No Repetición</w:t>
      </w:r>
    </w:p>
    <w:p w:rsidR="005B18DA" w:rsidRDefault="009A4251">
      <w:pPr>
        <w:spacing w:after="12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Esta ley propone un enfoque progresivo de tres pilares, demostrando una estrategia holística para abordar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contribuir a una paz estable y duradera:</w:t>
      </w:r>
    </w:p>
    <w:p w:rsidR="005B18DA" w:rsidRDefault="005B18DA">
      <w:pPr>
        <w:spacing w:after="120"/>
        <w:jc w:val="both"/>
        <w:rPr>
          <w:rFonts w:ascii="Arial Narrow" w:eastAsia="Arial Narrow" w:hAnsi="Arial Narrow" w:cs="Arial Narrow"/>
          <w:color w:val="1B1C1D"/>
          <w:sz w:val="24"/>
          <w:szCs w:val="24"/>
        </w:rPr>
      </w:pPr>
    </w:p>
    <w:p w:rsidR="005B18DA" w:rsidRDefault="009A4251">
      <w:pPr>
        <w:numPr>
          <w:ilvl w:val="0"/>
          <w:numId w:val="4"/>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 xml:space="preserve">Conmemoración anual como </w:t>
      </w:r>
      <w:r>
        <w:rPr>
          <w:rFonts w:ascii="Arial Narrow" w:eastAsia="Arial Narrow" w:hAnsi="Arial Narrow" w:cs="Arial Narrow"/>
          <w:b/>
          <w:color w:val="1B1C1D"/>
          <w:sz w:val="24"/>
          <w:szCs w:val="24"/>
        </w:rPr>
        <w:t>acto simbólico y pedagógico:</w:t>
      </w:r>
      <w:r>
        <w:rPr>
          <w:rFonts w:ascii="Arial Narrow" w:eastAsia="Arial Narrow" w:hAnsi="Arial Narrow" w:cs="Arial Narrow"/>
          <w:color w:val="1B1C1D"/>
          <w:sz w:val="24"/>
          <w:szCs w:val="24"/>
        </w:rPr>
        <w:t xml:space="preserve"> La declaración del 18 de agosto como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sirve como un poderoso acto simbólico. Su objetivo es dar visibilidad pública y validación institucional a una experiencia de victimización previamente</w:t>
      </w:r>
      <w:r>
        <w:rPr>
          <w:rFonts w:ascii="Arial Narrow" w:eastAsia="Arial Narrow" w:hAnsi="Arial Narrow" w:cs="Arial Narrow"/>
          <w:color w:val="1B1C1D"/>
          <w:sz w:val="24"/>
          <w:szCs w:val="24"/>
        </w:rPr>
        <w:t xml:space="preserve"> marginada y a menudo invisible, fomentando la memoria colectiva y la empatía.</w:t>
      </w:r>
    </w:p>
    <w:p w:rsidR="005B18DA" w:rsidRDefault="005B18DA">
      <w:pPr>
        <w:spacing w:after="0"/>
        <w:ind w:left="720"/>
        <w:jc w:val="both"/>
        <w:rPr>
          <w:rFonts w:ascii="Arial Narrow" w:eastAsia="Arial Narrow" w:hAnsi="Arial Narrow" w:cs="Arial Narrow"/>
          <w:color w:val="1B1C1D"/>
          <w:sz w:val="24"/>
          <w:szCs w:val="24"/>
        </w:rPr>
      </w:pPr>
    </w:p>
    <w:p w:rsidR="005B18DA" w:rsidRDefault="009A4251">
      <w:pPr>
        <w:numPr>
          <w:ilvl w:val="0"/>
          <w:numId w:val="4"/>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Estrategias pedagógicas amplias y participativas:</w:t>
      </w:r>
      <w:r>
        <w:rPr>
          <w:rFonts w:ascii="Arial Narrow" w:eastAsia="Arial Narrow" w:hAnsi="Arial Narrow" w:cs="Arial Narrow"/>
          <w:color w:val="1B1C1D"/>
          <w:sz w:val="24"/>
          <w:szCs w:val="24"/>
        </w:rPr>
        <w:t xml:space="preserve"> Más allá de la mera conmemoración, el proyecto de ley exige la promoción de conmemoraciones públicas, cátedras de memoria y pr</w:t>
      </w:r>
      <w:r>
        <w:rPr>
          <w:rFonts w:ascii="Arial Narrow" w:eastAsia="Arial Narrow" w:hAnsi="Arial Narrow" w:cs="Arial Narrow"/>
          <w:color w:val="1B1C1D"/>
          <w:sz w:val="24"/>
          <w:szCs w:val="24"/>
        </w:rPr>
        <w:t xml:space="preserve">oducciones culturales (Artículo 2). Estas iniciativas están diseñadas para educar a la </w:t>
      </w:r>
      <w:r>
        <w:rPr>
          <w:rFonts w:ascii="Arial Narrow" w:eastAsia="Arial Narrow" w:hAnsi="Arial Narrow" w:cs="Arial Narrow"/>
          <w:color w:val="1B1C1D"/>
          <w:sz w:val="24"/>
          <w:szCs w:val="24"/>
        </w:rPr>
        <w:lastRenderedPageBreak/>
        <w:t xml:space="preserve">sociedad sobre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sus impactos específicos y su lugar dentro de la narrativa más amplia del conflicto armado. El papel central del CNMH a través de su estrategi</w:t>
      </w:r>
      <w:r>
        <w:rPr>
          <w:rFonts w:ascii="Arial Narrow" w:eastAsia="Arial Narrow" w:hAnsi="Arial Narrow" w:cs="Arial Narrow"/>
          <w:color w:val="1B1C1D"/>
          <w:sz w:val="24"/>
          <w:szCs w:val="24"/>
        </w:rPr>
        <w:t xml:space="preserve">a MHERI (Artículo 3) </w:t>
      </w:r>
      <w:r>
        <w:rPr>
          <w:rFonts w:ascii="Arial Narrow" w:eastAsia="Arial Narrow" w:hAnsi="Arial Narrow" w:cs="Arial Narrow"/>
          <w:color w:val="575B5F"/>
          <w:sz w:val="24"/>
          <w:szCs w:val="24"/>
          <w:vertAlign w:val="superscript"/>
        </w:rPr>
        <w:t>19</w:t>
      </w:r>
      <w:r>
        <w:rPr>
          <w:rFonts w:ascii="Arial Narrow" w:eastAsia="Arial Narrow" w:hAnsi="Arial Narrow" w:cs="Arial Narrow"/>
          <w:color w:val="1B1C1D"/>
          <w:sz w:val="24"/>
          <w:szCs w:val="24"/>
        </w:rPr>
        <w:t xml:space="preserve"> asegura que estos esfuerzos educativos se basen en el conocimiento experto y en metodologías participativas, involucrando a víctimas y organizaciones sociales.</w:t>
      </w:r>
    </w:p>
    <w:p w:rsidR="005B18DA" w:rsidRDefault="005B18DA">
      <w:pPr>
        <w:pBdr>
          <w:top w:val="nil"/>
          <w:left w:val="nil"/>
          <w:bottom w:val="nil"/>
          <w:right w:val="nil"/>
          <w:between w:val="nil"/>
        </w:pBdr>
        <w:ind w:left="720"/>
        <w:rPr>
          <w:rFonts w:ascii="Arial Narrow" w:eastAsia="Arial Narrow" w:hAnsi="Arial Narrow" w:cs="Arial Narrow"/>
          <w:b/>
          <w:color w:val="1B1C1D"/>
          <w:sz w:val="24"/>
          <w:szCs w:val="24"/>
        </w:rPr>
      </w:pPr>
    </w:p>
    <w:p w:rsidR="005B18DA" w:rsidRDefault="009A4251">
      <w:pPr>
        <w:numPr>
          <w:ilvl w:val="0"/>
          <w:numId w:val="4"/>
        </w:numPr>
        <w:spacing w:after="0"/>
        <w:jc w:val="both"/>
        <w:rPr>
          <w:rFonts w:ascii="Arial Narrow" w:eastAsia="Arial Narrow" w:hAnsi="Arial Narrow" w:cs="Arial Narrow"/>
          <w:color w:val="1B1C1D"/>
          <w:sz w:val="24"/>
          <w:szCs w:val="24"/>
        </w:rPr>
      </w:pPr>
      <w:r>
        <w:rPr>
          <w:rFonts w:ascii="Arial Narrow" w:eastAsia="Arial Narrow" w:hAnsi="Arial Narrow" w:cs="Arial Narrow"/>
          <w:b/>
          <w:color w:val="1B1C1D"/>
          <w:sz w:val="24"/>
          <w:szCs w:val="24"/>
        </w:rPr>
        <w:t>Formulación e implementación de políticas públicas con enfoque diferenc</w:t>
      </w:r>
      <w:r>
        <w:rPr>
          <w:rFonts w:ascii="Arial Narrow" w:eastAsia="Arial Narrow" w:hAnsi="Arial Narrow" w:cs="Arial Narrow"/>
          <w:b/>
          <w:color w:val="1B1C1D"/>
          <w:sz w:val="24"/>
          <w:szCs w:val="24"/>
        </w:rPr>
        <w:t xml:space="preserve">ial, </w:t>
      </w:r>
      <w:proofErr w:type="spellStart"/>
      <w:r>
        <w:rPr>
          <w:rFonts w:ascii="Arial Narrow" w:eastAsia="Arial Narrow" w:hAnsi="Arial Narrow" w:cs="Arial Narrow"/>
          <w:b/>
          <w:color w:val="1B1C1D"/>
          <w:sz w:val="24"/>
          <w:szCs w:val="24"/>
        </w:rPr>
        <w:t>interseccional</w:t>
      </w:r>
      <w:proofErr w:type="spellEnd"/>
      <w:r>
        <w:rPr>
          <w:rFonts w:ascii="Arial Narrow" w:eastAsia="Arial Narrow" w:hAnsi="Arial Narrow" w:cs="Arial Narrow"/>
          <w:b/>
          <w:color w:val="1B1C1D"/>
          <w:sz w:val="24"/>
          <w:szCs w:val="24"/>
        </w:rPr>
        <w:t xml:space="preserve"> y territorial:</w:t>
      </w:r>
      <w:r>
        <w:rPr>
          <w:rFonts w:ascii="Arial Narrow" w:eastAsia="Arial Narrow" w:hAnsi="Arial Narrow" w:cs="Arial Narrow"/>
          <w:color w:val="1B1C1D"/>
          <w:sz w:val="24"/>
          <w:szCs w:val="24"/>
        </w:rPr>
        <w:t xml:space="preserve"> Este es el objetivo final del enfoque progresivo. Asegura que el reconocimiento simbólico y los esfuerzos pedagógicos se traduzcan en medidas concretas y accionables para la justicia, la reparación integral y las garantía</w:t>
      </w:r>
      <w:r>
        <w:rPr>
          <w:rFonts w:ascii="Arial Narrow" w:eastAsia="Arial Narrow" w:hAnsi="Arial Narrow" w:cs="Arial Narrow"/>
          <w:color w:val="1B1C1D"/>
          <w:sz w:val="24"/>
          <w:szCs w:val="24"/>
        </w:rPr>
        <w:t xml:space="preserve">s de no repetición. Esto incluye el diseño de políticas con un fuerte enfoque en las necesidades específicas de diversos grupos, como lo recomienda la CEV </w:t>
      </w:r>
      <w:r>
        <w:rPr>
          <w:rFonts w:ascii="Arial Narrow" w:eastAsia="Arial Narrow" w:hAnsi="Arial Narrow" w:cs="Arial Narrow"/>
          <w:color w:val="575B5F"/>
          <w:sz w:val="24"/>
          <w:szCs w:val="24"/>
          <w:vertAlign w:val="superscript"/>
        </w:rPr>
        <w:t>14</w:t>
      </w:r>
      <w:r>
        <w:rPr>
          <w:rFonts w:ascii="Arial Narrow" w:eastAsia="Arial Narrow" w:hAnsi="Arial Narrow" w:cs="Arial Narrow"/>
          <w:color w:val="1B1C1D"/>
          <w:sz w:val="24"/>
          <w:szCs w:val="24"/>
        </w:rPr>
        <w:t>, asegurando que las intervenciones sean personalizadas y efectivas en diferentes territorios y pob</w:t>
      </w:r>
      <w:r>
        <w:rPr>
          <w:rFonts w:ascii="Arial Narrow" w:eastAsia="Arial Narrow" w:hAnsi="Arial Narrow" w:cs="Arial Narrow"/>
          <w:color w:val="1B1C1D"/>
          <w:sz w:val="24"/>
          <w:szCs w:val="24"/>
        </w:rPr>
        <w:t>laciones.</w:t>
      </w:r>
    </w:p>
    <w:p w:rsidR="005B18DA" w:rsidRDefault="005B18DA">
      <w:pPr>
        <w:spacing w:after="0"/>
        <w:jc w:val="both"/>
        <w:rPr>
          <w:rFonts w:ascii="Arial Narrow" w:eastAsia="Arial Narrow" w:hAnsi="Arial Narrow" w:cs="Arial Narrow"/>
          <w:color w:val="1B1C1D"/>
          <w:sz w:val="24"/>
          <w:szCs w:val="24"/>
        </w:rPr>
      </w:pP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El enfoque progresivo delineado en el proyecto de ley refleja la comprensión de cómo se produce la sanación social y el cambio de políticas sostenibles en contextos de posconflicto. Reconoce que el reconocimiento legal debe ir acompañado de profundos cambi</w:t>
      </w:r>
      <w:r>
        <w:rPr>
          <w:rFonts w:ascii="Arial Narrow" w:eastAsia="Arial Narrow" w:hAnsi="Arial Narrow" w:cs="Arial Narrow"/>
          <w:color w:val="1B1C1D"/>
          <w:sz w:val="24"/>
          <w:szCs w:val="24"/>
        </w:rPr>
        <w:t xml:space="preserve">os culturales, logrados a través de una educación y una </w:t>
      </w:r>
      <w:proofErr w:type="spellStart"/>
      <w:r>
        <w:rPr>
          <w:rFonts w:ascii="Arial Narrow" w:eastAsia="Arial Narrow" w:hAnsi="Arial Narrow" w:cs="Arial Narrow"/>
          <w:color w:val="1B1C1D"/>
          <w:sz w:val="24"/>
          <w:szCs w:val="24"/>
        </w:rPr>
        <w:t>memorialización</w:t>
      </w:r>
      <w:proofErr w:type="spellEnd"/>
      <w:r>
        <w:rPr>
          <w:rFonts w:ascii="Arial Narrow" w:eastAsia="Arial Narrow" w:hAnsi="Arial Narrow" w:cs="Arial Narrow"/>
          <w:color w:val="1B1C1D"/>
          <w:sz w:val="24"/>
          <w:szCs w:val="24"/>
        </w:rPr>
        <w:t xml:space="preserve"> generalizadas, para prevenir futuros ciclos de violencia y garantizar una reparación integral. Este enfoque sirve como modelo para otros contextos de justicia transicional, demostrando</w:t>
      </w:r>
      <w:r>
        <w:rPr>
          <w:rFonts w:ascii="Arial Narrow" w:eastAsia="Arial Narrow" w:hAnsi="Arial Narrow" w:cs="Arial Narrow"/>
          <w:color w:val="1B1C1D"/>
          <w:sz w:val="24"/>
          <w:szCs w:val="24"/>
        </w:rPr>
        <w:t xml:space="preserve"> que una política eficaz requiere un compromiso profundo con la memoria y la comprensión de la sociedad.</w:t>
      </w:r>
    </w:p>
    <w:p w:rsidR="005B18DA" w:rsidRDefault="005B18DA">
      <w:pPr>
        <w:spacing w:after="240"/>
        <w:jc w:val="both"/>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Capítulo 4</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Estudio de impacto fiscal</w:t>
      </w: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La presente ley está estructurada para asegurar la responsabilidad fiscal, declarando que no genera un impacto fi</w:t>
      </w:r>
      <w:r>
        <w:rPr>
          <w:rFonts w:ascii="Arial Narrow" w:eastAsia="Arial Narrow" w:hAnsi="Arial Narrow" w:cs="Arial Narrow"/>
          <w:color w:val="1B1C1D"/>
          <w:sz w:val="24"/>
          <w:szCs w:val="24"/>
        </w:rPr>
        <w:t xml:space="preserve">scal inmediato tras su promulgación. En lugar de ello, autoriza prudentemente al Gobierno Nacional a incluir las asignaciones presupuestales necesarias en el Presupuesto General de la Nación para el cumplimiento de esta ley. Estas asignaciones se realizan </w:t>
      </w:r>
      <w:r>
        <w:rPr>
          <w:rFonts w:ascii="Arial Narrow" w:eastAsia="Arial Narrow" w:hAnsi="Arial Narrow" w:cs="Arial Narrow"/>
          <w:color w:val="1B1C1D"/>
          <w:sz w:val="24"/>
          <w:szCs w:val="24"/>
        </w:rPr>
        <w:t xml:space="preserve">de acuerdo con la disponibilidad presupuestal y la planificación estratégica. Este mecanismo garantiza que la implementación de las actividades conmemorativas, pedagógicas y de construcción de memoria relacionadas con 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sea sostenible y se integre</w:t>
      </w:r>
      <w:r>
        <w:rPr>
          <w:rFonts w:ascii="Arial Narrow" w:eastAsia="Arial Narrow" w:hAnsi="Arial Narrow" w:cs="Arial Narrow"/>
          <w:color w:val="1B1C1D"/>
          <w:sz w:val="24"/>
          <w:szCs w:val="24"/>
        </w:rPr>
        <w:t xml:space="preserve"> en el marco financiero nacional sin generar una carga imprevista.</w:t>
      </w:r>
    </w:p>
    <w:p w:rsidR="005B18DA" w:rsidRDefault="009A4251">
      <w:pPr>
        <w:spacing w:after="240"/>
        <w:jc w:val="both"/>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lastRenderedPageBreak/>
        <w:t xml:space="preserve">Esta declaración de impacto fiscal, al diferir los desembolsos </w:t>
      </w:r>
      <w:proofErr w:type="gramStart"/>
      <w:r>
        <w:rPr>
          <w:rFonts w:ascii="Arial Narrow" w:eastAsia="Arial Narrow" w:hAnsi="Arial Narrow" w:cs="Arial Narrow"/>
          <w:color w:val="1B1C1D"/>
          <w:sz w:val="24"/>
          <w:szCs w:val="24"/>
        </w:rPr>
        <w:t>inmediatos</w:t>
      </w:r>
      <w:proofErr w:type="gramEnd"/>
      <w:r>
        <w:rPr>
          <w:rFonts w:ascii="Arial Narrow" w:eastAsia="Arial Narrow" w:hAnsi="Arial Narrow" w:cs="Arial Narrow"/>
          <w:color w:val="1B1C1D"/>
          <w:sz w:val="24"/>
          <w:szCs w:val="24"/>
        </w:rPr>
        <w:t xml:space="preserve"> pero autorizar asignaciones futuras, demuestra un enfoque pragmático para la implementación legislativa. Busca aseg</w:t>
      </w:r>
      <w:r>
        <w:rPr>
          <w:rFonts w:ascii="Arial Narrow" w:eastAsia="Arial Narrow" w:hAnsi="Arial Narrow" w:cs="Arial Narrow"/>
          <w:color w:val="1B1C1D"/>
          <w:sz w:val="24"/>
          <w:szCs w:val="24"/>
        </w:rPr>
        <w:t>urar el marco legal para el reconocimiento al tiempo que reconoce las realidades presupuestarias. Esta estrategia es común en la redacción legislativa para garantizar que los proyectos de ley puedan aprobarse sin obstáculos financieros inmediatos, al tiemp</w:t>
      </w:r>
      <w:r>
        <w:rPr>
          <w:rFonts w:ascii="Arial Narrow" w:eastAsia="Arial Narrow" w:hAnsi="Arial Narrow" w:cs="Arial Narrow"/>
          <w:color w:val="1B1C1D"/>
          <w:sz w:val="24"/>
          <w:szCs w:val="24"/>
        </w:rPr>
        <w:t>o que se sientan las bases para la financiación necesaria una vez que la ley esté en vigor, asegurando así la viabilidad y la sostenibilidad a largo plazo del proyecto de ley.</w:t>
      </w: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 anterior, de conformidad con lo dispuesto en el artículo 7° de la Ley 819 de </w:t>
      </w:r>
      <w:r>
        <w:rPr>
          <w:rFonts w:ascii="Arial Narrow" w:eastAsia="Arial Narrow" w:hAnsi="Arial Narrow" w:cs="Arial Narrow"/>
          <w:sz w:val="24"/>
          <w:szCs w:val="24"/>
        </w:rPr>
        <w:t>2003, “Por la cual se dictan normas orgánicas en materia de presupuesto, responsabilidad y transparencia fiscal y se dictan otras disposiciones”, que determina que, todo proyecto de ley que ordene gasto público o contemple beneficios tributarios debe inclu</w:t>
      </w:r>
      <w:r>
        <w:rPr>
          <w:rFonts w:ascii="Arial Narrow" w:eastAsia="Arial Narrow" w:hAnsi="Arial Narrow" w:cs="Arial Narrow"/>
          <w:sz w:val="24"/>
          <w:szCs w:val="24"/>
        </w:rPr>
        <w:t>ir, en su exposición de motivos y ponencias, una estimación explícita del costo fiscal derivado de su implementación, garantizando su compatibilidad con el Marco Fiscal de Mediano Plazo y señalando la fuente de financiación correspondiente. En cumplimiento</w:t>
      </w:r>
      <w:r>
        <w:rPr>
          <w:rFonts w:ascii="Arial Narrow" w:eastAsia="Arial Narrow" w:hAnsi="Arial Narrow" w:cs="Arial Narrow"/>
          <w:sz w:val="24"/>
          <w:szCs w:val="24"/>
        </w:rPr>
        <w:t xml:space="preserve"> de esta disposición, se presenta a continuación el análisis del impacto fiscal asociado al presente proyecto de ley.</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precisa que los gastos derivados de la implementación de esta iniciativa no constituyen una imposición u obligación inmediata, sino una autorización para que el Gobierno Nacional incorpore, en la medida de su disponibilidad presupuestal y a través de lo</w:t>
      </w:r>
      <w:r>
        <w:rPr>
          <w:rFonts w:ascii="Arial Narrow" w:eastAsia="Arial Narrow" w:hAnsi="Arial Narrow" w:cs="Arial Narrow"/>
          <w:sz w:val="24"/>
          <w:szCs w:val="24"/>
        </w:rPr>
        <w:t>s mecanismos existentes como el Sistema Nacional de Cofinanciación, las apropiaciones requeridas en el Presupuesto General de la Nación.</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Cabe resaltar que la Corte Constitucional ha reconocido, a través de reiterada jurisprudencia, la facultad del Congres</w:t>
      </w:r>
      <w:r>
        <w:rPr>
          <w:rFonts w:ascii="Arial Narrow" w:eastAsia="Arial Narrow" w:hAnsi="Arial Narrow" w:cs="Arial Narrow"/>
          <w:sz w:val="24"/>
          <w:szCs w:val="24"/>
        </w:rPr>
        <w:t xml:space="preserve">o de la República para aprobar proyectos de ley que impliquen gasto público, siempre y cuando no se imponga su ejecución obligatoria, sino que se faculte al Gobierno para incluir las partidas presupuestales correspondientes. Así lo reiteró en la Sentencia </w:t>
      </w:r>
      <w:r>
        <w:rPr>
          <w:rFonts w:ascii="Arial Narrow" w:eastAsia="Arial Narrow" w:hAnsi="Arial Narrow" w:cs="Arial Narrow"/>
          <w:sz w:val="24"/>
          <w:szCs w:val="24"/>
        </w:rPr>
        <w:t>C-411 de 2009, en la cual se precisó que el análisis de impacto fiscal no constituye un requisito indispensable para el trámite legislativo, ni representa una barrera para el ejercicio legislativo, ni otorga al Ministerio de Hacienda y Crédito Público un p</w:t>
      </w:r>
      <w:r>
        <w:rPr>
          <w:rFonts w:ascii="Arial Narrow" w:eastAsia="Arial Narrow" w:hAnsi="Arial Narrow" w:cs="Arial Narrow"/>
          <w:sz w:val="24"/>
          <w:szCs w:val="24"/>
        </w:rPr>
        <w:t>oder de veto.</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 obstante, se reconoce que el Ministerio de Hacienda y Crédito Público, en virtud de su competencia técnica y económica, debe ilustrar al Congreso de la República sobre las consecuencias fiscales de la aprobación de la iniciativa, y efectu</w:t>
      </w:r>
      <w:r>
        <w:rPr>
          <w:rFonts w:ascii="Arial Narrow" w:eastAsia="Arial Narrow" w:hAnsi="Arial Narrow" w:cs="Arial Narrow"/>
          <w:sz w:val="24"/>
          <w:szCs w:val="24"/>
        </w:rPr>
        <w:t>ar el análisis correspondiente en los términos establecidos por la Ley 819 de 2003, garantizando así un ejercicio legislativo responsable y conforme a los principios de sostenibilidad fiscal.</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Por lo anterior, se concluye que el impacto fiscal de este proy</w:t>
      </w:r>
      <w:r>
        <w:rPr>
          <w:rFonts w:ascii="Arial Narrow" w:eastAsia="Arial Narrow" w:hAnsi="Arial Narrow" w:cs="Arial Narrow"/>
          <w:sz w:val="24"/>
          <w:szCs w:val="24"/>
        </w:rPr>
        <w:t xml:space="preserve">ecto de ley es moderado, progresivo y manejable dentro del Marco Fiscal de Mediano Plazo, considerando que su implementación podrá </w:t>
      </w:r>
      <w:r>
        <w:rPr>
          <w:rFonts w:ascii="Arial Narrow" w:eastAsia="Arial Narrow" w:hAnsi="Arial Narrow" w:cs="Arial Narrow"/>
          <w:sz w:val="24"/>
          <w:szCs w:val="24"/>
        </w:rPr>
        <w:lastRenderedPageBreak/>
        <w:t>realizarse de manera gradual mediante la reasignación de recursos disponibles en las entidades competentes, sin requerir incr</w:t>
      </w:r>
      <w:r>
        <w:rPr>
          <w:rFonts w:ascii="Arial Narrow" w:eastAsia="Arial Narrow" w:hAnsi="Arial Narrow" w:cs="Arial Narrow"/>
          <w:sz w:val="24"/>
          <w:szCs w:val="24"/>
        </w:rPr>
        <w:t xml:space="preserve">ementos significativos en el gasto público inmediato. </w:t>
      </w:r>
    </w:p>
    <w:p w:rsidR="005B18DA" w:rsidRDefault="005B18DA">
      <w:pPr>
        <w:spacing w:after="240"/>
        <w:jc w:val="both"/>
        <w:rPr>
          <w:rFonts w:ascii="Arial Narrow" w:eastAsia="Arial Narrow" w:hAnsi="Arial Narrow" w:cs="Arial Narrow"/>
          <w:color w:val="1B1C1D"/>
          <w:sz w:val="24"/>
          <w:szCs w:val="24"/>
        </w:rPr>
      </w:pPr>
    </w:p>
    <w:p w:rsidR="005B18DA" w:rsidRDefault="005B18DA">
      <w:pPr>
        <w:spacing w:after="240"/>
        <w:jc w:val="center"/>
        <w:rPr>
          <w:rFonts w:ascii="Arial Narrow" w:eastAsia="Arial Narrow" w:hAnsi="Arial Narrow" w:cs="Arial Narrow"/>
          <w:b/>
          <w:color w:val="1B1C1D"/>
          <w:sz w:val="24"/>
          <w:szCs w:val="24"/>
        </w:rPr>
      </w:pPr>
    </w:p>
    <w:p w:rsidR="005B18DA" w:rsidRDefault="009A4251">
      <w:pPr>
        <w:spacing w:after="24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Capítulo 5</w:t>
      </w:r>
    </w:p>
    <w:p w:rsidR="005B18DA" w:rsidRDefault="009A4251">
      <w:pPr>
        <w:spacing w:after="24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Estudio de conflictos de interés</w:t>
      </w: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artículo 291 de la Ley 5ª de 1992, modificada por la Ley 2003 de 2019, establece a los autores de proyectos de ley la obligación de presentar en la expo</w:t>
      </w:r>
      <w:r>
        <w:rPr>
          <w:rFonts w:ascii="Arial Narrow" w:eastAsia="Arial Narrow" w:hAnsi="Arial Narrow" w:cs="Arial Narrow"/>
          <w:sz w:val="24"/>
          <w:szCs w:val="24"/>
        </w:rPr>
        <w:t xml:space="preserve">sición de motivos un acápite que describa las circunstancias o eventos que podrían generar un conflicto de interés para la discusión y votación del proyecto con el fin de ser criterios guías para que los otros congresistas tomen una decisión en torno a si </w:t>
      </w:r>
      <w:r>
        <w:rPr>
          <w:rFonts w:ascii="Arial Narrow" w:eastAsia="Arial Narrow" w:hAnsi="Arial Narrow" w:cs="Arial Narrow"/>
          <w:sz w:val="24"/>
          <w:szCs w:val="24"/>
        </w:rPr>
        <w:t xml:space="preserve">se encuentran en una causal de impedimento, no obstante, otras causales que se puedan encontrar. </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Así las cosas, es preciso afirmar que no se configuran los beneficios particular, actual y directo de los que trata el artículo 286 de la Ley 5ª de 1992, mod</w:t>
      </w:r>
      <w:r>
        <w:rPr>
          <w:rFonts w:ascii="Arial Narrow" w:eastAsia="Arial Narrow" w:hAnsi="Arial Narrow" w:cs="Arial Narrow"/>
          <w:sz w:val="24"/>
          <w:szCs w:val="24"/>
        </w:rPr>
        <w:t>ificado por el artículo 1º de la Ley 2003, según los cuales se debe confirmar que i) la decisión pueda afectar de manera positiva mediante la asignación de un beneficio económico, privilegio, ganancia económica, ii) de manera directa al congresista de la R</w:t>
      </w:r>
      <w:r>
        <w:rPr>
          <w:rFonts w:ascii="Arial Narrow" w:eastAsia="Arial Narrow" w:hAnsi="Arial Narrow" w:cs="Arial Narrow"/>
          <w:sz w:val="24"/>
          <w:szCs w:val="24"/>
        </w:rPr>
        <w:t>epública, su cónyuge o compañera/o permanente o sus parientes hasta segundo grado de consanguinidad y afinidad o primero civil, iii) de manera actual y concreta al momento de la discusión y votación del proyecto, es decir, que no se trate de una ganancia f</w:t>
      </w:r>
      <w:r>
        <w:rPr>
          <w:rFonts w:ascii="Arial Narrow" w:eastAsia="Arial Narrow" w:hAnsi="Arial Narrow" w:cs="Arial Narrow"/>
          <w:sz w:val="24"/>
          <w:szCs w:val="24"/>
        </w:rPr>
        <w:t xml:space="preserve">utura o hipotética. </w:t>
      </w:r>
    </w:p>
    <w:p w:rsidR="005B18DA" w:rsidRDefault="005B18DA">
      <w:pPr>
        <w:spacing w:after="0" w:line="240" w:lineRule="auto"/>
        <w:jc w:val="both"/>
        <w:rPr>
          <w:rFonts w:ascii="Arial Narrow" w:eastAsia="Arial Narrow" w:hAnsi="Arial Narrow" w:cs="Arial Narrow"/>
          <w:sz w:val="24"/>
          <w:szCs w:val="24"/>
        </w:rPr>
      </w:pPr>
    </w:p>
    <w:p w:rsidR="005B18DA" w:rsidRDefault="009A4251">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este sentido, se precisa que este proyecto de ley, cuyo objeto es declarar la conmemoración del día nacional del </w:t>
      </w:r>
      <w:proofErr w:type="spellStart"/>
      <w:r>
        <w:rPr>
          <w:rFonts w:ascii="Arial Narrow" w:eastAsia="Arial Narrow" w:hAnsi="Arial Narrow" w:cs="Arial Narrow"/>
          <w:sz w:val="24"/>
          <w:szCs w:val="24"/>
        </w:rPr>
        <w:t>insilio</w:t>
      </w:r>
      <w:proofErr w:type="spellEnd"/>
      <w:r>
        <w:rPr>
          <w:rFonts w:ascii="Arial Narrow" w:eastAsia="Arial Narrow" w:hAnsi="Arial Narrow" w:cs="Arial Narrow"/>
          <w:sz w:val="24"/>
          <w:szCs w:val="24"/>
        </w:rPr>
        <w:t>, no configura para sus autores ningún beneficio particular, directo y actual, conforme a lo señalado en el art</w:t>
      </w:r>
      <w:r>
        <w:rPr>
          <w:rFonts w:ascii="Arial Narrow" w:eastAsia="Arial Narrow" w:hAnsi="Arial Narrow" w:cs="Arial Narrow"/>
          <w:sz w:val="24"/>
          <w:szCs w:val="24"/>
        </w:rPr>
        <w:t>ículo 286 de la Ley 5ª de 1992, modificado por la Ley 2003 de 2019. Se trata de una iniciativa de interés general, específicamente de la naturaleza de un proyecto de ley de honores, orientada a resaltar la ocurrencia de un fenómeno social que ha afectado a</w:t>
      </w:r>
      <w:r>
        <w:rPr>
          <w:rFonts w:ascii="Arial Narrow" w:eastAsia="Arial Narrow" w:hAnsi="Arial Narrow" w:cs="Arial Narrow"/>
          <w:sz w:val="24"/>
          <w:szCs w:val="24"/>
        </w:rPr>
        <w:t xml:space="preserve"> millones de víctimas del conflicto armado colombiano en el país y en el exterior, por tanto, no se presentan conflictos de interés para los autores de este proyecto de ley, ni se vislumbrar similares para los congresistas que intervendrán en el tránsito d</w:t>
      </w:r>
      <w:r>
        <w:rPr>
          <w:rFonts w:ascii="Arial Narrow" w:eastAsia="Arial Narrow" w:hAnsi="Arial Narrow" w:cs="Arial Narrow"/>
          <w:sz w:val="24"/>
          <w:szCs w:val="24"/>
        </w:rPr>
        <w:t>e sus debates.</w:t>
      </w:r>
    </w:p>
    <w:p w:rsidR="005B18DA" w:rsidRDefault="005B18DA">
      <w:pPr>
        <w:spacing w:after="0"/>
        <w:jc w:val="both"/>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b/>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Capítulo 6</w:t>
      </w: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Referencias bibliográficas</w:t>
      </w:r>
    </w:p>
    <w:p w:rsidR="005B18DA" w:rsidRDefault="005B18DA">
      <w:pPr>
        <w:spacing w:after="120"/>
        <w:rPr>
          <w:rFonts w:ascii="Arial Narrow" w:eastAsia="Arial Narrow" w:hAnsi="Arial Narrow" w:cs="Arial Narrow"/>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lastRenderedPageBreak/>
        <w:t>Se declaran como fundamento y fuente de este proyecto de ley:</w:t>
      </w:r>
    </w:p>
    <w:p w:rsidR="005B18DA" w:rsidRDefault="009A4251">
      <w:pPr>
        <w:numPr>
          <w:ilvl w:val="0"/>
          <w:numId w:val="1"/>
        </w:numPr>
        <w:spacing w:after="0"/>
        <w:rPr>
          <w:rFonts w:ascii="Arial Narrow" w:eastAsia="Arial Narrow" w:hAnsi="Arial Narrow" w:cs="Arial Narrow"/>
          <w:sz w:val="24"/>
          <w:szCs w:val="24"/>
        </w:rPr>
      </w:pPr>
      <w:hyperlink r:id="rId9">
        <w:r>
          <w:rPr>
            <w:rFonts w:ascii="Arial Narrow" w:eastAsia="Arial Narrow" w:hAnsi="Arial Narrow" w:cs="Arial Narrow"/>
            <w:color w:val="0000FF"/>
            <w:sz w:val="24"/>
            <w:szCs w:val="24"/>
            <w:u w:val="single"/>
          </w:rPr>
          <w:t xml:space="preserve">minjusticia.gov.co </w:t>
        </w:r>
      </w:hyperlink>
      <w:hyperlink r:id="rId10">
        <w:r>
          <w:t xml:space="preserve"> </w:t>
        </w:r>
      </w:hyperlink>
      <w:hyperlink r:id="rId11">
        <w:r>
          <w:rPr>
            <w:rFonts w:ascii="Arial Narrow" w:eastAsia="Arial Narrow" w:hAnsi="Arial Narrow" w:cs="Arial Narrow"/>
            <w:color w:val="0000FF"/>
            <w:sz w:val="24"/>
            <w:szCs w:val="24"/>
            <w:u w:val="single"/>
          </w:rPr>
          <w:t>Restitución de Tierras - Ministerio de Justicia y del Derecho</w:t>
        </w:r>
      </w:hyperlink>
      <w:r>
        <w:fldChar w:fldCharType="begin"/>
      </w:r>
      <w:r>
        <w:instrText xml:space="preserve"> HYPERLINK "https://www.funcionpublica.gov.co/eva/gestornormativo/norma.php?i=43043" </w:instrText>
      </w:r>
      <w:r>
        <w:fldChar w:fldCharType="separate"/>
      </w:r>
    </w:p>
    <w:p w:rsidR="005B18DA" w:rsidRDefault="005B18DA">
      <w:pPr>
        <w:spacing w:after="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r>
        <w:fldChar w:fldCharType="end"/>
      </w:r>
      <w:hyperlink r:id="rId12">
        <w:r>
          <w:rPr>
            <w:rFonts w:ascii="Arial Narrow" w:eastAsia="Arial Narrow" w:hAnsi="Arial Narrow" w:cs="Arial Narrow"/>
            <w:color w:val="1155CC"/>
            <w:sz w:val="24"/>
            <w:szCs w:val="24"/>
            <w:u w:val="single"/>
          </w:rPr>
          <w:t>funcionpublica.gov.co</w:t>
        </w:r>
      </w:hyperlink>
      <w:hyperlink r:id="rId13">
        <w:r>
          <w:rPr>
            <w:rFonts w:ascii="Arial Narrow" w:eastAsia="Arial Narrow" w:hAnsi="Arial Narrow" w:cs="Arial Narrow"/>
            <w:color w:val="0000FF"/>
            <w:sz w:val="24"/>
            <w:szCs w:val="24"/>
            <w:u w:val="single"/>
          </w:rPr>
          <w:t xml:space="preserve"> - Ley 1448 de 2011 - Gestor Normativo - Función Pública</w:t>
        </w:r>
      </w:hyperlink>
    </w:p>
    <w:p w:rsidR="005B18DA" w:rsidRDefault="005B18DA">
      <w:pPr>
        <w:spacing w:after="0"/>
        <w:ind w:left="720"/>
      </w:pPr>
    </w:p>
    <w:p w:rsidR="005B18DA" w:rsidRDefault="009A4251">
      <w:pPr>
        <w:numPr>
          <w:ilvl w:val="0"/>
          <w:numId w:val="1"/>
        </w:numPr>
        <w:spacing w:after="0"/>
        <w:rPr>
          <w:rFonts w:ascii="Arial Narrow" w:eastAsia="Arial Narrow" w:hAnsi="Arial Narrow" w:cs="Arial Narrow"/>
          <w:sz w:val="24"/>
          <w:szCs w:val="24"/>
        </w:rPr>
      </w:pPr>
      <w:hyperlink r:id="rId14">
        <w:r>
          <w:rPr>
            <w:rFonts w:ascii="Arial Narrow" w:eastAsia="Arial Narrow" w:hAnsi="Arial Narrow" w:cs="Arial Narrow"/>
            <w:color w:val="0000FF"/>
            <w:sz w:val="24"/>
            <w:szCs w:val="24"/>
            <w:u w:val="single"/>
          </w:rPr>
          <w:t>medicinalegal.gov.co - Aportes del Instituto Nacional de Medicina Legal y Ciencias …</w:t>
        </w:r>
      </w:hyperlink>
    </w:p>
    <w:p w:rsidR="005B18DA" w:rsidRDefault="005B18DA">
      <w:pPr>
        <w:spacing w:after="0"/>
        <w:ind w:left="720"/>
      </w:pPr>
    </w:p>
    <w:p w:rsidR="005B18DA" w:rsidRDefault="009A4251">
      <w:pPr>
        <w:numPr>
          <w:ilvl w:val="0"/>
          <w:numId w:val="1"/>
        </w:numPr>
        <w:spacing w:after="0"/>
        <w:rPr>
          <w:rFonts w:ascii="Arial Narrow" w:eastAsia="Arial Narrow" w:hAnsi="Arial Narrow" w:cs="Arial Narrow"/>
          <w:sz w:val="24"/>
          <w:szCs w:val="24"/>
        </w:rPr>
      </w:pPr>
      <w:hyperlink r:id="rId15">
        <w:r>
          <w:rPr>
            <w:rFonts w:ascii="Arial Narrow" w:eastAsia="Arial Narrow" w:hAnsi="Arial Narrow" w:cs="Arial Narrow"/>
            <w:color w:val="0000FF"/>
            <w:sz w:val="24"/>
            <w:szCs w:val="24"/>
            <w:u w:val="single"/>
          </w:rPr>
          <w:t>youtube.com - Así funciona el Sistema de Verdad, Justicia, Reparación y Garantías de No Repetición</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16">
        <w:r>
          <w:rPr>
            <w:rFonts w:ascii="Arial Narrow" w:eastAsia="Arial Narrow" w:hAnsi="Arial Narrow" w:cs="Arial Narrow"/>
            <w:color w:val="0000FF"/>
            <w:sz w:val="24"/>
            <w:szCs w:val="24"/>
            <w:u w:val="single"/>
          </w:rPr>
          <w:t xml:space="preserve">unodc.org - </w:t>
        </w:r>
        <w:proofErr w:type="spellStart"/>
        <w:r>
          <w:rPr>
            <w:rFonts w:ascii="Arial Narrow" w:eastAsia="Arial Narrow" w:hAnsi="Arial Narrow" w:cs="Arial Narrow"/>
            <w:color w:val="0000FF"/>
            <w:sz w:val="24"/>
            <w:szCs w:val="24"/>
            <w:u w:val="single"/>
          </w:rPr>
          <w:t>Counter-Terrorism</w:t>
        </w:r>
        <w:proofErr w:type="spellEnd"/>
        <w:r>
          <w:rPr>
            <w:rFonts w:ascii="Arial Narrow" w:eastAsia="Arial Narrow" w:hAnsi="Arial Narrow" w:cs="Arial Narrow"/>
            <w:color w:val="0000FF"/>
            <w:sz w:val="24"/>
            <w:szCs w:val="24"/>
            <w:u w:val="single"/>
          </w:rPr>
          <w:t xml:space="preserve"> Module 14 Key </w:t>
        </w:r>
        <w:proofErr w:type="spellStart"/>
        <w:r>
          <w:rPr>
            <w:rFonts w:ascii="Arial Narrow" w:eastAsia="Arial Narrow" w:hAnsi="Arial Narrow" w:cs="Arial Narrow"/>
            <w:color w:val="0000FF"/>
            <w:sz w:val="24"/>
            <w:szCs w:val="24"/>
            <w:u w:val="single"/>
          </w:rPr>
          <w:t>Issues</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Recognition</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Victim</w:t>
        </w:r>
        <w:proofErr w:type="spellEnd"/>
        <w:r>
          <w:rPr>
            <w:rFonts w:ascii="Arial Narrow" w:eastAsia="Arial Narrow" w:hAnsi="Arial Narrow" w:cs="Arial Narrow"/>
            <w:color w:val="0000FF"/>
            <w:sz w:val="24"/>
            <w:szCs w:val="24"/>
            <w:u w:val="single"/>
          </w:rPr>
          <w:t xml:space="preserve"> - </w:t>
        </w:r>
        <w:proofErr w:type="spellStart"/>
        <w:r>
          <w:rPr>
            <w:rFonts w:ascii="Arial Narrow" w:eastAsia="Arial Narrow" w:hAnsi="Arial Narrow" w:cs="Arial Narrow"/>
            <w:color w:val="0000FF"/>
            <w:sz w:val="24"/>
            <w:szCs w:val="24"/>
            <w:u w:val="single"/>
          </w:rPr>
          <w:t>Unodc</w:t>
        </w:r>
        <w:proofErr w:type="spellEnd"/>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17">
        <w:proofErr w:type="spellStart"/>
        <w:r>
          <w:rPr>
            <w:rFonts w:ascii="Arial Narrow" w:eastAsia="Arial Narrow" w:hAnsi="Arial Narrow" w:cs="Arial Narrow"/>
            <w:color w:val="0000FF"/>
            <w:sz w:val="24"/>
            <w:szCs w:val="24"/>
            <w:u w:val="single"/>
          </w:rPr>
          <w:t>Crime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Prev</w:t>
        </w:r>
        <w:r>
          <w:rPr>
            <w:rFonts w:ascii="Arial Narrow" w:eastAsia="Arial Narrow" w:hAnsi="Arial Narrow" w:cs="Arial Narrow"/>
            <w:color w:val="0000FF"/>
            <w:sz w:val="24"/>
            <w:szCs w:val="24"/>
            <w:u w:val="single"/>
          </w:rPr>
          <w:t>ention</w:t>
        </w:r>
        <w:proofErr w:type="spellEnd"/>
        <w:r>
          <w:rPr>
            <w:rFonts w:ascii="Arial Narrow" w:eastAsia="Arial Narrow" w:hAnsi="Arial Narrow" w:cs="Arial Narrow"/>
            <w:color w:val="0000FF"/>
            <w:sz w:val="24"/>
            <w:szCs w:val="24"/>
            <w:u w:val="single"/>
          </w:rPr>
          <w:t xml:space="preserve"> &amp; Criminal </w:t>
        </w:r>
        <w:proofErr w:type="spellStart"/>
        <w:r>
          <w:rPr>
            <w:rFonts w:ascii="Arial Narrow" w:eastAsia="Arial Narrow" w:hAnsi="Arial Narrow" w:cs="Arial Narrow"/>
            <w:color w:val="0000FF"/>
            <w:sz w:val="24"/>
            <w:szCs w:val="24"/>
            <w:u w:val="single"/>
          </w:rPr>
          <w:t>Justice</w:t>
        </w:r>
        <w:proofErr w:type="spellEnd"/>
        <w:r>
          <w:rPr>
            <w:rFonts w:ascii="Arial Narrow" w:eastAsia="Arial Narrow" w:hAnsi="Arial Narrow" w:cs="Arial Narrow"/>
            <w:color w:val="0000FF"/>
            <w:sz w:val="24"/>
            <w:szCs w:val="24"/>
            <w:u w:val="single"/>
          </w:rPr>
          <w:t xml:space="preserve"> Module 11 Key </w:t>
        </w:r>
        <w:proofErr w:type="spellStart"/>
        <w:r>
          <w:rPr>
            <w:rFonts w:ascii="Arial Narrow" w:eastAsia="Arial Narrow" w:hAnsi="Arial Narrow" w:cs="Arial Narrow"/>
            <w:color w:val="0000FF"/>
            <w:sz w:val="24"/>
            <w:szCs w:val="24"/>
            <w:u w:val="single"/>
          </w:rPr>
          <w:t>Issues</w:t>
        </w:r>
        <w:proofErr w:type="spellEnd"/>
        <w:r>
          <w:rPr>
            <w:rFonts w:ascii="Arial Narrow" w:eastAsia="Arial Narrow" w:hAnsi="Arial Narrow" w:cs="Arial Narrow"/>
            <w:color w:val="0000FF"/>
            <w:sz w:val="24"/>
            <w:szCs w:val="24"/>
            <w:u w:val="single"/>
          </w:rPr>
          <w:t xml:space="preserve">: 8. </w:t>
        </w:r>
        <w:proofErr w:type="spellStart"/>
        <w:r>
          <w:rPr>
            <w:rFonts w:ascii="Arial Narrow" w:eastAsia="Arial Narrow" w:hAnsi="Arial Narrow" w:cs="Arial Narrow"/>
            <w:color w:val="0000FF"/>
            <w:sz w:val="24"/>
            <w:szCs w:val="24"/>
            <w:u w:val="single"/>
          </w:rPr>
          <w:t>Victims</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crime</w:t>
        </w:r>
        <w:proofErr w:type="spellEnd"/>
        <w:r>
          <w:rPr>
            <w:rFonts w:ascii="Arial Narrow" w:eastAsia="Arial Narrow" w:hAnsi="Arial Narrow" w:cs="Arial Narrow"/>
            <w:color w:val="0000FF"/>
            <w:sz w:val="24"/>
            <w:szCs w:val="24"/>
            <w:u w:val="single"/>
          </w:rPr>
          <w:t xml:space="preserve"> and </w:t>
        </w:r>
        <w:proofErr w:type="spellStart"/>
        <w:r>
          <w:rPr>
            <w:rFonts w:ascii="Arial Narrow" w:eastAsia="Arial Narrow" w:hAnsi="Arial Narrow" w:cs="Arial Narrow"/>
            <w:color w:val="0000FF"/>
            <w:sz w:val="24"/>
            <w:szCs w:val="24"/>
            <w:u w:val="single"/>
          </w:rPr>
          <w:t>international</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law</w:t>
        </w:r>
        <w:proofErr w:type="spellEnd"/>
        <w:r>
          <w:rPr>
            <w:rFonts w:ascii="Arial Narrow" w:eastAsia="Arial Narrow" w:hAnsi="Arial Narrow" w:cs="Arial Narrow"/>
            <w:color w:val="0000FF"/>
            <w:sz w:val="24"/>
            <w:szCs w:val="24"/>
            <w:u w:val="single"/>
          </w:rPr>
          <w:t xml:space="preserve"> - </w:t>
        </w:r>
        <w:proofErr w:type="spellStart"/>
        <w:r>
          <w:rPr>
            <w:rFonts w:ascii="Arial Narrow" w:eastAsia="Arial Narrow" w:hAnsi="Arial Narrow" w:cs="Arial Narrow"/>
            <w:color w:val="0000FF"/>
            <w:sz w:val="24"/>
            <w:szCs w:val="24"/>
            <w:u w:val="single"/>
          </w:rPr>
          <w:t>Unodc</w:t>
        </w:r>
        <w:proofErr w:type="spellEnd"/>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18">
        <w:r>
          <w:rPr>
            <w:rFonts w:ascii="Arial Narrow" w:eastAsia="Arial Narrow" w:hAnsi="Arial Narrow" w:cs="Arial Narrow"/>
            <w:color w:val="0000FF"/>
            <w:sz w:val="24"/>
            <w:szCs w:val="24"/>
            <w:u w:val="single"/>
          </w:rPr>
          <w:t xml:space="preserve">emm.iom.int - </w:t>
        </w:r>
        <w:proofErr w:type="spellStart"/>
        <w:r>
          <w:rPr>
            <w:rFonts w:ascii="Arial Narrow" w:eastAsia="Arial Narrow" w:hAnsi="Arial Narrow" w:cs="Arial Narrow"/>
            <w:color w:val="0000FF"/>
            <w:sz w:val="24"/>
            <w:szCs w:val="24"/>
            <w:u w:val="single"/>
          </w:rPr>
          <w:t>Transitional</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justice</w:t>
        </w:r>
        <w:proofErr w:type="spellEnd"/>
        <w:r>
          <w:rPr>
            <w:rFonts w:ascii="Arial Narrow" w:eastAsia="Arial Narrow" w:hAnsi="Arial Narrow" w:cs="Arial Narrow"/>
            <w:color w:val="0000FF"/>
            <w:sz w:val="24"/>
            <w:szCs w:val="24"/>
            <w:u w:val="single"/>
          </w:rPr>
          <w:t xml:space="preserve"> | EMM2 - International </w:t>
        </w:r>
        <w:proofErr w:type="spellStart"/>
        <w:r>
          <w:rPr>
            <w:rFonts w:ascii="Arial Narrow" w:eastAsia="Arial Narrow" w:hAnsi="Arial Narrow" w:cs="Arial Narrow"/>
            <w:color w:val="0000FF"/>
            <w:sz w:val="24"/>
            <w:szCs w:val="24"/>
            <w:u w:val="single"/>
          </w:rPr>
          <w:t>Organi</w:t>
        </w:r>
        <w:r>
          <w:rPr>
            <w:rFonts w:ascii="Arial Narrow" w:eastAsia="Arial Narrow" w:hAnsi="Arial Narrow" w:cs="Arial Narrow"/>
            <w:color w:val="0000FF"/>
            <w:sz w:val="24"/>
            <w:szCs w:val="24"/>
            <w:u w:val="single"/>
          </w:rPr>
          <w:t>zation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for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Migration</w:t>
        </w:r>
        <w:proofErr w:type="spellEnd"/>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19">
        <w:r>
          <w:rPr>
            <w:rFonts w:ascii="Arial Narrow" w:eastAsia="Arial Narrow" w:hAnsi="Arial Narrow" w:cs="Arial Narrow"/>
            <w:color w:val="0000FF"/>
            <w:sz w:val="24"/>
            <w:szCs w:val="24"/>
            <w:u w:val="single"/>
          </w:rPr>
          <w:t xml:space="preserve">un.org - Universal </w:t>
        </w:r>
        <w:proofErr w:type="spellStart"/>
        <w:r>
          <w:rPr>
            <w:rFonts w:ascii="Arial Narrow" w:eastAsia="Arial Narrow" w:hAnsi="Arial Narrow" w:cs="Arial Narrow"/>
            <w:color w:val="0000FF"/>
            <w:sz w:val="24"/>
            <w:szCs w:val="24"/>
            <w:u w:val="single"/>
          </w:rPr>
          <w:t>Declaration</w:t>
        </w:r>
        <w:proofErr w:type="spellEnd"/>
        <w:r>
          <w:rPr>
            <w:rFonts w:ascii="Arial Narrow" w:eastAsia="Arial Narrow" w:hAnsi="Arial Narrow" w:cs="Arial Narrow"/>
            <w:color w:val="0000FF"/>
            <w:sz w:val="24"/>
            <w:szCs w:val="24"/>
            <w:u w:val="single"/>
          </w:rPr>
          <w:t xml:space="preserve"> of Human </w:t>
        </w:r>
        <w:proofErr w:type="spellStart"/>
        <w:r>
          <w:rPr>
            <w:rFonts w:ascii="Arial Narrow" w:eastAsia="Arial Narrow" w:hAnsi="Arial Narrow" w:cs="Arial Narrow"/>
            <w:color w:val="0000FF"/>
            <w:sz w:val="24"/>
            <w:szCs w:val="24"/>
            <w:u w:val="single"/>
          </w:rPr>
          <w:t>Rights</w:t>
        </w:r>
        <w:proofErr w:type="spellEnd"/>
        <w:r>
          <w:rPr>
            <w:rFonts w:ascii="Arial Narrow" w:eastAsia="Arial Narrow" w:hAnsi="Arial Narrow" w:cs="Arial Narrow"/>
            <w:color w:val="0000FF"/>
            <w:sz w:val="24"/>
            <w:szCs w:val="24"/>
            <w:u w:val="single"/>
          </w:rPr>
          <w:t xml:space="preserve"> - </w:t>
        </w:r>
        <w:proofErr w:type="spellStart"/>
        <w:r>
          <w:rPr>
            <w:rFonts w:ascii="Arial Narrow" w:eastAsia="Arial Narrow" w:hAnsi="Arial Narrow" w:cs="Arial Narrow"/>
            <w:color w:val="0000FF"/>
            <w:sz w:val="24"/>
            <w:szCs w:val="24"/>
            <w:u w:val="single"/>
          </w:rPr>
          <w:t>Welcome</w:t>
        </w:r>
        <w:proofErr w:type="spellEnd"/>
        <w:r>
          <w:rPr>
            <w:rFonts w:ascii="Arial Narrow" w:eastAsia="Arial Narrow" w:hAnsi="Arial Narrow" w:cs="Arial Narrow"/>
            <w:color w:val="0000FF"/>
            <w:sz w:val="24"/>
            <w:szCs w:val="24"/>
            <w:u w:val="single"/>
          </w:rPr>
          <w:t xml:space="preserve"> to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United</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Nations</w:t>
        </w:r>
        <w:proofErr w:type="spellEnd"/>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0">
        <w:r>
          <w:rPr>
            <w:rFonts w:ascii="Arial Narrow" w:eastAsia="Arial Narrow" w:hAnsi="Arial Narrow" w:cs="Arial Narrow"/>
            <w:color w:val="0000FF"/>
            <w:sz w:val="24"/>
            <w:szCs w:val="24"/>
            <w:u w:val="single"/>
          </w:rPr>
          <w:t xml:space="preserve">ihl-databases.icrc.org - DIH consuetudinario - Práctica relacionada con Norma 105 </w:t>
        </w:r>
        <w:proofErr w:type="spellStart"/>
        <w:r>
          <w:rPr>
            <w:rFonts w:ascii="Arial Narrow" w:eastAsia="Arial Narrow" w:hAnsi="Arial Narrow" w:cs="Arial Narrow"/>
            <w:color w:val="0000FF"/>
            <w:sz w:val="24"/>
            <w:szCs w:val="24"/>
            <w:u w:val="single"/>
          </w:rPr>
          <w:t>Respect</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for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Life</w:t>
        </w:r>
        <w:proofErr w:type="spellEnd"/>
        <w:r>
          <w:rPr>
            <w:rFonts w:ascii="Arial Narrow" w:eastAsia="Arial Narrow" w:hAnsi="Arial Narrow" w:cs="Arial Narrow"/>
            <w:color w:val="0000FF"/>
            <w:sz w:val="24"/>
            <w:szCs w:val="24"/>
            <w:u w:val="single"/>
          </w:rPr>
          <w:t xml:space="preserve"> - International </w:t>
        </w:r>
        <w:proofErr w:type="spellStart"/>
        <w:r>
          <w:rPr>
            <w:rFonts w:ascii="Arial Narrow" w:eastAsia="Arial Narrow" w:hAnsi="Arial Narrow" w:cs="Arial Narrow"/>
            <w:color w:val="0000FF"/>
            <w:sz w:val="24"/>
            <w:szCs w:val="24"/>
            <w:u w:val="single"/>
          </w:rPr>
          <w:t>Humanitarian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Law</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Databases</w:t>
        </w:r>
        <w:proofErr w:type="spellEnd"/>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1">
        <w:r>
          <w:rPr>
            <w:rFonts w:ascii="Arial Narrow" w:eastAsia="Arial Narrow" w:hAnsi="Arial Narrow" w:cs="Arial Narrow"/>
            <w:color w:val="0000FF"/>
            <w:sz w:val="24"/>
            <w:szCs w:val="24"/>
            <w:u w:val="single"/>
          </w:rPr>
          <w:t xml:space="preserve">ohchr.org - </w:t>
        </w:r>
        <w:proofErr w:type="spellStart"/>
        <w:r>
          <w:rPr>
            <w:rFonts w:ascii="Arial Narrow" w:eastAsia="Arial Narrow" w:hAnsi="Arial Narrow" w:cs="Arial Narrow"/>
            <w:color w:val="0000FF"/>
            <w:sz w:val="24"/>
            <w:szCs w:val="24"/>
            <w:u w:val="single"/>
          </w:rPr>
          <w:t>Convention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Rights</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Child</w:t>
        </w:r>
        <w:proofErr w:type="spellEnd"/>
        <w:r>
          <w:rPr>
            <w:rFonts w:ascii="Arial Narrow" w:eastAsia="Arial Narrow" w:hAnsi="Arial Narrow" w:cs="Arial Narrow"/>
            <w:color w:val="0000FF"/>
            <w:sz w:val="24"/>
            <w:szCs w:val="24"/>
            <w:u w:val="single"/>
          </w:rPr>
          <w:t xml:space="preserve"> | OHCHR</w:t>
        </w:r>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22">
        <w:r>
          <w:rPr>
            <w:rFonts w:ascii="Arial Narrow" w:eastAsia="Arial Narrow" w:hAnsi="Arial Narrow" w:cs="Arial Narrow"/>
            <w:color w:val="0000FF"/>
            <w:sz w:val="24"/>
            <w:szCs w:val="24"/>
            <w:u w:val="single"/>
          </w:rPr>
          <w:t xml:space="preserve">ihl-databases.icrc.org - DIH consuetudinario - Práctica relacionada con Norma 105 </w:t>
        </w:r>
        <w:proofErr w:type="spellStart"/>
        <w:r>
          <w:rPr>
            <w:rFonts w:ascii="Arial Narrow" w:eastAsia="Arial Narrow" w:hAnsi="Arial Narrow" w:cs="Arial Narrow"/>
            <w:color w:val="0000FF"/>
            <w:sz w:val="24"/>
            <w:szCs w:val="24"/>
            <w:u w:val="single"/>
          </w:rPr>
          <w:t>Respect</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for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Life</w:t>
        </w:r>
        <w:proofErr w:type="spellEnd"/>
        <w:r>
          <w:rPr>
            <w:rFonts w:ascii="Arial Narrow" w:eastAsia="Arial Narrow" w:hAnsi="Arial Narrow" w:cs="Arial Narrow"/>
            <w:color w:val="0000FF"/>
            <w:sz w:val="24"/>
            <w:szCs w:val="24"/>
            <w:u w:val="single"/>
          </w:rPr>
          <w:t xml:space="preserve"> - In</w:t>
        </w:r>
        <w:r>
          <w:rPr>
            <w:rFonts w:ascii="Arial Narrow" w:eastAsia="Arial Narrow" w:hAnsi="Arial Narrow" w:cs="Arial Narrow"/>
            <w:color w:val="0000FF"/>
            <w:sz w:val="24"/>
            <w:szCs w:val="24"/>
            <w:u w:val="single"/>
          </w:rPr>
          <w:t xml:space="preserve">ternational </w:t>
        </w:r>
        <w:proofErr w:type="spellStart"/>
        <w:r>
          <w:rPr>
            <w:rFonts w:ascii="Arial Narrow" w:eastAsia="Arial Narrow" w:hAnsi="Arial Narrow" w:cs="Arial Narrow"/>
            <w:color w:val="0000FF"/>
            <w:sz w:val="24"/>
            <w:szCs w:val="24"/>
            <w:u w:val="single"/>
          </w:rPr>
          <w:t>Humanitarian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Law</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Databases</w:t>
        </w:r>
        <w:proofErr w:type="spellEnd"/>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23">
        <w:r>
          <w:rPr>
            <w:rFonts w:ascii="Arial Narrow" w:eastAsia="Arial Narrow" w:hAnsi="Arial Narrow" w:cs="Arial Narrow"/>
            <w:color w:val="0000FF"/>
            <w:sz w:val="24"/>
            <w:szCs w:val="24"/>
            <w:u w:val="single"/>
          </w:rPr>
          <w:t>comisiondelaverdad.co - Colombia fuera de Colombia | Informe Final Comisión de la Verdad</w:t>
        </w:r>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24">
        <w:r>
          <w:rPr>
            <w:rFonts w:ascii="Arial Narrow" w:eastAsia="Arial Narrow" w:hAnsi="Arial Narrow" w:cs="Arial Narrow"/>
            <w:color w:val="0000FF"/>
            <w:sz w:val="24"/>
            <w:szCs w:val="24"/>
            <w:u w:val="single"/>
          </w:rPr>
          <w:t>cjlibertad.org  - Informe Final CEV - Capítulo La Colombia fuera de Colombia Las verdades del exilio</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5">
        <w:r>
          <w:rPr>
            <w:rFonts w:ascii="Arial Narrow" w:eastAsia="Arial Narrow" w:hAnsi="Arial Narrow" w:cs="Arial Narrow"/>
            <w:color w:val="0000FF"/>
            <w:sz w:val="24"/>
            <w:szCs w:val="24"/>
            <w:u w:val="single"/>
          </w:rPr>
          <w:t xml:space="preserve">researchgate.net - (PDF) El informe del exilio colombiano para la Comisión de Esclarecimiento de la Verdad: innovadora experiencia transnacional de construcción de </w:t>
        </w:r>
        <w:r>
          <w:rPr>
            <w:rFonts w:ascii="Arial Narrow" w:eastAsia="Arial Narrow" w:hAnsi="Arial Narrow" w:cs="Arial Narrow"/>
            <w:color w:val="0000FF"/>
            <w:sz w:val="24"/>
            <w:szCs w:val="24"/>
            <w:u w:val="single"/>
          </w:rPr>
          <w:lastRenderedPageBreak/>
          <w:t xml:space="preserve">memoria y lucha por la verdad en contexto de pandemia.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Colombian</w:t>
        </w:r>
        <w:proofErr w:type="spellEnd"/>
        <w:r>
          <w:rPr>
            <w:rFonts w:ascii="Arial Narrow" w:eastAsia="Arial Narrow" w:hAnsi="Arial Narrow" w:cs="Arial Narrow"/>
            <w:color w:val="0000FF"/>
            <w:sz w:val="24"/>
            <w:szCs w:val="24"/>
            <w:u w:val="single"/>
          </w:rPr>
          <w:t xml:space="preserve"> Exile </w:t>
        </w:r>
        <w:proofErr w:type="spellStart"/>
        <w:r>
          <w:rPr>
            <w:rFonts w:ascii="Arial Narrow" w:eastAsia="Arial Narrow" w:hAnsi="Arial Narrow" w:cs="Arial Narrow"/>
            <w:color w:val="0000FF"/>
            <w:sz w:val="24"/>
            <w:szCs w:val="24"/>
            <w:u w:val="single"/>
          </w:rPr>
          <w:t>Repo</w:t>
        </w:r>
        <w:r>
          <w:rPr>
            <w:rFonts w:ascii="Arial Narrow" w:eastAsia="Arial Narrow" w:hAnsi="Arial Narrow" w:cs="Arial Narrow"/>
            <w:color w:val="0000FF"/>
            <w:sz w:val="24"/>
            <w:szCs w:val="24"/>
            <w:u w:val="single"/>
          </w:rPr>
          <w:t>rt</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for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Commission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for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Clarification</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Truth</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An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Innovative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Transnational</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Experience</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Memory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Construction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within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context</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Pandemic</w:t>
        </w:r>
        <w:proofErr w:type="spellEnd"/>
        <w:r>
          <w:rPr>
            <w:rFonts w:ascii="Arial Narrow" w:eastAsia="Arial Narrow" w:hAnsi="Arial Narrow" w:cs="Arial Narrow"/>
            <w:color w:val="0000FF"/>
            <w:sz w:val="24"/>
            <w:szCs w:val="24"/>
            <w:u w:val="single"/>
          </w:rPr>
          <w:t xml:space="preserve">. - </w:t>
        </w:r>
        <w:proofErr w:type="spellStart"/>
        <w:r>
          <w:rPr>
            <w:rFonts w:ascii="Arial Narrow" w:eastAsia="Arial Narrow" w:hAnsi="Arial Narrow" w:cs="Arial Narrow"/>
            <w:color w:val="0000FF"/>
            <w:sz w:val="24"/>
            <w:szCs w:val="24"/>
            <w:u w:val="single"/>
          </w:rPr>
          <w:t>ResearchGate</w:t>
        </w:r>
        <w:proofErr w:type="spellEnd"/>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26">
        <w:r>
          <w:rPr>
            <w:rFonts w:ascii="Arial Narrow" w:eastAsia="Arial Narrow" w:hAnsi="Arial Narrow" w:cs="Arial Narrow"/>
            <w:color w:val="0000FF"/>
            <w:sz w:val="24"/>
            <w:szCs w:val="24"/>
            <w:u w:val="single"/>
          </w:rPr>
          <w:t>comision</w:t>
        </w:r>
        <w:r>
          <w:rPr>
            <w:rFonts w:ascii="Arial Narrow" w:eastAsia="Arial Narrow" w:hAnsi="Arial Narrow" w:cs="Arial Narrow"/>
            <w:color w:val="0000FF"/>
            <w:sz w:val="24"/>
            <w:szCs w:val="24"/>
            <w:u w:val="single"/>
          </w:rPr>
          <w:t>delaverdad.co - Colombia fuera de Colombia | Informe Final Comisión de la Verdad</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7">
        <w:r>
          <w:rPr>
            <w:rFonts w:ascii="Arial Narrow" w:eastAsia="Arial Narrow" w:hAnsi="Arial Narrow" w:cs="Arial Narrow"/>
            <w:color w:val="0000FF"/>
            <w:sz w:val="24"/>
            <w:szCs w:val="24"/>
            <w:u w:val="single"/>
          </w:rPr>
          <w:t>cjlibertad.org - Informe Final CEV - Capítulo La C</w:t>
        </w:r>
        <w:r>
          <w:rPr>
            <w:rFonts w:ascii="Arial Narrow" w:eastAsia="Arial Narrow" w:hAnsi="Arial Narrow" w:cs="Arial Narrow"/>
            <w:color w:val="0000FF"/>
            <w:sz w:val="24"/>
            <w:szCs w:val="24"/>
            <w:u w:val="single"/>
          </w:rPr>
          <w:t>olombia fuera de Colombia Las verdades del exilio</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8">
        <w:r>
          <w:rPr>
            <w:rFonts w:ascii="Arial Narrow" w:eastAsia="Arial Narrow" w:hAnsi="Arial Narrow" w:cs="Arial Narrow"/>
            <w:color w:val="0000FF"/>
            <w:sz w:val="24"/>
            <w:szCs w:val="24"/>
            <w:u w:val="single"/>
          </w:rPr>
          <w:t>cjlibertad.org - Informe Final CEV - Capítulo La Colombia fuera de Colombia Las v</w:t>
        </w:r>
        <w:r>
          <w:rPr>
            <w:rFonts w:ascii="Arial Narrow" w:eastAsia="Arial Narrow" w:hAnsi="Arial Narrow" w:cs="Arial Narrow"/>
            <w:color w:val="0000FF"/>
            <w:sz w:val="24"/>
            <w:szCs w:val="24"/>
            <w:u w:val="single"/>
          </w:rPr>
          <w:t>erdades del exilio</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29">
        <w:r>
          <w:rPr>
            <w:rFonts w:ascii="Arial Narrow" w:eastAsia="Arial Narrow" w:hAnsi="Arial Narrow" w:cs="Arial Narrow"/>
            <w:color w:val="0000FF"/>
            <w:sz w:val="24"/>
            <w:szCs w:val="24"/>
            <w:u w:val="single"/>
          </w:rPr>
          <w:t>comisiondelaverdad.co - Recomendaciones IF | Informe Final Comisión de la Verdad</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0">
        <w:r>
          <w:rPr>
            <w:rFonts w:ascii="Arial Narrow" w:eastAsia="Arial Narrow" w:hAnsi="Arial Narrow" w:cs="Arial Narrow"/>
            <w:color w:val="0000FF"/>
            <w:sz w:val="24"/>
            <w:szCs w:val="24"/>
            <w:u w:val="single"/>
          </w:rPr>
          <w:t>pmc.ncbi.nlm.nih.gov - UNDERSTANDING THE MENTAL HEALTH CONSEQUENCES OF FAMILY SEPARATION FOR REFUGEES: IMPLICATIONS FOR POLICY AND PRACTICE - PMC</w:t>
        </w:r>
      </w:hyperlink>
    </w:p>
    <w:p w:rsidR="005B18DA" w:rsidRDefault="005B18DA">
      <w:pPr>
        <w:spacing w:after="0"/>
        <w:ind w:left="720"/>
      </w:pPr>
    </w:p>
    <w:p w:rsidR="005B18DA" w:rsidRDefault="009A4251">
      <w:pPr>
        <w:numPr>
          <w:ilvl w:val="0"/>
          <w:numId w:val="1"/>
        </w:numPr>
        <w:spacing w:after="0"/>
        <w:rPr>
          <w:rFonts w:ascii="Arial Narrow" w:eastAsia="Arial Narrow" w:hAnsi="Arial Narrow" w:cs="Arial Narrow"/>
          <w:sz w:val="24"/>
          <w:szCs w:val="24"/>
        </w:rPr>
      </w:pPr>
      <w:hyperlink r:id="rId31">
        <w:r>
          <w:rPr>
            <w:rFonts w:ascii="Arial Narrow" w:eastAsia="Arial Narrow" w:hAnsi="Arial Narrow" w:cs="Arial Narrow"/>
            <w:color w:val="0000FF"/>
            <w:sz w:val="24"/>
            <w:szCs w:val="24"/>
            <w:u w:val="single"/>
          </w:rPr>
          <w:t xml:space="preserve">pmc.ncbi.nlm.nih.gov - </w:t>
        </w:r>
        <w:proofErr w:type="spellStart"/>
        <w:r>
          <w:rPr>
            <w:rFonts w:ascii="Arial Narrow" w:eastAsia="Arial Narrow" w:hAnsi="Arial Narrow" w:cs="Arial Narrow"/>
            <w:color w:val="0000FF"/>
            <w:sz w:val="24"/>
            <w:szCs w:val="24"/>
            <w:u w:val="single"/>
          </w:rPr>
          <w:t>F</w:t>
        </w:r>
        <w:r>
          <w:rPr>
            <w:rFonts w:ascii="Arial Narrow" w:eastAsia="Arial Narrow" w:hAnsi="Arial Narrow" w:cs="Arial Narrow"/>
            <w:color w:val="0000FF"/>
            <w:sz w:val="24"/>
            <w:szCs w:val="24"/>
            <w:u w:val="single"/>
          </w:rPr>
          <w:t>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life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under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strain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impact</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forced</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migration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refugee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parenting</w:t>
        </w:r>
        <w:proofErr w:type="spellEnd"/>
        <w:r>
          <w:rPr>
            <w:rFonts w:ascii="Arial Narrow" w:eastAsia="Arial Narrow" w:hAnsi="Arial Narrow" w:cs="Arial Narrow"/>
            <w:color w:val="0000FF"/>
            <w:sz w:val="24"/>
            <w:szCs w:val="24"/>
            <w:u w:val="single"/>
          </w:rPr>
          <w:t xml:space="preserve"> in </w:t>
        </w:r>
        <w:proofErr w:type="spellStart"/>
        <w:r>
          <w:rPr>
            <w:rFonts w:ascii="Arial Narrow" w:eastAsia="Arial Narrow" w:hAnsi="Arial Narrow" w:cs="Arial Narrow"/>
            <w:color w:val="0000FF"/>
            <w:sz w:val="24"/>
            <w:szCs w:val="24"/>
            <w:u w:val="single"/>
          </w:rPr>
          <w:t>reception</w:t>
        </w:r>
        <w:proofErr w:type="spellEnd"/>
        <w:r>
          <w:rPr>
            <w:rFonts w:ascii="Arial Narrow" w:eastAsia="Arial Narrow" w:hAnsi="Arial Narrow" w:cs="Arial Narrow"/>
            <w:color w:val="0000FF"/>
            <w:sz w:val="24"/>
            <w:szCs w:val="24"/>
            <w:u w:val="single"/>
          </w:rPr>
          <w:t xml:space="preserve"> centers - PMC - </w:t>
        </w:r>
        <w:proofErr w:type="spellStart"/>
        <w:r>
          <w:rPr>
            <w:rFonts w:ascii="Arial Narrow" w:eastAsia="Arial Narrow" w:hAnsi="Arial Narrow" w:cs="Arial Narrow"/>
            <w:color w:val="0000FF"/>
            <w:sz w:val="24"/>
            <w:szCs w:val="24"/>
            <w:u w:val="single"/>
          </w:rPr>
          <w:t>PubMed</w:t>
        </w:r>
        <w:proofErr w:type="spellEnd"/>
        <w:r>
          <w:rPr>
            <w:rFonts w:ascii="Arial Narrow" w:eastAsia="Arial Narrow" w:hAnsi="Arial Narrow" w:cs="Arial Narrow"/>
            <w:color w:val="0000FF"/>
            <w:sz w:val="24"/>
            <w:szCs w:val="24"/>
            <w:u w:val="single"/>
          </w:rPr>
          <w:t xml:space="preserve"> Central</w:t>
        </w:r>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32">
        <w:r>
          <w:rPr>
            <w:rFonts w:ascii="Arial Narrow" w:eastAsia="Arial Narrow" w:hAnsi="Arial Narrow" w:cs="Arial Narrow"/>
            <w:color w:val="0000FF"/>
            <w:sz w:val="24"/>
            <w:szCs w:val="24"/>
            <w:u w:val="single"/>
          </w:rPr>
          <w:t xml:space="preserve">pmc.ncbi.nlm.nih.gov - </w:t>
        </w:r>
        <w:proofErr w:type="spellStart"/>
        <w:r>
          <w:rPr>
            <w:rFonts w:ascii="Arial Narrow" w:eastAsia="Arial Narrow" w:hAnsi="Arial Narrow" w:cs="Arial Narrow"/>
            <w:color w:val="0000FF"/>
            <w:sz w:val="24"/>
            <w:szCs w:val="24"/>
            <w:u w:val="single"/>
          </w:rPr>
          <w:t>Family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life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under</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strain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impact</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f</w:t>
        </w:r>
        <w:r>
          <w:rPr>
            <w:rFonts w:ascii="Arial Narrow" w:eastAsia="Arial Narrow" w:hAnsi="Arial Narrow" w:cs="Arial Narrow"/>
            <w:color w:val="0000FF"/>
            <w:sz w:val="24"/>
            <w:szCs w:val="24"/>
            <w:u w:val="single"/>
          </w:rPr>
          <w:t>orced</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migration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refugee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parenting</w:t>
        </w:r>
        <w:proofErr w:type="spellEnd"/>
        <w:r>
          <w:rPr>
            <w:rFonts w:ascii="Arial Narrow" w:eastAsia="Arial Narrow" w:hAnsi="Arial Narrow" w:cs="Arial Narrow"/>
            <w:color w:val="0000FF"/>
            <w:sz w:val="24"/>
            <w:szCs w:val="24"/>
            <w:u w:val="single"/>
          </w:rPr>
          <w:t xml:space="preserve"> in </w:t>
        </w:r>
        <w:proofErr w:type="spellStart"/>
        <w:r>
          <w:rPr>
            <w:rFonts w:ascii="Arial Narrow" w:eastAsia="Arial Narrow" w:hAnsi="Arial Narrow" w:cs="Arial Narrow"/>
            <w:color w:val="0000FF"/>
            <w:sz w:val="24"/>
            <w:szCs w:val="24"/>
            <w:u w:val="single"/>
          </w:rPr>
          <w:t>reception</w:t>
        </w:r>
        <w:proofErr w:type="spellEnd"/>
        <w:r>
          <w:rPr>
            <w:rFonts w:ascii="Arial Narrow" w:eastAsia="Arial Narrow" w:hAnsi="Arial Narrow" w:cs="Arial Narrow"/>
            <w:color w:val="0000FF"/>
            <w:sz w:val="24"/>
            <w:szCs w:val="24"/>
            <w:u w:val="single"/>
          </w:rPr>
          <w:t xml:space="preserve"> centers - PMC - </w:t>
        </w:r>
        <w:proofErr w:type="spellStart"/>
        <w:r>
          <w:rPr>
            <w:rFonts w:ascii="Arial Narrow" w:eastAsia="Arial Narrow" w:hAnsi="Arial Narrow" w:cs="Arial Narrow"/>
            <w:color w:val="0000FF"/>
            <w:sz w:val="24"/>
            <w:szCs w:val="24"/>
            <w:u w:val="single"/>
          </w:rPr>
          <w:t>PubMed</w:t>
        </w:r>
        <w:proofErr w:type="spellEnd"/>
        <w:r>
          <w:rPr>
            <w:rFonts w:ascii="Arial Narrow" w:eastAsia="Arial Narrow" w:hAnsi="Arial Narrow" w:cs="Arial Narrow"/>
            <w:color w:val="0000FF"/>
            <w:sz w:val="24"/>
            <w:szCs w:val="24"/>
            <w:u w:val="single"/>
          </w:rPr>
          <w:t xml:space="preserve"> Central</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3">
        <w:r>
          <w:rPr>
            <w:rFonts w:ascii="Arial Narrow" w:eastAsia="Arial Narrow" w:hAnsi="Arial Narrow" w:cs="Arial Narrow"/>
            <w:color w:val="0000FF"/>
            <w:sz w:val="24"/>
            <w:szCs w:val="24"/>
            <w:u w:val="single"/>
          </w:rPr>
          <w:t xml:space="preserve">aifs.gov.au -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effect</w:t>
        </w:r>
        <w:proofErr w:type="spellEnd"/>
        <w:r>
          <w:rPr>
            <w:rFonts w:ascii="Arial Narrow" w:eastAsia="Arial Narrow" w:hAnsi="Arial Narrow" w:cs="Arial Narrow"/>
            <w:color w:val="0000FF"/>
            <w:sz w:val="24"/>
            <w:szCs w:val="24"/>
            <w:u w:val="single"/>
          </w:rPr>
          <w:t xml:space="preserve"> of </w:t>
        </w:r>
        <w:proofErr w:type="spellStart"/>
        <w:r>
          <w:rPr>
            <w:rFonts w:ascii="Arial Narrow" w:eastAsia="Arial Narrow" w:hAnsi="Arial Narrow" w:cs="Arial Narrow"/>
            <w:color w:val="0000FF"/>
            <w:sz w:val="24"/>
            <w:szCs w:val="24"/>
            <w:u w:val="single"/>
          </w:rPr>
          <w:t>family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violence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on</w:t>
        </w:r>
        <w:proofErr w:type="spellEnd"/>
        <w:r>
          <w:rPr>
            <w:rFonts w:ascii="Arial Narrow" w:eastAsia="Arial Narrow" w:hAnsi="Arial Narrow" w:cs="Arial Narrow"/>
            <w:color w:val="0000FF"/>
            <w:sz w:val="24"/>
            <w:szCs w:val="24"/>
            <w:u w:val="single"/>
          </w:rPr>
          <w:t xml:space="preserve"> post-</w:t>
        </w:r>
        <w:proofErr w:type="spellStart"/>
        <w:r>
          <w:rPr>
            <w:rFonts w:ascii="Arial Narrow" w:eastAsia="Arial Narrow" w:hAnsi="Arial Narrow" w:cs="Arial Narrow"/>
            <w:color w:val="0000FF"/>
            <w:sz w:val="24"/>
            <w:szCs w:val="24"/>
            <w:u w:val="single"/>
          </w:rPr>
          <w:t>separation</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parenting</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arrangements</w:t>
        </w:r>
        <w:proofErr w:type="spellEnd"/>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4">
        <w:r>
          <w:rPr>
            <w:rFonts w:ascii="Arial Narrow" w:eastAsia="Arial Narrow" w:hAnsi="Arial Narrow" w:cs="Arial Narrow"/>
            <w:color w:val="0000FF"/>
            <w:sz w:val="24"/>
            <w:szCs w:val="24"/>
            <w:u w:val="single"/>
          </w:rPr>
          <w:t xml:space="preserve">merelfamilylaw.com - </w:t>
        </w:r>
        <w:proofErr w:type="spellStart"/>
        <w:r>
          <w:rPr>
            <w:rFonts w:ascii="Arial Narrow" w:eastAsia="Arial Narrow" w:hAnsi="Arial Narrow" w:cs="Arial Narrow"/>
            <w:color w:val="0000FF"/>
            <w:sz w:val="24"/>
            <w:szCs w:val="24"/>
            <w:u w:val="single"/>
          </w:rPr>
          <w:t>Highlighting</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the</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Truth</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About</w:t>
        </w:r>
        <w:proofErr w:type="spellEnd"/>
        <w:r>
          <w:rPr>
            <w:rFonts w:ascii="Arial Narrow" w:eastAsia="Arial Narrow" w:hAnsi="Arial Narrow" w:cs="Arial Narrow"/>
            <w:color w:val="0000FF"/>
            <w:sz w:val="24"/>
            <w:szCs w:val="24"/>
            <w:u w:val="single"/>
          </w:rPr>
          <w:t xml:space="preserve"> Post-</w:t>
        </w:r>
        <w:proofErr w:type="spellStart"/>
        <w:r>
          <w:rPr>
            <w:rFonts w:ascii="Arial Narrow" w:eastAsia="Arial Narrow" w:hAnsi="Arial Narrow" w:cs="Arial Narrow"/>
            <w:color w:val="0000FF"/>
            <w:sz w:val="24"/>
            <w:szCs w:val="24"/>
            <w:u w:val="single"/>
          </w:rPr>
          <w:t>separation</w:t>
        </w:r>
        <w:proofErr w:type="spellEnd"/>
        <w:r>
          <w:rPr>
            <w:rFonts w:ascii="Arial Narrow" w:eastAsia="Arial Narrow" w:hAnsi="Arial Narrow" w:cs="Arial Narrow"/>
            <w:color w:val="0000FF"/>
            <w:sz w:val="24"/>
            <w:szCs w:val="24"/>
            <w:u w:val="single"/>
          </w:rPr>
          <w:t xml:space="preserve"> Abuse - </w:t>
        </w:r>
        <w:proofErr w:type="spellStart"/>
        <w:r>
          <w:rPr>
            <w:rFonts w:ascii="Arial Narrow" w:eastAsia="Arial Narrow" w:hAnsi="Arial Narrow" w:cs="Arial Narrow"/>
            <w:color w:val="0000FF"/>
            <w:sz w:val="24"/>
            <w:szCs w:val="24"/>
            <w:u w:val="single"/>
          </w:rPr>
          <w:t>Merel</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Family</w:t>
        </w:r>
        <w:proofErr w:type="spellEnd"/>
        <w:r>
          <w:rPr>
            <w:rFonts w:ascii="Arial Narrow" w:eastAsia="Arial Narrow" w:hAnsi="Arial Narrow" w:cs="Arial Narrow"/>
            <w:color w:val="0000FF"/>
            <w:sz w:val="24"/>
            <w:szCs w:val="24"/>
            <w:u w:val="single"/>
          </w:rPr>
          <w:t xml:space="preserve"> </w:t>
        </w:r>
        <w:proofErr w:type="spellStart"/>
        <w:r>
          <w:rPr>
            <w:rFonts w:ascii="Arial Narrow" w:eastAsia="Arial Narrow" w:hAnsi="Arial Narrow" w:cs="Arial Narrow"/>
            <w:color w:val="0000FF"/>
            <w:sz w:val="24"/>
            <w:szCs w:val="24"/>
            <w:u w:val="single"/>
          </w:rPr>
          <w:t>Law</w:t>
        </w:r>
        <w:proofErr w:type="spellEnd"/>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5">
        <w:r>
          <w:rPr>
            <w:rFonts w:ascii="Arial Narrow" w:eastAsia="Arial Narrow" w:hAnsi="Arial Narrow" w:cs="Arial Narrow"/>
            <w:color w:val="0000FF"/>
            <w:sz w:val="24"/>
            <w:szCs w:val="24"/>
            <w:u w:val="single"/>
          </w:rPr>
          <w:t>pmc.ncbi.nlm.nih.gov - UNDERSTANDING THE MENTAL HEALTH CONSEQUENCES OF FAMILY SEPARATION FOR REFUGEES: IMPLICATIONS FOR POLICY AND PRACTICE - PMC</w:t>
        </w:r>
      </w:hyperlink>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6">
        <w:r>
          <w:rPr>
            <w:rFonts w:ascii="Arial Narrow" w:eastAsia="Arial Narrow" w:hAnsi="Arial Narrow" w:cs="Arial Narrow"/>
            <w:color w:val="0000FF"/>
            <w:sz w:val="24"/>
            <w:szCs w:val="24"/>
            <w:u w:val="single"/>
          </w:rPr>
          <w:t>centrodememoriahistorica.gov.co - La memoria como brújula del futuro PLAN ESTRATÉGICO 2023 …</w:t>
        </w:r>
      </w:hyperlink>
    </w:p>
    <w:p w:rsidR="005B18DA" w:rsidRDefault="005B18DA">
      <w:pPr>
        <w:spacing w:after="0"/>
        <w:ind w:left="720"/>
        <w:rPr>
          <w:rFonts w:ascii="Arial Narrow" w:eastAsia="Arial Narrow" w:hAnsi="Arial Narrow" w:cs="Arial Narrow"/>
          <w:color w:val="0000FF"/>
          <w:sz w:val="24"/>
          <w:szCs w:val="24"/>
          <w:u w:val="single"/>
        </w:rPr>
      </w:pPr>
    </w:p>
    <w:p w:rsidR="005B18DA" w:rsidRDefault="009A4251">
      <w:pPr>
        <w:numPr>
          <w:ilvl w:val="0"/>
          <w:numId w:val="1"/>
        </w:numPr>
        <w:spacing w:after="0"/>
        <w:rPr>
          <w:rFonts w:ascii="Arial Narrow" w:eastAsia="Arial Narrow" w:hAnsi="Arial Narrow" w:cs="Arial Narrow"/>
          <w:sz w:val="24"/>
          <w:szCs w:val="24"/>
        </w:rPr>
      </w:pPr>
      <w:hyperlink r:id="rId37">
        <w:r>
          <w:rPr>
            <w:rFonts w:ascii="Arial Narrow" w:eastAsia="Arial Narrow" w:hAnsi="Arial Narrow" w:cs="Arial Narrow"/>
            <w:color w:val="1155CC"/>
            <w:sz w:val="24"/>
            <w:szCs w:val="24"/>
            <w:u w:val="single"/>
          </w:rPr>
          <w:t>comisiondelaverdad.co</w:t>
        </w:r>
      </w:hyperlink>
      <w:r>
        <w:rPr>
          <w:rFonts w:ascii="Arial Narrow" w:eastAsia="Arial Narrow" w:hAnsi="Arial Narrow" w:cs="Arial Narrow"/>
          <w:color w:val="0000FF"/>
          <w:sz w:val="24"/>
          <w:szCs w:val="24"/>
          <w:u w:val="single"/>
        </w:rPr>
        <w:t xml:space="preserve"> - Colombia fuera de Colombia | Informe Final Comisión de la Verdad</w:t>
      </w:r>
    </w:p>
    <w:p w:rsidR="005B18DA" w:rsidRDefault="005B18DA">
      <w:pPr>
        <w:spacing w:after="0"/>
        <w:ind w:left="720"/>
        <w:rPr>
          <w:rFonts w:ascii="Arial Narrow" w:eastAsia="Arial Narrow" w:hAnsi="Arial Narrow" w:cs="Arial Narrow"/>
          <w:sz w:val="24"/>
          <w:szCs w:val="24"/>
        </w:rPr>
      </w:pPr>
    </w:p>
    <w:p w:rsidR="005B18DA" w:rsidRDefault="009A4251">
      <w:pPr>
        <w:numPr>
          <w:ilvl w:val="0"/>
          <w:numId w:val="1"/>
        </w:numPr>
        <w:spacing w:after="0"/>
        <w:rPr>
          <w:rFonts w:ascii="Arial Narrow" w:eastAsia="Arial Narrow" w:hAnsi="Arial Narrow" w:cs="Arial Narrow"/>
          <w:sz w:val="24"/>
          <w:szCs w:val="24"/>
        </w:rPr>
      </w:pPr>
      <w:hyperlink r:id="rId38">
        <w:r>
          <w:rPr>
            <w:rFonts w:ascii="Arial Narrow" w:eastAsia="Arial Narrow" w:hAnsi="Arial Narrow" w:cs="Arial Narrow"/>
            <w:color w:val="1155CC"/>
            <w:sz w:val="24"/>
            <w:szCs w:val="24"/>
            <w:u w:val="single"/>
          </w:rPr>
          <w:t>verdadabierta.com</w:t>
        </w:r>
      </w:hyperlink>
      <w:r>
        <w:rPr>
          <w:rFonts w:ascii="Arial Narrow" w:eastAsia="Arial Narrow" w:hAnsi="Arial Narrow" w:cs="Arial Narrow"/>
          <w:color w:val="0000FF"/>
          <w:sz w:val="24"/>
          <w:szCs w:val="24"/>
          <w:u w:val="single"/>
        </w:rPr>
        <w:t xml:space="preserve"> - Condenan a la Fiscalía por exilio de fiscal que investigó caso de ...</w:t>
      </w:r>
    </w:p>
    <w:p w:rsidR="005B18DA" w:rsidRDefault="009A4251">
      <w:pPr>
        <w:spacing w:after="0"/>
        <w:rPr>
          <w:rFonts w:ascii="Arial Narrow" w:eastAsia="Arial Narrow" w:hAnsi="Arial Narrow" w:cs="Arial Narrow"/>
          <w:color w:val="0000FF"/>
          <w:sz w:val="24"/>
          <w:szCs w:val="24"/>
          <w:u w:val="single"/>
        </w:rPr>
      </w:pPr>
      <w:r>
        <w:fldChar w:fldCharType="begin"/>
      </w:r>
      <w:r>
        <w:instrText xml:space="preserve"> HYPERLINK "https://web.comisiondelaverdad.co/actuali</w:instrText>
      </w:r>
      <w:r>
        <w:instrText xml:space="preserve">dad/blogs/los-dos-tiempos-eduardo-y-el-insilio#:~:text=El%20insilio%20se%20refiere%20a,que%20vivir%20con%20esa%20ausencia." </w:instrText>
      </w:r>
      <w:r>
        <w:fldChar w:fldCharType="separate"/>
      </w:r>
    </w:p>
    <w:p w:rsidR="005B18DA" w:rsidRDefault="009A4251">
      <w:pPr>
        <w:spacing w:after="120"/>
        <w:rPr>
          <w:rFonts w:ascii="Arial Narrow" w:eastAsia="Arial Narrow" w:hAnsi="Arial Narrow" w:cs="Arial Narrow"/>
          <w:b/>
          <w:color w:val="1B1C1D"/>
          <w:sz w:val="24"/>
          <w:szCs w:val="24"/>
        </w:rPr>
      </w:pPr>
      <w:r>
        <w:fldChar w:fldCharType="end"/>
      </w:r>
    </w:p>
    <w:p w:rsidR="005B18DA" w:rsidRDefault="005B18DA">
      <w:pPr>
        <w:spacing w:after="120"/>
        <w:rPr>
          <w:rFonts w:ascii="Arial Narrow" w:eastAsia="Arial Narrow" w:hAnsi="Arial Narrow" w:cs="Arial Narrow"/>
          <w:b/>
          <w:color w:val="1B1C1D"/>
          <w:sz w:val="24"/>
          <w:szCs w:val="24"/>
        </w:rPr>
      </w:pPr>
    </w:p>
    <w:p w:rsidR="005B18DA" w:rsidRDefault="009A4251">
      <w:pPr>
        <w:spacing w:after="120"/>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Atentamente,</w:t>
      </w: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5B18DA">
      <w:pPr>
        <w:spacing w:after="120"/>
        <w:rPr>
          <w:rFonts w:ascii="Arial Narrow" w:eastAsia="Arial Narrow" w:hAnsi="Arial Narrow" w:cs="Arial Narrow"/>
          <w:color w:val="1B1C1D"/>
          <w:sz w:val="24"/>
          <w:szCs w:val="24"/>
        </w:rPr>
      </w:pPr>
    </w:p>
    <w:p w:rsidR="005B18DA" w:rsidRDefault="009A4251">
      <w:pPr>
        <w:spacing w:after="120"/>
        <w:jc w:val="center"/>
        <w:rPr>
          <w:rFonts w:ascii="Arial Narrow" w:eastAsia="Arial Narrow" w:hAnsi="Arial Narrow" w:cs="Arial Narrow"/>
          <w:b/>
          <w:color w:val="1B1C1D"/>
          <w:sz w:val="24"/>
          <w:szCs w:val="24"/>
        </w:rPr>
      </w:pPr>
      <w:r>
        <w:rPr>
          <w:rFonts w:ascii="Arial Narrow" w:eastAsia="Arial Narrow" w:hAnsi="Arial Narrow" w:cs="Arial Narrow"/>
          <w:b/>
          <w:color w:val="1B1C1D"/>
          <w:sz w:val="24"/>
          <w:szCs w:val="24"/>
        </w:rPr>
        <w:t>CARMEN FELISA RAMÍREZ BOSCÁN</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Representante a la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Circunscripción Internacional</w:t>
      </w:r>
    </w:p>
    <w:p w:rsidR="005B18DA" w:rsidRDefault="005B18DA">
      <w:pPr>
        <w:spacing w:after="120"/>
        <w:rPr>
          <w:rFonts w:ascii="Arial Narrow" w:eastAsia="Arial Narrow" w:hAnsi="Arial Narrow" w:cs="Arial Narrow"/>
          <w:b/>
          <w:color w:val="1B1C1D"/>
          <w:sz w:val="24"/>
          <w:szCs w:val="24"/>
        </w:rPr>
      </w:pPr>
    </w:p>
    <w:p w:rsidR="005B18DA" w:rsidRDefault="009A4251">
      <w:pPr>
        <w:spacing w:before="240"/>
        <w:jc w:val="center"/>
        <w:rPr>
          <w:rFonts w:ascii="Calibri" w:eastAsia="Calibri" w:hAnsi="Calibri" w:cs="Calibri"/>
          <w:b/>
          <w:color w:val="1B1C1D"/>
          <w:sz w:val="24"/>
          <w:szCs w:val="24"/>
        </w:rPr>
      </w:pPr>
      <w:r>
        <w:br w:type="page"/>
      </w:r>
    </w:p>
    <w:p w:rsidR="005B18DA" w:rsidRDefault="009A4251">
      <w:pPr>
        <w:spacing w:before="240"/>
        <w:jc w:val="center"/>
        <w:rPr>
          <w:rFonts w:ascii="Calibri" w:eastAsia="Calibri" w:hAnsi="Calibri" w:cs="Calibri"/>
          <w:b/>
          <w:color w:val="1B1C1D"/>
          <w:sz w:val="24"/>
          <w:szCs w:val="24"/>
        </w:rPr>
      </w:pPr>
      <w:r>
        <w:rPr>
          <w:rFonts w:ascii="Calibri" w:eastAsia="Calibri" w:hAnsi="Calibri" w:cs="Calibri"/>
          <w:b/>
          <w:color w:val="1B1C1D"/>
          <w:sz w:val="24"/>
          <w:szCs w:val="24"/>
        </w:rPr>
        <w:lastRenderedPageBreak/>
        <w:t xml:space="preserve">PROYECTO DE LEY No. </w:t>
      </w:r>
      <w:r>
        <w:rPr>
          <w:rFonts w:ascii="Calibri" w:eastAsia="Calibri" w:hAnsi="Calibri" w:cs="Calibri"/>
          <w:b/>
          <w:color w:val="1B1C1D"/>
          <w:sz w:val="24"/>
          <w:szCs w:val="24"/>
        </w:rPr>
        <w:t>____ de 2025 - CÁMARA</w:t>
      </w:r>
    </w:p>
    <w:p w:rsidR="005B18DA" w:rsidRDefault="009A4251">
      <w:pPr>
        <w:spacing w:after="120"/>
        <w:jc w:val="center"/>
        <w:rPr>
          <w:rFonts w:ascii="Arial Narrow" w:eastAsia="Arial Narrow" w:hAnsi="Arial Narrow" w:cs="Arial Narrow"/>
          <w:color w:val="1B1C1D"/>
          <w:sz w:val="24"/>
          <w:szCs w:val="24"/>
        </w:rPr>
      </w:pPr>
      <w:r>
        <w:rPr>
          <w:rFonts w:ascii="Arial Narrow" w:eastAsia="Arial Narrow" w:hAnsi="Arial Narrow" w:cs="Arial Narrow"/>
          <w:color w:val="1B1C1D"/>
          <w:sz w:val="24"/>
          <w:szCs w:val="24"/>
        </w:rPr>
        <w:t xml:space="preserve">"Por medio de la cual se declara el 18 de agosto como el día nacional de la memoria del </w:t>
      </w:r>
      <w:proofErr w:type="spellStart"/>
      <w:r>
        <w:rPr>
          <w:rFonts w:ascii="Arial Narrow" w:eastAsia="Arial Narrow" w:hAnsi="Arial Narrow" w:cs="Arial Narrow"/>
          <w:color w:val="1B1C1D"/>
          <w:sz w:val="24"/>
          <w:szCs w:val="24"/>
        </w:rPr>
        <w:t>insilio</w:t>
      </w:r>
      <w:proofErr w:type="spellEnd"/>
      <w:r>
        <w:rPr>
          <w:rFonts w:ascii="Arial Narrow" w:eastAsia="Arial Narrow" w:hAnsi="Arial Narrow" w:cs="Arial Narrow"/>
          <w:color w:val="1B1C1D"/>
          <w:sz w:val="24"/>
          <w:szCs w:val="24"/>
        </w:rPr>
        <w:t xml:space="preserve"> y se dictan otras disposiciones"</w:t>
      </w:r>
    </w:p>
    <w:p w:rsidR="005B18DA" w:rsidRDefault="005B18DA">
      <w:pPr>
        <w:spacing w:after="120"/>
        <w:jc w:val="center"/>
        <w:rPr>
          <w:rFonts w:ascii="Arial Narrow" w:eastAsia="Arial Narrow" w:hAnsi="Arial Narrow" w:cs="Arial Narrow"/>
          <w:color w:val="1B1C1D"/>
          <w:sz w:val="24"/>
          <w:szCs w:val="24"/>
        </w:rPr>
      </w:pPr>
    </w:p>
    <w:p w:rsidR="005B18DA" w:rsidRDefault="005B18DA">
      <w:pPr>
        <w:rPr>
          <w:rFonts w:ascii="Arial Narrow" w:eastAsia="Arial Narrow" w:hAnsi="Arial Narrow" w:cs="Arial Narrow"/>
          <w:color w:val="EE0000"/>
          <w:sz w:val="24"/>
          <w:szCs w:val="24"/>
        </w:rPr>
      </w:pPr>
      <w:bookmarkStart w:id="0" w:name="_heading=h.qsv6hx4yxsrb" w:colFirst="0" w:colLast="0"/>
      <w:bookmarkStart w:id="1" w:name="_GoBack"/>
      <w:bookmarkEnd w:id="0"/>
      <w:bookmarkEnd w:id="1"/>
    </w:p>
    <w:sectPr w:rsidR="005B18DA">
      <w:headerReference w:type="default" r:id="rId39"/>
      <w:footerReference w:type="default" r:id="rId4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51" w:rsidRDefault="009A4251">
      <w:pPr>
        <w:spacing w:after="0" w:line="240" w:lineRule="auto"/>
      </w:pPr>
      <w:r>
        <w:separator/>
      </w:r>
    </w:p>
  </w:endnote>
  <w:endnote w:type="continuationSeparator" w:id="0">
    <w:p w:rsidR="009A4251" w:rsidRDefault="009A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8DA" w:rsidRDefault="009A4251">
    <w:pPr>
      <w:tabs>
        <w:tab w:val="center" w:pos="4419"/>
        <w:tab w:val="right" w:pos="8838"/>
      </w:tabs>
      <w:spacing w:before="240" w:after="240" w:line="240" w:lineRule="auto"/>
      <w:jc w:val="center"/>
      <w:rPr>
        <w:rFonts w:ascii="Arial Narrow" w:eastAsia="Arial Narrow" w:hAnsi="Arial Narrow" w:cs="Arial Narrow"/>
        <w:b/>
        <w:sz w:val="21"/>
        <w:szCs w:val="21"/>
      </w:rPr>
    </w:pPr>
    <w:hyperlink r:id="rId1">
      <w:r>
        <w:rPr>
          <w:rFonts w:ascii="Arial Narrow" w:eastAsia="Arial Narrow" w:hAnsi="Arial Narrow" w:cs="Arial Narrow"/>
          <w:b/>
          <w:color w:val="1155CC"/>
          <w:sz w:val="21"/>
          <w:szCs w:val="21"/>
          <w:u w:val="single"/>
        </w:rPr>
        <w:t>www.curulinternacional.com.co</w:t>
      </w:r>
    </w:hyperlink>
    <w:r>
      <w:rPr>
        <w:rFonts w:ascii="Arial Narrow" w:eastAsia="Arial Narrow" w:hAnsi="Arial Narrow" w:cs="Arial Narrow"/>
        <w:b/>
        <w:sz w:val="21"/>
        <w:szCs w:val="21"/>
      </w:rPr>
      <w:t xml:space="preserve"> - </w:t>
    </w:r>
    <w:hyperlink r:id="rId2">
      <w:r>
        <w:rPr>
          <w:rFonts w:ascii="Arial Narrow" w:eastAsia="Arial Narrow" w:hAnsi="Arial Narrow" w:cs="Arial Narrow"/>
          <w:b/>
          <w:color w:val="1155CC"/>
          <w:sz w:val="21"/>
          <w:szCs w:val="21"/>
          <w:u w:val="single"/>
        </w:rPr>
        <w:t>carmen.ramirez@camara.gov.co</w:t>
      </w:r>
    </w:hyperlink>
  </w:p>
  <w:p w:rsidR="005B18DA" w:rsidRDefault="009A4251">
    <w:pPr>
      <w:tabs>
        <w:tab w:val="center" w:pos="4419"/>
        <w:tab w:val="right" w:pos="8838"/>
      </w:tabs>
      <w:spacing w:before="240" w:after="24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 xml:space="preserve">Edificio nuevo del Congreso, carrera 7 No. 8 – </w:t>
    </w:r>
    <w:proofErr w:type="gramStart"/>
    <w:r>
      <w:rPr>
        <w:rFonts w:ascii="Arial Narrow" w:eastAsia="Arial Narrow" w:hAnsi="Arial Narrow" w:cs="Arial Narrow"/>
        <w:b/>
        <w:sz w:val="21"/>
        <w:szCs w:val="21"/>
      </w:rPr>
      <w:t>68,  oficina</w:t>
    </w:r>
    <w:proofErr w:type="gramEnd"/>
    <w:r>
      <w:rPr>
        <w:rFonts w:ascii="Arial Narrow" w:eastAsia="Arial Narrow" w:hAnsi="Arial Narrow" w:cs="Arial Narrow"/>
        <w:b/>
        <w:sz w:val="21"/>
        <w:szCs w:val="21"/>
      </w:rPr>
      <w:t xml:space="preserve"> 409B, Bogotá. Tel. 3904050 Ext. 4482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51" w:rsidRDefault="009A4251">
      <w:pPr>
        <w:spacing w:after="0" w:line="240" w:lineRule="auto"/>
      </w:pPr>
      <w:r>
        <w:separator/>
      </w:r>
    </w:p>
  </w:footnote>
  <w:footnote w:type="continuationSeparator" w:id="0">
    <w:p w:rsidR="009A4251" w:rsidRDefault="009A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8DA" w:rsidRDefault="009A4251">
    <w:r>
      <w:tab/>
    </w:r>
    <w:r>
      <w:tab/>
    </w: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19051</wp:posOffset>
          </wp:positionV>
          <wp:extent cx="2762250" cy="847725"/>
          <wp:effectExtent l="0" t="0" r="0" b="0"/>
          <wp:wrapNone/>
          <wp:docPr id="16057783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762250" cy="8477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4410075</wp:posOffset>
          </wp:positionH>
          <wp:positionV relativeFrom="paragraph">
            <wp:posOffset>-295274</wp:posOffset>
          </wp:positionV>
          <wp:extent cx="1800225" cy="1162050"/>
          <wp:effectExtent l="0" t="0" r="0" b="0"/>
          <wp:wrapNone/>
          <wp:docPr id="16057783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00225" cy="1162050"/>
                  </a:xfrm>
                  <a:prstGeom prst="rect">
                    <a:avLst/>
                  </a:prstGeom>
                  <a:ln/>
                </pic:spPr>
              </pic:pic>
            </a:graphicData>
          </a:graphic>
        </wp:anchor>
      </w:drawing>
    </w:r>
  </w:p>
  <w:p w:rsidR="005B18DA" w:rsidRDefault="005B18DA"/>
  <w:p w:rsidR="005B18DA" w:rsidRDefault="005B18DA"/>
  <w:p w:rsidR="005B18DA" w:rsidRDefault="005B18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5853"/>
    <w:multiLevelType w:val="multilevel"/>
    <w:tmpl w:val="5DC83540"/>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425CF8"/>
    <w:multiLevelType w:val="multilevel"/>
    <w:tmpl w:val="B888AF7C"/>
    <w:lvl w:ilvl="0">
      <w:start w:val="1"/>
      <w:numFmt w:val="decimal"/>
      <w:pStyle w:val="Listaconvietas"/>
      <w:lvlText w:val="%1."/>
      <w:lvlJc w:val="left"/>
      <w:pPr>
        <w:ind w:left="720" w:hanging="360"/>
      </w:pPr>
      <w:rPr>
        <w:rFonts w:ascii="Arial" w:eastAsia="Arial" w:hAnsi="Arial" w:cs="Arial"/>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CC476A"/>
    <w:multiLevelType w:val="multilevel"/>
    <w:tmpl w:val="F662B69A"/>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7701AD"/>
    <w:multiLevelType w:val="multilevel"/>
    <w:tmpl w:val="F528ADA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457740F"/>
    <w:multiLevelType w:val="multilevel"/>
    <w:tmpl w:val="7B5C170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DA"/>
    <w:rsid w:val="00085501"/>
    <w:rsid w:val="005B18DA"/>
    <w:rsid w:val="009A42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D5043-A702-47AF-9378-91A4306B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libri" w:eastAsia="Calibri" w:hAnsi="Calibri" w:cs="Calibri"/>
      <w:b/>
      <w:color w:val="366091"/>
      <w:sz w:val="28"/>
      <w:szCs w:val="28"/>
    </w:rPr>
  </w:style>
  <w:style w:type="paragraph" w:styleId="Ttulo2">
    <w:name w:val="heading 2"/>
    <w:basedOn w:val="Normal"/>
    <w:next w:val="Normal"/>
    <w:pPr>
      <w:keepNext/>
      <w:keepLines/>
      <w:spacing w:before="200" w:after="0"/>
      <w:outlineLvl w:val="1"/>
    </w:pPr>
    <w:rPr>
      <w:rFonts w:ascii="Calibri" w:eastAsia="Calibri" w:hAnsi="Calibri" w:cs="Calibri"/>
      <w:b/>
      <w:color w:val="4F81BD"/>
      <w:sz w:val="26"/>
      <w:szCs w:val="26"/>
    </w:rPr>
  </w:style>
  <w:style w:type="paragraph" w:styleId="Ttulo3">
    <w:name w:val="heading 3"/>
    <w:basedOn w:val="Normal"/>
    <w:next w:val="Normal"/>
    <w:pPr>
      <w:keepNext/>
      <w:keepLines/>
      <w:spacing w:before="200" w:after="0"/>
      <w:outlineLvl w:val="2"/>
    </w:pPr>
    <w:rPr>
      <w:rFonts w:ascii="Calibri" w:eastAsia="Calibri" w:hAnsi="Calibri" w:cs="Calibri"/>
      <w:b/>
      <w:color w:val="4F81BD"/>
    </w:rPr>
  </w:style>
  <w:style w:type="paragraph" w:styleId="Ttulo4">
    <w:name w:val="heading 4"/>
    <w:basedOn w:val="Normal"/>
    <w:next w:val="Normal"/>
    <w:pPr>
      <w:keepNext/>
      <w:keepLines/>
      <w:spacing w:before="200" w:after="0"/>
      <w:outlineLvl w:val="3"/>
    </w:pPr>
    <w:rPr>
      <w:rFonts w:ascii="Calibri" w:eastAsia="Calibri" w:hAnsi="Calibri" w:cs="Calibri"/>
      <w:b/>
      <w:i/>
      <w:color w:val="4F81BD"/>
    </w:rPr>
  </w:style>
  <w:style w:type="paragraph" w:styleId="Ttulo5">
    <w:name w:val="heading 5"/>
    <w:basedOn w:val="Normal"/>
    <w:next w:val="Normal"/>
    <w:pPr>
      <w:keepNext/>
      <w:keepLines/>
      <w:spacing w:before="200" w:after="0"/>
      <w:outlineLvl w:val="4"/>
    </w:pPr>
    <w:rPr>
      <w:rFonts w:ascii="Calibri" w:eastAsia="Calibri" w:hAnsi="Calibri" w:cs="Calibri"/>
      <w:color w:val="243F61"/>
    </w:rPr>
  </w:style>
  <w:style w:type="paragraph" w:styleId="Ttulo6">
    <w:name w:val="heading 6"/>
    <w:basedOn w:val="Normal"/>
    <w:next w:val="Normal"/>
    <w:pPr>
      <w:keepNext/>
      <w:keepLines/>
      <w:spacing w:before="200" w:after="0"/>
      <w:outlineLvl w:val="5"/>
    </w:pPr>
    <w:rPr>
      <w:rFonts w:ascii="Calibri" w:eastAsia="Calibri" w:hAnsi="Calibri" w:cs="Calibri"/>
      <w:i/>
      <w:color w:val="243F61"/>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pPr>
    <w:rPr>
      <w:rFonts w:ascii="Calibri" w:eastAsia="Calibri" w:hAnsi="Calibri" w:cs="Calibri"/>
      <w:color w:val="17365D"/>
      <w:sz w:val="52"/>
      <w:szCs w:val="52"/>
    </w:rPr>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uiPriority w:val="9"/>
    <w:rsid w:val="00FC693F"/>
    <w:rPr>
      <w:rFonts w:asciiTheme="majorHAnsi" w:eastAsiaTheme="majorEastAsia" w:hAnsiTheme="majorHAnsi" w:cstheme="majorBidi"/>
      <w:b/>
      <w:bCs/>
      <w:color w:val="4F81BD" w:themeColor="accent1"/>
    </w:rPr>
  </w:style>
  <w:style w:type="character" w:customStyle="1" w:styleId="TtuloCar">
    <w:name w:val="Título Car"/>
    <w:basedOn w:val="Fuentedeprrafopredeter"/>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tabs>
        <w:tab w:val="num" w:pos="720"/>
      </w:tabs>
      <w:ind w:left="720" w:hanging="720"/>
      <w:contextualSpacing/>
    </w:pPr>
  </w:style>
  <w:style w:type="paragraph" w:styleId="Listaconnmeros3">
    <w:name w:val="List Number 3"/>
    <w:basedOn w:val="Normal"/>
    <w:uiPriority w:val="99"/>
    <w:unhideWhenUsed/>
    <w:rsid w:val="0029639D"/>
    <w:pPr>
      <w:tabs>
        <w:tab w:val="num" w:pos="720"/>
      </w:tabs>
      <w:ind w:left="720" w:hanging="720"/>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next w:val="Normal"/>
    <w:uiPriority w:val="39"/>
    <w:semiHidden/>
    <w:unhideWhenUsed/>
    <w:qFormat/>
    <w:rsid w:val="00FC693F"/>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EF0B39"/>
    <w:rPr>
      <w:color w:val="0000FF" w:themeColor="hyperlink"/>
      <w:u w:val="single"/>
    </w:rPr>
  </w:style>
  <w:style w:type="character" w:customStyle="1" w:styleId="UnresolvedMention">
    <w:name w:val="Unresolved Mention"/>
    <w:basedOn w:val="Fuentedeprrafopredeter"/>
    <w:uiPriority w:val="99"/>
    <w:semiHidden/>
    <w:unhideWhenUsed/>
    <w:rsid w:val="00EF0B39"/>
    <w:rPr>
      <w:color w:val="605E5C"/>
      <w:shd w:val="clear" w:color="auto" w:fill="E1DFDD"/>
    </w:rPr>
  </w:style>
  <w:style w:type="paragraph" w:styleId="Subttulo">
    <w:name w:val="Subtitle"/>
    <w:basedOn w:val="Normal"/>
    <w:next w:val="Normal"/>
    <w:rPr>
      <w:rFonts w:ascii="Calibri" w:eastAsia="Calibri" w:hAnsi="Calibri" w:cs="Calibri"/>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43043" TargetMode="External"/><Relationship Id="rId18" Type="http://schemas.openxmlformats.org/officeDocument/2006/relationships/hyperlink" Target="https://emm.iom.int/handbooks/solutions-and-recovery/transitional-justice" TargetMode="External"/><Relationship Id="rId26" Type="http://schemas.openxmlformats.org/officeDocument/2006/relationships/hyperlink" Target="https://www.comisiondelaverdad.co/colombia-fuera-de-colombia" TargetMode="External"/><Relationship Id="rId39" Type="http://schemas.openxmlformats.org/officeDocument/2006/relationships/header" Target="header1.xml"/><Relationship Id="rId21" Type="http://schemas.openxmlformats.org/officeDocument/2006/relationships/hyperlink" Target="https://www.ohchr.org/en/instruments-mechanisms/instruments/convention-rights-child" TargetMode="External"/><Relationship Id="rId34" Type="http://schemas.openxmlformats.org/officeDocument/2006/relationships/hyperlink" Target="https://merelfamilylaw.com/blog/highlighting-the-truth-about-post-separation-abus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dc.org/e4j/en/terrorism/module-14/key-issues/recognition-of-the-victim.html" TargetMode="External"/><Relationship Id="rId20" Type="http://schemas.openxmlformats.org/officeDocument/2006/relationships/hyperlink" Target="https://ihl-databases.icrc.org/es/customary-ihl/v2/rule105" TargetMode="External"/><Relationship Id="rId29" Type="http://schemas.openxmlformats.org/officeDocument/2006/relationships/hyperlink" Target="https://www.comisiondelaverdad.co/hallazgos-y-recomendaciones/recomendaciones-i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justicia.gov.co/programas-co/justicia-transicional/Paginas/OJTC-Restitucion-de-Tierras.aspx" TargetMode="External"/><Relationship Id="rId24" Type="http://schemas.openxmlformats.org/officeDocument/2006/relationships/hyperlink" Target="https://cjlibertad.org/informe-final-cev-capitulo-la-colombia-fuera-de-colombia-las-verdades-del-exilio/" TargetMode="External"/><Relationship Id="rId32" Type="http://schemas.openxmlformats.org/officeDocument/2006/relationships/hyperlink" Target="https://pmc.ncbi.nlm.nih.gov/articles/PMC12092455/" TargetMode="External"/><Relationship Id="rId37" Type="http://schemas.openxmlformats.org/officeDocument/2006/relationships/hyperlink" Target="http://comisiondelaverdad.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AEWZgYlJ57o" TargetMode="External"/><Relationship Id="rId23" Type="http://schemas.openxmlformats.org/officeDocument/2006/relationships/hyperlink" Target="https://www.comisiondelaverdad.co/colombia-fuera-de-colombia" TargetMode="External"/><Relationship Id="rId28" Type="http://schemas.openxmlformats.org/officeDocument/2006/relationships/hyperlink" Target="https://cjlibertad.org/informe-final-cev-capitulo-la-colombia-fuera-de-colombia-las-verdades-del-exilio/" TargetMode="External"/><Relationship Id="rId36" Type="http://schemas.openxmlformats.org/officeDocument/2006/relationships/hyperlink" Target="https://centrodememoriahistorica.gov.co/wp-content/uploads/2023/01/PLAN-ESTRATE%CC%81GICO-2023-CNMH-Versio%CC%81n-1.pdf" TargetMode="External"/><Relationship Id="rId10" Type="http://schemas.openxmlformats.org/officeDocument/2006/relationships/hyperlink" Target="https://www.minjusticia.gov.co/programas-co/justicia-transicional/Paginas/OJTC-Restitucion-de-Tierras.aspx" TargetMode="External"/><Relationship Id="rId19" Type="http://schemas.openxmlformats.org/officeDocument/2006/relationships/hyperlink" Target="https://www.un.org/en/about-us/universal-declaration-of-human-rights" TargetMode="External"/><Relationship Id="rId31" Type="http://schemas.openxmlformats.org/officeDocument/2006/relationships/hyperlink" Target="https://pmc.ncbi.nlm.nih.gov/articles/PMC12092455/" TargetMode="External"/><Relationship Id="rId4" Type="http://schemas.openxmlformats.org/officeDocument/2006/relationships/settings" Target="settings.xml"/><Relationship Id="rId9" Type="http://schemas.openxmlformats.org/officeDocument/2006/relationships/hyperlink" Target="https://www.minjusticia.gov.co/programas-co/justicia-transicional/Paginas/OJTC-Restitucion-de-Tierras.aspx" TargetMode="External"/><Relationship Id="rId14" Type="http://schemas.openxmlformats.org/officeDocument/2006/relationships/hyperlink" Target="https://www.medicinalegal.gov.co/blog/-/blogs/aportes-del-instituto-nacional-de-medicina-legal-y-ciencias-forenses-al-sistema-integral-de-verdad-justicia-reparacion-y-no-repeticion?scroll=_com_liferay_blogs_web_portlet_BlogsPortlet_discussionContainer" TargetMode="External"/><Relationship Id="rId22" Type="http://schemas.openxmlformats.org/officeDocument/2006/relationships/hyperlink" Target="https://ihl-databases.icrc.org/es/customary-ihl/v2/rule105" TargetMode="External"/><Relationship Id="rId27" Type="http://schemas.openxmlformats.org/officeDocument/2006/relationships/hyperlink" Target="https://cjlibertad.org/informe-final-cev-capitulo-la-colombia-fuera-de-colombia-las-verdades-del-exilio/" TargetMode="External"/><Relationship Id="rId30" Type="http://schemas.openxmlformats.org/officeDocument/2006/relationships/hyperlink" Target="https://pmc.ncbi.nlm.nih.gov/articles/PMC5732089/" TargetMode="External"/><Relationship Id="rId35" Type="http://schemas.openxmlformats.org/officeDocument/2006/relationships/hyperlink" Target="https://pmc.ncbi.nlm.nih.gov/articles/PMC5732089/" TargetMode="External"/><Relationship Id="rId8" Type="http://schemas.openxmlformats.org/officeDocument/2006/relationships/hyperlink" Target="https://www.consejodeestado.gov.co/wp-content/uploads/2021/04/CasoJesMarValle.pdf" TargetMode="External"/><Relationship Id="rId3" Type="http://schemas.openxmlformats.org/officeDocument/2006/relationships/styles" Target="styles.xml"/><Relationship Id="rId12" Type="http://schemas.openxmlformats.org/officeDocument/2006/relationships/hyperlink" Target="http://funcionpublica.gov.co" TargetMode="External"/><Relationship Id="rId17" Type="http://schemas.openxmlformats.org/officeDocument/2006/relationships/hyperlink" Target="https://www.unodc.org/e4j/zh/crime-prevention-criminal-justice/module-11/key-issues/8--victims-of-crime-and-international-law.html" TargetMode="External"/><Relationship Id="rId25" Type="http://schemas.openxmlformats.org/officeDocument/2006/relationships/hyperlink" Target="https://www.researchgate.net/publication/361678279_El_informe_del_exilio_colombiano_para_la_Comision_de_Esclarecimiento_de_la_Verdad_innovadora_experiencia_transnacional_de_construccion_de_memoria_y_lucha_por_la_verdad_en_contexto_de_pandemia_The_Colo" TargetMode="External"/><Relationship Id="rId33" Type="http://schemas.openxmlformats.org/officeDocument/2006/relationships/hyperlink" Target="https://aifs.gov.au/research/family-matters/no-86/effect-family-violence-post-separation-parenting-arrangements" TargetMode="External"/><Relationship Id="rId38" Type="http://schemas.openxmlformats.org/officeDocument/2006/relationships/hyperlink" Target="http://verdadabiert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armen.ramirez@camara.gov.co" TargetMode="External"/><Relationship Id="rId1" Type="http://schemas.openxmlformats.org/officeDocument/2006/relationships/hyperlink" Target="http://www.curulinternacional.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MKX7D7vRiegmUAtYEUrgkTtzw==">CgMxLjAaHwoBMBIaChgICVIUChJ0YWJsZS5nNXhydnE4NzB0anQaHwoBMRIaChgICVIUChJ0YWJsZS4zdG5mY2psdGp4dmEaHwoBMhIaChgICVIUChJ0YWJsZS55NG9jdHA4YjE1eHAyDmgucXN2Nmh4NHl4c3JiOAByITFBT3JqTk5HSjRvQ3pqMDhlV3NSUmsybHV3Q2JKN3Nlbg==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7855</Words>
  <Characters>43206</Characters>
  <Application>Microsoft Office Word</Application>
  <DocSecurity>0</DocSecurity>
  <Lines>360</Lines>
  <Paragraphs>101</Paragraphs>
  <ScaleCrop>false</ScaleCrop>
  <Company>HP Inc.</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Patricia Pulido</cp:lastModifiedBy>
  <cp:revision>2</cp:revision>
  <dcterms:created xsi:type="dcterms:W3CDTF">2025-08-15T06:40:00Z</dcterms:created>
  <dcterms:modified xsi:type="dcterms:W3CDTF">2025-09-10T20:09:00Z</dcterms:modified>
</cp:coreProperties>
</file>