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17695" w14:textId="77777777" w:rsidR="00982B54" w:rsidRDefault="00982B54">
      <w:pPr>
        <w:pBdr>
          <w:top w:val="nil"/>
          <w:left w:val="nil"/>
          <w:bottom w:val="nil"/>
          <w:right w:val="nil"/>
          <w:between w:val="nil"/>
        </w:pBdr>
        <w:jc w:val="both"/>
        <w:rPr>
          <w:rFonts w:ascii="Constantia" w:eastAsia="Constantia" w:hAnsi="Constantia" w:cs="Constantia"/>
          <w:color w:val="000000"/>
        </w:rPr>
      </w:pPr>
    </w:p>
    <w:p w14:paraId="1D03B69D" w14:textId="057F03CD" w:rsidR="006A4FDF" w:rsidRDefault="00392BA0">
      <w:pPr>
        <w:pBdr>
          <w:top w:val="nil"/>
          <w:left w:val="nil"/>
          <w:bottom w:val="nil"/>
          <w:right w:val="nil"/>
          <w:between w:val="nil"/>
        </w:pBdr>
        <w:jc w:val="both"/>
        <w:rPr>
          <w:rFonts w:ascii="Constantia" w:eastAsia="Constantia" w:hAnsi="Constantia" w:cs="Constantia"/>
          <w:color w:val="000000"/>
        </w:rPr>
      </w:pPr>
      <w:r>
        <w:rPr>
          <w:rFonts w:ascii="Constantia" w:eastAsia="Constantia" w:hAnsi="Constantia" w:cs="Constantia"/>
          <w:color w:val="000000"/>
        </w:rPr>
        <w:t>Bogotá,</w:t>
      </w:r>
      <w:r w:rsidR="00C65760">
        <w:rPr>
          <w:rFonts w:ascii="Constantia" w:eastAsia="Constantia" w:hAnsi="Constantia" w:cs="Constantia"/>
          <w:color w:val="000000"/>
        </w:rPr>
        <w:t xml:space="preserve"> 19</w:t>
      </w:r>
      <w:r>
        <w:rPr>
          <w:rFonts w:ascii="Constantia" w:eastAsia="Constantia" w:hAnsi="Constantia" w:cs="Constantia"/>
          <w:color w:val="000000"/>
        </w:rPr>
        <w:t xml:space="preserve"> </w:t>
      </w:r>
      <w:r>
        <w:rPr>
          <w:rFonts w:ascii="Constantia" w:eastAsia="Constantia" w:hAnsi="Constantia" w:cs="Constantia"/>
        </w:rPr>
        <w:t>de agosto de 2025</w:t>
      </w:r>
    </w:p>
    <w:p w14:paraId="32816A0C" w14:textId="77777777" w:rsidR="006A4FDF" w:rsidRDefault="00392BA0">
      <w:pPr>
        <w:pBdr>
          <w:top w:val="nil"/>
          <w:left w:val="nil"/>
          <w:bottom w:val="nil"/>
          <w:right w:val="nil"/>
          <w:between w:val="nil"/>
        </w:pBdr>
        <w:jc w:val="both"/>
        <w:rPr>
          <w:rFonts w:ascii="Constantia" w:eastAsia="Constantia" w:hAnsi="Constantia" w:cs="Constantia"/>
          <w:color w:val="000000"/>
        </w:rPr>
      </w:pPr>
      <w:r>
        <w:rPr>
          <w:rFonts w:ascii="Constantia" w:eastAsia="Constantia" w:hAnsi="Constantia" w:cs="Constantia"/>
          <w:color w:val="000000"/>
        </w:rPr>
        <w:t xml:space="preserve"> </w:t>
      </w:r>
    </w:p>
    <w:p w14:paraId="29CE2401" w14:textId="77777777" w:rsidR="006A4FDF" w:rsidRDefault="00392BA0">
      <w:pPr>
        <w:pBdr>
          <w:top w:val="nil"/>
          <w:left w:val="nil"/>
          <w:bottom w:val="nil"/>
          <w:right w:val="nil"/>
          <w:between w:val="nil"/>
        </w:pBdr>
        <w:spacing w:after="0"/>
        <w:jc w:val="both"/>
        <w:rPr>
          <w:rFonts w:ascii="Constantia" w:eastAsia="Constantia" w:hAnsi="Constantia" w:cs="Constantia"/>
          <w:color w:val="000000"/>
        </w:rPr>
      </w:pPr>
      <w:r>
        <w:rPr>
          <w:rFonts w:ascii="Constantia" w:eastAsia="Constantia" w:hAnsi="Constantia" w:cs="Constantia"/>
          <w:color w:val="000000"/>
        </w:rPr>
        <w:t xml:space="preserve">Doctor </w:t>
      </w:r>
    </w:p>
    <w:p w14:paraId="64480571" w14:textId="77777777" w:rsidR="006A4FDF" w:rsidRDefault="00392BA0">
      <w:pPr>
        <w:pBdr>
          <w:top w:val="nil"/>
          <w:left w:val="nil"/>
          <w:bottom w:val="nil"/>
          <w:right w:val="nil"/>
          <w:between w:val="nil"/>
        </w:pBdr>
        <w:spacing w:after="0"/>
        <w:jc w:val="both"/>
        <w:rPr>
          <w:rFonts w:ascii="Constantia" w:eastAsia="Constantia" w:hAnsi="Constantia" w:cs="Constantia"/>
          <w:b/>
          <w:color w:val="000000"/>
        </w:rPr>
      </w:pPr>
      <w:r>
        <w:rPr>
          <w:rFonts w:ascii="Constantia" w:eastAsia="Constantia" w:hAnsi="Constantia" w:cs="Constantia"/>
          <w:b/>
          <w:color w:val="000000"/>
        </w:rPr>
        <w:t>JAIME LUIS LACOUTURE PEÑALOZA</w:t>
      </w:r>
    </w:p>
    <w:p w14:paraId="3A059A0A" w14:textId="77777777" w:rsidR="006A4FDF" w:rsidRDefault="00392BA0">
      <w:pPr>
        <w:pBdr>
          <w:top w:val="nil"/>
          <w:left w:val="nil"/>
          <w:bottom w:val="nil"/>
          <w:right w:val="nil"/>
          <w:between w:val="nil"/>
        </w:pBdr>
        <w:spacing w:after="0"/>
        <w:jc w:val="both"/>
        <w:rPr>
          <w:rFonts w:ascii="Constantia" w:eastAsia="Constantia" w:hAnsi="Constantia" w:cs="Constantia"/>
          <w:color w:val="000000"/>
        </w:rPr>
      </w:pPr>
      <w:r>
        <w:rPr>
          <w:rFonts w:ascii="Constantia" w:eastAsia="Constantia" w:hAnsi="Constantia" w:cs="Constantia"/>
          <w:color w:val="000000"/>
        </w:rPr>
        <w:t xml:space="preserve">Secretario General </w:t>
      </w:r>
    </w:p>
    <w:p w14:paraId="03F3513F" w14:textId="77777777" w:rsidR="006A4FDF" w:rsidRDefault="00392BA0">
      <w:pPr>
        <w:pBdr>
          <w:top w:val="nil"/>
          <w:left w:val="nil"/>
          <w:bottom w:val="nil"/>
          <w:right w:val="nil"/>
          <w:between w:val="nil"/>
        </w:pBdr>
        <w:spacing w:after="0"/>
        <w:jc w:val="both"/>
        <w:rPr>
          <w:rFonts w:ascii="Constantia" w:eastAsia="Constantia" w:hAnsi="Constantia" w:cs="Constantia"/>
          <w:color w:val="000000"/>
        </w:rPr>
      </w:pPr>
      <w:r>
        <w:rPr>
          <w:rFonts w:ascii="Constantia" w:eastAsia="Constantia" w:hAnsi="Constantia" w:cs="Constantia"/>
          <w:color w:val="000000"/>
        </w:rPr>
        <w:t xml:space="preserve">Cámara de Representantes </w:t>
      </w:r>
    </w:p>
    <w:p w14:paraId="288088AC" w14:textId="77777777" w:rsidR="006A4FDF" w:rsidRDefault="00392BA0">
      <w:pPr>
        <w:pBdr>
          <w:top w:val="nil"/>
          <w:left w:val="nil"/>
          <w:bottom w:val="nil"/>
          <w:right w:val="nil"/>
          <w:between w:val="nil"/>
        </w:pBdr>
        <w:spacing w:after="0"/>
        <w:jc w:val="both"/>
        <w:rPr>
          <w:rFonts w:ascii="Constantia" w:eastAsia="Constantia" w:hAnsi="Constantia" w:cs="Constantia"/>
          <w:color w:val="000000"/>
        </w:rPr>
      </w:pPr>
      <w:r>
        <w:rPr>
          <w:rFonts w:ascii="Constantia" w:eastAsia="Constantia" w:hAnsi="Constantia" w:cs="Constantia"/>
          <w:color w:val="000000"/>
        </w:rPr>
        <w:t>Bogotá D.C</w:t>
      </w:r>
    </w:p>
    <w:p w14:paraId="6607FD75" w14:textId="77777777" w:rsidR="006A4FDF" w:rsidRDefault="006A4FDF">
      <w:pPr>
        <w:pBdr>
          <w:top w:val="nil"/>
          <w:left w:val="nil"/>
          <w:bottom w:val="nil"/>
          <w:right w:val="nil"/>
          <w:between w:val="nil"/>
        </w:pBdr>
        <w:jc w:val="both"/>
        <w:rPr>
          <w:rFonts w:ascii="Constantia" w:eastAsia="Constantia" w:hAnsi="Constantia" w:cs="Constantia"/>
          <w:color w:val="000000"/>
        </w:rPr>
      </w:pPr>
    </w:p>
    <w:p w14:paraId="5B935C93" w14:textId="77777777" w:rsidR="006A4FDF" w:rsidRDefault="00392BA0">
      <w:pPr>
        <w:pBdr>
          <w:top w:val="nil"/>
          <w:left w:val="nil"/>
          <w:bottom w:val="nil"/>
          <w:right w:val="nil"/>
          <w:between w:val="nil"/>
        </w:pBdr>
        <w:jc w:val="both"/>
        <w:rPr>
          <w:rFonts w:ascii="Constantia" w:eastAsia="Constantia" w:hAnsi="Constantia" w:cs="Constantia"/>
          <w:color w:val="000000"/>
        </w:rPr>
      </w:pPr>
      <w:r>
        <w:rPr>
          <w:rFonts w:ascii="Constantia" w:eastAsia="Constantia" w:hAnsi="Constantia" w:cs="Constantia"/>
          <w:b/>
          <w:color w:val="000000"/>
        </w:rPr>
        <w:t>Asunto:</w:t>
      </w:r>
      <w:r>
        <w:rPr>
          <w:rFonts w:ascii="Constantia" w:eastAsia="Constantia" w:hAnsi="Constantia" w:cs="Constantia"/>
          <w:color w:val="000000"/>
        </w:rPr>
        <w:t xml:space="preserve"> Radicación de Proyecto de Ley </w:t>
      </w:r>
    </w:p>
    <w:p w14:paraId="3F5362E5" w14:textId="77777777" w:rsidR="006A4FDF" w:rsidRDefault="006A4FDF">
      <w:pPr>
        <w:pBdr>
          <w:top w:val="nil"/>
          <w:left w:val="nil"/>
          <w:bottom w:val="nil"/>
          <w:right w:val="nil"/>
          <w:between w:val="nil"/>
        </w:pBdr>
        <w:jc w:val="both"/>
        <w:rPr>
          <w:rFonts w:ascii="Constantia" w:eastAsia="Constantia" w:hAnsi="Constantia" w:cs="Constantia"/>
          <w:color w:val="000000"/>
        </w:rPr>
      </w:pPr>
    </w:p>
    <w:p w14:paraId="7D05CFD1" w14:textId="77777777" w:rsidR="006A4FDF" w:rsidRDefault="00392BA0">
      <w:pPr>
        <w:pBdr>
          <w:top w:val="nil"/>
          <w:left w:val="nil"/>
          <w:bottom w:val="nil"/>
          <w:right w:val="nil"/>
          <w:between w:val="nil"/>
        </w:pBdr>
        <w:jc w:val="both"/>
        <w:rPr>
          <w:rFonts w:ascii="Constantia" w:eastAsia="Constantia" w:hAnsi="Constantia" w:cs="Constantia"/>
          <w:color w:val="000000"/>
        </w:rPr>
      </w:pPr>
      <w:r>
        <w:rPr>
          <w:rFonts w:ascii="Constantia" w:eastAsia="Constantia" w:hAnsi="Constantia" w:cs="Constantia"/>
          <w:color w:val="000000"/>
        </w:rPr>
        <w:t xml:space="preserve">Apreciado señor secretario. </w:t>
      </w:r>
    </w:p>
    <w:p w14:paraId="630282F4" w14:textId="77777777" w:rsidR="006A4FDF" w:rsidRDefault="006A4FDF">
      <w:pPr>
        <w:pBdr>
          <w:top w:val="nil"/>
          <w:left w:val="nil"/>
          <w:bottom w:val="nil"/>
          <w:right w:val="nil"/>
          <w:between w:val="nil"/>
        </w:pBdr>
        <w:jc w:val="both"/>
        <w:rPr>
          <w:rFonts w:ascii="Constantia" w:eastAsia="Constantia" w:hAnsi="Constantia" w:cs="Constantia"/>
          <w:color w:val="000000"/>
        </w:rPr>
      </w:pPr>
    </w:p>
    <w:p w14:paraId="7266B88F" w14:textId="77777777" w:rsidR="006A4FDF" w:rsidRDefault="00392BA0">
      <w:pPr>
        <w:pBdr>
          <w:top w:val="nil"/>
          <w:left w:val="nil"/>
          <w:bottom w:val="nil"/>
          <w:right w:val="nil"/>
          <w:between w:val="nil"/>
        </w:pBdr>
        <w:spacing w:after="200"/>
        <w:jc w:val="both"/>
        <w:rPr>
          <w:rFonts w:ascii="Constantia" w:eastAsia="Constantia" w:hAnsi="Constantia" w:cs="Constantia"/>
          <w:b/>
          <w:i/>
        </w:rPr>
      </w:pPr>
      <w:r>
        <w:rPr>
          <w:rFonts w:ascii="Constantia" w:eastAsia="Constantia" w:hAnsi="Constantia" w:cs="Constantia"/>
          <w:color w:val="000000"/>
          <w:sz w:val="24"/>
          <w:szCs w:val="24"/>
        </w:rPr>
        <w:t xml:space="preserve">Con toda atención me permito presentar ante la Honorable Cámara de Representantes el </w:t>
      </w:r>
      <w:r>
        <w:rPr>
          <w:rFonts w:ascii="Constantia" w:eastAsia="Constantia" w:hAnsi="Constantia" w:cs="Constantia"/>
        </w:rPr>
        <w:t>P</w:t>
      </w:r>
      <w:r>
        <w:rPr>
          <w:rFonts w:ascii="Constantia" w:eastAsia="Constantia" w:hAnsi="Constantia" w:cs="Constantia"/>
          <w:color w:val="000000"/>
          <w:sz w:val="24"/>
          <w:szCs w:val="24"/>
        </w:rPr>
        <w:t xml:space="preserve">royecto de Ley </w:t>
      </w:r>
      <w:r>
        <w:rPr>
          <w:rFonts w:ascii="Constantia" w:eastAsia="Constantia" w:hAnsi="Constantia" w:cs="Constantia"/>
          <w:i/>
          <w:color w:val="000000"/>
          <w:sz w:val="24"/>
          <w:szCs w:val="24"/>
        </w:rPr>
        <w:t>por medio del cual se establecen medidas de responsabilidad del Estado en favor de las víctimas de delitos de lesa humanidad, graves infracciones a los der</w:t>
      </w:r>
      <w:r>
        <w:rPr>
          <w:rFonts w:ascii="Constantia" w:eastAsia="Constantia" w:hAnsi="Constantia" w:cs="Constantia"/>
          <w:i/>
          <w:color w:val="000000"/>
          <w:sz w:val="24"/>
          <w:szCs w:val="24"/>
        </w:rPr>
        <w:t>echos humanos y al derecho internacional humanitario cometidos con ocasión o en razón del conflicto armado interno.</w:t>
      </w:r>
    </w:p>
    <w:p w14:paraId="0D336418" w14:textId="77777777" w:rsidR="00085D0C" w:rsidRDefault="00085D0C">
      <w:pPr>
        <w:pBdr>
          <w:top w:val="nil"/>
          <w:left w:val="nil"/>
          <w:bottom w:val="nil"/>
          <w:right w:val="nil"/>
          <w:between w:val="nil"/>
        </w:pBdr>
        <w:jc w:val="both"/>
        <w:rPr>
          <w:rFonts w:ascii="Constantia" w:eastAsia="Constantia" w:hAnsi="Constantia" w:cs="Constantia"/>
          <w:color w:val="000000"/>
        </w:rPr>
      </w:pPr>
    </w:p>
    <w:p w14:paraId="45D44B91" w14:textId="77777777" w:rsidR="00085D0C" w:rsidRDefault="00085D0C">
      <w:pPr>
        <w:pBdr>
          <w:top w:val="nil"/>
          <w:left w:val="nil"/>
          <w:bottom w:val="nil"/>
          <w:right w:val="nil"/>
          <w:between w:val="nil"/>
        </w:pBdr>
        <w:jc w:val="both"/>
        <w:rPr>
          <w:rFonts w:ascii="Constantia" w:eastAsia="Constantia" w:hAnsi="Constantia" w:cs="Constantia"/>
          <w:color w:val="000000"/>
        </w:rPr>
      </w:pPr>
    </w:p>
    <w:p w14:paraId="1F42C345" w14:textId="77777777" w:rsidR="00085D0C" w:rsidRDefault="00085D0C">
      <w:pPr>
        <w:pBdr>
          <w:top w:val="nil"/>
          <w:left w:val="nil"/>
          <w:bottom w:val="nil"/>
          <w:right w:val="nil"/>
          <w:between w:val="nil"/>
        </w:pBdr>
        <w:jc w:val="both"/>
        <w:rPr>
          <w:rFonts w:ascii="Constantia" w:eastAsia="Constantia" w:hAnsi="Constantia" w:cs="Constantia"/>
          <w:color w:val="000000"/>
        </w:rPr>
      </w:pPr>
    </w:p>
    <w:p w14:paraId="33D97B14" w14:textId="77777777" w:rsidR="00085D0C" w:rsidRDefault="00085D0C">
      <w:pPr>
        <w:pBdr>
          <w:top w:val="nil"/>
          <w:left w:val="nil"/>
          <w:bottom w:val="nil"/>
          <w:right w:val="nil"/>
          <w:between w:val="nil"/>
        </w:pBdr>
        <w:jc w:val="both"/>
        <w:rPr>
          <w:rFonts w:ascii="Constantia" w:eastAsia="Constantia" w:hAnsi="Constantia" w:cs="Constantia"/>
          <w:color w:val="000000"/>
        </w:rPr>
      </w:pPr>
    </w:p>
    <w:p w14:paraId="69C331B2" w14:textId="39537C1E" w:rsidR="006A4FDF" w:rsidRDefault="00392BA0">
      <w:pPr>
        <w:pBdr>
          <w:top w:val="nil"/>
          <w:left w:val="nil"/>
          <w:bottom w:val="nil"/>
          <w:right w:val="nil"/>
          <w:between w:val="nil"/>
        </w:pBdr>
        <w:jc w:val="both"/>
        <w:rPr>
          <w:rFonts w:ascii="Constantia" w:eastAsia="Constantia" w:hAnsi="Constantia" w:cs="Constantia"/>
          <w:color w:val="000000"/>
        </w:rPr>
      </w:pPr>
      <w:r>
        <w:rPr>
          <w:rFonts w:ascii="Constantia" w:eastAsia="Constantia" w:hAnsi="Constantia" w:cs="Constantia"/>
          <w:color w:val="000000"/>
        </w:rPr>
        <w:t xml:space="preserve">Cordialmente, </w:t>
      </w:r>
    </w:p>
    <w:p w14:paraId="00565B4D" w14:textId="77777777" w:rsidR="006A4FDF" w:rsidRDefault="006A4FDF">
      <w:pPr>
        <w:pBdr>
          <w:top w:val="nil"/>
          <w:left w:val="nil"/>
          <w:bottom w:val="nil"/>
          <w:right w:val="nil"/>
          <w:between w:val="nil"/>
        </w:pBdr>
        <w:jc w:val="both"/>
        <w:rPr>
          <w:rFonts w:ascii="Constantia" w:eastAsia="Constantia" w:hAnsi="Constantia" w:cs="Constantia"/>
        </w:rPr>
      </w:pPr>
    </w:p>
    <w:p w14:paraId="0BF94017" w14:textId="2B092A92" w:rsidR="006A4FDF" w:rsidRDefault="006A4FDF">
      <w:pPr>
        <w:pBdr>
          <w:top w:val="nil"/>
          <w:left w:val="nil"/>
          <w:bottom w:val="nil"/>
          <w:right w:val="nil"/>
          <w:between w:val="nil"/>
        </w:pBdr>
        <w:jc w:val="both"/>
        <w:rPr>
          <w:rFonts w:ascii="Constantia" w:eastAsia="Constantia" w:hAnsi="Constantia" w:cs="Constantia"/>
        </w:rPr>
      </w:pPr>
    </w:p>
    <w:p w14:paraId="19B2DBB0" w14:textId="77777777" w:rsidR="00085D0C" w:rsidRDefault="00085D0C">
      <w:pPr>
        <w:pBdr>
          <w:top w:val="nil"/>
          <w:left w:val="nil"/>
          <w:bottom w:val="nil"/>
          <w:right w:val="nil"/>
          <w:between w:val="nil"/>
        </w:pBdr>
        <w:jc w:val="both"/>
        <w:rPr>
          <w:rFonts w:ascii="Constantia" w:eastAsia="Constantia" w:hAnsi="Constantia" w:cs="Constantia"/>
        </w:rPr>
      </w:pPr>
    </w:p>
    <w:p w14:paraId="741C5EC9" w14:textId="77777777" w:rsidR="006A4FDF" w:rsidRDefault="00392BA0">
      <w:pPr>
        <w:spacing w:after="0" w:line="240" w:lineRule="auto"/>
        <w:jc w:val="both"/>
        <w:rPr>
          <w:rFonts w:ascii="Candara" w:eastAsia="Candara" w:hAnsi="Candara" w:cs="Candara"/>
          <w:color w:val="262626"/>
          <w:sz w:val="24"/>
          <w:szCs w:val="24"/>
        </w:rPr>
      </w:pPr>
      <w:r>
        <w:rPr>
          <w:rFonts w:ascii="Candara" w:eastAsia="Candara" w:hAnsi="Candara" w:cs="Candara"/>
          <w:b/>
          <w:color w:val="262626"/>
          <w:sz w:val="24"/>
          <w:szCs w:val="24"/>
        </w:rPr>
        <w:t>SUSANA GÓMEZ CASTAÑO</w:t>
      </w:r>
    </w:p>
    <w:p w14:paraId="7F6D4895" w14:textId="77777777" w:rsidR="006A4FDF" w:rsidRDefault="00392BA0">
      <w:pPr>
        <w:spacing w:after="0" w:line="240" w:lineRule="auto"/>
        <w:jc w:val="both"/>
        <w:rPr>
          <w:rFonts w:ascii="Constantia" w:eastAsia="Constantia" w:hAnsi="Constantia" w:cs="Constantia"/>
        </w:rPr>
      </w:pPr>
      <w:r>
        <w:rPr>
          <w:rFonts w:ascii="Candara" w:eastAsia="Candara" w:hAnsi="Candara" w:cs="Candara"/>
          <w:color w:val="262626"/>
          <w:sz w:val="24"/>
          <w:szCs w:val="24"/>
        </w:rPr>
        <w:t>Representante a la Cámara.</w:t>
      </w:r>
    </w:p>
    <w:p w14:paraId="1E866BB3" w14:textId="77777777" w:rsidR="006A4FDF" w:rsidRDefault="006A4FDF">
      <w:pPr>
        <w:spacing w:after="0" w:line="240" w:lineRule="auto"/>
        <w:jc w:val="both"/>
        <w:rPr>
          <w:rFonts w:ascii="Constantia" w:eastAsia="Constantia" w:hAnsi="Constantia" w:cs="Constantia"/>
        </w:rPr>
      </w:pPr>
    </w:p>
    <w:p w14:paraId="3662F30E" w14:textId="687FC295" w:rsidR="006A4FDF" w:rsidRDefault="006A4FDF">
      <w:pPr>
        <w:spacing w:after="0" w:line="240" w:lineRule="auto"/>
        <w:jc w:val="both"/>
        <w:rPr>
          <w:rFonts w:ascii="Constantia" w:eastAsia="Constantia" w:hAnsi="Constantia" w:cs="Constantia"/>
        </w:rPr>
      </w:pPr>
    </w:p>
    <w:p w14:paraId="0858B5D5" w14:textId="4E446ED7" w:rsidR="00085D0C" w:rsidRDefault="00085D0C">
      <w:pPr>
        <w:spacing w:after="0" w:line="240" w:lineRule="auto"/>
        <w:jc w:val="both"/>
        <w:rPr>
          <w:rFonts w:ascii="Constantia" w:eastAsia="Constantia" w:hAnsi="Constantia" w:cs="Constantia"/>
        </w:rPr>
      </w:pPr>
    </w:p>
    <w:p w14:paraId="325D0C5E" w14:textId="36B038F5" w:rsidR="00085D0C" w:rsidRDefault="00085D0C">
      <w:pPr>
        <w:spacing w:after="0" w:line="240" w:lineRule="auto"/>
        <w:jc w:val="both"/>
        <w:rPr>
          <w:rFonts w:ascii="Constantia" w:eastAsia="Constantia" w:hAnsi="Constantia" w:cs="Constantia"/>
        </w:rPr>
      </w:pPr>
    </w:p>
    <w:p w14:paraId="2185DB6F" w14:textId="273FEF4B" w:rsidR="00085D0C" w:rsidRDefault="00085D0C">
      <w:pPr>
        <w:spacing w:after="0" w:line="240" w:lineRule="auto"/>
        <w:jc w:val="both"/>
        <w:rPr>
          <w:rFonts w:ascii="Constantia" w:eastAsia="Constantia" w:hAnsi="Constantia" w:cs="Constantia"/>
        </w:rPr>
      </w:pPr>
    </w:p>
    <w:p w14:paraId="5ACBCC0A" w14:textId="575F7386" w:rsidR="00085D0C" w:rsidRDefault="00085D0C">
      <w:pPr>
        <w:spacing w:after="0" w:line="240" w:lineRule="auto"/>
        <w:jc w:val="both"/>
        <w:rPr>
          <w:rFonts w:ascii="Constantia" w:eastAsia="Constantia" w:hAnsi="Constantia" w:cs="Constantia"/>
        </w:rPr>
      </w:pPr>
    </w:p>
    <w:p w14:paraId="03DFB7FF" w14:textId="38A25CB9" w:rsidR="00085D0C" w:rsidRDefault="00085D0C">
      <w:pPr>
        <w:spacing w:after="0" w:line="240" w:lineRule="auto"/>
        <w:jc w:val="both"/>
        <w:rPr>
          <w:rFonts w:ascii="Constantia" w:eastAsia="Constantia" w:hAnsi="Constantia" w:cs="Constantia"/>
        </w:rPr>
      </w:pPr>
    </w:p>
    <w:p w14:paraId="47CBE9B1" w14:textId="74D105E3" w:rsidR="00085D0C" w:rsidRDefault="00085D0C">
      <w:pPr>
        <w:spacing w:after="0" w:line="240" w:lineRule="auto"/>
        <w:jc w:val="both"/>
        <w:rPr>
          <w:rFonts w:ascii="Constantia" w:eastAsia="Constantia" w:hAnsi="Constantia" w:cs="Constantia"/>
        </w:rPr>
      </w:pPr>
    </w:p>
    <w:p w14:paraId="11DBC676" w14:textId="37594D0C" w:rsidR="00085D0C" w:rsidRDefault="00085D0C">
      <w:pPr>
        <w:spacing w:after="0" w:line="240" w:lineRule="auto"/>
        <w:jc w:val="both"/>
        <w:rPr>
          <w:rFonts w:ascii="Constantia" w:eastAsia="Constantia" w:hAnsi="Constantia" w:cs="Constantia"/>
        </w:rPr>
      </w:pPr>
    </w:p>
    <w:p w14:paraId="77ED9754" w14:textId="70D366C7" w:rsidR="00085D0C" w:rsidRDefault="00085D0C">
      <w:pPr>
        <w:spacing w:after="0" w:line="240" w:lineRule="auto"/>
        <w:jc w:val="both"/>
        <w:rPr>
          <w:rFonts w:ascii="Constantia" w:eastAsia="Constantia" w:hAnsi="Constantia" w:cs="Constantia"/>
        </w:rPr>
      </w:pPr>
    </w:p>
    <w:p w14:paraId="6E373DDA" w14:textId="77777777" w:rsidR="006A4FDF" w:rsidRDefault="00392BA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Proyecto de ley _______ por medio del cual se establecen medidas de responsabilidad del Estado en favor de las víctimas de delitos de lesa humanidad, graves infracciones a los derechos humanos y al derecho internacional humanitario cometidos con ocasión o </w:t>
      </w:r>
      <w:r>
        <w:rPr>
          <w:rFonts w:ascii="Times New Roman" w:eastAsia="Times New Roman" w:hAnsi="Times New Roman" w:cs="Times New Roman"/>
          <w:b/>
          <w:color w:val="000000"/>
          <w:sz w:val="24"/>
          <w:szCs w:val="24"/>
        </w:rPr>
        <w:t>en razón del conflicto armado interno</w:t>
      </w:r>
    </w:p>
    <w:p w14:paraId="584CD24C" w14:textId="77777777" w:rsidR="006A4FDF" w:rsidRDefault="00392BA0">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Congreso de Colombia,</w:t>
      </w:r>
    </w:p>
    <w:p w14:paraId="162CA26D" w14:textId="77777777" w:rsidR="006A4FDF" w:rsidRDefault="00392BA0">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DECRETA:</w:t>
      </w:r>
    </w:p>
    <w:p w14:paraId="495FE9E4" w14:textId="77777777" w:rsidR="006A4FDF" w:rsidRDefault="00392BA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ARTÍCULO 1. OBJETO</w:t>
      </w:r>
      <w:r>
        <w:rPr>
          <w:rFonts w:ascii="Times New Roman" w:eastAsia="Times New Roman" w:hAnsi="Times New Roman" w:cs="Times New Roman"/>
          <w:color w:val="000000"/>
          <w:sz w:val="24"/>
          <w:szCs w:val="24"/>
        </w:rPr>
        <w:t>. La presente ley tiene por objeto establecer medidas de responsabilidad del Estado y adoptar disposiciones jurídicas que garanticen la reparación integral de las víc</w:t>
      </w:r>
      <w:r>
        <w:rPr>
          <w:rFonts w:ascii="Times New Roman" w:eastAsia="Times New Roman" w:hAnsi="Times New Roman" w:cs="Times New Roman"/>
          <w:color w:val="000000"/>
          <w:sz w:val="24"/>
          <w:szCs w:val="24"/>
        </w:rPr>
        <w:t>timas de ejecuciones extrajudiciales o falsos positivos, asegurando su acceso a la justicia mediante la flexibilización de las reglas procesales y el reconocimiento pleno de sus derechos</w:t>
      </w:r>
    </w:p>
    <w:p w14:paraId="7F9CB5CD" w14:textId="77777777" w:rsidR="006A4FDF" w:rsidRDefault="00392BA0">
      <w:pPr>
        <w:spacing w:before="280"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ARTÍCULO 2. ÁMBITO DE APLICACIÓN.</w:t>
      </w:r>
      <w:r>
        <w:rPr>
          <w:rFonts w:ascii="Times New Roman" w:eastAsia="Times New Roman" w:hAnsi="Times New Roman" w:cs="Times New Roman"/>
          <w:color w:val="000000"/>
          <w:sz w:val="24"/>
          <w:szCs w:val="24"/>
        </w:rPr>
        <w:t xml:space="preserve"> Las disposiciones de la presente le</w:t>
      </w:r>
      <w:r>
        <w:rPr>
          <w:rFonts w:ascii="Times New Roman" w:eastAsia="Times New Roman" w:hAnsi="Times New Roman" w:cs="Times New Roman"/>
          <w:color w:val="000000"/>
          <w:sz w:val="24"/>
          <w:szCs w:val="24"/>
        </w:rPr>
        <w:t>y aplican para las actuaciones jurisdiccionales en las que operen reclamos de las víctimas de ejecuciones extrajudiciales o falsos positivos perpetrados por agentes del Estado en el marco del conflicto armado interno.</w:t>
      </w:r>
    </w:p>
    <w:p w14:paraId="39F781D8" w14:textId="77777777" w:rsidR="006A4FDF" w:rsidRDefault="00392BA0">
      <w:pPr>
        <w:spacing w:before="280"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ARTÍCULO 3: </w:t>
      </w:r>
      <w:r>
        <w:rPr>
          <w:rFonts w:ascii="Times New Roman" w:eastAsia="Times New Roman" w:hAnsi="Times New Roman" w:cs="Times New Roman"/>
          <w:b/>
          <w:color w:val="000000"/>
          <w:sz w:val="24"/>
          <w:szCs w:val="24"/>
          <w:highlight w:val="white"/>
        </w:rPr>
        <w:t>PRINCIPIO</w:t>
      </w:r>
      <w:r>
        <w:rPr>
          <w:rFonts w:ascii="Times New Roman" w:eastAsia="Times New Roman" w:hAnsi="Times New Roman" w:cs="Times New Roman"/>
          <w:b/>
          <w:i/>
          <w:color w:val="000000"/>
          <w:sz w:val="24"/>
          <w:szCs w:val="24"/>
          <w:highlight w:val="white"/>
        </w:rPr>
        <w:t xml:space="preserve"> “PRO HOMINE”.</w:t>
      </w:r>
      <w:r>
        <w:rPr>
          <w:rFonts w:ascii="Times New Roman" w:eastAsia="Times New Roman" w:hAnsi="Times New Roman" w:cs="Times New Roman"/>
          <w:i/>
          <w:color w:val="000000"/>
          <w:sz w:val="24"/>
          <w:szCs w:val="24"/>
          <w:highlight w:val="white"/>
        </w:rPr>
        <w:t xml:space="preserve"> </w:t>
      </w:r>
      <w:r>
        <w:rPr>
          <w:rFonts w:ascii="Times New Roman" w:eastAsia="Times New Roman" w:hAnsi="Times New Roman" w:cs="Times New Roman"/>
          <w:color w:val="000000"/>
          <w:sz w:val="24"/>
          <w:szCs w:val="24"/>
          <w:highlight w:val="white"/>
        </w:rPr>
        <w:t>El juez o autoridad jurisdiccional estará obligado a aplicar la interpretación de las disposiciones de esta ley en aquellos aspectos que sean más favorable a las personas y sus derechos, esto es, la prevalencia de aquella interpretación que propenda por el</w:t>
      </w:r>
      <w:r>
        <w:rPr>
          <w:rFonts w:ascii="Times New Roman" w:eastAsia="Times New Roman" w:hAnsi="Times New Roman" w:cs="Times New Roman"/>
          <w:color w:val="000000"/>
          <w:sz w:val="24"/>
          <w:szCs w:val="24"/>
          <w:highlight w:val="white"/>
        </w:rPr>
        <w:t xml:space="preserve"> respeto de la dignidad humana y consecuentemente por la protección, garantía y promoción de los derechos humanos y de los derechos fundamentales consagrados a nivel constitucional y convencional.</w:t>
      </w:r>
      <w:r>
        <w:rPr>
          <w:rFonts w:ascii="Times New Roman" w:eastAsia="Times New Roman" w:hAnsi="Times New Roman" w:cs="Times New Roman"/>
          <w:i/>
          <w:color w:val="000000"/>
          <w:sz w:val="24"/>
          <w:szCs w:val="24"/>
          <w:highlight w:val="white"/>
        </w:rPr>
        <w:t xml:space="preserve"> </w:t>
      </w:r>
    </w:p>
    <w:p w14:paraId="673D056C" w14:textId="77777777" w:rsidR="006A4FDF" w:rsidRDefault="00392BA0">
      <w:pPr>
        <w:spacing w:before="280" w:after="28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rPr>
        <w:t xml:space="preserve">ARTÍCULO 4: </w:t>
      </w:r>
      <w:r>
        <w:rPr>
          <w:rFonts w:ascii="Times New Roman" w:eastAsia="Times New Roman" w:hAnsi="Times New Roman" w:cs="Times New Roman"/>
          <w:b/>
          <w:color w:val="000000"/>
          <w:sz w:val="24"/>
          <w:szCs w:val="24"/>
          <w:highlight w:val="white"/>
        </w:rPr>
        <w:t>APLICACIÓN NORMATIVA. </w:t>
      </w:r>
      <w:r>
        <w:rPr>
          <w:rFonts w:ascii="Times New Roman" w:eastAsia="Times New Roman" w:hAnsi="Times New Roman" w:cs="Times New Roman"/>
          <w:color w:val="000000"/>
          <w:sz w:val="24"/>
          <w:szCs w:val="24"/>
          <w:highlight w:val="white"/>
        </w:rPr>
        <w:t>En lo dispuesto en la pr</w:t>
      </w:r>
      <w:r>
        <w:rPr>
          <w:rFonts w:ascii="Times New Roman" w:eastAsia="Times New Roman" w:hAnsi="Times New Roman" w:cs="Times New Roman"/>
          <w:color w:val="000000"/>
          <w:sz w:val="24"/>
          <w:szCs w:val="24"/>
          <w:highlight w:val="white"/>
        </w:rPr>
        <w:t xml:space="preserve">esente ley, prevalecerá lo establecido en los tratados y convenios internacionales ratificados por Colombia sobre Derecho Internacional Humanitario y Derechos Humanos que prohíban su limitación durante los estados de excepción, por formar parte del bloque </w:t>
      </w:r>
      <w:r>
        <w:rPr>
          <w:rFonts w:ascii="Times New Roman" w:eastAsia="Times New Roman" w:hAnsi="Times New Roman" w:cs="Times New Roman"/>
          <w:color w:val="000000"/>
          <w:sz w:val="24"/>
          <w:szCs w:val="24"/>
          <w:highlight w:val="white"/>
        </w:rPr>
        <w:t xml:space="preserve">de constitucionalidad. </w:t>
      </w:r>
    </w:p>
    <w:p w14:paraId="2B05E4CA" w14:textId="77777777" w:rsidR="006A4FDF" w:rsidRDefault="00392BA0">
      <w:pPr>
        <w:spacing w:before="280" w:after="28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Serán parámetros de interpretación los tratados internacionales de derechos humanos que se consideran como imperativos para todos los Estados que protejan a las víctimas de crímenes de lesa humanidad en interpretación del artículo 9</w:t>
      </w:r>
      <w:r>
        <w:rPr>
          <w:rFonts w:ascii="Times New Roman" w:eastAsia="Times New Roman" w:hAnsi="Times New Roman" w:cs="Times New Roman"/>
          <w:color w:val="000000"/>
          <w:sz w:val="24"/>
          <w:szCs w:val="24"/>
          <w:highlight w:val="white"/>
        </w:rPr>
        <w:t>4 de la Constitución.</w:t>
      </w:r>
    </w:p>
    <w:p w14:paraId="1C26EA15" w14:textId="77777777" w:rsidR="006A4FDF" w:rsidRDefault="00392BA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rPr>
        <w:t>ARTÍCULO 5.</w:t>
      </w:r>
      <w:r>
        <w:rPr>
          <w:rFonts w:ascii="Times New Roman" w:eastAsia="Times New Roman" w:hAnsi="Times New Roman" w:cs="Times New Roman"/>
          <w:color w:val="000000"/>
          <w:sz w:val="24"/>
          <w:szCs w:val="24"/>
        </w:rPr>
        <w:t xml:space="preserve"> Adiciónese un inciso y dos parágrafos al literal i del numeral 2 del </w:t>
      </w:r>
      <w:r>
        <w:rPr>
          <w:rFonts w:ascii="Times New Roman" w:eastAsia="Times New Roman" w:hAnsi="Times New Roman" w:cs="Times New Roman"/>
          <w:color w:val="000000"/>
          <w:sz w:val="24"/>
          <w:szCs w:val="24"/>
          <w:u w:val="single"/>
        </w:rPr>
        <w:t>artículo 164 de la Ley 1437 de 2011:</w:t>
      </w:r>
    </w:p>
    <w:p w14:paraId="1BEEF329" w14:textId="77777777" w:rsidR="006A4FDF" w:rsidRDefault="00392BA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w:t>
      </w:r>
    </w:p>
    <w:p w14:paraId="38F322F8" w14:textId="77777777" w:rsidR="006A4FDF" w:rsidRDefault="00392BA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casos de ejecuciones extrajudiciales o falsos positivos, se flexibiliza el plazo de caducidad el cual se cont</w:t>
      </w:r>
      <w:r>
        <w:rPr>
          <w:rFonts w:ascii="Times New Roman" w:eastAsia="Times New Roman" w:hAnsi="Times New Roman" w:cs="Times New Roman"/>
          <w:color w:val="000000"/>
          <w:sz w:val="24"/>
          <w:szCs w:val="24"/>
        </w:rPr>
        <w:t xml:space="preserve">ará desde el momento en que las víctimas tuvieron un conocimiento real y </w:t>
      </w:r>
      <w:r>
        <w:rPr>
          <w:rFonts w:ascii="Times New Roman" w:eastAsia="Times New Roman" w:hAnsi="Times New Roman" w:cs="Times New Roman"/>
          <w:color w:val="000000"/>
          <w:sz w:val="24"/>
          <w:szCs w:val="24"/>
        </w:rPr>
        <w:lastRenderedPageBreak/>
        <w:t>efectivo de la participación del agente estatal, sin que esto limite su derecho a presentar la demanda desde la fecha de ocurrencia del daño, si así lo prefieren.</w:t>
      </w:r>
    </w:p>
    <w:p w14:paraId="62914AF9" w14:textId="77777777" w:rsidR="006A4FDF" w:rsidRDefault="006A4FDF">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7AF62C36" w14:textId="77777777" w:rsidR="006A4FDF" w:rsidRDefault="00392BA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Parágrafo 1. Establézcase un término de un (1) año, contado a partir de la entrada en vigor de esta ley, para que las víctimas de ejecuciones extrajudiciales o falsos positivos, cuya demanda de reparación directa haya sido rechazada por vencimiento del pla</w:t>
      </w:r>
      <w:r>
        <w:rPr>
          <w:rFonts w:ascii="Times New Roman" w:eastAsia="Times New Roman" w:hAnsi="Times New Roman" w:cs="Times New Roman"/>
          <w:color w:val="000000"/>
          <w:sz w:val="24"/>
          <w:szCs w:val="24"/>
        </w:rPr>
        <w:t>zo de caducidad, contado desde la fecha de ocurrencia del daño, puedan interponer nuevamente la acción.</w:t>
      </w:r>
    </w:p>
    <w:p w14:paraId="510B1A30" w14:textId="77777777" w:rsidR="006A4FDF" w:rsidRDefault="00392BA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Parágrafo 2: Para efectos de esta disposición, se entenderá por "conocimiento real y efectivo" el momento en que la víctima o sus familiares cuenten con</w:t>
      </w:r>
      <w:r>
        <w:rPr>
          <w:rFonts w:ascii="Times New Roman" w:eastAsia="Times New Roman" w:hAnsi="Times New Roman" w:cs="Times New Roman"/>
          <w:color w:val="000000"/>
          <w:sz w:val="24"/>
          <w:szCs w:val="24"/>
        </w:rPr>
        <w:t xml:space="preserve"> elementos probatorios que les permitan inferir razonablemente la participación del agente estatal en los hechos.</w:t>
      </w:r>
    </w:p>
    <w:p w14:paraId="31F885F8" w14:textId="77777777" w:rsidR="006A4FDF" w:rsidRDefault="00392BA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Este plazo adicional no limita la posibilidad de que las víctimas que hayan tenido conocimiento real y efectivo de la participación del agente estatal dentro del término original puedan demandar conforme a las reglas generales de caducidad previstas en la </w:t>
      </w:r>
      <w:r>
        <w:rPr>
          <w:rFonts w:ascii="Times New Roman" w:eastAsia="Times New Roman" w:hAnsi="Times New Roman" w:cs="Times New Roman"/>
          <w:color w:val="000000"/>
          <w:sz w:val="24"/>
          <w:szCs w:val="24"/>
        </w:rPr>
        <w:t>presente disposición.</w:t>
      </w:r>
    </w:p>
    <w:p w14:paraId="26384F77" w14:textId="77777777" w:rsidR="006A4FDF" w:rsidRDefault="006A4FDF">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594D4FF0" w14:textId="77777777" w:rsidR="006A4FDF" w:rsidRDefault="00392BA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b/>
          <w:color w:val="000000"/>
          <w:sz w:val="24"/>
          <w:szCs w:val="24"/>
        </w:rPr>
        <w:t>ARTÍCULO 6.</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Complementese</w:t>
      </w:r>
      <w:r>
        <w:rPr>
          <w:rFonts w:ascii="Times New Roman" w:eastAsia="Times New Roman" w:hAnsi="Times New Roman" w:cs="Times New Roman"/>
          <w:color w:val="000000"/>
          <w:sz w:val="24"/>
          <w:szCs w:val="24"/>
        </w:rPr>
        <w:t xml:space="preserve"> el inciso 4 del artículo 103 de la Ley 1437 de 2011, el cual quedará así:</w:t>
      </w:r>
    </w:p>
    <w:p w14:paraId="06007D83" w14:textId="77777777" w:rsidR="006A4FDF" w:rsidRDefault="00392BA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ARTÍCULO 103. Objeto y principios.</w:t>
      </w:r>
    </w:p>
    <w:p w14:paraId="5BDBBD77" w14:textId="77777777" w:rsidR="006A4FDF" w:rsidRDefault="00392BA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180064E3" w14:textId="77777777" w:rsidR="006A4FDF" w:rsidRDefault="00392BA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Quien acuda ante la Jurisdicción de lo Contencioso Administrativo, en cumplimiento del deber </w:t>
      </w:r>
      <w:r>
        <w:rPr>
          <w:rFonts w:ascii="Times New Roman" w:eastAsia="Times New Roman" w:hAnsi="Times New Roman" w:cs="Times New Roman"/>
          <w:color w:val="000000"/>
          <w:sz w:val="24"/>
          <w:szCs w:val="24"/>
          <w:highlight w:val="white"/>
        </w:rPr>
        <w:t xml:space="preserve">constitucional de colaboración para el buen funcionamiento de la administración de justicia, estará en la obligación de cumplir con las cargas procesales y probatorias previstas en este Código. </w:t>
      </w:r>
      <w:r>
        <w:rPr>
          <w:rFonts w:ascii="Times New Roman" w:eastAsia="Times New Roman" w:hAnsi="Times New Roman" w:cs="Times New Roman"/>
          <w:color w:val="000000"/>
          <w:sz w:val="24"/>
          <w:szCs w:val="24"/>
          <w:highlight w:val="white"/>
          <w:u w:val="single"/>
        </w:rPr>
        <w:t>Sin embargo, en aquellos casos en los que se discuta la repara</w:t>
      </w:r>
      <w:r>
        <w:rPr>
          <w:rFonts w:ascii="Times New Roman" w:eastAsia="Times New Roman" w:hAnsi="Times New Roman" w:cs="Times New Roman"/>
          <w:color w:val="000000"/>
          <w:sz w:val="24"/>
          <w:szCs w:val="24"/>
          <w:highlight w:val="white"/>
          <w:u w:val="single"/>
        </w:rPr>
        <w:t>ción a las víctimas de crímenes de lesa humanidad o graves infracciones a los derechos humanos o al derecho internacional humanitario que incluyen conductas como ejecuciones extrajudiciales, desaparición forzada, tortura cometida por agentes del Estado, en</w:t>
      </w:r>
      <w:r>
        <w:rPr>
          <w:rFonts w:ascii="Times New Roman" w:eastAsia="Times New Roman" w:hAnsi="Times New Roman" w:cs="Times New Roman"/>
          <w:color w:val="000000"/>
          <w:sz w:val="24"/>
          <w:szCs w:val="24"/>
          <w:highlight w:val="white"/>
          <w:u w:val="single"/>
        </w:rPr>
        <w:t>tre otras, el juez o magistrado que conoce del caso podrá flexibilizar las reglas probatorias y en aquellos casos en los que se advierte asimetría evidente de las partes y la mayor cercanía de una de estas con la prueba, incluso, invertir o distribuir la c</w:t>
      </w:r>
      <w:r>
        <w:rPr>
          <w:rFonts w:ascii="Times New Roman" w:eastAsia="Times New Roman" w:hAnsi="Times New Roman" w:cs="Times New Roman"/>
          <w:color w:val="000000"/>
          <w:sz w:val="24"/>
          <w:szCs w:val="24"/>
          <w:highlight w:val="white"/>
          <w:u w:val="single"/>
        </w:rPr>
        <w:t xml:space="preserve">arga de la prueba. </w:t>
      </w:r>
      <w:r>
        <w:rPr>
          <w:rFonts w:ascii="Times New Roman" w:eastAsia="Times New Roman" w:hAnsi="Times New Roman" w:cs="Times New Roman"/>
          <w:color w:val="000000"/>
          <w:sz w:val="24"/>
          <w:szCs w:val="24"/>
          <w:highlight w:val="white"/>
        </w:rPr>
        <w:t xml:space="preserve"> </w:t>
      </w:r>
    </w:p>
    <w:p w14:paraId="2795B850" w14:textId="77777777" w:rsidR="006A4FDF" w:rsidRDefault="00392BA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ARTÍCULO </w:t>
      </w:r>
      <w:r>
        <w:rPr>
          <w:rFonts w:ascii="Times New Roman" w:eastAsia="Times New Roman" w:hAnsi="Times New Roman" w:cs="Times New Roman"/>
          <w:b/>
          <w:sz w:val="24"/>
          <w:szCs w:val="24"/>
        </w:rPr>
        <w:t>7</w:t>
      </w:r>
      <w:r>
        <w:rPr>
          <w:rFonts w:ascii="Times New Roman" w:eastAsia="Times New Roman" w:hAnsi="Times New Roman" w:cs="Times New Roman"/>
          <w:b/>
          <w:color w:val="000000"/>
          <w:sz w:val="24"/>
          <w:szCs w:val="24"/>
        </w:rPr>
        <w:t>. VIGENCIA Y DEROGATORIAS.</w:t>
      </w:r>
      <w:r>
        <w:rPr>
          <w:rFonts w:ascii="Times New Roman" w:eastAsia="Times New Roman" w:hAnsi="Times New Roman" w:cs="Times New Roman"/>
          <w:color w:val="000000"/>
          <w:sz w:val="24"/>
          <w:szCs w:val="24"/>
        </w:rPr>
        <w:t xml:space="preserve"> La presente ley rige a partir de su promulgación y deroga todas las disposiciones que le sean contrarias.</w:t>
      </w:r>
    </w:p>
    <w:p w14:paraId="35CC96A0" w14:textId="77777777" w:rsidR="006A4FDF" w:rsidRDefault="006A4FDF">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04BB4F7F" w14:textId="22A99B88" w:rsidR="006A4FDF" w:rsidRDefault="00392BA0">
      <w:pPr>
        <w:pBdr>
          <w:top w:val="nil"/>
          <w:left w:val="nil"/>
          <w:bottom w:val="nil"/>
          <w:right w:val="nil"/>
          <w:between w:val="nil"/>
        </w:pBdr>
        <w:jc w:val="both"/>
        <w:rPr>
          <w:rFonts w:ascii="Constantia" w:eastAsia="Constantia" w:hAnsi="Constantia" w:cs="Constantia"/>
          <w:color w:val="000000"/>
        </w:rPr>
      </w:pPr>
      <w:r>
        <w:rPr>
          <w:rFonts w:ascii="Constantia" w:eastAsia="Constantia" w:hAnsi="Constantia" w:cs="Constantia"/>
          <w:color w:val="000000"/>
        </w:rPr>
        <w:t xml:space="preserve">Cordialmente, </w:t>
      </w:r>
    </w:p>
    <w:p w14:paraId="5FC0775D" w14:textId="77777777" w:rsidR="00085D0C" w:rsidRDefault="00085D0C">
      <w:pPr>
        <w:pBdr>
          <w:top w:val="nil"/>
          <w:left w:val="nil"/>
          <w:bottom w:val="nil"/>
          <w:right w:val="nil"/>
          <w:between w:val="nil"/>
        </w:pBdr>
        <w:jc w:val="both"/>
        <w:rPr>
          <w:rFonts w:ascii="Times New Roman" w:eastAsia="Times New Roman" w:hAnsi="Times New Roman" w:cs="Times New Roman"/>
          <w:b/>
          <w:sz w:val="28"/>
          <w:szCs w:val="28"/>
        </w:rPr>
      </w:pPr>
    </w:p>
    <w:p w14:paraId="175E95E8" w14:textId="77777777" w:rsidR="00085D0C" w:rsidRDefault="00085D0C">
      <w:pPr>
        <w:spacing w:after="0" w:line="240" w:lineRule="auto"/>
        <w:jc w:val="both"/>
        <w:rPr>
          <w:rFonts w:ascii="Times New Roman" w:eastAsia="Times New Roman" w:hAnsi="Times New Roman" w:cs="Times New Roman"/>
          <w:b/>
          <w:sz w:val="28"/>
          <w:szCs w:val="28"/>
        </w:rPr>
      </w:pPr>
    </w:p>
    <w:p w14:paraId="62E0D72C" w14:textId="118E339C" w:rsidR="006A4FDF" w:rsidRDefault="00392BA0">
      <w:pPr>
        <w:spacing w:after="0" w:line="240" w:lineRule="auto"/>
        <w:jc w:val="both"/>
        <w:rPr>
          <w:rFonts w:ascii="Candara" w:eastAsia="Candara" w:hAnsi="Candara" w:cs="Candara"/>
          <w:color w:val="262626"/>
          <w:sz w:val="24"/>
          <w:szCs w:val="24"/>
        </w:rPr>
      </w:pPr>
      <w:r>
        <w:rPr>
          <w:rFonts w:ascii="Candara" w:eastAsia="Candara" w:hAnsi="Candara" w:cs="Candara"/>
          <w:b/>
          <w:color w:val="262626"/>
          <w:sz w:val="24"/>
          <w:szCs w:val="24"/>
        </w:rPr>
        <w:t>SUSANA GÓMEZ CASTAÑO</w:t>
      </w:r>
    </w:p>
    <w:p w14:paraId="293E3793" w14:textId="7DA2AEB3" w:rsidR="00C65760" w:rsidRPr="00085D0C" w:rsidRDefault="00392BA0" w:rsidP="00085D0C">
      <w:pPr>
        <w:spacing w:after="0" w:line="240" w:lineRule="auto"/>
        <w:jc w:val="both"/>
        <w:rPr>
          <w:rFonts w:ascii="Candara" w:eastAsia="Candara" w:hAnsi="Candara" w:cs="Candara"/>
          <w:color w:val="262626"/>
          <w:sz w:val="24"/>
          <w:szCs w:val="24"/>
        </w:rPr>
      </w:pPr>
      <w:r>
        <w:rPr>
          <w:rFonts w:ascii="Candara" w:eastAsia="Candara" w:hAnsi="Candara" w:cs="Candara"/>
          <w:color w:val="262626"/>
          <w:sz w:val="24"/>
          <w:szCs w:val="24"/>
        </w:rPr>
        <w:t>Representante a la Cámara.</w:t>
      </w:r>
    </w:p>
    <w:p w14:paraId="799CB63B" w14:textId="77777777" w:rsidR="00C65760" w:rsidRDefault="00C65760">
      <w:pPr>
        <w:spacing w:after="0" w:line="276" w:lineRule="auto"/>
        <w:jc w:val="center"/>
        <w:rPr>
          <w:rFonts w:ascii="Times New Roman" w:eastAsia="Times New Roman" w:hAnsi="Times New Roman" w:cs="Times New Roman"/>
          <w:b/>
          <w:sz w:val="24"/>
          <w:szCs w:val="24"/>
        </w:rPr>
      </w:pPr>
    </w:p>
    <w:p w14:paraId="45A0A8FD" w14:textId="52E6C191" w:rsidR="006A4FDF" w:rsidRDefault="00392BA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EXPOSICIÓN DE MOTIVOS</w:t>
      </w:r>
    </w:p>
    <w:p w14:paraId="3F7FB9D7" w14:textId="77777777" w:rsidR="006A4FDF" w:rsidRDefault="006A4FDF">
      <w:pPr>
        <w:spacing w:after="0" w:line="276" w:lineRule="auto"/>
        <w:jc w:val="both"/>
        <w:rPr>
          <w:rFonts w:ascii="Times New Roman" w:eastAsia="Times New Roman" w:hAnsi="Times New Roman" w:cs="Times New Roman"/>
          <w:b/>
          <w:sz w:val="24"/>
          <w:szCs w:val="24"/>
        </w:rPr>
      </w:pPr>
    </w:p>
    <w:p w14:paraId="22095555" w14:textId="77777777" w:rsidR="006A4FDF" w:rsidRDefault="00392BA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INTRODUCCIÓN</w:t>
      </w:r>
    </w:p>
    <w:p w14:paraId="5B1B6AC1" w14:textId="77777777" w:rsidR="006A4FDF" w:rsidRDefault="006A4FDF">
      <w:pPr>
        <w:spacing w:after="0" w:line="276" w:lineRule="auto"/>
        <w:jc w:val="both"/>
        <w:rPr>
          <w:rFonts w:ascii="Times New Roman" w:eastAsia="Times New Roman" w:hAnsi="Times New Roman" w:cs="Times New Roman"/>
          <w:sz w:val="24"/>
          <w:szCs w:val="24"/>
        </w:rPr>
      </w:pPr>
    </w:p>
    <w:p w14:paraId="45DB55E4" w14:textId="77777777" w:rsidR="006A4FDF" w:rsidRDefault="00392BA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Colombia ha sido escenario de graves violaciones a los derechos humanos, entre las que destacan las ejecuciones extrajudiciales y los denominados falsos positivos. Estas prácticas, reconocidas por la jurisprudencia nacional e internacional como crímenes de</w:t>
      </w:r>
      <w:r>
        <w:rPr>
          <w:rFonts w:ascii="Times New Roman" w:eastAsia="Times New Roman" w:hAnsi="Times New Roman" w:cs="Times New Roman"/>
          <w:sz w:val="24"/>
          <w:szCs w:val="24"/>
        </w:rPr>
        <w:t xml:space="preserve"> lesa humanidad, han dejado un impacto profundo en el tejido social y en la confianza de los ciudadanos en las instituciones del Estado.</w:t>
      </w:r>
    </w:p>
    <w:p w14:paraId="0A7AD543" w14:textId="77777777" w:rsidR="006A4FDF" w:rsidRDefault="006A4FDF">
      <w:pPr>
        <w:spacing w:after="0" w:line="276" w:lineRule="auto"/>
        <w:jc w:val="both"/>
        <w:rPr>
          <w:rFonts w:ascii="Times New Roman" w:eastAsia="Times New Roman" w:hAnsi="Times New Roman" w:cs="Times New Roman"/>
          <w:sz w:val="24"/>
          <w:szCs w:val="24"/>
        </w:rPr>
      </w:pPr>
    </w:p>
    <w:p w14:paraId="25541F1E" w14:textId="77777777" w:rsidR="006A4FDF" w:rsidRDefault="00392BA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presente proyecto de ley busca garantizar un acceso efectivo a la justicia y una reparación integral para las vícti</w:t>
      </w:r>
      <w:r>
        <w:rPr>
          <w:rFonts w:ascii="Times New Roman" w:eastAsia="Times New Roman" w:hAnsi="Times New Roman" w:cs="Times New Roman"/>
          <w:sz w:val="24"/>
          <w:szCs w:val="24"/>
        </w:rPr>
        <w:t>mas de ejecuciones extrajudiciales y falsos positivos, ajustando las normas procesales que actualmente limitan sus derechos. Esta iniciativa responde a la necesidad de remover las barreras procesales que perpetúan la impunidad y fortalecer los mecanismos j</w:t>
      </w:r>
      <w:r>
        <w:rPr>
          <w:rFonts w:ascii="Times New Roman" w:eastAsia="Times New Roman" w:hAnsi="Times New Roman" w:cs="Times New Roman"/>
          <w:sz w:val="24"/>
          <w:szCs w:val="24"/>
        </w:rPr>
        <w:t>udiciales para que sean acordes con los compromisos internacionales adquiridos por el Estado colombiano.</w:t>
      </w:r>
    </w:p>
    <w:p w14:paraId="273A8915" w14:textId="77777777" w:rsidR="006A4FDF" w:rsidRDefault="006A4FDF">
      <w:pPr>
        <w:spacing w:after="0" w:line="276" w:lineRule="auto"/>
        <w:jc w:val="both"/>
        <w:rPr>
          <w:rFonts w:ascii="Times New Roman" w:eastAsia="Times New Roman" w:hAnsi="Times New Roman" w:cs="Times New Roman"/>
          <w:b/>
          <w:sz w:val="24"/>
          <w:szCs w:val="24"/>
        </w:rPr>
      </w:pPr>
    </w:p>
    <w:p w14:paraId="0BA9B38A" w14:textId="77777777" w:rsidR="006A4FDF" w:rsidRDefault="00392BA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CONTEXTO HISTÓRICO Y SITUACIÓN ACTUAL</w:t>
      </w:r>
    </w:p>
    <w:p w14:paraId="08595E7F" w14:textId="77777777" w:rsidR="006A4FDF" w:rsidRDefault="006A4FDF">
      <w:pPr>
        <w:spacing w:after="0" w:line="276" w:lineRule="auto"/>
        <w:jc w:val="both"/>
        <w:rPr>
          <w:rFonts w:ascii="Times New Roman" w:eastAsia="Times New Roman" w:hAnsi="Times New Roman" w:cs="Times New Roman"/>
          <w:b/>
          <w:sz w:val="24"/>
          <w:szCs w:val="24"/>
        </w:rPr>
      </w:pPr>
    </w:p>
    <w:p w14:paraId="678AEBCD" w14:textId="77777777" w:rsidR="006A4FDF" w:rsidRDefault="00392BA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pesar del reconocimiento de estas violaciones, las víctimas han enfrentado obstáculos significativos para acc</w:t>
      </w:r>
      <w:r>
        <w:rPr>
          <w:rFonts w:ascii="Times New Roman" w:eastAsia="Times New Roman" w:hAnsi="Times New Roman" w:cs="Times New Roman"/>
          <w:sz w:val="24"/>
          <w:szCs w:val="24"/>
        </w:rPr>
        <w:t>eder a la justicia. La aplicación estricta de los términos de caducidad, sumada a las dificultades para recolectar pruebas y a la falta de unificación jurisprudencial, ha perpetuado la revictimización y limitado las posibilidades de reparación integral.</w:t>
      </w:r>
    </w:p>
    <w:p w14:paraId="5785041E" w14:textId="77777777" w:rsidR="006A4FDF" w:rsidRDefault="006A4FDF">
      <w:pPr>
        <w:spacing w:after="0" w:line="276" w:lineRule="auto"/>
        <w:jc w:val="both"/>
        <w:rPr>
          <w:rFonts w:ascii="Times New Roman" w:eastAsia="Times New Roman" w:hAnsi="Times New Roman" w:cs="Times New Roman"/>
          <w:sz w:val="24"/>
          <w:szCs w:val="24"/>
        </w:rPr>
      </w:pPr>
    </w:p>
    <w:p w14:paraId="24FBDB47" w14:textId="77777777" w:rsidR="006A4FDF" w:rsidRDefault="00392BA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l sistema judicial colombiano, aunque ha avanzado en el reconocimiento de estas violaciones, enfrenta limitaciones estructurales que dificultan la investigación y el juzgamiento de estos crímenes. En este contexto, es urgente adoptar reformas que garantice</w:t>
      </w:r>
      <w:r>
        <w:rPr>
          <w:rFonts w:ascii="Times New Roman" w:eastAsia="Times New Roman" w:hAnsi="Times New Roman" w:cs="Times New Roman"/>
          <w:sz w:val="24"/>
          <w:szCs w:val="24"/>
        </w:rPr>
        <w:t>n el acceso efectivo a la justicia y permitan superar las barreras que perpetúan la impunidad.</w:t>
      </w:r>
    </w:p>
    <w:p w14:paraId="6D17E73E" w14:textId="77777777" w:rsidR="006A4FDF" w:rsidRDefault="006A4FDF">
      <w:pPr>
        <w:spacing w:after="0" w:line="276" w:lineRule="auto"/>
        <w:jc w:val="both"/>
        <w:rPr>
          <w:rFonts w:ascii="Times New Roman" w:eastAsia="Times New Roman" w:hAnsi="Times New Roman" w:cs="Times New Roman"/>
          <w:sz w:val="24"/>
          <w:szCs w:val="24"/>
        </w:rPr>
      </w:pPr>
    </w:p>
    <w:p w14:paraId="490F150F" w14:textId="77777777" w:rsidR="006A4FDF" w:rsidRDefault="00392BA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este sentido, el presente proyecto de ley es necesario y urgente puesto que pone el valor de la vida y la reparación de las víctimas en un lugar central, en </w:t>
      </w:r>
      <w:r>
        <w:rPr>
          <w:rFonts w:ascii="Times New Roman" w:eastAsia="Times New Roman" w:hAnsi="Times New Roman" w:cs="Times New Roman"/>
          <w:sz w:val="24"/>
          <w:szCs w:val="24"/>
        </w:rPr>
        <w:t>especial, de aquellas que han sido afectadas por delitos de lesa humanidad, graves infracciones a los derechos humanos o al derecho internacional humanitario. Esta ley surge por la necesidad de adecuar el ordenamiento jurídico colombiano a los parámetros i</w:t>
      </w:r>
      <w:r>
        <w:rPr>
          <w:rFonts w:ascii="Times New Roman" w:eastAsia="Times New Roman" w:hAnsi="Times New Roman" w:cs="Times New Roman"/>
          <w:sz w:val="24"/>
          <w:szCs w:val="24"/>
        </w:rPr>
        <w:t>nternacionales en materia de protección a las víctimas de conductas que son imprescriptibles en la investigación. En este sentido, este PL se justifica por varias razones: i) desde lo sustancial, porque es una obligación jurídica y moral por parte del Esta</w:t>
      </w:r>
      <w:r>
        <w:rPr>
          <w:rFonts w:ascii="Times New Roman" w:eastAsia="Times New Roman" w:hAnsi="Times New Roman" w:cs="Times New Roman"/>
          <w:sz w:val="24"/>
          <w:szCs w:val="24"/>
        </w:rPr>
        <w:t xml:space="preserve">do de reparar en debida forma a las víctimas, con un énfasis superior y con mayores garantías a las víctimas de los crímenes más atroces aún por encima de fenómenos procesales como la caducidad; ii) desde una obligación convencional en consonancia con los </w:t>
      </w:r>
      <w:r>
        <w:rPr>
          <w:rFonts w:ascii="Times New Roman" w:eastAsia="Times New Roman" w:hAnsi="Times New Roman" w:cs="Times New Roman"/>
          <w:sz w:val="24"/>
          <w:szCs w:val="24"/>
        </w:rPr>
        <w:t xml:space="preserve">tratados de derechos humanos interpretados por la doctrina como </w:t>
      </w:r>
      <w:r>
        <w:rPr>
          <w:rFonts w:ascii="Times New Roman" w:eastAsia="Times New Roman" w:hAnsi="Times New Roman" w:cs="Times New Roman"/>
          <w:sz w:val="24"/>
          <w:szCs w:val="24"/>
        </w:rPr>
        <w:lastRenderedPageBreak/>
        <w:t>imperativos para todos los Estados, en donde no es razonable la excusa de apelar al ordenamiento jurídico interno y, iii) desde la misma seguridad jurídica, porque los fallos contradictorios h</w:t>
      </w:r>
      <w:r>
        <w:rPr>
          <w:rFonts w:ascii="Times New Roman" w:eastAsia="Times New Roman" w:hAnsi="Times New Roman" w:cs="Times New Roman"/>
          <w:sz w:val="24"/>
          <w:szCs w:val="24"/>
        </w:rPr>
        <w:t>an generado un caos doctrinal que ha generado incertidumbre en el país sobre la manera cómo se debe entender la aplicación de las reglas sobre la caducidad en el medio de control de reparación directa cuando se está en frente de víctimas de crímenes de les</w:t>
      </w:r>
      <w:r>
        <w:rPr>
          <w:rFonts w:ascii="Times New Roman" w:eastAsia="Times New Roman" w:hAnsi="Times New Roman" w:cs="Times New Roman"/>
          <w:sz w:val="24"/>
          <w:szCs w:val="24"/>
        </w:rPr>
        <w:t>a humanidad o graves infracciones a los derechos humanos, como lo son las de las ejecuciones extrajudiciales.</w:t>
      </w:r>
    </w:p>
    <w:p w14:paraId="62A7AAB4" w14:textId="77777777" w:rsidR="006A4FDF" w:rsidRDefault="006A4FDF">
      <w:pPr>
        <w:spacing w:after="0" w:line="276" w:lineRule="auto"/>
        <w:jc w:val="both"/>
        <w:rPr>
          <w:rFonts w:ascii="Times New Roman" w:eastAsia="Times New Roman" w:hAnsi="Times New Roman" w:cs="Times New Roman"/>
          <w:sz w:val="24"/>
          <w:szCs w:val="24"/>
        </w:rPr>
      </w:pPr>
    </w:p>
    <w:p w14:paraId="554C9574" w14:textId="77777777" w:rsidR="006A4FDF" w:rsidRDefault="006A4FDF">
      <w:pPr>
        <w:spacing w:after="0" w:line="276" w:lineRule="auto"/>
        <w:jc w:val="both"/>
        <w:rPr>
          <w:rFonts w:ascii="Times New Roman" w:eastAsia="Times New Roman" w:hAnsi="Times New Roman" w:cs="Times New Roman"/>
          <w:b/>
          <w:sz w:val="24"/>
          <w:szCs w:val="24"/>
        </w:rPr>
      </w:pPr>
    </w:p>
    <w:p w14:paraId="760E69B7" w14:textId="77777777" w:rsidR="006A4FDF" w:rsidRDefault="00392BA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BARRERAS PROCESALES Y NECESIDAD DE REFORMA</w:t>
      </w:r>
    </w:p>
    <w:p w14:paraId="21FA84DF" w14:textId="77777777" w:rsidR="006A4FDF" w:rsidRDefault="006A4FDF">
      <w:pPr>
        <w:spacing w:after="0" w:line="276" w:lineRule="auto"/>
        <w:jc w:val="both"/>
        <w:rPr>
          <w:rFonts w:ascii="Times New Roman" w:eastAsia="Times New Roman" w:hAnsi="Times New Roman" w:cs="Times New Roman"/>
          <w:b/>
          <w:sz w:val="24"/>
          <w:szCs w:val="24"/>
        </w:rPr>
      </w:pPr>
    </w:p>
    <w:p w14:paraId="22C82E5D" w14:textId="77777777" w:rsidR="006A4FDF" w:rsidRDefault="00392BA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Obstáculos en el marco legal vigente</w:t>
      </w:r>
    </w:p>
    <w:p w14:paraId="74A766F8" w14:textId="77777777" w:rsidR="006A4FDF" w:rsidRDefault="006A4FDF">
      <w:pPr>
        <w:spacing w:after="0" w:line="276" w:lineRule="auto"/>
        <w:jc w:val="both"/>
        <w:rPr>
          <w:rFonts w:ascii="Times New Roman" w:eastAsia="Times New Roman" w:hAnsi="Times New Roman" w:cs="Times New Roman"/>
          <w:sz w:val="24"/>
          <w:szCs w:val="24"/>
        </w:rPr>
      </w:pPr>
    </w:p>
    <w:p w14:paraId="55263958" w14:textId="77777777" w:rsidR="006A4FDF" w:rsidRDefault="00392BA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artículo 164 de la Ley 1437 de 2011 establece un plazo de c</w:t>
      </w:r>
      <w:r>
        <w:rPr>
          <w:rFonts w:ascii="Times New Roman" w:eastAsia="Times New Roman" w:hAnsi="Times New Roman" w:cs="Times New Roman"/>
          <w:sz w:val="24"/>
          <w:szCs w:val="24"/>
        </w:rPr>
        <w:t>aducidad de dos años para presentar demandas de reparación directa. Si bien esta disposición busca garantizar la seguridad jurídica, su aplicación estricta en casos de violaciones graves a los derechos humanos desconoce las particularidades de las víctimas</w:t>
      </w:r>
      <w:r>
        <w:rPr>
          <w:rFonts w:ascii="Times New Roman" w:eastAsia="Times New Roman" w:hAnsi="Times New Roman" w:cs="Times New Roman"/>
          <w:sz w:val="24"/>
          <w:szCs w:val="24"/>
        </w:rPr>
        <w:t xml:space="preserve"> de ejecuciones extrajudiciales. En muchos casos, las familias solo adquieren conocimiento real y efectivo de la participación estatal después de vencido el plazo, lo que cierra injustamente las puertas del sistema judicial.</w:t>
      </w:r>
    </w:p>
    <w:p w14:paraId="3672CB8C" w14:textId="77777777" w:rsidR="006A4FDF" w:rsidRDefault="006A4FDF">
      <w:pPr>
        <w:spacing w:after="0" w:line="276" w:lineRule="auto"/>
        <w:jc w:val="both"/>
        <w:rPr>
          <w:rFonts w:ascii="Times New Roman" w:eastAsia="Times New Roman" w:hAnsi="Times New Roman" w:cs="Times New Roman"/>
          <w:sz w:val="24"/>
          <w:szCs w:val="24"/>
        </w:rPr>
      </w:pPr>
    </w:p>
    <w:p w14:paraId="6CF786E2" w14:textId="77777777" w:rsidR="006A4FDF" w:rsidRDefault="00392BA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situación no solo afecta </w:t>
      </w:r>
      <w:r>
        <w:rPr>
          <w:rFonts w:ascii="Times New Roman" w:eastAsia="Times New Roman" w:hAnsi="Times New Roman" w:cs="Times New Roman"/>
          <w:sz w:val="24"/>
          <w:szCs w:val="24"/>
        </w:rPr>
        <w:t>el acceso a la justicia, sino que también vulnera el derecho a la verdad y la reparación integral de las víctimas. La falta de criterios claros sobre la aplicación de la caducidad en estos casos ha generado una jurisprudencia fragmentada, con decisiones co</w:t>
      </w:r>
      <w:r>
        <w:rPr>
          <w:rFonts w:ascii="Times New Roman" w:eastAsia="Times New Roman" w:hAnsi="Times New Roman" w:cs="Times New Roman"/>
          <w:sz w:val="24"/>
          <w:szCs w:val="24"/>
        </w:rPr>
        <w:t>ntradictorias que incrementan la incertidumbre jurídica.</w:t>
      </w:r>
    </w:p>
    <w:p w14:paraId="6EFE81D0" w14:textId="77777777" w:rsidR="006A4FDF" w:rsidRDefault="006A4FDF">
      <w:pPr>
        <w:spacing w:after="0" w:line="276" w:lineRule="auto"/>
        <w:jc w:val="both"/>
        <w:rPr>
          <w:rFonts w:ascii="Times New Roman" w:eastAsia="Times New Roman" w:hAnsi="Times New Roman" w:cs="Times New Roman"/>
          <w:sz w:val="24"/>
          <w:szCs w:val="24"/>
        </w:rPr>
      </w:pPr>
    </w:p>
    <w:p w14:paraId="34C6F030" w14:textId="77777777" w:rsidR="006A4FDF" w:rsidRDefault="00392BA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Además, los crímenes de lesa humanidad, por su gravedad y sistematicidad, requieren un tratamiento excepcional que trascienda las limitaciones normativas tradicionales. La rigidez de las normas proc</w:t>
      </w:r>
      <w:r>
        <w:rPr>
          <w:rFonts w:ascii="Times New Roman" w:eastAsia="Times New Roman" w:hAnsi="Times New Roman" w:cs="Times New Roman"/>
          <w:sz w:val="24"/>
          <w:szCs w:val="24"/>
        </w:rPr>
        <w:t>esales no solo desconoce el contexto estructural de estos crímenes, sino que también impone una carga desproporcionada a las víctimas, quienes suelen enfrentarse a condiciones de vulnerabilidad y asimetría probatoria.</w:t>
      </w:r>
    </w:p>
    <w:p w14:paraId="4EF9435E" w14:textId="77777777" w:rsidR="006A4FDF" w:rsidRDefault="006A4FDF">
      <w:pPr>
        <w:spacing w:after="0" w:line="276" w:lineRule="auto"/>
        <w:jc w:val="both"/>
        <w:rPr>
          <w:rFonts w:ascii="Times New Roman" w:eastAsia="Times New Roman" w:hAnsi="Times New Roman" w:cs="Times New Roman"/>
          <w:sz w:val="24"/>
          <w:szCs w:val="24"/>
        </w:rPr>
      </w:pPr>
    </w:p>
    <w:p w14:paraId="4B9A567F" w14:textId="77777777" w:rsidR="006A4FDF" w:rsidRDefault="00392BA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otro lado, la aplicación uniforme de los términos de caducidad no considera las particularidades de cada caso. En muchos casos, las familias de las víctimas enfrentan serios obstáculos para recolectar pruebas debido a la falta de acceso a la informació</w:t>
      </w:r>
      <w:r>
        <w:rPr>
          <w:rFonts w:ascii="Times New Roman" w:eastAsia="Times New Roman" w:hAnsi="Times New Roman" w:cs="Times New Roman"/>
          <w:sz w:val="24"/>
          <w:szCs w:val="24"/>
        </w:rPr>
        <w:t>n, las amenazas a su seguridad y la desconfianza en las instituciones del Estado, lo que profundiza la desigualdad y la exclusión en el acceso a la justicia.</w:t>
      </w:r>
    </w:p>
    <w:p w14:paraId="7AF52ECF" w14:textId="77777777" w:rsidR="006A4FDF" w:rsidRDefault="006A4FDF">
      <w:pPr>
        <w:spacing w:after="0" w:line="276" w:lineRule="auto"/>
        <w:jc w:val="both"/>
        <w:rPr>
          <w:rFonts w:ascii="Times New Roman" w:eastAsia="Times New Roman" w:hAnsi="Times New Roman" w:cs="Times New Roman"/>
          <w:sz w:val="24"/>
          <w:szCs w:val="24"/>
        </w:rPr>
      </w:pPr>
    </w:p>
    <w:p w14:paraId="2B11B1E3" w14:textId="77777777" w:rsidR="006A4FDF" w:rsidRDefault="00392BA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Jurisprudencia nacional</w:t>
      </w:r>
    </w:p>
    <w:p w14:paraId="60E22083" w14:textId="77777777" w:rsidR="006A4FDF" w:rsidRDefault="006A4FDF">
      <w:pPr>
        <w:spacing w:after="0" w:line="276" w:lineRule="auto"/>
        <w:jc w:val="both"/>
        <w:rPr>
          <w:rFonts w:ascii="Times New Roman" w:eastAsia="Times New Roman" w:hAnsi="Times New Roman" w:cs="Times New Roman"/>
          <w:b/>
          <w:sz w:val="24"/>
          <w:szCs w:val="24"/>
        </w:rPr>
      </w:pPr>
    </w:p>
    <w:p w14:paraId="5E0633A1" w14:textId="77777777" w:rsidR="006A4FDF" w:rsidRDefault="00392BA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se señaló, existe una contradicción evidente en los fallos del Consejo de Estado en materia de caducidad. Por ejemplo, en la sentencia de unificación del 29 de enero de 2020, </w:t>
      </w:r>
      <w:r>
        <w:rPr>
          <w:rFonts w:ascii="Times New Roman" w:eastAsia="Times New Roman" w:hAnsi="Times New Roman" w:cs="Times New Roman"/>
          <w:sz w:val="24"/>
          <w:szCs w:val="24"/>
        </w:rPr>
        <w:lastRenderedPageBreak/>
        <w:t>con radicado 85001-33-33-002-2014-00144-01, en decisión de Sala Plena, Conse</w:t>
      </w:r>
      <w:r>
        <w:rPr>
          <w:rFonts w:ascii="Times New Roman" w:eastAsia="Times New Roman" w:hAnsi="Times New Roman" w:cs="Times New Roman"/>
          <w:sz w:val="24"/>
          <w:szCs w:val="24"/>
        </w:rPr>
        <w:t>jera ponente MARTA NUBIA VELÁSQUEZ RICO, aborda la caducidad del medio de control de reparación directa en casos relacionados con delitos de lesa humanidad. El Consejo de Estado se apoyó en varias normas y argumentó la necesidad de aplicar las reglas de ca</w:t>
      </w:r>
      <w:r>
        <w:rPr>
          <w:rFonts w:ascii="Times New Roman" w:eastAsia="Times New Roman" w:hAnsi="Times New Roman" w:cs="Times New Roman"/>
          <w:sz w:val="24"/>
          <w:szCs w:val="24"/>
        </w:rPr>
        <w:t>ducidad establecidas por el legislador, alejándose de la postura sobre la imprescriptibilidad.</w:t>
      </w:r>
    </w:p>
    <w:p w14:paraId="2EF792DD" w14:textId="77777777" w:rsidR="006A4FDF" w:rsidRDefault="006A4FDF">
      <w:pPr>
        <w:spacing w:after="0" w:line="276" w:lineRule="auto"/>
        <w:jc w:val="both"/>
        <w:rPr>
          <w:rFonts w:ascii="Times New Roman" w:eastAsia="Times New Roman" w:hAnsi="Times New Roman" w:cs="Times New Roman"/>
          <w:sz w:val="24"/>
          <w:szCs w:val="24"/>
        </w:rPr>
      </w:pPr>
    </w:p>
    <w:p w14:paraId="6AC9E6EC" w14:textId="77777777" w:rsidR="006A4FDF" w:rsidRDefault="00392BA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Consejo de Estado estableció que la acción de reparación directa debía ejercerse dentro de los dos años siguientes al conocimiento del hecho dañoso, tal como</w:t>
      </w:r>
      <w:r>
        <w:rPr>
          <w:rFonts w:ascii="Times New Roman" w:eastAsia="Times New Roman" w:hAnsi="Times New Roman" w:cs="Times New Roman"/>
          <w:sz w:val="24"/>
          <w:szCs w:val="24"/>
        </w:rPr>
        <w:t xml:space="preserve"> lo establece el numeral 8 del artículo 136 del Código Contencioso Administrativo (C.C.A.), norma vigente en la época de los hechos que eran objeto de juzgamiento. Esta regla se aplica incluso en los casos de delitos de lesa humanidad, con la excepción de </w:t>
      </w:r>
      <w:r>
        <w:rPr>
          <w:rFonts w:ascii="Times New Roman" w:eastAsia="Times New Roman" w:hAnsi="Times New Roman" w:cs="Times New Roman"/>
          <w:sz w:val="24"/>
          <w:szCs w:val="24"/>
        </w:rPr>
        <w:t>la desaparición forzada, que tiene una regulación específica.</w:t>
      </w:r>
    </w:p>
    <w:p w14:paraId="5EACE63E" w14:textId="77777777" w:rsidR="006A4FDF" w:rsidRDefault="006A4FDF">
      <w:pPr>
        <w:spacing w:after="0" w:line="276" w:lineRule="auto"/>
        <w:jc w:val="both"/>
        <w:rPr>
          <w:rFonts w:ascii="Times New Roman" w:eastAsia="Times New Roman" w:hAnsi="Times New Roman" w:cs="Times New Roman"/>
          <w:sz w:val="24"/>
          <w:szCs w:val="24"/>
        </w:rPr>
      </w:pPr>
    </w:p>
    <w:p w14:paraId="2A09B1C4" w14:textId="77777777" w:rsidR="006A4FDF" w:rsidRDefault="00392BA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decisión de aplicar las reglas de caducidad se fundamenta en la premisa de que la responsabilidad del Estado es independiente de la sanción penal del autor del delito. Esto significa que el </w:t>
      </w:r>
      <w:r>
        <w:rPr>
          <w:rFonts w:ascii="Times New Roman" w:eastAsia="Times New Roman" w:hAnsi="Times New Roman" w:cs="Times New Roman"/>
          <w:sz w:val="24"/>
          <w:szCs w:val="24"/>
        </w:rPr>
        <w:t xml:space="preserve">término para demandar no debe condicionarse a la definición del proceso penal, sino al momento en que las víctimas conocen o debieron conocer la participación del Estado en el hecho dañoso. Este enfoque se basa en garantizar que el acceso a la justicia no </w:t>
      </w:r>
      <w:r>
        <w:rPr>
          <w:rFonts w:ascii="Times New Roman" w:eastAsia="Times New Roman" w:hAnsi="Times New Roman" w:cs="Times New Roman"/>
          <w:sz w:val="24"/>
          <w:szCs w:val="24"/>
        </w:rPr>
        <w:t>se vea obstruido por la falta de definición penal, sino que se centre en el conocimiento del daño y la posibilidad de imputarlo al Estado.</w:t>
      </w:r>
    </w:p>
    <w:p w14:paraId="50F56C7E" w14:textId="77777777" w:rsidR="006A4FDF" w:rsidRDefault="006A4FDF">
      <w:pPr>
        <w:spacing w:after="0" w:line="276" w:lineRule="auto"/>
        <w:jc w:val="both"/>
        <w:rPr>
          <w:rFonts w:ascii="Times New Roman" w:eastAsia="Times New Roman" w:hAnsi="Times New Roman" w:cs="Times New Roman"/>
          <w:sz w:val="24"/>
          <w:szCs w:val="24"/>
        </w:rPr>
      </w:pPr>
    </w:p>
    <w:p w14:paraId="724FF1C4" w14:textId="77777777" w:rsidR="006A4FDF" w:rsidRDefault="00392BA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justificar esta postura, el Consejo de Estado argumentó que el bloque de constitucionalidad no impide que los E</w:t>
      </w:r>
      <w:r>
        <w:rPr>
          <w:rFonts w:ascii="Times New Roman" w:eastAsia="Times New Roman" w:hAnsi="Times New Roman" w:cs="Times New Roman"/>
          <w:sz w:val="24"/>
          <w:szCs w:val="24"/>
        </w:rPr>
        <w:t xml:space="preserve">stados adopten sus propias reglas para el acceso a su sistema judicial. Por lo tanto, en Colombia, según esta postura, se debían aplicar las normas de caducidad internas, incluso en los casos de lesa humanidad. Según esta interpretación, que justamente se </w:t>
      </w:r>
      <w:r>
        <w:rPr>
          <w:rFonts w:ascii="Times New Roman" w:eastAsia="Times New Roman" w:hAnsi="Times New Roman" w:cs="Times New Roman"/>
          <w:sz w:val="24"/>
          <w:szCs w:val="24"/>
        </w:rPr>
        <w:t>pretende eliminar con este proyecto de ley, se debía balancear la necesidad de justicia y la seguridad jurídica, evitando la indefinición perpetua de los términos para demandar. Asunto que claramente no hace justicia con la centralidad de las víctimas y má</w:t>
      </w:r>
      <w:r>
        <w:rPr>
          <w:rFonts w:ascii="Times New Roman" w:eastAsia="Times New Roman" w:hAnsi="Times New Roman" w:cs="Times New Roman"/>
          <w:sz w:val="24"/>
          <w:szCs w:val="24"/>
        </w:rPr>
        <w:t xml:space="preserve">xime en un contexto como el nuestro en el que se aplican mecanismos de justicia transicional que buscan subsanar las heridas del pasado para lograr paz. </w:t>
      </w:r>
    </w:p>
    <w:p w14:paraId="7FFADDCA" w14:textId="77777777" w:rsidR="006A4FDF" w:rsidRDefault="00392BA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Además, la sentencia en mención cita el artículo 271 de la Ley 1437 de 2011, que faculta al Consejo de</w:t>
      </w:r>
      <w:r>
        <w:rPr>
          <w:rFonts w:ascii="Times New Roman" w:eastAsia="Times New Roman" w:hAnsi="Times New Roman" w:cs="Times New Roman"/>
          <w:sz w:val="24"/>
          <w:szCs w:val="24"/>
        </w:rPr>
        <w:t xml:space="preserve"> Estado para asumir, por razones de importancia jurídica, la expedición de sentencias de unificación jurisprudencial. En este contexto, se reitera que el término de caducidad para solicitar la reparación directa comienza a partir del momento en que las víc</w:t>
      </w:r>
      <w:r>
        <w:rPr>
          <w:rFonts w:ascii="Times New Roman" w:eastAsia="Times New Roman" w:hAnsi="Times New Roman" w:cs="Times New Roman"/>
          <w:sz w:val="24"/>
          <w:szCs w:val="24"/>
        </w:rPr>
        <w:t>timas tienen elementos para deducir la participación del Estado, y no necesariamente desde la definición de los procesos penales relacionados.</w:t>
      </w:r>
    </w:p>
    <w:p w14:paraId="561B9CAC" w14:textId="77777777" w:rsidR="006A4FDF" w:rsidRDefault="006A4FDF">
      <w:pPr>
        <w:spacing w:after="0" w:line="276" w:lineRule="auto"/>
        <w:jc w:val="both"/>
        <w:rPr>
          <w:rFonts w:ascii="Times New Roman" w:eastAsia="Times New Roman" w:hAnsi="Times New Roman" w:cs="Times New Roman"/>
          <w:sz w:val="24"/>
          <w:szCs w:val="24"/>
        </w:rPr>
      </w:pPr>
    </w:p>
    <w:p w14:paraId="7C5649EC" w14:textId="77777777" w:rsidR="006A4FDF" w:rsidRDefault="00392BA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Consejo de Estado, en esta sentencia de unificación enfatizó la aplicación de las reglas de caducidad del med</w:t>
      </w:r>
      <w:r>
        <w:rPr>
          <w:rFonts w:ascii="Times New Roman" w:eastAsia="Times New Roman" w:hAnsi="Times New Roman" w:cs="Times New Roman"/>
          <w:sz w:val="24"/>
          <w:szCs w:val="24"/>
        </w:rPr>
        <w:t>io de control de reparación directa basándose en el conocimiento del hecho dañoso y la participación del Estado, desestimando la imprescriptibilidad para estos casos.</w:t>
      </w:r>
    </w:p>
    <w:p w14:paraId="155EE1F7" w14:textId="77777777" w:rsidR="006A4FDF" w:rsidRDefault="00392BA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40F84B0" w14:textId="77777777" w:rsidR="006A4FDF" w:rsidRDefault="00392BA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Paradójicamente, en la misma sentencia de unificación, se citan varias normas de derech</w:t>
      </w:r>
      <w:r>
        <w:rPr>
          <w:rFonts w:ascii="Times New Roman" w:eastAsia="Times New Roman" w:hAnsi="Times New Roman" w:cs="Times New Roman"/>
          <w:sz w:val="24"/>
          <w:szCs w:val="24"/>
        </w:rPr>
        <w:t>o internacional, las cuales se utilizan con el propósito de fundamentar la decisión sobre la caducidad del medio de control de reparación directa en casos de delitos de lesa humanidad. Estas mismas normas justifican por qué este proyecto de ley se ajusta a</w:t>
      </w:r>
      <w:r>
        <w:rPr>
          <w:rFonts w:ascii="Times New Roman" w:eastAsia="Times New Roman" w:hAnsi="Times New Roman" w:cs="Times New Roman"/>
          <w:sz w:val="24"/>
          <w:szCs w:val="24"/>
        </w:rPr>
        <w:t xml:space="preserve"> la normatividad internacional. Las normas citadas son las siguientes:</w:t>
      </w:r>
    </w:p>
    <w:p w14:paraId="12624A7A" w14:textId="77777777" w:rsidR="006A4FDF" w:rsidRDefault="006A4FDF">
      <w:pPr>
        <w:spacing w:after="0" w:line="276" w:lineRule="auto"/>
        <w:jc w:val="both"/>
        <w:rPr>
          <w:rFonts w:ascii="Times New Roman" w:eastAsia="Times New Roman" w:hAnsi="Times New Roman" w:cs="Times New Roman"/>
          <w:sz w:val="24"/>
          <w:szCs w:val="24"/>
        </w:rPr>
      </w:pPr>
    </w:p>
    <w:p w14:paraId="5FCFEB95" w14:textId="77777777" w:rsidR="006A4FDF" w:rsidRDefault="00392BA0">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Convención sobre la Imprescriptibilidad de los Crímenes de Guerra y de los Crímenes de Lesa Humanidad: Aunque Colombia no ha suscrito ni ratificado esta convención, el Consejo de Estad</w:t>
      </w:r>
      <w:r>
        <w:rPr>
          <w:rFonts w:ascii="Times New Roman" w:eastAsia="Times New Roman" w:hAnsi="Times New Roman" w:cs="Times New Roman"/>
          <w:color w:val="000000"/>
          <w:sz w:val="24"/>
          <w:szCs w:val="24"/>
        </w:rPr>
        <w:t>o señala que hace parte del Ius cogens, es decir, de las normas de derecho internacional consuetudinario que tienen carácter imperativo. Esta convención se utiliza para resaltar que los crímenes de lesa humanidad son imprescriptibles, lo que implica que lo</w:t>
      </w:r>
      <w:r>
        <w:rPr>
          <w:rFonts w:ascii="Times New Roman" w:eastAsia="Times New Roman" w:hAnsi="Times New Roman" w:cs="Times New Roman"/>
          <w:color w:val="000000"/>
          <w:sz w:val="24"/>
          <w:szCs w:val="24"/>
        </w:rPr>
        <w:t>s Estados tienen la obligación de investigar, juzgar y sancionar estos delitos sin límite temporal.</w:t>
      </w:r>
    </w:p>
    <w:p w14:paraId="468D94FC" w14:textId="77777777" w:rsidR="006A4FDF" w:rsidRDefault="006A4FDF">
      <w:pPr>
        <w:spacing w:after="0" w:line="276" w:lineRule="auto"/>
        <w:jc w:val="both"/>
        <w:rPr>
          <w:rFonts w:ascii="Times New Roman" w:eastAsia="Times New Roman" w:hAnsi="Times New Roman" w:cs="Times New Roman"/>
          <w:sz w:val="24"/>
          <w:szCs w:val="24"/>
        </w:rPr>
      </w:pPr>
    </w:p>
    <w:p w14:paraId="409969EE" w14:textId="77777777" w:rsidR="006A4FDF" w:rsidRDefault="00392BA0">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Convención de Viena sobre el Derecho de los Tratados de 1969: Esta convención establece que las normas de Ius cogens no pueden ser derogadas por acuerdos e</w:t>
      </w:r>
      <w:r>
        <w:rPr>
          <w:rFonts w:ascii="Times New Roman" w:eastAsia="Times New Roman" w:hAnsi="Times New Roman" w:cs="Times New Roman"/>
          <w:color w:val="000000"/>
          <w:sz w:val="24"/>
          <w:szCs w:val="24"/>
        </w:rPr>
        <w:t xml:space="preserve">ntre Estados y solo pueden ser modificadas por normas posteriores de igual carácter. En la sentencia, se hace referencia a esta convención para subrayar la obligatoriedad y preeminencia de las normas de Ius cogens, incluyendo aquellas que se refieren a la </w:t>
      </w:r>
      <w:r>
        <w:rPr>
          <w:rFonts w:ascii="Times New Roman" w:eastAsia="Times New Roman" w:hAnsi="Times New Roman" w:cs="Times New Roman"/>
          <w:color w:val="000000"/>
          <w:sz w:val="24"/>
          <w:szCs w:val="24"/>
        </w:rPr>
        <w:t>imprescriptibilidad de los crímenes de lesa humanidad.</w:t>
      </w:r>
    </w:p>
    <w:p w14:paraId="588195E4" w14:textId="77777777" w:rsidR="006A4FDF" w:rsidRDefault="006A4FDF">
      <w:pPr>
        <w:spacing w:after="0" w:line="276" w:lineRule="auto"/>
        <w:jc w:val="both"/>
        <w:rPr>
          <w:rFonts w:ascii="Times New Roman" w:eastAsia="Times New Roman" w:hAnsi="Times New Roman" w:cs="Times New Roman"/>
          <w:sz w:val="24"/>
          <w:szCs w:val="24"/>
        </w:rPr>
      </w:pPr>
    </w:p>
    <w:p w14:paraId="7E604223" w14:textId="77777777" w:rsidR="006A4FDF" w:rsidRDefault="00392BA0">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Estatuto de Roma de la Corte Penal Internacional: El artículo 29 de este estatuto establece la imprescriptibilidad de los crímenes de lesa humanidad y los crímenes de guerra. Aunque la Corte Constituc</w:t>
      </w:r>
      <w:r>
        <w:rPr>
          <w:rFonts w:ascii="Times New Roman" w:eastAsia="Times New Roman" w:hAnsi="Times New Roman" w:cs="Times New Roman"/>
          <w:color w:val="000000"/>
          <w:sz w:val="24"/>
          <w:szCs w:val="24"/>
        </w:rPr>
        <w:t>ional ha precisado que esta disposición no hace parte del bloque de constitucionalidad y se aplica solo en el ámbito de la Corte Penal Internacional, se menciona para reforzar el argumento de que tales crímenes deben ser perseguidos sin restricciones tempo</w:t>
      </w:r>
      <w:r>
        <w:rPr>
          <w:rFonts w:ascii="Times New Roman" w:eastAsia="Times New Roman" w:hAnsi="Times New Roman" w:cs="Times New Roman"/>
          <w:color w:val="000000"/>
          <w:sz w:val="24"/>
          <w:szCs w:val="24"/>
        </w:rPr>
        <w:t>rales.</w:t>
      </w:r>
    </w:p>
    <w:p w14:paraId="4DD631A6" w14:textId="77777777" w:rsidR="006A4FDF" w:rsidRDefault="006A4FDF">
      <w:pPr>
        <w:spacing w:after="0" w:line="276" w:lineRule="auto"/>
        <w:jc w:val="both"/>
        <w:rPr>
          <w:rFonts w:ascii="Times New Roman" w:eastAsia="Times New Roman" w:hAnsi="Times New Roman" w:cs="Times New Roman"/>
          <w:sz w:val="24"/>
          <w:szCs w:val="24"/>
        </w:rPr>
      </w:pPr>
    </w:p>
    <w:p w14:paraId="2D3B8DBD" w14:textId="77777777" w:rsidR="006A4FDF" w:rsidRDefault="00392BA0">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Convención Americana sobre Derechos Humanos (CADH): Los artículos 8.1 y 25.1 de la CADH, en relación con los artículos 1.1 y 2, se citan para destacar el derecho de las víctimas a un recurso judicial efectivo y a la protección judicial. En el contexto de l</w:t>
      </w:r>
      <w:r>
        <w:rPr>
          <w:rFonts w:ascii="Times New Roman" w:eastAsia="Times New Roman" w:hAnsi="Times New Roman" w:cs="Times New Roman"/>
          <w:color w:val="000000"/>
          <w:sz w:val="24"/>
          <w:szCs w:val="24"/>
        </w:rPr>
        <w:t>a sentencia, se utiliza para argumentar que el derecho a la reparación por violaciones de derechos humanos debe ser garantizado, incluso frente a las restricciones temporales impuestas por el derecho interno.</w:t>
      </w:r>
    </w:p>
    <w:p w14:paraId="60B95CBB" w14:textId="77777777" w:rsidR="006A4FDF" w:rsidRDefault="006A4FDF">
      <w:pPr>
        <w:spacing w:after="0" w:line="276" w:lineRule="auto"/>
        <w:jc w:val="both"/>
        <w:rPr>
          <w:rFonts w:ascii="Times New Roman" w:eastAsia="Times New Roman" w:hAnsi="Times New Roman" w:cs="Times New Roman"/>
          <w:sz w:val="24"/>
          <w:szCs w:val="24"/>
        </w:rPr>
      </w:pPr>
    </w:p>
    <w:p w14:paraId="4227604E" w14:textId="77777777" w:rsidR="006A4FDF" w:rsidRDefault="00392BA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Contrario a lo dispuesto en la decisión anteri</w:t>
      </w:r>
      <w:r>
        <w:rPr>
          <w:rFonts w:ascii="Times New Roman" w:eastAsia="Times New Roman" w:hAnsi="Times New Roman" w:cs="Times New Roman"/>
          <w:sz w:val="24"/>
          <w:szCs w:val="24"/>
        </w:rPr>
        <w:t xml:space="preserve">or, en un reciente fallo se optó por un camino completamente diferente al de la anterior decisión. La sentencia con radicado 54001233100020100035302, del Consejo de Estado, con ponencia del consejero Jaime Enrique Rodríguez Navas, de fecha del 13 de marzo </w:t>
      </w:r>
      <w:r>
        <w:rPr>
          <w:rFonts w:ascii="Times New Roman" w:eastAsia="Times New Roman" w:hAnsi="Times New Roman" w:cs="Times New Roman"/>
          <w:sz w:val="24"/>
          <w:szCs w:val="24"/>
        </w:rPr>
        <w:t xml:space="preserve">de 2024, aborda la flexibilidad de las </w:t>
      </w:r>
      <w:r>
        <w:rPr>
          <w:rFonts w:ascii="Times New Roman" w:eastAsia="Times New Roman" w:hAnsi="Times New Roman" w:cs="Times New Roman"/>
          <w:sz w:val="24"/>
          <w:szCs w:val="24"/>
        </w:rPr>
        <w:lastRenderedPageBreak/>
        <w:t>reglas de la caducidad en relación con la reparación de daños por los falsos positivos. Este análisis se centra en cómo la jurisprudencia ha adaptado las normas de caducidad para asegurar justicia y reparación a las v</w:t>
      </w:r>
      <w:r>
        <w:rPr>
          <w:rFonts w:ascii="Times New Roman" w:eastAsia="Times New Roman" w:hAnsi="Times New Roman" w:cs="Times New Roman"/>
          <w:sz w:val="24"/>
          <w:szCs w:val="24"/>
        </w:rPr>
        <w:t>íctimas de violaciones graves de derechos humanos.</w:t>
      </w:r>
    </w:p>
    <w:p w14:paraId="7BA6592A" w14:textId="77777777" w:rsidR="006A4FDF" w:rsidRDefault="006A4FDF">
      <w:pPr>
        <w:spacing w:after="0" w:line="276" w:lineRule="auto"/>
        <w:jc w:val="both"/>
        <w:rPr>
          <w:rFonts w:ascii="Times New Roman" w:eastAsia="Times New Roman" w:hAnsi="Times New Roman" w:cs="Times New Roman"/>
          <w:sz w:val="24"/>
          <w:szCs w:val="24"/>
        </w:rPr>
      </w:pPr>
    </w:p>
    <w:p w14:paraId="37B78F61" w14:textId="77777777" w:rsidR="006A4FDF" w:rsidRDefault="00392BA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primer lugar, la sentencia destaca que, en casos de violaciones graves de derechos humanos, como los falsos positivos, la interpretación literal y estricta de los términos de caducidad puede resultar e</w:t>
      </w:r>
      <w:r>
        <w:rPr>
          <w:rFonts w:ascii="Times New Roman" w:eastAsia="Times New Roman" w:hAnsi="Times New Roman" w:cs="Times New Roman"/>
          <w:sz w:val="24"/>
          <w:szCs w:val="24"/>
        </w:rPr>
        <w:t>n la denegación de justicia para las víctimas. Para evitar tales consecuencias, la jurisprudencia ha adoptado un enfoque flexible, basándose en el principio de prevalencia del derecho sustancial sobre el formal (artículo 228 de la Constitución Política).</w:t>
      </w:r>
    </w:p>
    <w:p w14:paraId="18043E1A" w14:textId="77777777" w:rsidR="006A4FDF" w:rsidRDefault="006A4FDF">
      <w:pPr>
        <w:spacing w:after="0" w:line="276" w:lineRule="auto"/>
        <w:jc w:val="both"/>
        <w:rPr>
          <w:rFonts w:ascii="Times New Roman" w:eastAsia="Times New Roman" w:hAnsi="Times New Roman" w:cs="Times New Roman"/>
          <w:sz w:val="24"/>
          <w:szCs w:val="24"/>
        </w:rPr>
      </w:pPr>
    </w:p>
    <w:p w14:paraId="75CF3852" w14:textId="77777777" w:rsidR="006A4FDF" w:rsidRDefault="00392BA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principio establece que el cómputo del término de caducidad debe iniciarse a partir de la fecha en que las víctimas tuvieron conocimiento del daño y de la posible responsabilidad del Estado, y no necesariamente desde la fecha en que ocurrió el hecho d</w:t>
      </w:r>
      <w:r>
        <w:rPr>
          <w:rFonts w:ascii="Times New Roman" w:eastAsia="Times New Roman" w:hAnsi="Times New Roman" w:cs="Times New Roman"/>
          <w:sz w:val="24"/>
          <w:szCs w:val="24"/>
        </w:rPr>
        <w:t>añino. Esto es crucial en casos donde la naturaleza de los hechos, como los encubrimientos y las manipulaciones propias de los falsos positivos, puede demorar el conocimiento real y sustancial del daño y de los responsables por parte de las víctimas.</w:t>
      </w:r>
    </w:p>
    <w:p w14:paraId="29B08991" w14:textId="77777777" w:rsidR="006A4FDF" w:rsidRDefault="006A4FDF">
      <w:pPr>
        <w:spacing w:after="0" w:line="276" w:lineRule="auto"/>
        <w:jc w:val="both"/>
        <w:rPr>
          <w:rFonts w:ascii="Times New Roman" w:eastAsia="Times New Roman" w:hAnsi="Times New Roman" w:cs="Times New Roman"/>
          <w:sz w:val="24"/>
          <w:szCs w:val="24"/>
        </w:rPr>
      </w:pPr>
    </w:p>
    <w:p w14:paraId="749A492D" w14:textId="77777777" w:rsidR="006A4FDF" w:rsidRDefault="00392BA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w:t>
      </w:r>
      <w:r>
        <w:rPr>
          <w:rFonts w:ascii="Times New Roman" w:eastAsia="Times New Roman" w:hAnsi="Times New Roman" w:cs="Times New Roman"/>
          <w:sz w:val="24"/>
          <w:szCs w:val="24"/>
        </w:rPr>
        <w:t>a sentencia, se menciona que la Sección Tercera, en decisión de unificación del 29 de enero de 2020, estableció que en eventos relacionados con delitos de lesa humanidad y otros crímenes graves, el término para demandar se computa desde cuando los afectado</w:t>
      </w:r>
      <w:r>
        <w:rPr>
          <w:rFonts w:ascii="Times New Roman" w:eastAsia="Times New Roman" w:hAnsi="Times New Roman" w:cs="Times New Roman"/>
          <w:sz w:val="24"/>
          <w:szCs w:val="24"/>
        </w:rPr>
        <w:t>s conocieron o debieron conocer la participación del Estado y la posibilidad de imputar responsabilidad patrimonial. Además, se aclara que este plazo no se aplica cuando existen situaciones que hayan impedido materialmente el ejercicio del derecho de acció</w:t>
      </w:r>
      <w:r>
        <w:rPr>
          <w:rFonts w:ascii="Times New Roman" w:eastAsia="Times New Roman" w:hAnsi="Times New Roman" w:cs="Times New Roman"/>
          <w:sz w:val="24"/>
          <w:szCs w:val="24"/>
        </w:rPr>
        <w:t>n. Una vez superadas estas situaciones, comenzará a correr el plazo de ley.</w:t>
      </w:r>
    </w:p>
    <w:p w14:paraId="5DF64AD1" w14:textId="77777777" w:rsidR="006A4FDF" w:rsidRDefault="006A4FDF">
      <w:pPr>
        <w:spacing w:after="0" w:line="276" w:lineRule="auto"/>
        <w:jc w:val="both"/>
        <w:rPr>
          <w:rFonts w:ascii="Times New Roman" w:eastAsia="Times New Roman" w:hAnsi="Times New Roman" w:cs="Times New Roman"/>
          <w:sz w:val="24"/>
          <w:szCs w:val="24"/>
        </w:rPr>
      </w:pPr>
    </w:p>
    <w:p w14:paraId="4CA11D59" w14:textId="77777777" w:rsidR="006A4FDF" w:rsidRDefault="00392BA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ejemplo concreto de esta flexibilidad se observa en el caso de la muerte de Hermides Quintana Balaguera. Aunque sus familiares conocían de su fallecimiento desde diciembre de 2</w:t>
      </w:r>
      <w:r>
        <w:rPr>
          <w:rFonts w:ascii="Times New Roman" w:eastAsia="Times New Roman" w:hAnsi="Times New Roman" w:cs="Times New Roman"/>
          <w:sz w:val="24"/>
          <w:szCs w:val="24"/>
        </w:rPr>
        <w:t>007, la certeza sobre la actuación irregular del Estado no se consolidó hasta mayo de 2009, cuando la justicia penal militar remitió el caso a la justicia ordinaria. Esta remisión fue el punto de partida para la contabilización de la caducidad, permitiendo</w:t>
      </w:r>
      <w:r>
        <w:rPr>
          <w:rFonts w:ascii="Times New Roman" w:eastAsia="Times New Roman" w:hAnsi="Times New Roman" w:cs="Times New Roman"/>
          <w:sz w:val="24"/>
          <w:szCs w:val="24"/>
        </w:rPr>
        <w:t xml:space="preserve"> que la demanda de reparación directa, presentada en septiembre de 2010, se considerara dentro del término legalmente previsto.</w:t>
      </w:r>
    </w:p>
    <w:p w14:paraId="5BEFCEF9" w14:textId="77777777" w:rsidR="006A4FDF" w:rsidRDefault="006A4FDF">
      <w:pPr>
        <w:spacing w:after="0" w:line="276" w:lineRule="auto"/>
        <w:jc w:val="both"/>
        <w:rPr>
          <w:rFonts w:ascii="Times New Roman" w:eastAsia="Times New Roman" w:hAnsi="Times New Roman" w:cs="Times New Roman"/>
          <w:sz w:val="24"/>
          <w:szCs w:val="24"/>
        </w:rPr>
      </w:pPr>
    </w:p>
    <w:p w14:paraId="19E41906" w14:textId="77777777" w:rsidR="006A4FDF" w:rsidRDefault="00392BA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síntesis, la sentencia analiza cómo las reglas de caducidad se han flexibilizado en contextos de violaciones graves de derec</w:t>
      </w:r>
      <w:r>
        <w:rPr>
          <w:rFonts w:ascii="Times New Roman" w:eastAsia="Times New Roman" w:hAnsi="Times New Roman" w:cs="Times New Roman"/>
          <w:sz w:val="24"/>
          <w:szCs w:val="24"/>
        </w:rPr>
        <w:t>hos humanos, adaptándose para garantizar que las víctimas de falsos positivos y otros crímenes similares tengan acceso efectivo a la justicia y a la reparación de los daños sufridos. Esta flexibilidad es fundamental para asegurar que las formalidades proce</w:t>
      </w:r>
      <w:r>
        <w:rPr>
          <w:rFonts w:ascii="Times New Roman" w:eastAsia="Times New Roman" w:hAnsi="Times New Roman" w:cs="Times New Roman"/>
          <w:sz w:val="24"/>
          <w:szCs w:val="24"/>
        </w:rPr>
        <w:t>sales no obstruyan la realización de la justicia sustancial.</w:t>
      </w:r>
    </w:p>
    <w:p w14:paraId="5EA0CA9A" w14:textId="77777777" w:rsidR="006A4FDF" w:rsidRDefault="00392BA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Algunas otras decisiones del Consejo de Estado y la Corte Constitucional al respecto, que dan luces sobre la necesidad de este PL, son: </w:t>
      </w:r>
    </w:p>
    <w:p w14:paraId="59896477" w14:textId="77777777" w:rsidR="006A4FDF" w:rsidRDefault="006A4FDF">
      <w:pPr>
        <w:spacing w:after="0" w:line="276" w:lineRule="auto"/>
        <w:jc w:val="both"/>
        <w:rPr>
          <w:rFonts w:ascii="Times New Roman" w:eastAsia="Times New Roman" w:hAnsi="Times New Roman" w:cs="Times New Roman"/>
          <w:b/>
          <w:sz w:val="24"/>
          <w:szCs w:val="24"/>
        </w:rPr>
      </w:pPr>
    </w:p>
    <w:p w14:paraId="06E00000" w14:textId="77777777" w:rsidR="006A4FDF" w:rsidRDefault="00392BA0">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Sentencia SU-081/24 de la Corte Constitucional:</w:t>
      </w:r>
      <w:r>
        <w:rPr>
          <w:rFonts w:ascii="Times New Roman" w:eastAsia="Times New Roman" w:hAnsi="Times New Roman" w:cs="Times New Roman"/>
          <w:sz w:val="24"/>
          <w:szCs w:val="24"/>
        </w:rPr>
        <w:t xml:space="preserve"> esta deci</w:t>
      </w:r>
      <w:r>
        <w:rPr>
          <w:rFonts w:ascii="Times New Roman" w:eastAsia="Times New Roman" w:hAnsi="Times New Roman" w:cs="Times New Roman"/>
          <w:sz w:val="24"/>
          <w:szCs w:val="24"/>
        </w:rPr>
        <w:t>sión destaca que el acceso a la justicia debe prevalecer sobre los formalismos procesales, especialmente en casos de graves violaciones a los derechos humanos. En un análisis detallado, la Corte enfatizó que la justicia material exige garantizar que las ba</w:t>
      </w:r>
      <w:r>
        <w:rPr>
          <w:rFonts w:ascii="Times New Roman" w:eastAsia="Times New Roman" w:hAnsi="Times New Roman" w:cs="Times New Roman"/>
          <w:sz w:val="24"/>
          <w:szCs w:val="24"/>
        </w:rPr>
        <w:t>rreras procesales no perpetúen la impunidad ni vulneren los derechos fundamentales de las víctimas. Este fallo establece la obligación de los jueces de interpretar las normas procesales de manera que favorezcan la protección de los derechos humanos, en con</w:t>
      </w:r>
      <w:r>
        <w:rPr>
          <w:rFonts w:ascii="Times New Roman" w:eastAsia="Times New Roman" w:hAnsi="Times New Roman" w:cs="Times New Roman"/>
          <w:sz w:val="24"/>
          <w:szCs w:val="24"/>
        </w:rPr>
        <w:t>sonancia con el principio pro homine. Además, reafirma que los procedimientos judiciales deben adaptarse al contexto particular de cada caso, eliminando obstáculos formales que puedan limitar el acceso a la verdad y la justicia.</w:t>
      </w:r>
    </w:p>
    <w:p w14:paraId="5A6CC083" w14:textId="77777777" w:rsidR="006A4FDF" w:rsidRDefault="006A4FDF">
      <w:pPr>
        <w:spacing w:after="0" w:line="276" w:lineRule="auto"/>
        <w:jc w:val="both"/>
        <w:rPr>
          <w:rFonts w:ascii="Times New Roman" w:eastAsia="Times New Roman" w:hAnsi="Times New Roman" w:cs="Times New Roman"/>
          <w:sz w:val="24"/>
          <w:szCs w:val="24"/>
        </w:rPr>
      </w:pPr>
    </w:p>
    <w:p w14:paraId="19224A7E" w14:textId="77777777" w:rsidR="006A4FDF" w:rsidRDefault="00392BA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su argumentación, la Co</w:t>
      </w:r>
      <w:r>
        <w:rPr>
          <w:rFonts w:ascii="Times New Roman" w:eastAsia="Times New Roman" w:hAnsi="Times New Roman" w:cs="Times New Roman"/>
          <w:sz w:val="24"/>
          <w:szCs w:val="24"/>
        </w:rPr>
        <w:t>rte también subrayó la necesidad de considerar el impacto de las barreras procesales en las víctimas, quienes muchas veces enfrentan dificultades para acceder a información clave debido a la omisión o manipulación de las pruebas por parte de los responsabl</w:t>
      </w:r>
      <w:r>
        <w:rPr>
          <w:rFonts w:ascii="Times New Roman" w:eastAsia="Times New Roman" w:hAnsi="Times New Roman" w:cs="Times New Roman"/>
          <w:sz w:val="24"/>
          <w:szCs w:val="24"/>
        </w:rPr>
        <w:t>es. La sentencia marca un precedente importante al reforzar que las normas procesales deben interpretarse de manera teleológica, garantizando que su aplicación no desvirtúe el acceso efectivo a la justicia.</w:t>
      </w:r>
    </w:p>
    <w:p w14:paraId="539082A3" w14:textId="77777777" w:rsidR="006A4FDF" w:rsidRDefault="006A4FDF">
      <w:pPr>
        <w:spacing w:after="0" w:line="276" w:lineRule="auto"/>
        <w:jc w:val="both"/>
        <w:rPr>
          <w:rFonts w:ascii="Times New Roman" w:eastAsia="Times New Roman" w:hAnsi="Times New Roman" w:cs="Times New Roman"/>
          <w:sz w:val="24"/>
          <w:szCs w:val="24"/>
        </w:rPr>
      </w:pPr>
    </w:p>
    <w:p w14:paraId="69F09043" w14:textId="77777777" w:rsidR="006A4FDF" w:rsidRDefault="00392BA0">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Sentencia SU-287/24 de la Corte Constitucional:</w:t>
      </w:r>
      <w:r>
        <w:rPr>
          <w:rFonts w:ascii="Times New Roman" w:eastAsia="Times New Roman" w:hAnsi="Times New Roman" w:cs="Times New Roman"/>
          <w:sz w:val="24"/>
          <w:szCs w:val="24"/>
        </w:rPr>
        <w:t xml:space="preserve"> en esta sentencia, la Corte profundizó en la importancia de flexibilizar las cargas probatorias en los casos relacionados con graves violaciones a los derechos humanos. Reconociendo la asimetría estructural e</w:t>
      </w:r>
      <w:r>
        <w:rPr>
          <w:rFonts w:ascii="Times New Roman" w:eastAsia="Times New Roman" w:hAnsi="Times New Roman" w:cs="Times New Roman"/>
          <w:sz w:val="24"/>
          <w:szCs w:val="24"/>
        </w:rPr>
        <w:t>ntre las partes, el fallo determinó que los jueces deben adoptar un rol activo para equilibrar estas desigualdades. Entre las medidas destacadas, se encuentra la posibilidad de redistribuir la carga probatoria y de decretar pruebas de oficio cuando sea nec</w:t>
      </w:r>
      <w:r>
        <w:rPr>
          <w:rFonts w:ascii="Times New Roman" w:eastAsia="Times New Roman" w:hAnsi="Times New Roman" w:cs="Times New Roman"/>
          <w:sz w:val="24"/>
          <w:szCs w:val="24"/>
        </w:rPr>
        <w:t>esario. Estas acciones buscan garantizar que las víctimas no enfrenten cargas desproporcionadas que perpetúen la impunidad.</w:t>
      </w:r>
    </w:p>
    <w:p w14:paraId="4CDB4D81" w14:textId="77777777" w:rsidR="006A4FDF" w:rsidRDefault="006A4FDF">
      <w:pPr>
        <w:spacing w:after="0" w:line="276" w:lineRule="auto"/>
        <w:jc w:val="both"/>
        <w:rPr>
          <w:rFonts w:ascii="Times New Roman" w:eastAsia="Times New Roman" w:hAnsi="Times New Roman" w:cs="Times New Roman"/>
          <w:sz w:val="24"/>
          <w:szCs w:val="24"/>
        </w:rPr>
      </w:pPr>
    </w:p>
    <w:p w14:paraId="14392EAC" w14:textId="77777777" w:rsidR="006A4FDF" w:rsidRDefault="00392BA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Corte también estableció que el exceso ritual manifiesto, es decir, el apego innecesario a formalidades procesales que obstaculi</w:t>
      </w:r>
      <w:r>
        <w:rPr>
          <w:rFonts w:ascii="Times New Roman" w:eastAsia="Times New Roman" w:hAnsi="Times New Roman" w:cs="Times New Roman"/>
          <w:sz w:val="24"/>
          <w:szCs w:val="24"/>
        </w:rPr>
        <w:t>zan la justicia debe eliminarse en estos casos. En su decisión, enfatizó que la justicia procesal no puede ser un obstáculo para la justicia material, y que los jueces deben actuar con un enfoque basado en los derechos humanos. Este fallo consolidó la doct</w:t>
      </w:r>
      <w:r>
        <w:rPr>
          <w:rFonts w:ascii="Times New Roman" w:eastAsia="Times New Roman" w:hAnsi="Times New Roman" w:cs="Times New Roman"/>
          <w:sz w:val="24"/>
          <w:szCs w:val="24"/>
        </w:rPr>
        <w:t>rina de que el proceso judicial debe adaptarse a las particularidades de cada caso, especialmente en contextos de graves violaciones a los derechos fundamentales.</w:t>
      </w:r>
    </w:p>
    <w:p w14:paraId="70C04A08" w14:textId="77777777" w:rsidR="006A4FDF" w:rsidRDefault="006A4FDF">
      <w:pPr>
        <w:spacing w:after="0" w:line="276" w:lineRule="auto"/>
        <w:jc w:val="both"/>
        <w:rPr>
          <w:rFonts w:ascii="Times New Roman" w:eastAsia="Times New Roman" w:hAnsi="Times New Roman" w:cs="Times New Roman"/>
          <w:sz w:val="24"/>
          <w:szCs w:val="24"/>
        </w:rPr>
      </w:pPr>
    </w:p>
    <w:p w14:paraId="1BE51509" w14:textId="77777777" w:rsidR="006A4FDF" w:rsidRDefault="00392BA0">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Sentencia Radicación 11001-03-15-000-2021-00541-00 del Consejo de Estado:</w:t>
      </w:r>
      <w:r>
        <w:rPr>
          <w:rFonts w:ascii="Times New Roman" w:eastAsia="Times New Roman" w:hAnsi="Times New Roman" w:cs="Times New Roman"/>
          <w:sz w:val="24"/>
          <w:szCs w:val="24"/>
        </w:rPr>
        <w:t xml:space="preserve"> en este fallo, el </w:t>
      </w:r>
      <w:r>
        <w:rPr>
          <w:rFonts w:ascii="Times New Roman" w:eastAsia="Times New Roman" w:hAnsi="Times New Roman" w:cs="Times New Roman"/>
          <w:sz w:val="24"/>
          <w:szCs w:val="24"/>
        </w:rPr>
        <w:t>Consejo de Estado abordó la problemática de la caducidad en casos de crímenes de lesa humanidad, estableciendo un criterio que privilegia el conocimiento real y efectivo de los hechos por parte de las víctimas como punto de partida para el cálculo de los t</w:t>
      </w:r>
      <w:r>
        <w:rPr>
          <w:rFonts w:ascii="Times New Roman" w:eastAsia="Times New Roman" w:hAnsi="Times New Roman" w:cs="Times New Roman"/>
          <w:sz w:val="24"/>
          <w:szCs w:val="24"/>
        </w:rPr>
        <w:t>érminos procesales. Este enfoque busca prevenir que las limitaciones procesales impidan a las víctimas acceder a la justicia.</w:t>
      </w:r>
    </w:p>
    <w:p w14:paraId="3E64C520" w14:textId="77777777" w:rsidR="006A4FDF" w:rsidRDefault="00392BA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 particular, el Consejo enfatizó que el principio de no revictimización exige una interpretación flexible de las normas procesal</w:t>
      </w:r>
      <w:r>
        <w:rPr>
          <w:rFonts w:ascii="Times New Roman" w:eastAsia="Times New Roman" w:hAnsi="Times New Roman" w:cs="Times New Roman"/>
          <w:sz w:val="24"/>
          <w:szCs w:val="24"/>
        </w:rPr>
        <w:t>es, especialmente cuando las víctimas enfrentan barreras estructurales para acceder a información clave. Este fallo es significativo porque refuerza la idea de que los crímenes de lesa humanidad requieren un tratamiento excepcional en el ámbito procesal.</w:t>
      </w:r>
    </w:p>
    <w:p w14:paraId="3AEB21B6" w14:textId="77777777" w:rsidR="006A4FDF" w:rsidRDefault="006A4FDF">
      <w:pPr>
        <w:spacing w:after="0" w:line="276" w:lineRule="auto"/>
        <w:jc w:val="both"/>
        <w:rPr>
          <w:rFonts w:ascii="Times New Roman" w:eastAsia="Times New Roman" w:hAnsi="Times New Roman" w:cs="Times New Roman"/>
          <w:sz w:val="24"/>
          <w:szCs w:val="24"/>
        </w:rPr>
      </w:pPr>
    </w:p>
    <w:p w14:paraId="697908B9" w14:textId="77777777" w:rsidR="006A4FDF" w:rsidRDefault="00392BA0">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Sentencia Radicación 11001-03-15-000-2019-03756-00 del Consejo de Estado:</w:t>
      </w:r>
      <w:r>
        <w:rPr>
          <w:rFonts w:ascii="Times New Roman" w:eastAsia="Times New Roman" w:hAnsi="Times New Roman" w:cs="Times New Roman"/>
          <w:sz w:val="24"/>
          <w:szCs w:val="24"/>
        </w:rPr>
        <w:t xml:space="preserve"> en esta sentencia, el Consejo subrayó la importancia de armonizar las normas internas con los compromisos internacionales adquiridos por Colombia. Argumentó que las barreras procesa</w:t>
      </w:r>
      <w:r>
        <w:rPr>
          <w:rFonts w:ascii="Times New Roman" w:eastAsia="Times New Roman" w:hAnsi="Times New Roman" w:cs="Times New Roman"/>
          <w:sz w:val="24"/>
          <w:szCs w:val="24"/>
        </w:rPr>
        <w:t>les deben eliminarse cuando se trate de crímenes atroces que afectan los principios de justicia material y reparación integral. Este fallo contribuye a establecer un marco de referencia para la aplicación de la justicia en contextos de graves violaciones a</w:t>
      </w:r>
      <w:r>
        <w:rPr>
          <w:rFonts w:ascii="Times New Roman" w:eastAsia="Times New Roman" w:hAnsi="Times New Roman" w:cs="Times New Roman"/>
          <w:sz w:val="24"/>
          <w:szCs w:val="24"/>
        </w:rPr>
        <w:t xml:space="preserve"> los derechos humanos, reafirmando que la rigidez procesal no puede perpetuar la impunidad.</w:t>
      </w:r>
    </w:p>
    <w:p w14:paraId="63509798" w14:textId="77777777" w:rsidR="006A4FDF" w:rsidRDefault="006A4FDF">
      <w:pPr>
        <w:spacing w:after="0" w:line="276" w:lineRule="auto"/>
        <w:jc w:val="both"/>
        <w:rPr>
          <w:rFonts w:ascii="Times New Roman" w:eastAsia="Times New Roman" w:hAnsi="Times New Roman" w:cs="Times New Roman"/>
          <w:sz w:val="24"/>
          <w:szCs w:val="24"/>
        </w:rPr>
      </w:pPr>
    </w:p>
    <w:p w14:paraId="25D47BC3" w14:textId="77777777" w:rsidR="006A4FDF" w:rsidRDefault="00392BA0">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Sentencia Radicación 27001-23-33-000-2014-00206-01 del Consejo de Estado:</w:t>
      </w:r>
      <w:r>
        <w:rPr>
          <w:rFonts w:ascii="Times New Roman" w:eastAsia="Times New Roman" w:hAnsi="Times New Roman" w:cs="Times New Roman"/>
          <w:sz w:val="24"/>
          <w:szCs w:val="24"/>
        </w:rPr>
        <w:t xml:space="preserve"> este fallo reafirma que las ejecuciones extrajudiciales constituyen crímenes de lesa huma</w:t>
      </w:r>
      <w:r>
        <w:rPr>
          <w:rFonts w:ascii="Times New Roman" w:eastAsia="Times New Roman" w:hAnsi="Times New Roman" w:cs="Times New Roman"/>
          <w:sz w:val="24"/>
          <w:szCs w:val="24"/>
        </w:rPr>
        <w:t>nidad, lo que exige un tratamiento diferenciado en la aplicación de las normas procesales. El Consejo destacó que los términos procesales no pueden convertirse en un obstáculo para garantizar el derecho de acceso a la justicia de las víctimas y sus familia</w:t>
      </w:r>
      <w:r>
        <w:rPr>
          <w:rFonts w:ascii="Times New Roman" w:eastAsia="Times New Roman" w:hAnsi="Times New Roman" w:cs="Times New Roman"/>
          <w:sz w:val="24"/>
          <w:szCs w:val="24"/>
        </w:rPr>
        <w:t>s. Además, subrayó que el reconocimiento de la imprescriptibilidad de estos crímenes debe estar acompañado por reformas procesales que garanticen el acceso real y efectivo a la justicia.</w:t>
      </w:r>
    </w:p>
    <w:p w14:paraId="639C9DA3" w14:textId="77777777" w:rsidR="006A4FDF" w:rsidRDefault="006A4FDF">
      <w:pPr>
        <w:spacing w:after="0" w:line="276" w:lineRule="auto"/>
        <w:jc w:val="both"/>
        <w:rPr>
          <w:rFonts w:ascii="Times New Roman" w:eastAsia="Times New Roman" w:hAnsi="Times New Roman" w:cs="Times New Roman"/>
          <w:sz w:val="24"/>
          <w:szCs w:val="24"/>
        </w:rPr>
      </w:pPr>
    </w:p>
    <w:p w14:paraId="0A586018" w14:textId="77777777" w:rsidR="006A4FDF" w:rsidRDefault="00392BA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Obligaciones internacionales</w:t>
      </w:r>
    </w:p>
    <w:p w14:paraId="7B6B1F14" w14:textId="77777777" w:rsidR="006A4FDF" w:rsidRDefault="006A4FDF">
      <w:pPr>
        <w:spacing w:after="0" w:line="276" w:lineRule="auto"/>
        <w:jc w:val="both"/>
        <w:rPr>
          <w:rFonts w:ascii="Times New Roman" w:eastAsia="Times New Roman" w:hAnsi="Times New Roman" w:cs="Times New Roman"/>
          <w:b/>
          <w:sz w:val="24"/>
          <w:szCs w:val="24"/>
        </w:rPr>
      </w:pPr>
    </w:p>
    <w:p w14:paraId="57944278" w14:textId="77777777" w:rsidR="006A4FDF" w:rsidRDefault="00392BA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Colombia ha ratificado instrumentos in</w:t>
      </w:r>
      <w:r>
        <w:rPr>
          <w:rFonts w:ascii="Times New Roman" w:eastAsia="Times New Roman" w:hAnsi="Times New Roman" w:cs="Times New Roman"/>
          <w:sz w:val="24"/>
          <w:szCs w:val="24"/>
        </w:rPr>
        <w:t>ternacionales como la Convención Americana sobre Derechos Humanos, el Pacto Internacional de Derechos Civiles y Políticos, y la Convención contra la Tortura y Otros Tratos o Penas Crueles, Inhumanos o Degradantes. Estos tratados, junto con los Principios y</w:t>
      </w:r>
      <w:r>
        <w:rPr>
          <w:rFonts w:ascii="Times New Roman" w:eastAsia="Times New Roman" w:hAnsi="Times New Roman" w:cs="Times New Roman"/>
          <w:sz w:val="24"/>
          <w:szCs w:val="24"/>
        </w:rPr>
        <w:t xml:space="preserve"> Directrices de Naciones Unidas sobre el Derecho de las Víctimas a Recursos y Reparaciones, establecen obligaciones claras para los Estados en materia de garantía de derechos humanos y acceso a la justicia.</w:t>
      </w:r>
    </w:p>
    <w:p w14:paraId="6DC6C757" w14:textId="77777777" w:rsidR="006A4FDF" w:rsidRDefault="006A4FDF">
      <w:pPr>
        <w:spacing w:after="0" w:line="276" w:lineRule="auto"/>
        <w:jc w:val="both"/>
        <w:rPr>
          <w:rFonts w:ascii="Times New Roman" w:eastAsia="Times New Roman" w:hAnsi="Times New Roman" w:cs="Times New Roman"/>
          <w:sz w:val="24"/>
          <w:szCs w:val="24"/>
        </w:rPr>
      </w:pPr>
    </w:p>
    <w:p w14:paraId="7DDA34F6" w14:textId="77777777" w:rsidR="006A4FDF" w:rsidRDefault="00392BA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particular, estos instrumentos destacan que l</w:t>
      </w:r>
      <w:r>
        <w:rPr>
          <w:rFonts w:ascii="Times New Roman" w:eastAsia="Times New Roman" w:hAnsi="Times New Roman" w:cs="Times New Roman"/>
          <w:sz w:val="24"/>
          <w:szCs w:val="24"/>
        </w:rPr>
        <w:t>os crímenes de lesa humanidad son imprescriptibles y que las víctimas tienen derecho a recursos judiciales efectivos, a la verdad y a la reparación integral. Además, subrayan que las barreras procesales no pueden utilizarse para perpetuar la impunidad ni p</w:t>
      </w:r>
      <w:r>
        <w:rPr>
          <w:rFonts w:ascii="Times New Roman" w:eastAsia="Times New Roman" w:hAnsi="Times New Roman" w:cs="Times New Roman"/>
          <w:sz w:val="24"/>
          <w:szCs w:val="24"/>
        </w:rPr>
        <w:t>ara privar a las víctimas de sus derechos fundamentales.</w:t>
      </w:r>
    </w:p>
    <w:p w14:paraId="372EB1FC" w14:textId="77777777" w:rsidR="006A4FDF" w:rsidRDefault="00392BA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Corte Interamericana de Derechos Humanos ha establecido que los Estados tienen el deber de garantizar que las normas procesales internas sean interpretadas y aplicadas de manera que no obstaculice</w:t>
      </w:r>
      <w:r>
        <w:rPr>
          <w:rFonts w:ascii="Times New Roman" w:eastAsia="Times New Roman" w:hAnsi="Times New Roman" w:cs="Times New Roman"/>
          <w:sz w:val="24"/>
          <w:szCs w:val="24"/>
        </w:rPr>
        <w:t xml:space="preserve">n el acceso a la justicia de las víctimas, especialmente en casos de </w:t>
      </w:r>
      <w:r>
        <w:rPr>
          <w:rFonts w:ascii="Times New Roman" w:eastAsia="Times New Roman" w:hAnsi="Times New Roman" w:cs="Times New Roman"/>
          <w:sz w:val="24"/>
          <w:szCs w:val="24"/>
        </w:rPr>
        <w:lastRenderedPageBreak/>
        <w:t>violaciones graves de derechos humanos. Estos principios son vinculantes para Colombia en virtud del bloque de constitucionalidad.</w:t>
      </w:r>
    </w:p>
    <w:p w14:paraId="156EEAB0" w14:textId="77777777" w:rsidR="006A4FDF" w:rsidRDefault="006A4FDF">
      <w:pPr>
        <w:spacing w:after="0" w:line="276" w:lineRule="auto"/>
        <w:jc w:val="both"/>
        <w:rPr>
          <w:rFonts w:ascii="Times New Roman" w:eastAsia="Times New Roman" w:hAnsi="Times New Roman" w:cs="Times New Roman"/>
          <w:sz w:val="24"/>
          <w:szCs w:val="24"/>
        </w:rPr>
      </w:pPr>
    </w:p>
    <w:p w14:paraId="5B2E291E" w14:textId="77777777" w:rsidR="006A4FDF" w:rsidRDefault="00392BA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OBJETIVOS DEL PROYECTO DE LEY</w:t>
      </w:r>
    </w:p>
    <w:p w14:paraId="14EC532B" w14:textId="77777777" w:rsidR="006A4FDF" w:rsidRDefault="006A4FDF">
      <w:pPr>
        <w:spacing w:after="0" w:line="276" w:lineRule="auto"/>
        <w:jc w:val="both"/>
        <w:rPr>
          <w:rFonts w:ascii="Times New Roman" w:eastAsia="Times New Roman" w:hAnsi="Times New Roman" w:cs="Times New Roman"/>
          <w:b/>
          <w:sz w:val="24"/>
          <w:szCs w:val="24"/>
        </w:rPr>
      </w:pPr>
    </w:p>
    <w:p w14:paraId="493F6858" w14:textId="77777777" w:rsidR="006A4FDF" w:rsidRDefault="00392BA0">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Garantizar el acceso efe</w:t>
      </w:r>
      <w:r>
        <w:rPr>
          <w:rFonts w:ascii="Times New Roman" w:eastAsia="Times New Roman" w:hAnsi="Times New Roman" w:cs="Times New Roman"/>
          <w:sz w:val="24"/>
          <w:szCs w:val="24"/>
        </w:rPr>
        <w:t>ctivo a la justicia para las víctimas de ejecuciones extrajudiciales y falsos positivos, superando las barreras procesales actuales.</w:t>
      </w:r>
    </w:p>
    <w:p w14:paraId="2092DC00" w14:textId="77777777" w:rsidR="006A4FDF" w:rsidRDefault="00392BA0">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Flexibilizar los términos de caducidad aplicables a las demandas de reparación directa, considerando el momento en que las </w:t>
      </w:r>
      <w:r>
        <w:rPr>
          <w:rFonts w:ascii="Times New Roman" w:eastAsia="Times New Roman" w:hAnsi="Times New Roman" w:cs="Times New Roman"/>
          <w:sz w:val="24"/>
          <w:szCs w:val="24"/>
        </w:rPr>
        <w:t>víctimas tuvieron conocimiento real y efectivo de los hechos.</w:t>
      </w:r>
    </w:p>
    <w:p w14:paraId="3D0EB249" w14:textId="77777777" w:rsidR="006A4FDF" w:rsidRDefault="00392BA0">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Promover la unificación jurisprudencial, estableciendo criterios claros para la interpretación de las normas procesales en estos casos.</w:t>
      </w:r>
    </w:p>
    <w:p w14:paraId="77DA5C87" w14:textId="77777777" w:rsidR="006A4FDF" w:rsidRDefault="00392BA0">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Asegurar que el marco normativo colombiano esté alineado c</w:t>
      </w:r>
      <w:r>
        <w:rPr>
          <w:rFonts w:ascii="Times New Roman" w:eastAsia="Times New Roman" w:hAnsi="Times New Roman" w:cs="Times New Roman"/>
          <w:sz w:val="24"/>
          <w:szCs w:val="24"/>
        </w:rPr>
        <w:t>on los principios del derecho internacional de los derechos humanos, garantizando el cumplimiento de los compromisos internacionales del Estado.</w:t>
      </w:r>
    </w:p>
    <w:p w14:paraId="0F1CA839" w14:textId="77777777" w:rsidR="006A4FDF" w:rsidRDefault="00392BA0">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Reducir la revictimización de las familias afectadas mediante la eliminación de rigideces procesales que obstac</w:t>
      </w:r>
      <w:r>
        <w:rPr>
          <w:rFonts w:ascii="Times New Roman" w:eastAsia="Times New Roman" w:hAnsi="Times New Roman" w:cs="Times New Roman"/>
          <w:sz w:val="24"/>
          <w:szCs w:val="24"/>
        </w:rPr>
        <w:t>ulizan la reparación integral.</w:t>
      </w:r>
    </w:p>
    <w:p w14:paraId="596E4BE0" w14:textId="77777777" w:rsidR="006A4FDF" w:rsidRDefault="00392BA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presente proyecto de ley constituye una respuesta necesaria para superar las barreras que enfrentan las víctimas de ejecuciones extrajudiciales y falsos positivos en su búsqueda de justicia y reparación integral. Mediante la flexibilización de los térmi</w:t>
      </w:r>
      <w:r>
        <w:rPr>
          <w:rFonts w:ascii="Times New Roman" w:eastAsia="Times New Roman" w:hAnsi="Times New Roman" w:cs="Times New Roman"/>
          <w:sz w:val="24"/>
          <w:szCs w:val="24"/>
        </w:rPr>
        <w:t>nos de caducidad y la promoción de la justicia material, esta iniciativa legislativa reafirma el compromiso del Estado colombiano con la protección de los derechos humanos y la lucha contra la impunidad.</w:t>
      </w:r>
    </w:p>
    <w:p w14:paraId="7761C0EA" w14:textId="77777777" w:rsidR="006A4FDF" w:rsidRDefault="00392BA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 aprobación no solo fortalecerá el sistema judicia</w:t>
      </w:r>
      <w:r>
        <w:rPr>
          <w:rFonts w:ascii="Times New Roman" w:eastAsia="Times New Roman" w:hAnsi="Times New Roman" w:cs="Times New Roman"/>
          <w:sz w:val="24"/>
          <w:szCs w:val="24"/>
        </w:rPr>
        <w:t>l nacional, sino que también consolidará la confianza de las víctimas en la capacidad del Estado para garantizar sus derechos fundamentales. Además, contribuirá al cumplimiento de los compromisos internacionales de Colombia, posicionándolo como un referent</w:t>
      </w:r>
      <w:r>
        <w:rPr>
          <w:rFonts w:ascii="Times New Roman" w:eastAsia="Times New Roman" w:hAnsi="Times New Roman" w:cs="Times New Roman"/>
          <w:sz w:val="24"/>
          <w:szCs w:val="24"/>
        </w:rPr>
        <w:t>e en la protección de los derechos humanos y la reparación integral de las víctimas de crímenes de lesa humanidad.</w:t>
      </w:r>
    </w:p>
    <w:p w14:paraId="7C32CA77" w14:textId="77777777" w:rsidR="006A4FDF" w:rsidRDefault="006A4FDF">
      <w:pPr>
        <w:spacing w:after="0" w:line="276" w:lineRule="auto"/>
        <w:jc w:val="both"/>
        <w:rPr>
          <w:rFonts w:ascii="Times New Roman" w:eastAsia="Times New Roman" w:hAnsi="Times New Roman" w:cs="Times New Roman"/>
          <w:sz w:val="24"/>
          <w:szCs w:val="24"/>
        </w:rPr>
      </w:pPr>
    </w:p>
    <w:p w14:paraId="438E2201" w14:textId="75B00525" w:rsidR="006A4FDF" w:rsidRDefault="00392BA0">
      <w:pPr>
        <w:pBdr>
          <w:top w:val="nil"/>
          <w:left w:val="nil"/>
          <w:bottom w:val="nil"/>
          <w:right w:val="nil"/>
          <w:between w:val="nil"/>
        </w:pBdr>
        <w:jc w:val="both"/>
        <w:rPr>
          <w:rFonts w:ascii="Constantia" w:eastAsia="Constantia" w:hAnsi="Constantia" w:cs="Constantia"/>
          <w:color w:val="000000"/>
        </w:rPr>
      </w:pPr>
      <w:r>
        <w:rPr>
          <w:rFonts w:ascii="Constantia" w:eastAsia="Constantia" w:hAnsi="Constantia" w:cs="Constantia"/>
          <w:color w:val="000000"/>
        </w:rPr>
        <w:t xml:space="preserve">Cordialmente, </w:t>
      </w:r>
    </w:p>
    <w:p w14:paraId="3EBB540F" w14:textId="46CD92DC" w:rsidR="006A4FDF" w:rsidRDefault="006A4FDF">
      <w:pPr>
        <w:spacing w:after="0" w:line="240" w:lineRule="auto"/>
        <w:jc w:val="both"/>
        <w:rPr>
          <w:rFonts w:ascii="Candara" w:eastAsia="Candara" w:hAnsi="Candara" w:cs="Candara"/>
          <w:b/>
          <w:color w:val="262626"/>
          <w:sz w:val="24"/>
          <w:szCs w:val="24"/>
        </w:rPr>
      </w:pPr>
    </w:p>
    <w:p w14:paraId="5787D923" w14:textId="77777777" w:rsidR="00C65760" w:rsidRDefault="00C65760">
      <w:pPr>
        <w:spacing w:after="0" w:line="240" w:lineRule="auto"/>
        <w:jc w:val="both"/>
        <w:rPr>
          <w:rFonts w:ascii="Candara" w:eastAsia="Candara" w:hAnsi="Candara" w:cs="Candara"/>
          <w:b/>
          <w:color w:val="262626"/>
          <w:sz w:val="24"/>
          <w:szCs w:val="24"/>
        </w:rPr>
      </w:pPr>
    </w:p>
    <w:p w14:paraId="3394992B" w14:textId="77777777" w:rsidR="006A4FDF" w:rsidRDefault="006A4FDF">
      <w:pPr>
        <w:spacing w:after="0" w:line="240" w:lineRule="auto"/>
        <w:jc w:val="both"/>
        <w:rPr>
          <w:rFonts w:ascii="Candara" w:eastAsia="Candara" w:hAnsi="Candara" w:cs="Candara"/>
          <w:b/>
          <w:color w:val="262626"/>
          <w:sz w:val="24"/>
          <w:szCs w:val="24"/>
        </w:rPr>
      </w:pPr>
    </w:p>
    <w:p w14:paraId="66C4D8AA" w14:textId="77777777" w:rsidR="006A4FDF" w:rsidRDefault="00392BA0">
      <w:pPr>
        <w:spacing w:after="0" w:line="240" w:lineRule="auto"/>
        <w:jc w:val="both"/>
        <w:rPr>
          <w:rFonts w:ascii="Candara" w:eastAsia="Candara" w:hAnsi="Candara" w:cs="Candara"/>
          <w:color w:val="262626"/>
          <w:sz w:val="24"/>
          <w:szCs w:val="24"/>
        </w:rPr>
      </w:pPr>
      <w:r>
        <w:rPr>
          <w:rFonts w:ascii="Candara" w:eastAsia="Candara" w:hAnsi="Candara" w:cs="Candara"/>
          <w:b/>
          <w:color w:val="262626"/>
          <w:sz w:val="24"/>
          <w:szCs w:val="24"/>
        </w:rPr>
        <w:t>SUSANA GÓMEZ CASTAÑO</w:t>
      </w:r>
    </w:p>
    <w:p w14:paraId="28B8EDFE" w14:textId="77777777" w:rsidR="006A4FDF" w:rsidRDefault="00392BA0">
      <w:pPr>
        <w:spacing w:after="0" w:line="240" w:lineRule="auto"/>
        <w:jc w:val="both"/>
        <w:rPr>
          <w:rFonts w:ascii="Candara" w:eastAsia="Candara" w:hAnsi="Candara" w:cs="Candara"/>
          <w:color w:val="262626"/>
          <w:sz w:val="24"/>
          <w:szCs w:val="24"/>
        </w:rPr>
      </w:pPr>
      <w:r>
        <w:rPr>
          <w:rFonts w:ascii="Candara" w:eastAsia="Candara" w:hAnsi="Candara" w:cs="Candara"/>
          <w:color w:val="262626"/>
          <w:sz w:val="24"/>
          <w:szCs w:val="24"/>
        </w:rPr>
        <w:t>Representante a la Cámara.</w:t>
      </w:r>
    </w:p>
    <w:p w14:paraId="598EE2E4" w14:textId="77777777" w:rsidR="006A4FDF" w:rsidRDefault="006A4FDF">
      <w:pPr>
        <w:spacing w:after="0" w:line="240" w:lineRule="auto"/>
        <w:jc w:val="both"/>
        <w:rPr>
          <w:rFonts w:ascii="Candara" w:eastAsia="Candara" w:hAnsi="Candara" w:cs="Candara"/>
          <w:color w:val="262626"/>
          <w:sz w:val="24"/>
          <w:szCs w:val="24"/>
        </w:rPr>
      </w:pPr>
    </w:p>
    <w:p w14:paraId="4F2444D1" w14:textId="77777777" w:rsidR="006A4FDF" w:rsidRDefault="006A4FDF" w:rsidP="00C65760">
      <w:pPr>
        <w:spacing w:after="0" w:line="240" w:lineRule="auto"/>
        <w:jc w:val="both"/>
        <w:rPr>
          <w:rFonts w:ascii="Candara" w:eastAsia="Candara" w:hAnsi="Candara" w:cs="Candara"/>
          <w:color w:val="262626"/>
          <w:sz w:val="24"/>
          <w:szCs w:val="24"/>
        </w:rPr>
      </w:pPr>
    </w:p>
    <w:sectPr w:rsidR="006A4FDF">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37CC1" w14:textId="77777777" w:rsidR="00392BA0" w:rsidRDefault="00392BA0">
      <w:pPr>
        <w:spacing w:after="0" w:line="240" w:lineRule="auto"/>
      </w:pPr>
      <w:r>
        <w:separator/>
      </w:r>
    </w:p>
  </w:endnote>
  <w:endnote w:type="continuationSeparator" w:id="0">
    <w:p w14:paraId="5F2CD507" w14:textId="77777777" w:rsidR="00392BA0" w:rsidRDefault="00392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Calibri"/>
    <w:charset w:val="00"/>
    <w:family w:val="swiss"/>
    <w:pitch w:val="variable"/>
    <w:sig w:usb0="20000287" w:usb1="00000003" w:usb2="00000000" w:usb3="00000000" w:csb0="0000019F" w:csb1="00000000"/>
  </w:font>
  <w:font w:name="Play">
    <w:charset w:val="00"/>
    <w:family w:val="auto"/>
    <w:pitch w:val="default"/>
  </w:font>
  <w:font w:name="Aptos Display">
    <w:altName w:val="Calibri"/>
    <w:charset w:val="00"/>
    <w:family w:val="swiss"/>
    <w:pitch w:val="variable"/>
    <w:sig w:usb0="20000287" w:usb1="00000003"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B20D3" w14:textId="77777777" w:rsidR="00392BA0" w:rsidRDefault="00392BA0">
      <w:pPr>
        <w:spacing w:after="0" w:line="240" w:lineRule="auto"/>
      </w:pPr>
      <w:r>
        <w:separator/>
      </w:r>
    </w:p>
  </w:footnote>
  <w:footnote w:type="continuationSeparator" w:id="0">
    <w:p w14:paraId="3D12472E" w14:textId="77777777" w:rsidR="00392BA0" w:rsidRDefault="00392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A724C" w14:textId="583DD742" w:rsidR="006A4FDF" w:rsidRPr="00085D0C" w:rsidRDefault="00C65760">
    <w:pPr>
      <w:pBdr>
        <w:top w:val="nil"/>
        <w:left w:val="nil"/>
        <w:bottom w:val="nil"/>
        <w:right w:val="nil"/>
        <w:between w:val="nil"/>
      </w:pBdr>
      <w:tabs>
        <w:tab w:val="center" w:pos="4419"/>
        <w:tab w:val="right" w:pos="8838"/>
      </w:tabs>
      <w:spacing w:after="0" w:line="240" w:lineRule="auto"/>
      <w:rPr>
        <w:color w:val="7F7F7F" w:themeColor="text1" w:themeTint="80"/>
      </w:rPr>
    </w:pPr>
    <w:r w:rsidRPr="00085D0C">
      <w:rPr>
        <w:rFonts w:ascii="Constantia" w:eastAsia="Constantia" w:hAnsi="Constantia" w:cs="Constantia"/>
        <w:color w:val="7F7F7F" w:themeColor="text1" w:themeTint="80"/>
      </w:rPr>
      <w:t>P</w:t>
    </w:r>
    <w:r w:rsidRPr="00085D0C">
      <w:rPr>
        <w:rFonts w:ascii="Constantia" w:eastAsia="Constantia" w:hAnsi="Constantia" w:cs="Constantia"/>
        <w:color w:val="7F7F7F" w:themeColor="text1" w:themeTint="80"/>
        <w:sz w:val="24"/>
        <w:szCs w:val="24"/>
      </w:rPr>
      <w:t xml:space="preserve">royecto de Ley </w:t>
    </w:r>
    <w:r w:rsidRPr="00085D0C">
      <w:rPr>
        <w:rFonts w:ascii="Constantia" w:eastAsia="Constantia" w:hAnsi="Constantia" w:cs="Constantia"/>
        <w:i/>
        <w:color w:val="7F7F7F" w:themeColor="text1" w:themeTint="80"/>
        <w:sz w:val="24"/>
        <w:szCs w:val="24"/>
      </w:rPr>
      <w:t>por medio del cual se establecen medidas de responsabilidad del Estado en favor de las víctimas de delitos de lesa humanidad</w:t>
    </w:r>
    <w:r w:rsidRPr="00085D0C">
      <w:rPr>
        <w:noProof/>
        <w:color w:val="7F7F7F" w:themeColor="text1" w:themeTint="80"/>
      </w:rPr>
      <w:t xml:space="preserve"> </w:t>
    </w:r>
    <w:r w:rsidR="00392BA0" w:rsidRPr="00085D0C">
      <w:rPr>
        <w:noProof/>
        <w:color w:val="7F7F7F" w:themeColor="text1" w:themeTint="80"/>
      </w:rPr>
      <mc:AlternateContent>
        <mc:Choice Requires="wps">
          <w:drawing>
            <wp:anchor distT="0" distB="0" distL="114300" distR="114300" simplePos="0" relativeHeight="251658240" behindDoc="0" locked="0" layoutInCell="1" hidden="0" allowOverlap="1" wp14:anchorId="2D82639B" wp14:editId="7E33F6B0">
              <wp:simplePos x="0" y="0"/>
              <wp:positionH relativeFrom="column">
                <wp:posOffset>114300</wp:posOffset>
              </wp:positionH>
              <wp:positionV relativeFrom="paragraph">
                <wp:posOffset>-419099</wp:posOffset>
              </wp:positionV>
              <wp:extent cx="7820024" cy="380365"/>
              <wp:effectExtent l="0" t="0" r="0" b="0"/>
              <wp:wrapNone/>
              <wp:docPr id="1780235857" name="Rectángulo 1780235857"/>
              <wp:cNvGraphicFramePr/>
              <a:graphic xmlns:a="http://schemas.openxmlformats.org/drawingml/2006/main">
                <a:graphicData uri="http://schemas.microsoft.com/office/word/2010/wordprocessingShape">
                  <wps:wsp>
                    <wps:cNvSpPr/>
                    <wps:spPr>
                      <a:xfrm rot="10800000" flipH="1">
                        <a:off x="1455038" y="3608868"/>
                        <a:ext cx="7781925" cy="342265"/>
                      </a:xfrm>
                      <a:prstGeom prst="rect">
                        <a:avLst/>
                      </a:prstGeom>
                      <a:solidFill>
                        <a:srgbClr val="7030A0"/>
                      </a:solidFill>
                      <a:ln w="12700" cap="flat" cmpd="sng">
                        <a:solidFill>
                          <a:srgbClr val="31538F"/>
                        </a:solidFill>
                        <a:prstDash val="solid"/>
                        <a:round/>
                        <a:headEnd type="none" w="sm" len="sm"/>
                        <a:tailEnd type="none" w="sm" len="sm"/>
                      </a:ln>
                    </wps:spPr>
                    <wps:txbx>
                      <w:txbxContent>
                        <w:p w14:paraId="69DA7BDB" w14:textId="77777777" w:rsidR="006A4FDF" w:rsidRDefault="006A4FDF">
                          <w:pPr>
                            <w:spacing w:after="0" w:line="240" w:lineRule="auto"/>
                            <w:textDirection w:val="btLr"/>
                          </w:pPr>
                        </w:p>
                      </w:txbxContent>
                    </wps:txbx>
                    <wps:bodyPr spcFirstLastPara="1" wrap="square" lIns="114300" tIns="0" rIns="114300" bIns="0" anchor="ctr" anchorCtr="0">
                      <a:noAutofit/>
                    </wps:bodyPr>
                  </wps:wsp>
                </a:graphicData>
              </a:graphic>
            </wp:anchor>
          </w:drawing>
        </mc:Choice>
        <mc:Fallback>
          <w:pict>
            <v:rect w14:anchorId="2D82639B" id="Rectángulo 1780235857" o:spid="_x0000_s1026" style="position:absolute;margin-left:9pt;margin-top:-33pt;width:615.75pt;height:29.95pt;rotation:180;flip:x;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" fillcolor="#7030a0" strokecolor="#31538f" strokeweight="1pt">
              <v:stroke startarrowwidth="narrow" startarrowlength="short" endarrowwidth="narrow" endarrowlength="short" joinstyle="round"/>
              <v:textbox inset="9pt,0,9pt,0">
                <w:txbxContent>
                  <w:p w14:paraId="69DA7BDB" w14:textId="77777777" w:rsidR="006A4FDF" w:rsidRDefault="006A4FDF">
                    <w:pPr>
                      <w:spacing w:after="0" w:line="240" w:lineRule="auto"/>
                      <w:textDirection w:val="btLr"/>
                    </w:pPr>
                  </w:p>
                </w:txbxContent>
              </v:textbox>
            </v:rect>
          </w:pict>
        </mc:Fallback>
      </mc:AlternateContent>
    </w:r>
    <w:r w:rsidR="00392BA0" w:rsidRPr="00085D0C">
      <w:rPr>
        <w:noProof/>
        <w:color w:val="7F7F7F" w:themeColor="text1" w:themeTint="80"/>
      </w:rPr>
      <w:drawing>
        <wp:anchor distT="0" distB="0" distL="114300" distR="114300" simplePos="0" relativeHeight="251659264" behindDoc="0" locked="0" layoutInCell="1" hidden="0" allowOverlap="1" wp14:anchorId="2A8BC5C9" wp14:editId="4F2F6FA2">
          <wp:simplePos x="0" y="0"/>
          <wp:positionH relativeFrom="column">
            <wp:posOffset>-1066796</wp:posOffset>
          </wp:positionH>
          <wp:positionV relativeFrom="paragraph">
            <wp:posOffset>-419096</wp:posOffset>
          </wp:positionV>
          <wp:extent cx="868403" cy="793433"/>
          <wp:effectExtent l="0" t="0" r="0" b="0"/>
          <wp:wrapNone/>
          <wp:docPr id="1780235858" name="image2.jp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Logotipo, nombre de la empresa&#10;&#10;Descripción generada automáticamente"/>
                  <pic:cNvPicPr preferRelativeResize="0"/>
                </pic:nvPicPr>
                <pic:blipFill>
                  <a:blip r:embed="rId1"/>
                  <a:srcRect/>
                  <a:stretch>
                    <a:fillRect/>
                  </a:stretch>
                </pic:blipFill>
                <pic:spPr>
                  <a:xfrm>
                    <a:off x="0" y="0"/>
                    <a:ext cx="868403" cy="793433"/>
                  </a:xfrm>
                  <a:prstGeom prst="rect">
                    <a:avLst/>
                  </a:prstGeom>
                  <a:ln/>
                </pic:spPr>
              </pic:pic>
            </a:graphicData>
          </a:graphic>
        </wp:anchor>
      </w:drawing>
    </w:r>
    <w:r w:rsidRPr="00085D0C">
      <w:rPr>
        <w:noProof/>
        <w:color w:val="7F7F7F" w:themeColor="text1" w:themeTint="8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537F"/>
    <w:multiLevelType w:val="multilevel"/>
    <w:tmpl w:val="F2FE7F86"/>
    <w:lvl w:ilvl="0">
      <w:start w:val="1"/>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A863BFF"/>
    <w:multiLevelType w:val="multilevel"/>
    <w:tmpl w:val="CD4A304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64130252"/>
    <w:multiLevelType w:val="multilevel"/>
    <w:tmpl w:val="82A46C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FDF"/>
    <w:rsid w:val="00085D0C"/>
    <w:rsid w:val="00376EFB"/>
    <w:rsid w:val="00392BA0"/>
    <w:rsid w:val="00522A61"/>
    <w:rsid w:val="006A4FDF"/>
    <w:rsid w:val="00982B54"/>
    <w:rsid w:val="00C657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A6C3E"/>
  <w15:docId w15:val="{11BB5EF7-3633-44B5-A2E4-8CBE50137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Ttulo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Ttulo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Ttulo4">
    <w:name w:val="heading 4"/>
    <w:basedOn w:val="Normal"/>
    <w:next w:val="Normal"/>
    <w:uiPriority w:val="9"/>
    <w:semiHidden/>
    <w:unhideWhenUsed/>
    <w:qFormat/>
    <w:pPr>
      <w:keepNext/>
      <w:keepLines/>
      <w:spacing w:before="80" w:after="40"/>
      <w:outlineLvl w:val="3"/>
    </w:pPr>
    <w:rPr>
      <w:i/>
      <w:color w:val="0F4761"/>
    </w:rPr>
  </w:style>
  <w:style w:type="paragraph" w:styleId="Ttulo5">
    <w:name w:val="heading 5"/>
    <w:basedOn w:val="Normal"/>
    <w:next w:val="Normal"/>
    <w:uiPriority w:val="9"/>
    <w:semiHidden/>
    <w:unhideWhenUsed/>
    <w:qFormat/>
    <w:pPr>
      <w:keepNext/>
      <w:keepLines/>
      <w:spacing w:before="80" w:after="40"/>
      <w:outlineLvl w:val="4"/>
    </w:pPr>
    <w:rPr>
      <w:color w:val="0F4761"/>
    </w:rPr>
  </w:style>
  <w:style w:type="paragraph" w:styleId="Ttulo6">
    <w:name w:val="heading 6"/>
    <w:basedOn w:val="Normal"/>
    <w:next w:val="Normal"/>
    <w:uiPriority w:val="9"/>
    <w:semiHidden/>
    <w:unhideWhenUsed/>
    <w:qFormat/>
    <w:pPr>
      <w:keepNext/>
      <w:keepLines/>
      <w:spacing w:before="40" w:after="0"/>
      <w:outlineLvl w:val="5"/>
    </w:pPr>
    <w:rPr>
      <w:i/>
      <w:color w:val="595959"/>
    </w:rPr>
  </w:style>
  <w:style w:type="paragraph" w:styleId="Ttulo7">
    <w:name w:val="heading 7"/>
    <w:basedOn w:val="Normal"/>
    <w:next w:val="Normal"/>
    <w:link w:val="Ttulo7Car"/>
    <w:uiPriority w:val="9"/>
    <w:semiHidden/>
    <w:unhideWhenUsed/>
    <w:qFormat/>
    <w:rsid w:val="001920C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920C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920C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spacing w:after="80" w:line="240" w:lineRule="auto"/>
    </w:pPr>
    <w:rPr>
      <w:rFonts w:ascii="Play" w:eastAsia="Play" w:hAnsi="Play" w:cs="Play"/>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uiPriority w:val="9"/>
    <w:rsid w:val="001920C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uiPriority w:val="9"/>
    <w:semiHidden/>
    <w:rsid w:val="001920C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uiPriority w:val="9"/>
    <w:semiHidden/>
    <w:rsid w:val="001920C6"/>
    <w:rPr>
      <w:rFonts w:eastAsiaTheme="majorEastAsia" w:cstheme="majorBidi"/>
      <w:color w:val="0F4761" w:themeColor="accent1" w:themeShade="BF"/>
      <w:sz w:val="28"/>
      <w:szCs w:val="28"/>
    </w:rPr>
  </w:style>
  <w:style w:type="character" w:customStyle="1" w:styleId="Ttulo4Car">
    <w:name w:val="Título 4 Car"/>
    <w:basedOn w:val="Fuentedeprrafopredeter"/>
    <w:uiPriority w:val="9"/>
    <w:semiHidden/>
    <w:rsid w:val="001920C6"/>
    <w:rPr>
      <w:rFonts w:eastAsiaTheme="majorEastAsia" w:cstheme="majorBidi"/>
      <w:i/>
      <w:iCs/>
      <w:color w:val="0F4761" w:themeColor="accent1" w:themeShade="BF"/>
    </w:rPr>
  </w:style>
  <w:style w:type="character" w:customStyle="1" w:styleId="Ttulo5Car">
    <w:name w:val="Título 5 Car"/>
    <w:basedOn w:val="Fuentedeprrafopredeter"/>
    <w:uiPriority w:val="9"/>
    <w:semiHidden/>
    <w:rsid w:val="001920C6"/>
    <w:rPr>
      <w:rFonts w:eastAsiaTheme="majorEastAsia" w:cstheme="majorBidi"/>
      <w:color w:val="0F4761" w:themeColor="accent1" w:themeShade="BF"/>
    </w:rPr>
  </w:style>
  <w:style w:type="character" w:customStyle="1" w:styleId="Ttulo6Car">
    <w:name w:val="Título 6 Car"/>
    <w:basedOn w:val="Fuentedeprrafopredeter"/>
    <w:uiPriority w:val="9"/>
    <w:semiHidden/>
    <w:rsid w:val="001920C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920C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920C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920C6"/>
    <w:rPr>
      <w:rFonts w:eastAsiaTheme="majorEastAsia" w:cstheme="majorBidi"/>
      <w:color w:val="272727" w:themeColor="text1" w:themeTint="D8"/>
    </w:rPr>
  </w:style>
  <w:style w:type="character" w:customStyle="1" w:styleId="TtuloCar">
    <w:name w:val="Título Car"/>
    <w:basedOn w:val="Fuentedeprrafopredeter"/>
    <w:uiPriority w:val="10"/>
    <w:rsid w:val="001920C6"/>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uiPriority w:val="11"/>
    <w:rsid w:val="001920C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920C6"/>
    <w:pPr>
      <w:spacing w:before="160"/>
      <w:jc w:val="center"/>
    </w:pPr>
    <w:rPr>
      <w:i/>
      <w:iCs/>
      <w:color w:val="404040" w:themeColor="text1" w:themeTint="BF"/>
    </w:rPr>
  </w:style>
  <w:style w:type="character" w:customStyle="1" w:styleId="CitaCar">
    <w:name w:val="Cita Car"/>
    <w:basedOn w:val="Fuentedeprrafopredeter"/>
    <w:link w:val="Cita"/>
    <w:uiPriority w:val="29"/>
    <w:rsid w:val="001920C6"/>
    <w:rPr>
      <w:i/>
      <w:iCs/>
      <w:color w:val="404040" w:themeColor="text1" w:themeTint="BF"/>
    </w:rPr>
  </w:style>
  <w:style w:type="paragraph" w:styleId="Prrafodelista">
    <w:name w:val="List Paragraph"/>
    <w:basedOn w:val="Normal"/>
    <w:uiPriority w:val="34"/>
    <w:qFormat/>
    <w:rsid w:val="001920C6"/>
    <w:pPr>
      <w:ind w:left="720"/>
      <w:contextualSpacing/>
    </w:pPr>
  </w:style>
  <w:style w:type="character" w:styleId="nfasisintenso">
    <w:name w:val="Intense Emphasis"/>
    <w:basedOn w:val="Fuentedeprrafopredeter"/>
    <w:uiPriority w:val="21"/>
    <w:qFormat/>
    <w:rsid w:val="001920C6"/>
    <w:rPr>
      <w:i/>
      <w:iCs/>
      <w:color w:val="0F4761" w:themeColor="accent1" w:themeShade="BF"/>
    </w:rPr>
  </w:style>
  <w:style w:type="paragraph" w:styleId="Citadestacada">
    <w:name w:val="Intense Quote"/>
    <w:basedOn w:val="Normal"/>
    <w:next w:val="Normal"/>
    <w:link w:val="CitadestacadaCar"/>
    <w:uiPriority w:val="30"/>
    <w:qFormat/>
    <w:rsid w:val="001920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920C6"/>
    <w:rPr>
      <w:i/>
      <w:iCs/>
      <w:color w:val="0F4761" w:themeColor="accent1" w:themeShade="BF"/>
    </w:rPr>
  </w:style>
  <w:style w:type="character" w:styleId="Referenciaintensa">
    <w:name w:val="Intense Reference"/>
    <w:basedOn w:val="Fuentedeprrafopredeter"/>
    <w:uiPriority w:val="32"/>
    <w:qFormat/>
    <w:rsid w:val="001920C6"/>
    <w:rPr>
      <w:b/>
      <w:bCs/>
      <w:smallCaps/>
      <w:color w:val="0F4761" w:themeColor="accent1" w:themeShade="BF"/>
      <w:spacing w:val="5"/>
    </w:rPr>
  </w:style>
  <w:style w:type="paragraph" w:styleId="NormalWeb">
    <w:name w:val="Normal (Web)"/>
    <w:basedOn w:val="Normal"/>
    <w:uiPriority w:val="99"/>
    <w:unhideWhenUsed/>
    <w:rsid w:val="00E33C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itespace-pre-wrap">
    <w:name w:val="whitespace-pre-wrap"/>
    <w:basedOn w:val="Normal"/>
    <w:rsid w:val="007204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itespace-normal">
    <w:name w:val="whitespace-normal"/>
    <w:basedOn w:val="Normal"/>
    <w:rsid w:val="00720493"/>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FE4BA7"/>
    <w:rPr>
      <w:b/>
      <w:bCs/>
    </w:rPr>
  </w:style>
  <w:style w:type="character" w:styleId="nfasis">
    <w:name w:val="Emphasis"/>
    <w:basedOn w:val="Fuentedeprrafopredeter"/>
    <w:uiPriority w:val="20"/>
    <w:qFormat/>
    <w:rsid w:val="001F03D4"/>
    <w:rPr>
      <w:i/>
      <w:iCs/>
    </w:rPr>
  </w:style>
  <w:style w:type="paragraph" w:styleId="Textonotapie">
    <w:name w:val="footnote text"/>
    <w:basedOn w:val="Normal"/>
    <w:link w:val="TextonotapieCar"/>
    <w:uiPriority w:val="99"/>
    <w:semiHidden/>
    <w:unhideWhenUsed/>
    <w:rsid w:val="002E7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E71B7"/>
    <w:rPr>
      <w:sz w:val="20"/>
      <w:szCs w:val="20"/>
    </w:rPr>
  </w:style>
  <w:style w:type="character" w:styleId="Refdenotaalpie">
    <w:name w:val="footnote reference"/>
    <w:basedOn w:val="Fuentedeprrafopredeter"/>
    <w:uiPriority w:val="99"/>
    <w:semiHidden/>
    <w:unhideWhenUsed/>
    <w:rsid w:val="002E71B7"/>
    <w:rPr>
      <w:vertAlign w:val="superscript"/>
    </w:rPr>
  </w:style>
  <w:style w:type="character" w:styleId="Hipervnculo">
    <w:name w:val="Hyperlink"/>
    <w:basedOn w:val="Fuentedeprrafopredeter"/>
    <w:uiPriority w:val="99"/>
    <w:unhideWhenUsed/>
    <w:rsid w:val="009356E1"/>
    <w:rPr>
      <w:color w:val="467886" w:themeColor="hyperlink"/>
      <w:u w:val="single"/>
    </w:rPr>
  </w:style>
  <w:style w:type="character" w:styleId="Mencinsinresolver">
    <w:name w:val="Unresolved Mention"/>
    <w:basedOn w:val="Fuentedeprrafopredeter"/>
    <w:uiPriority w:val="99"/>
    <w:semiHidden/>
    <w:unhideWhenUsed/>
    <w:rsid w:val="009356E1"/>
    <w:rPr>
      <w:color w:val="605E5C"/>
      <w:shd w:val="clear" w:color="auto" w:fill="E1DFDD"/>
    </w:rPr>
  </w:style>
  <w:style w:type="paragraph" w:styleId="Encabezado">
    <w:name w:val="header"/>
    <w:basedOn w:val="Normal"/>
    <w:link w:val="EncabezadoCar"/>
    <w:uiPriority w:val="99"/>
    <w:unhideWhenUsed/>
    <w:rsid w:val="009B0C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0CC3"/>
  </w:style>
  <w:style w:type="paragraph" w:styleId="Piedepgina">
    <w:name w:val="footer"/>
    <w:basedOn w:val="Normal"/>
    <w:link w:val="PiedepginaCar"/>
    <w:uiPriority w:val="99"/>
    <w:unhideWhenUsed/>
    <w:rsid w:val="009B0C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0CC3"/>
  </w:style>
  <w:style w:type="paragraph" w:styleId="Revisin">
    <w:name w:val="Revision"/>
    <w:hidden/>
    <w:uiPriority w:val="99"/>
    <w:semiHidden/>
    <w:rsid w:val="00AC1674"/>
    <w:pPr>
      <w:spacing w:after="0" w:line="240" w:lineRule="auto"/>
    </w:pPr>
  </w:style>
  <w:style w:type="table" w:styleId="Tablaconcuadrcula">
    <w:name w:val="Table Grid"/>
    <w:basedOn w:val="Tablanormal"/>
    <w:uiPriority w:val="39"/>
    <w:rsid w:val="00321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paragraph" w:styleId="Subttulo">
    <w:name w:val="Subtitle"/>
    <w:basedOn w:val="Normal"/>
    <w:next w:val="Normal"/>
    <w:uiPriority w:val="11"/>
    <w:qFormat/>
    <w:rPr>
      <w:color w:val="595959"/>
      <w:sz w:val="28"/>
      <w:szCs w:val="28"/>
    </w:r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WfodWshUY3s8PMpkLwohUAvJcg==">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11</Pages>
  <Words>4143</Words>
  <Characters>22790</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CAMILO GIRALDO NARANJO</dc:creator>
  <cp:lastModifiedBy>Julian Camilo Giraldo Naranjo</cp:lastModifiedBy>
  <cp:revision>3</cp:revision>
  <cp:lastPrinted>2025-08-20T16:16:00Z</cp:lastPrinted>
  <dcterms:created xsi:type="dcterms:W3CDTF">2024-12-17T16:17:00Z</dcterms:created>
  <dcterms:modified xsi:type="dcterms:W3CDTF">2025-08-20T21:50:00Z</dcterms:modified>
</cp:coreProperties>
</file>