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A6A" w:rsidRDefault="00D15A6A">
      <w:pPr>
        <w:spacing w:line="240" w:lineRule="auto"/>
        <w:rPr>
          <w:rFonts w:ascii="Century Gothic" w:eastAsia="Century Gothic" w:hAnsi="Century Gothic" w:cs="Century Gothic"/>
        </w:rPr>
      </w:pPr>
    </w:p>
    <w:p w:rsidR="00D15A6A" w:rsidRDefault="00D9732F">
      <w:pPr>
        <w:spacing w:line="240" w:lineRule="auto"/>
        <w:ind w:left="720" w:hanging="720"/>
        <w:rPr>
          <w:rFonts w:ascii="Century Gothic" w:eastAsia="Century Gothic" w:hAnsi="Century Gothic" w:cs="Century Gothic"/>
        </w:rPr>
      </w:pPr>
      <w:r>
        <w:rPr>
          <w:rFonts w:ascii="Century Gothic" w:eastAsia="Century Gothic" w:hAnsi="Century Gothic" w:cs="Century Gothic"/>
        </w:rPr>
        <w:t>Bogotá D.C., julio 22  de 2025.</w:t>
      </w:r>
    </w:p>
    <w:p w:rsidR="00D15A6A" w:rsidRDefault="00D15A6A">
      <w:pPr>
        <w:spacing w:line="240" w:lineRule="auto"/>
        <w:rPr>
          <w:rFonts w:ascii="Century Gothic" w:eastAsia="Century Gothic" w:hAnsi="Century Gothic" w:cs="Century Gothic"/>
        </w:rPr>
      </w:pPr>
    </w:p>
    <w:p w:rsidR="00D15A6A" w:rsidRDefault="00D15A6A">
      <w:pPr>
        <w:spacing w:line="240" w:lineRule="auto"/>
        <w:ind w:right="49"/>
        <w:jc w:val="both"/>
        <w:rPr>
          <w:rFonts w:ascii="Century Gothic" w:eastAsia="Century Gothic" w:hAnsi="Century Gothic" w:cs="Century Gothic"/>
        </w:rPr>
      </w:pPr>
    </w:p>
    <w:p w:rsidR="00D15A6A" w:rsidRDefault="00D9732F">
      <w:pPr>
        <w:spacing w:line="240" w:lineRule="auto"/>
        <w:ind w:right="49"/>
        <w:jc w:val="both"/>
        <w:rPr>
          <w:rFonts w:ascii="Century Gothic" w:eastAsia="Century Gothic" w:hAnsi="Century Gothic" w:cs="Century Gothic"/>
        </w:rPr>
      </w:pPr>
      <w:r>
        <w:rPr>
          <w:rFonts w:ascii="Century Gothic" w:eastAsia="Century Gothic" w:hAnsi="Century Gothic" w:cs="Century Gothic"/>
        </w:rPr>
        <w:t>Señor</w:t>
      </w:r>
    </w:p>
    <w:p w:rsidR="00D15A6A" w:rsidRDefault="00D9732F">
      <w:pPr>
        <w:spacing w:line="240" w:lineRule="auto"/>
        <w:ind w:right="49"/>
        <w:jc w:val="both"/>
        <w:rPr>
          <w:rFonts w:ascii="Century Gothic" w:eastAsia="Century Gothic" w:hAnsi="Century Gothic" w:cs="Century Gothic"/>
          <w:b/>
        </w:rPr>
      </w:pPr>
      <w:r>
        <w:rPr>
          <w:rFonts w:ascii="Century Gothic" w:eastAsia="Century Gothic" w:hAnsi="Century Gothic" w:cs="Century Gothic"/>
          <w:b/>
        </w:rPr>
        <w:t>Jaime Luis Lacouture Peñaloza</w:t>
      </w:r>
    </w:p>
    <w:p w:rsidR="00D15A6A" w:rsidRDefault="00D9732F">
      <w:pPr>
        <w:spacing w:line="240" w:lineRule="auto"/>
        <w:ind w:right="49"/>
        <w:jc w:val="both"/>
        <w:rPr>
          <w:rFonts w:ascii="Century Gothic" w:eastAsia="Century Gothic" w:hAnsi="Century Gothic" w:cs="Century Gothic"/>
        </w:rPr>
      </w:pPr>
      <w:r>
        <w:rPr>
          <w:rFonts w:ascii="Century Gothic" w:eastAsia="Century Gothic" w:hAnsi="Century Gothic" w:cs="Century Gothic"/>
        </w:rPr>
        <w:t>Secretario General</w:t>
      </w:r>
    </w:p>
    <w:p w:rsidR="00D15A6A" w:rsidRDefault="00D9732F">
      <w:pPr>
        <w:spacing w:line="240" w:lineRule="auto"/>
        <w:ind w:right="49"/>
        <w:jc w:val="both"/>
        <w:rPr>
          <w:rFonts w:ascii="Century Gothic" w:eastAsia="Century Gothic" w:hAnsi="Century Gothic" w:cs="Century Gothic"/>
        </w:rPr>
      </w:pPr>
      <w:r>
        <w:rPr>
          <w:rFonts w:ascii="Century Gothic" w:eastAsia="Century Gothic" w:hAnsi="Century Gothic" w:cs="Century Gothic"/>
        </w:rPr>
        <w:t>Cámara de Representantes</w:t>
      </w:r>
    </w:p>
    <w:p w:rsidR="00D15A6A" w:rsidRDefault="00D15A6A">
      <w:pPr>
        <w:spacing w:line="240" w:lineRule="auto"/>
        <w:ind w:left="284" w:right="49"/>
        <w:jc w:val="both"/>
        <w:rPr>
          <w:rFonts w:ascii="Century Gothic" w:eastAsia="Century Gothic" w:hAnsi="Century Gothic" w:cs="Century Gothic"/>
        </w:rPr>
      </w:pPr>
    </w:p>
    <w:p w:rsidR="00D15A6A" w:rsidRDefault="00D15A6A">
      <w:pPr>
        <w:spacing w:line="240" w:lineRule="auto"/>
        <w:ind w:right="49"/>
        <w:jc w:val="both"/>
        <w:rPr>
          <w:rFonts w:ascii="Century Gothic" w:eastAsia="Century Gothic" w:hAnsi="Century Gothic" w:cs="Century Gothic"/>
        </w:rPr>
      </w:pPr>
    </w:p>
    <w:p w:rsidR="00D15A6A" w:rsidRDefault="00D9732F">
      <w:pPr>
        <w:spacing w:line="240" w:lineRule="auto"/>
        <w:ind w:right="49"/>
        <w:jc w:val="both"/>
        <w:rPr>
          <w:rFonts w:ascii="Century Gothic" w:eastAsia="Century Gothic" w:hAnsi="Century Gothic" w:cs="Century Gothic"/>
          <w:b/>
        </w:rPr>
      </w:pPr>
      <w:r>
        <w:rPr>
          <w:rFonts w:ascii="Century Gothic" w:eastAsia="Century Gothic" w:hAnsi="Century Gothic" w:cs="Century Gothic"/>
          <w:b/>
        </w:rPr>
        <w:t xml:space="preserve">Asunto: </w:t>
      </w:r>
      <w:r>
        <w:rPr>
          <w:rFonts w:ascii="Century Gothic" w:eastAsia="Century Gothic" w:hAnsi="Century Gothic" w:cs="Century Gothic"/>
        </w:rPr>
        <w:t xml:space="preserve">Radicación proyecto de ley </w:t>
      </w:r>
      <w:r>
        <w:rPr>
          <w:rFonts w:ascii="Century Gothic" w:eastAsia="Century Gothic" w:hAnsi="Century Gothic" w:cs="Century Gothic"/>
          <w:i/>
        </w:rPr>
        <w:t>“</w:t>
      </w:r>
      <w:r>
        <w:rPr>
          <w:rFonts w:ascii="Century Gothic" w:eastAsia="Century Gothic" w:hAnsi="Century Gothic" w:cs="Century Gothic"/>
          <w:b/>
        </w:rPr>
        <w:t>Por medio de la cual se modifican y adicionan disposiciones a la Ley 105 de 1993 en materia de peajes, se establecen criterios para tarifas diferenciales y se dictan otras disposiciones”</w:t>
      </w:r>
    </w:p>
    <w:p w:rsidR="00D15A6A" w:rsidRDefault="00D15A6A">
      <w:pPr>
        <w:spacing w:line="240" w:lineRule="auto"/>
        <w:jc w:val="both"/>
        <w:rPr>
          <w:rFonts w:ascii="Century Gothic" w:eastAsia="Century Gothic" w:hAnsi="Century Gothic" w:cs="Century Gothic"/>
          <w:b/>
        </w:rPr>
      </w:pPr>
    </w:p>
    <w:p w:rsidR="00D15A6A" w:rsidRDefault="00D15A6A">
      <w:pPr>
        <w:spacing w:line="240" w:lineRule="auto"/>
        <w:jc w:val="both"/>
        <w:rPr>
          <w:rFonts w:ascii="Century Gothic" w:eastAsia="Century Gothic" w:hAnsi="Century Gothic" w:cs="Century Gothic"/>
        </w:rPr>
      </w:pPr>
    </w:p>
    <w:p w:rsidR="00D15A6A" w:rsidRDefault="00D9732F">
      <w:pPr>
        <w:spacing w:line="240" w:lineRule="auto"/>
        <w:rPr>
          <w:rFonts w:ascii="Century Gothic" w:eastAsia="Century Gothic" w:hAnsi="Century Gothic" w:cs="Century Gothic"/>
        </w:rPr>
      </w:pPr>
      <w:bookmarkStart w:id="0" w:name="_heading=h.q4ilq09jygjz" w:colFirst="0" w:colLast="0"/>
      <w:bookmarkEnd w:id="0"/>
      <w:r>
        <w:rPr>
          <w:rFonts w:ascii="Century Gothic" w:eastAsia="Century Gothic" w:hAnsi="Century Gothic" w:cs="Century Gothic"/>
        </w:rPr>
        <w:t xml:space="preserve">De las y los Honorables Representantes, </w:t>
      </w:r>
    </w:p>
    <w:p w:rsidR="00080B29" w:rsidRDefault="00080B29">
      <w:pPr>
        <w:spacing w:line="240" w:lineRule="auto"/>
        <w:rPr>
          <w:rFonts w:ascii="Century Gothic" w:eastAsia="Century Gothic" w:hAnsi="Century Gothic" w:cs="Century Gothic"/>
        </w:rPr>
      </w:pPr>
    </w:p>
    <w:p w:rsidR="00080B29" w:rsidRDefault="00080B29">
      <w:pPr>
        <w:spacing w:line="240" w:lineRule="auto"/>
        <w:rPr>
          <w:rFonts w:ascii="Century Gothic" w:eastAsia="Century Gothic" w:hAnsi="Century Gothic" w:cs="Century Gothic"/>
        </w:rPr>
      </w:pPr>
    </w:p>
    <w:p w:rsidR="00080B29" w:rsidRDefault="00080B29" w:rsidP="00080B29">
      <w:pPr>
        <w:spacing w:line="240" w:lineRule="auto"/>
        <w:rPr>
          <w:rFonts w:ascii="Century Gothic" w:eastAsia="Century Gothic" w:hAnsi="Century Gothic" w:cs="Century Gothic"/>
          <w:b/>
        </w:rPr>
      </w:pPr>
      <w:bookmarkStart w:id="1" w:name="_GoBack"/>
      <w:bookmarkEnd w:id="1"/>
    </w:p>
    <w:p w:rsidR="00080B29" w:rsidRPr="00D92574" w:rsidRDefault="00080B29" w:rsidP="00080B29">
      <w:pPr>
        <w:rPr>
          <w:rFonts w:ascii="Century Gothic" w:eastAsia="Century Gothic" w:hAnsi="Century Gothic" w:cs="Century Gothic"/>
          <w:b/>
        </w:rPr>
      </w:pPr>
      <w:r w:rsidRPr="00D92574">
        <w:rPr>
          <w:rFonts w:ascii="Century Gothic" w:eastAsia="Century Gothic" w:hAnsi="Century Gothic" w:cs="Century Gothic"/>
          <w:b/>
        </w:rPr>
        <w:t>Modesto Enrique Aguilera Vides</w:t>
      </w:r>
    </w:p>
    <w:p w:rsidR="00080B29" w:rsidRDefault="00080B29" w:rsidP="00080B29">
      <w:pPr>
        <w:rPr>
          <w:rFonts w:ascii="Century Gothic" w:eastAsia="Century Gothic" w:hAnsi="Century Gothic" w:cs="Century Gothic"/>
        </w:rPr>
      </w:pPr>
      <w:r>
        <w:rPr>
          <w:rFonts w:ascii="Century Gothic" w:eastAsia="Century Gothic" w:hAnsi="Century Gothic" w:cs="Century Gothic"/>
        </w:rPr>
        <w:t>Representante a la Cámara</w:t>
      </w:r>
    </w:p>
    <w:p w:rsidR="00080B29" w:rsidRDefault="00080B29" w:rsidP="00080B29">
      <w:pPr>
        <w:rPr>
          <w:rFonts w:ascii="Century Gothic" w:eastAsia="Century Gothic" w:hAnsi="Century Gothic" w:cs="Century Gothic"/>
        </w:rPr>
      </w:pPr>
      <w:r>
        <w:rPr>
          <w:rFonts w:ascii="Century Gothic" w:eastAsia="Century Gothic" w:hAnsi="Century Gothic" w:cs="Century Gothic"/>
        </w:rPr>
        <w:t>Partido Cambio Radical</w:t>
      </w:r>
    </w:p>
    <w:p w:rsidR="00080B29" w:rsidRDefault="00080B29" w:rsidP="00080B29">
      <w:pPr>
        <w:spacing w:line="240" w:lineRule="auto"/>
        <w:rPr>
          <w:rFonts w:ascii="Century Gothic" w:eastAsia="Century Gothic" w:hAnsi="Century Gothic" w:cs="Century Gothic"/>
          <w:b/>
        </w:rPr>
      </w:pPr>
    </w:p>
    <w:p w:rsidR="00080B29" w:rsidRDefault="00080B29" w:rsidP="00080B29">
      <w:pPr>
        <w:spacing w:line="240" w:lineRule="auto"/>
        <w:rPr>
          <w:rFonts w:ascii="Century Gothic" w:eastAsia="Century Gothic" w:hAnsi="Century Gothic" w:cs="Century Gothic"/>
          <w:b/>
        </w:rPr>
      </w:pPr>
    </w:p>
    <w:p w:rsidR="00080B29" w:rsidRDefault="00080B29" w:rsidP="00080B29">
      <w:pPr>
        <w:spacing w:line="240" w:lineRule="auto"/>
        <w:rPr>
          <w:rFonts w:ascii="Century Gothic" w:eastAsia="Century Gothic" w:hAnsi="Century Gothic" w:cs="Century Gothic"/>
          <w:b/>
        </w:rPr>
      </w:pPr>
      <w:r>
        <w:rPr>
          <w:rFonts w:ascii="Century Gothic" w:eastAsia="Century Gothic" w:hAnsi="Century Gothic" w:cs="Century Gothic"/>
          <w:b/>
        </w:rPr>
        <w:t>Juan Carlos Wills Ospina</w:t>
      </w:r>
    </w:p>
    <w:p w:rsidR="00080B29" w:rsidRDefault="00080B29" w:rsidP="00080B29">
      <w:pPr>
        <w:spacing w:line="240" w:lineRule="auto"/>
        <w:rPr>
          <w:rFonts w:ascii="Century Gothic" w:eastAsia="Century Gothic" w:hAnsi="Century Gothic" w:cs="Century Gothic"/>
        </w:rPr>
      </w:pPr>
      <w:r>
        <w:rPr>
          <w:rFonts w:ascii="Century Gothic" w:eastAsia="Century Gothic" w:hAnsi="Century Gothic" w:cs="Century Gothic"/>
        </w:rPr>
        <w:t>Representante a la Cámara</w:t>
      </w:r>
    </w:p>
    <w:p w:rsidR="00080B29" w:rsidRDefault="00080B29" w:rsidP="00080B29">
      <w:pPr>
        <w:rPr>
          <w:rFonts w:ascii="Century Gothic" w:eastAsia="Century Gothic" w:hAnsi="Century Gothic" w:cs="Century Gothic"/>
        </w:rPr>
      </w:pPr>
      <w:r>
        <w:rPr>
          <w:rFonts w:ascii="Century Gothic" w:eastAsia="Century Gothic" w:hAnsi="Century Gothic" w:cs="Century Gothic"/>
        </w:rPr>
        <w:t>Partido Conservador</w:t>
      </w:r>
      <w:r>
        <w:rPr>
          <w:rFonts w:ascii="Century Gothic" w:eastAsia="Century Gothic" w:hAnsi="Century Gothic" w:cs="Century Gothic"/>
        </w:rPr>
        <w:br/>
      </w:r>
    </w:p>
    <w:p w:rsidR="00080B29" w:rsidRDefault="00080B29" w:rsidP="00080B29">
      <w:pPr>
        <w:rPr>
          <w:rFonts w:ascii="Century Gothic" w:eastAsia="Century Gothic" w:hAnsi="Century Gothic" w:cs="Century Gothic"/>
        </w:rPr>
      </w:pPr>
    </w:p>
    <w:p w:rsidR="00080B29" w:rsidRPr="00D92574" w:rsidRDefault="00080B29" w:rsidP="00080B29">
      <w:pPr>
        <w:rPr>
          <w:rFonts w:ascii="Century Gothic" w:eastAsia="Century Gothic" w:hAnsi="Century Gothic" w:cs="Century Gothic"/>
          <w:b/>
        </w:rPr>
      </w:pPr>
      <w:r w:rsidRPr="00D92574">
        <w:rPr>
          <w:rFonts w:ascii="Century Gothic" w:eastAsia="Century Gothic" w:hAnsi="Century Gothic" w:cs="Century Gothic"/>
          <w:b/>
        </w:rPr>
        <w:t>Carlos Felipe Quintero Ovalle</w:t>
      </w:r>
    </w:p>
    <w:p w:rsidR="00080B29" w:rsidRDefault="00080B29" w:rsidP="00080B29">
      <w:pPr>
        <w:rPr>
          <w:rFonts w:ascii="Century Gothic" w:eastAsia="Century Gothic" w:hAnsi="Century Gothic" w:cs="Century Gothic"/>
        </w:rPr>
      </w:pPr>
      <w:r>
        <w:rPr>
          <w:rFonts w:ascii="Century Gothic" w:eastAsia="Century Gothic" w:hAnsi="Century Gothic" w:cs="Century Gothic"/>
        </w:rPr>
        <w:t>Representante a la Cámara</w:t>
      </w:r>
    </w:p>
    <w:p w:rsidR="00080B29" w:rsidRDefault="00080B29" w:rsidP="00080B29">
      <w:pPr>
        <w:spacing w:line="240" w:lineRule="auto"/>
        <w:rPr>
          <w:rFonts w:ascii="Century Gothic" w:eastAsia="Century Gothic" w:hAnsi="Century Gothic" w:cs="Century Gothic"/>
        </w:rPr>
      </w:pPr>
      <w:r>
        <w:rPr>
          <w:rFonts w:ascii="Century Gothic" w:eastAsia="Century Gothic" w:hAnsi="Century Gothic" w:cs="Century Gothic"/>
        </w:rPr>
        <w:t>Partido Liberal</w:t>
      </w:r>
    </w:p>
    <w:p w:rsidR="00D15A6A" w:rsidRDefault="00D15A6A">
      <w:pPr>
        <w:spacing w:line="240" w:lineRule="auto"/>
        <w:rPr>
          <w:rFonts w:ascii="Century Gothic" w:eastAsia="Century Gothic" w:hAnsi="Century Gothic" w:cs="Century Gothic"/>
        </w:rPr>
      </w:pPr>
      <w:bookmarkStart w:id="2" w:name="_heading=h.emag0gs69hsp" w:colFirst="0" w:colLast="0"/>
      <w:bookmarkEnd w:id="2"/>
    </w:p>
    <w:p w:rsidR="00D15A6A" w:rsidRDefault="00D15A6A">
      <w:pPr>
        <w:spacing w:line="240" w:lineRule="auto"/>
        <w:rPr>
          <w:rFonts w:ascii="Century Gothic" w:eastAsia="Century Gothic" w:hAnsi="Century Gothic" w:cs="Century Gothic"/>
        </w:rPr>
      </w:pPr>
    </w:p>
    <w:p w:rsidR="00D15A6A" w:rsidRDefault="00D15A6A">
      <w:pPr>
        <w:spacing w:line="240" w:lineRule="auto"/>
        <w:rPr>
          <w:rFonts w:ascii="Century Gothic" w:eastAsia="Century Gothic" w:hAnsi="Century Gothic" w:cs="Century Gothic"/>
        </w:rPr>
      </w:pPr>
    </w:p>
    <w:p w:rsidR="00D15A6A" w:rsidRDefault="00D15A6A">
      <w:pPr>
        <w:spacing w:line="240" w:lineRule="auto"/>
        <w:rPr>
          <w:rFonts w:ascii="Century Gothic" w:eastAsia="Century Gothic" w:hAnsi="Century Gothic" w:cs="Century Gothic"/>
        </w:rPr>
      </w:pPr>
    </w:p>
    <w:p w:rsidR="00D15A6A" w:rsidRDefault="00D15A6A">
      <w:pPr>
        <w:spacing w:line="240" w:lineRule="auto"/>
        <w:rPr>
          <w:rFonts w:ascii="Century Gothic" w:eastAsia="Century Gothic" w:hAnsi="Century Gothic" w:cs="Century Gothic"/>
        </w:rPr>
      </w:pPr>
    </w:p>
    <w:p w:rsidR="00D9732F" w:rsidRDefault="00D9732F">
      <w:pPr>
        <w:spacing w:line="240" w:lineRule="auto"/>
        <w:rPr>
          <w:rFonts w:ascii="Century Gothic" w:eastAsia="Century Gothic" w:hAnsi="Century Gothic" w:cs="Century Gothic"/>
        </w:rPr>
      </w:pPr>
    </w:p>
    <w:p w:rsidR="00D15A6A" w:rsidRDefault="00D15A6A">
      <w:pPr>
        <w:spacing w:line="240" w:lineRule="auto"/>
        <w:rPr>
          <w:rFonts w:ascii="Century Gothic" w:eastAsia="Century Gothic" w:hAnsi="Century Gothic" w:cs="Century Gothic"/>
        </w:rPr>
      </w:pPr>
    </w:p>
    <w:p w:rsidR="00D15A6A" w:rsidRDefault="00D15A6A">
      <w:pPr>
        <w:spacing w:line="240" w:lineRule="auto"/>
        <w:rPr>
          <w:rFonts w:ascii="Century Gothic" w:eastAsia="Century Gothic" w:hAnsi="Century Gothic" w:cs="Century Gothic"/>
        </w:rPr>
      </w:pP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numPr>
          <w:ilvl w:val="0"/>
          <w:numId w:val="1"/>
        </w:numPr>
        <w:spacing w:line="240" w:lineRule="auto"/>
        <w:jc w:val="both"/>
        <w:rPr>
          <w:rFonts w:ascii="Century Gothic" w:eastAsia="Century Gothic" w:hAnsi="Century Gothic" w:cs="Century Gothic"/>
        </w:rPr>
      </w:pPr>
      <w:r>
        <w:rPr>
          <w:rFonts w:ascii="Century Gothic" w:eastAsia="Century Gothic" w:hAnsi="Century Gothic" w:cs="Century Gothic"/>
          <w:b/>
        </w:rPr>
        <w:t>ARTICULADO.</w:t>
      </w:r>
    </w:p>
    <w:p w:rsidR="00D15A6A" w:rsidRDefault="00D9732F">
      <w:pPr>
        <w:pStyle w:val="Ttulo3"/>
        <w:keepNext w:val="0"/>
        <w:keepLines w:val="0"/>
        <w:spacing w:before="280" w:line="240" w:lineRule="auto"/>
        <w:jc w:val="center"/>
        <w:rPr>
          <w:rFonts w:ascii="Century Gothic" w:eastAsia="Century Gothic" w:hAnsi="Century Gothic" w:cs="Century Gothic"/>
          <w:b/>
          <w:color w:val="000000"/>
          <w:sz w:val="22"/>
          <w:szCs w:val="22"/>
        </w:rPr>
      </w:pPr>
      <w:bookmarkStart w:id="3" w:name="_heading=h.28d66os0e6ho" w:colFirst="0" w:colLast="0"/>
      <w:bookmarkEnd w:id="3"/>
      <w:r>
        <w:rPr>
          <w:rFonts w:ascii="Century Gothic" w:eastAsia="Century Gothic" w:hAnsi="Century Gothic" w:cs="Century Gothic"/>
          <w:b/>
          <w:color w:val="000000"/>
          <w:sz w:val="22"/>
          <w:szCs w:val="22"/>
        </w:rPr>
        <w:t>PROYECTO DE LEY</w:t>
      </w:r>
    </w:p>
    <w:p w:rsidR="00D15A6A" w:rsidRDefault="00D9732F">
      <w:pPr>
        <w:spacing w:before="240" w:after="240" w:line="240" w:lineRule="auto"/>
        <w:jc w:val="center"/>
        <w:rPr>
          <w:rFonts w:ascii="Century Gothic" w:eastAsia="Century Gothic" w:hAnsi="Century Gothic" w:cs="Century Gothic"/>
          <w:b/>
        </w:rPr>
      </w:pPr>
      <w:r>
        <w:rPr>
          <w:rFonts w:ascii="Century Gothic" w:eastAsia="Century Gothic" w:hAnsi="Century Gothic" w:cs="Century Gothic"/>
          <w:b/>
        </w:rPr>
        <w:t>"Por medio de la cual se modifican y adicionan disposiciones a la Ley 105 de 1993 en materia de peajes, se establecen criterios para tarifas diferenciales y se dictan otras disposiciones."</w:t>
      </w:r>
    </w:p>
    <w:p w:rsidR="00D15A6A" w:rsidRDefault="00D9732F">
      <w:pPr>
        <w:spacing w:before="240" w:after="240" w:line="240" w:lineRule="auto"/>
        <w:jc w:val="center"/>
        <w:rPr>
          <w:rFonts w:ascii="Century Gothic" w:eastAsia="Century Gothic" w:hAnsi="Century Gothic" w:cs="Century Gothic"/>
          <w:b/>
        </w:rPr>
      </w:pPr>
      <w:bookmarkStart w:id="4" w:name="_heading=h.m73i8fh3syvb" w:colFirst="0" w:colLast="0"/>
      <w:bookmarkEnd w:id="4"/>
      <w:r>
        <w:rPr>
          <w:rFonts w:ascii="Century Gothic" w:eastAsia="Century Gothic" w:hAnsi="Century Gothic" w:cs="Century Gothic"/>
          <w:b/>
        </w:rPr>
        <w:t>EL CONGRESO DE COLOMBIA DECRETA:</w:t>
      </w:r>
    </w:p>
    <w:p w:rsidR="00D15A6A" w:rsidRDefault="00D9732F">
      <w:pPr>
        <w:spacing w:before="240" w:after="240" w:line="240" w:lineRule="auto"/>
        <w:jc w:val="both"/>
        <w:rPr>
          <w:rFonts w:ascii="Century Gothic" w:eastAsia="Century Gothic" w:hAnsi="Century Gothic" w:cs="Century Gothic"/>
        </w:rPr>
      </w:pPr>
      <w:r>
        <w:rPr>
          <w:rFonts w:ascii="Century Gothic" w:eastAsia="Century Gothic" w:hAnsi="Century Gothic" w:cs="Century Gothic"/>
          <w:b/>
        </w:rPr>
        <w:t xml:space="preserve">ARTÍCULO 1. Objeto: </w:t>
      </w:r>
      <w:r>
        <w:rPr>
          <w:rFonts w:ascii="Century Gothic" w:eastAsia="Century Gothic" w:hAnsi="Century Gothic" w:cs="Century Gothic"/>
        </w:rPr>
        <w:t>La presente ley tiene por objeto actualizar y complementar el marco normativo aplicable al cobro de peajes en la infraestructura de transporte a nivel nacional, mediante la incorporación de condiciones de equidad, proporcionalidad y eficiencia. Para ello, se establece que el valor del peaje deberá ajustarse conforme al estado y nivel de habilitación de las vías, garantizando una relación justa entre el servicio prestado y el costo asumido por los usuarios. Asimismo, se definen principios de transparencia y eficiencia en el proceso de recaudo, se regulan los factores que inciden en el incremento anual de las tarifas y se establece la implementación de tarifas diferenciales, los días domingos y festivos en beneficio de las poblaciones de los departamentos de Atlántico, Bolívar, Cesar, Córdoba, La Guajira, Magdalena y Sucre, para incentivar el turismo.</w:t>
      </w:r>
    </w:p>
    <w:p w:rsidR="00D15A6A" w:rsidRDefault="00D15A6A">
      <w:pPr>
        <w:spacing w:line="240" w:lineRule="auto"/>
        <w:rPr>
          <w:rFonts w:ascii="Century Gothic" w:eastAsia="Century Gothic" w:hAnsi="Century Gothic" w:cs="Century Gothic"/>
        </w:rPr>
      </w:pPr>
    </w:p>
    <w:p w:rsidR="00D15A6A" w:rsidRDefault="00D9732F">
      <w:pPr>
        <w:pStyle w:val="Ttulo3"/>
        <w:keepNext w:val="0"/>
        <w:keepLines w:val="0"/>
        <w:spacing w:before="0" w:line="240" w:lineRule="auto"/>
        <w:ind w:right="-9"/>
        <w:jc w:val="both"/>
        <w:rPr>
          <w:rFonts w:ascii="Century Gothic" w:eastAsia="Century Gothic" w:hAnsi="Century Gothic" w:cs="Century Gothic"/>
          <w:color w:val="000000"/>
          <w:sz w:val="22"/>
          <w:szCs w:val="22"/>
        </w:rPr>
      </w:pPr>
      <w:bookmarkStart w:id="5" w:name="_heading=h.ok4vuehihz5x" w:colFirst="0" w:colLast="0"/>
      <w:bookmarkEnd w:id="5"/>
      <w:r>
        <w:rPr>
          <w:rFonts w:ascii="Century Gothic" w:eastAsia="Century Gothic" w:hAnsi="Century Gothic" w:cs="Century Gothic"/>
          <w:b/>
          <w:color w:val="000000"/>
          <w:sz w:val="22"/>
          <w:szCs w:val="22"/>
        </w:rPr>
        <w:t xml:space="preserve">ARTÍCULO 2. </w:t>
      </w:r>
      <w:r>
        <w:rPr>
          <w:rFonts w:ascii="Century Gothic" w:eastAsia="Century Gothic" w:hAnsi="Century Gothic" w:cs="Century Gothic"/>
          <w:color w:val="000000"/>
          <w:sz w:val="22"/>
          <w:szCs w:val="22"/>
        </w:rPr>
        <w:t>Modifíquese el artículo 21 de la Ley 105 de 1993, el cual quedará así:</w:t>
      </w:r>
    </w:p>
    <w:p w:rsidR="00D15A6A" w:rsidRDefault="00D9732F">
      <w:pPr>
        <w:spacing w:before="240" w:after="240" w:line="240" w:lineRule="auto"/>
        <w:ind w:right="-9"/>
        <w:jc w:val="both"/>
        <w:rPr>
          <w:rFonts w:ascii="Century Gothic" w:eastAsia="Century Gothic" w:hAnsi="Century Gothic" w:cs="Century Gothic"/>
        </w:rPr>
      </w:pPr>
      <w:r>
        <w:rPr>
          <w:rFonts w:ascii="Century Gothic" w:eastAsia="Century Gothic" w:hAnsi="Century Gothic" w:cs="Century Gothic"/>
          <w:b/>
        </w:rPr>
        <w:t xml:space="preserve">Artículo 21. Tasas, tarifas y peajes en la infraestructura de transporte a cargo de la Nación. </w:t>
      </w:r>
      <w:r>
        <w:rPr>
          <w:rFonts w:ascii="Century Gothic" w:eastAsia="Century Gothic" w:hAnsi="Century Gothic" w:cs="Century Gothic"/>
        </w:rPr>
        <w:t>Para la construcción y conservación de la infraestructura de transporte a cargo de la Nación, ésta contará con los recursos que se apropien en el Presupuesto Nacional y además cobrará el uso de las obras de infraestructura de transporte a los usuarios, buscando garantizar su adecuado mantenimiento, operación y desarrollo.</w:t>
      </w:r>
    </w:p>
    <w:p w:rsidR="00D15A6A" w:rsidRDefault="00D9732F">
      <w:pPr>
        <w:widowControl w:val="0"/>
        <w:spacing w:line="240" w:lineRule="auto"/>
        <w:ind w:right="-9"/>
        <w:jc w:val="both"/>
        <w:rPr>
          <w:rFonts w:ascii="Century Gothic" w:eastAsia="Century Gothic" w:hAnsi="Century Gothic" w:cs="Century Gothic"/>
        </w:rPr>
      </w:pPr>
      <w:r>
        <w:rPr>
          <w:rFonts w:ascii="Century Gothic" w:eastAsia="Century Gothic" w:hAnsi="Century Gothic" w:cs="Century Gothic"/>
        </w:rPr>
        <w:t>Para estos efectos, la Nación establecerá peajes, tarifas y tasas sobre el uso de la infraestructura nacional de transporte y los recursos provenientes de su cobro se usarán exclusivamente para ese modo de transporte.</w:t>
      </w:r>
    </w:p>
    <w:p w:rsidR="00D15A6A" w:rsidRDefault="00D15A6A">
      <w:pPr>
        <w:widowControl w:val="0"/>
        <w:spacing w:line="240" w:lineRule="auto"/>
        <w:ind w:right="-9"/>
        <w:jc w:val="both"/>
        <w:rPr>
          <w:rFonts w:ascii="Century Gothic" w:eastAsia="Century Gothic" w:hAnsi="Century Gothic" w:cs="Century Gothic"/>
        </w:rPr>
      </w:pPr>
    </w:p>
    <w:p w:rsidR="00D15A6A" w:rsidRDefault="00D9732F">
      <w:pPr>
        <w:widowControl w:val="0"/>
        <w:spacing w:after="240" w:line="240" w:lineRule="auto"/>
        <w:ind w:right="-9"/>
        <w:jc w:val="both"/>
        <w:rPr>
          <w:rFonts w:ascii="Century Gothic" w:eastAsia="Century Gothic" w:hAnsi="Century Gothic" w:cs="Century Gothic"/>
        </w:rPr>
      </w:pPr>
      <w:r>
        <w:rPr>
          <w:rFonts w:ascii="Century Gothic" w:eastAsia="Century Gothic" w:hAnsi="Century Gothic" w:cs="Century Gothic"/>
        </w:rPr>
        <w:t>Todos los servicios que la Nación o sus entidades descentralizadas presten a los usuarios de forma accesoria al uso de la infraestructura estarán sujetos al cobro de tasas o tarifas.</w:t>
      </w:r>
    </w:p>
    <w:p w:rsidR="00D15A6A" w:rsidRDefault="00D9732F">
      <w:pPr>
        <w:spacing w:line="240" w:lineRule="auto"/>
        <w:ind w:right="-9"/>
        <w:jc w:val="both"/>
        <w:rPr>
          <w:rFonts w:ascii="Century Gothic" w:eastAsia="Century Gothic" w:hAnsi="Century Gothic" w:cs="Century Gothic"/>
        </w:rPr>
      </w:pPr>
      <w:r>
        <w:rPr>
          <w:rFonts w:ascii="Century Gothic" w:eastAsia="Century Gothic" w:hAnsi="Century Gothic" w:cs="Century Gothic"/>
        </w:rPr>
        <w:t>Para la fijación y cobro de tasas, tarifas y peajes se observarán los siguientes principios:</w:t>
      </w:r>
    </w:p>
    <w:p w:rsidR="00D15A6A" w:rsidRDefault="00D15A6A">
      <w:pPr>
        <w:spacing w:line="240" w:lineRule="auto"/>
        <w:ind w:right="-9"/>
        <w:jc w:val="both"/>
        <w:rPr>
          <w:rFonts w:ascii="Century Gothic" w:eastAsia="Century Gothic" w:hAnsi="Century Gothic" w:cs="Century Gothic"/>
        </w:rPr>
      </w:pPr>
    </w:p>
    <w:p w:rsidR="00D15A6A" w:rsidRDefault="00D9732F">
      <w:pPr>
        <w:numPr>
          <w:ilvl w:val="0"/>
          <w:numId w:val="3"/>
        </w:numPr>
        <w:spacing w:line="240" w:lineRule="auto"/>
        <w:ind w:right="-9"/>
        <w:jc w:val="both"/>
        <w:rPr>
          <w:rFonts w:ascii="Century Gothic" w:eastAsia="Century Gothic" w:hAnsi="Century Gothic" w:cs="Century Gothic"/>
        </w:rPr>
      </w:pPr>
      <w:r>
        <w:rPr>
          <w:rFonts w:ascii="Century Gothic" w:eastAsia="Century Gothic" w:hAnsi="Century Gothic" w:cs="Century Gothic"/>
        </w:rPr>
        <w:lastRenderedPageBreak/>
        <w:t>Los ingresos provenientes de la utilización de la infraestructura de transporte, deberán garantizar su adecuado mantenimiento, operación y desarrollo;</w:t>
      </w:r>
    </w:p>
    <w:p w:rsidR="00D15A6A" w:rsidRDefault="00D15A6A">
      <w:pPr>
        <w:spacing w:line="240" w:lineRule="auto"/>
        <w:ind w:left="720" w:right="-9"/>
        <w:jc w:val="both"/>
        <w:rPr>
          <w:rFonts w:ascii="Century Gothic" w:eastAsia="Century Gothic" w:hAnsi="Century Gothic" w:cs="Century Gothic"/>
        </w:rPr>
      </w:pPr>
    </w:p>
    <w:p w:rsidR="00D15A6A" w:rsidRDefault="00D9732F">
      <w:pPr>
        <w:numPr>
          <w:ilvl w:val="0"/>
          <w:numId w:val="3"/>
        </w:numPr>
        <w:spacing w:line="240" w:lineRule="auto"/>
        <w:ind w:right="-9"/>
        <w:jc w:val="both"/>
      </w:pPr>
      <w:r>
        <w:rPr>
          <w:rFonts w:ascii="Century Gothic" w:eastAsia="Century Gothic" w:hAnsi="Century Gothic" w:cs="Century Gothic"/>
        </w:rPr>
        <w:t>Deberá cobrarse a todos los usuarios, con excepción de las motocicletas y bicicletas, máquinas extintoras de incendios de los Cuerpos de Bomberos Voluntarios, Cuerpo de Bomberos Oficiales, ambulancias pertenecientes a la Cruz Roja, Defensa Civil, Hospitales Oficiales, Vehículos de las Fuerzas Militares y de la Policía Nacional, vehículos oficiales del Instituto Nacional Penitenciario y Carcelario, Inpec, vehículos oficiales</w:t>
      </w:r>
      <w:r>
        <w:rPr>
          <w:rFonts w:ascii="Century Gothic" w:eastAsia="Century Gothic" w:hAnsi="Century Gothic" w:cs="Century Gothic"/>
          <w:b/>
          <w:color w:val="980000"/>
          <w:u w:val="single"/>
        </w:rPr>
        <w:t xml:space="preserve"> </w:t>
      </w:r>
      <w:r>
        <w:rPr>
          <w:rFonts w:ascii="Century Gothic" w:eastAsia="Century Gothic" w:hAnsi="Century Gothic" w:cs="Century Gothic"/>
          <w:b/>
          <w:u w:val="single"/>
        </w:rPr>
        <w:t>de la Dirección Nacional de Inteligencia</w:t>
      </w:r>
      <w:r>
        <w:rPr>
          <w:rFonts w:ascii="Century Gothic" w:eastAsia="Century Gothic" w:hAnsi="Century Gothic" w:cs="Century Gothic"/>
          <w:b/>
        </w:rPr>
        <w:t xml:space="preserve"> </w:t>
      </w:r>
      <w:r>
        <w:rPr>
          <w:rFonts w:ascii="Century Gothic" w:eastAsia="Century Gothic" w:hAnsi="Century Gothic" w:cs="Century Gothic"/>
        </w:rPr>
        <w:t>y de las demás instituciones que prestan funciones de Policía Judicial;</w:t>
      </w:r>
    </w:p>
    <w:p w:rsidR="00D15A6A" w:rsidRDefault="00D15A6A">
      <w:pPr>
        <w:spacing w:line="240" w:lineRule="auto"/>
        <w:ind w:left="720"/>
        <w:rPr>
          <w:rFonts w:ascii="Century Gothic" w:eastAsia="Century Gothic" w:hAnsi="Century Gothic" w:cs="Century Gothic"/>
        </w:rPr>
      </w:pPr>
    </w:p>
    <w:p w:rsidR="00D15A6A" w:rsidRDefault="00D9732F">
      <w:pPr>
        <w:numPr>
          <w:ilvl w:val="0"/>
          <w:numId w:val="3"/>
        </w:numPr>
        <w:spacing w:line="240" w:lineRule="auto"/>
        <w:ind w:right="-9"/>
        <w:jc w:val="both"/>
        <w:rPr>
          <w:rFonts w:ascii="Century Gothic" w:eastAsia="Century Gothic" w:hAnsi="Century Gothic" w:cs="Century Gothic"/>
        </w:rPr>
      </w:pPr>
      <w:r>
        <w:rPr>
          <w:rFonts w:ascii="Century Gothic" w:eastAsia="Century Gothic" w:hAnsi="Century Gothic" w:cs="Century Gothic"/>
        </w:rPr>
        <w:t>El valor de las tasas o tarifas será determinado por la autoridad competente; su recaudo estará a cargo de entidades públicas o privadas encargadas del servicio.</w:t>
      </w:r>
    </w:p>
    <w:p w:rsidR="00D15A6A" w:rsidRDefault="00D15A6A">
      <w:pPr>
        <w:spacing w:line="240" w:lineRule="auto"/>
        <w:ind w:left="720"/>
        <w:rPr>
          <w:rFonts w:ascii="Century Gothic" w:eastAsia="Century Gothic" w:hAnsi="Century Gothic" w:cs="Century Gothic"/>
        </w:rPr>
      </w:pPr>
    </w:p>
    <w:p w:rsidR="00D15A6A" w:rsidRDefault="00D9732F">
      <w:pPr>
        <w:numPr>
          <w:ilvl w:val="0"/>
          <w:numId w:val="3"/>
        </w:numPr>
        <w:spacing w:line="240" w:lineRule="auto"/>
        <w:ind w:right="-9"/>
        <w:jc w:val="both"/>
        <w:rPr>
          <w:rFonts w:ascii="Century Gothic" w:eastAsia="Century Gothic" w:hAnsi="Century Gothic" w:cs="Century Gothic"/>
        </w:rPr>
      </w:pPr>
      <w:r>
        <w:rPr>
          <w:rFonts w:ascii="Century Gothic" w:eastAsia="Century Gothic" w:hAnsi="Century Gothic" w:cs="Century Gothic"/>
        </w:rPr>
        <w:t xml:space="preserve">Las tasas de peaje serán diferenciales, es decir, se fijarán en proporción a las distancias recorridas, las características vehiculares, </w:t>
      </w:r>
      <w:r>
        <w:rPr>
          <w:rFonts w:ascii="Century Gothic" w:eastAsia="Century Gothic" w:hAnsi="Century Gothic" w:cs="Century Gothic"/>
          <w:b/>
          <w:u w:val="single"/>
        </w:rPr>
        <w:t>el nivel de avance de las obras, el estado de la infraestructura vial, el porcentaje habilitado para su uso, el domicilio del propietario del vehículo</w:t>
      </w:r>
      <w:r>
        <w:rPr>
          <w:rFonts w:ascii="Century Gothic" w:eastAsia="Century Gothic" w:hAnsi="Century Gothic" w:cs="Century Gothic"/>
        </w:rPr>
        <w:t xml:space="preserve"> y sus respectivos costos de operación;</w:t>
      </w:r>
      <w:r>
        <w:rPr>
          <w:rFonts w:ascii="Century Gothic" w:eastAsia="Century Gothic" w:hAnsi="Century Gothic" w:cs="Century Gothic"/>
          <w:b/>
        </w:rPr>
        <w:t xml:space="preserve"> </w:t>
      </w:r>
      <w:r>
        <w:rPr>
          <w:rFonts w:ascii="Century Gothic" w:eastAsia="Century Gothic" w:hAnsi="Century Gothic" w:cs="Century Gothic"/>
          <w:b/>
          <w:u w:val="single"/>
        </w:rPr>
        <w:t>serán factores a tener en cuenta, por parte del Gobierno Nacional, para la reducción del valor de las tasas y tarifas de la infraestructura.</w:t>
      </w:r>
    </w:p>
    <w:p w:rsidR="00D15A6A" w:rsidRDefault="00D15A6A">
      <w:pPr>
        <w:spacing w:line="240" w:lineRule="auto"/>
        <w:ind w:right="-9"/>
        <w:jc w:val="both"/>
        <w:rPr>
          <w:rFonts w:ascii="Century Gothic" w:eastAsia="Century Gothic" w:hAnsi="Century Gothic" w:cs="Century Gothic"/>
          <w:b/>
        </w:rPr>
      </w:pPr>
    </w:p>
    <w:p w:rsidR="00D15A6A" w:rsidRDefault="00D9732F">
      <w:pPr>
        <w:widowControl w:val="0"/>
        <w:numPr>
          <w:ilvl w:val="0"/>
          <w:numId w:val="3"/>
        </w:numPr>
        <w:shd w:val="clear" w:color="auto" w:fill="FFFFFF"/>
        <w:spacing w:line="240" w:lineRule="auto"/>
        <w:ind w:right="-9"/>
        <w:jc w:val="both"/>
        <w:rPr>
          <w:rFonts w:ascii="Century Gothic" w:eastAsia="Century Gothic" w:hAnsi="Century Gothic" w:cs="Century Gothic"/>
        </w:rPr>
      </w:pPr>
      <w:r>
        <w:rPr>
          <w:rFonts w:ascii="Century Gothic" w:eastAsia="Century Gothic" w:hAnsi="Century Gothic" w:cs="Century Gothic"/>
        </w:rPr>
        <w:t>Para la determinación del valor del peaje y de las tasas de valoración en las vías nacionales, se tendrá en cuenta un criterio de equidad fiscal.</w:t>
      </w:r>
    </w:p>
    <w:p w:rsidR="00D15A6A" w:rsidRDefault="00D15A6A">
      <w:pPr>
        <w:spacing w:line="240" w:lineRule="auto"/>
        <w:rPr>
          <w:rFonts w:ascii="Century Gothic" w:eastAsia="Century Gothic" w:hAnsi="Century Gothic" w:cs="Century Gothic"/>
          <w:b/>
          <w:u w:val="single"/>
        </w:rPr>
      </w:pPr>
      <w:bookmarkStart w:id="6" w:name="_heading=h.2e2iln2hx49" w:colFirst="0" w:colLast="0"/>
      <w:bookmarkEnd w:id="6"/>
    </w:p>
    <w:p w:rsidR="00D15A6A" w:rsidRDefault="00D9732F">
      <w:pPr>
        <w:widowControl w:val="0"/>
        <w:numPr>
          <w:ilvl w:val="0"/>
          <w:numId w:val="3"/>
        </w:numPr>
        <w:shd w:val="clear" w:color="auto" w:fill="FFFFFF"/>
        <w:spacing w:after="240" w:line="240" w:lineRule="auto"/>
        <w:ind w:right="-9"/>
        <w:jc w:val="both"/>
        <w:rPr>
          <w:rFonts w:ascii="Century Gothic" w:eastAsia="Century Gothic" w:hAnsi="Century Gothic" w:cs="Century Gothic"/>
        </w:rPr>
      </w:pPr>
      <w:r>
        <w:rPr>
          <w:rFonts w:ascii="Century Gothic" w:eastAsia="Century Gothic" w:hAnsi="Century Gothic" w:cs="Century Gothic"/>
          <w:b/>
          <w:u w:val="single"/>
        </w:rPr>
        <w:t>El incremento anual de la tarifa del peaje no podrá ser superior al ciento por ciento (100%) del incremento que haya tenido el Índice de Precios al Consumidor (IPC) en el año inmediatamente anterior decretado por el DANE o la entidad que haga sus veces, teniendo en cuenta criterio de equidad fiscal.</w:t>
      </w:r>
    </w:p>
    <w:p w:rsidR="00D15A6A" w:rsidRDefault="00D9732F">
      <w:pPr>
        <w:spacing w:before="240" w:after="240" w:line="240" w:lineRule="auto"/>
        <w:ind w:right="-9"/>
        <w:jc w:val="both"/>
        <w:rPr>
          <w:rFonts w:ascii="Century Gothic" w:eastAsia="Century Gothic" w:hAnsi="Century Gothic" w:cs="Century Gothic"/>
        </w:rPr>
      </w:pPr>
      <w:r>
        <w:rPr>
          <w:rFonts w:ascii="Century Gothic" w:eastAsia="Century Gothic" w:hAnsi="Century Gothic" w:cs="Century Gothic"/>
          <w:b/>
        </w:rPr>
        <w:t>PARÁGRAFO 1.</w:t>
      </w:r>
      <w:r>
        <w:rPr>
          <w:rFonts w:ascii="Century Gothic" w:eastAsia="Century Gothic" w:hAnsi="Century Gothic" w:cs="Century Gothic"/>
        </w:rPr>
        <w:t xml:space="preserve"> La Nación podrá en caso de necesidad y previo concepto del Ministerio de Transporte, apropiar recursos del Presupuesto Nacional para el mantenimiento, operación y desarrollo de la infraestructura de transporte.</w:t>
      </w:r>
    </w:p>
    <w:p w:rsidR="00D15A6A" w:rsidRDefault="00D9732F">
      <w:pPr>
        <w:spacing w:before="240" w:after="240" w:line="240" w:lineRule="auto"/>
        <w:ind w:right="-9"/>
        <w:jc w:val="both"/>
        <w:rPr>
          <w:rFonts w:ascii="Century Gothic" w:eastAsia="Century Gothic" w:hAnsi="Century Gothic" w:cs="Century Gothic"/>
        </w:rPr>
      </w:pPr>
      <w:r>
        <w:rPr>
          <w:rFonts w:ascii="Century Gothic" w:eastAsia="Century Gothic" w:hAnsi="Century Gothic" w:cs="Century Gothic"/>
          <w:b/>
        </w:rPr>
        <w:t>PARÁGRAFO 2.</w:t>
      </w:r>
      <w:r>
        <w:rPr>
          <w:rFonts w:ascii="Century Gothic" w:eastAsia="Century Gothic" w:hAnsi="Century Gothic" w:cs="Century Gothic"/>
        </w:rPr>
        <w:t xml:space="preserve"> Para tener derecho a la exención contemplada en el literal b), es de carácter obligatorio que los vehículos allí relacionados, con excepción de las bicicletas y motocicletas, estén plenamente identificados con los emblemas, colores y distintivos institucionales de cada una de las entidades y organismos a los cuales pertenecen. Para efectos de control, el Ministerio de Transporte reglamentará lo pertinente.</w:t>
      </w:r>
    </w:p>
    <w:p w:rsidR="00D15A6A" w:rsidRDefault="00D9732F">
      <w:pPr>
        <w:spacing w:before="240" w:after="240" w:line="240" w:lineRule="auto"/>
        <w:ind w:right="-9"/>
        <w:jc w:val="both"/>
        <w:rPr>
          <w:rFonts w:ascii="Century Gothic" w:eastAsia="Century Gothic" w:hAnsi="Century Gothic" w:cs="Century Gothic"/>
        </w:rPr>
      </w:pPr>
      <w:r>
        <w:rPr>
          <w:rFonts w:ascii="Century Gothic" w:eastAsia="Century Gothic" w:hAnsi="Century Gothic" w:cs="Century Gothic"/>
          <w:b/>
        </w:rPr>
        <w:lastRenderedPageBreak/>
        <w:t>PARÁGRAFO 3.</w:t>
      </w:r>
      <w:r>
        <w:rPr>
          <w:rFonts w:ascii="Century Gothic" w:eastAsia="Century Gothic" w:hAnsi="Century Gothic" w:cs="Century Gothic"/>
        </w:rPr>
        <w:t xml:space="preserve"> Facúltese a las Entidades Territoriales para decretar las exenciones contempladas en el literal b), del artículo </w:t>
      </w:r>
      <w:hyperlink r:id="rId8" w:anchor="1">
        <w:r>
          <w:rPr>
            <w:rFonts w:ascii="Century Gothic" w:eastAsia="Century Gothic" w:hAnsi="Century Gothic" w:cs="Century Gothic"/>
          </w:rPr>
          <w:t>1</w:t>
        </w:r>
      </w:hyperlink>
      <w:r>
        <w:rPr>
          <w:rFonts w:ascii="Century Gothic" w:eastAsia="Century Gothic" w:hAnsi="Century Gothic" w:cs="Century Gothic"/>
        </w:rPr>
        <w:t>o.</w:t>
      </w:r>
    </w:p>
    <w:p w:rsidR="00D15A6A" w:rsidRDefault="00D9732F">
      <w:pPr>
        <w:spacing w:before="240" w:after="240" w:line="240" w:lineRule="auto"/>
        <w:ind w:right="-9"/>
        <w:jc w:val="both"/>
        <w:rPr>
          <w:rFonts w:ascii="Century Gothic" w:eastAsia="Century Gothic" w:hAnsi="Century Gothic" w:cs="Century Gothic"/>
        </w:rPr>
      </w:pPr>
      <w:bookmarkStart w:id="7" w:name="_heading=h.xp7y6od8ds8t" w:colFirst="0" w:colLast="0"/>
      <w:bookmarkEnd w:id="7"/>
      <w:r>
        <w:rPr>
          <w:rFonts w:ascii="Century Gothic" w:eastAsia="Century Gothic" w:hAnsi="Century Gothic" w:cs="Century Gothic"/>
          <w:b/>
        </w:rPr>
        <w:t>PARÁGRAFO 4.</w:t>
      </w:r>
      <w:r>
        <w:rPr>
          <w:rFonts w:ascii="Century Gothic" w:eastAsia="Century Gothic" w:hAnsi="Century Gothic" w:cs="Century Gothic"/>
        </w:rPr>
        <w:t xml:space="preserve"> Se entiende también las vías "Concesionadas".</w:t>
      </w:r>
    </w:p>
    <w:p w:rsidR="00D15A6A" w:rsidRDefault="00D9732F">
      <w:pPr>
        <w:spacing w:before="240" w:after="240" w:line="240" w:lineRule="auto"/>
        <w:ind w:right="-9"/>
        <w:jc w:val="both"/>
        <w:rPr>
          <w:rFonts w:ascii="Century Gothic" w:eastAsia="Century Gothic" w:hAnsi="Century Gothic" w:cs="Century Gothic"/>
        </w:rPr>
      </w:pPr>
      <w:r>
        <w:rPr>
          <w:rFonts w:ascii="Century Gothic" w:eastAsia="Century Gothic" w:hAnsi="Century Gothic" w:cs="Century Gothic"/>
          <w:b/>
        </w:rPr>
        <w:t xml:space="preserve">ARTÍCULO 3. </w:t>
      </w:r>
      <w:r>
        <w:rPr>
          <w:rFonts w:ascii="Century Gothic" w:eastAsia="Century Gothic" w:hAnsi="Century Gothic" w:cs="Century Gothic"/>
        </w:rPr>
        <w:t xml:space="preserve">Adiciónese el artículo 21A a la Ley 105 de 1993, el cual quedará así: </w:t>
      </w:r>
    </w:p>
    <w:p w:rsidR="00D15A6A" w:rsidRDefault="00D9732F">
      <w:pPr>
        <w:spacing w:before="240" w:after="240" w:line="240" w:lineRule="auto"/>
        <w:jc w:val="both"/>
        <w:rPr>
          <w:rFonts w:ascii="Century Gothic" w:eastAsia="Century Gothic" w:hAnsi="Century Gothic" w:cs="Century Gothic"/>
        </w:rPr>
      </w:pPr>
      <w:r>
        <w:rPr>
          <w:rFonts w:ascii="Century Gothic" w:eastAsia="Century Gothic" w:hAnsi="Century Gothic" w:cs="Century Gothic"/>
          <w:b/>
        </w:rPr>
        <w:t xml:space="preserve">ARTÍCULO 21A. Criterios para la fijación, modificación y recaudo de tarifas de peaje. </w:t>
      </w:r>
      <w:r>
        <w:rPr>
          <w:rFonts w:ascii="Century Gothic" w:eastAsia="Century Gothic" w:hAnsi="Century Gothic" w:cs="Century Gothic"/>
        </w:rPr>
        <w:t>En la fijación, modificación por incremento o reducción y/o eliminación permanente o temporal de las tarifas de los peajes de que trata el artículo anterior, las autoridades competentes y los recaudadores autorizados deberán atender, además de los principios constitucionales de la función administrativa de que trata el artículo 209 de la Constitución, entre otros los siguientes criterios:</w:t>
      </w:r>
    </w:p>
    <w:p w:rsidR="00D15A6A" w:rsidRDefault="00D9732F">
      <w:pPr>
        <w:widowControl w:val="0"/>
        <w:numPr>
          <w:ilvl w:val="0"/>
          <w:numId w:val="4"/>
        </w:numPr>
        <w:spacing w:before="240" w:line="240" w:lineRule="auto"/>
        <w:ind w:right="-37"/>
        <w:jc w:val="both"/>
        <w:rPr>
          <w:rFonts w:ascii="Century Gothic" w:eastAsia="Century Gothic" w:hAnsi="Century Gothic" w:cs="Century Gothic"/>
        </w:rPr>
      </w:pPr>
      <w:r>
        <w:rPr>
          <w:rFonts w:ascii="Century Gothic" w:eastAsia="Century Gothic" w:hAnsi="Century Gothic" w:cs="Century Gothic"/>
        </w:rPr>
        <w:t>Establecidos los peajes para mejorar la infraestructura de las vías y la movilidad, el recaudo de ellos deberá hacerse de manera que no se obstruya la movilidad, para lo cual, deberán adoptarse por los recaudadores autorizados todas las previsiones correspondientes y el pago electrónico como mínimo en la mitad de los carriles. La detención forzada de cinco (5) o más vehículos de cualquier clase en un mismo carril de circulación con ocasión del recaudo autorizado, se entiende como obstrucción de la movilidad, situación que da origen a la obligación del recaudador, de liberar el paso de los vehículos sin cobro alguno, hasta tanto se normalice la circulación vehicular.</w:t>
      </w:r>
    </w:p>
    <w:p w:rsidR="00D15A6A" w:rsidRDefault="00D15A6A">
      <w:pPr>
        <w:widowControl w:val="0"/>
        <w:spacing w:line="240" w:lineRule="auto"/>
        <w:ind w:left="720" w:right="-37"/>
        <w:jc w:val="both"/>
        <w:rPr>
          <w:rFonts w:ascii="Century Gothic" w:eastAsia="Century Gothic" w:hAnsi="Century Gothic" w:cs="Century Gothic"/>
        </w:rPr>
      </w:pPr>
    </w:p>
    <w:p w:rsidR="00D15A6A" w:rsidRDefault="00D9732F">
      <w:pPr>
        <w:widowControl w:val="0"/>
        <w:numPr>
          <w:ilvl w:val="0"/>
          <w:numId w:val="4"/>
        </w:numPr>
        <w:spacing w:line="240" w:lineRule="auto"/>
        <w:ind w:right="-37"/>
        <w:jc w:val="both"/>
        <w:rPr>
          <w:rFonts w:ascii="Century Gothic" w:eastAsia="Century Gothic" w:hAnsi="Century Gothic" w:cs="Century Gothic"/>
        </w:rPr>
      </w:pPr>
      <w:r>
        <w:rPr>
          <w:rFonts w:ascii="Century Gothic" w:eastAsia="Century Gothic" w:hAnsi="Century Gothic" w:cs="Century Gothic"/>
        </w:rPr>
        <w:t>Sin perjuicio de lo establecido en el literal anterior, al momento de realizar el recaudo del pago de la tarifa en los peajes, se deberá hacer entrega al usuario del comprobante de pago físico o electrónico, dependiendo el método de pago empleado, el cual deberá contener el día y hora exacta del pago, las placas del vehículo, el nombre de la concesión, el municipio y departamento en donde se encuentra ubicado el peaje, el valor cobrado y la categoría del vehículo.</w:t>
      </w:r>
    </w:p>
    <w:p w:rsidR="00D15A6A" w:rsidRDefault="00D15A6A">
      <w:pPr>
        <w:spacing w:line="240" w:lineRule="auto"/>
        <w:ind w:left="720"/>
        <w:rPr>
          <w:rFonts w:ascii="Century Gothic" w:eastAsia="Century Gothic" w:hAnsi="Century Gothic" w:cs="Century Gothic"/>
          <w:b/>
        </w:rPr>
      </w:pPr>
    </w:p>
    <w:p w:rsidR="00D15A6A" w:rsidRDefault="00D9732F">
      <w:pPr>
        <w:widowControl w:val="0"/>
        <w:numPr>
          <w:ilvl w:val="0"/>
          <w:numId w:val="4"/>
        </w:numPr>
        <w:spacing w:line="240" w:lineRule="auto"/>
        <w:ind w:right="-37"/>
        <w:jc w:val="both"/>
        <w:rPr>
          <w:rFonts w:ascii="Century Gothic" w:eastAsia="Century Gothic" w:hAnsi="Century Gothic" w:cs="Century Gothic"/>
        </w:rPr>
      </w:pPr>
      <w:r>
        <w:rPr>
          <w:rFonts w:ascii="Century Gothic" w:eastAsia="Century Gothic" w:hAnsi="Century Gothic" w:cs="Century Gothic"/>
        </w:rPr>
        <w:t>Todos los costos del recaudo de los peajes, incluidos los administrativos, de sistemas y financieros, se entienden incluidos dentro de la tarifa autorizada, por lo cual no podrán trasladarse en forma alguna a los usuarios. Esta disposición comprende todos los sistemas de recaudo, incluidos los automatizados o por débitos a cuentas de sistema financiero.</w:t>
      </w:r>
    </w:p>
    <w:p w:rsidR="00D15A6A" w:rsidRDefault="00D15A6A">
      <w:pPr>
        <w:spacing w:line="240" w:lineRule="auto"/>
        <w:ind w:left="720"/>
        <w:rPr>
          <w:rFonts w:ascii="Century Gothic" w:eastAsia="Century Gothic" w:hAnsi="Century Gothic" w:cs="Century Gothic"/>
          <w:b/>
        </w:rPr>
      </w:pPr>
    </w:p>
    <w:p w:rsidR="00D15A6A" w:rsidRDefault="00D9732F">
      <w:pPr>
        <w:widowControl w:val="0"/>
        <w:numPr>
          <w:ilvl w:val="0"/>
          <w:numId w:val="4"/>
        </w:numPr>
        <w:spacing w:line="240" w:lineRule="auto"/>
        <w:ind w:right="-37"/>
        <w:jc w:val="both"/>
        <w:rPr>
          <w:rFonts w:ascii="Century Gothic" w:eastAsia="Century Gothic" w:hAnsi="Century Gothic" w:cs="Century Gothic"/>
        </w:rPr>
      </w:pPr>
      <w:r>
        <w:rPr>
          <w:rFonts w:ascii="Century Gothic" w:eastAsia="Century Gothic" w:hAnsi="Century Gothic" w:cs="Century Gothic"/>
        </w:rPr>
        <w:t xml:space="preserve">En caso de vías construidas o mantenidas por concesión, el fin de la etapa de operación de esos contratos, determinará el finiquito automático del cobro de los peajes autorizados a los concesionarios, sin perjuicio que, para el mantenimiento subsecuente de la vía, las autoridades establezcan en favor de la Nación valores en todo caso inferiores al finiquitado. En ningún caso los concesionarios podrán </w:t>
      </w:r>
      <w:r>
        <w:rPr>
          <w:rFonts w:ascii="Century Gothic" w:eastAsia="Century Gothic" w:hAnsi="Century Gothic" w:cs="Century Gothic"/>
        </w:rPr>
        <w:lastRenderedPageBreak/>
        <w:t>continuar recaudando valor alguno luego de terminada la operación de la concesión, ni siquiera a pretexto de nuevas obras por acometer.</w:t>
      </w:r>
    </w:p>
    <w:p w:rsidR="00D15A6A" w:rsidRDefault="00D15A6A">
      <w:pPr>
        <w:spacing w:line="240" w:lineRule="auto"/>
        <w:ind w:left="720"/>
        <w:rPr>
          <w:rFonts w:ascii="Century Gothic" w:eastAsia="Century Gothic" w:hAnsi="Century Gothic" w:cs="Century Gothic"/>
          <w:b/>
        </w:rPr>
      </w:pPr>
    </w:p>
    <w:p w:rsidR="00D15A6A" w:rsidRDefault="00D9732F">
      <w:pPr>
        <w:widowControl w:val="0"/>
        <w:numPr>
          <w:ilvl w:val="0"/>
          <w:numId w:val="4"/>
        </w:numPr>
        <w:spacing w:line="240" w:lineRule="auto"/>
        <w:ind w:right="-37"/>
        <w:jc w:val="both"/>
        <w:rPr>
          <w:rFonts w:ascii="Century Gothic" w:eastAsia="Century Gothic" w:hAnsi="Century Gothic" w:cs="Century Gothic"/>
        </w:rPr>
      </w:pPr>
      <w:r>
        <w:rPr>
          <w:rFonts w:ascii="Century Gothic" w:eastAsia="Century Gothic" w:hAnsi="Century Gothic" w:cs="Century Gothic"/>
        </w:rPr>
        <w:t>La autorización de la fijación y cobro de peajes por las autoridades competentes es inescindible de la ubicación autorizada, y sólo podrá realizarse en las vías que no tengan otra estación de recaudo de peajes, cuando menos en 85 kilómetros de recorrido y sin consideración de la vía o el titular de la autorización.</w:t>
      </w:r>
    </w:p>
    <w:p w:rsidR="00D15A6A" w:rsidRDefault="00D15A6A">
      <w:pPr>
        <w:spacing w:line="240" w:lineRule="auto"/>
        <w:ind w:left="720"/>
        <w:rPr>
          <w:rFonts w:ascii="Century Gothic" w:eastAsia="Century Gothic" w:hAnsi="Century Gothic" w:cs="Century Gothic"/>
          <w:b/>
        </w:rPr>
      </w:pPr>
    </w:p>
    <w:p w:rsidR="00D15A6A" w:rsidRDefault="00D9732F">
      <w:pPr>
        <w:widowControl w:val="0"/>
        <w:numPr>
          <w:ilvl w:val="0"/>
          <w:numId w:val="4"/>
        </w:numPr>
        <w:spacing w:line="240" w:lineRule="auto"/>
        <w:ind w:right="-37"/>
        <w:jc w:val="both"/>
        <w:rPr>
          <w:rFonts w:ascii="Century Gothic" w:eastAsia="Century Gothic" w:hAnsi="Century Gothic" w:cs="Century Gothic"/>
        </w:rPr>
      </w:pPr>
      <w:r>
        <w:rPr>
          <w:rFonts w:ascii="Century Gothic" w:eastAsia="Century Gothic" w:hAnsi="Century Gothic" w:cs="Century Gothic"/>
        </w:rPr>
        <w:t>Ninguna concesión para la construcción, operación y/o mantenimiento de vías, podrá realizarse por más de veinte (20) años, incluida la etapa de construcción. Las autoridades respectivas deberán desagregar en esos contratos, e informar a las comunidades, los valores contractuales previstos para el pago de intereses y servicios financieros, de los previstos para el pago de las obras y su mantenimiento.</w:t>
      </w:r>
    </w:p>
    <w:p w:rsidR="00D15A6A" w:rsidRDefault="00D15A6A">
      <w:pPr>
        <w:spacing w:line="240" w:lineRule="auto"/>
        <w:ind w:left="720"/>
        <w:rPr>
          <w:rFonts w:ascii="Century Gothic" w:eastAsia="Century Gothic" w:hAnsi="Century Gothic" w:cs="Century Gothic"/>
          <w:b/>
        </w:rPr>
      </w:pPr>
    </w:p>
    <w:p w:rsidR="00D15A6A" w:rsidRDefault="00D9732F">
      <w:pPr>
        <w:widowControl w:val="0"/>
        <w:numPr>
          <w:ilvl w:val="0"/>
          <w:numId w:val="4"/>
        </w:numPr>
        <w:shd w:val="clear" w:color="auto" w:fill="FFFFFF"/>
        <w:spacing w:line="240" w:lineRule="auto"/>
        <w:ind w:right="40"/>
        <w:jc w:val="both"/>
        <w:rPr>
          <w:rFonts w:ascii="Century Gothic" w:eastAsia="Century Gothic" w:hAnsi="Century Gothic" w:cs="Century Gothic"/>
        </w:rPr>
      </w:pPr>
      <w:r>
        <w:rPr>
          <w:rFonts w:ascii="Century Gothic" w:eastAsia="Century Gothic" w:hAnsi="Century Gothic" w:cs="Century Gothic"/>
        </w:rPr>
        <w:t>La tarifa del peaje deberá reducirse por lo menos en un treinta por ciento (30%) una vez el concesionario entregue la infraestructura a la Nación o a las entidades territoriales.</w:t>
      </w:r>
    </w:p>
    <w:p w:rsidR="00D15A6A" w:rsidRDefault="00D15A6A">
      <w:pPr>
        <w:spacing w:line="240" w:lineRule="auto"/>
        <w:ind w:left="720"/>
        <w:rPr>
          <w:rFonts w:ascii="Century Gothic" w:eastAsia="Century Gothic" w:hAnsi="Century Gothic" w:cs="Century Gothic"/>
        </w:rPr>
      </w:pPr>
    </w:p>
    <w:p w:rsidR="00D15A6A" w:rsidRDefault="00D9732F">
      <w:pPr>
        <w:widowControl w:val="0"/>
        <w:numPr>
          <w:ilvl w:val="0"/>
          <w:numId w:val="4"/>
        </w:numPr>
        <w:shd w:val="clear" w:color="auto" w:fill="FFFFFF"/>
        <w:spacing w:after="20" w:line="240" w:lineRule="auto"/>
        <w:ind w:right="40"/>
        <w:jc w:val="both"/>
        <w:rPr>
          <w:rFonts w:ascii="Century Gothic" w:eastAsia="Century Gothic" w:hAnsi="Century Gothic" w:cs="Century Gothic"/>
        </w:rPr>
      </w:pPr>
      <w:r>
        <w:rPr>
          <w:rFonts w:ascii="Century Gothic" w:eastAsia="Century Gothic" w:hAnsi="Century Gothic" w:cs="Century Gothic"/>
        </w:rPr>
        <w:t>Para el cálculo de la reducción de tarifa, el Ministerio de Transporte, la Agencia Nacional de Infraestructura y la entidad territorial en los seis (6) meses siguientes a la entrega de la infraestructura vial, deberá realizar el cálculo sobre costos de mantenimiento, operatividad del peaje, rehabilitación y conservación de vías entregadas.</w:t>
      </w:r>
    </w:p>
    <w:p w:rsidR="00D15A6A" w:rsidRDefault="00D15A6A">
      <w:pPr>
        <w:widowControl w:val="0"/>
        <w:spacing w:line="240" w:lineRule="auto"/>
        <w:ind w:right="-37"/>
        <w:jc w:val="both"/>
        <w:rPr>
          <w:rFonts w:ascii="Century Gothic" w:eastAsia="Century Gothic" w:hAnsi="Century Gothic" w:cs="Century Gothic"/>
          <w:b/>
        </w:rPr>
      </w:pPr>
    </w:p>
    <w:p w:rsidR="00D15A6A" w:rsidRDefault="00D9732F">
      <w:pPr>
        <w:widowControl w:val="0"/>
        <w:spacing w:line="240" w:lineRule="auto"/>
        <w:ind w:right="-37"/>
        <w:jc w:val="both"/>
        <w:rPr>
          <w:rFonts w:ascii="Century Gothic" w:eastAsia="Century Gothic" w:hAnsi="Century Gothic" w:cs="Century Gothic"/>
        </w:rPr>
      </w:pPr>
      <w:r>
        <w:rPr>
          <w:rFonts w:ascii="Century Gothic" w:eastAsia="Century Gothic" w:hAnsi="Century Gothic" w:cs="Century Gothic"/>
          <w:b/>
        </w:rPr>
        <w:t>Parágrafo 1.</w:t>
      </w:r>
      <w:r>
        <w:rPr>
          <w:rFonts w:ascii="Century Gothic" w:eastAsia="Century Gothic" w:hAnsi="Century Gothic" w:cs="Century Gothic"/>
        </w:rPr>
        <w:t xml:space="preserve"> Los contratos de concesión vigentes a la entrada en vigencia de la presente ley continuarán ejecutándose conforme a las condiciones originalmente pactadas y a lo dispuesto por la normatividad aplicable al momento de su celebración. No obstante, en los casos en que las autoridades competentes deban modificar dichos contratos exclusivamente para efectos de prórroga de su vigencia, dichas modificaciones deberán sujetarse a los principios establecidos en la presente ley, sin que pueda alegarse vulneración de derechos adquiridos consolidados.</w:t>
      </w:r>
    </w:p>
    <w:p w:rsidR="00D15A6A" w:rsidRDefault="00D15A6A">
      <w:pPr>
        <w:widowControl w:val="0"/>
        <w:spacing w:line="240" w:lineRule="auto"/>
        <w:ind w:right="-37"/>
        <w:jc w:val="both"/>
        <w:rPr>
          <w:rFonts w:ascii="Century Gothic" w:eastAsia="Century Gothic" w:hAnsi="Century Gothic" w:cs="Century Gothic"/>
          <w:b/>
        </w:rPr>
      </w:pPr>
    </w:p>
    <w:p w:rsidR="00D15A6A" w:rsidRDefault="00D9732F">
      <w:pPr>
        <w:widowControl w:val="0"/>
        <w:spacing w:line="240" w:lineRule="auto"/>
        <w:ind w:right="-37"/>
        <w:jc w:val="both"/>
        <w:rPr>
          <w:rFonts w:ascii="Century Gothic" w:eastAsia="Century Gothic" w:hAnsi="Century Gothic" w:cs="Century Gothic"/>
        </w:rPr>
      </w:pPr>
      <w:bookmarkStart w:id="8" w:name="_heading=h.595bwxvd1ngt" w:colFirst="0" w:colLast="0"/>
      <w:bookmarkEnd w:id="8"/>
      <w:r>
        <w:rPr>
          <w:rFonts w:ascii="Century Gothic" w:eastAsia="Century Gothic" w:hAnsi="Century Gothic" w:cs="Century Gothic"/>
          <w:b/>
        </w:rPr>
        <w:t>Parágrafo 2.</w:t>
      </w:r>
      <w:r>
        <w:rPr>
          <w:rFonts w:ascii="Century Gothic" w:eastAsia="Century Gothic" w:hAnsi="Century Gothic" w:cs="Century Gothic"/>
        </w:rPr>
        <w:t xml:space="preserve"> Buscando garantizar el derecho fundamental a la libre locomoción, los usuarios de la infraestructura de transporte nacional podrán hacer tránsito por municipios cuando en estos se hayan establecido medidas de restricción vehicular como el pico y placa, siempre que el usuario deba necesariamente transitar por este camino para continuar con su recorrido y no se detenga o permanezca en el municipio. Para lo anterior, en los casos en los que el usuario sea detenido por la autoridad competente, deberá exhibir el comprobante de pago original de la tarifa de alguno de los peajes más cercanos al municipio, el cual no podrá tener más de dos (2) horas de expedición.</w:t>
      </w:r>
    </w:p>
    <w:p w:rsidR="00D15A6A" w:rsidRDefault="00D15A6A">
      <w:pPr>
        <w:widowControl w:val="0"/>
        <w:spacing w:line="240" w:lineRule="auto"/>
        <w:ind w:right="-37"/>
        <w:jc w:val="both"/>
        <w:rPr>
          <w:rFonts w:ascii="Century Gothic" w:eastAsia="Century Gothic" w:hAnsi="Century Gothic" w:cs="Century Gothic"/>
        </w:rPr>
      </w:pPr>
    </w:p>
    <w:p w:rsidR="00D15A6A" w:rsidRDefault="00D9732F">
      <w:pPr>
        <w:widowControl w:val="0"/>
        <w:spacing w:line="240" w:lineRule="auto"/>
        <w:ind w:right="-37"/>
        <w:jc w:val="both"/>
        <w:rPr>
          <w:rFonts w:ascii="Century Gothic" w:eastAsia="Century Gothic" w:hAnsi="Century Gothic" w:cs="Century Gothic"/>
        </w:rPr>
      </w:pPr>
      <w:r>
        <w:rPr>
          <w:rFonts w:ascii="Century Gothic" w:eastAsia="Century Gothic" w:hAnsi="Century Gothic" w:cs="Century Gothic"/>
          <w:b/>
        </w:rPr>
        <w:lastRenderedPageBreak/>
        <w:t xml:space="preserve">ARTÍCULO 4. </w:t>
      </w:r>
      <w:r>
        <w:rPr>
          <w:rFonts w:ascii="Century Gothic" w:eastAsia="Century Gothic" w:hAnsi="Century Gothic" w:cs="Century Gothic"/>
        </w:rPr>
        <w:t>Adiciónese el artículo 21B de la ley 105 de 1993, el cual, quedará así:</w:t>
      </w:r>
    </w:p>
    <w:p w:rsidR="00D15A6A" w:rsidRDefault="00D15A6A">
      <w:pPr>
        <w:spacing w:line="240" w:lineRule="auto"/>
        <w:rPr>
          <w:rFonts w:ascii="Century Gothic" w:eastAsia="Century Gothic" w:hAnsi="Century Gothic" w:cs="Century Gothic"/>
        </w:rPr>
      </w:pPr>
    </w:p>
    <w:p w:rsidR="00D15A6A" w:rsidRDefault="00D9732F">
      <w:pPr>
        <w:widowControl w:val="0"/>
        <w:shd w:val="clear" w:color="auto" w:fill="FFFFFF"/>
        <w:spacing w:before="60" w:after="20" w:line="240" w:lineRule="auto"/>
        <w:ind w:right="40"/>
        <w:jc w:val="both"/>
        <w:rPr>
          <w:rFonts w:ascii="Century Gothic" w:eastAsia="Century Gothic" w:hAnsi="Century Gothic" w:cs="Century Gothic"/>
        </w:rPr>
      </w:pPr>
      <w:r>
        <w:rPr>
          <w:rFonts w:ascii="Century Gothic" w:eastAsia="Century Gothic" w:hAnsi="Century Gothic" w:cs="Century Gothic"/>
          <w:b/>
        </w:rPr>
        <w:t>ARTÍCULO 21B: Tarifa diferencial.</w:t>
      </w:r>
      <w:r>
        <w:rPr>
          <w:rFonts w:ascii="Century Gothic" w:eastAsia="Century Gothic" w:hAnsi="Century Gothic" w:cs="Century Gothic"/>
        </w:rPr>
        <w:t xml:space="preserve"> El Gobierno nacional en concurrencia con las entidades territoriales, podrá establecer excepcionalmente la ampliación de tarifas diferenciales en caso de las ya fijadas, o de nuevas por motivos de conveniencia social y de manera transitoria, como en los siguientes casos:</w:t>
      </w:r>
    </w:p>
    <w:p w:rsidR="00D15A6A" w:rsidRDefault="00D15A6A">
      <w:pPr>
        <w:spacing w:line="240" w:lineRule="auto"/>
        <w:rPr>
          <w:rFonts w:ascii="Century Gothic" w:eastAsia="Century Gothic" w:hAnsi="Century Gothic" w:cs="Century Gothic"/>
        </w:rPr>
      </w:pPr>
    </w:p>
    <w:p w:rsidR="00D15A6A" w:rsidRDefault="00D9732F">
      <w:pPr>
        <w:widowControl w:val="0"/>
        <w:numPr>
          <w:ilvl w:val="0"/>
          <w:numId w:val="5"/>
        </w:numPr>
        <w:shd w:val="clear" w:color="auto" w:fill="FFFFFF"/>
        <w:spacing w:before="60" w:line="240" w:lineRule="auto"/>
        <w:ind w:right="40"/>
        <w:jc w:val="both"/>
        <w:rPr>
          <w:rFonts w:ascii="Century Gothic" w:eastAsia="Century Gothic" w:hAnsi="Century Gothic" w:cs="Century Gothic"/>
        </w:rPr>
      </w:pPr>
      <w:r>
        <w:rPr>
          <w:rFonts w:ascii="Century Gothic" w:eastAsia="Century Gothic" w:hAnsi="Century Gothic" w:cs="Century Gothic"/>
        </w:rPr>
        <w:t>para los vehículos de categoría I o excepcionalmente vehículos categoría II que transporten alimentos de pequeños productores agrícolas cuyos propietarios sean residentes en municipios a menos de 20 kilómetros de la ubicación del peaje, que sean administrados por la nación o las entidades territoriales.</w:t>
      </w:r>
    </w:p>
    <w:p w:rsidR="00D15A6A" w:rsidRDefault="00D15A6A">
      <w:pPr>
        <w:widowControl w:val="0"/>
        <w:shd w:val="clear" w:color="auto" w:fill="FFFFFF"/>
        <w:spacing w:line="240" w:lineRule="auto"/>
        <w:ind w:left="720" w:right="40"/>
        <w:jc w:val="both"/>
        <w:rPr>
          <w:rFonts w:ascii="Century Gothic" w:eastAsia="Century Gothic" w:hAnsi="Century Gothic" w:cs="Century Gothic"/>
        </w:rPr>
      </w:pPr>
    </w:p>
    <w:p w:rsidR="00D15A6A" w:rsidRDefault="00D9732F">
      <w:pPr>
        <w:widowControl w:val="0"/>
        <w:shd w:val="clear" w:color="auto" w:fill="FFFFFF"/>
        <w:spacing w:line="240" w:lineRule="auto"/>
        <w:ind w:left="720" w:right="40"/>
        <w:jc w:val="both"/>
        <w:rPr>
          <w:rFonts w:ascii="Century Gothic" w:eastAsia="Century Gothic" w:hAnsi="Century Gothic" w:cs="Century Gothic"/>
        </w:rPr>
      </w:pPr>
      <w:bookmarkStart w:id="9" w:name="_heading=h.lvm7t5i072jc" w:colFirst="0" w:colLast="0"/>
      <w:bookmarkEnd w:id="9"/>
      <w:r>
        <w:rPr>
          <w:rFonts w:ascii="Century Gothic" w:eastAsia="Century Gothic" w:hAnsi="Century Gothic" w:cs="Century Gothic"/>
        </w:rPr>
        <w:t>El Ministerio de Transporte y la Agencia Nacional de Infraestructura en cumplimiento de sus funciones en el año siguiente a la expedición de la presente ley reglamentará las condiciones para el cumplimiento del presente artículo, estableciendo por lo menos: Mecanismos de Compensación para financiar la tarifa diferencial, número máximo de vehículos beneficiarios de dicha tarifa, forma de identificación de los vehículos y las demás que este considere.</w:t>
      </w:r>
    </w:p>
    <w:p w:rsidR="00D15A6A" w:rsidRDefault="00D15A6A">
      <w:pPr>
        <w:widowControl w:val="0"/>
        <w:shd w:val="clear" w:color="auto" w:fill="FFFFFF"/>
        <w:spacing w:line="240" w:lineRule="auto"/>
        <w:ind w:left="720" w:right="40"/>
        <w:jc w:val="both"/>
        <w:rPr>
          <w:rFonts w:ascii="Century Gothic" w:eastAsia="Century Gothic" w:hAnsi="Century Gothic" w:cs="Century Gothic"/>
        </w:rPr>
      </w:pPr>
    </w:p>
    <w:p w:rsidR="00D15A6A" w:rsidRDefault="00D9732F">
      <w:pPr>
        <w:widowControl w:val="0"/>
        <w:numPr>
          <w:ilvl w:val="0"/>
          <w:numId w:val="5"/>
        </w:numPr>
        <w:shd w:val="clear" w:color="auto" w:fill="FFFFFF"/>
        <w:spacing w:after="20" w:line="240" w:lineRule="auto"/>
        <w:ind w:right="40"/>
        <w:jc w:val="both"/>
        <w:rPr>
          <w:rFonts w:ascii="Century Gothic" w:eastAsia="Century Gothic" w:hAnsi="Century Gothic" w:cs="Century Gothic"/>
        </w:rPr>
      </w:pPr>
      <w:r>
        <w:rPr>
          <w:rFonts w:ascii="Century Gothic" w:eastAsia="Century Gothic" w:hAnsi="Century Gothic" w:cs="Century Gothic"/>
        </w:rPr>
        <w:t xml:space="preserve">Para los vehículos particulares de categoría 1 que transiten los días domingos y festivos en los peajes de Galapa, Papiros, Puerto Colombia, Bayunca, Valencia, Los Cedros, Mata de caña, El Purgatorio, el Ebanal, Alto Pino, Neguanje y la esperanza, ubicados en los Departamentos de Atlántico, Bolívar, Cesar, Córdoba, Guajira, Magdalena y Sucre, debido a su actividad turística. </w:t>
      </w:r>
    </w:p>
    <w:p w:rsidR="00D15A6A" w:rsidRDefault="00D15A6A">
      <w:pPr>
        <w:spacing w:line="240" w:lineRule="auto"/>
        <w:rPr>
          <w:rFonts w:ascii="Century Gothic" w:eastAsia="Century Gothic" w:hAnsi="Century Gothic" w:cs="Century Gothic"/>
        </w:rPr>
      </w:pPr>
    </w:p>
    <w:p w:rsidR="00D15A6A" w:rsidRDefault="00D9732F">
      <w:pPr>
        <w:widowControl w:val="0"/>
        <w:shd w:val="clear" w:color="auto" w:fill="FFFFFF"/>
        <w:spacing w:before="60" w:after="20" w:line="240" w:lineRule="auto"/>
        <w:ind w:right="40"/>
        <w:jc w:val="both"/>
        <w:rPr>
          <w:rFonts w:ascii="Century Gothic" w:eastAsia="Century Gothic" w:hAnsi="Century Gothic" w:cs="Century Gothic"/>
        </w:rPr>
      </w:pPr>
      <w:r>
        <w:rPr>
          <w:rFonts w:ascii="Century Gothic" w:eastAsia="Century Gothic" w:hAnsi="Century Gothic" w:cs="Century Gothic"/>
          <w:b/>
        </w:rPr>
        <w:t>PARÁGRAFO:</w:t>
      </w:r>
      <w:r>
        <w:rPr>
          <w:rFonts w:ascii="Century Gothic" w:eastAsia="Century Gothic" w:hAnsi="Century Gothic" w:cs="Century Gothic"/>
        </w:rPr>
        <w:t xml:space="preserve"> La Agencia Nacional de Infraestructura para procesos de concesión debe incluir cláusulas que permitan el establecimiento de tarifas diferenciales en razón a el domicilio del propietario del vehículo.</w:t>
      </w:r>
    </w:p>
    <w:p w:rsidR="00D15A6A" w:rsidRDefault="00D15A6A">
      <w:pPr>
        <w:widowControl w:val="0"/>
        <w:shd w:val="clear" w:color="auto" w:fill="FFFFFF"/>
        <w:spacing w:before="60" w:after="20" w:line="240" w:lineRule="auto"/>
        <w:ind w:right="40"/>
        <w:jc w:val="both"/>
        <w:rPr>
          <w:rFonts w:ascii="Century Gothic" w:eastAsia="Century Gothic" w:hAnsi="Century Gothic" w:cs="Century Gothic"/>
          <w:b/>
          <w:color w:val="980000"/>
          <w:u w:val="single"/>
        </w:rPr>
      </w:pPr>
    </w:p>
    <w:p w:rsidR="00D15A6A" w:rsidRDefault="00D9732F">
      <w:pPr>
        <w:widowControl w:val="0"/>
        <w:spacing w:after="240" w:line="240" w:lineRule="auto"/>
        <w:jc w:val="both"/>
        <w:rPr>
          <w:rFonts w:ascii="Century Gothic" w:eastAsia="Century Gothic" w:hAnsi="Century Gothic" w:cs="Century Gothic"/>
        </w:rPr>
      </w:pPr>
      <w:r>
        <w:rPr>
          <w:rFonts w:ascii="Century Gothic" w:eastAsia="Century Gothic" w:hAnsi="Century Gothic" w:cs="Century Gothic"/>
          <w:b/>
        </w:rPr>
        <w:t>ARTÍCULO 5</w:t>
      </w:r>
      <w:r>
        <w:rPr>
          <w:rFonts w:ascii="Century Gothic" w:eastAsia="Century Gothic" w:hAnsi="Century Gothic" w:cs="Century Gothic"/>
        </w:rPr>
        <w:t xml:space="preserve">. </w:t>
      </w:r>
      <w:r>
        <w:rPr>
          <w:rFonts w:ascii="Century Gothic" w:eastAsia="Century Gothic" w:hAnsi="Century Gothic" w:cs="Century Gothic"/>
          <w:b/>
        </w:rPr>
        <w:t>Fuentes de financiación.</w:t>
      </w:r>
      <w:r>
        <w:rPr>
          <w:rFonts w:ascii="Century Gothic" w:eastAsia="Century Gothic" w:hAnsi="Century Gothic" w:cs="Century Gothic"/>
        </w:rPr>
        <w:t xml:space="preserve"> Podrán ser fuentes de financiación para todo efecto, incluidas las compensaciones a los concesionarios cuando sea el caso, las siguientes:</w:t>
      </w:r>
    </w:p>
    <w:p w:rsidR="00D15A6A" w:rsidRDefault="00D9732F">
      <w:pPr>
        <w:widowControl w:val="0"/>
        <w:spacing w:line="240" w:lineRule="auto"/>
        <w:jc w:val="both"/>
        <w:rPr>
          <w:rFonts w:ascii="Century Gothic" w:eastAsia="Century Gothic" w:hAnsi="Century Gothic" w:cs="Century Gothic"/>
        </w:rPr>
      </w:pPr>
      <w:r>
        <w:rPr>
          <w:rFonts w:ascii="Century Gothic" w:eastAsia="Century Gothic" w:hAnsi="Century Gothic" w:cs="Century Gothic"/>
        </w:rPr>
        <w:t>Sin Afectación Fiscal.</w:t>
      </w:r>
    </w:p>
    <w:p w:rsidR="00D15A6A" w:rsidRDefault="00D9732F">
      <w:pPr>
        <w:widowControl w:val="0"/>
        <w:spacing w:line="240" w:lineRule="auto"/>
        <w:jc w:val="both"/>
        <w:rPr>
          <w:rFonts w:ascii="Century Gothic" w:eastAsia="Century Gothic" w:hAnsi="Century Gothic" w:cs="Century Gothic"/>
        </w:rPr>
      </w:pPr>
      <w:r>
        <w:rPr>
          <w:rFonts w:ascii="Century Gothic" w:eastAsia="Century Gothic" w:hAnsi="Century Gothic" w:cs="Century Gothic"/>
        </w:rPr>
        <w:t>1. Los Fondos de financiación.</w:t>
      </w:r>
    </w:p>
    <w:p w:rsidR="00D15A6A" w:rsidRDefault="00D9732F">
      <w:pPr>
        <w:widowControl w:val="0"/>
        <w:spacing w:line="240" w:lineRule="auto"/>
        <w:jc w:val="both"/>
        <w:rPr>
          <w:rFonts w:ascii="Century Gothic" w:eastAsia="Century Gothic" w:hAnsi="Century Gothic" w:cs="Century Gothic"/>
        </w:rPr>
      </w:pPr>
      <w:r>
        <w:rPr>
          <w:rFonts w:ascii="Century Gothic" w:eastAsia="Century Gothic" w:hAnsi="Century Gothic" w:cs="Century Gothic"/>
        </w:rPr>
        <w:t>2. Excedentes financieros de las entidades del sector.</w:t>
      </w:r>
    </w:p>
    <w:p w:rsidR="00D15A6A" w:rsidRDefault="00D9732F">
      <w:pPr>
        <w:widowControl w:val="0"/>
        <w:spacing w:line="240" w:lineRule="auto"/>
        <w:jc w:val="both"/>
        <w:rPr>
          <w:rFonts w:ascii="Century Gothic" w:eastAsia="Century Gothic" w:hAnsi="Century Gothic" w:cs="Century Gothic"/>
        </w:rPr>
      </w:pPr>
      <w:r>
        <w:rPr>
          <w:rFonts w:ascii="Century Gothic" w:eastAsia="Century Gothic" w:hAnsi="Century Gothic" w:cs="Century Gothic"/>
        </w:rPr>
        <w:t>3. Recursos de cooperación internacional incluyendo los de Organismos públicos y privados.</w:t>
      </w:r>
    </w:p>
    <w:p w:rsidR="00D15A6A" w:rsidRDefault="00D9732F">
      <w:pPr>
        <w:widowControl w:val="0"/>
        <w:spacing w:line="240" w:lineRule="auto"/>
        <w:jc w:val="both"/>
        <w:rPr>
          <w:rFonts w:ascii="Century Gothic" w:eastAsia="Century Gothic" w:hAnsi="Century Gothic" w:cs="Century Gothic"/>
        </w:rPr>
      </w:pPr>
      <w:r>
        <w:rPr>
          <w:rFonts w:ascii="Century Gothic" w:eastAsia="Century Gothic" w:hAnsi="Century Gothic" w:cs="Century Gothic"/>
        </w:rPr>
        <w:t>4. Recursos del Sistema General de Regalías.</w:t>
      </w:r>
    </w:p>
    <w:p w:rsidR="00D15A6A" w:rsidRDefault="00D9732F">
      <w:pPr>
        <w:widowControl w:val="0"/>
        <w:spacing w:line="240" w:lineRule="auto"/>
        <w:jc w:val="both"/>
        <w:rPr>
          <w:rFonts w:ascii="Century Gothic" w:eastAsia="Century Gothic" w:hAnsi="Century Gothic" w:cs="Century Gothic"/>
        </w:rPr>
      </w:pPr>
      <w:r>
        <w:rPr>
          <w:rFonts w:ascii="Century Gothic" w:eastAsia="Century Gothic" w:hAnsi="Century Gothic" w:cs="Century Gothic"/>
        </w:rPr>
        <w:t>5. Recursos del aumento del subsidio en la tarifa.</w:t>
      </w:r>
    </w:p>
    <w:p w:rsidR="00D15A6A" w:rsidRDefault="00D9732F">
      <w:pPr>
        <w:widowControl w:val="0"/>
        <w:spacing w:line="240" w:lineRule="auto"/>
        <w:jc w:val="both"/>
        <w:rPr>
          <w:rFonts w:ascii="Century Gothic" w:eastAsia="Century Gothic" w:hAnsi="Century Gothic" w:cs="Century Gothic"/>
        </w:rPr>
      </w:pPr>
      <w:r>
        <w:rPr>
          <w:rFonts w:ascii="Century Gothic" w:eastAsia="Century Gothic" w:hAnsi="Century Gothic" w:cs="Century Gothic"/>
        </w:rPr>
        <w:lastRenderedPageBreak/>
        <w:t>6. Recursos derivados de la reprogramación de compromisos contractuales propias del sector, fondo de contingencias, subcuenta excedente ANI.</w:t>
      </w:r>
    </w:p>
    <w:p w:rsidR="00D15A6A" w:rsidRDefault="00D9732F">
      <w:pPr>
        <w:widowControl w:val="0"/>
        <w:spacing w:line="240" w:lineRule="auto"/>
        <w:jc w:val="both"/>
        <w:rPr>
          <w:rFonts w:ascii="Century Gothic" w:eastAsia="Century Gothic" w:hAnsi="Century Gothic" w:cs="Century Gothic"/>
        </w:rPr>
      </w:pPr>
      <w:r>
        <w:rPr>
          <w:rFonts w:ascii="Century Gothic" w:eastAsia="Century Gothic" w:hAnsi="Century Gothic" w:cs="Century Gothic"/>
        </w:rPr>
        <w:t>7. Recursos de excedentes que sobrepasen el mínimo de la garantía de ingreso para el concesionario.</w:t>
      </w:r>
    </w:p>
    <w:p w:rsidR="00D15A6A" w:rsidRDefault="00D9732F">
      <w:pPr>
        <w:widowControl w:val="0"/>
        <w:spacing w:line="240" w:lineRule="auto"/>
        <w:jc w:val="both"/>
        <w:rPr>
          <w:rFonts w:ascii="Century Gothic" w:eastAsia="Century Gothic" w:hAnsi="Century Gothic" w:cs="Century Gothic"/>
        </w:rPr>
      </w:pPr>
      <w:r>
        <w:rPr>
          <w:rFonts w:ascii="Century Gothic" w:eastAsia="Century Gothic" w:hAnsi="Century Gothic" w:cs="Century Gothic"/>
        </w:rPr>
        <w:t>Con afectación fiscal.</w:t>
      </w:r>
    </w:p>
    <w:p w:rsidR="00D15A6A" w:rsidRDefault="00D9732F">
      <w:pPr>
        <w:widowControl w:val="0"/>
        <w:spacing w:line="240" w:lineRule="auto"/>
        <w:jc w:val="both"/>
        <w:rPr>
          <w:rFonts w:ascii="Century Gothic" w:eastAsia="Century Gothic" w:hAnsi="Century Gothic" w:cs="Century Gothic"/>
        </w:rPr>
      </w:pPr>
      <w:r>
        <w:rPr>
          <w:rFonts w:ascii="Century Gothic" w:eastAsia="Century Gothic" w:hAnsi="Century Gothic" w:cs="Century Gothic"/>
        </w:rPr>
        <w:t>1. Recursos derivados del Presupuesto General de la Nación.</w:t>
      </w:r>
    </w:p>
    <w:p w:rsidR="00D15A6A" w:rsidRDefault="00D9732F">
      <w:pPr>
        <w:widowControl w:val="0"/>
        <w:spacing w:line="240" w:lineRule="auto"/>
        <w:jc w:val="both"/>
        <w:rPr>
          <w:rFonts w:ascii="Century Gothic" w:eastAsia="Century Gothic" w:hAnsi="Century Gothic" w:cs="Century Gothic"/>
        </w:rPr>
      </w:pPr>
      <w:r>
        <w:rPr>
          <w:rFonts w:ascii="Century Gothic" w:eastAsia="Century Gothic" w:hAnsi="Century Gothic" w:cs="Century Gothic"/>
        </w:rPr>
        <w:t>2. Recursos de asignación presupuestal para los entes territoriales o propios</w:t>
      </w:r>
    </w:p>
    <w:p w:rsidR="00D15A6A" w:rsidRDefault="00D15A6A">
      <w:pPr>
        <w:widowControl w:val="0"/>
        <w:spacing w:line="240" w:lineRule="auto"/>
        <w:jc w:val="both"/>
        <w:rPr>
          <w:rFonts w:ascii="Century Gothic" w:eastAsia="Century Gothic" w:hAnsi="Century Gothic" w:cs="Century Gothic"/>
        </w:rPr>
      </w:pPr>
    </w:p>
    <w:p w:rsidR="00D15A6A" w:rsidRDefault="00D9732F">
      <w:pPr>
        <w:widowControl w:val="0"/>
        <w:shd w:val="clear" w:color="auto" w:fill="FFFFFF"/>
        <w:spacing w:before="60" w:after="20" w:line="240" w:lineRule="auto"/>
        <w:ind w:right="40"/>
        <w:jc w:val="both"/>
        <w:rPr>
          <w:rFonts w:ascii="Century Gothic" w:eastAsia="Century Gothic" w:hAnsi="Century Gothic" w:cs="Century Gothic"/>
        </w:rPr>
      </w:pPr>
      <w:r>
        <w:rPr>
          <w:rFonts w:ascii="Century Gothic" w:eastAsia="Century Gothic" w:hAnsi="Century Gothic" w:cs="Century Gothic"/>
          <w:b/>
        </w:rPr>
        <w:t>ARTÍCULO 6.</w:t>
      </w:r>
      <w:r>
        <w:rPr>
          <w:rFonts w:ascii="Century Gothic" w:eastAsia="Century Gothic" w:hAnsi="Century Gothic" w:cs="Century Gothic"/>
        </w:rPr>
        <w:t xml:space="preserve"> Modifíquese el artículo 30 de la ley 105 de 1993, el cual, quedará así:</w:t>
      </w:r>
    </w:p>
    <w:p w:rsidR="00D15A6A" w:rsidRDefault="00D9732F">
      <w:pPr>
        <w:widowControl w:val="0"/>
        <w:shd w:val="clear" w:color="auto" w:fill="FFFFFF"/>
        <w:spacing w:before="60" w:after="20" w:line="240" w:lineRule="auto"/>
        <w:ind w:right="40"/>
        <w:jc w:val="both"/>
        <w:rPr>
          <w:rFonts w:ascii="Century Gothic" w:eastAsia="Century Gothic" w:hAnsi="Century Gothic" w:cs="Century Gothic"/>
        </w:rPr>
      </w:pPr>
      <w:r>
        <w:rPr>
          <w:rFonts w:ascii="Century Gothic" w:eastAsia="Century Gothic" w:hAnsi="Century Gothic" w:cs="Century Gothic"/>
        </w:rPr>
        <w:t xml:space="preserve"> </w:t>
      </w:r>
    </w:p>
    <w:p w:rsidR="00D15A6A" w:rsidRDefault="00D9732F">
      <w:pPr>
        <w:widowControl w:val="0"/>
        <w:shd w:val="clear" w:color="auto" w:fill="FFFFFF"/>
        <w:spacing w:before="60" w:after="20" w:line="240" w:lineRule="auto"/>
        <w:ind w:right="40"/>
        <w:jc w:val="both"/>
        <w:rPr>
          <w:rFonts w:ascii="Century Gothic" w:eastAsia="Century Gothic" w:hAnsi="Century Gothic" w:cs="Century Gothic"/>
        </w:rPr>
      </w:pPr>
      <w:r>
        <w:rPr>
          <w:rFonts w:ascii="Century Gothic" w:eastAsia="Century Gothic" w:hAnsi="Century Gothic" w:cs="Century Gothic"/>
          <w:b/>
        </w:rPr>
        <w:t>ARTÍCULO 30. Del Contrato de Concesión.</w:t>
      </w:r>
      <w:r>
        <w:rPr>
          <w:rFonts w:ascii="Century Gothic" w:eastAsia="Century Gothic" w:hAnsi="Century Gothic" w:cs="Century Gothic"/>
        </w:rPr>
        <w:t xml:space="preserve"> La Nación, los departamentos, los distritos y los municipios, en sus respectivos perímetros, podrán en forma individual o combinada o a través de sus entidades descentralizadas del sector de transporte, otorgar concesiones a particulares para la construcción, rehabilitación y conservación de proyectos de infraestructura vial.</w:t>
      </w:r>
    </w:p>
    <w:p w:rsidR="00D15A6A" w:rsidRDefault="00D15A6A">
      <w:pPr>
        <w:widowControl w:val="0"/>
        <w:shd w:val="clear" w:color="auto" w:fill="FFFFFF"/>
        <w:spacing w:before="60" w:after="20" w:line="240" w:lineRule="auto"/>
        <w:ind w:right="40"/>
        <w:jc w:val="both"/>
        <w:rPr>
          <w:rFonts w:ascii="Century Gothic" w:eastAsia="Century Gothic" w:hAnsi="Century Gothic" w:cs="Century Gothic"/>
        </w:rPr>
      </w:pPr>
    </w:p>
    <w:p w:rsidR="00D15A6A" w:rsidRDefault="00D9732F">
      <w:pPr>
        <w:widowControl w:val="0"/>
        <w:shd w:val="clear" w:color="auto" w:fill="FFFFFF"/>
        <w:spacing w:before="60" w:after="20" w:line="240" w:lineRule="auto"/>
        <w:ind w:right="40"/>
        <w:jc w:val="both"/>
        <w:rPr>
          <w:rFonts w:ascii="Century Gothic" w:eastAsia="Century Gothic" w:hAnsi="Century Gothic" w:cs="Century Gothic"/>
        </w:rPr>
      </w:pPr>
      <w:r>
        <w:rPr>
          <w:rFonts w:ascii="Century Gothic" w:eastAsia="Century Gothic" w:hAnsi="Century Gothic" w:cs="Century Gothic"/>
        </w:rPr>
        <w:t>Para la recuperación de la inversión, la Nación, los departamentos, los distritos y los municipios podrán establecer peajes y/o valorización. El procedimiento para causar y distribuir la valorización, y la fijación de peajes se regula por las normas sobre la materia. La fórmula para la recuperación de la inversión quedará</w:t>
      </w:r>
      <w:r>
        <w:rPr>
          <w:rFonts w:ascii="Century Gothic" w:eastAsia="Century Gothic" w:hAnsi="Century Gothic" w:cs="Century Gothic"/>
          <w:u w:val="single"/>
        </w:rPr>
        <w:t xml:space="preserve"> </w:t>
      </w:r>
      <w:r>
        <w:rPr>
          <w:rFonts w:ascii="Century Gothic" w:eastAsia="Century Gothic" w:hAnsi="Century Gothic" w:cs="Century Gothic"/>
          <w:b/>
          <w:u w:val="single"/>
        </w:rPr>
        <w:t>sujeta a lo establecido en el artículo 21 de la presente ley y deberá ajustarse a la reglamentación que expida el gobierno nacional</w:t>
      </w:r>
      <w:r>
        <w:rPr>
          <w:rFonts w:ascii="Century Gothic" w:eastAsia="Century Gothic" w:hAnsi="Century Gothic" w:cs="Century Gothic"/>
          <w:b/>
        </w:rPr>
        <w:t xml:space="preserve">, </w:t>
      </w:r>
      <w:r>
        <w:rPr>
          <w:rFonts w:ascii="Century Gothic" w:eastAsia="Century Gothic" w:hAnsi="Century Gothic" w:cs="Century Gothic"/>
          <w:b/>
          <w:u w:val="single"/>
        </w:rPr>
        <w:t>en caso de reglamentación especifica la misma no podrá contrariar las disposiciones anteriores</w:t>
      </w:r>
      <w:r>
        <w:rPr>
          <w:rFonts w:ascii="Century Gothic" w:eastAsia="Century Gothic" w:hAnsi="Century Gothic" w:cs="Century Gothic"/>
        </w:rPr>
        <w:t xml:space="preserve"> y quedara establecida en el contrato y será de obligatorio cumplimiento para las partes.</w:t>
      </w:r>
    </w:p>
    <w:p w:rsidR="00D15A6A" w:rsidRDefault="00D9732F">
      <w:pPr>
        <w:widowControl w:val="0"/>
        <w:shd w:val="clear" w:color="auto" w:fill="FFFFFF"/>
        <w:spacing w:before="60" w:after="20" w:line="240" w:lineRule="auto"/>
        <w:ind w:right="40"/>
        <w:jc w:val="both"/>
        <w:rPr>
          <w:rFonts w:ascii="Century Gothic" w:eastAsia="Century Gothic" w:hAnsi="Century Gothic" w:cs="Century Gothic"/>
        </w:rPr>
      </w:pPr>
      <w:r>
        <w:rPr>
          <w:rFonts w:ascii="Century Gothic" w:eastAsia="Century Gothic" w:hAnsi="Century Gothic" w:cs="Century Gothic"/>
        </w:rPr>
        <w:t>La variación de estas reglas sin el consentimiento del concesionario implicará responsabilidad civil para la entidad quien, a su vez, podrá repetir contra el funcionario responsable.</w:t>
      </w:r>
    </w:p>
    <w:p w:rsidR="00D15A6A" w:rsidRDefault="00D15A6A">
      <w:pPr>
        <w:widowControl w:val="0"/>
        <w:shd w:val="clear" w:color="auto" w:fill="FFFFFF"/>
        <w:spacing w:before="60" w:after="20" w:line="240" w:lineRule="auto"/>
        <w:ind w:right="40"/>
        <w:jc w:val="both"/>
        <w:rPr>
          <w:rFonts w:ascii="Century Gothic" w:eastAsia="Century Gothic" w:hAnsi="Century Gothic" w:cs="Century Gothic"/>
        </w:rPr>
      </w:pPr>
    </w:p>
    <w:p w:rsidR="00D15A6A" w:rsidRDefault="00D9732F">
      <w:pPr>
        <w:widowControl w:val="0"/>
        <w:shd w:val="clear" w:color="auto" w:fill="FFFFFF"/>
        <w:spacing w:before="60" w:after="20" w:line="240" w:lineRule="auto"/>
        <w:ind w:right="40"/>
        <w:jc w:val="both"/>
        <w:rPr>
          <w:rFonts w:ascii="Century Gothic" w:eastAsia="Century Gothic" w:hAnsi="Century Gothic" w:cs="Century Gothic"/>
        </w:rPr>
      </w:pPr>
      <w:r>
        <w:rPr>
          <w:rFonts w:ascii="Century Gothic" w:eastAsia="Century Gothic" w:hAnsi="Century Gothic" w:cs="Century Gothic"/>
        </w:rPr>
        <w:t>En los contratos que por concesión celebre el Instituto Nacional de Vías, se podrán incluir los accesos viales que hacen parte de la infraestructura distrital o municipal de transporte.</w:t>
      </w:r>
    </w:p>
    <w:p w:rsidR="00D15A6A" w:rsidRDefault="00D9732F">
      <w:pPr>
        <w:widowControl w:val="0"/>
        <w:shd w:val="clear" w:color="auto" w:fill="FFFFFF"/>
        <w:spacing w:before="60" w:after="20" w:line="240" w:lineRule="auto"/>
        <w:ind w:right="40"/>
        <w:jc w:val="both"/>
        <w:rPr>
          <w:rFonts w:ascii="Century Gothic" w:eastAsia="Century Gothic" w:hAnsi="Century Gothic" w:cs="Century Gothic"/>
        </w:rPr>
      </w:pPr>
      <w:r>
        <w:rPr>
          <w:rFonts w:ascii="Century Gothic" w:eastAsia="Century Gothic" w:hAnsi="Century Gothic" w:cs="Century Gothic"/>
          <w:b/>
        </w:rPr>
        <w:t>PARÁGRAFO 1</w:t>
      </w:r>
      <w:r>
        <w:rPr>
          <w:rFonts w:ascii="Century Gothic" w:eastAsia="Century Gothic" w:hAnsi="Century Gothic" w:cs="Century Gothic"/>
        </w:rPr>
        <w:t>. Los municipios, los departamentos, los distritos y la Nación podrán aportar partidas presupuestales para proyectos de infraestructura en los cuales, de acuerdo con los estudios, los concesionarios no puedan recuperar su inversión en el tiempo esperado.</w:t>
      </w:r>
    </w:p>
    <w:p w:rsidR="00D15A6A" w:rsidRDefault="00D15A6A">
      <w:pPr>
        <w:widowControl w:val="0"/>
        <w:shd w:val="clear" w:color="auto" w:fill="FFFFFF"/>
        <w:spacing w:before="60" w:after="20" w:line="240" w:lineRule="auto"/>
        <w:ind w:right="40"/>
        <w:jc w:val="both"/>
        <w:rPr>
          <w:rFonts w:ascii="Century Gothic" w:eastAsia="Century Gothic" w:hAnsi="Century Gothic" w:cs="Century Gothic"/>
        </w:rPr>
      </w:pPr>
    </w:p>
    <w:p w:rsidR="00D15A6A" w:rsidRDefault="00D9732F">
      <w:pPr>
        <w:widowControl w:val="0"/>
        <w:shd w:val="clear" w:color="auto" w:fill="FFFFFF"/>
        <w:spacing w:before="60" w:after="20" w:line="240" w:lineRule="auto"/>
        <w:ind w:right="40"/>
        <w:jc w:val="both"/>
        <w:rPr>
          <w:rFonts w:ascii="Century Gothic" w:eastAsia="Century Gothic" w:hAnsi="Century Gothic" w:cs="Century Gothic"/>
        </w:rPr>
      </w:pPr>
      <w:r>
        <w:rPr>
          <w:rFonts w:ascii="Century Gothic" w:eastAsia="Century Gothic" w:hAnsi="Century Gothic" w:cs="Century Gothic"/>
          <w:b/>
        </w:rPr>
        <w:t>PARÁGRAFO 2</w:t>
      </w:r>
      <w:r>
        <w:rPr>
          <w:rFonts w:ascii="Century Gothic" w:eastAsia="Century Gothic" w:hAnsi="Century Gothic" w:cs="Century Gothic"/>
        </w:rPr>
        <w:t xml:space="preserve">. Los contratos a que se refiere el inciso 2o. del artículo 81 de la Ley 80 de 1993, que a partir de la promulgación de esa Ley se celebren, se sujetarán en su formación a lo dispuesto en la misma. Sin embargo, estos no estarán sujetos a lo previsto </w:t>
      </w:r>
      <w:r>
        <w:rPr>
          <w:rFonts w:ascii="Century Gothic" w:eastAsia="Century Gothic" w:hAnsi="Century Gothic" w:cs="Century Gothic"/>
        </w:rPr>
        <w:lastRenderedPageBreak/>
        <w:t>en el numeral 4 del artículo 44 y el inciso 2o. del artículo 45 de la citada ley. En el Pliego de Condiciones se señalarán los criterios de adjudicación.</w:t>
      </w:r>
    </w:p>
    <w:p w:rsidR="00D15A6A" w:rsidRDefault="00D15A6A">
      <w:pPr>
        <w:widowControl w:val="0"/>
        <w:shd w:val="clear" w:color="auto" w:fill="FFFFFF"/>
        <w:spacing w:before="60" w:after="20" w:line="240" w:lineRule="auto"/>
        <w:ind w:right="40"/>
        <w:jc w:val="both"/>
        <w:rPr>
          <w:rFonts w:ascii="Century Gothic" w:eastAsia="Century Gothic" w:hAnsi="Century Gothic" w:cs="Century Gothic"/>
        </w:rPr>
      </w:pPr>
    </w:p>
    <w:p w:rsidR="00D15A6A" w:rsidRDefault="00D9732F">
      <w:pPr>
        <w:widowControl w:val="0"/>
        <w:shd w:val="clear" w:color="auto" w:fill="FFFFFF"/>
        <w:spacing w:before="60" w:after="20" w:line="240" w:lineRule="auto"/>
        <w:ind w:right="40"/>
        <w:jc w:val="both"/>
        <w:rPr>
          <w:rFonts w:ascii="Century Gothic" w:eastAsia="Century Gothic" w:hAnsi="Century Gothic" w:cs="Century Gothic"/>
        </w:rPr>
      </w:pPr>
      <w:r>
        <w:rPr>
          <w:rFonts w:ascii="Century Gothic" w:eastAsia="Century Gothic" w:hAnsi="Century Gothic" w:cs="Century Gothic"/>
          <w:b/>
        </w:rPr>
        <w:t>PARÁGRAFO 3.</w:t>
      </w:r>
      <w:r>
        <w:rPr>
          <w:rFonts w:ascii="Century Gothic" w:eastAsia="Century Gothic" w:hAnsi="Century Gothic" w:cs="Century Gothic"/>
        </w:rPr>
        <w:t xml:space="preserve"> Bajo el esquema de concesión, los ingresos que produzca la obra dada en concesión serán asignados en su totalidad al concesionario privado, hasta tanto éste obtenga dentro del plazo estipulado en el contrato de concesión, el retorno al capital invertido. El Estado recuperará su inversión con los ingresos provenientes de la operación una vez culminado el período de concesión.</w:t>
      </w:r>
    </w:p>
    <w:p w:rsidR="00D15A6A" w:rsidRDefault="00D15A6A">
      <w:pPr>
        <w:widowControl w:val="0"/>
        <w:shd w:val="clear" w:color="auto" w:fill="FFFFFF"/>
        <w:spacing w:before="60" w:after="20" w:line="240" w:lineRule="auto"/>
        <w:ind w:right="40"/>
        <w:jc w:val="both"/>
        <w:rPr>
          <w:rFonts w:ascii="Century Gothic" w:eastAsia="Century Gothic" w:hAnsi="Century Gothic" w:cs="Century Gothic"/>
        </w:rPr>
      </w:pPr>
    </w:p>
    <w:p w:rsidR="00D15A6A" w:rsidRDefault="00D9732F">
      <w:pPr>
        <w:widowControl w:val="0"/>
        <w:spacing w:line="240" w:lineRule="auto"/>
        <w:ind w:right="-37"/>
        <w:jc w:val="both"/>
        <w:rPr>
          <w:rFonts w:ascii="Century Gothic" w:eastAsia="Century Gothic" w:hAnsi="Century Gothic" w:cs="Century Gothic"/>
        </w:rPr>
      </w:pPr>
      <w:r>
        <w:rPr>
          <w:rFonts w:ascii="Century Gothic" w:eastAsia="Century Gothic" w:hAnsi="Century Gothic" w:cs="Century Gothic"/>
          <w:b/>
        </w:rPr>
        <w:t>ARTÍCULO 7. Revisión transitoria de contratos.</w:t>
      </w:r>
      <w:r>
        <w:rPr>
          <w:rFonts w:ascii="Century Gothic" w:eastAsia="Century Gothic" w:hAnsi="Century Gothic" w:cs="Century Gothic"/>
        </w:rPr>
        <w:t xml:space="preserve"> El Ministerio de Transporte dentro de los seis (6) meses siguientes a la expedición de la presente ley, deberá revisar los contratos de concesión de vías Nacionales suscritos hasta la fecha, a fin de determinar el recaudo efectivo de los peajes, así como los costos proyectados en el contrato. En caso de haberse superado el tope de recaudo o el plazo, tomará medidas legales, administrativas y judiciales para hacer efectivas las cláusulas de reversión.</w:t>
      </w:r>
    </w:p>
    <w:p w:rsidR="00D15A6A" w:rsidRDefault="00D15A6A">
      <w:pPr>
        <w:widowControl w:val="0"/>
        <w:spacing w:line="240" w:lineRule="auto"/>
        <w:ind w:right="260"/>
        <w:jc w:val="both"/>
        <w:rPr>
          <w:rFonts w:ascii="Century Gothic" w:eastAsia="Century Gothic" w:hAnsi="Century Gothic" w:cs="Century Gothic"/>
        </w:rPr>
      </w:pPr>
    </w:p>
    <w:p w:rsidR="00D15A6A" w:rsidRDefault="00D9732F">
      <w:pPr>
        <w:widowControl w:val="0"/>
        <w:spacing w:before="60" w:after="240" w:line="240" w:lineRule="auto"/>
        <w:jc w:val="both"/>
        <w:rPr>
          <w:rFonts w:ascii="Century Gothic" w:eastAsia="Century Gothic" w:hAnsi="Century Gothic" w:cs="Century Gothic"/>
        </w:rPr>
      </w:pPr>
      <w:r>
        <w:rPr>
          <w:rFonts w:ascii="Century Gothic" w:eastAsia="Century Gothic" w:hAnsi="Century Gothic" w:cs="Century Gothic"/>
          <w:b/>
        </w:rPr>
        <w:t xml:space="preserve">PARÁGRAFO. </w:t>
      </w:r>
      <w:r>
        <w:rPr>
          <w:rFonts w:ascii="Century Gothic" w:eastAsia="Century Gothic" w:hAnsi="Century Gothic" w:cs="Century Gothic"/>
        </w:rPr>
        <w:t>El Ministerio de Transporte en un plazo no mayor a doce (12) meses siguientes a la expedición de la presente ley, presentara un informe a las Comisiones Sextas de la Cámara de Representantes y del Senado de la República, sobre el cumplimiento de las disposiciones previstas en este artículo.</w:t>
      </w:r>
    </w:p>
    <w:p w:rsidR="00D15A6A" w:rsidRDefault="00D9732F">
      <w:pPr>
        <w:pStyle w:val="Ttulo3"/>
        <w:keepNext w:val="0"/>
        <w:keepLines w:val="0"/>
        <w:spacing w:before="0" w:line="240" w:lineRule="auto"/>
        <w:jc w:val="both"/>
        <w:rPr>
          <w:rFonts w:ascii="Century Gothic" w:eastAsia="Century Gothic" w:hAnsi="Century Gothic" w:cs="Century Gothic"/>
          <w:color w:val="000000"/>
          <w:sz w:val="22"/>
          <w:szCs w:val="22"/>
        </w:rPr>
      </w:pPr>
      <w:bookmarkStart w:id="10" w:name="_heading=h.63ecoqd9fqyx" w:colFirst="0" w:colLast="0"/>
      <w:bookmarkEnd w:id="10"/>
      <w:r>
        <w:rPr>
          <w:rFonts w:ascii="Century Gothic" w:eastAsia="Century Gothic" w:hAnsi="Century Gothic" w:cs="Century Gothic"/>
          <w:b/>
          <w:color w:val="000000"/>
          <w:sz w:val="22"/>
          <w:szCs w:val="22"/>
        </w:rPr>
        <w:t xml:space="preserve">ARTÍCULO 8. Vigencia y derogatorias. </w:t>
      </w:r>
      <w:r>
        <w:rPr>
          <w:rFonts w:ascii="Century Gothic" w:eastAsia="Century Gothic" w:hAnsi="Century Gothic" w:cs="Century Gothic"/>
          <w:color w:val="000000"/>
          <w:sz w:val="22"/>
          <w:szCs w:val="22"/>
        </w:rPr>
        <w:t>La presente ley rige a partir de su promulgación y deroga todas las disposiciones que le sean contrarias.</w:t>
      </w:r>
    </w:p>
    <w:p w:rsidR="00D15A6A" w:rsidRDefault="00D15A6A">
      <w:pPr>
        <w:pBdr>
          <w:top w:val="nil"/>
          <w:left w:val="nil"/>
          <w:bottom w:val="nil"/>
          <w:right w:val="nil"/>
          <w:between w:val="nil"/>
        </w:pBdr>
        <w:jc w:val="both"/>
        <w:rPr>
          <w:rFonts w:ascii="Century Gothic" w:eastAsia="Century Gothic" w:hAnsi="Century Gothic" w:cs="Century Gothic"/>
          <w:b/>
        </w:rPr>
      </w:pPr>
    </w:p>
    <w:p w:rsidR="00D15A6A" w:rsidRDefault="00D9732F">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b/>
          <w:color w:val="000000"/>
        </w:rPr>
        <w:t>OBJETO DEL PROYECTO DE LEY. </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rPr>
        <w:t xml:space="preserve">El presente proyecto de ley </w:t>
      </w:r>
      <w:r>
        <w:rPr>
          <w:rFonts w:ascii="Century Gothic" w:eastAsia="Century Gothic" w:hAnsi="Century Gothic" w:cs="Century Gothic"/>
          <w:color w:val="000000"/>
        </w:rPr>
        <w:t>tiene como propósito</w:t>
      </w:r>
      <w:r>
        <w:rPr>
          <w:rFonts w:ascii="Century Gothic" w:eastAsia="Century Gothic" w:hAnsi="Century Gothic" w:cs="Century Gothic"/>
        </w:rPr>
        <w:t xml:space="preserve"> modificar la Ley 105 de 1993, con respecto a </w:t>
      </w:r>
      <w:r>
        <w:rPr>
          <w:rFonts w:ascii="Century Gothic" w:eastAsia="Century Gothic" w:hAnsi="Century Gothic" w:cs="Century Gothic"/>
          <w:color w:val="000000"/>
        </w:rPr>
        <w:t xml:space="preserve">la regulación del cobro de peajes, actualizar y complementar el marco normativo aplicable al cobro de peajes en la infraestructura de transporte a nivel nacional, mediante la incorporación de condiciones de equidad, proporcionalidad y eficiencia. </w:t>
      </w:r>
    </w:p>
    <w:p w:rsidR="00D15A6A" w:rsidRDefault="00D15A6A">
      <w:pPr>
        <w:pBdr>
          <w:top w:val="nil"/>
          <w:left w:val="nil"/>
          <w:bottom w:val="nil"/>
          <w:right w:val="nil"/>
          <w:between w:val="nil"/>
        </w:pBdr>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Para ello, se establece que el valor del peaje deberá ajustarse conforme al estado y nivel de habilitación de las vías, garantizando una relación justa entre el servicio prestado y el costo asumido por los usuarios. Asimismo, se definen principios de transparencia y eficiencia en el proceso de recaudo, se regulan los factores que inciden en el incremento anual de las tarifas y se establece la implementación de tarifas diferenciales, los días domingos y festivos en beneficio de las poblaciones de los </w:t>
      </w:r>
      <w:r>
        <w:rPr>
          <w:rFonts w:ascii="Century Gothic" w:eastAsia="Century Gothic" w:hAnsi="Century Gothic" w:cs="Century Gothic"/>
          <w:color w:val="000000"/>
        </w:rPr>
        <w:lastRenderedPageBreak/>
        <w:t xml:space="preserve">departamentos de </w:t>
      </w:r>
      <w:r>
        <w:rPr>
          <w:rFonts w:ascii="Century Gothic" w:eastAsia="Century Gothic" w:hAnsi="Century Gothic" w:cs="Century Gothic"/>
        </w:rPr>
        <w:t>la región caribe, siendo estos:</w:t>
      </w:r>
      <w:r>
        <w:rPr>
          <w:rFonts w:ascii="Century Gothic" w:eastAsia="Century Gothic" w:hAnsi="Century Gothic" w:cs="Century Gothic"/>
          <w:color w:val="000000"/>
        </w:rPr>
        <w:t xml:space="preserve"> Atlántico, Bolívar, Cesar, Córdoba, La Guajira, Magdalena y Sucre, para incentivar el turismo</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b/>
          <w:color w:val="000000"/>
        </w:rPr>
        <w:t>MARCO</w:t>
      </w:r>
      <w:r>
        <w:rPr>
          <w:rFonts w:ascii="Century Gothic" w:eastAsia="Century Gothic" w:hAnsi="Century Gothic" w:cs="Century Gothic"/>
          <w:b/>
        </w:rPr>
        <w:t xml:space="preserve"> NORMATIVO</w:t>
      </w:r>
    </w:p>
    <w:p w:rsidR="00D15A6A" w:rsidRDefault="00D15A6A">
      <w:pPr>
        <w:pBdr>
          <w:top w:val="nil"/>
          <w:left w:val="nil"/>
          <w:bottom w:val="nil"/>
          <w:right w:val="nil"/>
          <w:between w:val="nil"/>
        </w:pBdr>
        <w:ind w:left="720"/>
        <w:jc w:val="both"/>
        <w:rPr>
          <w:rFonts w:ascii="Century Gothic" w:eastAsia="Century Gothic" w:hAnsi="Century Gothic" w:cs="Century Gothic"/>
          <w:b/>
          <w:color w:val="000000"/>
        </w:rPr>
      </w:pPr>
    </w:p>
    <w:p w:rsidR="00D15A6A" w:rsidRDefault="00D9732F">
      <w:pPr>
        <w:numPr>
          <w:ilvl w:val="0"/>
          <w:numId w:val="6"/>
        </w:numPr>
        <w:pBdr>
          <w:top w:val="nil"/>
          <w:left w:val="nil"/>
          <w:bottom w:val="nil"/>
          <w:right w:val="nil"/>
          <w:between w:val="nil"/>
        </w:pBdr>
        <w:spacing w:after="240"/>
        <w:jc w:val="both"/>
        <w:rPr>
          <w:rFonts w:ascii="Century Gothic" w:eastAsia="Century Gothic" w:hAnsi="Century Gothic" w:cs="Century Gothic"/>
          <w:b/>
          <w:color w:val="000000"/>
        </w:rPr>
      </w:pPr>
      <w:r>
        <w:rPr>
          <w:rFonts w:ascii="Century Gothic" w:eastAsia="Century Gothic" w:hAnsi="Century Gothic" w:cs="Century Gothic"/>
          <w:b/>
        </w:rPr>
        <w:t>Marco Constitucional.</w:t>
      </w:r>
    </w:p>
    <w:p w:rsidR="00D15A6A" w:rsidRDefault="00D9732F">
      <w:pPr>
        <w:pBdr>
          <w:top w:val="nil"/>
          <w:left w:val="nil"/>
          <w:bottom w:val="nil"/>
          <w:right w:val="nil"/>
          <w:between w:val="nil"/>
        </w:pBdr>
        <w:spacing w:after="240"/>
        <w:jc w:val="both"/>
        <w:rPr>
          <w:rFonts w:ascii="Century Gothic" w:eastAsia="Century Gothic" w:hAnsi="Century Gothic" w:cs="Century Gothic"/>
          <w:color w:val="000000"/>
        </w:rPr>
      </w:pPr>
      <w:r>
        <w:rPr>
          <w:rFonts w:ascii="Century Gothic" w:eastAsia="Century Gothic" w:hAnsi="Century Gothic" w:cs="Century Gothic"/>
          <w:b/>
        </w:rPr>
        <w:t xml:space="preserve"> </w:t>
      </w:r>
      <w:r>
        <w:rPr>
          <w:rFonts w:ascii="Century Gothic" w:eastAsia="Century Gothic" w:hAnsi="Century Gothic" w:cs="Century Gothic"/>
        </w:rPr>
        <w:t xml:space="preserve">La presente iniciativa, se fundamenta en los siguientes artículos constitucionales: </w:t>
      </w:r>
    </w:p>
    <w:p w:rsidR="00D15A6A" w:rsidRDefault="00D9732F">
      <w:pPr>
        <w:pBdr>
          <w:top w:val="nil"/>
          <w:left w:val="nil"/>
          <w:bottom w:val="nil"/>
          <w:right w:val="nil"/>
          <w:between w:val="nil"/>
        </w:pBdr>
        <w:ind w:left="720"/>
        <w:jc w:val="both"/>
        <w:rPr>
          <w:rFonts w:ascii="Century Gothic" w:eastAsia="Century Gothic" w:hAnsi="Century Gothic" w:cs="Century Gothic"/>
          <w:i/>
          <w:color w:val="000000"/>
        </w:rPr>
      </w:pPr>
      <w:r>
        <w:rPr>
          <w:rFonts w:ascii="Century Gothic" w:eastAsia="Century Gothic" w:hAnsi="Century Gothic" w:cs="Century Gothic"/>
          <w:b/>
          <w:i/>
          <w:color w:val="000000"/>
        </w:rPr>
        <w:t xml:space="preserve">ARTÍCULO 1 </w:t>
      </w:r>
      <w:r>
        <w:rPr>
          <w:rFonts w:ascii="Century Gothic" w:eastAsia="Century Gothic" w:hAnsi="Century Gothic" w:cs="Century Gothic"/>
          <w:i/>
          <w:color w:val="000000"/>
        </w:rPr>
        <w:t xml:space="preserve">“Colombia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w:t>
      </w:r>
      <w:r>
        <w:rPr>
          <w:rFonts w:ascii="Century Gothic" w:eastAsia="Century Gothic" w:hAnsi="Century Gothic" w:cs="Century Gothic"/>
          <w:b/>
          <w:i/>
          <w:color w:val="000000"/>
          <w:u w:val="single"/>
        </w:rPr>
        <w:t>prevalencia del interés general</w:t>
      </w:r>
      <w:r>
        <w:rPr>
          <w:rFonts w:ascii="Century Gothic" w:eastAsia="Century Gothic" w:hAnsi="Century Gothic" w:cs="Century Gothic"/>
          <w:i/>
          <w:color w:val="000000"/>
        </w:rPr>
        <w:t>.”</w:t>
      </w:r>
    </w:p>
    <w:p w:rsidR="00D15A6A" w:rsidRDefault="00D15A6A">
      <w:pPr>
        <w:pBdr>
          <w:top w:val="nil"/>
          <w:left w:val="nil"/>
          <w:bottom w:val="nil"/>
          <w:right w:val="nil"/>
          <w:between w:val="nil"/>
        </w:pBdr>
        <w:ind w:left="1440"/>
        <w:jc w:val="both"/>
        <w:rPr>
          <w:rFonts w:ascii="Century Gothic" w:eastAsia="Century Gothic" w:hAnsi="Century Gothic" w:cs="Century Gothic"/>
          <w:i/>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i/>
          <w:color w:val="000000"/>
        </w:rPr>
      </w:pPr>
      <w:r>
        <w:rPr>
          <w:rFonts w:ascii="Century Gothic" w:eastAsia="Century Gothic" w:hAnsi="Century Gothic" w:cs="Century Gothic"/>
          <w:b/>
          <w:i/>
          <w:color w:val="000000"/>
        </w:rPr>
        <w:t>ARTÍCULO 24.</w:t>
      </w:r>
      <w:r>
        <w:rPr>
          <w:rFonts w:ascii="Century Gothic" w:eastAsia="Century Gothic" w:hAnsi="Century Gothic" w:cs="Century Gothic"/>
          <w:i/>
          <w:color w:val="000000"/>
        </w:rPr>
        <w:t xml:space="preserve"> Todo colombiano, con las limitaciones que establezca la ley, tiene derecho a circular libremente por el territorio nacional, a entrar y salir de el, y a permanecer y residenciarse en Colombia. </w:t>
      </w:r>
    </w:p>
    <w:p w:rsidR="00D15A6A" w:rsidRDefault="00D15A6A">
      <w:pPr>
        <w:pBdr>
          <w:top w:val="nil"/>
          <w:left w:val="nil"/>
          <w:bottom w:val="nil"/>
          <w:right w:val="nil"/>
          <w:between w:val="nil"/>
        </w:pBdr>
        <w:ind w:left="720"/>
        <w:jc w:val="both"/>
        <w:rPr>
          <w:rFonts w:ascii="Century Gothic" w:eastAsia="Century Gothic" w:hAnsi="Century Gothic" w:cs="Century Gothic"/>
          <w:color w:val="000000"/>
        </w:rPr>
      </w:pPr>
    </w:p>
    <w:p w:rsidR="00D15A6A" w:rsidRPr="0012445B" w:rsidRDefault="00D9732F" w:rsidP="0012445B">
      <w:pPr>
        <w:pBdr>
          <w:top w:val="nil"/>
          <w:left w:val="nil"/>
          <w:bottom w:val="nil"/>
          <w:right w:val="nil"/>
          <w:between w:val="nil"/>
        </w:pBdr>
        <w:ind w:left="720"/>
        <w:jc w:val="both"/>
        <w:rPr>
          <w:rFonts w:ascii="Century Gothic" w:eastAsia="Century Gothic" w:hAnsi="Century Gothic" w:cs="Century Gothic"/>
          <w:i/>
          <w:color w:val="000000"/>
        </w:rPr>
      </w:pPr>
      <w:r>
        <w:rPr>
          <w:rFonts w:ascii="Century Gothic" w:eastAsia="Century Gothic" w:hAnsi="Century Gothic" w:cs="Century Gothic"/>
          <w:b/>
          <w:i/>
          <w:color w:val="000000"/>
        </w:rPr>
        <w:t xml:space="preserve">ARTÍCULO 65. </w:t>
      </w:r>
      <w:r>
        <w:rPr>
          <w:rFonts w:ascii="Century Gothic" w:eastAsia="Century Gothic" w:hAnsi="Century Gothic" w:cs="Century Gothic"/>
          <w:i/>
          <w:color w:val="000000"/>
        </w:rPr>
        <w:t>La producción de alimentos gozará de la especial protección del Estado. Para tal efecto, se otorgará prioridad al desarrollo integral de las actividades agrícolas, pecuarias, pesqueras, forestales y agroindustriales, así como también a la construcción de obras de infraestructura física y adecuación de tierras.</w:t>
      </w:r>
    </w:p>
    <w:p w:rsidR="00D15A6A" w:rsidRDefault="00D9732F">
      <w:pPr>
        <w:pBdr>
          <w:top w:val="nil"/>
          <w:left w:val="nil"/>
          <w:bottom w:val="nil"/>
          <w:right w:val="nil"/>
          <w:between w:val="nil"/>
        </w:pBdr>
        <w:jc w:val="both"/>
        <w:rPr>
          <w:rFonts w:ascii="Century Gothic" w:eastAsia="Century Gothic" w:hAnsi="Century Gothic" w:cs="Century Gothic"/>
          <w:i/>
          <w:color w:val="000000"/>
        </w:rPr>
      </w:pPr>
      <w:r>
        <w:rPr>
          <w:rFonts w:ascii="Century Gothic" w:eastAsia="Century Gothic" w:hAnsi="Century Gothic" w:cs="Century Gothic"/>
          <w:i/>
          <w:color w:val="000000"/>
        </w:rPr>
        <w:t>De igual manera, el Estado promoverá la investigación y la transferencia de tecnología para la producción de alimentos y materias primas de origen agropecuario, con el propósito de incrementar la productividad.</w:t>
      </w:r>
    </w:p>
    <w:p w:rsidR="00D15A6A" w:rsidRDefault="00D15A6A">
      <w:pPr>
        <w:pBdr>
          <w:top w:val="nil"/>
          <w:left w:val="nil"/>
          <w:bottom w:val="nil"/>
          <w:right w:val="nil"/>
          <w:between w:val="nil"/>
        </w:pBdr>
        <w:ind w:left="1440"/>
        <w:jc w:val="both"/>
        <w:rPr>
          <w:rFonts w:ascii="Century Gothic" w:eastAsia="Century Gothic" w:hAnsi="Century Gothic" w:cs="Century Gothic"/>
          <w:i/>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i/>
          <w:color w:val="000000"/>
        </w:rPr>
      </w:pPr>
      <w:r>
        <w:rPr>
          <w:rFonts w:ascii="Century Gothic" w:eastAsia="Century Gothic" w:hAnsi="Century Gothic" w:cs="Century Gothic"/>
          <w:b/>
          <w:i/>
          <w:color w:val="000000"/>
        </w:rPr>
        <w:t>ARTÍCULO 338.</w:t>
      </w:r>
      <w:r>
        <w:rPr>
          <w:rFonts w:ascii="Century Gothic" w:eastAsia="Century Gothic" w:hAnsi="Century Gothic" w:cs="Century Gothic"/>
          <w:i/>
          <w:color w:val="000000"/>
        </w:rPr>
        <w:t xml:space="preserve"> En tiempo de paz, solamente el Congreso, las asambleas departamentales y los concejos distritales y municipales podrán imponer contribuciones fiscales o parafiscales. La ley, las ordenanzas y los acuerdos deben fijar, directamente, los sujetos activos y pasivos, los hechos y las bases gravables, y las tarifas de los impuestos.</w:t>
      </w:r>
    </w:p>
    <w:p w:rsidR="00D15A6A" w:rsidRDefault="00D15A6A">
      <w:pPr>
        <w:pBdr>
          <w:top w:val="nil"/>
          <w:left w:val="nil"/>
          <w:bottom w:val="nil"/>
          <w:right w:val="nil"/>
          <w:between w:val="nil"/>
        </w:pBdr>
        <w:ind w:left="1440"/>
        <w:jc w:val="both"/>
        <w:rPr>
          <w:rFonts w:ascii="Century Gothic" w:eastAsia="Century Gothic" w:hAnsi="Century Gothic" w:cs="Century Gothic"/>
          <w:i/>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i/>
          <w:color w:val="000000"/>
        </w:rPr>
      </w:pPr>
      <w:r>
        <w:rPr>
          <w:rFonts w:ascii="Century Gothic" w:eastAsia="Century Gothic" w:hAnsi="Century Gothic" w:cs="Century Gothic"/>
          <w:i/>
          <w:color w:val="000000"/>
        </w:rPr>
        <w:t xml:space="preserve">La ley, las ordenanzas y los acuerdos pueden permitir que las autoridades fijen la tarifa de las tasas y contribuciones que cobren a los contribuyentes, como </w:t>
      </w:r>
      <w:r>
        <w:rPr>
          <w:rFonts w:ascii="Century Gothic" w:eastAsia="Century Gothic" w:hAnsi="Century Gothic" w:cs="Century Gothic"/>
          <w:i/>
          <w:color w:val="000000"/>
        </w:rPr>
        <w:lastRenderedPageBreak/>
        <w:t>recuperación de los costos de los servicios que les presten o participación en los beneficios que les proporcionen; pero el sistema y el método para definir tales costos y beneficios, y la forma de hacer su reparto, deben ser fijados por la ley, las ordenanzas o los acuerdos.</w:t>
      </w:r>
    </w:p>
    <w:p w:rsidR="00D15A6A" w:rsidRDefault="00D15A6A">
      <w:pPr>
        <w:pBdr>
          <w:top w:val="nil"/>
          <w:left w:val="nil"/>
          <w:bottom w:val="nil"/>
          <w:right w:val="nil"/>
          <w:between w:val="nil"/>
        </w:pBdr>
        <w:ind w:left="1440"/>
        <w:jc w:val="both"/>
        <w:rPr>
          <w:rFonts w:ascii="Century Gothic" w:eastAsia="Century Gothic" w:hAnsi="Century Gothic" w:cs="Century Gothic"/>
          <w:i/>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i/>
          <w:color w:val="000000"/>
        </w:rPr>
      </w:pPr>
      <w:r>
        <w:rPr>
          <w:rFonts w:ascii="Century Gothic" w:eastAsia="Century Gothic" w:hAnsi="Century Gothic" w:cs="Century Gothic"/>
          <w:i/>
          <w:color w:val="000000"/>
        </w:rPr>
        <w:t>Las leyes, ordenanzas o acuerdos que regulen contribuciones en las que la base sea el resultado de hechos ocurridos durante un período determinado, no pueden aplicarse sino a partir del período que comience después de iniciar la vigencia de la respectiva ley, ordenanza o acuerdo.</w:t>
      </w:r>
    </w:p>
    <w:p w:rsidR="00D15A6A" w:rsidRDefault="00D9732F">
      <w:p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b/>
        </w:rPr>
        <w:t xml:space="preserve">B) </w:t>
      </w:r>
      <w:r>
        <w:rPr>
          <w:rFonts w:ascii="Century Gothic" w:eastAsia="Century Gothic" w:hAnsi="Century Gothic" w:cs="Century Gothic"/>
          <w:b/>
          <w:color w:val="000000"/>
        </w:rPr>
        <w:t>M</w:t>
      </w:r>
      <w:r>
        <w:rPr>
          <w:rFonts w:ascii="Century Gothic" w:eastAsia="Century Gothic" w:hAnsi="Century Gothic" w:cs="Century Gothic"/>
          <w:b/>
        </w:rPr>
        <w:t>arco Legal.</w:t>
      </w:r>
    </w:p>
    <w:p w:rsidR="00D15A6A" w:rsidRDefault="00D15A6A">
      <w:pPr>
        <w:pBdr>
          <w:top w:val="nil"/>
          <w:left w:val="nil"/>
          <w:bottom w:val="nil"/>
          <w:right w:val="nil"/>
          <w:between w:val="nil"/>
        </w:pBdr>
        <w:jc w:val="both"/>
        <w:rPr>
          <w:rFonts w:ascii="Century Gothic" w:eastAsia="Century Gothic" w:hAnsi="Century Gothic" w:cs="Century Gothic"/>
          <w:b/>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Los proyectos de ley presentados y que se acumulan en esta ponencia, se fundamental en las siguientes leyes: </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Ley 80 de 1993</w:t>
      </w:r>
      <w:r>
        <w:rPr>
          <w:rFonts w:ascii="Century Gothic" w:eastAsia="Century Gothic" w:hAnsi="Century Gothic" w:cs="Century Gothic"/>
          <w:color w:val="000000"/>
        </w:rPr>
        <w:t xml:space="preserve"> “Estatuto General de Contratación de la Administración Pública”.</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Ley 105 de 1993</w:t>
      </w:r>
      <w:r>
        <w:rPr>
          <w:rFonts w:ascii="Century Gothic" w:eastAsia="Century Gothic" w:hAnsi="Century Gothic" w:cs="Century Gothic"/>
          <w:color w:val="000000"/>
        </w:rPr>
        <w:t xml:space="preserve"> “Por la cual se dictan disposiciones básicas sobre el transporte, se redistribuyen competencias y recursos entre la Nación y las Entidades Territoriales, se reglamenta la planeación en el sector transporte y se dictan otras disposiciones” en sus artículos; </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Artículo 19.</w:t>
      </w:r>
      <w:r>
        <w:rPr>
          <w:rFonts w:ascii="Century Gothic" w:eastAsia="Century Gothic" w:hAnsi="Century Gothic" w:cs="Century Gothic"/>
          <w:color w:val="000000"/>
        </w:rPr>
        <w:t xml:space="preserve"> </w:t>
      </w:r>
      <w:r>
        <w:rPr>
          <w:rFonts w:ascii="Century Gothic" w:eastAsia="Century Gothic" w:hAnsi="Century Gothic" w:cs="Century Gothic"/>
          <w:b/>
          <w:color w:val="000000"/>
        </w:rPr>
        <w:t>Constitución y conservación.</w:t>
      </w:r>
      <w:r>
        <w:rPr>
          <w:rFonts w:ascii="Century Gothic" w:eastAsia="Century Gothic" w:hAnsi="Century Gothic" w:cs="Century Gothic"/>
          <w:color w:val="000000"/>
        </w:rPr>
        <w:t xml:space="preserve"> corresponde a la nación y a las entidades territoriales la construcción y la conservación de todos y cada uno de los componentes de su propiedad, en los términos establecidos en la presente ley.</w:t>
      </w: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Artículo 20.</w:t>
      </w:r>
      <w:r>
        <w:rPr>
          <w:rFonts w:ascii="Century Gothic" w:eastAsia="Century Gothic" w:hAnsi="Century Gothic" w:cs="Century Gothic"/>
          <w:color w:val="000000"/>
        </w:rPr>
        <w:t xml:space="preserve"> </w:t>
      </w:r>
      <w:r>
        <w:rPr>
          <w:rFonts w:ascii="Century Gothic" w:eastAsia="Century Gothic" w:hAnsi="Century Gothic" w:cs="Century Gothic"/>
          <w:b/>
          <w:color w:val="000000"/>
        </w:rPr>
        <w:t>Planeación e identificación de prioridades de la infraestructura de transporte</w:t>
      </w:r>
      <w:r>
        <w:rPr>
          <w:rFonts w:ascii="Century Gothic" w:eastAsia="Century Gothic" w:hAnsi="Century Gothic" w:cs="Century Gothic"/>
          <w:color w:val="000000"/>
        </w:rPr>
        <w:t>. Corresponde al Ministerio de Transporte, a las entidades del orden nacional con responsabilidad en la infraestructura de transporte y a las entidades territoriales, la planeación de su respectiva infraestructura de transporte, determinando las prioridades para su conservación y construcción.</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Para estos efectos, la Nación y las entidades territoriales harán las apropiaciones presupuestales con recursos propios y con aquellos que determine esta Ley.</w:t>
      </w:r>
    </w:p>
    <w:p w:rsidR="00D15A6A" w:rsidRDefault="00D15A6A">
      <w:pPr>
        <w:pBdr>
          <w:top w:val="nil"/>
          <w:left w:val="nil"/>
          <w:bottom w:val="nil"/>
          <w:right w:val="nil"/>
          <w:between w:val="nil"/>
        </w:pBdr>
        <w:ind w:left="216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ARTÍCULO 21. Tasas, tarifas y peajes en la infraestructura de transporte a cargo de la nación.</w:t>
      </w:r>
      <w:r>
        <w:rPr>
          <w:rFonts w:ascii="Century Gothic" w:eastAsia="Century Gothic" w:hAnsi="Century Gothic" w:cs="Century Gothic"/>
          <w:color w:val="000000"/>
        </w:rPr>
        <w:t xml:space="preserve"> Para la construcción y conservación de la infraestructura de transporte </w:t>
      </w:r>
      <w:r>
        <w:rPr>
          <w:rFonts w:ascii="Century Gothic" w:eastAsia="Century Gothic" w:hAnsi="Century Gothic" w:cs="Century Gothic"/>
          <w:color w:val="000000"/>
        </w:rPr>
        <w:lastRenderedPageBreak/>
        <w:t>a cargo de la Nación, esta contará con los recursos que se apropien en el Presupuesto Nacional y además cobrará el uso de las obras de infraestructura de transporte a los usuarios, buscando garantizar su adecuado mantenimiento, operación y desarrollo.</w:t>
      </w:r>
    </w:p>
    <w:p w:rsidR="00D15A6A" w:rsidRDefault="00D15A6A">
      <w:pPr>
        <w:pBdr>
          <w:top w:val="nil"/>
          <w:left w:val="nil"/>
          <w:bottom w:val="nil"/>
          <w:right w:val="nil"/>
          <w:between w:val="nil"/>
        </w:pBdr>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Para estos efectos, la Nación establecerá peajes, tarifas y tasas sobre el uso de la infraestructura nacional de transporte y los recursos provenientes de su cobro se usarán exclusivamente para ese modo de transporte.</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Todos los servicios que la Nación o sus entidades descentralizadas presten a los usuarios accesoriamente a la utilización de la infraestructura Nacional de Transporte, estarán sujetos al cobro de tasas o tarifas.</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Para la fijación y cobro de tasas, tarifas y peajes, se observarán los siguientes principios:</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a)</w:t>
      </w:r>
      <w:r>
        <w:rPr>
          <w:rFonts w:ascii="Century Gothic" w:eastAsia="Century Gothic" w:hAnsi="Century Gothic" w:cs="Century Gothic"/>
          <w:color w:val="000000"/>
        </w:rPr>
        <w:t xml:space="preserve"> Los ingresos provenientes de la utilización de la infraestructura de transporte, deberán garantizar su adecuado mantenimiento, operación y desarrollo;</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b)</w:t>
      </w:r>
      <w:r>
        <w:rPr>
          <w:rFonts w:ascii="Century Gothic" w:eastAsia="Century Gothic" w:hAnsi="Century Gothic" w:cs="Century Gothic"/>
          <w:color w:val="000000"/>
        </w:rPr>
        <w:t xml:space="preserve"> Deberá cobrarse a todos los usuarios, con excepción de las motocicletas y bicicletas, máquinas extintoras de incendios de los Cuerpos de Bomberos Voluntarios, Cuerpo de Bomberos Oficiales, ambulancias pertenecientes a la Cruz Roja, Defensa Civil, Hospitales Oficiales, Vehículos de las Fuerzas Militares y de la Policía Nacional, vehículos oficiales del Instituto Nacional Penitenciario y Carcelario, Inpec, vehículos oficiales del (DAS) Departamento Administrativo de Seguridad y de las demás instituciones que prestan funciones de Policía Judicial;</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c)</w:t>
      </w:r>
      <w:r>
        <w:rPr>
          <w:rFonts w:ascii="Century Gothic" w:eastAsia="Century Gothic" w:hAnsi="Century Gothic" w:cs="Century Gothic"/>
          <w:color w:val="000000"/>
        </w:rPr>
        <w:t xml:space="preserve"> El valor de las tasas o tarifas será determinado por la autoridad competente; su recaudo estará a cargo de las entidades públicas o privadas, responsables de la prestación del servicio;</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d) </w:t>
      </w:r>
      <w:r>
        <w:rPr>
          <w:rFonts w:ascii="Century Gothic" w:eastAsia="Century Gothic" w:hAnsi="Century Gothic" w:cs="Century Gothic"/>
          <w:color w:val="000000"/>
        </w:rPr>
        <w:t>Las tasas de peaje serán diferenciales, es decir, se fijarán en proporción a las distancias recorridas, las características vehiculares y sus respectivos costos de operación;</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e)</w:t>
      </w:r>
      <w:r>
        <w:rPr>
          <w:rFonts w:ascii="Century Gothic" w:eastAsia="Century Gothic" w:hAnsi="Century Gothic" w:cs="Century Gothic"/>
          <w:color w:val="000000"/>
        </w:rPr>
        <w:t xml:space="preserve"> Para la determinación del valor del peaje y de las tasas de valoración en las vías nacionales, se tendrá en cuenta un criterio de equidad fiscal.</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PARÁGRAFO 1.</w:t>
      </w:r>
      <w:r>
        <w:rPr>
          <w:rFonts w:ascii="Century Gothic" w:eastAsia="Century Gothic" w:hAnsi="Century Gothic" w:cs="Century Gothic"/>
          <w:color w:val="000000"/>
        </w:rPr>
        <w:t xml:space="preserve"> La Nación podrá en caso de necesidad y previo concepto del Ministerio de Transporte, apropiar recursos del Presupuesto Nacional para el mantenimiento, operación y desarrollo de la infraestructura de transporte.</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PARÁGRAFO 2.</w:t>
      </w:r>
      <w:r>
        <w:rPr>
          <w:rFonts w:ascii="Century Gothic" w:eastAsia="Century Gothic" w:hAnsi="Century Gothic" w:cs="Century Gothic"/>
          <w:color w:val="000000"/>
        </w:rPr>
        <w:t xml:space="preserve"> Para tener derecho a la exención contemplada en el literal b), es de carácter obligatorio que los vehículos allí relacionados, con excepción de las bicicletas y motocicletas, estén plenamente identificados con los emblemas, colores y distintivos institucionales de cada una de las entidades y organismos a los cuales pertenecen. Para efectos de control, el Ministerio de Transporte reglamentará lo pertinente.</w:t>
      </w: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color w:val="000000"/>
        </w:rPr>
        <w:t>PARÁGRAFO 3. Facúltese a las Entidades Territoriales para decretar las exenciones contempladas en el literal b), del artículo 1.</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PARÁGRAFO 4.</w:t>
      </w:r>
      <w:r>
        <w:rPr>
          <w:rFonts w:ascii="Century Gothic" w:eastAsia="Century Gothic" w:hAnsi="Century Gothic" w:cs="Century Gothic"/>
          <w:color w:val="000000"/>
        </w:rPr>
        <w:t xml:space="preserve"> Se entiende también las vías "Concesionadas".</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b/>
          <w:color w:val="000000"/>
        </w:rPr>
        <w:t>ARTÍCULO 22. DESTINO DE LOS RECURSOS DEL PEAJE.</w:t>
      </w:r>
      <w:r>
        <w:rPr>
          <w:rFonts w:ascii="Century Gothic" w:eastAsia="Century Gothic" w:hAnsi="Century Gothic" w:cs="Century Gothic"/>
          <w:color w:val="000000"/>
        </w:rPr>
        <w:t xml:space="preserve"> En la asignación de los recursos del Instituto Nacional de Vías, recaudados por peajes, como mínimo será invertido el 50%, para construcción, rehabilitación y conservación de vías en el respectivo departamento donde se recaude y el excedente en la respectiva zona de influencia.</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b/>
          <w:color w:val="000000"/>
        </w:rPr>
        <w:t>ARTÍCULO 30. Del contrato de concesión</w:t>
      </w:r>
      <w:r>
        <w:rPr>
          <w:rFonts w:ascii="Century Gothic" w:eastAsia="Century Gothic" w:hAnsi="Century Gothic" w:cs="Century Gothic"/>
          <w:color w:val="000000"/>
        </w:rPr>
        <w:t>. La Nación, los departamentos, los distritos y los municipios, en sus respectivos perímetros, podrán en forma individual o combinada o a través de sus entidades descentralizadas del sector de transporte, otorgar concesiones a particulares para la construcción, rehabilitación y conservación de proyectos de infraestructura vial.</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Para la recuperación de la inversión, la Nación, los departamentos, los distritos y los municipios podrán establecer peajes y/o valorización. El procedimiento para causar y distribuir la valorización, y la fijación de peajes se regula por las normas sobre la materia. La fórmula para la recuperación de la inversión quedará establecida en el contrato y será de obligatorio cumplimiento para las partes.</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color w:val="000000"/>
        </w:rPr>
        <w:t>La variación de estas reglas sin el consentimiento del concesionario, implicará responsabilidad civil para la entidad quien a su vez, podrá repetir contra el funcionario responsable.</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En los contratos que por concesión celebre el Instituto Nacional de Vías, se podrán incluir los accesos viales que hacen parte de la infraestructura distrital o municipal de transporte.</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b/>
          <w:color w:val="000000"/>
        </w:rPr>
        <w:t>PARÁGRAFO 1o.</w:t>
      </w:r>
      <w:r>
        <w:rPr>
          <w:rFonts w:ascii="Century Gothic" w:eastAsia="Century Gothic" w:hAnsi="Century Gothic" w:cs="Century Gothic"/>
          <w:color w:val="000000"/>
        </w:rPr>
        <w:t xml:space="preserve"> Los municipios, los departamentos, los distritos y la Nación podrán aportar partidas presupuestales para proyectos de infraestructura en los cuales de acuerdo con los estudios, los concesionarios no puedan recuperar su inversión en el tiempo esperado.</w:t>
      </w:r>
    </w:p>
    <w:p w:rsidR="00D15A6A" w:rsidRDefault="00D15A6A">
      <w:pPr>
        <w:pBdr>
          <w:top w:val="nil"/>
          <w:left w:val="nil"/>
          <w:bottom w:val="nil"/>
          <w:right w:val="nil"/>
          <w:between w:val="nil"/>
        </w:pBdr>
        <w:ind w:left="288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720"/>
        <w:jc w:val="both"/>
        <w:rPr>
          <w:rFonts w:ascii="Century Gothic" w:eastAsia="Century Gothic" w:hAnsi="Century Gothic" w:cs="Century Gothic"/>
        </w:rPr>
      </w:pPr>
      <w:r>
        <w:rPr>
          <w:rFonts w:ascii="Century Gothic" w:eastAsia="Century Gothic" w:hAnsi="Century Gothic" w:cs="Century Gothic"/>
          <w:b/>
          <w:color w:val="000000"/>
        </w:rPr>
        <w:t>PARÁGRAFO 2o.</w:t>
      </w:r>
      <w:r>
        <w:rPr>
          <w:rFonts w:ascii="Century Gothic" w:eastAsia="Century Gothic" w:hAnsi="Century Gothic" w:cs="Century Gothic"/>
          <w:color w:val="000000"/>
        </w:rPr>
        <w:t xml:space="preserve"> Los contratos a que se refiere el inciso 2o. del artículo 81 de la Ley 80 de 1993, que a partir de la promulgación de esa Ley se celebren, se sujetarán en su formación a lo dispuesto en la misma. Sin embargo, estos no estarán sujetos a lo previsto en el numeral 4 del artículo 44 y el inciso 2o. del artículo 45 de la citada ley. En el Pliego de Condiciones se señalarán los criterios de adjudicación.</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b/>
          <w:color w:val="000000"/>
        </w:rPr>
        <w:t xml:space="preserve">LEY 1508 DE 2012 </w:t>
      </w:r>
      <w:r>
        <w:rPr>
          <w:rFonts w:ascii="Century Gothic" w:eastAsia="Century Gothic" w:hAnsi="Century Gothic" w:cs="Century Gothic"/>
          <w:color w:val="000000"/>
        </w:rPr>
        <w:t xml:space="preserve">“Por la cual se establece el régimen jurídico de las Asociaciones Público Privadas”, en su artículo; </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pBdr>
          <w:top w:val="nil"/>
          <w:left w:val="nil"/>
          <w:bottom w:val="nil"/>
          <w:right w:val="nil"/>
          <w:between w:val="nil"/>
        </w:pBdr>
        <w:ind w:left="720"/>
        <w:jc w:val="both"/>
        <w:rPr>
          <w:rFonts w:ascii="Century Gothic" w:eastAsia="Century Gothic" w:hAnsi="Century Gothic" w:cs="Century Gothic"/>
        </w:rPr>
      </w:pPr>
      <w:r>
        <w:rPr>
          <w:rFonts w:ascii="Century Gothic" w:eastAsia="Century Gothic" w:hAnsi="Century Gothic" w:cs="Century Gothic"/>
          <w:b/>
          <w:color w:val="000000"/>
        </w:rPr>
        <w:t>ARTÍCULO 2</w:t>
      </w:r>
      <w:r>
        <w:rPr>
          <w:rFonts w:ascii="Century Gothic" w:eastAsia="Century Gothic" w:hAnsi="Century Gothic" w:cs="Century Gothic"/>
          <w:color w:val="000000"/>
        </w:rPr>
        <w:t>. Concesiones. Las concesiones de que trata el numeral 4 del artículo 32 de la Ley 80 de 1993, se encuentran comprendidas dentro de los esquemas de Asociación Público Privadas. Las concesiones vigentes al momento de la promulgación de la presente ley se seguirán rigiendo por las normas vigentes al momento de su celebración.</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b/>
          <w:color w:val="000000"/>
        </w:rPr>
        <w:t>Ley 1682 de 2013</w:t>
      </w:r>
      <w:r>
        <w:rPr>
          <w:rFonts w:ascii="Century Gothic" w:eastAsia="Century Gothic" w:hAnsi="Century Gothic" w:cs="Century Gothic"/>
          <w:color w:val="000000"/>
        </w:rPr>
        <w:t xml:space="preserve"> Por la cual se adoptan medidas y disposiciones para los proyectos de infraestructura de transporte</w:t>
      </w:r>
      <w:r>
        <w:rPr>
          <w:rFonts w:ascii="Century Gothic" w:eastAsia="Century Gothic" w:hAnsi="Century Gothic" w:cs="Century Gothic"/>
        </w:rPr>
        <w:t>.</w:t>
      </w:r>
    </w:p>
    <w:p w:rsidR="00D15A6A" w:rsidRDefault="00D15A6A">
      <w:pPr>
        <w:pBdr>
          <w:top w:val="nil"/>
          <w:left w:val="nil"/>
          <w:bottom w:val="nil"/>
          <w:right w:val="nil"/>
          <w:between w:val="nil"/>
        </w:pBdr>
        <w:ind w:left="720"/>
        <w:jc w:val="both"/>
        <w:rPr>
          <w:rFonts w:ascii="Century Gothic" w:eastAsia="Century Gothic" w:hAnsi="Century Gothic" w:cs="Century Gothic"/>
          <w:b/>
        </w:rPr>
      </w:pPr>
    </w:p>
    <w:p w:rsidR="00D15A6A" w:rsidRDefault="00D9732F">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b/>
          <w:color w:val="000000"/>
        </w:rPr>
        <w:t>DECRETO 2171 DE 1992</w:t>
      </w:r>
      <w:r>
        <w:rPr>
          <w:rFonts w:ascii="Century Gothic" w:eastAsia="Century Gothic" w:hAnsi="Century Gothic" w:cs="Century Gothic"/>
          <w:color w:val="000000"/>
        </w:rPr>
        <w:t xml:space="preserve"> “Por el cual se reestructura el Ministerio de Obras Públicas y Transporte como Ministerio de Transporte y se suprimen, fusionan y reestructuran entidades de la rama ejecutiva del orden nacional.”</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b/>
          <w:color w:val="000000"/>
        </w:rPr>
        <w:t>DECRETO 4165 DE 2011</w:t>
      </w:r>
      <w:r>
        <w:rPr>
          <w:rFonts w:ascii="Century Gothic" w:eastAsia="Century Gothic" w:hAnsi="Century Gothic" w:cs="Century Gothic"/>
          <w:color w:val="000000"/>
        </w:rPr>
        <w:t xml:space="preserve"> Cambiase la naturaleza jurídica del Instituto Nacional de Concesiones (INCO) de establecimiento público a Agencia Nacional Estatal de Naturaleza Especial, del sector descentralizado de la Rama Ejecutiva del Orden </w:t>
      </w:r>
      <w:r>
        <w:rPr>
          <w:rFonts w:ascii="Century Gothic" w:eastAsia="Century Gothic" w:hAnsi="Century Gothic" w:cs="Century Gothic"/>
          <w:color w:val="000000"/>
        </w:rPr>
        <w:lastRenderedPageBreak/>
        <w:t>Nacional, con personería jurídica, patrimonio propio y autonomía administrativa, financiera y técnica, que se denominará Agencia Nacional de Infraestructura, adscrita al Ministerio de Transporte.</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b/>
          <w:color w:val="000000"/>
        </w:rPr>
        <w:t>DECRETO 087 DE 2011</w:t>
      </w:r>
      <w:r>
        <w:rPr>
          <w:rFonts w:ascii="Century Gothic" w:eastAsia="Century Gothic" w:hAnsi="Century Gothic" w:cs="Century Gothic"/>
          <w:color w:val="000000"/>
        </w:rPr>
        <w:t xml:space="preserve"> “Por el cual se modifica la estructura del Ministerio de Transporte, y se determinan las funciones de sus dependencias” establece: </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b/>
          <w:color w:val="000000"/>
        </w:rPr>
        <w:t>Artículo 6</w:t>
      </w:r>
      <w:r>
        <w:rPr>
          <w:rFonts w:ascii="Century Gothic" w:eastAsia="Century Gothic" w:hAnsi="Century Gothic" w:cs="Century Gothic"/>
          <w:color w:val="000000"/>
        </w:rPr>
        <w:t>. Funciones del Despacho del ministro de Transporte. Son funciones del Despacho del ministro de Transporte, además de las señaladas por la Constitución Política y la ley, las siguientes:</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b/>
          <w:color w:val="000000"/>
        </w:rPr>
        <w:t>6.14.</w:t>
      </w:r>
      <w:r>
        <w:rPr>
          <w:rFonts w:ascii="Century Gothic" w:eastAsia="Century Gothic" w:hAnsi="Century Gothic" w:cs="Century Gothic"/>
          <w:color w:val="000000"/>
        </w:rPr>
        <w:t xml:space="preserve"> Emitir, en su calidad de suprema autoridad del Sector Transporte y del Sistema Nacional de Transporte, concepto vinculante previo al establecimiento de los peajes que deban cobrarse por el uso de las vías a cargo de la Nación, los departamentos, distritos y municipios.</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b/>
          <w:color w:val="000000"/>
        </w:rPr>
        <w:t>6.15.</w:t>
      </w:r>
      <w:r>
        <w:rPr>
          <w:rFonts w:ascii="Century Gothic" w:eastAsia="Century Gothic" w:hAnsi="Century Gothic" w:cs="Century Gothic"/>
          <w:color w:val="000000"/>
        </w:rPr>
        <w:t xml:space="preserve"> Establecer los peajes, tarifas, tasas y derechos a cobrar por el uso de la infraestructura de los modos de transporte, excepto el aéreo (…)”.</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b/>
          <w:color w:val="000000"/>
        </w:rPr>
        <w:t>DECRETO NACIONAL 105 DE 1993</w:t>
      </w:r>
      <w:r>
        <w:rPr>
          <w:rFonts w:ascii="Century Gothic" w:eastAsia="Century Gothic" w:hAnsi="Century Gothic" w:cs="Century Gothic"/>
          <w:color w:val="000000"/>
        </w:rPr>
        <w:t xml:space="preserve"> Por la cual se dictan disposiciones básicas sobre el transporte, se redistribuyen competencias y recursos entre la Nación y las Entidades Territoriales, se reglamenta la planeación en el sector transporte y se dictan otras disposiciones. El presente proyecto crea la integración del sector y del sistema nacional de transporte, principios rectores del transporte, principios del transporte público, establece la regulación del transporte y el tránsito, señala las sanciones, define perímetros del transporte y tránsito por carretera en el territorio colombiano, define la infraestructura del transporte, especificaciones de la red nacional de carreteras, determina las funciones y responsabilidades sobre la infraestructura de transporte, tramite para obras por concesión, entre otras.</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b/>
          <w:color w:val="000000"/>
        </w:rPr>
        <w:t>DECRETO NACIONAL 2263 DE 1995</w:t>
      </w:r>
      <w:r>
        <w:rPr>
          <w:rFonts w:ascii="Century Gothic" w:eastAsia="Century Gothic" w:hAnsi="Century Gothic" w:cs="Century Gothic"/>
          <w:color w:val="000000"/>
        </w:rPr>
        <w:t>. "Por el cual se reglamenta la Ley 105 de 1993 y se modifica el Decreto 105 de 1995". El presente proyecto busca que el incremento porcentual previsto para los costos del transporte urbano y/o metropolitano, incluyendo el del costo de recuperación de capital, para cada año calendario no puede ser, en ningún caso, superior a la meta de inflación definida y difundida por la Junta Directiva del Banco de la República.</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b/>
          <w:color w:val="000000"/>
        </w:rPr>
        <w:t>DECRETO NACIONAL 1916 DE 1994</w:t>
      </w:r>
      <w:r>
        <w:rPr>
          <w:rFonts w:ascii="Century Gothic" w:eastAsia="Century Gothic" w:hAnsi="Century Gothic" w:cs="Century Gothic"/>
          <w:color w:val="000000"/>
        </w:rPr>
        <w:t xml:space="preserve"> “por el cual se reglamenta parcialmente la Ley 105 de 1993. El presente proyecto tiene como objeto reglamentar el inciso 2 del artículo 6 de la Ley 105 de 1993 en el entendido que son los alcaldes metropolitanos, distritales y municipales, las autoridades competentes y quienes adoptarán la decisión correspondiente Para la determinación de las necesidades de acuerdo con los estudios técnicos del caso.</w:t>
      </w:r>
    </w:p>
    <w:p w:rsidR="00D15A6A" w:rsidRDefault="00D15A6A">
      <w:pPr>
        <w:pBdr>
          <w:top w:val="nil"/>
          <w:left w:val="nil"/>
          <w:bottom w:val="nil"/>
          <w:right w:val="nil"/>
          <w:between w:val="nil"/>
        </w:pBdr>
        <w:ind w:left="720"/>
        <w:jc w:val="both"/>
        <w:rPr>
          <w:rFonts w:ascii="Century Gothic" w:eastAsia="Century Gothic" w:hAnsi="Century Gothic" w:cs="Century Gothic"/>
          <w:b/>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b/>
          <w:color w:val="000000"/>
        </w:rPr>
        <w:t>D</w:t>
      </w:r>
      <w:r>
        <w:rPr>
          <w:rFonts w:ascii="Century Gothic" w:eastAsia="Century Gothic" w:hAnsi="Century Gothic" w:cs="Century Gothic"/>
          <w:b/>
        </w:rPr>
        <w:t>ECRETO</w:t>
      </w:r>
      <w:r>
        <w:rPr>
          <w:rFonts w:ascii="Century Gothic" w:eastAsia="Century Gothic" w:hAnsi="Century Gothic" w:cs="Century Gothic"/>
          <w:b/>
          <w:color w:val="000000"/>
        </w:rPr>
        <w:t xml:space="preserve"> 4165 de 2011</w:t>
      </w:r>
      <w:r>
        <w:rPr>
          <w:rFonts w:ascii="Century Gothic" w:eastAsia="Century Gothic" w:hAnsi="Century Gothic" w:cs="Century Gothic"/>
          <w:color w:val="000000"/>
        </w:rPr>
        <w:t xml:space="preserve"> Por el cual se cambia la naturaleza jurídica, cambia de denominación y se fijan otras disposiciones del Instituto Nacional de Concesiones (INCO). Con el fin de lograr mayor eficiencia y eficacia en la administración de la infraestructura del país, así como fortalecer la vinculación de capital privado a los proyectos asociados con la infraestructura del sector transporte y el desarrollo de las asociaciones público privadas, y hacer coherente la organización y funcionamiento de la administración de los proyectos de infraestructura es necesario cambiar la naturaleza jurídica del Instituto Nacional de Concesiones (INCO) para adaptarla a las condiciones del mercado y otorgarle la estructura acorde con las actuales necesidades y potencialidades del país. Que en el literal e) del artículo 18 de la Ley 1444 de 2011 se confieren facultades extraordinarias al Presidente de la República para cambiar la naturaleza jurídica de los establecimientos públicos y otras entidades u organismos de la rama ejecutiva del orden nacional, facultad que se ejerce parcialmente para el Instituto Nacional de Concesiones.</w:t>
      </w:r>
    </w:p>
    <w:p w:rsidR="00D15A6A" w:rsidRDefault="00D15A6A">
      <w:pPr>
        <w:pBdr>
          <w:top w:val="nil"/>
          <w:left w:val="nil"/>
          <w:bottom w:val="nil"/>
          <w:right w:val="nil"/>
          <w:between w:val="nil"/>
        </w:pBdr>
        <w:spacing w:line="240" w:lineRule="auto"/>
        <w:ind w:left="720"/>
        <w:rPr>
          <w:rFonts w:ascii="Century Gothic" w:eastAsia="Century Gothic" w:hAnsi="Century Gothic" w:cs="Century Gothic"/>
          <w:b/>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Este marco normativo, muestra claramente, que es el Ministerio de Transporte la entidad competente para establecer los peajes, tarifas, tasas y derechos a cobrar por el uso de infraestructura, teniendo en cuenta los estudios de la ANI y lo propio de aquellos que están a cargo del INVIAS.</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Además, es importante resaltar, lo establecido por la Corte Constitucional, al afirmar que el Congreso de la República tiene la facultad de establecer contribuciones fiscales, según lo estipulado en los artículos 150.12 y 338 de la Constitución Política. </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Lo cual implica que el Congreso debe definir claramente los sujetos activos y pasivos, el hecho generador, la base gravable y la tarifa de los impuestos para asegurar que las obligaciones impositivas se ajusten a la normativa superior y posean legitimidad democrática.</w:t>
      </w:r>
    </w:p>
    <w:p w:rsidR="003F4D32" w:rsidRDefault="003F4D32">
      <w:pPr>
        <w:pBdr>
          <w:top w:val="nil"/>
          <w:left w:val="nil"/>
          <w:bottom w:val="nil"/>
          <w:right w:val="nil"/>
          <w:between w:val="nil"/>
        </w:pBdr>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b/>
        </w:rPr>
        <w:t>C) Marco Jurisprudencial.</w:t>
      </w:r>
    </w:p>
    <w:p w:rsidR="00D15A6A" w:rsidRDefault="00D9732F">
      <w:pPr>
        <w:spacing w:before="240" w:after="240" w:line="240" w:lineRule="auto"/>
        <w:jc w:val="both"/>
        <w:rPr>
          <w:rFonts w:ascii="Century Gothic" w:eastAsia="Century Gothic" w:hAnsi="Century Gothic" w:cs="Century Gothic"/>
        </w:rPr>
      </w:pPr>
      <w:r>
        <w:rPr>
          <w:rFonts w:ascii="Century Gothic" w:eastAsia="Century Gothic" w:hAnsi="Century Gothic" w:cs="Century Gothic"/>
        </w:rPr>
        <w:t>La sentencia C -057 de 2021, estableció lo siguiente:</w:t>
      </w:r>
    </w:p>
    <w:p w:rsidR="00D15A6A" w:rsidRDefault="00D9732F">
      <w:pPr>
        <w:spacing w:before="240" w:after="240" w:line="240" w:lineRule="auto"/>
        <w:ind w:left="720" w:firstLine="720"/>
        <w:jc w:val="both"/>
        <w:rPr>
          <w:rFonts w:ascii="Century Gothic" w:eastAsia="Century Gothic" w:hAnsi="Century Gothic" w:cs="Century Gothic"/>
          <w:i/>
          <w:highlight w:val="white"/>
          <w:vertAlign w:val="superscript"/>
        </w:rPr>
      </w:pPr>
      <w:r>
        <w:rPr>
          <w:rFonts w:ascii="Century Gothic" w:eastAsia="Century Gothic" w:hAnsi="Century Gothic" w:cs="Century Gothic"/>
          <w:i/>
          <w:highlight w:val="white"/>
        </w:rPr>
        <w:t>El principio de equidad es de naturaleza estructural, esto es, se predica del sistema tributario y no de un tributo en particular, de tal manera que el sistema tributario debe ser equitativo en su integridad. Así lo reconoció la Corte en la sentencia C-606 de 2019, y lo ha venido sosteniendo de forma pacífica desde mediados de los años noventa. La sistematicidad también se predica en relación con la tarifa del tributo. En esa línea, la Corte ha dicho que el principio de equidad no se predica de los contribuyentes individualmente considerados, se insiste, sino del sistema impositivo en su conjunto, lo que supone que, al verificar la posible infracción al principio de equidad por cuenta de un tributo o la configuración particular de alguno de sus elementos, es necesario tener en cuenta los beneficios tributarios que el ordenamiento jurídico reconoce a los contribuyentes frente a los que se alega el quebrantamiento del principio de equidad en materia tributaria.</w:t>
      </w:r>
    </w:p>
    <w:p w:rsidR="00D15A6A" w:rsidRDefault="00D15A6A">
      <w:pPr>
        <w:pBdr>
          <w:top w:val="nil"/>
          <w:left w:val="nil"/>
          <w:bottom w:val="nil"/>
          <w:right w:val="nil"/>
          <w:between w:val="nil"/>
        </w:pBdr>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La jurisprudencia de la Corte Constitucional, ha destacado que estas facultades del Congreso están en consonancia con la reserva legal en materia tributaria y el principio de "no taxation without representation" (no hay tributación sin representación), que garantiza la legitimidad democrática en la creación de tributos.</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 la </w:t>
      </w:r>
      <w:r>
        <w:rPr>
          <w:rFonts w:ascii="Century Gothic" w:eastAsia="Century Gothic" w:hAnsi="Century Gothic" w:cs="Century Gothic"/>
          <w:b/>
          <w:color w:val="000000"/>
        </w:rPr>
        <w:t>sentencia C-278 de 2019,</w:t>
      </w:r>
      <w:r>
        <w:rPr>
          <w:rFonts w:ascii="Century Gothic" w:eastAsia="Century Gothic" w:hAnsi="Century Gothic" w:cs="Century Gothic"/>
          <w:color w:val="000000"/>
        </w:rPr>
        <w:t xml:space="preserve"> el tribunal reiteró el principio de legalidad tributaria, destacando cuatro premisas fundamentales:</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Pr="0012445B" w:rsidRDefault="00D9732F" w:rsidP="0012445B">
      <w:pPr>
        <w:pStyle w:val="Prrafodelista"/>
        <w:numPr>
          <w:ilvl w:val="8"/>
          <w:numId w:val="6"/>
        </w:numPr>
        <w:pBdr>
          <w:top w:val="nil"/>
          <w:left w:val="nil"/>
          <w:bottom w:val="nil"/>
          <w:right w:val="nil"/>
          <w:between w:val="nil"/>
        </w:pBdr>
        <w:ind w:left="2127" w:right="4" w:hanging="284"/>
        <w:jc w:val="both"/>
        <w:rPr>
          <w:rFonts w:ascii="Century Gothic" w:eastAsia="Century Gothic" w:hAnsi="Century Gothic" w:cs="Century Gothic"/>
          <w:color w:val="000000"/>
        </w:rPr>
      </w:pPr>
      <w:r w:rsidRPr="0012445B">
        <w:rPr>
          <w:rFonts w:ascii="Century Gothic" w:eastAsia="Century Gothic" w:hAnsi="Century Gothic" w:cs="Century Gothic"/>
          <w:color w:val="000000"/>
        </w:rPr>
        <w:t>La necesidad de una deliberación democrática suficiente y plural.</w:t>
      </w:r>
    </w:p>
    <w:p w:rsidR="00D15A6A" w:rsidRPr="0012445B" w:rsidRDefault="00D9732F" w:rsidP="0012445B">
      <w:pPr>
        <w:pStyle w:val="Prrafodelista"/>
        <w:numPr>
          <w:ilvl w:val="8"/>
          <w:numId w:val="6"/>
        </w:numPr>
        <w:pBdr>
          <w:top w:val="nil"/>
          <w:left w:val="nil"/>
          <w:bottom w:val="nil"/>
          <w:right w:val="nil"/>
          <w:between w:val="nil"/>
        </w:pBdr>
        <w:ind w:left="2127" w:right="4" w:hanging="284"/>
        <w:jc w:val="both"/>
        <w:rPr>
          <w:rFonts w:ascii="Century Gothic" w:eastAsia="Century Gothic" w:hAnsi="Century Gothic" w:cs="Century Gothic"/>
          <w:color w:val="000000"/>
        </w:rPr>
      </w:pPr>
      <w:r w:rsidRPr="0012445B">
        <w:rPr>
          <w:rFonts w:ascii="Century Gothic" w:eastAsia="Century Gothic" w:hAnsi="Century Gothic" w:cs="Century Gothic"/>
          <w:color w:val="000000"/>
        </w:rPr>
        <w:t>La obligación de definir previamente y con certeza los elementos de la obligación fiscal.</w:t>
      </w:r>
    </w:p>
    <w:p w:rsidR="00D15A6A" w:rsidRPr="0012445B" w:rsidRDefault="00D9732F" w:rsidP="0012445B">
      <w:pPr>
        <w:pStyle w:val="Prrafodelista"/>
        <w:numPr>
          <w:ilvl w:val="8"/>
          <w:numId w:val="6"/>
        </w:numPr>
        <w:pBdr>
          <w:top w:val="nil"/>
          <w:left w:val="nil"/>
          <w:bottom w:val="nil"/>
          <w:right w:val="nil"/>
          <w:between w:val="nil"/>
        </w:pBdr>
        <w:ind w:left="2127" w:right="4" w:hanging="284"/>
        <w:jc w:val="both"/>
        <w:rPr>
          <w:rFonts w:ascii="Century Gothic" w:eastAsia="Century Gothic" w:hAnsi="Century Gothic" w:cs="Century Gothic"/>
          <w:color w:val="000000"/>
        </w:rPr>
      </w:pPr>
      <w:r w:rsidRPr="0012445B">
        <w:rPr>
          <w:rFonts w:ascii="Century Gothic" w:eastAsia="Century Gothic" w:hAnsi="Century Gothic" w:cs="Century Gothic"/>
          <w:color w:val="000000"/>
        </w:rPr>
        <w:t>La importancia de este principio para la seguridad jurídica y la</w:t>
      </w:r>
      <w:r w:rsidRPr="0012445B">
        <w:rPr>
          <w:rFonts w:ascii="Century Gothic" w:eastAsia="Century Gothic" w:hAnsi="Century Gothic" w:cs="Century Gothic"/>
        </w:rPr>
        <w:t xml:space="preserve"> </w:t>
      </w:r>
      <w:r w:rsidRPr="0012445B">
        <w:rPr>
          <w:rFonts w:ascii="Century Gothic" w:eastAsia="Century Gothic" w:hAnsi="Century Gothic" w:cs="Century Gothic"/>
          <w:color w:val="000000"/>
        </w:rPr>
        <w:t>previsibilidad de las decisiones judiciales y administrativas.</w:t>
      </w:r>
    </w:p>
    <w:p w:rsidR="00D15A6A" w:rsidRPr="0012445B" w:rsidRDefault="00D9732F" w:rsidP="0012445B">
      <w:pPr>
        <w:pStyle w:val="Prrafodelista"/>
        <w:numPr>
          <w:ilvl w:val="8"/>
          <w:numId w:val="6"/>
        </w:numPr>
        <w:pBdr>
          <w:top w:val="nil"/>
          <w:left w:val="nil"/>
          <w:bottom w:val="nil"/>
          <w:right w:val="nil"/>
          <w:between w:val="nil"/>
        </w:pBdr>
        <w:ind w:left="2127" w:right="4" w:hanging="284"/>
        <w:jc w:val="both"/>
        <w:rPr>
          <w:rFonts w:ascii="Century Gothic" w:eastAsia="Century Gothic" w:hAnsi="Century Gothic" w:cs="Century Gothic"/>
          <w:b/>
          <w:color w:val="000000"/>
        </w:rPr>
      </w:pPr>
      <w:r w:rsidRPr="0012445B">
        <w:rPr>
          <w:rFonts w:ascii="Century Gothic" w:eastAsia="Century Gothic" w:hAnsi="Century Gothic" w:cs="Century Gothic"/>
          <w:color w:val="000000"/>
        </w:rPr>
        <w:t>La variación en el nivel de determinación exigido al Legislador dependiendo de si el tributo es de orden nacional o territorial.</w:t>
      </w:r>
    </w:p>
    <w:p w:rsidR="00D15A6A" w:rsidRDefault="00D15A6A">
      <w:pPr>
        <w:pBdr>
          <w:top w:val="nil"/>
          <w:left w:val="nil"/>
          <w:bottom w:val="nil"/>
          <w:right w:val="nil"/>
          <w:between w:val="nil"/>
        </w:pBdr>
        <w:ind w:left="1440"/>
        <w:jc w:val="both"/>
        <w:rPr>
          <w:rFonts w:ascii="Century Gothic" w:eastAsia="Century Gothic" w:hAnsi="Century Gothic" w:cs="Century Gothic"/>
          <w:b/>
          <w:color w:val="000000"/>
        </w:rPr>
      </w:pPr>
    </w:p>
    <w:p w:rsidR="0012445B" w:rsidRDefault="00D9732F" w:rsidP="003F4D32">
      <w:p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El tribunal también señaló que la configuración legal de una obligación tributaria debe alinearse con los fines constitucionales específicos de cada tipo de tributo</w:t>
      </w:r>
      <w:r>
        <w:rPr>
          <w:rFonts w:ascii="Century Gothic" w:eastAsia="Century Gothic" w:hAnsi="Century Gothic" w:cs="Century Gothic"/>
          <w:b/>
          <w:color w:val="000000"/>
        </w:rPr>
        <w:t>.</w:t>
      </w: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Por lo tanto, el Legislador debe garantizar que la regulación de estos tributos cumpla con los objetivos constitucionales, ejerciendo así su amplia potestad de configuración en materia tributaria.</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Si bien, los proyectos acá condensados </w:t>
      </w:r>
      <w:r>
        <w:rPr>
          <w:rFonts w:ascii="Century Gothic" w:eastAsia="Century Gothic" w:hAnsi="Century Gothic" w:cs="Century Gothic"/>
        </w:rPr>
        <w:t>no pretenden</w:t>
      </w:r>
      <w:r>
        <w:rPr>
          <w:rFonts w:ascii="Century Gothic" w:eastAsia="Century Gothic" w:hAnsi="Century Gothic" w:cs="Century Gothic"/>
          <w:color w:val="000000"/>
        </w:rPr>
        <w:t xml:space="preserve"> crear ni regular un nuevo tributo, lo que se busca es aclarar los parámetros que el Ministerio del Transporte o quien haga sus veces debe seguir, al establecer las tasas y las tarifas a cobrar por concepto de pago de los peajes. Por ende, está el Congreso en plena capacidad de reasumir una tarea que la misma Constitución le ha otorgado, velando por el cumplimiento del fin constitucional para el cual se concibió el cobro del tributo.</w:t>
      </w:r>
    </w:p>
    <w:p w:rsidR="00D15A6A" w:rsidRDefault="0012445B">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b/>
          <w:color w:val="000000"/>
        </w:rPr>
        <w:t>CONVENIENCIA DEL PROYECTO DE LEY.</w:t>
      </w:r>
    </w:p>
    <w:p w:rsidR="00D15A6A" w:rsidRDefault="00D15A6A">
      <w:pPr>
        <w:pBdr>
          <w:top w:val="nil"/>
          <w:left w:val="nil"/>
          <w:bottom w:val="nil"/>
          <w:right w:val="nil"/>
          <w:between w:val="nil"/>
        </w:pBdr>
        <w:ind w:left="720"/>
        <w:jc w:val="both"/>
        <w:rPr>
          <w:rFonts w:ascii="Century Gothic" w:eastAsia="Century Gothic" w:hAnsi="Century Gothic" w:cs="Century Gothic"/>
          <w:b/>
          <w:color w:val="000000"/>
        </w:rPr>
      </w:pPr>
    </w:p>
    <w:p w:rsidR="00D15A6A" w:rsidRDefault="0012445B">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La presente iniciativa surge como resultado de los</w:t>
      </w:r>
      <w:r w:rsidR="00D9732F">
        <w:rPr>
          <w:rFonts w:ascii="Century Gothic" w:eastAsia="Century Gothic" w:hAnsi="Century Gothic" w:cs="Century Gothic"/>
          <w:color w:val="000000"/>
        </w:rPr>
        <w:t xml:space="preserve"> incrementos desproporcionados de las tarifas de los peajes, que posicionan a nuestro país entre los que más altos cobros realiza por este concepto, generando una gran inconformidad entre los usuarios de la infraestructura vial.</w:t>
      </w:r>
      <w:r w:rsidR="003F4D32">
        <w:rPr>
          <w:rFonts w:ascii="Century Gothic" w:eastAsia="Century Gothic" w:hAnsi="Century Gothic" w:cs="Century Gothic"/>
          <w:color w:val="000000"/>
        </w:rPr>
        <w:t xml:space="preserve"> </w:t>
      </w:r>
      <w:r w:rsidR="00D9732F">
        <w:rPr>
          <w:rFonts w:ascii="Century Gothic" w:eastAsia="Century Gothic" w:hAnsi="Century Gothic" w:cs="Century Gothic"/>
          <w:color w:val="000000"/>
        </w:rPr>
        <w:t>Los usuarios no perciben una correlación entre el alto monto de las tarifas y el adecuado estado de las vías. Por el contrario, como se detallará más adelante, la infraestructura vial en su mayoría no se encuentra en condiciones óptimas.</w:t>
      </w: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Estos altos costos</w:t>
      </w:r>
      <w:r w:rsidR="003F4D32">
        <w:rPr>
          <w:rFonts w:ascii="Century Gothic" w:eastAsia="Century Gothic" w:hAnsi="Century Gothic" w:cs="Century Gothic"/>
          <w:color w:val="000000"/>
        </w:rPr>
        <w:t xml:space="preserve"> </w:t>
      </w:r>
      <w:r>
        <w:rPr>
          <w:rFonts w:ascii="Century Gothic" w:eastAsia="Century Gothic" w:hAnsi="Century Gothic" w:cs="Century Gothic"/>
          <w:color w:val="000000"/>
        </w:rPr>
        <w:t xml:space="preserve">, generan que se afecten sectores económicos que tienen relación directa con el uso de la infraestructura de transporte vial y por ende de los peajes, como son el sector del turismo y el sector del pequeño productor agropecuaria, argumentos que se esbozaran </w:t>
      </w:r>
      <w:r>
        <w:rPr>
          <w:rFonts w:ascii="Century Gothic" w:eastAsia="Century Gothic" w:hAnsi="Century Gothic" w:cs="Century Gothic"/>
        </w:rPr>
        <w:t>más</w:t>
      </w:r>
      <w:r>
        <w:rPr>
          <w:rFonts w:ascii="Century Gothic" w:eastAsia="Century Gothic" w:hAnsi="Century Gothic" w:cs="Century Gothic"/>
          <w:color w:val="000000"/>
        </w:rPr>
        <w:t xml:space="preserve"> adelante. </w:t>
      </w: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Además, no entregan comprobantes de pago con la información clara y precisa que se requiere y que debería estar a disposición del usuario para acreditar su pago.</w:t>
      </w: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Estos altos costos, se ven reflejados en el alto recaudos que por este concepto se han percibido, El Ministerio de Transporte reveló que durante el año 2021 en las vías de Colombia se logró la recaudación de $4,07 billones en los 187 peajes del país. </w:t>
      </w: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Según la cartera, los puntos concesionados por la Agencia Nacional de Infraestructura (ANI) lograron un recaudo en 2021 de $3,26 billones; hay otro tipo de peajes en las carreteras que están a cargo de la nación, y que bajo la administración del Invias lograron el recaudo de $819.400 millones a lo largo del 2020.</w:t>
      </w: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Por otra parte, las cifras indican que desde 2014 hasta 2020, la ANI recaudó en peajes más de $18 billones ($18.465.056’990.155) y que el Invías recaudó, desde 1994, más de $8 billones ($8.346.436’969.927). Es decir, a través de peajes, se han recaudado más de $26 billones en Colombia, una cifra a la que le faltan muchos ceros porque no incluyen los peajes administrados por los departamentos”.</w:t>
      </w:r>
    </w:p>
    <w:p w:rsidR="0012445B" w:rsidRDefault="0012445B">
      <w:pPr>
        <w:pBdr>
          <w:top w:val="nil"/>
          <w:left w:val="nil"/>
          <w:bottom w:val="nil"/>
          <w:right w:val="nil"/>
          <w:between w:val="nil"/>
        </w:pBdr>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Las cifras entregadas por el Ministerio de Transporte también arrojaron que</w:t>
      </w:r>
      <w:r>
        <w:rPr>
          <w:rFonts w:ascii="Century Gothic" w:eastAsia="Century Gothic" w:hAnsi="Century Gothic" w:cs="Century Gothic"/>
        </w:rPr>
        <w:t xml:space="preserve"> </w:t>
      </w:r>
      <w:r>
        <w:rPr>
          <w:rFonts w:ascii="Century Gothic" w:eastAsia="Century Gothic" w:hAnsi="Century Gothic" w:cs="Century Gothic"/>
          <w:color w:val="000000"/>
        </w:rPr>
        <w:t xml:space="preserve">la infraestructura concesionada tuvo un aumento de recaudo de 52,75%, pues durante el año de la pandemia los peajes recaudaron $2,14 billones, mientras que en 2021 fueron más de $3 billones. </w:t>
      </w:r>
    </w:p>
    <w:p w:rsidR="00D15A6A" w:rsidRDefault="00D15A6A">
      <w:pPr>
        <w:pBdr>
          <w:top w:val="nil"/>
          <w:left w:val="nil"/>
          <w:bottom w:val="nil"/>
          <w:right w:val="nil"/>
          <w:between w:val="nil"/>
        </w:pBdr>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En cuanto a la infraestructura no concesionada, el crecimiento fue de 21,9%: el Invias logró la obtención de recursos por $672.453 en 2020 y en 2021 hubo un recaudo de $819.400 millones.</w:t>
      </w:r>
    </w:p>
    <w:p w:rsidR="00D15A6A" w:rsidRDefault="00D15A6A">
      <w:pPr>
        <w:pBdr>
          <w:top w:val="nil"/>
          <w:left w:val="nil"/>
          <w:bottom w:val="nil"/>
          <w:right w:val="nil"/>
          <w:between w:val="nil"/>
        </w:pBdr>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A inicios de este año, el Instituto Nacional de Vías (Invías) ajustó en un 13,12%</w:t>
      </w:r>
      <w:r>
        <w:rPr>
          <w:rFonts w:ascii="Century Gothic" w:eastAsia="Century Gothic" w:hAnsi="Century Gothic" w:cs="Century Gothic"/>
        </w:rPr>
        <w:t xml:space="preserve"> </w:t>
      </w:r>
      <w:r>
        <w:rPr>
          <w:rFonts w:ascii="Century Gothic" w:eastAsia="Century Gothic" w:hAnsi="Century Gothic" w:cs="Century Gothic"/>
          <w:color w:val="000000"/>
        </w:rPr>
        <w:t>las tarifas de las 29 estaciones de peaje bajo su administración, tomando como referencia el Índice de Precios al Consumidor (IPC) divulgado por el Departamento Administrativo Nacional de Estadística (Dane) para 2022.</w:t>
      </w:r>
    </w:p>
    <w:p w:rsidR="00D15A6A" w:rsidRDefault="00D15A6A">
      <w:pPr>
        <w:pBdr>
          <w:top w:val="nil"/>
          <w:left w:val="nil"/>
          <w:bottom w:val="nil"/>
          <w:right w:val="nil"/>
          <w:between w:val="nil"/>
        </w:pBdr>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Además, se añadió un 2% para actualizar la tarifa del Fondo de Seguridad Vial (Fosevi). </w:t>
      </w:r>
    </w:p>
    <w:p w:rsidR="00D15A6A" w:rsidRDefault="00D15A6A">
      <w:pPr>
        <w:pBdr>
          <w:top w:val="nil"/>
          <w:left w:val="nil"/>
          <w:bottom w:val="nil"/>
          <w:right w:val="nil"/>
          <w:between w:val="nil"/>
        </w:pBdr>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Este ajuste se oficializó mediante la Resolución 62 del 15 de enero de 2024,</w:t>
      </w:r>
      <w:r>
        <w:rPr>
          <w:rFonts w:ascii="Century Gothic" w:eastAsia="Century Gothic" w:hAnsi="Century Gothic" w:cs="Century Gothic"/>
        </w:rPr>
        <w:t xml:space="preserve"> </w:t>
      </w:r>
      <w:r>
        <w:rPr>
          <w:rFonts w:ascii="Century Gothic" w:eastAsia="Century Gothic" w:hAnsi="Century Gothic" w:cs="Century Gothic"/>
          <w:color w:val="000000"/>
        </w:rPr>
        <w:t>afectando 29 estaciones de peaje en 15 departamentos, con tarifas definidas según la clasificación vehicular.</w:t>
      </w:r>
    </w:p>
    <w:p w:rsidR="00D15A6A" w:rsidRDefault="00D15A6A">
      <w:pPr>
        <w:pBdr>
          <w:top w:val="nil"/>
          <w:left w:val="nil"/>
          <w:bottom w:val="nil"/>
          <w:right w:val="nil"/>
          <w:between w:val="nil"/>
        </w:pBdr>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Con la nueva actualización, el peaje más caro para la categoría uno (automóviles, camperos y camionetas) es el de la estación El Korán en Cundinamarca, con un costo de $16.200. Los peajes de Puerto Triunfo y Cocorná, ambos en Antioquia, le siguen con una tarifa de $15.300.</w:t>
      </w:r>
    </w:p>
    <w:p w:rsidR="00D15A6A" w:rsidRDefault="00D15A6A">
      <w:pPr>
        <w:pBdr>
          <w:top w:val="nil"/>
          <w:left w:val="nil"/>
          <w:bottom w:val="nil"/>
          <w:right w:val="nil"/>
          <w:between w:val="nil"/>
        </w:pBdr>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El peaje de El Korán también resulta ser el más costoso a nivel general, ya que para la categoría siete (camiones de cinco ejes) la tarifa alcanza los $98.600. </w:t>
      </w:r>
    </w:p>
    <w:p w:rsidR="00D15A6A" w:rsidRDefault="00D15A6A">
      <w:pPr>
        <w:pBdr>
          <w:top w:val="nil"/>
          <w:left w:val="nil"/>
          <w:bottom w:val="nil"/>
          <w:right w:val="nil"/>
          <w:between w:val="nil"/>
        </w:pBdr>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Por otro lado, el peaje más económico para la categoría uno es el de San Juan en La Guajira, que no tiene costo. Le siguen el de La Parada en Norte de Santander, con una tarifa de $2.400, y el de San Diego en Cesar, con $5.900.</w:t>
      </w:r>
    </w:p>
    <w:p w:rsidR="00D15A6A" w:rsidRDefault="00D15A6A">
      <w:pPr>
        <w:pBdr>
          <w:top w:val="nil"/>
          <w:left w:val="nil"/>
          <w:bottom w:val="nil"/>
          <w:right w:val="nil"/>
          <w:between w:val="nil"/>
        </w:pBdr>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Las tarifas establecidas en los artículos tercero y cuarto de la mencionada resolución deben incluir, para cada estación de peaje, la diferencia entre el</w:t>
      </w:r>
    </w:p>
    <w:p w:rsidR="00D15A6A" w:rsidRDefault="00D9732F">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color w:val="000000"/>
        </w:rPr>
        <w:t>valor vigente del Fosevi y $500</w:t>
      </w:r>
    </w:p>
    <w:p w:rsidR="00D15A6A" w:rsidRDefault="00D15A6A">
      <w:pPr>
        <w:pBdr>
          <w:top w:val="nil"/>
          <w:left w:val="nil"/>
          <w:bottom w:val="nil"/>
          <w:right w:val="nil"/>
          <w:between w:val="nil"/>
        </w:pBdr>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En cuanto a los peajes gestionados por la Agencia Nacional de Infraestructura (ANI), el Ministerio de Transporte definió las tarifas para 2024 mediante la resolución 20243040001125, aplicables a Invías y la ANI. El incremento del 13,12% en la tarifa está basado en el IPC de 2022. Para las concesiones que incrementaron tarifas antes de la expedición del Decreto 050 de 2023, el aumento será acorde al IPC de 2023, que es del 9,28%.</w:t>
      </w:r>
    </w:p>
    <w:p w:rsidR="00D15A6A" w:rsidRDefault="00D15A6A">
      <w:pPr>
        <w:pBdr>
          <w:top w:val="nil"/>
          <w:left w:val="nil"/>
          <w:bottom w:val="nil"/>
          <w:right w:val="nil"/>
          <w:between w:val="nil"/>
        </w:pBdr>
        <w:ind w:left="720"/>
        <w:jc w:val="both"/>
        <w:rPr>
          <w:rFonts w:ascii="Century Gothic" w:eastAsia="Century Gothic" w:hAnsi="Century Gothic" w:cs="Century Gothic"/>
          <w:color w:val="000000"/>
        </w:rPr>
      </w:pPr>
    </w:p>
    <w:p w:rsidR="00D15A6A" w:rsidRDefault="00D9732F">
      <w:pPr>
        <w:numPr>
          <w:ilvl w:val="1"/>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SOBRE LA CONVENIENCIA PARA EL TURISMO DE LA REGIÓN CARIBE. </w:t>
      </w:r>
    </w:p>
    <w:p w:rsidR="00D15A6A" w:rsidRDefault="00D15A6A">
      <w:pPr>
        <w:pBdr>
          <w:top w:val="nil"/>
          <w:left w:val="nil"/>
          <w:bottom w:val="nil"/>
          <w:right w:val="nil"/>
          <w:between w:val="nil"/>
        </w:pBdr>
        <w:ind w:left="1440"/>
        <w:jc w:val="both"/>
        <w:rPr>
          <w:rFonts w:ascii="Century Gothic" w:eastAsia="Century Gothic" w:hAnsi="Century Gothic" w:cs="Century Gothic"/>
          <w:b/>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Actualmente, la Región Caribe colombiana cuenta con 7 departamentos: Atlántico, Bolívar, Magdalena, La Guajira, Cesar, Córdoba, Sucre y el archipiélago de San Andrés y Providencia, con un total de 197 municipios. Esta región, posee un papel importante en la economía del país, toda vez que, tiene una participación del 15,5% del PIB nacional (DANE 2024), debido a sus diversas cualidades y sectores, entre estos el sector del turismo.</w:t>
      </w:r>
    </w:p>
    <w:p w:rsidR="00D15A6A" w:rsidRDefault="00D15A6A">
      <w:pPr>
        <w:pBdr>
          <w:top w:val="nil"/>
          <w:left w:val="nil"/>
          <w:bottom w:val="nil"/>
          <w:right w:val="nil"/>
          <w:between w:val="nil"/>
        </w:pBdr>
        <w:jc w:val="both"/>
        <w:rPr>
          <w:rFonts w:ascii="Century Gothic" w:eastAsia="Century Gothic" w:hAnsi="Century Gothic" w:cs="Century Gothic"/>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La Región Caribe, posee un patrimonio material e inmaterial, debido a su riqueza cultural y las condiciones naturales constituyen ventajas comparativas y competitivas en la apuesta turística. (Rojano, Contreras, M &amp; Cardona, D. 2022).</w:t>
      </w:r>
    </w:p>
    <w:p w:rsidR="00D15A6A" w:rsidRDefault="00D15A6A">
      <w:pPr>
        <w:pBdr>
          <w:top w:val="nil"/>
          <w:left w:val="nil"/>
          <w:bottom w:val="nil"/>
          <w:right w:val="nil"/>
          <w:between w:val="nil"/>
        </w:pBdr>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El sector turismo, en el 2023 tuvo una participación porcentual de 2,3% en el valor agregado total de la economía colombiana (DANE, 2024). Esto, representa un mínimo aumento del 0,1% con respecto a la participación porcentual del año anterior. Igualmente, denota que la participación del sector turismo en la economía aun no recupera los niveles prepandemia, mostrando la necesidad de estimular este sector para que pueda lograr su reactivación económica.</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Se observa que, en el gasto turístico del año 2023, la población colombiana destina más recursos al transporte por carretera ($2.1 billones de pesos) en comparación con el transporte aéreo ($1.8 billones de pesos). Esta tendencia se ha mantenido desde antes de la pandemia. Esta situación representa una limitante para los colombianos que desean hacer turismo, debido a que el transporte por carretera es una de las categorías en las que los turistas destinan una mayor cantidad de recursos. Como consecuencia, el presupuesto disponible para las actividades turísticas se ve reducido, lo que puede llevar a que desistan de realizar dichas actividades.</w:t>
      </w:r>
    </w:p>
    <w:p w:rsidR="00D15A6A" w:rsidRDefault="00D9732F">
      <w:p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noProof/>
          <w:lang w:val="es-CO"/>
        </w:rPr>
        <w:lastRenderedPageBreak/>
        <w:drawing>
          <wp:anchor distT="0" distB="0" distL="114300" distR="114300" simplePos="0" relativeHeight="251659264" behindDoc="0" locked="0" layoutInCell="1" hidden="0" allowOverlap="1">
            <wp:simplePos x="0" y="0"/>
            <wp:positionH relativeFrom="margin">
              <wp:posOffset>152400</wp:posOffset>
            </wp:positionH>
            <wp:positionV relativeFrom="page">
              <wp:posOffset>6016303</wp:posOffset>
            </wp:positionV>
            <wp:extent cx="5033963" cy="2516981"/>
            <wp:effectExtent l="0" t="0" r="0" b="0"/>
            <wp:wrapSquare wrapText="bothSides" distT="0" distB="0" distL="114300" distR="114300"/>
            <wp:docPr id="2043219774" name="image8.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Gráfico, Gráfico de barras&#10;&#10;Descripción generada automáticamente"/>
                    <pic:cNvPicPr preferRelativeResize="0"/>
                  </pic:nvPicPr>
                  <pic:blipFill>
                    <a:blip r:embed="rId9"/>
                    <a:srcRect/>
                    <a:stretch>
                      <a:fillRect/>
                    </a:stretch>
                  </pic:blipFill>
                  <pic:spPr>
                    <a:xfrm>
                      <a:off x="0" y="0"/>
                      <a:ext cx="5033963" cy="2516981"/>
                    </a:xfrm>
                    <a:prstGeom prst="rect">
                      <a:avLst/>
                    </a:prstGeom>
                    <a:ln/>
                  </pic:spPr>
                </pic:pic>
              </a:graphicData>
            </a:graphic>
          </wp:anchor>
        </w:drawing>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15A6A">
      <w:pPr>
        <w:pBdr>
          <w:top w:val="nil"/>
          <w:left w:val="nil"/>
          <w:bottom w:val="nil"/>
          <w:right w:val="nil"/>
          <w:between w:val="nil"/>
        </w:pBdr>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center"/>
        <w:rPr>
          <w:rFonts w:ascii="Century Gothic" w:eastAsia="Century Gothic" w:hAnsi="Century Gothic" w:cs="Century Gothic"/>
          <w:color w:val="000000"/>
        </w:rPr>
      </w:pPr>
      <w:r>
        <w:rPr>
          <w:rFonts w:ascii="Century Gothic" w:eastAsia="Century Gothic" w:hAnsi="Century Gothic" w:cs="Century Gothic"/>
          <w:noProof/>
          <w:color w:val="000000"/>
          <w:lang w:val="es-CO"/>
        </w:rPr>
        <w:drawing>
          <wp:inline distT="0" distB="0" distL="0" distR="0">
            <wp:extent cx="4733925" cy="1905000"/>
            <wp:effectExtent l="0" t="0" r="0" b="0"/>
            <wp:docPr id="2043219781" name="image7.png" descr="https://lh7-rt.googleusercontent.com/docsz/AD_4nXdU4m81duerH3Rfsicw26eYLU3eq6ti0urzhxTVt5_9wkah880ecifyUJZLefPFGxn-TmKaqefghQsOMEYWh0E83NEsmrjT0ZylJNtRxH3iZ-vynkf-TZh6oFZEL8cqOKBSEFWKdklwgQq_1ioXrA?key=54CB1Q7z-5WQwzuh43kfGg"/>
            <wp:cNvGraphicFramePr/>
            <a:graphic xmlns:a="http://schemas.openxmlformats.org/drawingml/2006/main">
              <a:graphicData uri="http://schemas.openxmlformats.org/drawingml/2006/picture">
                <pic:pic xmlns:pic="http://schemas.openxmlformats.org/drawingml/2006/picture">
                  <pic:nvPicPr>
                    <pic:cNvPr id="0" name="image7.png" descr="https://lh7-rt.googleusercontent.com/docsz/AD_4nXdU4m81duerH3Rfsicw26eYLU3eq6ti0urzhxTVt5_9wkah880ecifyUJZLefPFGxn-TmKaqefghQsOMEYWh0E83NEsmrjT0ZylJNtRxH3iZ-vynkf-TZh6oFZEL8cqOKBSEFWKdklwgQq_1ioXrA?key=54CB1Q7z-5WQwzuh43kfGg"/>
                    <pic:cNvPicPr preferRelativeResize="0"/>
                  </pic:nvPicPr>
                  <pic:blipFill>
                    <a:blip r:embed="rId10"/>
                    <a:srcRect/>
                    <a:stretch>
                      <a:fillRect/>
                    </a:stretch>
                  </pic:blipFill>
                  <pic:spPr>
                    <a:xfrm>
                      <a:off x="0" y="0"/>
                      <a:ext cx="4733925" cy="1905000"/>
                    </a:xfrm>
                    <a:prstGeom prst="rect">
                      <a:avLst/>
                    </a:prstGeom>
                    <a:ln/>
                  </pic:spPr>
                </pic:pic>
              </a:graphicData>
            </a:graphic>
          </wp:inline>
        </w:drawing>
      </w:r>
    </w:p>
    <w:p w:rsidR="00D15A6A" w:rsidRDefault="00D15A6A">
      <w:pPr>
        <w:pBdr>
          <w:top w:val="nil"/>
          <w:left w:val="nil"/>
          <w:bottom w:val="nil"/>
          <w:right w:val="nil"/>
          <w:between w:val="nil"/>
        </w:pBdr>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Con respecto a la participación en la llegada de extranjeros no residentes a la Región Caribe, se presentó un promedio del 24,4% del total nacional entre los años 2013 y 2023 (Ministerio de Comercio, Industria y Turismo), cifras que indican, que la región no ha logrado recuperar los niveles de participación a nivel nacional que manejaba antes de pandemia, cuando su aporte era superior al 26%. Esto evidencia la urgencia de tomar medidas que favorezcan la reactivación económica del sector turístico en la Costa Caribe.</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1440"/>
        <w:jc w:val="both"/>
        <w:rPr>
          <w:rFonts w:ascii="Century Gothic" w:eastAsia="Century Gothic" w:hAnsi="Century Gothic" w:cs="Century Gothic"/>
          <w:color w:val="000000"/>
        </w:rPr>
      </w:pPr>
      <w:r>
        <w:rPr>
          <w:rFonts w:ascii="Century Gothic" w:eastAsia="Century Gothic" w:hAnsi="Century Gothic" w:cs="Century Gothic"/>
          <w:noProof/>
          <w:color w:val="000000"/>
          <w:lang w:val="es-CO"/>
        </w:rPr>
        <w:lastRenderedPageBreak/>
        <w:drawing>
          <wp:inline distT="0" distB="0" distL="0" distR="0">
            <wp:extent cx="4325510" cy="2782956"/>
            <wp:effectExtent l="0" t="0" r="0" b="0"/>
            <wp:docPr id="2043219771" name="Gráfico 20432197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15A6A" w:rsidRDefault="00D9732F">
      <w:pPr>
        <w:pBdr>
          <w:top w:val="nil"/>
          <w:left w:val="nil"/>
          <w:bottom w:val="nil"/>
          <w:right w:val="nil"/>
          <w:between w:val="nil"/>
        </w:pBdr>
        <w:ind w:left="1440"/>
        <w:jc w:val="center"/>
        <w:rPr>
          <w:rFonts w:ascii="Century Gothic" w:eastAsia="Century Gothic" w:hAnsi="Century Gothic" w:cs="Century Gothic"/>
          <w:color w:val="000000"/>
        </w:rPr>
      </w:pPr>
      <w:r>
        <w:rPr>
          <w:rFonts w:ascii="Century Gothic" w:eastAsia="Century Gothic" w:hAnsi="Century Gothic" w:cs="Century Gothic"/>
          <w:color w:val="000000"/>
        </w:rPr>
        <w:t>Fuente: Mincit 2024</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En ese sentido, para el año 2023 se presenta una variación negativa de -22,2% de visitantes a parques nacionales naturales de la Región Caribe, frente al año 2019, toda vez que se indica un total de 1.415.957 visitantes en el año 2023 y 1.821.089 en el año 2019, (Mincit) lo que evidencia el impacto negativo que tuvo la pandemia mundial por el Covid-19 en el turismo de la región caribe y que el sector aun no experimenta la reactivación económica.</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1440"/>
        <w:jc w:val="both"/>
        <w:rPr>
          <w:rFonts w:ascii="Century Gothic" w:eastAsia="Century Gothic" w:hAnsi="Century Gothic" w:cs="Century Gothic"/>
          <w:color w:val="000000"/>
        </w:rPr>
      </w:pPr>
      <w:r>
        <w:rPr>
          <w:rFonts w:ascii="Century Gothic" w:eastAsia="Century Gothic" w:hAnsi="Century Gothic" w:cs="Century Gothic"/>
          <w:noProof/>
          <w:color w:val="000000"/>
          <w:lang w:val="es-CO"/>
        </w:rPr>
        <w:drawing>
          <wp:inline distT="0" distB="0" distL="0" distR="0">
            <wp:extent cx="4057650" cy="2247900"/>
            <wp:effectExtent l="0" t="0" r="0" b="0"/>
            <wp:docPr id="2043219770" name="Gráfico 20432197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5A6A" w:rsidRDefault="00D9732F">
      <w:pPr>
        <w:pBdr>
          <w:top w:val="nil"/>
          <w:left w:val="nil"/>
          <w:bottom w:val="nil"/>
          <w:right w:val="nil"/>
          <w:between w:val="nil"/>
        </w:pBdr>
        <w:ind w:left="1440"/>
        <w:jc w:val="center"/>
        <w:rPr>
          <w:rFonts w:ascii="Century Gothic" w:eastAsia="Century Gothic" w:hAnsi="Century Gothic" w:cs="Century Gothic"/>
          <w:color w:val="000000"/>
        </w:rPr>
      </w:pPr>
      <w:r>
        <w:rPr>
          <w:rFonts w:ascii="Century Gothic" w:eastAsia="Century Gothic" w:hAnsi="Century Gothic" w:cs="Century Gothic"/>
          <w:color w:val="000000"/>
        </w:rPr>
        <w:t>Fuente: Mincit 2024</w:t>
      </w:r>
    </w:p>
    <w:p w:rsidR="00D15A6A" w:rsidRDefault="00D9732F">
      <w:pPr>
        <w:pBdr>
          <w:top w:val="nil"/>
          <w:left w:val="nil"/>
          <w:bottom w:val="nil"/>
          <w:right w:val="nil"/>
          <w:between w:val="nil"/>
        </w:pBdr>
        <w:ind w:left="1440"/>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Seguidamente, durante el año 2021 en el departamento del Atlántico se movilizaron 896.622 pasajeros, en Bolívar 1.910.092, en La Guajira 94.654, en Córdoba 533.145 y en Magdalena, tal como se puede observar en la gráfica presentada a continuación:</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1440"/>
        <w:jc w:val="center"/>
        <w:rPr>
          <w:rFonts w:ascii="Century Gothic" w:eastAsia="Century Gothic" w:hAnsi="Century Gothic" w:cs="Century Gothic"/>
          <w:color w:val="000000"/>
        </w:rPr>
      </w:pPr>
      <w:r>
        <w:rPr>
          <w:rFonts w:ascii="Century Gothic" w:eastAsia="Century Gothic" w:hAnsi="Century Gothic" w:cs="Century Gothic"/>
          <w:noProof/>
          <w:color w:val="000000"/>
          <w:lang w:val="es-CO"/>
        </w:rPr>
        <w:drawing>
          <wp:inline distT="114300" distB="114300" distL="114300" distR="114300">
            <wp:extent cx="4488166" cy="2292551"/>
            <wp:effectExtent l="12700" t="12700" r="12700" b="12700"/>
            <wp:docPr id="204321978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4488166" cy="2292551"/>
                    </a:xfrm>
                    <a:prstGeom prst="rect">
                      <a:avLst/>
                    </a:prstGeom>
                    <a:ln w="12700">
                      <a:solidFill>
                        <a:srgbClr val="000000"/>
                      </a:solidFill>
                      <a:prstDash val="solid"/>
                    </a:ln>
                  </pic:spPr>
                </pic:pic>
              </a:graphicData>
            </a:graphic>
          </wp:inline>
        </w:drawing>
      </w:r>
      <w:r>
        <w:rPr>
          <w:rFonts w:ascii="Century Gothic" w:eastAsia="Century Gothic" w:hAnsi="Century Gothic" w:cs="Century Gothic"/>
          <w:color w:val="000000"/>
        </w:rPr>
        <w:t>Fuente: Mintic - La República (2022)</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Al finalizar el primer semestre del año 2022, 3,9 millones de personas registraron visita a las ciudades de Barranquilla, Cartagena, Santa Marta, Valledupar, Riohacha y Montería (Anato) lo cual representó un aumento de 92% respecto al mismo periodo de 2021 y del 31%  frente al primer semestre de 2019, antes de la crisis sanitaria ocasionada en razón del COVID -19, dejando en evidencia, la capacidad de resiliencia del sector turístico de la Región Caribe y su gran potencial para seguir aportando económicamente al del resto del país. (La república S.A.S., 2022).</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En cuanto a los visitantes internos de origen caribe, para el año 2019 se tiene que 174,6 mil personas realizaron excursionismo, esto corresponde a la población de 10 años y mayores que viajaron dentro del país y no pernoctó, seguidamente, 221,7 mil personas realizaron turismo interno, el cual corresponde a la población de 10 años y mayores que viajaron dentro del país y pernoctó al menos una noche. Por el contrario, durante el año 2022, tan solo 85 mil personas realizaron excursionismo y 130 mil turismos internos. (Min. CIT, 2023).</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Con respecto a los gastos de transporte, el promedio diario fue de 20.000 pesos colombianos, tal como se evidencia a continuación:</w:t>
      </w:r>
    </w:p>
    <w:p w:rsidR="00D15A6A" w:rsidRDefault="00D9732F">
      <w:pPr>
        <w:pBdr>
          <w:top w:val="nil"/>
          <w:left w:val="nil"/>
          <w:bottom w:val="nil"/>
          <w:right w:val="nil"/>
          <w:between w:val="nil"/>
        </w:pBdr>
        <w:ind w:left="1440"/>
        <w:jc w:val="center"/>
        <w:rPr>
          <w:rFonts w:ascii="Century Gothic" w:eastAsia="Century Gothic" w:hAnsi="Century Gothic" w:cs="Century Gothic"/>
          <w:color w:val="000000"/>
        </w:rPr>
      </w:pPr>
      <w:r>
        <w:rPr>
          <w:rFonts w:ascii="Century Gothic" w:eastAsia="Century Gothic" w:hAnsi="Century Gothic" w:cs="Century Gothic"/>
          <w:color w:val="000000"/>
        </w:rPr>
        <w:t>Fuente: Mintic (2023)</w:t>
      </w:r>
      <w:r>
        <w:rPr>
          <w:noProof/>
          <w:lang w:val="es-CO"/>
        </w:rPr>
        <w:drawing>
          <wp:anchor distT="0" distB="0" distL="114300" distR="114300" simplePos="0" relativeHeight="251660288" behindDoc="0" locked="0" layoutInCell="1" hidden="0" allowOverlap="1">
            <wp:simplePos x="0" y="0"/>
            <wp:positionH relativeFrom="column">
              <wp:posOffset>333375</wp:posOffset>
            </wp:positionH>
            <wp:positionV relativeFrom="paragraph">
              <wp:posOffset>0</wp:posOffset>
            </wp:positionV>
            <wp:extent cx="5612130" cy="2870200"/>
            <wp:effectExtent l="0" t="0" r="0" b="0"/>
            <wp:wrapSquare wrapText="bothSides" distT="0" distB="0" distL="114300" distR="114300"/>
            <wp:docPr id="20432197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612130" cy="2870200"/>
                    </a:xfrm>
                    <a:prstGeom prst="rect">
                      <a:avLst/>
                    </a:prstGeom>
                    <a:ln/>
                  </pic:spPr>
                </pic:pic>
              </a:graphicData>
            </a:graphic>
          </wp:anchor>
        </w:drawing>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Por su parte, la Región Caribe recibió 365 mil visitantes internos en 2022. Esta es una cifra inferior a los mas de 517 mil visitantes internos que se recibieron antes de la pandemia en 2019, mostrando la ausencia de la reactivación económica. La mayoría de los turistas </w:t>
      </w:r>
      <w:r>
        <w:rPr>
          <w:rFonts w:ascii="Century Gothic" w:eastAsia="Century Gothic" w:hAnsi="Century Gothic" w:cs="Century Gothic"/>
          <w:color w:val="000000"/>
        </w:rPr>
        <w:lastRenderedPageBreak/>
        <w:t>llegaron desde Bogotá D.C. y Medellín y la mayoría de los excursionistas lo hicieron desde Cartagena, Santa Marta y Sincelejo.</w:t>
      </w:r>
      <w:r>
        <w:rPr>
          <w:noProof/>
          <w:lang w:val="es-CO"/>
        </w:rPr>
        <w:drawing>
          <wp:anchor distT="0" distB="0" distL="114300" distR="114300" simplePos="0" relativeHeight="251661312" behindDoc="0" locked="0" layoutInCell="1" hidden="0" allowOverlap="1">
            <wp:simplePos x="0" y="0"/>
            <wp:positionH relativeFrom="column">
              <wp:posOffset>256857</wp:posOffset>
            </wp:positionH>
            <wp:positionV relativeFrom="paragraph">
              <wp:posOffset>1102995</wp:posOffset>
            </wp:positionV>
            <wp:extent cx="5219700" cy="2689860"/>
            <wp:effectExtent l="0" t="0" r="0" b="0"/>
            <wp:wrapSquare wrapText="bothSides" distT="0" distB="0" distL="114300" distR="114300"/>
            <wp:docPr id="20432197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t="18407" r="6991" b="10180"/>
                    <a:stretch>
                      <a:fillRect/>
                    </a:stretch>
                  </pic:blipFill>
                  <pic:spPr>
                    <a:xfrm>
                      <a:off x="0" y="0"/>
                      <a:ext cx="5219700" cy="2689860"/>
                    </a:xfrm>
                    <a:prstGeom prst="rect">
                      <a:avLst/>
                    </a:prstGeom>
                    <a:ln/>
                  </pic:spPr>
                </pic:pic>
              </a:graphicData>
            </a:graphic>
          </wp:anchor>
        </w:drawing>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A continuación, se presenta un cuadro con la ubicación y valor de los peajes de los diferentes departamentos de la Región Caribe,</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1440"/>
        <w:jc w:val="both"/>
        <w:rPr>
          <w:rFonts w:ascii="Century Gothic" w:eastAsia="Century Gothic" w:hAnsi="Century Gothic" w:cs="Century Gothic"/>
          <w:b/>
          <w:color w:val="000000"/>
        </w:rPr>
      </w:pPr>
      <w:r>
        <w:rPr>
          <w:rFonts w:ascii="Century Gothic" w:eastAsia="Century Gothic" w:hAnsi="Century Gothic" w:cs="Century Gothic"/>
          <w:b/>
          <w:color w:val="000000"/>
        </w:rPr>
        <w:t>VALOR DE PEAJES DE LOS DEPARTAMENTOS DE LA REGIÓN CARIBE</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spacing w:after="240"/>
        <w:ind w:left="1440"/>
        <w:jc w:val="center"/>
        <w:rPr>
          <w:rFonts w:ascii="Century Gothic" w:eastAsia="Century Gothic" w:hAnsi="Century Gothic" w:cs="Century Gothic"/>
          <w:color w:val="000000"/>
        </w:rPr>
      </w:pPr>
      <w:r>
        <w:rPr>
          <w:rFonts w:ascii="Century Gothic" w:eastAsia="Century Gothic" w:hAnsi="Century Gothic" w:cs="Century Gothic"/>
          <w:b/>
          <w:color w:val="000000"/>
        </w:rPr>
        <w:t>ATLANTICO</w:t>
      </w:r>
    </w:p>
    <w:tbl>
      <w:tblPr>
        <w:tblStyle w:val="a8"/>
        <w:tblW w:w="7545" w:type="dxa"/>
        <w:tblInd w:w="1330" w:type="dxa"/>
        <w:tblBorders>
          <w:top w:val="nil"/>
          <w:left w:val="nil"/>
          <w:bottom w:val="nil"/>
          <w:right w:val="nil"/>
          <w:insideH w:val="nil"/>
          <w:insideV w:val="nil"/>
        </w:tblBorders>
        <w:tblLayout w:type="fixed"/>
        <w:tblLook w:val="0600" w:firstRow="0" w:lastRow="0" w:firstColumn="0" w:lastColumn="0" w:noHBand="1" w:noVBand="1"/>
      </w:tblPr>
      <w:tblGrid>
        <w:gridCol w:w="2235"/>
        <w:gridCol w:w="2385"/>
        <w:gridCol w:w="2925"/>
      </w:tblGrid>
      <w:tr w:rsidR="00D15A6A">
        <w:trPr>
          <w:trHeight w:val="657"/>
        </w:trPr>
        <w:tc>
          <w:tcPr>
            <w:tcW w:w="2235"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b/>
                <w:color w:val="FFFFFF"/>
              </w:rPr>
            </w:pPr>
            <w:r>
              <w:rPr>
                <w:rFonts w:ascii="Century Gothic" w:eastAsia="Century Gothic" w:hAnsi="Century Gothic" w:cs="Century Gothic"/>
                <w:b/>
                <w:color w:val="FFFFFF"/>
              </w:rPr>
              <w:t>MUNICIPIO</w:t>
            </w:r>
          </w:p>
        </w:tc>
        <w:tc>
          <w:tcPr>
            <w:tcW w:w="2385"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b/>
                <w:color w:val="FFFFFF"/>
              </w:rPr>
            </w:pPr>
            <w:r>
              <w:rPr>
                <w:rFonts w:ascii="Century Gothic" w:eastAsia="Century Gothic" w:hAnsi="Century Gothic" w:cs="Century Gothic"/>
                <w:b/>
                <w:color w:val="FFFFFF"/>
              </w:rPr>
              <w:t>CONCESIÓN</w:t>
            </w:r>
          </w:p>
        </w:tc>
        <w:tc>
          <w:tcPr>
            <w:tcW w:w="2925"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b/>
                <w:color w:val="FFFFFF"/>
              </w:rPr>
            </w:pPr>
            <w:r>
              <w:rPr>
                <w:rFonts w:ascii="Century Gothic" w:eastAsia="Century Gothic" w:hAnsi="Century Gothic" w:cs="Century Gothic"/>
                <w:b/>
                <w:color w:val="FFFFFF"/>
              </w:rPr>
              <w:t>VALOR CATEGORÍA I</w:t>
            </w:r>
          </w:p>
        </w:tc>
      </w:tr>
      <w:tr w:rsidR="00D15A6A">
        <w:trPr>
          <w:trHeight w:val="565"/>
        </w:trPr>
        <w:tc>
          <w:tcPr>
            <w:tcW w:w="223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center"/>
              <w:rPr>
                <w:rFonts w:ascii="Century Gothic" w:eastAsia="Century Gothic" w:hAnsi="Century Gothic" w:cs="Century Gothic"/>
                <w:b/>
              </w:rPr>
            </w:pPr>
            <w:r>
              <w:rPr>
                <w:rFonts w:ascii="Century Gothic" w:eastAsia="Century Gothic" w:hAnsi="Century Gothic" w:cs="Century Gothic"/>
                <w:b/>
              </w:rPr>
              <w:t>Galapa</w:t>
            </w:r>
          </w:p>
        </w:tc>
        <w:tc>
          <w:tcPr>
            <w:tcW w:w="23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center"/>
              <w:rPr>
                <w:rFonts w:ascii="Century Gothic" w:eastAsia="Century Gothic" w:hAnsi="Century Gothic" w:cs="Century Gothic"/>
              </w:rPr>
            </w:pPr>
            <w:r>
              <w:rPr>
                <w:rFonts w:ascii="Century Gothic" w:eastAsia="Century Gothic" w:hAnsi="Century Gothic" w:cs="Century Gothic"/>
              </w:rPr>
              <w:t>Autopistas del Sol</w:t>
            </w:r>
          </w:p>
        </w:tc>
        <w:tc>
          <w:tcPr>
            <w:tcW w:w="29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center"/>
              <w:rPr>
                <w:rFonts w:ascii="Century Gothic" w:eastAsia="Century Gothic" w:hAnsi="Century Gothic" w:cs="Century Gothic"/>
              </w:rPr>
            </w:pPr>
            <w:r>
              <w:rPr>
                <w:rFonts w:ascii="Century Gothic" w:eastAsia="Century Gothic" w:hAnsi="Century Gothic" w:cs="Century Gothic"/>
              </w:rPr>
              <w:t>$11.900(T.D)</w:t>
            </w:r>
          </w:p>
        </w:tc>
      </w:tr>
      <w:tr w:rsidR="00D15A6A">
        <w:trPr>
          <w:trHeight w:val="695"/>
        </w:trPr>
        <w:tc>
          <w:tcPr>
            <w:tcW w:w="223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b/>
              </w:rPr>
            </w:pPr>
            <w:r>
              <w:rPr>
                <w:rFonts w:ascii="Century Gothic" w:eastAsia="Century Gothic" w:hAnsi="Century Gothic" w:cs="Century Gothic"/>
                <w:b/>
              </w:rPr>
              <w:t>Galapa</w:t>
            </w:r>
          </w:p>
        </w:tc>
        <w:tc>
          <w:tcPr>
            <w:tcW w:w="23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rPr>
            </w:pPr>
            <w:r>
              <w:rPr>
                <w:rFonts w:ascii="Century Gothic" w:eastAsia="Century Gothic" w:hAnsi="Century Gothic" w:cs="Century Gothic"/>
              </w:rPr>
              <w:t>Concesión Costera</w:t>
            </w:r>
          </w:p>
        </w:tc>
        <w:tc>
          <w:tcPr>
            <w:tcW w:w="292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rPr>
            </w:pPr>
            <w:r>
              <w:rPr>
                <w:rFonts w:ascii="Century Gothic" w:eastAsia="Century Gothic" w:hAnsi="Century Gothic" w:cs="Century Gothic"/>
              </w:rPr>
              <w:t>$8.300(T.D)</w:t>
            </w:r>
          </w:p>
        </w:tc>
      </w:tr>
      <w:tr w:rsidR="00D15A6A">
        <w:trPr>
          <w:trHeight w:val="657"/>
        </w:trPr>
        <w:tc>
          <w:tcPr>
            <w:tcW w:w="223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b/>
              </w:rPr>
            </w:pPr>
            <w:r>
              <w:rPr>
                <w:rFonts w:ascii="Century Gothic" w:eastAsia="Century Gothic" w:hAnsi="Century Gothic" w:cs="Century Gothic"/>
                <w:b/>
              </w:rPr>
              <w:t>Juan Mina</w:t>
            </w:r>
          </w:p>
        </w:tc>
        <w:tc>
          <w:tcPr>
            <w:tcW w:w="23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rPr>
            </w:pPr>
            <w:r>
              <w:rPr>
                <w:rFonts w:ascii="Century Gothic" w:eastAsia="Century Gothic" w:hAnsi="Century Gothic" w:cs="Century Gothic"/>
              </w:rPr>
              <w:t>Concesión Costera</w:t>
            </w:r>
          </w:p>
        </w:tc>
        <w:tc>
          <w:tcPr>
            <w:tcW w:w="29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rPr>
            </w:pPr>
            <w:r>
              <w:rPr>
                <w:rFonts w:ascii="Century Gothic" w:eastAsia="Century Gothic" w:hAnsi="Century Gothic" w:cs="Century Gothic"/>
              </w:rPr>
              <w:t>$8.300(T.D)</w:t>
            </w:r>
          </w:p>
        </w:tc>
      </w:tr>
      <w:tr w:rsidR="00D15A6A">
        <w:trPr>
          <w:trHeight w:val="657"/>
        </w:trPr>
        <w:tc>
          <w:tcPr>
            <w:tcW w:w="223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b/>
              </w:rPr>
            </w:pPr>
            <w:r>
              <w:rPr>
                <w:rFonts w:ascii="Century Gothic" w:eastAsia="Century Gothic" w:hAnsi="Century Gothic" w:cs="Century Gothic"/>
                <w:b/>
              </w:rPr>
              <w:lastRenderedPageBreak/>
              <w:t>Papiros</w:t>
            </w:r>
          </w:p>
        </w:tc>
        <w:tc>
          <w:tcPr>
            <w:tcW w:w="23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rPr>
            </w:pPr>
            <w:r>
              <w:rPr>
                <w:rFonts w:ascii="Century Gothic" w:eastAsia="Century Gothic" w:hAnsi="Century Gothic" w:cs="Century Gothic"/>
              </w:rPr>
              <w:t>Concesión Costera</w:t>
            </w:r>
          </w:p>
        </w:tc>
        <w:tc>
          <w:tcPr>
            <w:tcW w:w="292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rPr>
            </w:pPr>
            <w:r>
              <w:rPr>
                <w:rFonts w:ascii="Century Gothic" w:eastAsia="Century Gothic" w:hAnsi="Century Gothic" w:cs="Century Gothic"/>
              </w:rPr>
              <w:t>$2.400(T.D)</w:t>
            </w:r>
          </w:p>
        </w:tc>
      </w:tr>
      <w:tr w:rsidR="00D15A6A">
        <w:trPr>
          <w:trHeight w:val="879"/>
        </w:trPr>
        <w:tc>
          <w:tcPr>
            <w:tcW w:w="223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b/>
              </w:rPr>
            </w:pPr>
            <w:r>
              <w:rPr>
                <w:rFonts w:ascii="Century Gothic" w:eastAsia="Century Gothic" w:hAnsi="Century Gothic" w:cs="Century Gothic"/>
                <w:b/>
              </w:rPr>
              <w:t>Puerto Colombia</w:t>
            </w:r>
          </w:p>
        </w:tc>
        <w:tc>
          <w:tcPr>
            <w:tcW w:w="23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rPr>
            </w:pPr>
            <w:r>
              <w:rPr>
                <w:rFonts w:ascii="Century Gothic" w:eastAsia="Century Gothic" w:hAnsi="Century Gothic" w:cs="Century Gothic"/>
              </w:rPr>
              <w:t>Concesión Costera</w:t>
            </w:r>
          </w:p>
        </w:tc>
        <w:tc>
          <w:tcPr>
            <w:tcW w:w="29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rPr>
            </w:pPr>
            <w:r>
              <w:rPr>
                <w:rFonts w:ascii="Century Gothic" w:eastAsia="Century Gothic" w:hAnsi="Century Gothic" w:cs="Century Gothic"/>
              </w:rPr>
              <w:t>$17.200</w:t>
            </w:r>
          </w:p>
        </w:tc>
      </w:tr>
      <w:tr w:rsidR="00D15A6A">
        <w:trPr>
          <w:trHeight w:val="753"/>
        </w:trPr>
        <w:tc>
          <w:tcPr>
            <w:tcW w:w="223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b/>
              </w:rPr>
            </w:pPr>
            <w:r>
              <w:rPr>
                <w:rFonts w:ascii="Century Gothic" w:eastAsia="Century Gothic" w:hAnsi="Century Gothic" w:cs="Century Gothic"/>
                <w:b/>
              </w:rPr>
              <w:t>Sabanagrande</w:t>
            </w:r>
          </w:p>
        </w:tc>
        <w:tc>
          <w:tcPr>
            <w:tcW w:w="23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rPr>
            </w:pPr>
            <w:r>
              <w:rPr>
                <w:rFonts w:ascii="Century Gothic" w:eastAsia="Century Gothic" w:hAnsi="Century Gothic" w:cs="Century Gothic"/>
              </w:rPr>
              <w:t>Autopistas del Sol</w:t>
            </w:r>
          </w:p>
        </w:tc>
        <w:tc>
          <w:tcPr>
            <w:tcW w:w="292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rPr>
            </w:pPr>
            <w:r>
              <w:rPr>
                <w:rFonts w:ascii="Century Gothic" w:eastAsia="Century Gothic" w:hAnsi="Century Gothic" w:cs="Century Gothic"/>
              </w:rPr>
              <w:t>$11.900</w:t>
            </w:r>
          </w:p>
        </w:tc>
      </w:tr>
      <w:tr w:rsidR="00D15A6A">
        <w:trPr>
          <w:trHeight w:val="585"/>
        </w:trPr>
        <w:tc>
          <w:tcPr>
            <w:tcW w:w="223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b/>
              </w:rPr>
            </w:pPr>
            <w:r>
              <w:rPr>
                <w:rFonts w:ascii="Century Gothic" w:eastAsia="Century Gothic" w:hAnsi="Century Gothic" w:cs="Century Gothic"/>
                <w:b/>
              </w:rPr>
              <w:t>Corredor Portuario</w:t>
            </w:r>
          </w:p>
        </w:tc>
        <w:tc>
          <w:tcPr>
            <w:tcW w:w="23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rPr>
            </w:pPr>
            <w:r>
              <w:rPr>
                <w:rFonts w:ascii="Century Gothic" w:eastAsia="Century Gothic" w:hAnsi="Century Gothic" w:cs="Century Gothic"/>
              </w:rPr>
              <w:t>INCO</w:t>
            </w:r>
          </w:p>
        </w:tc>
        <w:tc>
          <w:tcPr>
            <w:tcW w:w="29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after="240" w:line="240" w:lineRule="auto"/>
              <w:jc w:val="center"/>
              <w:rPr>
                <w:rFonts w:ascii="Century Gothic" w:eastAsia="Century Gothic" w:hAnsi="Century Gothic" w:cs="Century Gothic"/>
              </w:rPr>
            </w:pPr>
            <w:r>
              <w:rPr>
                <w:rFonts w:ascii="Century Gothic" w:eastAsia="Century Gothic" w:hAnsi="Century Gothic" w:cs="Century Gothic"/>
              </w:rPr>
              <w:t>$10.500</w:t>
            </w:r>
          </w:p>
        </w:tc>
      </w:tr>
    </w:tbl>
    <w:p w:rsidR="00D15A6A" w:rsidRDefault="00D15A6A">
      <w:pPr>
        <w:keepLines/>
        <w:spacing w:before="240" w:after="240" w:line="240" w:lineRule="auto"/>
        <w:rPr>
          <w:rFonts w:ascii="Century Gothic" w:eastAsia="Century Gothic" w:hAnsi="Century Gothic" w:cs="Century Gothic"/>
        </w:rPr>
      </w:pPr>
    </w:p>
    <w:p w:rsidR="00D15A6A" w:rsidRDefault="00D9732F">
      <w:pPr>
        <w:keepLines/>
        <w:spacing w:before="240" w:after="240" w:line="240" w:lineRule="auto"/>
        <w:ind w:left="1440"/>
        <w:jc w:val="center"/>
        <w:rPr>
          <w:rFonts w:ascii="Century Gothic" w:eastAsia="Century Gothic" w:hAnsi="Century Gothic" w:cs="Century Gothic"/>
          <w:b/>
        </w:rPr>
      </w:pPr>
      <w:r>
        <w:rPr>
          <w:rFonts w:ascii="Century Gothic" w:eastAsia="Century Gothic" w:hAnsi="Century Gothic" w:cs="Century Gothic"/>
          <w:b/>
        </w:rPr>
        <w:t>BOLÍVAR</w:t>
      </w:r>
    </w:p>
    <w:tbl>
      <w:tblPr>
        <w:tblStyle w:val="a9"/>
        <w:tblW w:w="7485" w:type="dxa"/>
        <w:tblInd w:w="1330" w:type="dxa"/>
        <w:tblBorders>
          <w:top w:val="nil"/>
          <w:left w:val="nil"/>
          <w:bottom w:val="nil"/>
          <w:right w:val="nil"/>
          <w:insideH w:val="nil"/>
          <w:insideV w:val="nil"/>
        </w:tblBorders>
        <w:tblLayout w:type="fixed"/>
        <w:tblLook w:val="0600" w:firstRow="0" w:lastRow="0" w:firstColumn="0" w:lastColumn="0" w:noHBand="1" w:noVBand="1"/>
      </w:tblPr>
      <w:tblGrid>
        <w:gridCol w:w="1890"/>
        <w:gridCol w:w="3585"/>
        <w:gridCol w:w="2010"/>
      </w:tblGrid>
      <w:tr w:rsidR="00D15A6A">
        <w:trPr>
          <w:trHeight w:val="492"/>
        </w:trPr>
        <w:tc>
          <w:tcPr>
            <w:tcW w:w="1890"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MUNICIPIO</w:t>
            </w:r>
          </w:p>
        </w:tc>
        <w:tc>
          <w:tcPr>
            <w:tcW w:w="3585"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CONCESIÓN</w:t>
            </w:r>
          </w:p>
        </w:tc>
        <w:tc>
          <w:tcPr>
            <w:tcW w:w="2010"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VALOR</w:t>
            </w:r>
          </w:p>
        </w:tc>
      </w:tr>
      <w:tr w:rsidR="00D15A6A">
        <w:trPr>
          <w:trHeight w:val="612"/>
        </w:trPr>
        <w:tc>
          <w:tcPr>
            <w:tcW w:w="189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Bayunca</w:t>
            </w:r>
          </w:p>
        </w:tc>
        <w:tc>
          <w:tcPr>
            <w:tcW w:w="35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Autopistas del Sol</w:t>
            </w:r>
          </w:p>
        </w:tc>
        <w:tc>
          <w:tcPr>
            <w:tcW w:w="201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$11.200</w:t>
            </w:r>
          </w:p>
        </w:tc>
      </w:tr>
      <w:tr w:rsidR="00D15A6A">
        <w:trPr>
          <w:trHeight w:val="690"/>
        </w:trPr>
        <w:tc>
          <w:tcPr>
            <w:tcW w:w="189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rPr>
            </w:pPr>
            <w:r>
              <w:rPr>
                <w:rFonts w:ascii="Century Gothic" w:eastAsia="Century Gothic" w:hAnsi="Century Gothic" w:cs="Century Gothic"/>
                <w:b/>
              </w:rPr>
              <w:t>Calamar</w:t>
            </w:r>
          </w:p>
        </w:tc>
        <w:tc>
          <w:tcPr>
            <w:tcW w:w="35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Concesión vial montes de maría</w:t>
            </w:r>
          </w:p>
        </w:tc>
        <w:tc>
          <w:tcPr>
            <w:tcW w:w="201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$16.300</w:t>
            </w:r>
          </w:p>
        </w:tc>
      </w:tr>
      <w:tr w:rsidR="00D15A6A">
        <w:trPr>
          <w:trHeight w:val="805"/>
        </w:trPr>
        <w:tc>
          <w:tcPr>
            <w:tcW w:w="189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rPr>
            </w:pPr>
            <w:r>
              <w:rPr>
                <w:rFonts w:ascii="Century Gothic" w:eastAsia="Century Gothic" w:hAnsi="Century Gothic" w:cs="Century Gothic"/>
                <w:b/>
              </w:rPr>
              <w:t>Corralito de piedra</w:t>
            </w:r>
          </w:p>
        </w:tc>
        <w:tc>
          <w:tcPr>
            <w:tcW w:w="35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Concesión vial Cartagena</w:t>
            </w:r>
          </w:p>
        </w:tc>
        <w:tc>
          <w:tcPr>
            <w:tcW w:w="201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$3.200</w:t>
            </w:r>
          </w:p>
        </w:tc>
      </w:tr>
      <w:tr w:rsidR="00D15A6A">
        <w:trPr>
          <w:trHeight w:val="627"/>
        </w:trPr>
        <w:tc>
          <w:tcPr>
            <w:tcW w:w="189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rPr>
            </w:pPr>
            <w:r>
              <w:rPr>
                <w:rFonts w:ascii="Century Gothic" w:eastAsia="Century Gothic" w:hAnsi="Century Gothic" w:cs="Century Gothic"/>
                <w:b/>
              </w:rPr>
              <w:t>La heroica</w:t>
            </w:r>
          </w:p>
        </w:tc>
        <w:tc>
          <w:tcPr>
            <w:tcW w:w="35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Concesión vial Cartagena</w:t>
            </w:r>
          </w:p>
        </w:tc>
        <w:tc>
          <w:tcPr>
            <w:tcW w:w="201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$0</w:t>
            </w:r>
          </w:p>
        </w:tc>
      </w:tr>
      <w:tr w:rsidR="00D15A6A">
        <w:trPr>
          <w:trHeight w:val="485"/>
        </w:trPr>
        <w:tc>
          <w:tcPr>
            <w:tcW w:w="189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rPr>
            </w:pPr>
            <w:r>
              <w:rPr>
                <w:rFonts w:ascii="Century Gothic" w:eastAsia="Century Gothic" w:hAnsi="Century Gothic" w:cs="Century Gothic"/>
                <w:b/>
              </w:rPr>
              <w:t>Manga</w:t>
            </w:r>
          </w:p>
        </w:tc>
        <w:tc>
          <w:tcPr>
            <w:tcW w:w="35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Concesión vial Cartagena</w:t>
            </w:r>
          </w:p>
        </w:tc>
        <w:tc>
          <w:tcPr>
            <w:tcW w:w="201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highlight w:val="yellow"/>
              </w:rPr>
            </w:pPr>
            <w:r>
              <w:rPr>
                <w:rFonts w:ascii="Century Gothic" w:eastAsia="Century Gothic" w:hAnsi="Century Gothic" w:cs="Century Gothic"/>
              </w:rPr>
              <w:t>Desmontado</w:t>
            </w:r>
          </w:p>
        </w:tc>
      </w:tr>
      <w:tr w:rsidR="00D15A6A">
        <w:trPr>
          <w:trHeight w:val="485"/>
        </w:trPr>
        <w:tc>
          <w:tcPr>
            <w:tcW w:w="189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rPr>
            </w:pPr>
            <w:r>
              <w:rPr>
                <w:rFonts w:ascii="Century Gothic" w:eastAsia="Century Gothic" w:hAnsi="Century Gothic" w:cs="Century Gothic"/>
                <w:b/>
              </w:rPr>
              <w:t>Ceballos</w:t>
            </w:r>
          </w:p>
        </w:tc>
        <w:tc>
          <w:tcPr>
            <w:tcW w:w="35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Concesión vial Cartagena</w:t>
            </w:r>
          </w:p>
        </w:tc>
        <w:tc>
          <w:tcPr>
            <w:tcW w:w="201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Desmontado</w:t>
            </w:r>
          </w:p>
        </w:tc>
      </w:tr>
      <w:tr w:rsidR="00D15A6A">
        <w:trPr>
          <w:trHeight w:val="755"/>
        </w:trPr>
        <w:tc>
          <w:tcPr>
            <w:tcW w:w="189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rPr>
            </w:pPr>
            <w:r>
              <w:rPr>
                <w:rFonts w:ascii="Century Gothic" w:eastAsia="Century Gothic" w:hAnsi="Century Gothic" w:cs="Century Gothic"/>
                <w:b/>
              </w:rPr>
              <w:lastRenderedPageBreak/>
              <w:t>El Carmen</w:t>
            </w:r>
          </w:p>
        </w:tc>
        <w:tc>
          <w:tcPr>
            <w:tcW w:w="35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Concesión vial montes de maría</w:t>
            </w:r>
          </w:p>
        </w:tc>
        <w:tc>
          <w:tcPr>
            <w:tcW w:w="201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$11.100</w:t>
            </w:r>
          </w:p>
        </w:tc>
      </w:tr>
      <w:tr w:rsidR="00D15A6A">
        <w:trPr>
          <w:trHeight w:val="485"/>
        </w:trPr>
        <w:tc>
          <w:tcPr>
            <w:tcW w:w="189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rPr>
            </w:pPr>
            <w:r>
              <w:rPr>
                <w:rFonts w:ascii="Century Gothic" w:eastAsia="Century Gothic" w:hAnsi="Century Gothic" w:cs="Century Gothic"/>
                <w:b/>
              </w:rPr>
              <w:t>Gambote</w:t>
            </w:r>
          </w:p>
        </w:tc>
        <w:tc>
          <w:tcPr>
            <w:tcW w:w="35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Autopista del sol</w:t>
            </w:r>
          </w:p>
        </w:tc>
        <w:tc>
          <w:tcPr>
            <w:tcW w:w="201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$11.200</w:t>
            </w:r>
          </w:p>
        </w:tc>
      </w:tr>
      <w:tr w:rsidR="00D15A6A">
        <w:trPr>
          <w:trHeight w:val="485"/>
        </w:trPr>
        <w:tc>
          <w:tcPr>
            <w:tcW w:w="189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rPr>
            </w:pPr>
            <w:r>
              <w:rPr>
                <w:rFonts w:ascii="Century Gothic" w:eastAsia="Century Gothic" w:hAnsi="Century Gothic" w:cs="Century Gothic"/>
                <w:b/>
              </w:rPr>
              <w:t>Marahuaco</w:t>
            </w:r>
          </w:p>
        </w:tc>
        <w:tc>
          <w:tcPr>
            <w:tcW w:w="35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Concesion costera</w:t>
            </w:r>
          </w:p>
        </w:tc>
        <w:tc>
          <w:tcPr>
            <w:tcW w:w="201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$16.100</w:t>
            </w:r>
          </w:p>
        </w:tc>
      </w:tr>
      <w:tr w:rsidR="00D15A6A">
        <w:trPr>
          <w:trHeight w:val="485"/>
        </w:trPr>
        <w:tc>
          <w:tcPr>
            <w:tcW w:w="189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rPr>
            </w:pPr>
            <w:r>
              <w:rPr>
                <w:rFonts w:ascii="Century Gothic" w:eastAsia="Century Gothic" w:hAnsi="Century Gothic" w:cs="Century Gothic"/>
                <w:b/>
              </w:rPr>
              <w:t>Pasacaballos</w:t>
            </w:r>
          </w:p>
        </w:tc>
        <w:tc>
          <w:tcPr>
            <w:tcW w:w="35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Autopista del sol s.a</w:t>
            </w:r>
          </w:p>
        </w:tc>
        <w:tc>
          <w:tcPr>
            <w:tcW w:w="201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$11.400</w:t>
            </w:r>
          </w:p>
        </w:tc>
      </w:tr>
      <w:tr w:rsidR="00D15A6A">
        <w:trPr>
          <w:trHeight w:val="485"/>
        </w:trPr>
        <w:tc>
          <w:tcPr>
            <w:tcW w:w="189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rPr>
            </w:pPr>
            <w:r>
              <w:rPr>
                <w:rFonts w:ascii="Century Gothic" w:eastAsia="Century Gothic" w:hAnsi="Century Gothic" w:cs="Century Gothic"/>
                <w:b/>
              </w:rPr>
              <w:t>Turbaco</w:t>
            </w:r>
          </w:p>
        </w:tc>
        <w:tc>
          <w:tcPr>
            <w:tcW w:w="35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Autopista del sol s.a</w:t>
            </w:r>
          </w:p>
        </w:tc>
        <w:tc>
          <w:tcPr>
            <w:tcW w:w="201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rPr>
            </w:pPr>
            <w:r>
              <w:rPr>
                <w:rFonts w:ascii="Century Gothic" w:eastAsia="Century Gothic" w:hAnsi="Century Gothic" w:cs="Century Gothic"/>
              </w:rPr>
              <w:t>$5.100(T.D)</w:t>
            </w:r>
          </w:p>
        </w:tc>
      </w:tr>
    </w:tbl>
    <w:p w:rsidR="00D15A6A" w:rsidRDefault="00D15A6A">
      <w:pPr>
        <w:keepLines/>
        <w:spacing w:before="240" w:line="240" w:lineRule="auto"/>
        <w:jc w:val="center"/>
        <w:rPr>
          <w:rFonts w:ascii="Century Gothic" w:eastAsia="Century Gothic" w:hAnsi="Century Gothic" w:cs="Century Gothic"/>
          <w:b/>
        </w:rPr>
      </w:pPr>
    </w:p>
    <w:p w:rsidR="00D15A6A" w:rsidRDefault="00D9732F">
      <w:pPr>
        <w:keepLines/>
        <w:spacing w:before="240" w:line="240" w:lineRule="auto"/>
        <w:ind w:left="1440"/>
        <w:jc w:val="center"/>
        <w:rPr>
          <w:rFonts w:ascii="Century Gothic" w:eastAsia="Century Gothic" w:hAnsi="Century Gothic" w:cs="Century Gothic"/>
          <w:b/>
        </w:rPr>
      </w:pPr>
      <w:r>
        <w:rPr>
          <w:rFonts w:ascii="Century Gothic" w:eastAsia="Century Gothic" w:hAnsi="Century Gothic" w:cs="Century Gothic"/>
          <w:b/>
        </w:rPr>
        <w:t>CESAR</w:t>
      </w:r>
    </w:p>
    <w:p w:rsidR="00D15A6A" w:rsidRDefault="00D15A6A">
      <w:pPr>
        <w:keepLines/>
        <w:spacing w:before="240" w:line="240" w:lineRule="auto"/>
        <w:jc w:val="center"/>
        <w:rPr>
          <w:rFonts w:ascii="Century Gothic" w:eastAsia="Century Gothic" w:hAnsi="Century Gothic" w:cs="Century Gothic"/>
          <w:b/>
        </w:rPr>
      </w:pPr>
    </w:p>
    <w:tbl>
      <w:tblPr>
        <w:tblStyle w:val="aa"/>
        <w:tblW w:w="7290" w:type="dxa"/>
        <w:tblInd w:w="1330" w:type="dxa"/>
        <w:tblBorders>
          <w:top w:val="nil"/>
          <w:left w:val="nil"/>
          <w:bottom w:val="nil"/>
          <w:right w:val="nil"/>
          <w:insideH w:val="nil"/>
          <w:insideV w:val="nil"/>
        </w:tblBorders>
        <w:tblLayout w:type="fixed"/>
        <w:tblLook w:val="0600" w:firstRow="0" w:lastRow="0" w:firstColumn="0" w:lastColumn="0" w:noHBand="1" w:noVBand="1"/>
      </w:tblPr>
      <w:tblGrid>
        <w:gridCol w:w="1860"/>
        <w:gridCol w:w="3525"/>
        <w:gridCol w:w="1905"/>
      </w:tblGrid>
      <w:tr w:rsidR="00D15A6A">
        <w:trPr>
          <w:trHeight w:val="485"/>
        </w:trPr>
        <w:tc>
          <w:tcPr>
            <w:tcW w:w="1860"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MUNICIPIO</w:t>
            </w:r>
          </w:p>
        </w:tc>
        <w:tc>
          <w:tcPr>
            <w:tcW w:w="3525"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CONCESIÓN</w:t>
            </w:r>
          </w:p>
        </w:tc>
        <w:tc>
          <w:tcPr>
            <w:tcW w:w="1905"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D15A6A" w:rsidRDefault="00D9732F">
            <w:pPr>
              <w:keepLines/>
              <w:spacing w:before="240"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VALOR</w:t>
            </w:r>
          </w:p>
        </w:tc>
      </w:tr>
      <w:tr w:rsidR="00D15A6A">
        <w:trPr>
          <w:trHeight w:val="485"/>
        </w:trPr>
        <w:tc>
          <w:tcPr>
            <w:tcW w:w="186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El copey</w:t>
            </w:r>
          </w:p>
        </w:tc>
        <w:tc>
          <w:tcPr>
            <w:tcW w:w="35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yuma concesionario</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$10.100</w:t>
            </w:r>
          </w:p>
        </w:tc>
      </w:tr>
      <w:tr w:rsidR="00D15A6A">
        <w:trPr>
          <w:trHeight w:val="485"/>
        </w:trPr>
        <w:tc>
          <w:tcPr>
            <w:tcW w:w="186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Gamarra</w:t>
            </w:r>
          </w:p>
        </w:tc>
        <w:tc>
          <w:tcPr>
            <w:tcW w:w="352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INVIAS</w:t>
            </w:r>
          </w:p>
        </w:tc>
        <w:tc>
          <w:tcPr>
            <w:tcW w:w="190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Desmontado</w:t>
            </w:r>
          </w:p>
        </w:tc>
      </w:tr>
      <w:tr w:rsidR="00D15A6A">
        <w:trPr>
          <w:trHeight w:val="485"/>
        </w:trPr>
        <w:tc>
          <w:tcPr>
            <w:tcW w:w="186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La loma</w:t>
            </w:r>
          </w:p>
        </w:tc>
        <w:tc>
          <w:tcPr>
            <w:tcW w:w="35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yuma concesionario</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$10.400</w:t>
            </w:r>
          </w:p>
        </w:tc>
      </w:tr>
      <w:tr w:rsidR="00D15A6A">
        <w:trPr>
          <w:trHeight w:val="485"/>
        </w:trPr>
        <w:tc>
          <w:tcPr>
            <w:tcW w:w="186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Morrison</w:t>
            </w:r>
          </w:p>
        </w:tc>
        <w:tc>
          <w:tcPr>
            <w:tcW w:w="352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INVIAS</w:t>
            </w:r>
          </w:p>
        </w:tc>
        <w:tc>
          <w:tcPr>
            <w:tcW w:w="190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$12.300</w:t>
            </w:r>
          </w:p>
        </w:tc>
      </w:tr>
      <w:tr w:rsidR="00D15A6A">
        <w:trPr>
          <w:trHeight w:val="485"/>
        </w:trPr>
        <w:tc>
          <w:tcPr>
            <w:tcW w:w="186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Pailitas</w:t>
            </w:r>
          </w:p>
        </w:tc>
        <w:tc>
          <w:tcPr>
            <w:tcW w:w="35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INVIAS</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$12.300</w:t>
            </w:r>
          </w:p>
        </w:tc>
      </w:tr>
      <w:tr w:rsidR="00D15A6A">
        <w:trPr>
          <w:trHeight w:val="485"/>
        </w:trPr>
        <w:tc>
          <w:tcPr>
            <w:tcW w:w="186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Rincón hondo</w:t>
            </w:r>
          </w:p>
        </w:tc>
        <w:tc>
          <w:tcPr>
            <w:tcW w:w="352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INVIAS</w:t>
            </w:r>
          </w:p>
        </w:tc>
        <w:tc>
          <w:tcPr>
            <w:tcW w:w="190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$12.200</w:t>
            </w:r>
          </w:p>
        </w:tc>
      </w:tr>
      <w:tr w:rsidR="00D15A6A">
        <w:trPr>
          <w:trHeight w:val="485"/>
        </w:trPr>
        <w:tc>
          <w:tcPr>
            <w:tcW w:w="186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San diego</w:t>
            </w:r>
          </w:p>
        </w:tc>
        <w:tc>
          <w:tcPr>
            <w:tcW w:w="35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INVIAS</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$6.200</w:t>
            </w:r>
          </w:p>
        </w:tc>
      </w:tr>
      <w:tr w:rsidR="00D15A6A">
        <w:trPr>
          <w:trHeight w:val="485"/>
        </w:trPr>
        <w:tc>
          <w:tcPr>
            <w:tcW w:w="186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lastRenderedPageBreak/>
              <w:t>Valencia</w:t>
            </w:r>
          </w:p>
        </w:tc>
        <w:tc>
          <w:tcPr>
            <w:tcW w:w="352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yuma concesionario</w:t>
            </w:r>
          </w:p>
        </w:tc>
        <w:tc>
          <w:tcPr>
            <w:tcW w:w="190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$10.400</w:t>
            </w:r>
          </w:p>
        </w:tc>
      </w:tr>
      <w:tr w:rsidR="00D15A6A">
        <w:trPr>
          <w:trHeight w:val="485"/>
        </w:trPr>
        <w:tc>
          <w:tcPr>
            <w:tcW w:w="186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Platanal</w:t>
            </w:r>
          </w:p>
        </w:tc>
        <w:tc>
          <w:tcPr>
            <w:tcW w:w="35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INVIAS</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$10.000</w:t>
            </w:r>
          </w:p>
        </w:tc>
      </w:tr>
    </w:tbl>
    <w:p w:rsidR="00D15A6A" w:rsidRDefault="00D9732F">
      <w:pPr>
        <w:keepLines/>
        <w:spacing w:before="240" w:after="240" w:line="240" w:lineRule="auto"/>
        <w:ind w:left="1440"/>
        <w:jc w:val="center"/>
        <w:rPr>
          <w:rFonts w:ascii="Century Gothic" w:eastAsia="Century Gothic" w:hAnsi="Century Gothic" w:cs="Century Gothic"/>
          <w:b/>
        </w:rPr>
      </w:pPr>
      <w:r>
        <w:rPr>
          <w:rFonts w:ascii="Century Gothic" w:eastAsia="Century Gothic" w:hAnsi="Century Gothic" w:cs="Century Gothic"/>
          <w:b/>
        </w:rPr>
        <w:t xml:space="preserve"> CÓRDOBA</w:t>
      </w:r>
    </w:p>
    <w:tbl>
      <w:tblPr>
        <w:tblStyle w:val="ab"/>
        <w:tblW w:w="7350" w:type="dxa"/>
        <w:tblInd w:w="1330" w:type="dxa"/>
        <w:tblBorders>
          <w:top w:val="nil"/>
          <w:left w:val="nil"/>
          <w:bottom w:val="nil"/>
          <w:right w:val="nil"/>
          <w:insideH w:val="nil"/>
          <w:insideV w:val="nil"/>
        </w:tblBorders>
        <w:tblLayout w:type="fixed"/>
        <w:tblLook w:val="0600" w:firstRow="0" w:lastRow="0" w:firstColumn="0" w:lastColumn="0" w:noHBand="1" w:noVBand="1"/>
      </w:tblPr>
      <w:tblGrid>
        <w:gridCol w:w="2385"/>
        <w:gridCol w:w="2985"/>
        <w:gridCol w:w="1980"/>
      </w:tblGrid>
      <w:tr w:rsidR="00D15A6A">
        <w:trPr>
          <w:trHeight w:val="485"/>
        </w:trPr>
        <w:tc>
          <w:tcPr>
            <w:tcW w:w="2385"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MUNICIPIO</w:t>
            </w:r>
          </w:p>
        </w:tc>
        <w:tc>
          <w:tcPr>
            <w:tcW w:w="2985"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CONCESIÓN</w:t>
            </w:r>
          </w:p>
        </w:tc>
        <w:tc>
          <w:tcPr>
            <w:tcW w:w="1980"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VALOR</w:t>
            </w:r>
          </w:p>
        </w:tc>
      </w:tr>
      <w:tr w:rsidR="00D15A6A">
        <w:trPr>
          <w:trHeight w:val="485"/>
        </w:trPr>
        <w:tc>
          <w:tcPr>
            <w:tcW w:w="2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Carimagua</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 xml:space="preserve">Invias </w:t>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$15.200</w:t>
            </w:r>
          </w:p>
        </w:tc>
      </w:tr>
      <w:tr w:rsidR="00D15A6A">
        <w:trPr>
          <w:trHeight w:val="485"/>
        </w:trPr>
        <w:tc>
          <w:tcPr>
            <w:tcW w:w="238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Los garzones I</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Ap de la sabana</w:t>
            </w:r>
          </w:p>
        </w:tc>
        <w:tc>
          <w:tcPr>
            <w:tcW w:w="198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$6.000</w:t>
            </w:r>
          </w:p>
        </w:tc>
      </w:tr>
      <w:tr w:rsidR="00D15A6A">
        <w:trPr>
          <w:trHeight w:val="485"/>
        </w:trPr>
        <w:tc>
          <w:tcPr>
            <w:tcW w:w="2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Los garzones II</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ap de los garzones</w:t>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 xml:space="preserve"> $6.000</w:t>
            </w:r>
          </w:p>
        </w:tc>
      </w:tr>
      <w:tr w:rsidR="00D15A6A">
        <w:trPr>
          <w:trHeight w:val="755"/>
        </w:trPr>
        <w:tc>
          <w:tcPr>
            <w:tcW w:w="238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 xml:space="preserve">La apartada  </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 xml:space="preserve">Concesiones ruta del mar        </w:t>
            </w:r>
            <w:r>
              <w:rPr>
                <w:rFonts w:ascii="Century Gothic" w:eastAsia="Century Gothic" w:hAnsi="Century Gothic" w:cs="Century Gothic"/>
              </w:rPr>
              <w:tab/>
            </w:r>
          </w:p>
        </w:tc>
        <w:tc>
          <w:tcPr>
            <w:tcW w:w="198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$16.100</w:t>
            </w:r>
          </w:p>
        </w:tc>
      </w:tr>
      <w:tr w:rsidR="00D15A6A">
        <w:trPr>
          <w:trHeight w:val="755"/>
        </w:trPr>
        <w:tc>
          <w:tcPr>
            <w:tcW w:w="2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Los cedros</w:t>
            </w:r>
            <w:r>
              <w:rPr>
                <w:rFonts w:ascii="Century Gothic" w:eastAsia="Century Gothic" w:hAnsi="Century Gothic" w:cs="Century Gothic"/>
                <w:b/>
              </w:rPr>
              <w:tab/>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 xml:space="preserve">Concesiones ruta del mar        </w:t>
            </w:r>
            <w:r>
              <w:rPr>
                <w:rFonts w:ascii="Century Gothic" w:eastAsia="Century Gothic" w:hAnsi="Century Gothic" w:cs="Century Gothic"/>
              </w:rPr>
              <w:tab/>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$16.100</w:t>
            </w:r>
          </w:p>
        </w:tc>
      </w:tr>
      <w:tr w:rsidR="00D15A6A">
        <w:trPr>
          <w:trHeight w:val="755"/>
        </w:trPr>
        <w:tc>
          <w:tcPr>
            <w:tcW w:w="238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Mata de caña</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 xml:space="preserve">Concesiones ruta del mar        </w:t>
            </w:r>
            <w:r>
              <w:rPr>
                <w:rFonts w:ascii="Century Gothic" w:eastAsia="Century Gothic" w:hAnsi="Century Gothic" w:cs="Century Gothic"/>
              </w:rPr>
              <w:tab/>
            </w:r>
          </w:p>
        </w:tc>
        <w:tc>
          <w:tcPr>
            <w:tcW w:w="198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 xml:space="preserve"> $15.800</w:t>
            </w:r>
          </w:p>
        </w:tc>
      </w:tr>
      <w:tr w:rsidR="00D15A6A">
        <w:trPr>
          <w:trHeight w:val="755"/>
        </w:trPr>
        <w:tc>
          <w:tcPr>
            <w:tcW w:w="2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El purgatorio</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 xml:space="preserve">Concesiones ruta del mar        </w:t>
            </w:r>
            <w:r>
              <w:rPr>
                <w:rFonts w:ascii="Century Gothic" w:eastAsia="Century Gothic" w:hAnsi="Century Gothic" w:cs="Century Gothic"/>
              </w:rPr>
              <w:tab/>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$16.100</w:t>
            </w:r>
          </w:p>
        </w:tc>
      </w:tr>
      <w:tr w:rsidR="00D15A6A">
        <w:trPr>
          <w:trHeight w:val="755"/>
        </w:trPr>
        <w:tc>
          <w:tcPr>
            <w:tcW w:w="238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Los manguitos</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 xml:space="preserve">Concesiones ruta del mar        </w:t>
            </w:r>
            <w:r>
              <w:rPr>
                <w:rFonts w:ascii="Century Gothic" w:eastAsia="Century Gothic" w:hAnsi="Century Gothic" w:cs="Century Gothic"/>
              </w:rPr>
              <w:tab/>
            </w:r>
          </w:p>
        </w:tc>
        <w:tc>
          <w:tcPr>
            <w:tcW w:w="198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$16.100</w:t>
            </w:r>
          </w:p>
        </w:tc>
      </w:tr>
      <w:tr w:rsidR="00D15A6A">
        <w:trPr>
          <w:trHeight w:val="485"/>
        </w:trPr>
        <w:tc>
          <w:tcPr>
            <w:tcW w:w="2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San Carlos</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Concesiones ruta del mar</w:t>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$15.800</w:t>
            </w:r>
          </w:p>
        </w:tc>
      </w:tr>
    </w:tbl>
    <w:p w:rsidR="00D15A6A" w:rsidRDefault="00D9732F">
      <w:pPr>
        <w:keepLines/>
        <w:spacing w:before="240" w:after="240" w:line="240" w:lineRule="auto"/>
        <w:ind w:left="1440"/>
        <w:jc w:val="center"/>
        <w:rPr>
          <w:rFonts w:ascii="Century Gothic" w:eastAsia="Century Gothic" w:hAnsi="Century Gothic" w:cs="Century Gothic"/>
          <w:b/>
        </w:rPr>
      </w:pPr>
      <w:r>
        <w:rPr>
          <w:rFonts w:ascii="Century Gothic" w:eastAsia="Century Gothic" w:hAnsi="Century Gothic" w:cs="Century Gothic"/>
          <w:b/>
        </w:rPr>
        <w:t>GUAJIRA</w:t>
      </w:r>
    </w:p>
    <w:tbl>
      <w:tblPr>
        <w:tblStyle w:val="ac"/>
        <w:tblW w:w="7395" w:type="dxa"/>
        <w:tblInd w:w="1330" w:type="dxa"/>
        <w:tblBorders>
          <w:top w:val="nil"/>
          <w:left w:val="nil"/>
          <w:bottom w:val="nil"/>
          <w:right w:val="nil"/>
          <w:insideH w:val="nil"/>
          <w:insideV w:val="nil"/>
        </w:tblBorders>
        <w:tblLayout w:type="fixed"/>
        <w:tblLook w:val="0600" w:firstRow="0" w:lastRow="0" w:firstColumn="0" w:lastColumn="0" w:noHBand="1" w:noVBand="1"/>
      </w:tblPr>
      <w:tblGrid>
        <w:gridCol w:w="2520"/>
        <w:gridCol w:w="2970"/>
        <w:gridCol w:w="1905"/>
      </w:tblGrid>
      <w:tr w:rsidR="00D15A6A">
        <w:trPr>
          <w:trHeight w:val="485"/>
        </w:trPr>
        <w:tc>
          <w:tcPr>
            <w:tcW w:w="2520"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MUNICIPIO</w:t>
            </w:r>
          </w:p>
        </w:tc>
        <w:tc>
          <w:tcPr>
            <w:tcW w:w="2970"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CONCESIÓN</w:t>
            </w:r>
          </w:p>
        </w:tc>
        <w:tc>
          <w:tcPr>
            <w:tcW w:w="1905"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VALOR</w:t>
            </w:r>
          </w:p>
        </w:tc>
      </w:tr>
      <w:tr w:rsidR="00D15A6A">
        <w:trPr>
          <w:trHeight w:val="755"/>
        </w:trPr>
        <w:tc>
          <w:tcPr>
            <w:tcW w:w="252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Alto pino</w:t>
            </w:r>
          </w:p>
        </w:tc>
        <w:tc>
          <w:tcPr>
            <w:tcW w:w="297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Concesión Santa marta-paraguachon</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$12.300</w:t>
            </w:r>
          </w:p>
        </w:tc>
      </w:tr>
      <w:tr w:rsidR="00D15A6A">
        <w:trPr>
          <w:trHeight w:val="755"/>
        </w:trPr>
        <w:tc>
          <w:tcPr>
            <w:tcW w:w="252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El ebanal</w:t>
            </w:r>
          </w:p>
        </w:tc>
        <w:tc>
          <w:tcPr>
            <w:tcW w:w="297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Concesión Santa marta-paraguachon</w:t>
            </w:r>
          </w:p>
        </w:tc>
        <w:tc>
          <w:tcPr>
            <w:tcW w:w="190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$12.300</w:t>
            </w:r>
          </w:p>
        </w:tc>
      </w:tr>
      <w:tr w:rsidR="00D15A6A">
        <w:trPr>
          <w:trHeight w:val="755"/>
        </w:trPr>
        <w:tc>
          <w:tcPr>
            <w:tcW w:w="252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Paraguachon</w:t>
            </w:r>
          </w:p>
        </w:tc>
        <w:tc>
          <w:tcPr>
            <w:tcW w:w="297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Concesión Santa marta-paraguachon</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$12.300</w:t>
            </w:r>
          </w:p>
        </w:tc>
      </w:tr>
      <w:tr w:rsidR="00D15A6A">
        <w:trPr>
          <w:trHeight w:val="485"/>
        </w:trPr>
        <w:tc>
          <w:tcPr>
            <w:tcW w:w="252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San juan</w:t>
            </w:r>
          </w:p>
        </w:tc>
        <w:tc>
          <w:tcPr>
            <w:tcW w:w="297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INVIAS</w:t>
            </w:r>
          </w:p>
        </w:tc>
        <w:tc>
          <w:tcPr>
            <w:tcW w:w="190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$9.400</w:t>
            </w:r>
          </w:p>
        </w:tc>
      </w:tr>
      <w:tr w:rsidR="00D15A6A">
        <w:trPr>
          <w:trHeight w:val="485"/>
        </w:trPr>
        <w:tc>
          <w:tcPr>
            <w:tcW w:w="252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Uribia</w:t>
            </w:r>
          </w:p>
        </w:tc>
        <w:tc>
          <w:tcPr>
            <w:tcW w:w="297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INVIAS</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$3.500 (T.D)</w:t>
            </w:r>
          </w:p>
        </w:tc>
      </w:tr>
    </w:tbl>
    <w:p w:rsidR="00D15A6A" w:rsidRDefault="00D9732F">
      <w:pPr>
        <w:keepLines/>
        <w:spacing w:before="240" w:after="240" w:line="240" w:lineRule="auto"/>
        <w:jc w:val="center"/>
        <w:rPr>
          <w:rFonts w:ascii="Century Gothic" w:eastAsia="Century Gothic" w:hAnsi="Century Gothic" w:cs="Century Gothic"/>
          <w:b/>
        </w:rPr>
      </w:pPr>
      <w:r>
        <w:rPr>
          <w:rFonts w:ascii="Century Gothic" w:eastAsia="Century Gothic" w:hAnsi="Century Gothic" w:cs="Century Gothic"/>
          <w:b/>
        </w:rPr>
        <w:t xml:space="preserve"> </w:t>
      </w:r>
    </w:p>
    <w:p w:rsidR="00D15A6A" w:rsidRDefault="00D9732F">
      <w:pPr>
        <w:keepLines/>
        <w:spacing w:before="240" w:after="240" w:line="240" w:lineRule="auto"/>
        <w:ind w:left="1440"/>
        <w:jc w:val="center"/>
        <w:rPr>
          <w:rFonts w:ascii="Century Gothic" w:eastAsia="Century Gothic" w:hAnsi="Century Gothic" w:cs="Century Gothic"/>
          <w:b/>
        </w:rPr>
      </w:pPr>
      <w:r>
        <w:rPr>
          <w:rFonts w:ascii="Century Gothic" w:eastAsia="Century Gothic" w:hAnsi="Century Gothic" w:cs="Century Gothic"/>
          <w:b/>
        </w:rPr>
        <w:t>MAGDALENA</w:t>
      </w:r>
    </w:p>
    <w:tbl>
      <w:tblPr>
        <w:tblStyle w:val="ad"/>
        <w:tblW w:w="7425" w:type="dxa"/>
        <w:tblInd w:w="1330" w:type="dxa"/>
        <w:tblBorders>
          <w:top w:val="nil"/>
          <w:left w:val="nil"/>
          <w:bottom w:val="nil"/>
          <w:right w:val="nil"/>
          <w:insideH w:val="nil"/>
          <w:insideV w:val="nil"/>
        </w:tblBorders>
        <w:tblLayout w:type="fixed"/>
        <w:tblLook w:val="0600" w:firstRow="0" w:lastRow="0" w:firstColumn="0" w:lastColumn="0" w:noHBand="1" w:noVBand="1"/>
      </w:tblPr>
      <w:tblGrid>
        <w:gridCol w:w="2445"/>
        <w:gridCol w:w="2985"/>
        <w:gridCol w:w="1995"/>
      </w:tblGrid>
      <w:tr w:rsidR="00D15A6A">
        <w:trPr>
          <w:trHeight w:val="485"/>
        </w:trPr>
        <w:tc>
          <w:tcPr>
            <w:tcW w:w="2445"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MUNICIPIO</w:t>
            </w:r>
          </w:p>
        </w:tc>
        <w:tc>
          <w:tcPr>
            <w:tcW w:w="2985"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CONCESIÓN</w:t>
            </w:r>
          </w:p>
        </w:tc>
        <w:tc>
          <w:tcPr>
            <w:tcW w:w="1995"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VALOR</w:t>
            </w:r>
          </w:p>
        </w:tc>
      </w:tr>
      <w:tr w:rsidR="00D15A6A">
        <w:trPr>
          <w:trHeight w:val="755"/>
        </w:trPr>
        <w:tc>
          <w:tcPr>
            <w:tcW w:w="244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Puente Laureano Gómez</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color w:val="374151"/>
              </w:rPr>
            </w:pPr>
            <w:r>
              <w:rPr>
                <w:rFonts w:ascii="Century Gothic" w:eastAsia="Century Gothic" w:hAnsi="Century Gothic" w:cs="Century Gothic"/>
                <w:color w:val="374151"/>
              </w:rPr>
              <w:t>Concesión Ciénaga Barranquilla</w:t>
            </w:r>
          </w:p>
        </w:tc>
        <w:tc>
          <w:tcPr>
            <w:tcW w:w="199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color w:val="374151"/>
              </w:rPr>
            </w:pPr>
            <w:r>
              <w:rPr>
                <w:rFonts w:ascii="Century Gothic" w:eastAsia="Century Gothic" w:hAnsi="Century Gothic" w:cs="Century Gothic"/>
                <w:color w:val="374151"/>
              </w:rPr>
              <w:t>$15.600</w:t>
            </w:r>
          </w:p>
        </w:tc>
      </w:tr>
      <w:tr w:rsidR="00D15A6A">
        <w:trPr>
          <w:trHeight w:val="755"/>
        </w:trPr>
        <w:tc>
          <w:tcPr>
            <w:tcW w:w="244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Tasajera</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color w:val="374151"/>
              </w:rPr>
            </w:pPr>
            <w:r>
              <w:rPr>
                <w:rFonts w:ascii="Century Gothic" w:eastAsia="Century Gothic" w:hAnsi="Century Gothic" w:cs="Century Gothic"/>
                <w:color w:val="374151"/>
              </w:rPr>
              <w:t>Concesión Ciénaga Barranquilla</w:t>
            </w:r>
          </w:p>
        </w:tc>
        <w:tc>
          <w:tcPr>
            <w:tcW w:w="199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color w:val="374151"/>
              </w:rPr>
            </w:pPr>
            <w:r>
              <w:rPr>
                <w:rFonts w:ascii="Century Gothic" w:eastAsia="Century Gothic" w:hAnsi="Century Gothic" w:cs="Century Gothic"/>
                <w:color w:val="374151"/>
              </w:rPr>
              <w:t>$15.600</w:t>
            </w:r>
          </w:p>
        </w:tc>
      </w:tr>
      <w:tr w:rsidR="00D15A6A">
        <w:trPr>
          <w:trHeight w:val="755"/>
        </w:trPr>
        <w:tc>
          <w:tcPr>
            <w:tcW w:w="244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Neguanje</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color w:val="374151"/>
              </w:rPr>
            </w:pPr>
            <w:r>
              <w:rPr>
                <w:rFonts w:ascii="Century Gothic" w:eastAsia="Century Gothic" w:hAnsi="Century Gothic" w:cs="Century Gothic"/>
                <w:color w:val="374151"/>
              </w:rPr>
              <w:t>Concesión Santa Marta- paraguachón</w:t>
            </w:r>
          </w:p>
        </w:tc>
        <w:tc>
          <w:tcPr>
            <w:tcW w:w="199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color w:val="374151"/>
              </w:rPr>
            </w:pPr>
            <w:r>
              <w:rPr>
                <w:rFonts w:ascii="Century Gothic" w:eastAsia="Century Gothic" w:hAnsi="Century Gothic" w:cs="Century Gothic"/>
                <w:color w:val="374151"/>
              </w:rPr>
              <w:t>$12.300</w:t>
            </w:r>
          </w:p>
        </w:tc>
      </w:tr>
      <w:tr w:rsidR="00D15A6A">
        <w:trPr>
          <w:trHeight w:val="485"/>
        </w:trPr>
        <w:tc>
          <w:tcPr>
            <w:tcW w:w="244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 xml:space="preserve">Puente plato </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Yuma concesionaria</w:t>
            </w:r>
          </w:p>
        </w:tc>
        <w:tc>
          <w:tcPr>
            <w:tcW w:w="199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$11.700</w:t>
            </w:r>
          </w:p>
        </w:tc>
      </w:tr>
      <w:tr w:rsidR="00D15A6A">
        <w:trPr>
          <w:trHeight w:val="485"/>
        </w:trPr>
        <w:tc>
          <w:tcPr>
            <w:tcW w:w="244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 xml:space="preserve">El difícil      </w:t>
            </w:r>
            <w:r>
              <w:rPr>
                <w:rFonts w:ascii="Century Gothic" w:eastAsia="Century Gothic" w:hAnsi="Century Gothic" w:cs="Century Gothic"/>
                <w:b/>
              </w:rPr>
              <w:tab/>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Yuma concesionaria</w:t>
            </w:r>
          </w:p>
        </w:tc>
        <w:tc>
          <w:tcPr>
            <w:tcW w:w="199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$11.700</w:t>
            </w:r>
          </w:p>
        </w:tc>
      </w:tr>
      <w:tr w:rsidR="00D15A6A">
        <w:trPr>
          <w:trHeight w:val="485"/>
        </w:trPr>
        <w:tc>
          <w:tcPr>
            <w:tcW w:w="244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lastRenderedPageBreak/>
              <w:t>Tucurinca</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Yuma concesionaria</w:t>
            </w:r>
          </w:p>
        </w:tc>
        <w:tc>
          <w:tcPr>
            <w:tcW w:w="199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$10.900</w:t>
            </w:r>
          </w:p>
        </w:tc>
      </w:tr>
      <w:tr w:rsidR="00D15A6A">
        <w:trPr>
          <w:trHeight w:val="485"/>
        </w:trPr>
        <w:tc>
          <w:tcPr>
            <w:tcW w:w="244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Reten 1</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Improcos</w:t>
            </w:r>
          </w:p>
        </w:tc>
        <w:tc>
          <w:tcPr>
            <w:tcW w:w="199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$8.700 (T.D)</w:t>
            </w:r>
          </w:p>
        </w:tc>
      </w:tr>
      <w:tr w:rsidR="00D15A6A">
        <w:trPr>
          <w:trHeight w:val="485"/>
        </w:trPr>
        <w:tc>
          <w:tcPr>
            <w:tcW w:w="244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Reten 2</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Improcos</w:t>
            </w:r>
          </w:p>
        </w:tc>
        <w:tc>
          <w:tcPr>
            <w:tcW w:w="1995"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$8.700</w:t>
            </w:r>
          </w:p>
        </w:tc>
      </w:tr>
    </w:tbl>
    <w:p w:rsidR="00D15A6A" w:rsidRDefault="00D15A6A">
      <w:pPr>
        <w:keepLines/>
        <w:spacing w:before="240" w:after="240" w:line="240" w:lineRule="auto"/>
        <w:jc w:val="center"/>
        <w:rPr>
          <w:rFonts w:ascii="Century Gothic" w:eastAsia="Century Gothic" w:hAnsi="Century Gothic" w:cs="Century Gothic"/>
          <w:b/>
        </w:rPr>
      </w:pPr>
    </w:p>
    <w:p w:rsidR="00D15A6A" w:rsidRDefault="00D15A6A">
      <w:pPr>
        <w:keepLines/>
        <w:spacing w:before="240" w:after="240" w:line="240" w:lineRule="auto"/>
        <w:jc w:val="center"/>
        <w:rPr>
          <w:rFonts w:ascii="Century Gothic" w:eastAsia="Century Gothic" w:hAnsi="Century Gothic" w:cs="Century Gothic"/>
          <w:b/>
        </w:rPr>
      </w:pPr>
    </w:p>
    <w:p w:rsidR="00D15A6A" w:rsidRDefault="00D15A6A">
      <w:pPr>
        <w:keepLines/>
        <w:spacing w:before="240" w:after="240" w:line="240" w:lineRule="auto"/>
        <w:jc w:val="center"/>
        <w:rPr>
          <w:rFonts w:ascii="Century Gothic" w:eastAsia="Century Gothic" w:hAnsi="Century Gothic" w:cs="Century Gothic"/>
          <w:b/>
        </w:rPr>
      </w:pPr>
    </w:p>
    <w:p w:rsidR="00D15A6A" w:rsidRDefault="00D9732F">
      <w:pPr>
        <w:keepLines/>
        <w:spacing w:before="240" w:after="240" w:line="240" w:lineRule="auto"/>
        <w:jc w:val="center"/>
        <w:rPr>
          <w:rFonts w:ascii="Century Gothic" w:eastAsia="Century Gothic" w:hAnsi="Century Gothic" w:cs="Century Gothic"/>
          <w:b/>
        </w:rPr>
      </w:pPr>
      <w:r>
        <w:rPr>
          <w:rFonts w:ascii="Century Gothic" w:eastAsia="Century Gothic" w:hAnsi="Century Gothic" w:cs="Century Gothic"/>
          <w:b/>
        </w:rPr>
        <w:t>SUCRE</w:t>
      </w:r>
    </w:p>
    <w:tbl>
      <w:tblPr>
        <w:tblStyle w:val="ae"/>
        <w:tblW w:w="7605" w:type="dxa"/>
        <w:tblInd w:w="1330" w:type="dxa"/>
        <w:tblBorders>
          <w:top w:val="nil"/>
          <w:left w:val="nil"/>
          <w:bottom w:val="nil"/>
          <w:right w:val="nil"/>
          <w:insideH w:val="nil"/>
          <w:insideV w:val="nil"/>
        </w:tblBorders>
        <w:tblLayout w:type="fixed"/>
        <w:tblLook w:val="0600" w:firstRow="0" w:lastRow="0" w:firstColumn="0" w:lastColumn="0" w:noHBand="1" w:noVBand="1"/>
      </w:tblPr>
      <w:tblGrid>
        <w:gridCol w:w="2655"/>
        <w:gridCol w:w="2970"/>
        <w:gridCol w:w="1980"/>
      </w:tblGrid>
      <w:tr w:rsidR="00D15A6A">
        <w:trPr>
          <w:trHeight w:val="485"/>
        </w:trPr>
        <w:tc>
          <w:tcPr>
            <w:tcW w:w="2655"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MUNICIPIO</w:t>
            </w:r>
          </w:p>
        </w:tc>
        <w:tc>
          <w:tcPr>
            <w:tcW w:w="2970"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CONCESIÓN</w:t>
            </w:r>
          </w:p>
        </w:tc>
        <w:tc>
          <w:tcPr>
            <w:tcW w:w="1980"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color w:val="FFFFFF"/>
              </w:rPr>
            </w:pPr>
            <w:r>
              <w:rPr>
                <w:rFonts w:ascii="Century Gothic" w:eastAsia="Century Gothic" w:hAnsi="Century Gothic" w:cs="Century Gothic"/>
                <w:b/>
                <w:color w:val="FFFFFF"/>
              </w:rPr>
              <w:t>VALOR</w:t>
            </w:r>
          </w:p>
        </w:tc>
      </w:tr>
      <w:tr w:rsidR="00D15A6A">
        <w:trPr>
          <w:trHeight w:val="485"/>
        </w:trPr>
        <w:tc>
          <w:tcPr>
            <w:tcW w:w="265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Las caimaneras</w:t>
            </w:r>
          </w:p>
        </w:tc>
        <w:tc>
          <w:tcPr>
            <w:tcW w:w="297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Concesión ruta al mar</w:t>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$15.800 (T.D)</w:t>
            </w:r>
          </w:p>
        </w:tc>
      </w:tr>
      <w:tr w:rsidR="00D15A6A">
        <w:trPr>
          <w:trHeight w:val="485"/>
        </w:trPr>
        <w:tc>
          <w:tcPr>
            <w:tcW w:w="265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La esperanza</w:t>
            </w:r>
          </w:p>
        </w:tc>
        <w:tc>
          <w:tcPr>
            <w:tcW w:w="297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app de la sabana</w:t>
            </w:r>
          </w:p>
        </w:tc>
        <w:tc>
          <w:tcPr>
            <w:tcW w:w="198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$10.600</w:t>
            </w:r>
          </w:p>
        </w:tc>
      </w:tr>
      <w:tr w:rsidR="00D15A6A">
        <w:trPr>
          <w:trHeight w:val="485"/>
        </w:trPr>
        <w:tc>
          <w:tcPr>
            <w:tcW w:w="265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Las flores</w:t>
            </w:r>
          </w:p>
        </w:tc>
        <w:tc>
          <w:tcPr>
            <w:tcW w:w="297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 xml:space="preserve">app de la sabana    </w:t>
            </w:r>
            <w:r>
              <w:rPr>
                <w:rFonts w:ascii="Century Gothic" w:eastAsia="Century Gothic" w:hAnsi="Century Gothic" w:cs="Century Gothic"/>
              </w:rPr>
              <w:tab/>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$6.000</w:t>
            </w:r>
          </w:p>
        </w:tc>
      </w:tr>
      <w:tr w:rsidR="00D15A6A">
        <w:trPr>
          <w:trHeight w:val="342"/>
        </w:trPr>
        <w:tc>
          <w:tcPr>
            <w:tcW w:w="265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b/>
              </w:rPr>
            </w:pPr>
            <w:r>
              <w:rPr>
                <w:rFonts w:ascii="Century Gothic" w:eastAsia="Century Gothic" w:hAnsi="Century Gothic" w:cs="Century Gothic"/>
                <w:b/>
              </w:rPr>
              <w:t>San Onofre</w:t>
            </w:r>
          </w:p>
        </w:tc>
        <w:tc>
          <w:tcPr>
            <w:tcW w:w="297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 xml:space="preserve">Concesión ruta al mar        </w:t>
            </w:r>
            <w:r>
              <w:rPr>
                <w:rFonts w:ascii="Century Gothic" w:eastAsia="Century Gothic" w:hAnsi="Century Gothic" w:cs="Century Gothic"/>
              </w:rPr>
              <w:tab/>
            </w:r>
            <w:r>
              <w:rPr>
                <w:noProof/>
                <w:lang w:val="es-CO"/>
              </w:rPr>
              <mc:AlternateContent>
                <mc:Choice Requires="wps">
                  <w:drawing>
                    <wp:anchor distT="0" distB="0" distL="0" distR="0" simplePos="0" relativeHeight="251662336" behindDoc="1" locked="0" layoutInCell="1" hidden="0" allowOverlap="1">
                      <wp:simplePos x="0" y="0"/>
                      <wp:positionH relativeFrom="column">
                        <wp:posOffset>-266699</wp:posOffset>
                      </wp:positionH>
                      <wp:positionV relativeFrom="paragraph">
                        <wp:posOffset>241300</wp:posOffset>
                      </wp:positionV>
                      <wp:extent cx="2171700" cy="390525"/>
                      <wp:effectExtent l="0" t="0" r="0" b="0"/>
                      <wp:wrapNone/>
                      <wp:docPr id="2043219772" name="Rectángulo 2043219772"/>
                      <wp:cNvGraphicFramePr/>
                      <a:graphic xmlns:a="http://schemas.openxmlformats.org/drawingml/2006/main">
                        <a:graphicData uri="http://schemas.microsoft.com/office/word/2010/wordprocessingShape">
                          <wps:wsp>
                            <wps:cNvSpPr/>
                            <wps:spPr>
                              <a:xfrm>
                                <a:off x="4269675" y="3594263"/>
                                <a:ext cx="2152650" cy="371475"/>
                              </a:xfrm>
                              <a:prstGeom prst="rect">
                                <a:avLst/>
                              </a:prstGeom>
                              <a:solidFill>
                                <a:srgbClr val="FFFFFF"/>
                              </a:solidFill>
                              <a:ln w="9525" cap="flat" cmpd="sng">
                                <a:solidFill>
                                  <a:srgbClr val="FFFFFF"/>
                                </a:solidFill>
                                <a:prstDash val="solid"/>
                                <a:round/>
                                <a:headEnd type="none" w="sm" len="sm"/>
                                <a:tailEnd type="none" w="sm" len="sm"/>
                              </a:ln>
                            </wps:spPr>
                            <wps:txbx>
                              <w:txbxContent>
                                <w:p w:rsidR="00D92574" w:rsidRDefault="00D92574">
                                  <w:pPr>
                                    <w:spacing w:before="240" w:after="240" w:line="275" w:lineRule="auto"/>
                                    <w:jc w:val="both"/>
                                    <w:textDirection w:val="btLr"/>
                                  </w:pPr>
                                  <w:r>
                                    <w:rPr>
                                      <w:color w:val="000000"/>
                                      <w:sz w:val="18"/>
                                    </w:rPr>
                                    <w:t>Fuente: Peajes Colombia - INVIAS</w:t>
                                  </w:r>
                                </w:p>
                                <w:p w:rsidR="00D92574" w:rsidRDefault="00D92574">
                                  <w:pPr>
                                    <w:spacing w:line="275" w:lineRule="auto"/>
                                    <w:textDirection w:val="btLr"/>
                                  </w:pPr>
                                </w:p>
                                <w:p w:rsidR="00D92574" w:rsidRDefault="00D9257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2043219772" o:spid="_x0000_s1026" style="position:absolute;left:0;text-align:left;margin-left:-21pt;margin-top:19pt;width:171pt;height:30.7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" strokecolor="white">
                      <v:stroke startarrowwidth="narrow" startarrowlength="short" endarrowwidth="narrow" endarrowlength="short" joinstyle="round"/>
                      <v:textbox inset="2.53958mm,1.2694mm,2.53958mm,1.2694mm">
                        <w:txbxContent>
                          <w:p w:rsidR="00D92574" w:rsidRDefault="00D92574">
                            <w:pPr>
                              <w:spacing w:before="240" w:after="240" w:line="275" w:lineRule="auto"/>
                              <w:jc w:val="both"/>
                              <w:textDirection w:val="btLr"/>
                            </w:pPr>
                            <w:r>
                              <w:rPr>
                                <w:color w:val="000000"/>
                                <w:sz w:val="18"/>
                              </w:rPr>
                              <w:t>Fuente: Peajes Colombia - INVIAS</w:t>
                            </w:r>
                          </w:p>
                          <w:p w:rsidR="00D92574" w:rsidRDefault="00D92574">
                            <w:pPr>
                              <w:spacing w:line="275" w:lineRule="auto"/>
                              <w:textDirection w:val="btLr"/>
                            </w:pPr>
                          </w:p>
                          <w:p w:rsidR="00D92574" w:rsidRDefault="00D92574">
                            <w:pPr>
                              <w:spacing w:line="275" w:lineRule="auto"/>
                              <w:textDirection w:val="btLr"/>
                            </w:pPr>
                          </w:p>
                        </w:txbxContent>
                      </v:textbox>
                    </v:rect>
                  </w:pict>
                </mc:Fallback>
              </mc:AlternateContent>
            </w:r>
          </w:p>
        </w:tc>
        <w:tc>
          <w:tcPr>
            <w:tcW w:w="1980" w:type="dxa"/>
            <w:tcBorders>
              <w:top w:val="nil"/>
              <w:left w:val="nil"/>
              <w:bottom w:val="single" w:sz="8" w:space="0" w:color="8EAADB"/>
              <w:right w:val="single" w:sz="8" w:space="0" w:color="8EAADB"/>
            </w:tcBorders>
            <w:tcMar>
              <w:top w:w="100" w:type="dxa"/>
              <w:left w:w="100" w:type="dxa"/>
              <w:bottom w:w="100" w:type="dxa"/>
              <w:right w:w="100" w:type="dxa"/>
            </w:tcMar>
          </w:tcPr>
          <w:p w:rsidR="00D15A6A" w:rsidRDefault="00D9732F">
            <w:pPr>
              <w:keepLines/>
              <w:spacing w:line="240" w:lineRule="auto"/>
              <w:jc w:val="both"/>
              <w:rPr>
                <w:rFonts w:ascii="Century Gothic" w:eastAsia="Century Gothic" w:hAnsi="Century Gothic" w:cs="Century Gothic"/>
              </w:rPr>
            </w:pPr>
            <w:r>
              <w:rPr>
                <w:rFonts w:ascii="Century Gothic" w:eastAsia="Century Gothic" w:hAnsi="Century Gothic" w:cs="Century Gothic"/>
              </w:rPr>
              <w:t>$16.100</w:t>
            </w:r>
          </w:p>
        </w:tc>
      </w:tr>
    </w:tbl>
    <w:p w:rsidR="00D15A6A" w:rsidRDefault="00D15A6A">
      <w:pPr>
        <w:keepLines/>
        <w:spacing w:before="240" w:after="240" w:line="240" w:lineRule="auto"/>
        <w:ind w:left="1440"/>
        <w:jc w:val="both"/>
        <w:rPr>
          <w:rFonts w:ascii="Century Gothic" w:eastAsia="Century Gothic" w:hAnsi="Century Gothic" w:cs="Century Gothic"/>
        </w:rPr>
      </w:pPr>
    </w:p>
    <w:p w:rsidR="00D15A6A" w:rsidRDefault="00D9732F">
      <w:pPr>
        <w:keepLines/>
        <w:spacing w:before="240" w:after="240" w:line="240" w:lineRule="auto"/>
        <w:jc w:val="both"/>
        <w:rPr>
          <w:rFonts w:ascii="Century Gothic" w:eastAsia="Century Gothic" w:hAnsi="Century Gothic" w:cs="Century Gothic"/>
        </w:rPr>
      </w:pPr>
      <w:r>
        <w:rPr>
          <w:rFonts w:ascii="Century Gothic" w:eastAsia="Century Gothic" w:hAnsi="Century Gothic" w:cs="Century Gothic"/>
        </w:rPr>
        <w:t>Con la disminución del valor de las tarifas de peajes para vehículos categoría I los domingos y festivos, en los municipios que se encuentran ubicados en lugares estratégicos para el turismo de la Región Caribe, se pretende aumentar el flujo de turistas en las zonas, contribuyendo a los sectores hoteleros, comerciantes, restaurantes, entre otros, que conforman la oferta turística de la región.</w:t>
      </w:r>
    </w:p>
    <w:p w:rsidR="00D15A6A" w:rsidRDefault="00D15A6A">
      <w:pPr>
        <w:keepLines/>
        <w:spacing w:before="240" w:after="240" w:line="240" w:lineRule="auto"/>
        <w:ind w:left="1440"/>
        <w:jc w:val="both"/>
        <w:rPr>
          <w:rFonts w:ascii="Century Gothic" w:eastAsia="Century Gothic" w:hAnsi="Century Gothic" w:cs="Century Gothic"/>
        </w:rPr>
      </w:pPr>
    </w:p>
    <w:p w:rsidR="00D15A6A" w:rsidRDefault="00D9732F">
      <w:pPr>
        <w:numPr>
          <w:ilvl w:val="1"/>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b/>
          <w:color w:val="000000"/>
        </w:rPr>
        <w:lastRenderedPageBreak/>
        <w:t xml:space="preserve">SOBRE LA CONVENIENCIA PARA LOS PEQUEÑOS PRODUCTORES AGROPECUARIOS. </w:t>
      </w:r>
    </w:p>
    <w:p w:rsidR="00D15A6A" w:rsidRDefault="00D15A6A">
      <w:pPr>
        <w:pBdr>
          <w:top w:val="nil"/>
          <w:left w:val="nil"/>
          <w:bottom w:val="nil"/>
          <w:right w:val="nil"/>
          <w:between w:val="nil"/>
        </w:pBdr>
        <w:ind w:left="1440"/>
        <w:jc w:val="both"/>
        <w:rPr>
          <w:rFonts w:ascii="Century Gothic" w:eastAsia="Century Gothic" w:hAnsi="Century Gothic" w:cs="Century Gothic"/>
          <w:b/>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Uno de los principales efectos del aumento en la tarifa de los peajes es para el transporte de carga, por el aumento de costos de logística y fletes. Ello para los grandes productores o importadores no afecta como lo señala Jackeline Pirajan economista de Scotiabank Colpatria.</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i/>
          <w:color w:val="000000"/>
        </w:rPr>
      </w:pPr>
      <w:r>
        <w:rPr>
          <w:rFonts w:ascii="Century Gothic" w:eastAsia="Century Gothic" w:hAnsi="Century Gothic" w:cs="Century Gothic"/>
          <w:i/>
          <w:color w:val="000000"/>
        </w:rPr>
        <w:t>“Sin embargo, el efecto final al consumidor por el incremento de los fletes podría sentirse moderadamente, porque si bien el costo del transporte de carga podría aumentar, el precio de la carga estaría moderándose gracias a menores costos de producción a nivel internacional”</w:t>
      </w:r>
    </w:p>
    <w:p w:rsidR="00D15A6A" w:rsidRDefault="00D15A6A">
      <w:pPr>
        <w:pBdr>
          <w:top w:val="nil"/>
          <w:left w:val="nil"/>
          <w:bottom w:val="nil"/>
          <w:right w:val="nil"/>
          <w:between w:val="nil"/>
        </w:pBdr>
        <w:ind w:left="2160"/>
        <w:jc w:val="both"/>
        <w:rPr>
          <w:rFonts w:ascii="Century Gothic" w:eastAsia="Century Gothic" w:hAnsi="Century Gothic" w:cs="Century Gothic"/>
          <w:i/>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Pero para los pequeños productores agropecuarios que buscan la comercialización directa de sus productos significa una reducción paulatina de competitividad, puesto que la producción a nivel internacional y la importación de productos agrícolas podría afectar directamente los recursos que perciben los millones de campesinos en el país.</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Teniendo como marco referencial los diferentes esfuerzos del Estado Colombiano por proteger al campesinado y al pequeño productor, es menester de este Congreso impulsar acciones que den beneficios y reduzcan las cargas en el transporte y comercialización de cosechas y productos agrícolas y agropecuarios del eslabón más débil en la cadena de comercialización como son los campesinos colombianos. </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Es por ello, por lo que una parte de este proyecto busca no solo establecer una tarifa diferencial para vehículos circundantes a las casetas de peaje, sino ampliar dicho beneficio a pequeños productores agrícolas en los que se demuestre están transportando su producción, esto como medida afirmativa en torno a la soberanía alimentaria y la dignificación campesina.</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La implementación de tarifas diferenciales para pequeños productores agrícolas es una medida crucial para fomentar la equidad y apoyar a un sector vital de la economía que enfrenta desafíos históricos como la falta de vías de comunicación y la intermediación que deja en situaciones de inferioridad manifiesta, asi como desafíos recientes como son las grandes cadenas de producción y transporte que monopolizan y reglamentan informalmente los costos de producción.</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Los pequeños productores agrícolas son fundamentales para el abastecimiento de alimentos y productos agrícolas en las zonas rurales y urbanas del país. Sin embargo, se enfrentan a múltiples barreras que pueden poner en riesgo su viabilidad económica y su capacidad de competir en el mercado. La carga económica impuesta por los peajes es una de estas barreras, y es esencial abordarla para asegurar la sostenibilidad y el desarrollo de este sector. Este proyecto puede contribuir a diversos elementos tales como.</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Reducción de costos indirectos y de intermediación: Los pequeños productores agrícolas a menudo operan con márgenes de beneficio muy estrechos. Los costos indirectos, como las tarifas de peajes y el coste del flete de transporte, pueden representar una carga significativa que afecta su rentabilidad. La tarifa de peaje, en este sentido, no solo incrementa los costos operativos directos del transporte de productos desde las zonas de producción hasta los mercados, sino que también puede impactar indirectamente los precios de los productos agrícolas, afectando tanto a los productores como a los consumidores.</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La reducción del costo de la intermediación entre el productor y el mercado es una prioridad estratégica para mejorar la eficiencia del sistema de comercialización agrícola y aumentar los ingresos de los productores. La intermediación, en muchas ocasiones, representa una carga económica significativa para los productores agrícolas, especialmente los pequeños productores, que ven reducidos sus márgenes de beneficio debido a la presencia de múltiples intermediarios en la cadena de suministro. La reducción de estos costos no solo beneficiaría a los productores, sino que también podría resultar en precios más bajos para los consumidores finales.</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Competitividad y Sostenibilidad: La competitividad de los pequeños productores agrícolas depende en gran medida de su capacidad para mantener bajos costos de producción y transporte. En muchos casos, los pequeños productores compiten con grandes empresas agrícolas que pueden absorber mejor los costos adicionales debido a economías de escala. Las tarifas diferenciales para pequeños productores permitirían equilibrar esta disparidad, brindándoles una ventaja competitiva que les permita seguir operando de manera sostenible y contribuir al abastecimiento alimentario local y nacional. El presente proyecto al darles este beneficio tarifario podrá concebir que el </w:t>
      </w:r>
      <w:r>
        <w:rPr>
          <w:rFonts w:ascii="Century Gothic" w:eastAsia="Century Gothic" w:hAnsi="Century Gothic" w:cs="Century Gothic"/>
          <w:color w:val="000000"/>
        </w:rPr>
        <w:lastRenderedPageBreak/>
        <w:t>producto sea competitivo en mercados nacionales, asi como pueda aumentar el margen de beneficio por sus productos.</w:t>
      </w:r>
    </w:p>
    <w:p w:rsidR="00D15A6A" w:rsidRDefault="00D15A6A">
      <w:pPr>
        <w:pBdr>
          <w:top w:val="nil"/>
          <w:left w:val="nil"/>
          <w:bottom w:val="nil"/>
          <w:right w:val="nil"/>
          <w:between w:val="nil"/>
        </w:pBdr>
        <w:ind w:left="720"/>
        <w:rPr>
          <w:rFonts w:ascii="Century Gothic" w:eastAsia="Century Gothic" w:hAnsi="Century Gothic" w:cs="Century Gothic"/>
          <w:b/>
          <w:color w:val="000000"/>
        </w:rPr>
      </w:pPr>
    </w:p>
    <w:p w:rsidR="00D15A6A" w:rsidRDefault="00D9732F">
      <w:pPr>
        <w:numPr>
          <w:ilvl w:val="1"/>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SOBRE LA CONVENIENCIA PARA UN COBRO JUSTO. </w:t>
      </w:r>
    </w:p>
    <w:p w:rsidR="00D15A6A" w:rsidRDefault="00D15A6A">
      <w:pPr>
        <w:pBdr>
          <w:top w:val="nil"/>
          <w:left w:val="nil"/>
          <w:bottom w:val="nil"/>
          <w:right w:val="nil"/>
          <w:between w:val="nil"/>
        </w:pBdr>
        <w:ind w:left="1440"/>
        <w:jc w:val="both"/>
        <w:rPr>
          <w:rFonts w:ascii="Century Gothic" w:eastAsia="Century Gothic" w:hAnsi="Century Gothic" w:cs="Century Gothic"/>
          <w:b/>
          <w:color w:val="000000"/>
        </w:rPr>
      </w:pPr>
    </w:p>
    <w:p w:rsidR="00D15A6A" w:rsidRDefault="00D9732F">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No es un secreto que uno de los cobros que más inconformidad generan en los colombianos, es el de las tarifas de los peajes, pues el estado de la infraestructura vial en las vías primarias y secundarias, es bastante desolador, pues las mismas constantemente se encuentran averiadas, con huecos, resaltos, desniveles, lo que hace que el tránsito sea lento, peligroso, restringido y que constantemente se deban hacer reparaciones que dificultan en gran manera la movilidad.</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spacing w:after="240"/>
        <w:jc w:val="both"/>
        <w:rPr>
          <w:rFonts w:ascii="Century Gothic" w:eastAsia="Century Gothic" w:hAnsi="Century Gothic" w:cs="Century Gothic"/>
          <w:color w:val="000000"/>
        </w:rPr>
      </w:pPr>
      <w:r>
        <w:rPr>
          <w:rFonts w:ascii="Century Gothic" w:eastAsia="Century Gothic" w:hAnsi="Century Gothic" w:cs="Century Gothic"/>
          <w:color w:val="000000"/>
        </w:rPr>
        <w:t>Por esto, parte de este proyecto, busca incluir dentro de los principios que se deben tener en cuenta para fijar las tasas, tarifas y peajes, consagrados en el artículo 21 de la ley 105 de 1993, específicamente en los literales d) y e), la necesidad de estimar las tasas de las tarifas de peajes en proporción, no solo a las distancias recorridas, las características vehiculares y los costos de operación, sino que también teniendo en cuenta el estado en el que se encuentre la infraestructura vial y el porcentaje de la misma que se encuentre habilitado para el uso; puesto que no es correcto cobrar un monto que sea igual independiente si están habilitados 3 carriles para uso a si solo 1 de esos 3 carriles se encuentra habilitado.</w:t>
      </w:r>
    </w:p>
    <w:p w:rsidR="00D15A6A" w:rsidRDefault="00D9732F">
      <w:pPr>
        <w:spacing w:after="240"/>
        <w:jc w:val="both"/>
        <w:rPr>
          <w:rFonts w:ascii="Century Gothic" w:eastAsia="Century Gothic" w:hAnsi="Century Gothic" w:cs="Century Gothic"/>
        </w:rPr>
      </w:pPr>
      <w:r>
        <w:rPr>
          <w:rFonts w:ascii="Century Gothic" w:eastAsia="Century Gothic" w:hAnsi="Century Gothic" w:cs="Century Gothic"/>
        </w:rPr>
        <w:t>Finalmente, sobre la conveniencia del proyecto presentado, es importante precisar, que  mediante la Resolución Número 20213040030335 del  19 de julio de 2021, se establecieron tarifas diferenciales, cambiando la tarifa de $13.000 pesos a  $700 pesos (año 2021 No incluye FOSEVI) en la estación de peaje denominada la Caimanera del proyecto de Asociación Público Privada de Iniciativa Privada para la conexión de los departamentos de Antioquia, Córdoba, Sucre y Bolívar, en la cual se disminuyeron los valores en los findes de semana, de viernes 12 pm a Domingo 0:00 y lunes festivo hasta las 00:00, en categoría 1E y 2E.</w:t>
      </w:r>
    </w:p>
    <w:p w:rsidR="00D15A6A" w:rsidRDefault="00D9732F">
      <w:pPr>
        <w:spacing w:after="240"/>
        <w:jc w:val="both"/>
        <w:rPr>
          <w:rFonts w:ascii="Century Gothic" w:eastAsia="Century Gothic" w:hAnsi="Century Gothic" w:cs="Century Gothic"/>
        </w:rPr>
      </w:pPr>
      <w:r>
        <w:rPr>
          <w:rFonts w:ascii="Century Gothic" w:eastAsia="Century Gothic" w:hAnsi="Century Gothic" w:cs="Century Gothic"/>
        </w:rPr>
        <w:t xml:space="preserve"> Esta medida, obtuvo un resultado positivo por parte de la comunidad, los gremios, empresarios y hoteleros, los cuales celebran el aumento de los visitantes luego de la implementación de esta tarifa, la cual busca extenderse de manera similar, mediante la implementación de este proyecto de ley en la Región Caribe, generando un mayor impacto en el turismo regional.</w:t>
      </w:r>
    </w:p>
    <w:p w:rsidR="00D15A6A" w:rsidRDefault="00D9732F">
      <w:pPr>
        <w:spacing w:after="240"/>
        <w:ind w:left="720"/>
        <w:jc w:val="both"/>
        <w:rPr>
          <w:rFonts w:ascii="Century Gothic" w:eastAsia="Century Gothic" w:hAnsi="Century Gothic" w:cs="Century Gothic"/>
        </w:rPr>
      </w:pPr>
      <w:r>
        <w:rPr>
          <w:rFonts w:ascii="Century Gothic" w:eastAsia="Century Gothic" w:hAnsi="Century Gothic" w:cs="Century Gothic"/>
        </w:rPr>
        <w:lastRenderedPageBreak/>
        <w:t xml:space="preserve">Con esto se demuestra, que como se ha hecho anteriormente, es posible poder establecer mecanismos para implementar tarifas diferenciales que contribuyan al bienestar de los usuarios de las vías y de los sectores que pueden verse afectados por el alto cobro de los peajes. </w:t>
      </w:r>
    </w:p>
    <w:p w:rsidR="00D15A6A" w:rsidRDefault="00D9732F">
      <w:pPr>
        <w:numPr>
          <w:ilvl w:val="0"/>
          <w:numId w:val="1"/>
        </w:numPr>
        <w:pBdr>
          <w:top w:val="nil"/>
          <w:left w:val="nil"/>
          <w:bottom w:val="nil"/>
          <w:right w:val="nil"/>
          <w:between w:val="nil"/>
        </w:pBdr>
        <w:spacing w:line="240"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ANTECEDENTES LEGISLATIVOS. </w:t>
      </w:r>
    </w:p>
    <w:p w:rsidR="00D15A6A" w:rsidRDefault="00D15A6A">
      <w:pPr>
        <w:pBdr>
          <w:top w:val="nil"/>
          <w:left w:val="nil"/>
          <w:bottom w:val="nil"/>
          <w:right w:val="nil"/>
          <w:between w:val="nil"/>
        </w:pBdr>
        <w:spacing w:line="240" w:lineRule="auto"/>
        <w:jc w:val="both"/>
        <w:rPr>
          <w:rFonts w:ascii="Century Gothic" w:eastAsia="Century Gothic" w:hAnsi="Century Gothic" w:cs="Century Gothic"/>
          <w:b/>
        </w:rPr>
      </w:pPr>
    </w:p>
    <w:p w:rsidR="00D15A6A" w:rsidRDefault="00D15A6A">
      <w:pPr>
        <w:spacing w:line="240" w:lineRule="auto"/>
        <w:ind w:left="720"/>
        <w:rPr>
          <w:rFonts w:ascii="Century Gothic" w:eastAsia="Century Gothic" w:hAnsi="Century Gothic" w:cs="Century Gothic"/>
          <w:b/>
        </w:rPr>
      </w:pPr>
    </w:p>
    <w:p w:rsidR="00D15A6A" w:rsidRDefault="00D9732F">
      <w:pPr>
        <w:spacing w:line="240" w:lineRule="auto"/>
        <w:jc w:val="both"/>
        <w:rPr>
          <w:rFonts w:ascii="Century Gothic" w:eastAsia="Century Gothic" w:hAnsi="Century Gothic" w:cs="Century Gothic"/>
        </w:rPr>
      </w:pPr>
      <w:r>
        <w:rPr>
          <w:rFonts w:ascii="Century Gothic" w:eastAsia="Century Gothic" w:hAnsi="Century Gothic" w:cs="Century Gothic"/>
        </w:rPr>
        <w:t>La presente iniciativa se radicó mediante unificación durante el mes de mayo del año 2025, conformada por:</w:t>
      </w:r>
    </w:p>
    <w:p w:rsidR="00D15A6A" w:rsidRDefault="00D15A6A">
      <w:pPr>
        <w:spacing w:line="240" w:lineRule="auto"/>
        <w:jc w:val="both"/>
        <w:rPr>
          <w:rFonts w:ascii="Century Gothic" w:eastAsia="Century Gothic" w:hAnsi="Century Gothic" w:cs="Century Gothic"/>
        </w:rPr>
      </w:pPr>
    </w:p>
    <w:p w:rsidR="00D15A6A" w:rsidRDefault="00D9732F">
      <w:pPr>
        <w:numPr>
          <w:ilvl w:val="0"/>
          <w:numId w:val="7"/>
        </w:numPr>
        <w:spacing w:line="240" w:lineRule="auto"/>
        <w:jc w:val="both"/>
      </w:pPr>
      <w:r>
        <w:rPr>
          <w:rFonts w:ascii="Century Gothic" w:eastAsia="Century Gothic" w:hAnsi="Century Gothic" w:cs="Century Gothic"/>
        </w:rPr>
        <w:t>El proyecto de</w:t>
      </w:r>
      <w:r>
        <w:rPr>
          <w:rFonts w:ascii="Century Gothic" w:eastAsia="Century Gothic" w:hAnsi="Century Gothic" w:cs="Century Gothic"/>
          <w:b/>
        </w:rPr>
        <w:t xml:space="preserve"> </w:t>
      </w:r>
      <w:r>
        <w:rPr>
          <w:rFonts w:ascii="Century Gothic" w:eastAsia="Century Gothic" w:hAnsi="Century Gothic" w:cs="Century Gothic"/>
        </w:rPr>
        <w:t xml:space="preserve">ley 008 de 2024 Cámara </w:t>
      </w:r>
      <w:r>
        <w:rPr>
          <w:rFonts w:ascii="Century Gothic" w:eastAsia="Century Gothic" w:hAnsi="Century Gothic" w:cs="Century Gothic"/>
          <w:i/>
        </w:rPr>
        <w:t>“Por medio de la cual se establecen parámetros para reducir el valor de las tasas y tarifas de los peajes y se dictan otras disposiciones</w:t>
      </w:r>
      <w:r>
        <w:rPr>
          <w:rFonts w:ascii="Century Gothic" w:eastAsia="Century Gothic" w:hAnsi="Century Gothic" w:cs="Century Gothic"/>
        </w:rPr>
        <w:t xml:space="preserve">”, fue radicado el 20 de Julio de 2024, con la autoría de los honorables representantes;  Juan Carlos Wills Ospina, Leonardo de Jesús Gallego Arroyave, Armando Antonio Zabaraín de Arce, Luis David Suárez Chadid , James Hermenegildo Mosquera Torres, Teresa De Jesús Enríquez Rosero, Ángela María Vergara González, César Cristian Gómez Castro, Oscar Rodrigo Campo Hurtado, Eduard Giovanny Sarmiento Hidalgo, Juan Daniel Peñuela Calvache, Luis Ramiro Ricardo Buelvas, Jorge Alberto Cerchiaro Figueroa y del H.S German Alcides Blanco. </w:t>
      </w:r>
    </w:p>
    <w:p w:rsidR="00D15A6A" w:rsidRDefault="00D15A6A">
      <w:pPr>
        <w:spacing w:line="240" w:lineRule="auto"/>
        <w:ind w:left="720"/>
        <w:jc w:val="both"/>
        <w:rPr>
          <w:rFonts w:ascii="Century Gothic" w:eastAsia="Century Gothic" w:hAnsi="Century Gothic" w:cs="Century Gothic"/>
        </w:rPr>
      </w:pPr>
    </w:p>
    <w:p w:rsidR="00D15A6A" w:rsidRDefault="00D9732F">
      <w:pPr>
        <w:numPr>
          <w:ilvl w:val="0"/>
          <w:numId w:val="7"/>
        </w:numPr>
        <w:spacing w:line="240" w:lineRule="auto"/>
        <w:jc w:val="both"/>
        <w:rPr>
          <w:rFonts w:ascii="Century Gothic" w:eastAsia="Century Gothic" w:hAnsi="Century Gothic" w:cs="Century Gothic"/>
        </w:rPr>
      </w:pPr>
      <w:r>
        <w:rPr>
          <w:rFonts w:ascii="Century Gothic" w:eastAsia="Century Gothic" w:hAnsi="Century Gothic" w:cs="Century Gothic"/>
        </w:rPr>
        <w:t>El proyecto de ley 103 de 2024 Cámara, “</w:t>
      </w:r>
      <w:r>
        <w:rPr>
          <w:rFonts w:ascii="Century Gothic" w:eastAsia="Century Gothic" w:hAnsi="Century Gothic" w:cs="Century Gothic"/>
          <w:i/>
        </w:rPr>
        <w:t xml:space="preserve">Por medio del cual se modifica la ley 105 de 1993 y se estructura tarifa diferencial en los peajes de la infraestructura de transporte”, </w:t>
      </w:r>
      <w:r>
        <w:rPr>
          <w:rFonts w:ascii="Century Gothic" w:eastAsia="Century Gothic" w:hAnsi="Century Gothic" w:cs="Century Gothic"/>
        </w:rPr>
        <w:t>fue radicado el 30 de Julio de 2024, con la autoría de los honorables Representantes Carlos Felipe Quintero Ovalle, Álvaro Leonel Rueda caballero, Karyme Adrana Cotes Martínez, Jorge Alberto Cerchiaro Figueroa, Jhoany Carlos Alberto Palacios Mosquera, Hugo Alfonso Archila Suárez, Luis Carlos Ochoa Tobón, Hugo Danilo Lozano Pimiento, Dolcey Oscar Torres Romero y Gilma Díaz Arias</w:t>
      </w:r>
    </w:p>
    <w:p w:rsidR="00D15A6A" w:rsidRDefault="00D15A6A">
      <w:pPr>
        <w:spacing w:line="240" w:lineRule="auto"/>
        <w:ind w:left="720"/>
        <w:jc w:val="both"/>
        <w:rPr>
          <w:rFonts w:ascii="Century Gothic" w:eastAsia="Century Gothic" w:hAnsi="Century Gothic" w:cs="Century Gothic"/>
          <w:i/>
        </w:rPr>
      </w:pPr>
    </w:p>
    <w:p w:rsidR="00D15A6A" w:rsidRDefault="00D9732F">
      <w:pPr>
        <w:numPr>
          <w:ilvl w:val="0"/>
          <w:numId w:val="7"/>
        </w:numPr>
        <w:spacing w:line="240" w:lineRule="auto"/>
        <w:jc w:val="both"/>
        <w:rPr>
          <w:rFonts w:ascii="Century Gothic" w:eastAsia="Century Gothic" w:hAnsi="Century Gothic" w:cs="Century Gothic"/>
        </w:rPr>
      </w:pPr>
      <w:r>
        <w:rPr>
          <w:rFonts w:ascii="Century Gothic" w:eastAsia="Century Gothic" w:hAnsi="Century Gothic" w:cs="Century Gothic"/>
        </w:rPr>
        <w:t>El proyecto de ley 185 de 2024 Cámara, “</w:t>
      </w:r>
      <w:r>
        <w:rPr>
          <w:rFonts w:ascii="Century Gothic" w:eastAsia="Century Gothic" w:hAnsi="Century Gothic" w:cs="Century Gothic"/>
          <w:i/>
        </w:rPr>
        <w:t xml:space="preserve">Por medio del cual se modifica la Ley 105 de 1993 y se establece una tarifa diferencial en la estación de peajes de los municipios de los departamentos de la región Caribe, en días domingos y festivos.” </w:t>
      </w:r>
      <w:r>
        <w:rPr>
          <w:rFonts w:ascii="Century Gothic" w:eastAsia="Century Gothic" w:hAnsi="Century Gothic" w:cs="Century Gothic"/>
        </w:rPr>
        <w:t xml:space="preserve">Fue radicado el 14 de agosto de 2024, con la autoría de los honorables representantes, Modesto Enrique Aguilera Vides, Bayardo Gilberto Betancourt Pérez, Betsy Judith Pérez Arango, Jairo Humberto Cristo Correa, Javier Alexander Sánchez Reyes, Néstor Leonardo Rico Rico, Oscar Rodrigo Campo Hurtado, Sandra Milena Ramírez Caviedes, Luz Ayda Pastrana Loaiza, Hernando González, Mauricio Parodi Díaz, Jorge Méndez Hernández y los honorables senadores, Antonio Luis Zabaraín Guevara y Carlos Mario Farelo Daza. </w:t>
      </w:r>
    </w:p>
    <w:p w:rsidR="00D15A6A" w:rsidRDefault="00D15A6A">
      <w:pPr>
        <w:spacing w:line="240" w:lineRule="auto"/>
        <w:ind w:left="720"/>
        <w:jc w:val="both"/>
        <w:rPr>
          <w:rFonts w:ascii="Century Gothic" w:eastAsia="Century Gothic" w:hAnsi="Century Gothic" w:cs="Century Gothic"/>
        </w:rPr>
      </w:pPr>
    </w:p>
    <w:p w:rsidR="00D15A6A" w:rsidRDefault="00D9732F">
      <w:pPr>
        <w:spacing w:line="240" w:lineRule="auto"/>
        <w:jc w:val="both"/>
        <w:rPr>
          <w:rFonts w:ascii="Century Gothic" w:eastAsia="Century Gothic" w:hAnsi="Century Gothic" w:cs="Century Gothic"/>
          <w:b/>
        </w:rPr>
      </w:pPr>
      <w:r>
        <w:rPr>
          <w:rFonts w:ascii="Century Gothic" w:eastAsia="Century Gothic" w:hAnsi="Century Gothic" w:cs="Century Gothic"/>
          <w:highlight w:val="white"/>
        </w:rPr>
        <w:t>Por instrucción de la mesa directiva de la Comisión Sexta Constitucional Permanente de la Cámara de Representantes, en el mes de marzo del año 2025, se designaron ponentes para presentar informe de ponencia para primer debate</w:t>
      </w:r>
      <w:r>
        <w:rPr>
          <w:rFonts w:ascii="Century Gothic" w:eastAsia="Century Gothic" w:hAnsi="Century Gothic" w:cs="Century Gothic"/>
        </w:rPr>
        <w:t xml:space="preserve"> a los tres proyectos acumulados, no obstante, </w:t>
      </w:r>
      <w:r>
        <w:rPr>
          <w:rFonts w:ascii="Century Gothic" w:eastAsia="Century Gothic" w:hAnsi="Century Gothic" w:cs="Century Gothic"/>
          <w:b/>
        </w:rPr>
        <w:t>no se llevó a cabo debate por lo que el proyecto fue archivado por artículo 190 de ley 5 de 1992.</w:t>
      </w:r>
    </w:p>
    <w:p w:rsidR="00D15A6A" w:rsidRDefault="00D15A6A">
      <w:pPr>
        <w:pBdr>
          <w:top w:val="nil"/>
          <w:left w:val="nil"/>
          <w:bottom w:val="nil"/>
          <w:right w:val="nil"/>
          <w:between w:val="nil"/>
        </w:pBdr>
        <w:spacing w:line="240" w:lineRule="auto"/>
        <w:jc w:val="both"/>
        <w:rPr>
          <w:rFonts w:ascii="Century Gothic" w:eastAsia="Century Gothic" w:hAnsi="Century Gothic" w:cs="Century Gothic"/>
          <w:b/>
        </w:rPr>
      </w:pP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b/>
          <w:color w:val="000000"/>
        </w:rPr>
      </w:pPr>
    </w:p>
    <w:p w:rsidR="00D15A6A" w:rsidRDefault="00D9732F">
      <w:pPr>
        <w:pBdr>
          <w:top w:val="nil"/>
          <w:left w:val="nil"/>
          <w:bottom w:val="nil"/>
          <w:right w:val="nil"/>
          <w:between w:val="nil"/>
        </w:pBdr>
        <w:spacing w:after="240" w:line="240" w:lineRule="auto"/>
        <w:jc w:val="both"/>
        <w:rPr>
          <w:rFonts w:ascii="Century Gothic" w:eastAsia="Century Gothic" w:hAnsi="Century Gothic" w:cs="Century Gothic"/>
          <w:b/>
          <w:color w:val="000000"/>
        </w:rPr>
      </w:pPr>
      <w:r>
        <w:rPr>
          <w:rFonts w:ascii="Century Gothic" w:eastAsia="Century Gothic" w:hAnsi="Century Gothic" w:cs="Century Gothic"/>
          <w:color w:val="000000"/>
        </w:rPr>
        <w:t>Se han presentado diversas iniciativas, con objetos similares al presente proyecto de ley tales como:</w:t>
      </w:r>
    </w:p>
    <w:p w:rsidR="00D15A6A" w:rsidRDefault="00D15A6A">
      <w:pPr>
        <w:jc w:val="both"/>
        <w:rPr>
          <w:rFonts w:ascii="Century Gothic" w:eastAsia="Century Gothic" w:hAnsi="Century Gothic" w:cs="Century Gothic"/>
          <w:b/>
        </w:rPr>
      </w:pPr>
    </w:p>
    <w:p w:rsidR="00D15A6A" w:rsidRDefault="00D9732F">
      <w:pPr>
        <w:numPr>
          <w:ilvl w:val="0"/>
          <w:numId w:val="2"/>
        </w:numPr>
        <w:pBdr>
          <w:top w:val="nil"/>
          <w:left w:val="nil"/>
          <w:bottom w:val="nil"/>
          <w:right w:val="nil"/>
          <w:between w:val="nil"/>
        </w:pBdr>
        <w:spacing w:line="240" w:lineRule="auto"/>
        <w:ind w:left="720"/>
        <w:jc w:val="both"/>
      </w:pPr>
      <w:r>
        <w:rPr>
          <w:rFonts w:ascii="Century Gothic" w:eastAsia="Century Gothic" w:hAnsi="Century Gothic" w:cs="Century Gothic"/>
          <w:b/>
          <w:color w:val="000000"/>
        </w:rPr>
        <w:t>El Proyecto de Ley 602 de 2021 Cámara “Por medio del cual se modifican la ley 105 de 1993 y la ley 1508 de 2012; y se reestructura la política tarifaria de los peajes en la infraestructura de transporte</w:t>
      </w:r>
      <w:r>
        <w:rPr>
          <w:rFonts w:ascii="Century Gothic" w:eastAsia="Century Gothic" w:hAnsi="Century Gothic" w:cs="Century Gothic"/>
          <w:color w:val="000000"/>
        </w:rPr>
        <w:t>, este proyecto tiene como objetivo la creación de lineamientos para la fijación de tarifas, incrementos anuales y distancias mínimas correspondientes a los peajes en la infraestructura de transporte a cargo de la Nación y de las entidades territoriales, este proyecto fue radicado el 26 de abril de 2021 en la Secretaría General de la Cámara, por los honorables representantes Fabián Díaz Plata, Rodrigo Rojas Lara, León Fredy Muñoz, Mauricio Andrés Toro, Carlos Eduardo Acosta, Edwin Fabian Orduz, John Jairo Roldán Avendaño, José Pizarro Rodríguez, Karina Rojano; y los Honorables Senadores Jorge Eliecer Guevara, Aida Avella Esquivel y Griselda Lobo Silva. Posteriormente, por designación de la Mesa Directiva de la Honorable Comisión Sexta Constitucional de la Cámara se nombraron como ponentes para el estudio de esa iniciativa legislativa a los H.R. Rodrigo Rojas coordinador ponente, León Fredy Muñoz y Aquileo Medina quienes presentaron ponencia positiva publicada en 24 de mayo de 2021.</w:t>
      </w:r>
    </w:p>
    <w:p w:rsidR="00D15A6A" w:rsidRDefault="00D15A6A">
      <w:pPr>
        <w:jc w:val="both"/>
        <w:rPr>
          <w:rFonts w:ascii="Century Gothic" w:eastAsia="Century Gothic" w:hAnsi="Century Gothic" w:cs="Century Gothic"/>
        </w:rPr>
      </w:pPr>
    </w:p>
    <w:p w:rsidR="00D15A6A" w:rsidRDefault="00D9732F">
      <w:pPr>
        <w:numPr>
          <w:ilvl w:val="0"/>
          <w:numId w:val="2"/>
        </w:num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color w:val="000000"/>
        </w:rPr>
        <w:t>El proyecto de Ley fue aprobado por la Comisión Sexta de la Cámara de Representantes el día 15 de junio de 2021, con el compromiso de adelantar audiencias públicas para poder escuchar a los sectores involucrados. Seguidamente, se nombró una subcomisión integrada por los H.R. Rodrigo Rojas, Aquileo Medina, León Fredy Muñoz, Emeterio Montes, Milton Angulo, Monica Raigoza, Martha Villalba y Esteban Quintero designada para revisar el contenido y alcance del texto propuesto para segundo debate, para unificar criterios sobre la materia y posteriormente rendir un informe a la comisión.</w:t>
      </w:r>
    </w:p>
    <w:p w:rsidR="00D15A6A" w:rsidRDefault="00D15A6A">
      <w:pPr>
        <w:pBdr>
          <w:top w:val="nil"/>
          <w:left w:val="nil"/>
          <w:bottom w:val="nil"/>
          <w:right w:val="nil"/>
          <w:between w:val="nil"/>
        </w:pBdr>
        <w:ind w:left="720"/>
        <w:rPr>
          <w:rFonts w:ascii="Century Gothic" w:eastAsia="Century Gothic" w:hAnsi="Century Gothic" w:cs="Century Gothic"/>
          <w:color w:val="000000"/>
        </w:rPr>
      </w:pPr>
    </w:p>
    <w:p w:rsidR="00D15A6A" w:rsidRDefault="00D9732F">
      <w:pPr>
        <w:pBdr>
          <w:top w:val="nil"/>
          <w:left w:val="nil"/>
          <w:bottom w:val="nil"/>
          <w:right w:val="nil"/>
          <w:between w:val="nil"/>
        </w:pBdr>
        <w:ind w:left="1440"/>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El informe de ponencia para segundo debate del presente proyecto de ley fue socializado el 21 de diciembre de 2021 entre los honorables Representantes integrantes de la subcomisión creada para revisar el texto propuesto.</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pBdr>
          <w:top w:val="nil"/>
          <w:left w:val="nil"/>
          <w:bottom w:val="nil"/>
          <w:right w:val="nil"/>
          <w:between w:val="nil"/>
        </w:pBdr>
        <w:ind w:left="1440"/>
        <w:jc w:val="both"/>
        <w:rPr>
          <w:rFonts w:ascii="Century Gothic" w:eastAsia="Century Gothic" w:hAnsi="Century Gothic" w:cs="Century Gothic"/>
          <w:color w:val="000000"/>
        </w:rPr>
      </w:pPr>
      <w:r>
        <w:rPr>
          <w:rFonts w:ascii="Century Gothic" w:eastAsia="Century Gothic" w:hAnsi="Century Gothic" w:cs="Century Gothic"/>
          <w:color w:val="000000"/>
        </w:rPr>
        <w:t>Actualmente el proyecto se encuentra archivado por tránsito de legislatura.</w:t>
      </w:r>
    </w:p>
    <w:p w:rsidR="00D15A6A" w:rsidRDefault="00D15A6A">
      <w:pPr>
        <w:pBdr>
          <w:top w:val="nil"/>
          <w:left w:val="nil"/>
          <w:bottom w:val="nil"/>
          <w:right w:val="nil"/>
          <w:between w:val="nil"/>
        </w:pBdr>
        <w:ind w:left="1440"/>
        <w:jc w:val="both"/>
        <w:rPr>
          <w:rFonts w:ascii="Century Gothic" w:eastAsia="Century Gothic" w:hAnsi="Century Gothic" w:cs="Century Gothic"/>
          <w:color w:val="000000"/>
        </w:rPr>
      </w:pPr>
    </w:p>
    <w:p w:rsidR="00D15A6A" w:rsidRDefault="00D9732F">
      <w:pPr>
        <w:numPr>
          <w:ilvl w:val="0"/>
          <w:numId w:val="2"/>
        </w:numPr>
        <w:pBdr>
          <w:top w:val="nil"/>
          <w:left w:val="nil"/>
          <w:bottom w:val="nil"/>
          <w:right w:val="nil"/>
          <w:between w:val="nil"/>
        </w:pBdr>
        <w:spacing w:line="240" w:lineRule="auto"/>
        <w:jc w:val="both"/>
      </w:pPr>
      <w:r>
        <w:rPr>
          <w:rFonts w:ascii="Century Gothic" w:eastAsia="Century Gothic" w:hAnsi="Century Gothic" w:cs="Century Gothic"/>
          <w:color w:val="000000"/>
        </w:rPr>
        <w:t xml:space="preserve">Se radicó el </w:t>
      </w:r>
      <w:r>
        <w:rPr>
          <w:rFonts w:ascii="Century Gothic" w:eastAsia="Century Gothic" w:hAnsi="Century Gothic" w:cs="Century Gothic"/>
          <w:b/>
          <w:color w:val="000000"/>
        </w:rPr>
        <w:t>Proyecto de Ley Número 188 de 2022 cámara, “Por medio del cual se exonera a todas las personas con discapacidad del pago del 100% de tasas y tarifas de peajes por todas las carreteras y autopistas de Colombia, modificando y adicionando artículos de la Ley 105 de 1993 y se dictan otras disposiciones”</w:t>
      </w:r>
      <w:r>
        <w:rPr>
          <w:rFonts w:ascii="Century Gothic" w:eastAsia="Century Gothic" w:hAnsi="Century Gothic" w:cs="Century Gothic"/>
          <w:color w:val="000000"/>
        </w:rPr>
        <w:t xml:space="preserve">, iniciativa de los honorables Senadores Sandra Ramírez Lobo, Imelda Daza Cotes, Omar de Jesús Restrepo Correa, Julián Gallo Cubillos, Pablo Catatumbo Torres Victoria y los honorables Representantes Carlos Alberto Carreño Marín, Luis Alberto Albán  Urbano, Jairo Reinaldo Cala Suarez, German Gómez López y Pedro Baracutao García Ospina; radicado en la Secretaría General de la Cámara de Representantes el 7 de Septiembre de 2022, la misma se remitió a la Comisión Sexta Constitucional Permanente de la Cámara de Representantes y se designó como Coordinador Ponente el honorable Representante Pedro Baracutao García Ospina y como ponente al honorable Representante Daniel Carvalho, el presente proyecto se encuentra en trámite en la comisión sexta o de transporte y comunicaciones. </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numPr>
          <w:ilvl w:val="0"/>
          <w:numId w:val="2"/>
        </w:numPr>
        <w:pBdr>
          <w:top w:val="nil"/>
          <w:left w:val="nil"/>
          <w:bottom w:val="nil"/>
          <w:right w:val="nil"/>
          <w:between w:val="nil"/>
        </w:pBdr>
        <w:spacing w:line="240" w:lineRule="auto"/>
        <w:jc w:val="both"/>
        <w:rPr>
          <w:b/>
          <w:color w:val="000000"/>
        </w:rPr>
      </w:pPr>
      <w:r>
        <w:rPr>
          <w:rFonts w:ascii="Century Gothic" w:eastAsia="Century Gothic" w:hAnsi="Century Gothic" w:cs="Century Gothic"/>
          <w:b/>
          <w:color w:val="000000"/>
        </w:rPr>
        <w:t xml:space="preserve">Proyecto de Ley 030 de 2022 Cámara “Por medio del cual se modifica el artículo 21 de la ley 105 de 1992”, </w:t>
      </w:r>
      <w:r>
        <w:rPr>
          <w:rFonts w:ascii="Century Gothic" w:eastAsia="Century Gothic" w:hAnsi="Century Gothic" w:cs="Century Gothic"/>
          <w:color w:val="000000"/>
        </w:rPr>
        <w:t xml:space="preserve">iniciativa presentada por el honorable representante </w:t>
      </w:r>
      <w:hyperlink r:id="rId16">
        <w:r>
          <w:rPr>
            <w:rFonts w:ascii="Century Gothic" w:eastAsia="Century Gothic" w:hAnsi="Century Gothic" w:cs="Century Gothic"/>
            <w:color w:val="000000"/>
          </w:rPr>
          <w:t>Juan Carlos Wills Ospina</w:t>
        </w:r>
      </w:hyperlink>
      <w:r>
        <w:rPr>
          <w:rFonts w:ascii="Century Gothic" w:eastAsia="Century Gothic" w:hAnsi="Century Gothic" w:cs="Century Gothic"/>
          <w:color w:val="000000"/>
        </w:rPr>
        <w:t xml:space="preserve">, la cual tiene como objetivo tener en cuenta el estado de la infraestructura vial y el porcentaje habilitado para uso de la infraestructura vial, como factores para la tarifa, el presente proyecto se encuentra en trámite en la comisión sexta o de transporte y comunicaciones. </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numPr>
          <w:ilvl w:val="0"/>
          <w:numId w:val="2"/>
        </w:numPr>
        <w:pBdr>
          <w:top w:val="nil"/>
          <w:left w:val="nil"/>
          <w:bottom w:val="nil"/>
          <w:right w:val="nil"/>
          <w:between w:val="nil"/>
        </w:pBdr>
        <w:spacing w:line="240" w:lineRule="auto"/>
        <w:jc w:val="both"/>
        <w:rPr>
          <w:b/>
          <w:color w:val="000000"/>
        </w:rPr>
      </w:pPr>
      <w:r>
        <w:rPr>
          <w:rFonts w:ascii="Century Gothic" w:eastAsia="Century Gothic" w:hAnsi="Century Gothic" w:cs="Century Gothic"/>
          <w:b/>
          <w:color w:val="000000"/>
        </w:rPr>
        <w:t xml:space="preserve">Proyecto de Ley 096 de 2020 Cámara, “´Por medio del cual se dictan medidas en relación con los peajes”, </w:t>
      </w:r>
      <w:r>
        <w:rPr>
          <w:rFonts w:ascii="Century Gothic" w:eastAsia="Century Gothic" w:hAnsi="Century Gothic" w:cs="Century Gothic"/>
          <w:color w:val="000000"/>
        </w:rPr>
        <w:t xml:space="preserve">proyecto de ley presentado por el Honorable representante Fabian Diaz Plata, la cual tiene por objeto diseñar una regulación mínima para la reestructuración en término de tarifas e infraestructura de los diferentes peajes de concesiones privadas, públicas o mixtas de las carreteras nacionales, generando consigo las </w:t>
      </w:r>
      <w:r>
        <w:rPr>
          <w:rFonts w:ascii="Century Gothic" w:eastAsia="Century Gothic" w:hAnsi="Century Gothic" w:cs="Century Gothic"/>
          <w:color w:val="000000"/>
        </w:rPr>
        <w:lastRenderedPageBreak/>
        <w:t>disposiciones necesarias para evitar abusos en materia de cobro y frecuencia de cobro para los usuarios de las vías primarias y secundarias del país, actualmente, el proyecto se encuentra archivado.</w:t>
      </w:r>
    </w:p>
    <w:p w:rsidR="00D15A6A" w:rsidRDefault="00D15A6A">
      <w:pPr>
        <w:pBdr>
          <w:top w:val="nil"/>
          <w:left w:val="nil"/>
          <w:bottom w:val="nil"/>
          <w:right w:val="nil"/>
          <w:between w:val="nil"/>
        </w:pBdr>
        <w:jc w:val="both"/>
        <w:rPr>
          <w:rFonts w:ascii="Century Gothic" w:eastAsia="Century Gothic" w:hAnsi="Century Gothic" w:cs="Century Gothic"/>
        </w:rPr>
      </w:pPr>
    </w:p>
    <w:p w:rsidR="00D15A6A" w:rsidRDefault="00D9732F">
      <w:pPr>
        <w:numPr>
          <w:ilvl w:val="0"/>
          <w:numId w:val="2"/>
        </w:numPr>
        <w:pBdr>
          <w:top w:val="nil"/>
          <w:left w:val="nil"/>
          <w:bottom w:val="nil"/>
          <w:right w:val="nil"/>
          <w:between w:val="nil"/>
        </w:pBdr>
        <w:spacing w:line="240" w:lineRule="auto"/>
        <w:jc w:val="both"/>
        <w:rPr>
          <w:b/>
          <w:color w:val="000000"/>
        </w:rPr>
      </w:pPr>
      <w:r>
        <w:rPr>
          <w:rFonts w:ascii="Century Gothic" w:eastAsia="Century Gothic" w:hAnsi="Century Gothic" w:cs="Century Gothic"/>
          <w:b/>
          <w:color w:val="000000"/>
        </w:rPr>
        <w:t xml:space="preserve">Resolución de 29 de junio de 2021 por el cual se establecen tarifas diferenciales de peaje denominado las caimaneras del proyecto de asociación público privada de iniciativa privada para la conexión de los departamentos de Antioquia, córdoba, sucre y Bolívar, y se dictan otras disposiciones. </w:t>
      </w:r>
      <w:r>
        <w:rPr>
          <w:rFonts w:ascii="Century Gothic" w:eastAsia="Century Gothic" w:hAnsi="Century Gothic" w:cs="Century Gothic"/>
          <w:color w:val="000000"/>
        </w:rPr>
        <w:t>Conforme a las funciones y competencias de la Agencia Nacional de Infraestructura de conformidad con el Decreto 4165 de 2011 como entidad del sector descentralizado de la Rama Ejecutiva del Orden Nacional, con personería jurídica y autonomía administrativa, financiera y técnica, que tiene por objeto planear, coordinar, estructurar, contratar, ejecutar, administrar y evaluar proyectos de concesiones y otras formas de Asociación Público Privada (APP), para el diseño, construcción, mantenimiento, operación, administración y/o explotación de la infraestructura pública de transporte en todos sus modos y de los servicios conexos o relacionados, y en atención a su conocimiento y análisis técnicos, reuniones de socialización, concertación y acuerdos con usuarios y comunidades, llevados a cabo en virtud de sus competencias funcionales, ha propuesto la expedición del presente acto administrativo. Que mediante memorando con número de radicado 20211410076443 del 30 de junio de 2021, la Oficina de Regulación Económica del Ministerio de Transporte en cumplimiento de lo establecido en el numeral 9.8. del artículo 9 del Decreto 087 de 2011 analizó y viabilizó el otorgamiento de tarifas diferenciales para las categorías 1 y 2 en la estación de peaje la Caimanera, para los vehículos particulares y buses que transiten Que mediante memorando con número de radicado 20211410076443 del 30 de junio de 2021, la Oficina de Regulación Económica del Ministerio de Transporte en cumplimiento de lo establecido en el numeral 9.8. del artículo 9 del Decreto 087 de 2011 analizó y viabilizó el otorgamiento de tarifas diferenciales para las categorías 1 y 2 en la estación de peaje la Caimanera, para los vehículos particulares y buses que transitan los días viernes desde las 12.00 pm hasta las 00:00 horas del día Domingo o Lunes Festivos en el corredor Coveñas-Tolú.</w:t>
      </w:r>
    </w:p>
    <w:p w:rsidR="00D15A6A" w:rsidRDefault="00D15A6A">
      <w:pPr>
        <w:pBdr>
          <w:top w:val="nil"/>
          <w:left w:val="nil"/>
          <w:bottom w:val="nil"/>
          <w:right w:val="nil"/>
          <w:between w:val="nil"/>
        </w:pBdr>
        <w:ind w:firstLine="720"/>
        <w:jc w:val="both"/>
        <w:rPr>
          <w:rFonts w:ascii="Century Gothic" w:eastAsia="Century Gothic" w:hAnsi="Century Gothic" w:cs="Century Gothic"/>
          <w:b/>
        </w:rPr>
      </w:pPr>
    </w:p>
    <w:p w:rsidR="00D15A6A" w:rsidRDefault="00D9732F">
      <w:pPr>
        <w:numPr>
          <w:ilvl w:val="0"/>
          <w:numId w:val="2"/>
        </w:numPr>
        <w:pBdr>
          <w:top w:val="nil"/>
          <w:left w:val="nil"/>
          <w:bottom w:val="nil"/>
          <w:right w:val="nil"/>
          <w:between w:val="nil"/>
        </w:pBdr>
        <w:jc w:val="both"/>
      </w:pPr>
      <w:r>
        <w:rPr>
          <w:rFonts w:ascii="Century Gothic" w:eastAsia="Century Gothic" w:hAnsi="Century Gothic" w:cs="Century Gothic"/>
          <w:b/>
          <w:color w:val="000000"/>
        </w:rPr>
        <w:t xml:space="preserve">Decreto 4165 de 2011 Por el cual se cambia la naturaleza jurídica, cambia de denominación y se fijan otras disposiciones del Instituto Nacional de Concesiones (INCO). </w:t>
      </w:r>
      <w:r>
        <w:rPr>
          <w:rFonts w:ascii="Century Gothic" w:eastAsia="Century Gothic" w:hAnsi="Century Gothic" w:cs="Century Gothic"/>
          <w:color w:val="000000"/>
        </w:rPr>
        <w:t xml:space="preserve">Que con el fin de lograr mayor eficiencia y eficacia en la administración de la infraestructura del país, así como fortalecer la </w:t>
      </w:r>
      <w:r>
        <w:rPr>
          <w:rFonts w:ascii="Century Gothic" w:eastAsia="Century Gothic" w:hAnsi="Century Gothic" w:cs="Century Gothic"/>
          <w:color w:val="000000"/>
        </w:rPr>
        <w:lastRenderedPageBreak/>
        <w:t>vinculación de capital privado a los proyectos asociados con la infraestructura del sector transporte y el desarrollo de las asociaciones público privadas, y hacer coherente la organización y funcionamiento de la administración de los proyectos de infraestructura es necesario cambiar la naturaleza jurídica del Instituto Nacional de Concesiones (INCO) para adaptarla a las condiciones del mercado y otorgarle la estructura acorde con las actuales necesidades y potencialidades del país. Que en el literal e) del artículo 18 de la Ley 1444 de 2011 se confieren facultades extraordinarias al Presidente de la República para cambiar la naturaleza jurídica de los establecimientos públicos y otras entidades u organismos de la rama ejecutiva del orden nacional, facultad que se ejerce parcialmente para el Instituto Nacional de Concesiones.</w:t>
      </w:r>
    </w:p>
    <w:p w:rsidR="00D15A6A" w:rsidRDefault="00D15A6A">
      <w:pPr>
        <w:pBdr>
          <w:top w:val="nil"/>
          <w:left w:val="nil"/>
          <w:bottom w:val="nil"/>
          <w:right w:val="nil"/>
          <w:between w:val="nil"/>
        </w:pBdr>
        <w:ind w:left="720"/>
        <w:jc w:val="both"/>
        <w:rPr>
          <w:rFonts w:ascii="Century Gothic" w:eastAsia="Century Gothic" w:hAnsi="Century Gothic" w:cs="Century Gothic"/>
        </w:rPr>
      </w:pPr>
    </w:p>
    <w:p w:rsidR="00D15A6A" w:rsidRDefault="00D9732F">
      <w:pPr>
        <w:numPr>
          <w:ilvl w:val="0"/>
          <w:numId w:val="2"/>
        </w:numPr>
        <w:pBdr>
          <w:top w:val="nil"/>
          <w:left w:val="nil"/>
          <w:bottom w:val="nil"/>
          <w:right w:val="nil"/>
          <w:between w:val="nil"/>
        </w:pBdr>
        <w:spacing w:line="240" w:lineRule="auto"/>
        <w:jc w:val="both"/>
      </w:pPr>
      <w:r>
        <w:rPr>
          <w:rFonts w:ascii="Century Gothic" w:eastAsia="Century Gothic" w:hAnsi="Century Gothic" w:cs="Century Gothic"/>
          <w:b/>
          <w:color w:val="000000"/>
        </w:rPr>
        <w:t xml:space="preserve">Decreto 087 de 2011. Por el cual se modifica la estructura del Ministerio de   Transporte, y se determinan las funciones de sus dependencias: </w:t>
      </w:r>
      <w:r>
        <w:rPr>
          <w:rFonts w:ascii="Century Gothic" w:eastAsia="Century Gothic" w:hAnsi="Century Gothic" w:cs="Century Gothic"/>
          <w:color w:val="000000"/>
        </w:rPr>
        <w:t>el presente proyecto surgió de la necesidad de integrar óptimamente los procesos misionales de infraestructura, y de transporte y tránsito, en lo que se refiere a su articulación con el alto nivel de dirección del Ministerio; Que para el logro de una adecuada articulación en la alta dirección del Ministerio de Transporte de los mencionados procesos misionales. se hace necesario modificar la estructura actual y organizar el Despacho del Viceministro de Infraestructura y el Despacho del Viceministro de Transporte;  la creación de los Despachos de Viceministro se potenciarán los procesos de planificación, normativos, de evaluación y seguimiento y de coordinación sectorial relativos a infraestructura y transporte, a cargo del Ministerio de Transporte; con la especialización temática de los dos Despachos de Viceministro, se contribuye a organizar en mejor forma las funciones de organismo rector del Ministerio de Transporte, dando un apoyo efectivo al Despacho del Ministro y al ejercicio de la alta dirección y coordinación sectorial en cabeza del Ministerio de Transporte.</w:t>
      </w:r>
    </w:p>
    <w:p w:rsidR="00D15A6A" w:rsidRDefault="00D15A6A">
      <w:pPr>
        <w:pBdr>
          <w:top w:val="nil"/>
          <w:left w:val="nil"/>
          <w:bottom w:val="nil"/>
          <w:right w:val="nil"/>
          <w:between w:val="nil"/>
        </w:pBdr>
        <w:spacing w:line="240" w:lineRule="auto"/>
        <w:ind w:left="1440"/>
        <w:jc w:val="both"/>
        <w:rPr>
          <w:rFonts w:ascii="Century Gothic" w:eastAsia="Century Gothic" w:hAnsi="Century Gothic" w:cs="Century Gothic"/>
          <w:color w:val="000000"/>
        </w:rPr>
      </w:pPr>
    </w:p>
    <w:p w:rsidR="00D15A6A" w:rsidRDefault="00D9732F">
      <w:pPr>
        <w:numPr>
          <w:ilvl w:val="0"/>
          <w:numId w:val="1"/>
        </w:numPr>
        <w:pBdr>
          <w:top w:val="nil"/>
          <w:left w:val="nil"/>
          <w:bottom w:val="nil"/>
          <w:right w:val="nil"/>
          <w:between w:val="nil"/>
        </w:pBdr>
        <w:spacing w:line="240"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IMPACTO FISCAL.</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spacing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Es importante advertir que el Gobierno nacional tiene la responsabilidad de actuar con la máxima prudencia adoptando una política fiscal que contribuya a alcanzar las metas previstas en el Marco Fiscal de Mediano Plazo (MFMP) y que permita mantener la consistencia del presupuesto con los fundamentales macroeconómicos. </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spacing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Lo primero en señalar sobre el análisis del impacto fiscal del presente proyecto de ley, es que si bien el articulado del mismo solo abre la posibilidad para que se lleven a cabo negociaciones entre las entidades territoriales y el Gobierno nacional en el estabelecimiento de tarifas diferenciales para los peajes de los departamentos del Caribe colombiano, en efecto sí se generaría un impacto fiscal producto de los costos fiscales que implicaría una alteración de los contratos de concesión en las vías de la región, que tendrían que ser compensados por el Estado por los ingresos dejados de percibir. </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spacing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No obstante, teniendo en cuenta que el proyecto de ley solo contempla como requisito para hacer efectivas las tarifas diferenciales los días domingos y festivos y los vehículos de categoría 1, se considera que el impacto fiscal no sería de una magnitud importante. </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spacing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Al respecto, vale la pena mencionar que el ponente y el autor del proyecto ya solicitaron conceptos al Ministerio de Hacienda, al Ministerio de Transporte y a la ANI, con el fin de saber en concreto cuáles serían los costos fiscales de la iniciativa legislativa. Sin embargo, a la fecha de radicación de la ponencia para primer debate, y tras una larga espera, no se ha obtenido respuesta de ninguna de estas entidades. </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spacing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Vale recordar que la Corte Constitucional en la Sentencia C-502 de 2007 precisó la importancia de explicar el impacto fiscal de las leyes en el Congreso, con la finalidad que dichas normas guarden relación con la situación económica del país y la política económica trazada por las autoridades pertinentes: </w:t>
      </w:r>
    </w:p>
    <w:p w:rsidR="00D15A6A" w:rsidRDefault="00D9732F">
      <w:pPr>
        <w:pBdr>
          <w:top w:val="nil"/>
          <w:left w:val="nil"/>
          <w:bottom w:val="nil"/>
          <w:right w:val="nil"/>
          <w:between w:val="nil"/>
        </w:pBdr>
        <w:spacing w:line="240" w:lineRule="auto"/>
        <w:ind w:left="1440"/>
        <w:jc w:val="both"/>
        <w:rPr>
          <w:rFonts w:ascii="Century Gothic" w:eastAsia="Century Gothic" w:hAnsi="Century Gothic" w:cs="Century Gothic"/>
          <w:i/>
          <w:color w:val="000000"/>
        </w:rPr>
      </w:pPr>
      <w:r>
        <w:rPr>
          <w:rFonts w:ascii="Century Gothic" w:eastAsia="Century Gothic" w:hAnsi="Century Gothic" w:cs="Century Gothic"/>
          <w:i/>
          <w:color w:val="000000"/>
        </w:rPr>
        <w:t xml:space="preserve">“El art. 7° de la Ley 819 de 2003 exige que en todo proyecto de ley, ordenanza o acuerdo que ordene gastos u conceda beneficios tributarios se explicite cuál es su impacto fiscal y se establezca su compatibilidad con el Marco Fiscal de Mediano Plazo que dicta anualmente el Gobierno Nacional. Las normas contenidas en el art. 7° de la Ley 819 de 2003 constituyen un importante instrumento de racionalización de la actividad legislativa, con el fin de que ella se realice con conocimiento de causa de los costos fiscales que genera cada una de las leyes aprobadas por el Congreso de la República. También permiten que las leyes dictadas estén en armonía con la situación económica del país y con la política económica trazada por las autoridades correspondientes. Ello contribuye ciertamente a generar orden en las finanzas públicas, lo cual repercute favorablemente en la estabilidad macroeconómica del país. De la misma manera, el cumplimiento de los requisitos establecidos en el mencionado art. 7° ha de tener una incidencia favorable en la aplicación efectiva de las leyes, ya que la aprobación de las mismas solamente se producirá </w:t>
      </w:r>
      <w:r>
        <w:rPr>
          <w:rFonts w:ascii="Century Gothic" w:eastAsia="Century Gothic" w:hAnsi="Century Gothic" w:cs="Century Gothic"/>
          <w:i/>
          <w:color w:val="000000"/>
        </w:rPr>
        <w:lastRenderedPageBreak/>
        <w:t xml:space="preserve">después de conocerse su impacto fiscal previsible y las posibilidades de financiarlo. Ello indica que la aprobación de las leyes no estará acompañada de la permanente incertidumbre acerca de la posibilidad de cumplirlas o de desarrollar la política pública en ellas plasmada.” (Subrayado fuera de texto original). </w:t>
      </w:r>
    </w:p>
    <w:p w:rsidR="00D15A6A" w:rsidRDefault="00D9732F">
      <w:pPr>
        <w:pBdr>
          <w:top w:val="nil"/>
          <w:left w:val="nil"/>
          <w:bottom w:val="nil"/>
          <w:right w:val="nil"/>
          <w:between w:val="nil"/>
        </w:pBdr>
        <w:spacing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 relación a lo anterior, también es importante aclarar que, en la misma jurisprudencia en cita, la Corte Constitucional estableció que la carga de demostrar la incompatibilidad del proyecto de ley con el marco fiscal de mediano plazo, recae sobre el Ministerio de Hacienda y Crédito Público: </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spacing w:line="240" w:lineRule="auto"/>
        <w:ind w:left="1440"/>
        <w:jc w:val="both"/>
        <w:rPr>
          <w:rFonts w:ascii="Century Gothic" w:eastAsia="Century Gothic" w:hAnsi="Century Gothic" w:cs="Century Gothic"/>
          <w:i/>
          <w:color w:val="000000"/>
        </w:rPr>
      </w:pPr>
      <w:r>
        <w:rPr>
          <w:rFonts w:ascii="Century Gothic" w:eastAsia="Century Gothic" w:hAnsi="Century Gothic" w:cs="Century Gothic"/>
          <w:i/>
          <w:color w:val="000000"/>
        </w:rPr>
        <w:t>“La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rsidR="00D15A6A" w:rsidRDefault="00D15A6A">
      <w:pPr>
        <w:pBdr>
          <w:top w:val="nil"/>
          <w:left w:val="nil"/>
          <w:bottom w:val="nil"/>
          <w:right w:val="nil"/>
          <w:between w:val="nil"/>
        </w:pBdr>
        <w:spacing w:line="240" w:lineRule="auto"/>
        <w:ind w:left="1440"/>
        <w:jc w:val="both"/>
        <w:rPr>
          <w:rFonts w:ascii="Century Gothic" w:eastAsia="Century Gothic" w:hAnsi="Century Gothic" w:cs="Century Gothic"/>
          <w:i/>
          <w:color w:val="000000"/>
        </w:rPr>
      </w:pPr>
    </w:p>
    <w:p w:rsidR="00D15A6A" w:rsidRDefault="00D9732F">
      <w:pPr>
        <w:pBdr>
          <w:top w:val="nil"/>
          <w:left w:val="nil"/>
          <w:bottom w:val="nil"/>
          <w:right w:val="nil"/>
          <w:between w:val="nil"/>
        </w:pBdr>
        <w:spacing w:line="240" w:lineRule="auto"/>
        <w:ind w:left="1440"/>
        <w:jc w:val="both"/>
        <w:rPr>
          <w:rFonts w:ascii="Century Gothic" w:eastAsia="Century Gothic" w:hAnsi="Century Gothic" w:cs="Century Gothic"/>
          <w:i/>
          <w:color w:val="000000"/>
        </w:rPr>
      </w:pPr>
      <w:r>
        <w:rPr>
          <w:rFonts w:ascii="Century Gothic" w:eastAsia="Century Gothic" w:hAnsi="Century Gothic" w:cs="Century Gothic"/>
          <w:i/>
          <w:color w:val="000000"/>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ministro de Hacienda.” </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spacing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La tarifa diferencial es de origen legal, contemplada en la Ley 105 de 1993 creada para dictar disposiciones sobre el transporte y distribuir competencias entre la nación y los entes territoriales en esa materia. Posteriormente, la Ley 787 de 2002 en el literal d) del artículo 21, señala que las tasas de peajes serán </w:t>
      </w:r>
      <w:r>
        <w:rPr>
          <w:rFonts w:ascii="Century Gothic" w:eastAsia="Century Gothic" w:hAnsi="Century Gothic" w:cs="Century Gothic"/>
          <w:color w:val="000000"/>
        </w:rPr>
        <w:lastRenderedPageBreak/>
        <w:t xml:space="preserve">diferenciales, es decir, se fijarán en proporción a las distancias recorridas, las características vehiculares y sus respectivos costos de operación. </w:t>
      </w:r>
    </w:p>
    <w:p w:rsidR="00D15A6A" w:rsidRDefault="00D9732F">
      <w:pPr>
        <w:pBdr>
          <w:top w:val="nil"/>
          <w:left w:val="nil"/>
          <w:bottom w:val="nil"/>
          <w:right w:val="nil"/>
          <w:between w:val="nil"/>
        </w:pBdr>
        <w:spacing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Así las cosas, la tarifa se concibe en el aspecto tributario como el precio exigible por el prestador de un servicio público a los usuarios del mismo, y es diferencial en tanto que constituye una exención parcial distributiva por reducción de la tarifa en uso, con el único fin de hacer de la tarifa un tributo menos oneroso. </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spacing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 este entendido, una exención parcial en peaje la ha determinado la Corte Constitucional en el siguiente sentido: </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spacing w:line="240" w:lineRule="auto"/>
        <w:ind w:left="1440"/>
        <w:jc w:val="both"/>
        <w:rPr>
          <w:rFonts w:ascii="Century Gothic" w:eastAsia="Century Gothic" w:hAnsi="Century Gothic" w:cs="Century Gothic"/>
          <w:i/>
          <w:color w:val="000000"/>
        </w:rPr>
      </w:pPr>
      <w:r>
        <w:rPr>
          <w:rFonts w:ascii="Century Gothic" w:eastAsia="Century Gothic" w:hAnsi="Century Gothic" w:cs="Century Gothic"/>
          <w:i/>
          <w:color w:val="000000"/>
        </w:rPr>
        <w:t xml:space="preserve">“La Corte pone de presente que como se señaló en los apartes preliminares de esta sentencia, cuando una norma tributaria impone una carga y excluye de ella a un sujeto o sector determinado, no puede tachársele de inconstitucional por ese sólo hecho. Y ello por cuanto “las exenciones son medidas fiscales que por sí mismas constituyen una excepción al principio de igualdad, pero que forzosamente no implican su desconocimiento”. </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spacing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Así mismo ha de tenerse en cuenta que la Constitución no ha consagrado un derecho a recibir o conservar exenciones tributarias, sino que por el contrario ha establecido un deber general de contribuir mediante el pago de tributos "al financiamiento de los gastos e inversiones del Estado dentro de conceptos de justicia y equidad" (art. 95-9 de la C.P). </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pBdr>
          <w:top w:val="nil"/>
          <w:left w:val="nil"/>
          <w:bottom w:val="nil"/>
          <w:right w:val="nil"/>
          <w:between w:val="nil"/>
        </w:pBdr>
        <w:spacing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Igualmente, que en esa perspectiva no resulta lógico en principio declarar la inconstitucionalidad de una norma que establece una exención, por el simple hecho de no comprender a otros que habrían podido también ser supuestamente sus destinatarios. Esa determinación corresponde al exclusivo resorte del legislador. En ese orden de ideas, la Corte no encuentra que haya lugar a un condicionamiento de la norma en el sentido señalado por el señor Procurador a partir de la supuesta configuración de una omisión legislativa, pues claramente no se dan los presupuestos señalados por la jurisprudencia para la configuración de dichas omisiones, -particularmente en cuanto no existe en el ordenamiento constitucional una norma que señale el deber específico que se estaría incumpliendo-. Ello implicaría una intervención indebida del Juez constitucional en el ámbito de la potestad de configuración reconocida al legislador en materia tributaria. Ahora bien, como ya se ha expresado lo anterior no implica un pronunciamiento sobre eventuales decisiones del legislador encaminadas a determinar que las ambulancias de los cuerpos de bomberos oficiales y voluntarios estén cubiertas por la exención mencionada. En conclusión, </w:t>
      </w:r>
      <w:r>
        <w:rPr>
          <w:rFonts w:ascii="Century Gothic" w:eastAsia="Century Gothic" w:hAnsi="Century Gothic" w:cs="Century Gothic"/>
          <w:color w:val="000000"/>
        </w:rPr>
        <w:lastRenderedPageBreak/>
        <w:t xml:space="preserve">no puede entenderse vulnerado en manera alguna el principio de igualdad” Sentencia C-508 de 2006. </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color w:val="000000"/>
        </w:rPr>
      </w:pPr>
    </w:p>
    <w:p w:rsidR="00D15A6A" w:rsidRDefault="00D9732F">
      <w:pPr>
        <w:numPr>
          <w:ilvl w:val="0"/>
          <w:numId w:val="1"/>
        </w:numPr>
        <w:pBdr>
          <w:top w:val="nil"/>
          <w:left w:val="nil"/>
          <w:bottom w:val="nil"/>
          <w:right w:val="nil"/>
          <w:between w:val="nil"/>
        </w:pBdr>
        <w:spacing w:line="240"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CONFLICTO DE </w:t>
      </w:r>
      <w:r>
        <w:rPr>
          <w:rFonts w:ascii="Century Gothic" w:eastAsia="Century Gothic" w:hAnsi="Century Gothic" w:cs="Century Gothic"/>
          <w:b/>
        </w:rPr>
        <w:t>INTERÉS</w:t>
      </w:r>
      <w:r>
        <w:rPr>
          <w:rFonts w:ascii="Century Gothic" w:eastAsia="Century Gothic" w:hAnsi="Century Gothic" w:cs="Century Gothic"/>
          <w:b/>
          <w:color w:val="000000"/>
        </w:rPr>
        <w:t xml:space="preserve">. </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b/>
          <w:color w:val="000000"/>
        </w:rPr>
      </w:pPr>
    </w:p>
    <w:p w:rsidR="00D15A6A" w:rsidRDefault="00D9732F">
      <w:pPr>
        <w:pBdr>
          <w:top w:val="nil"/>
          <w:left w:val="nil"/>
          <w:bottom w:val="nil"/>
          <w:right w:val="nil"/>
          <w:between w:val="nil"/>
        </w:pBdr>
        <w:spacing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En concordancia con el artículo 1 de la ley 2003 de 2019, por medio del cual se modifica el artículo 286, de la ley 5 de 1992: “Régimen de conflicto de interés de los congresistas. Todos los congresistas deberán declarar los conflictos de intereses que pudieran surgir en ejercicio de sus funciones.</w:t>
      </w:r>
    </w:p>
    <w:p w:rsidR="00D15A6A" w:rsidRDefault="00D15A6A">
      <w:pPr>
        <w:pBdr>
          <w:top w:val="nil"/>
          <w:left w:val="nil"/>
          <w:bottom w:val="nil"/>
          <w:right w:val="nil"/>
          <w:between w:val="nil"/>
        </w:pBdr>
        <w:spacing w:line="240" w:lineRule="auto"/>
        <w:ind w:left="720"/>
        <w:jc w:val="both"/>
        <w:rPr>
          <w:rFonts w:ascii="Century Gothic" w:eastAsia="Century Gothic" w:hAnsi="Century Gothic" w:cs="Century Gothic"/>
          <w:i/>
          <w:color w:val="000000"/>
        </w:rPr>
      </w:pPr>
    </w:p>
    <w:p w:rsidR="00D15A6A" w:rsidRDefault="00D9732F">
      <w:pPr>
        <w:pBdr>
          <w:top w:val="nil"/>
          <w:left w:val="nil"/>
          <w:bottom w:val="nil"/>
          <w:right w:val="nil"/>
          <w:between w:val="nil"/>
        </w:pBdr>
        <w:spacing w:after="240" w:line="240" w:lineRule="auto"/>
        <w:jc w:val="both"/>
        <w:rPr>
          <w:rFonts w:ascii="Century Gothic" w:eastAsia="Century Gothic" w:hAnsi="Century Gothic" w:cs="Century Gothic"/>
          <w:b/>
          <w:color w:val="000000"/>
        </w:rPr>
      </w:pPr>
      <w:r>
        <w:rPr>
          <w:rFonts w:ascii="Century Gothic" w:eastAsia="Century Gothic" w:hAnsi="Century Gothic" w:cs="Century Gothic"/>
          <w:i/>
          <w:color w:val="000000"/>
        </w:rPr>
        <w:t>Se entiende como conflicto de interés una situación donde la discusión o votación de un proyecto de ley o acto legislativo o artículo, pueda resultar en un beneficio particular, actual y directo a favor del congresista.</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i/>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i/>
        </w:rPr>
        <w:t>b) Beneficio actual: aquel que efectivamente se configura en las circunstancias presentes y existentes al momento en el que el congresista participa de la decisión</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i/>
        </w:rPr>
        <w:t xml:space="preserve">c) Beneficio directo: aquel que se produzca de forma específica respecto del congresista, de su cónyuge, compañero o compañera permanente, o parientes dentro del segundo grado de consanguinidad, segundo de afinidad o primero civil. </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i/>
        </w:rPr>
        <w:t>Para todos los efectos se entiende que no hay conflicto de interés en las siguientes circunstancias:</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i/>
        </w:rPr>
        <w:t>a) Cuando el congresista participe, discuta, vote un proyecto de Ley o de acto legislativo que otorgue beneficios o cargos de carácter general, es decir cuando el interés del congresista coincide o se fusione con los intereses de los electores.</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i/>
        </w:rPr>
        <w:t xml:space="preserve"> b) Cuando el beneficio podría o no configurarse para el congresista en el futuro.</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i/>
        </w:rPr>
        <w:t xml:space="preserve"> c) Cuando el congresista participe, discuta o vote artículos de proyectos de ley o acto legislativo de carácter particular, que establezcan sanciones o disminuyan beneficios, </w:t>
      </w:r>
      <w:r>
        <w:rPr>
          <w:rFonts w:ascii="Century Gothic" w:eastAsia="Century Gothic" w:hAnsi="Century Gothic" w:cs="Century Gothic"/>
          <w:i/>
        </w:rPr>
        <w:lastRenderedPageBreak/>
        <w:t>en el cual el congresista tiene un interés particular, actual y directo. El voto negativo no constituirá conflicto de interés cuando mantiene la normatividad vigente.</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i/>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i/>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i/>
        </w:rPr>
        <w:t>f) Cuando el congresista participa en la elección de otros servidores públicos mediante el voto secreto. Se exceptúan los casos en que se presenten inhabilidades referidas al parentesco con los candidatos.</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i/>
        </w:rPr>
        <w:t>PARÁGRAFO 1. Entiéndase por conflicto de interés moral aquel que presentan los congresistas cuando por razones de conciencia se quieran apartar de la discusión y votación del proyecto.</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i/>
        </w:rPr>
        <w:t>PARÁGRAFO 2. Cuando se trate de funciones judiciales, disciplinarias o fiscales de los congresistas, sobre conflicto de interés se aplicará la norma especial que rige ese tipo de investigación.</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i/>
        </w:rPr>
        <w:t>PARÁGRAFO 3. Igualmente se aplicará el régimen de conflicto de intereses para todos y cada uno de los actores que presenten, discutan o participen de cualquier iniciativa legislativa, conforme al artículo 140 de la Ley 5 de 1992.”</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rPr>
        <w:t>De acuerdo a lo anteriormente expuesto, tendrán conflicto de intereses aquellos congresistas que tengan un interés actual, directo y particular en relación con la iniciativa legislativa que se discuta y cuyas disposiciones y consecuencias los beneficien.</w:t>
      </w:r>
    </w:p>
    <w:p w:rsidR="00D15A6A" w:rsidRDefault="00D9732F">
      <w:pPr>
        <w:shd w:val="clear" w:color="auto" w:fill="FFFFFF"/>
        <w:spacing w:after="280"/>
        <w:jc w:val="both"/>
        <w:rPr>
          <w:rFonts w:ascii="Century Gothic" w:eastAsia="Century Gothic" w:hAnsi="Century Gothic" w:cs="Century Gothic"/>
          <w:i/>
        </w:rPr>
      </w:pPr>
      <w:r>
        <w:rPr>
          <w:rFonts w:ascii="Century Gothic" w:eastAsia="Century Gothic" w:hAnsi="Century Gothic" w:cs="Century Gothic"/>
        </w:rPr>
        <w:t xml:space="preserve">Sobre este asunto ha señalado el Consejo de Estado (2019): </w:t>
      </w:r>
    </w:p>
    <w:p w:rsidR="00D15A6A" w:rsidRDefault="00D9732F">
      <w:pPr>
        <w:spacing w:before="240" w:after="240"/>
        <w:ind w:left="1440"/>
        <w:jc w:val="both"/>
        <w:rPr>
          <w:rFonts w:ascii="Century Gothic" w:eastAsia="Century Gothic" w:hAnsi="Century Gothic" w:cs="Century Gothic"/>
          <w:i/>
        </w:rPr>
      </w:pPr>
      <w:r>
        <w:rPr>
          <w:rFonts w:ascii="Century Gothic" w:eastAsia="Century Gothic" w:hAnsi="Century Gothic" w:cs="Century Gothic"/>
          <w:i/>
        </w:rPr>
        <w:lastRenderedPageBreak/>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D15A6A" w:rsidRDefault="00D9732F">
      <w:pPr>
        <w:spacing w:before="240" w:after="240"/>
        <w:ind w:left="283"/>
        <w:jc w:val="both"/>
        <w:rPr>
          <w:rFonts w:ascii="Century Gothic" w:eastAsia="Century Gothic" w:hAnsi="Century Gothic" w:cs="Century Gothic"/>
        </w:rPr>
      </w:pPr>
      <w:r>
        <w:rPr>
          <w:rFonts w:ascii="Century Gothic" w:eastAsia="Century Gothic" w:hAnsi="Century Gothic" w:cs="Century Gothic"/>
        </w:rPr>
        <w:t>De igual forma, es pertinente señalar lo que la Ley 5 de 1992 dispone sobre la materia en el artículo 286, modificado por el artículo 1 de la Ley 2003 de 2019:</w:t>
      </w:r>
    </w:p>
    <w:p w:rsidR="00D15A6A" w:rsidRDefault="00D9732F">
      <w:pPr>
        <w:spacing w:before="240" w:after="240"/>
        <w:ind w:left="720"/>
        <w:jc w:val="both"/>
        <w:rPr>
          <w:rFonts w:ascii="Century Gothic" w:eastAsia="Century Gothic" w:hAnsi="Century Gothic" w:cs="Century Gothic"/>
          <w:i/>
        </w:rPr>
      </w:pPr>
      <w:r>
        <w:rPr>
          <w:rFonts w:ascii="Century Gothic" w:eastAsia="Century Gothic" w:hAnsi="Century Gothic" w:cs="Century Gothic"/>
          <w:i/>
        </w:rPr>
        <w:t>“Se entiende como conflicto de interés una situación donde la discusión o votación de un proyecto de ley o acto legislativo o artículo, pueda resultar en un beneficio particular, actual y directo a favor del congresista.</w:t>
      </w:r>
    </w:p>
    <w:p w:rsidR="00D15A6A" w:rsidRDefault="00D9732F">
      <w:pPr>
        <w:spacing w:before="240" w:after="240"/>
        <w:ind w:left="720"/>
        <w:jc w:val="both"/>
        <w:rPr>
          <w:rFonts w:ascii="Century Gothic" w:eastAsia="Century Gothic" w:hAnsi="Century Gothic" w:cs="Century Gothic"/>
          <w:i/>
        </w:rPr>
      </w:pPr>
      <w:r>
        <w:rPr>
          <w:rFonts w:ascii="Century Gothic" w:eastAsia="Century Gothic" w:hAnsi="Century Gothic" w:cs="Century Gothic"/>
          <w:i/>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D15A6A" w:rsidRDefault="00D9732F">
      <w:pPr>
        <w:spacing w:before="240" w:after="240"/>
        <w:ind w:left="720"/>
        <w:jc w:val="both"/>
        <w:rPr>
          <w:rFonts w:ascii="Century Gothic" w:eastAsia="Century Gothic" w:hAnsi="Century Gothic" w:cs="Century Gothic"/>
          <w:i/>
        </w:rPr>
      </w:pPr>
      <w:r>
        <w:rPr>
          <w:rFonts w:ascii="Century Gothic" w:eastAsia="Century Gothic" w:hAnsi="Century Gothic" w:cs="Century Gothic"/>
          <w:i/>
        </w:rPr>
        <w:t>b) Beneficio actual: aquel que efectivamente se configura en las circunstancias presentes y existentes al momento en el que el congresista participa de la decisión.</w:t>
      </w:r>
    </w:p>
    <w:p w:rsidR="00D15A6A" w:rsidRDefault="00D9732F">
      <w:pPr>
        <w:spacing w:before="240" w:after="240"/>
        <w:ind w:left="720"/>
        <w:jc w:val="both"/>
        <w:rPr>
          <w:rFonts w:ascii="Century Gothic" w:eastAsia="Century Gothic" w:hAnsi="Century Gothic" w:cs="Century Gothic"/>
          <w:i/>
        </w:rPr>
      </w:pPr>
      <w:r>
        <w:rPr>
          <w:rFonts w:ascii="Century Gothic" w:eastAsia="Century Gothic" w:hAnsi="Century Gothic" w:cs="Century Gothic"/>
          <w:i/>
        </w:rPr>
        <w:t>c) Beneficio directo: aquel que se produzca de forma específica respecto del congresista, de su cónyuge, compañero o compañera permanente, o parientes dentro del segundo grado de consanguinidad, segundo de afinidad o primero civil.”</w:t>
      </w:r>
    </w:p>
    <w:p w:rsidR="00D15A6A" w:rsidRDefault="00D9732F">
      <w:pPr>
        <w:spacing w:before="240" w:after="240"/>
        <w:jc w:val="both"/>
        <w:rPr>
          <w:rFonts w:ascii="Century Gothic" w:eastAsia="Century Gothic" w:hAnsi="Century Gothic" w:cs="Century Gothic"/>
        </w:rPr>
      </w:pPr>
      <w:r>
        <w:rPr>
          <w:rFonts w:ascii="Century Gothic" w:eastAsia="Century Gothic" w:hAnsi="Century Gothic" w:cs="Century Gothic"/>
        </w:rPr>
        <w:t>No obstante, 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w:t>
      </w:r>
    </w:p>
    <w:p w:rsidR="00D15A6A" w:rsidRDefault="00D9732F">
      <w:pPr>
        <w:numPr>
          <w:ilvl w:val="0"/>
          <w:numId w:val="1"/>
        </w:numPr>
        <w:pBdr>
          <w:top w:val="nil"/>
          <w:left w:val="nil"/>
          <w:bottom w:val="nil"/>
          <w:right w:val="nil"/>
          <w:between w:val="nil"/>
        </w:pBdr>
        <w:spacing w:line="240" w:lineRule="auto"/>
        <w:rPr>
          <w:rFonts w:ascii="Century Gothic" w:eastAsia="Century Gothic" w:hAnsi="Century Gothic" w:cs="Century Gothic"/>
          <w:color w:val="000000"/>
        </w:rPr>
      </w:pPr>
      <w:r>
        <w:rPr>
          <w:rFonts w:ascii="Century Gothic" w:eastAsia="Century Gothic" w:hAnsi="Century Gothic" w:cs="Century Gothic"/>
          <w:b/>
        </w:rPr>
        <w:lastRenderedPageBreak/>
        <w:t xml:space="preserve">REFERENCIAS BIBLIOGRÁFICAS. </w:t>
      </w:r>
      <w:r>
        <w:rPr>
          <w:rFonts w:ascii="Century Gothic" w:eastAsia="Century Gothic" w:hAnsi="Century Gothic" w:cs="Century Gothic"/>
          <w:b/>
          <w:color w:val="000000"/>
        </w:rPr>
        <w:t xml:space="preserve"> </w:t>
      </w:r>
    </w:p>
    <w:p w:rsidR="00D15A6A" w:rsidRDefault="00D9732F">
      <w:pPr>
        <w:widowControl w:val="0"/>
        <w:spacing w:before="503" w:line="229" w:lineRule="auto"/>
        <w:ind w:right="366"/>
        <w:jc w:val="both"/>
        <w:rPr>
          <w:rFonts w:ascii="Century Gothic" w:eastAsia="Century Gothic" w:hAnsi="Century Gothic" w:cs="Century Gothic"/>
          <w:color w:val="1155CC"/>
        </w:rPr>
      </w:pPr>
      <w:r>
        <w:rPr>
          <w:rFonts w:ascii="Century Gothic" w:eastAsia="Century Gothic" w:hAnsi="Century Gothic" w:cs="Century Gothic"/>
        </w:rPr>
        <w:t xml:space="preserve">Agencia Nacional de Infraestructura - Oficina Asesora de Comunicaciones  </w:t>
      </w:r>
      <w:r>
        <w:rPr>
          <w:rFonts w:ascii="Century Gothic" w:eastAsia="Century Gothic" w:hAnsi="Century Gothic" w:cs="Century Gothic"/>
          <w:color w:val="1155CC"/>
          <w:u w:val="single"/>
        </w:rPr>
        <w:t xml:space="preserve">https://www.ani.gov.co/sites/default/files/u785/todo_lo_que_debes_saber_sobre_peajes_1 .pdf </w:t>
      </w:r>
      <w:r>
        <w:rPr>
          <w:rFonts w:ascii="Century Gothic" w:eastAsia="Century Gothic" w:hAnsi="Century Gothic" w:cs="Century Gothic"/>
          <w:color w:val="1155CC"/>
        </w:rPr>
        <w:t xml:space="preserve"> </w:t>
      </w:r>
    </w:p>
    <w:p w:rsidR="00D15A6A" w:rsidRDefault="00D9732F">
      <w:pPr>
        <w:widowControl w:val="0"/>
        <w:spacing w:before="258" w:line="232" w:lineRule="auto"/>
        <w:ind w:right="362"/>
        <w:jc w:val="both"/>
        <w:rPr>
          <w:rFonts w:ascii="Century Gothic" w:eastAsia="Century Gothic" w:hAnsi="Century Gothic" w:cs="Century Gothic"/>
          <w:color w:val="1155CC"/>
        </w:rPr>
      </w:pPr>
      <w:r>
        <w:rPr>
          <w:rFonts w:ascii="Century Gothic" w:eastAsia="Century Gothic" w:hAnsi="Century Gothic" w:cs="Century Gothic"/>
        </w:rPr>
        <w:t xml:space="preserve">Corte Constitucional C- 057 de 2021  </w:t>
      </w:r>
      <w:r>
        <w:rPr>
          <w:rFonts w:ascii="Century Gothic" w:eastAsia="Century Gothic" w:hAnsi="Century Gothic" w:cs="Century Gothic"/>
          <w:color w:val="1155CC"/>
          <w:highlight w:val="white"/>
          <w:u w:val="single"/>
        </w:rPr>
        <w:t>https://www.corteconstitucional.gov.co/Relatoria/2021/C-200-21.htm</w:t>
      </w:r>
      <w:r>
        <w:rPr>
          <w:rFonts w:ascii="Century Gothic" w:eastAsia="Century Gothic" w:hAnsi="Century Gothic" w:cs="Century Gothic"/>
          <w:color w:val="1155CC"/>
        </w:rPr>
        <w:t xml:space="preserve">  </w:t>
      </w:r>
    </w:p>
    <w:p w:rsidR="00D15A6A" w:rsidRDefault="00D15A6A">
      <w:pPr>
        <w:widowControl w:val="0"/>
        <w:spacing w:before="258" w:line="232" w:lineRule="auto"/>
        <w:ind w:right="362"/>
        <w:jc w:val="both"/>
        <w:rPr>
          <w:rFonts w:ascii="Century Gothic" w:eastAsia="Century Gothic" w:hAnsi="Century Gothic" w:cs="Century Gothic"/>
          <w:color w:val="1155CC"/>
        </w:rPr>
      </w:pPr>
    </w:p>
    <w:p w:rsidR="00D15A6A" w:rsidRDefault="00D9732F">
      <w:pPr>
        <w:spacing w:line="240" w:lineRule="auto"/>
        <w:jc w:val="both"/>
        <w:rPr>
          <w:rFonts w:ascii="Century Gothic" w:eastAsia="Century Gothic" w:hAnsi="Century Gothic" w:cs="Century Gothic"/>
          <w:color w:val="1155CC"/>
        </w:rPr>
      </w:pPr>
      <w:r>
        <w:rPr>
          <w:rFonts w:ascii="Century Gothic" w:eastAsia="Century Gothic" w:hAnsi="Century Gothic" w:cs="Century Gothic"/>
        </w:rPr>
        <w:t xml:space="preserve">Corte Constitucional (2019). Sentencia C-278 de 2019 </w:t>
      </w:r>
      <w:hyperlink r:id="rId17">
        <w:r>
          <w:rPr>
            <w:rFonts w:ascii="Century Gothic" w:eastAsia="Century Gothic" w:hAnsi="Century Gothic" w:cs="Century Gothic"/>
            <w:color w:val="1155CC"/>
            <w:u w:val="single"/>
          </w:rPr>
          <w:t>https://www.suin-juriscol.gov.co/viewDocument.asp?id=30038148</w:t>
        </w:r>
      </w:hyperlink>
      <w:r>
        <w:rPr>
          <w:rFonts w:ascii="Century Gothic" w:eastAsia="Century Gothic" w:hAnsi="Century Gothic" w:cs="Century Gothic"/>
        </w:rPr>
        <w:t xml:space="preserve">  </w:t>
      </w:r>
    </w:p>
    <w:p w:rsidR="00D15A6A" w:rsidRDefault="00D9732F">
      <w:pPr>
        <w:widowControl w:val="0"/>
        <w:spacing w:before="255" w:line="229" w:lineRule="auto"/>
        <w:ind w:right="373"/>
        <w:jc w:val="both"/>
        <w:rPr>
          <w:rFonts w:ascii="Century Gothic" w:eastAsia="Century Gothic" w:hAnsi="Century Gothic" w:cs="Century Gothic"/>
          <w:color w:val="4472C4"/>
        </w:rPr>
      </w:pPr>
      <w:r>
        <w:rPr>
          <w:rFonts w:ascii="Century Gothic" w:eastAsia="Century Gothic" w:hAnsi="Century Gothic" w:cs="Century Gothic"/>
        </w:rPr>
        <w:t xml:space="preserve">DANE. (2024). Anexo estadístico del informe CST 2023. Recuperado de  </w:t>
      </w:r>
      <w:r>
        <w:rPr>
          <w:rFonts w:ascii="Century Gothic" w:eastAsia="Century Gothic" w:hAnsi="Century Gothic" w:cs="Century Gothic"/>
          <w:color w:val="4472C4"/>
          <w:u w:val="single"/>
        </w:rPr>
        <w:t>https://www.dane.gov.co/index.php/estadisticas-por-tema/cuentas-nacionales/cuentas satelite/cuentas-economicas-cuenta-satelite-de-turismo-cst</w:t>
      </w:r>
      <w:r>
        <w:rPr>
          <w:rFonts w:ascii="Century Gothic" w:eastAsia="Century Gothic" w:hAnsi="Century Gothic" w:cs="Century Gothic"/>
          <w:color w:val="4472C4"/>
        </w:rPr>
        <w:t xml:space="preserve"> </w:t>
      </w:r>
    </w:p>
    <w:p w:rsidR="00D15A6A" w:rsidRDefault="00D9732F">
      <w:pPr>
        <w:widowControl w:val="0"/>
        <w:spacing w:before="263" w:line="227" w:lineRule="auto"/>
        <w:ind w:right="372"/>
        <w:jc w:val="both"/>
        <w:rPr>
          <w:rFonts w:ascii="Century Gothic" w:eastAsia="Century Gothic" w:hAnsi="Century Gothic" w:cs="Century Gothic"/>
          <w:color w:val="4472C4"/>
          <w:u w:val="single"/>
        </w:rPr>
      </w:pPr>
      <w:r>
        <w:rPr>
          <w:rFonts w:ascii="Century Gothic" w:eastAsia="Century Gothic" w:hAnsi="Century Gothic" w:cs="Century Gothic"/>
        </w:rPr>
        <w:t xml:space="preserve">DANE. (2024). Cuentas Departamentales. Boletín Técnico. Recuperado de  </w:t>
      </w:r>
      <w:r>
        <w:rPr>
          <w:rFonts w:ascii="Century Gothic" w:eastAsia="Century Gothic" w:hAnsi="Century Gothic" w:cs="Century Gothic"/>
          <w:color w:val="4472C4"/>
          <w:u w:val="single"/>
        </w:rPr>
        <w:t>https://www.dane.gov.co/files/operaciones/PIB/bol-PIBDep-2023pr.pdf</w:t>
      </w:r>
    </w:p>
    <w:p w:rsidR="00D15A6A" w:rsidRDefault="00D15A6A">
      <w:pPr>
        <w:pBdr>
          <w:top w:val="nil"/>
          <w:left w:val="nil"/>
          <w:bottom w:val="nil"/>
          <w:right w:val="nil"/>
          <w:between w:val="nil"/>
        </w:pBdr>
        <w:spacing w:line="240" w:lineRule="auto"/>
        <w:jc w:val="both"/>
        <w:rPr>
          <w:rFonts w:ascii="Century Gothic" w:eastAsia="Century Gothic" w:hAnsi="Century Gothic" w:cs="Century Gothic"/>
          <w:b/>
        </w:rPr>
      </w:pPr>
    </w:p>
    <w:p w:rsidR="00D15A6A" w:rsidRDefault="00D9732F">
      <w:pPr>
        <w:widowControl w:val="0"/>
        <w:spacing w:before="16" w:line="230" w:lineRule="auto"/>
        <w:ind w:right="365"/>
        <w:jc w:val="both"/>
        <w:rPr>
          <w:rFonts w:ascii="Century Gothic" w:eastAsia="Century Gothic" w:hAnsi="Century Gothic" w:cs="Century Gothic"/>
          <w:color w:val="1155CC"/>
        </w:rPr>
      </w:pPr>
      <w:r>
        <w:rPr>
          <w:rFonts w:ascii="Century Gothic" w:eastAsia="Century Gothic" w:hAnsi="Century Gothic" w:cs="Century Gothic"/>
        </w:rPr>
        <w:t xml:space="preserve">Editorial La República S.A.S. (2022b, agosto 26). </w:t>
      </w:r>
      <w:r>
        <w:rPr>
          <w:rFonts w:ascii="Century Gothic" w:eastAsia="Century Gothic" w:hAnsi="Century Gothic" w:cs="Century Gothic"/>
          <w:i/>
        </w:rPr>
        <w:t>Las actividades del sector turístico, uno  de los motores de la economía del Caribe</w:t>
      </w:r>
      <w:r>
        <w:rPr>
          <w:rFonts w:ascii="Century Gothic" w:eastAsia="Century Gothic" w:hAnsi="Century Gothic" w:cs="Century Gothic"/>
        </w:rPr>
        <w:t xml:space="preserve">. Diario La República.  </w:t>
      </w:r>
      <w:r>
        <w:rPr>
          <w:rFonts w:ascii="Century Gothic" w:eastAsia="Century Gothic" w:hAnsi="Century Gothic" w:cs="Century Gothic"/>
          <w:color w:val="1155CC"/>
          <w:u w:val="single"/>
        </w:rPr>
        <w:t>https://www.larepublica.co/especiales/las-mas-vendedoras-en-costa-caribe-2021/el turismo-uno-de-los-renglones-claves-de-la-economia-del-caribe-3433807</w:t>
      </w:r>
      <w:r>
        <w:rPr>
          <w:rFonts w:ascii="Century Gothic" w:eastAsia="Century Gothic" w:hAnsi="Century Gothic" w:cs="Century Gothic"/>
          <w:color w:val="1155CC"/>
        </w:rPr>
        <w:t xml:space="preserve"> </w:t>
      </w:r>
    </w:p>
    <w:p w:rsidR="00D15A6A" w:rsidRDefault="00D9732F">
      <w:pPr>
        <w:widowControl w:val="0"/>
        <w:spacing w:before="257" w:line="230" w:lineRule="auto"/>
        <w:ind w:right="359"/>
        <w:jc w:val="both"/>
        <w:rPr>
          <w:rFonts w:ascii="Century Gothic" w:eastAsia="Century Gothic" w:hAnsi="Century Gothic" w:cs="Century Gothic"/>
          <w:color w:val="1155CC"/>
        </w:rPr>
      </w:pPr>
      <w:r>
        <w:rPr>
          <w:rFonts w:ascii="Century Gothic" w:eastAsia="Century Gothic" w:hAnsi="Century Gothic" w:cs="Century Gothic"/>
          <w:color w:val="05103E"/>
          <w:highlight w:val="white"/>
        </w:rPr>
        <w:t xml:space="preserve">Editorial La República S.A.S. (2020, 26 enero). En Chile, Colombia y México se encuentran </w:t>
      </w:r>
      <w:r>
        <w:rPr>
          <w:rFonts w:ascii="Century Gothic" w:eastAsia="Century Gothic" w:hAnsi="Century Gothic" w:cs="Century Gothic"/>
          <w:color w:val="05103E"/>
        </w:rPr>
        <w:t xml:space="preserve"> </w:t>
      </w:r>
      <w:r>
        <w:rPr>
          <w:rFonts w:ascii="Century Gothic" w:eastAsia="Century Gothic" w:hAnsi="Century Gothic" w:cs="Century Gothic"/>
          <w:color w:val="05103E"/>
          <w:highlight w:val="white"/>
        </w:rPr>
        <w:t xml:space="preserve">los precios de peajes más caros de la región. </w:t>
      </w:r>
      <w:r>
        <w:rPr>
          <w:rFonts w:ascii="Century Gothic" w:eastAsia="Century Gothic" w:hAnsi="Century Gothic" w:cs="Century Gothic"/>
          <w:i/>
          <w:color w:val="05103E"/>
          <w:highlight w:val="white"/>
        </w:rPr>
        <w:t>Diario La República</w:t>
      </w:r>
      <w:r>
        <w:rPr>
          <w:rFonts w:ascii="Century Gothic" w:eastAsia="Century Gothic" w:hAnsi="Century Gothic" w:cs="Century Gothic"/>
          <w:color w:val="05103E"/>
          <w:highlight w:val="white"/>
        </w:rPr>
        <w:t>.</w:t>
      </w:r>
      <w:r>
        <w:rPr>
          <w:rFonts w:ascii="Century Gothic" w:eastAsia="Century Gothic" w:hAnsi="Century Gothic" w:cs="Century Gothic"/>
          <w:color w:val="05103E"/>
        </w:rPr>
        <w:t xml:space="preserve">  </w:t>
      </w:r>
      <w:r>
        <w:rPr>
          <w:rFonts w:ascii="Century Gothic" w:eastAsia="Century Gothic" w:hAnsi="Century Gothic" w:cs="Century Gothic"/>
          <w:color w:val="1155CC"/>
          <w:highlight w:val="white"/>
          <w:u w:val="single"/>
        </w:rPr>
        <w:t>https://www.larepublica.co/globoeconomia/en-chile-colombia-y-mexico-se-encuentran-los peajes-mas-caros-de-la-region-2956368</w:t>
      </w:r>
      <w:r>
        <w:rPr>
          <w:rFonts w:ascii="Century Gothic" w:eastAsia="Century Gothic" w:hAnsi="Century Gothic" w:cs="Century Gothic"/>
          <w:color w:val="1155CC"/>
        </w:rPr>
        <w:t xml:space="preserve">  </w:t>
      </w:r>
    </w:p>
    <w:p w:rsidR="00D15A6A" w:rsidRDefault="00D9732F">
      <w:pPr>
        <w:widowControl w:val="0"/>
        <w:spacing w:before="257" w:line="231" w:lineRule="auto"/>
        <w:ind w:right="359"/>
        <w:jc w:val="both"/>
        <w:rPr>
          <w:rFonts w:ascii="Century Gothic" w:eastAsia="Century Gothic" w:hAnsi="Century Gothic" w:cs="Century Gothic"/>
          <w:color w:val="4472C4"/>
          <w:highlight w:val="white"/>
          <w:u w:val="single"/>
        </w:rPr>
      </w:pPr>
      <w:r>
        <w:rPr>
          <w:rFonts w:ascii="Century Gothic" w:eastAsia="Century Gothic" w:hAnsi="Century Gothic" w:cs="Century Gothic"/>
          <w:color w:val="05103E"/>
          <w:highlight w:val="white"/>
        </w:rPr>
        <w:t xml:space="preserve">El Espectador. (s.f.). </w:t>
      </w:r>
      <w:r>
        <w:rPr>
          <w:rFonts w:ascii="Century Gothic" w:eastAsia="Century Gothic" w:hAnsi="Century Gothic" w:cs="Century Gothic"/>
          <w:i/>
          <w:color w:val="05103E"/>
          <w:highlight w:val="white"/>
        </w:rPr>
        <w:t>En Colombia hay 177 peajes y han recaudado más de 26 billones</w:t>
      </w:r>
      <w:r>
        <w:rPr>
          <w:rFonts w:ascii="Century Gothic" w:eastAsia="Century Gothic" w:hAnsi="Century Gothic" w:cs="Century Gothic"/>
          <w:color w:val="05103E"/>
          <w:highlight w:val="white"/>
        </w:rPr>
        <w:t>.</w:t>
      </w:r>
      <w:r>
        <w:rPr>
          <w:rFonts w:ascii="Century Gothic" w:eastAsia="Century Gothic" w:hAnsi="Century Gothic" w:cs="Century Gothic"/>
          <w:color w:val="05103E"/>
        </w:rPr>
        <w:t xml:space="preserve">  </w:t>
      </w:r>
      <w:r>
        <w:rPr>
          <w:rFonts w:ascii="Century Gothic" w:eastAsia="Century Gothic" w:hAnsi="Century Gothic" w:cs="Century Gothic"/>
          <w:color w:val="05103E"/>
          <w:highlight w:val="white"/>
        </w:rPr>
        <w:t xml:space="preserve">Recuperado el 23 de julio de 2024, de </w:t>
      </w:r>
      <w:r>
        <w:rPr>
          <w:rFonts w:ascii="Century Gothic" w:eastAsia="Century Gothic" w:hAnsi="Century Gothic" w:cs="Century Gothic"/>
          <w:color w:val="4472C4"/>
          <w:highlight w:val="white"/>
          <w:u w:val="single"/>
        </w:rPr>
        <w:t xml:space="preserve">https://www.elespectador.com/investigacion/en colombia-hay-177-peajes-y-han-recaudado-mas-de-26-billones-article/ </w:t>
      </w:r>
    </w:p>
    <w:p w:rsidR="00D15A6A" w:rsidRDefault="00D9732F">
      <w:pPr>
        <w:widowControl w:val="0"/>
        <w:spacing w:before="256" w:line="229" w:lineRule="auto"/>
        <w:ind w:right="363"/>
        <w:jc w:val="both"/>
        <w:rPr>
          <w:rFonts w:ascii="Century Gothic" w:eastAsia="Century Gothic" w:hAnsi="Century Gothic" w:cs="Century Gothic"/>
          <w:color w:val="1155CC"/>
        </w:rPr>
      </w:pPr>
      <w:r>
        <w:rPr>
          <w:rFonts w:ascii="Century Gothic" w:eastAsia="Century Gothic" w:hAnsi="Century Gothic" w:cs="Century Gothic"/>
          <w:color w:val="05103E"/>
          <w:highlight w:val="white"/>
        </w:rPr>
        <w:t xml:space="preserve">Edward Daniel Vidal Garcia - www.peajesencolombia.com. (s. f.). </w:t>
      </w:r>
      <w:r>
        <w:rPr>
          <w:rFonts w:ascii="Century Gothic" w:eastAsia="Century Gothic" w:hAnsi="Century Gothic" w:cs="Century Gothic"/>
          <w:i/>
          <w:color w:val="05103E"/>
          <w:highlight w:val="white"/>
        </w:rPr>
        <w:t xml:space="preserve">Peajes en El Retén </w:t>
      </w:r>
      <w:r>
        <w:rPr>
          <w:rFonts w:ascii="Century Gothic" w:eastAsia="Century Gothic" w:hAnsi="Century Gothic" w:cs="Century Gothic"/>
          <w:i/>
          <w:color w:val="05103E"/>
        </w:rPr>
        <w:t xml:space="preserve"> </w:t>
      </w:r>
      <w:r>
        <w:rPr>
          <w:rFonts w:ascii="Century Gothic" w:eastAsia="Century Gothic" w:hAnsi="Century Gothic" w:cs="Century Gothic"/>
          <w:i/>
          <w:color w:val="05103E"/>
          <w:highlight w:val="white"/>
        </w:rPr>
        <w:t>Barranquilla - Peajes Colombia</w:t>
      </w:r>
      <w:r>
        <w:rPr>
          <w:rFonts w:ascii="Century Gothic" w:eastAsia="Century Gothic" w:hAnsi="Century Gothic" w:cs="Century Gothic"/>
          <w:color w:val="05103E"/>
          <w:highlight w:val="white"/>
        </w:rPr>
        <w:t xml:space="preserve">. Peajes en Colombia. </w:t>
      </w:r>
      <w:r>
        <w:rPr>
          <w:rFonts w:ascii="Century Gothic" w:eastAsia="Century Gothic" w:hAnsi="Century Gothic" w:cs="Century Gothic"/>
          <w:color w:val="05103E"/>
        </w:rPr>
        <w:t xml:space="preserve"> </w:t>
      </w:r>
      <w:r>
        <w:rPr>
          <w:rFonts w:ascii="Century Gothic" w:eastAsia="Century Gothic" w:hAnsi="Century Gothic" w:cs="Century Gothic"/>
          <w:color w:val="1155CC"/>
          <w:highlight w:val="white"/>
          <w:u w:val="single"/>
        </w:rPr>
        <w:t>https://www.peajesencolombia.com/peajes/el-reten-barranquilla/</w:t>
      </w:r>
      <w:r>
        <w:rPr>
          <w:rFonts w:ascii="Century Gothic" w:eastAsia="Century Gothic" w:hAnsi="Century Gothic" w:cs="Century Gothic"/>
          <w:color w:val="1155CC"/>
        </w:rPr>
        <w:t xml:space="preserve">  </w:t>
      </w:r>
    </w:p>
    <w:p w:rsidR="00D15A6A" w:rsidRDefault="00D9732F">
      <w:pPr>
        <w:widowControl w:val="0"/>
        <w:spacing w:before="257" w:line="229" w:lineRule="auto"/>
        <w:ind w:right="359"/>
        <w:jc w:val="both"/>
        <w:rPr>
          <w:rFonts w:ascii="Century Gothic" w:eastAsia="Century Gothic" w:hAnsi="Century Gothic" w:cs="Century Gothic"/>
          <w:color w:val="1155CC"/>
          <w:u w:val="single"/>
        </w:rPr>
      </w:pPr>
      <w:r>
        <w:rPr>
          <w:rFonts w:ascii="Century Gothic" w:eastAsia="Century Gothic" w:hAnsi="Century Gothic" w:cs="Century Gothic"/>
        </w:rPr>
        <w:t xml:space="preserve">Ministerio de Comercio, Industria y Turismo, Perfiles económicos Regionales, (2023).  </w:t>
      </w:r>
      <w:r>
        <w:rPr>
          <w:rFonts w:ascii="Century Gothic" w:eastAsia="Century Gothic" w:hAnsi="Century Gothic" w:cs="Century Gothic"/>
          <w:color w:val="1155CC"/>
          <w:u w:val="single"/>
        </w:rPr>
        <w:t>https://www.mincit.gov.co/CMSPages/GetFile.aspx?guid=cd8fcb6a-24cf-4524-9687-</w:t>
      </w:r>
      <w:r>
        <w:rPr>
          <w:rFonts w:ascii="Century Gothic" w:eastAsia="Century Gothic" w:hAnsi="Century Gothic" w:cs="Century Gothic"/>
          <w:color w:val="1155CC"/>
        </w:rPr>
        <w:t xml:space="preserve"> </w:t>
      </w:r>
      <w:r>
        <w:rPr>
          <w:rFonts w:ascii="Century Gothic" w:eastAsia="Century Gothic" w:hAnsi="Century Gothic" w:cs="Century Gothic"/>
          <w:color w:val="1155CC"/>
          <w:u w:val="single"/>
        </w:rPr>
        <w:t xml:space="preserve">49e88b910134 </w:t>
      </w:r>
    </w:p>
    <w:p w:rsidR="00D15A6A" w:rsidRDefault="00D9732F">
      <w:pPr>
        <w:widowControl w:val="0"/>
        <w:spacing w:before="257" w:line="230" w:lineRule="auto"/>
        <w:ind w:right="376"/>
        <w:jc w:val="both"/>
        <w:rPr>
          <w:rFonts w:ascii="Century Gothic" w:eastAsia="Century Gothic" w:hAnsi="Century Gothic" w:cs="Century Gothic"/>
          <w:color w:val="4472C4"/>
          <w:u w:val="single"/>
        </w:rPr>
      </w:pPr>
      <w:r>
        <w:rPr>
          <w:rFonts w:ascii="Century Gothic" w:eastAsia="Century Gothic" w:hAnsi="Century Gothic" w:cs="Century Gothic"/>
        </w:rPr>
        <w:lastRenderedPageBreak/>
        <w:t xml:space="preserve">Ministerio de Comercio, Industria y Turismo. (2023). Perfil Regional Caribe. Informe.  Recuperado de </w:t>
      </w:r>
      <w:r>
        <w:rPr>
          <w:rFonts w:ascii="Century Gothic" w:eastAsia="Century Gothic" w:hAnsi="Century Gothic" w:cs="Century Gothic"/>
          <w:color w:val="4472C4"/>
          <w:u w:val="single"/>
        </w:rPr>
        <w:t xml:space="preserve">https://www.mincit.gov.co/getattachment/estudios-economicos/perfiles economicos-por-departamentos/perfiles-regionales/region-caribe/oee-yc-dv-perfil-regional caribe-10jul2023.pdf.aspx </w:t>
      </w:r>
    </w:p>
    <w:p w:rsidR="00D15A6A" w:rsidRDefault="00D9732F">
      <w:pPr>
        <w:widowControl w:val="0"/>
        <w:spacing w:before="257" w:line="231" w:lineRule="auto"/>
        <w:ind w:right="373"/>
        <w:jc w:val="both"/>
        <w:rPr>
          <w:rFonts w:ascii="Century Gothic" w:eastAsia="Century Gothic" w:hAnsi="Century Gothic" w:cs="Century Gothic"/>
          <w:color w:val="0000FF"/>
        </w:rPr>
      </w:pPr>
      <w:r>
        <w:rPr>
          <w:rFonts w:ascii="Century Gothic" w:eastAsia="Century Gothic" w:hAnsi="Century Gothic" w:cs="Century Gothic"/>
        </w:rPr>
        <w:t xml:space="preserve">Ministerio de Comercio, Industria y Turismo. (2024). Parques Nacionales. Informe.  Recuperado de </w:t>
      </w:r>
      <w:r>
        <w:rPr>
          <w:rFonts w:ascii="Century Gothic" w:eastAsia="Century Gothic" w:hAnsi="Century Gothic" w:cs="Century Gothic"/>
          <w:color w:val="0000FF"/>
          <w:u w:val="single"/>
        </w:rPr>
        <w:t>https://portucolombia.mincit.gov.co/tematicas/flujo-de-turistas-y pasajeros/parques-nacionales</w:t>
      </w:r>
      <w:r>
        <w:rPr>
          <w:rFonts w:ascii="Century Gothic" w:eastAsia="Century Gothic" w:hAnsi="Century Gothic" w:cs="Century Gothic"/>
          <w:color w:val="0000FF"/>
        </w:rPr>
        <w:t xml:space="preserve">  </w:t>
      </w:r>
    </w:p>
    <w:p w:rsidR="00D15A6A" w:rsidRDefault="00D9732F">
      <w:pPr>
        <w:widowControl w:val="0"/>
        <w:spacing w:before="255" w:line="227" w:lineRule="auto"/>
        <w:ind w:right="375"/>
        <w:jc w:val="both"/>
        <w:rPr>
          <w:rFonts w:ascii="Century Gothic" w:eastAsia="Century Gothic" w:hAnsi="Century Gothic" w:cs="Century Gothic"/>
          <w:color w:val="0000FF"/>
        </w:rPr>
      </w:pPr>
      <w:r>
        <w:rPr>
          <w:rFonts w:ascii="Century Gothic" w:eastAsia="Century Gothic" w:hAnsi="Century Gothic" w:cs="Century Gothic"/>
        </w:rPr>
        <w:t xml:space="preserve">Ministerio de Comercio, Industria y Turismo (2024). Visitantes no residentes. Informe.  Recuperado de </w:t>
      </w:r>
      <w:r>
        <w:rPr>
          <w:rFonts w:ascii="Century Gothic" w:eastAsia="Century Gothic" w:hAnsi="Century Gothic" w:cs="Century Gothic"/>
          <w:color w:val="0000FF"/>
          <w:u w:val="single"/>
        </w:rPr>
        <w:t>https://portucolombia.mincit.gov.co/tematicas/visitantes-no-residentes</w:t>
      </w:r>
      <w:r>
        <w:rPr>
          <w:rFonts w:ascii="Century Gothic" w:eastAsia="Century Gothic" w:hAnsi="Century Gothic" w:cs="Century Gothic"/>
          <w:color w:val="0000FF"/>
        </w:rPr>
        <w:t xml:space="preserve"> </w:t>
      </w:r>
    </w:p>
    <w:p w:rsidR="00D15A6A" w:rsidRDefault="00D9732F">
      <w:pPr>
        <w:widowControl w:val="0"/>
        <w:spacing w:before="265" w:line="228" w:lineRule="auto"/>
        <w:ind w:right="366"/>
        <w:jc w:val="both"/>
        <w:rPr>
          <w:rFonts w:ascii="Century Gothic" w:eastAsia="Century Gothic" w:hAnsi="Century Gothic" w:cs="Century Gothic"/>
          <w:color w:val="1155CC"/>
        </w:rPr>
      </w:pPr>
      <w:r>
        <w:rPr>
          <w:rFonts w:ascii="Century Gothic" w:eastAsia="Century Gothic" w:hAnsi="Century Gothic" w:cs="Century Gothic"/>
        </w:rPr>
        <w:t xml:space="preserve">Paternina Nikol, Impacto del Peaje la Caimanera en la Oferta Turística de Los Municipios  de Santiago de Tolú y Coveñas, (2017)  </w:t>
      </w:r>
      <w:r>
        <w:rPr>
          <w:rFonts w:ascii="Century Gothic" w:eastAsia="Century Gothic" w:hAnsi="Century Gothic" w:cs="Century Gothic"/>
          <w:color w:val="1155CC"/>
          <w:u w:val="single"/>
        </w:rPr>
        <w:t xml:space="preserve">https://repositorio.unisucre.edu.co/bitstream/handle/001/621/T338.4791%20P%20295.pdf ?sequence=1&amp;isAllowed=y </w:t>
      </w:r>
      <w:r>
        <w:rPr>
          <w:rFonts w:ascii="Century Gothic" w:eastAsia="Century Gothic" w:hAnsi="Century Gothic" w:cs="Century Gothic"/>
          <w:color w:val="1155CC"/>
        </w:rPr>
        <w:t xml:space="preserve"> </w:t>
      </w:r>
    </w:p>
    <w:p w:rsidR="00D15A6A" w:rsidRDefault="00D9732F">
      <w:pPr>
        <w:widowControl w:val="0"/>
        <w:spacing w:before="264" w:line="229" w:lineRule="auto"/>
        <w:ind w:right="372"/>
        <w:jc w:val="both"/>
        <w:rPr>
          <w:rFonts w:ascii="Century Gothic" w:eastAsia="Century Gothic" w:hAnsi="Century Gothic" w:cs="Century Gothic"/>
          <w:color w:val="1155CC"/>
          <w:u w:val="single"/>
        </w:rPr>
      </w:pPr>
      <w:r>
        <w:rPr>
          <w:rFonts w:ascii="Century Gothic" w:eastAsia="Century Gothic" w:hAnsi="Century Gothic" w:cs="Century Gothic"/>
        </w:rPr>
        <w:t xml:space="preserve">Rojano, Y., Contreras, M. &amp; Cardona, D. (2022). Resiliencia del sector turístico en época de  crisis por COVID-19: el caso de la región Caribe colombiana. Revista Saber, Ciencia y  Libertad, 17(2), 214 – 237. </w:t>
      </w:r>
      <w:r>
        <w:rPr>
          <w:rFonts w:ascii="Century Gothic" w:eastAsia="Century Gothic" w:hAnsi="Century Gothic" w:cs="Century Gothic"/>
          <w:color w:val="1155CC"/>
          <w:u w:val="single"/>
        </w:rPr>
        <w:t xml:space="preserve">https://doi.org/10.18041/2382-3240/saber.2022v17n2.9277 </w:t>
      </w:r>
    </w:p>
    <w:p w:rsidR="00D15A6A" w:rsidRDefault="00D15A6A">
      <w:pPr>
        <w:rPr>
          <w:rFonts w:ascii="Century Gothic" w:eastAsia="Century Gothic" w:hAnsi="Century Gothic" w:cs="Century Gothic"/>
        </w:rPr>
      </w:pPr>
    </w:p>
    <w:p w:rsidR="00D15A6A" w:rsidRDefault="00D92574">
      <w:pPr>
        <w:spacing w:line="240" w:lineRule="auto"/>
        <w:jc w:val="both"/>
        <w:rPr>
          <w:rFonts w:ascii="Century Gothic" w:eastAsia="Century Gothic" w:hAnsi="Century Gothic" w:cs="Century Gothic"/>
        </w:rPr>
      </w:pPr>
      <w:r>
        <w:rPr>
          <w:rFonts w:ascii="Century Gothic" w:eastAsia="Century Gothic" w:hAnsi="Century Gothic" w:cs="Century Gothic"/>
        </w:rPr>
        <w:t>De lo</w:t>
      </w:r>
      <w:r w:rsidR="00D9732F">
        <w:rPr>
          <w:rFonts w:ascii="Century Gothic" w:eastAsia="Century Gothic" w:hAnsi="Century Gothic" w:cs="Century Gothic"/>
        </w:rPr>
        <w:t xml:space="preserve">s y los Honorables Representantes, </w:t>
      </w:r>
    </w:p>
    <w:p w:rsidR="00D15A6A" w:rsidRDefault="00D15A6A">
      <w:pPr>
        <w:spacing w:line="240" w:lineRule="auto"/>
        <w:rPr>
          <w:rFonts w:ascii="Century Gothic" w:eastAsia="Century Gothic" w:hAnsi="Century Gothic" w:cs="Century Gothic"/>
        </w:rPr>
      </w:pPr>
      <w:bookmarkStart w:id="11" w:name="_heading=h.smy2xym6a4x1" w:colFirst="0" w:colLast="0"/>
      <w:bookmarkEnd w:id="11"/>
    </w:p>
    <w:p w:rsidR="00D15A6A" w:rsidRDefault="00D15A6A">
      <w:pPr>
        <w:spacing w:line="240" w:lineRule="auto"/>
        <w:rPr>
          <w:rFonts w:ascii="Century Gothic" w:eastAsia="Century Gothic" w:hAnsi="Century Gothic" w:cs="Century Gothic"/>
        </w:rPr>
      </w:pPr>
      <w:bookmarkStart w:id="12" w:name="_heading=h.jtcuth2jgr8z" w:colFirst="0" w:colLast="0"/>
      <w:bookmarkEnd w:id="12"/>
    </w:p>
    <w:p w:rsidR="00D92574" w:rsidRDefault="00D92574" w:rsidP="00D92574">
      <w:pPr>
        <w:spacing w:line="240" w:lineRule="auto"/>
        <w:rPr>
          <w:rFonts w:ascii="Century Gothic" w:eastAsia="Century Gothic" w:hAnsi="Century Gothic" w:cs="Century Gothic"/>
          <w:b/>
        </w:rPr>
      </w:pPr>
    </w:p>
    <w:p w:rsidR="00D92574" w:rsidRPr="00D92574" w:rsidRDefault="00D92574" w:rsidP="00D92574">
      <w:pPr>
        <w:rPr>
          <w:rFonts w:ascii="Century Gothic" w:eastAsia="Century Gothic" w:hAnsi="Century Gothic" w:cs="Century Gothic"/>
          <w:b/>
        </w:rPr>
      </w:pPr>
      <w:r w:rsidRPr="00D92574">
        <w:rPr>
          <w:rFonts w:ascii="Century Gothic" w:eastAsia="Century Gothic" w:hAnsi="Century Gothic" w:cs="Century Gothic"/>
          <w:b/>
        </w:rPr>
        <w:t>Modesto Enrique Aguilera Vides</w:t>
      </w:r>
    </w:p>
    <w:p w:rsidR="00D92574" w:rsidRDefault="00D92574" w:rsidP="00D92574">
      <w:pPr>
        <w:rPr>
          <w:rFonts w:ascii="Century Gothic" w:eastAsia="Century Gothic" w:hAnsi="Century Gothic" w:cs="Century Gothic"/>
        </w:rPr>
      </w:pPr>
      <w:r>
        <w:rPr>
          <w:rFonts w:ascii="Century Gothic" w:eastAsia="Century Gothic" w:hAnsi="Century Gothic" w:cs="Century Gothic"/>
        </w:rPr>
        <w:t>Representante a la Cámara</w:t>
      </w:r>
    </w:p>
    <w:p w:rsidR="00D92574" w:rsidRDefault="00D92574" w:rsidP="00D92574">
      <w:pPr>
        <w:rPr>
          <w:rFonts w:ascii="Century Gothic" w:eastAsia="Century Gothic" w:hAnsi="Century Gothic" w:cs="Century Gothic"/>
        </w:rPr>
      </w:pPr>
      <w:r>
        <w:rPr>
          <w:rFonts w:ascii="Century Gothic" w:eastAsia="Century Gothic" w:hAnsi="Century Gothic" w:cs="Century Gothic"/>
        </w:rPr>
        <w:t>Partido Cambio Radical</w:t>
      </w:r>
    </w:p>
    <w:p w:rsidR="00D92574" w:rsidRDefault="00D92574" w:rsidP="00D92574">
      <w:pPr>
        <w:spacing w:line="240" w:lineRule="auto"/>
        <w:rPr>
          <w:rFonts w:ascii="Century Gothic" w:eastAsia="Century Gothic" w:hAnsi="Century Gothic" w:cs="Century Gothic"/>
          <w:b/>
        </w:rPr>
      </w:pPr>
    </w:p>
    <w:p w:rsidR="00D92574" w:rsidRDefault="00D92574" w:rsidP="00D92574">
      <w:pPr>
        <w:spacing w:line="240" w:lineRule="auto"/>
        <w:rPr>
          <w:rFonts w:ascii="Century Gothic" w:eastAsia="Century Gothic" w:hAnsi="Century Gothic" w:cs="Century Gothic"/>
          <w:b/>
        </w:rPr>
      </w:pPr>
    </w:p>
    <w:p w:rsidR="00D92574" w:rsidRDefault="00D92574" w:rsidP="00D92574">
      <w:pPr>
        <w:spacing w:line="240" w:lineRule="auto"/>
        <w:rPr>
          <w:rFonts w:ascii="Century Gothic" w:eastAsia="Century Gothic" w:hAnsi="Century Gothic" w:cs="Century Gothic"/>
          <w:b/>
        </w:rPr>
      </w:pPr>
      <w:r>
        <w:rPr>
          <w:rFonts w:ascii="Century Gothic" w:eastAsia="Century Gothic" w:hAnsi="Century Gothic" w:cs="Century Gothic"/>
          <w:b/>
        </w:rPr>
        <w:t>Juan Carlos Wills Ospina</w:t>
      </w:r>
    </w:p>
    <w:p w:rsidR="00D92574" w:rsidRDefault="00D92574" w:rsidP="00D92574">
      <w:pPr>
        <w:spacing w:line="240" w:lineRule="auto"/>
        <w:rPr>
          <w:rFonts w:ascii="Century Gothic" w:eastAsia="Century Gothic" w:hAnsi="Century Gothic" w:cs="Century Gothic"/>
        </w:rPr>
      </w:pPr>
      <w:r>
        <w:rPr>
          <w:rFonts w:ascii="Century Gothic" w:eastAsia="Century Gothic" w:hAnsi="Century Gothic" w:cs="Century Gothic"/>
        </w:rPr>
        <w:t>Representante a la Cámara</w:t>
      </w:r>
    </w:p>
    <w:p w:rsidR="00D92574" w:rsidRDefault="00D92574" w:rsidP="00D92574">
      <w:pPr>
        <w:rPr>
          <w:rFonts w:ascii="Century Gothic" w:eastAsia="Century Gothic" w:hAnsi="Century Gothic" w:cs="Century Gothic"/>
        </w:rPr>
      </w:pPr>
      <w:r>
        <w:rPr>
          <w:rFonts w:ascii="Century Gothic" w:eastAsia="Century Gothic" w:hAnsi="Century Gothic" w:cs="Century Gothic"/>
        </w:rPr>
        <w:t>Partido Conservador</w:t>
      </w:r>
      <w:r>
        <w:rPr>
          <w:rFonts w:ascii="Century Gothic" w:eastAsia="Century Gothic" w:hAnsi="Century Gothic" w:cs="Century Gothic"/>
        </w:rPr>
        <w:br/>
      </w:r>
    </w:p>
    <w:p w:rsidR="00D92574" w:rsidRDefault="00D92574" w:rsidP="00D92574">
      <w:pPr>
        <w:rPr>
          <w:rFonts w:ascii="Century Gothic" w:eastAsia="Century Gothic" w:hAnsi="Century Gothic" w:cs="Century Gothic"/>
        </w:rPr>
      </w:pPr>
    </w:p>
    <w:p w:rsidR="00D92574" w:rsidRPr="00D92574" w:rsidRDefault="00D92574" w:rsidP="00D92574">
      <w:pPr>
        <w:rPr>
          <w:rFonts w:ascii="Century Gothic" w:eastAsia="Century Gothic" w:hAnsi="Century Gothic" w:cs="Century Gothic"/>
          <w:b/>
        </w:rPr>
      </w:pPr>
      <w:r w:rsidRPr="00D92574">
        <w:rPr>
          <w:rFonts w:ascii="Century Gothic" w:eastAsia="Century Gothic" w:hAnsi="Century Gothic" w:cs="Century Gothic"/>
          <w:b/>
        </w:rPr>
        <w:t>Carlos Felipe Quintero Ovalle</w:t>
      </w:r>
    </w:p>
    <w:p w:rsidR="00D92574" w:rsidRDefault="00D92574" w:rsidP="00D92574">
      <w:pPr>
        <w:rPr>
          <w:rFonts w:ascii="Century Gothic" w:eastAsia="Century Gothic" w:hAnsi="Century Gothic" w:cs="Century Gothic"/>
        </w:rPr>
      </w:pPr>
      <w:r>
        <w:rPr>
          <w:rFonts w:ascii="Century Gothic" w:eastAsia="Century Gothic" w:hAnsi="Century Gothic" w:cs="Century Gothic"/>
        </w:rPr>
        <w:t>Representante a la Cámara</w:t>
      </w:r>
    </w:p>
    <w:p w:rsidR="00D15A6A" w:rsidRDefault="00D92574" w:rsidP="00D92574">
      <w:pPr>
        <w:rPr>
          <w:rFonts w:ascii="Century Gothic" w:eastAsia="Century Gothic" w:hAnsi="Century Gothic" w:cs="Century Gothic"/>
        </w:rPr>
      </w:pPr>
      <w:r>
        <w:rPr>
          <w:rFonts w:ascii="Century Gothic" w:eastAsia="Century Gothic" w:hAnsi="Century Gothic" w:cs="Century Gothic"/>
        </w:rPr>
        <w:t>Partido Liberal</w:t>
      </w:r>
      <w:r>
        <w:rPr>
          <w:rFonts w:ascii="Century Gothic" w:eastAsia="Century Gothic" w:hAnsi="Century Gothic" w:cs="Century Gothic"/>
        </w:rPr>
        <w:br/>
      </w:r>
    </w:p>
    <w:sectPr w:rsidR="00D15A6A" w:rsidSect="003F4D32">
      <w:headerReference w:type="default" r:id="rId18"/>
      <w:footerReference w:type="default" r:id="rId19"/>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463" w:rsidRDefault="00EF3463">
      <w:pPr>
        <w:spacing w:line="240" w:lineRule="auto"/>
      </w:pPr>
      <w:r>
        <w:separator/>
      </w:r>
    </w:p>
  </w:endnote>
  <w:endnote w:type="continuationSeparator" w:id="0">
    <w:p w:rsidR="00EF3463" w:rsidRDefault="00EF34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574" w:rsidRDefault="00D92574">
    <w:pPr>
      <w:rPr>
        <w:sz w:val="16"/>
        <w:szCs w:val="16"/>
      </w:rPr>
    </w:pPr>
  </w:p>
  <w:p w:rsidR="00D92574" w:rsidRDefault="00D92574">
    <w:pPr>
      <w:tabs>
        <w:tab w:val="center" w:pos="4419"/>
        <w:tab w:val="right" w:pos="8838"/>
      </w:tabs>
      <w:jc w:val="center"/>
      <w:rPr>
        <w:b/>
        <w:i/>
        <w:sz w:val="16"/>
        <w:szCs w:val="16"/>
      </w:rPr>
    </w:pPr>
    <w:r>
      <w:rPr>
        <w:noProof/>
        <w:lang w:val="es-CO"/>
      </w:rPr>
      <w:drawing>
        <wp:anchor distT="0" distB="0" distL="114300" distR="114300" simplePos="0" relativeHeight="251661312" behindDoc="0" locked="0" layoutInCell="1" hidden="0" allowOverlap="1">
          <wp:simplePos x="0" y="0"/>
          <wp:positionH relativeFrom="column">
            <wp:posOffset>1781175</wp:posOffset>
          </wp:positionH>
          <wp:positionV relativeFrom="paragraph">
            <wp:posOffset>37095</wp:posOffset>
          </wp:positionV>
          <wp:extent cx="1981200" cy="586105"/>
          <wp:effectExtent l="0" t="0" r="0" b="0"/>
          <wp:wrapNone/>
          <wp:docPr id="2043219773" name="image3.png" descr="http://incolballet.com/wp-content/uploads/2014/09/logo-congreso.png"/>
          <wp:cNvGraphicFramePr/>
          <a:graphic xmlns:a="http://schemas.openxmlformats.org/drawingml/2006/main">
            <a:graphicData uri="http://schemas.openxmlformats.org/drawingml/2006/picture">
              <pic:pic xmlns:pic="http://schemas.openxmlformats.org/drawingml/2006/picture">
                <pic:nvPicPr>
                  <pic:cNvPr id="0" name="image3.png" descr="http://incolballet.com/wp-content/uploads/2014/09/logo-congreso.png"/>
                  <pic:cNvPicPr preferRelativeResize="0"/>
                </pic:nvPicPr>
                <pic:blipFill>
                  <a:blip r:embed="rId1"/>
                  <a:srcRect/>
                  <a:stretch>
                    <a:fillRect/>
                  </a:stretch>
                </pic:blipFill>
                <pic:spPr>
                  <a:xfrm>
                    <a:off x="0" y="0"/>
                    <a:ext cx="1981200" cy="586105"/>
                  </a:xfrm>
                  <a:prstGeom prst="rect">
                    <a:avLst/>
                  </a:prstGeom>
                  <a:ln/>
                </pic:spPr>
              </pic:pic>
            </a:graphicData>
          </a:graphic>
        </wp:anchor>
      </w:drawing>
    </w:r>
  </w:p>
  <w:p w:rsidR="00D92574" w:rsidRDefault="00D92574">
    <w:pPr>
      <w:tabs>
        <w:tab w:val="center" w:pos="4419"/>
        <w:tab w:val="right" w:pos="8838"/>
      </w:tabs>
      <w:jc w:val="center"/>
      <w:rPr>
        <w:b/>
        <w:i/>
        <w:sz w:val="16"/>
        <w:szCs w:val="16"/>
      </w:rPr>
    </w:pPr>
  </w:p>
  <w:p w:rsidR="00D92574" w:rsidRDefault="00D92574">
    <w:pPr>
      <w:tabs>
        <w:tab w:val="center" w:pos="4419"/>
        <w:tab w:val="right" w:pos="8838"/>
      </w:tabs>
      <w:jc w:val="center"/>
      <w:rPr>
        <w:b/>
        <w:i/>
        <w:sz w:val="16"/>
        <w:szCs w:val="16"/>
      </w:rPr>
    </w:pPr>
  </w:p>
  <w:p w:rsidR="00D92574" w:rsidRDefault="00D92574">
    <w:pPr>
      <w:tabs>
        <w:tab w:val="center" w:pos="4419"/>
        <w:tab w:val="right" w:pos="8838"/>
      </w:tabs>
      <w:jc w:val="center"/>
      <w:rPr>
        <w:b/>
        <w:i/>
        <w:sz w:val="16"/>
        <w:szCs w:val="16"/>
      </w:rPr>
    </w:pPr>
  </w:p>
  <w:p w:rsidR="00D92574" w:rsidRDefault="00D92574">
    <w:pPr>
      <w:tabs>
        <w:tab w:val="center" w:pos="4419"/>
        <w:tab w:val="right" w:pos="8838"/>
      </w:tabs>
      <w:jc w:val="center"/>
      <w:rPr>
        <w:b/>
        <w:i/>
        <w:sz w:val="16"/>
        <w:szCs w:val="16"/>
      </w:rPr>
    </w:pPr>
  </w:p>
  <w:p w:rsidR="00D92574" w:rsidRDefault="00D92574">
    <w:pPr>
      <w:tabs>
        <w:tab w:val="center" w:pos="4419"/>
        <w:tab w:val="right" w:pos="8838"/>
      </w:tabs>
      <w:jc w:val="center"/>
      <w:rPr>
        <w:b/>
        <w:i/>
        <w:color w:val="000000"/>
        <w:sz w:val="16"/>
        <w:szCs w:val="16"/>
      </w:rPr>
    </w:pPr>
    <w:r>
      <w:rPr>
        <w:b/>
        <w:i/>
        <w:color w:val="000000"/>
        <w:sz w:val="16"/>
        <w:szCs w:val="16"/>
      </w:rPr>
      <w:t>Carrera 7 No. 8 – 68 Edificio Nuevo del Congreso.</w:t>
    </w:r>
  </w:p>
  <w:p w:rsidR="00D92574" w:rsidRDefault="00D92574">
    <w:pPr>
      <w:tabs>
        <w:tab w:val="center" w:pos="4419"/>
        <w:tab w:val="right" w:pos="8838"/>
      </w:tabs>
      <w:jc w:val="center"/>
      <w:rPr>
        <w:b/>
        <w:i/>
        <w:color w:val="000000"/>
        <w:sz w:val="16"/>
        <w:szCs w:val="16"/>
      </w:rPr>
    </w:pPr>
    <w:r>
      <w:rPr>
        <w:b/>
        <w:i/>
        <w:color w:val="000000"/>
        <w:sz w:val="16"/>
        <w:szCs w:val="16"/>
      </w:rPr>
      <w:t>Bogotá – Colombia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463" w:rsidRDefault="00EF3463">
      <w:pPr>
        <w:spacing w:line="240" w:lineRule="auto"/>
      </w:pPr>
      <w:r>
        <w:separator/>
      </w:r>
    </w:p>
  </w:footnote>
  <w:footnote w:type="continuationSeparator" w:id="0">
    <w:p w:rsidR="00EF3463" w:rsidRDefault="00EF34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574" w:rsidRDefault="00D92574" w:rsidP="003F4D32">
    <w:pPr>
      <w:ind w:left="1440"/>
      <w:jc w:val="both"/>
      <w:rPr>
        <w:sz w:val="24"/>
        <w:szCs w:val="24"/>
      </w:rPr>
    </w:pPr>
  </w:p>
  <w:p w:rsidR="00D92574" w:rsidRDefault="00D92574" w:rsidP="003F4D32">
    <w:pPr>
      <w:ind w:left="1440"/>
      <w:jc w:val="both"/>
      <w:rPr>
        <w:sz w:val="24"/>
        <w:szCs w:val="24"/>
      </w:rPr>
    </w:pPr>
  </w:p>
  <w:p w:rsidR="00D92574" w:rsidRDefault="00D92574" w:rsidP="003F4D32">
    <w:pPr>
      <w:ind w:left="1440"/>
      <w:jc w:val="both"/>
      <w:rPr>
        <w:sz w:val="24"/>
        <w:szCs w:val="24"/>
      </w:rPr>
    </w:pPr>
    <w:r>
      <w:rPr>
        <w:noProof/>
        <w:lang w:val="es-CO"/>
      </w:rPr>
      <w:drawing>
        <wp:anchor distT="0" distB="0" distL="0" distR="0" simplePos="0" relativeHeight="251658240" behindDoc="1" locked="0" layoutInCell="1" hidden="0" allowOverlap="1">
          <wp:simplePos x="0" y="0"/>
          <wp:positionH relativeFrom="column">
            <wp:posOffset>2114550</wp:posOffset>
          </wp:positionH>
          <wp:positionV relativeFrom="paragraph">
            <wp:posOffset>-319087</wp:posOffset>
          </wp:positionV>
          <wp:extent cx="1314450" cy="895116"/>
          <wp:effectExtent l="0" t="0" r="0" b="0"/>
          <wp:wrapNone/>
          <wp:docPr id="20432197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t="19467" b="12478"/>
                  <a:stretch>
                    <a:fillRect/>
                  </a:stretch>
                </pic:blipFill>
                <pic:spPr>
                  <a:xfrm>
                    <a:off x="0" y="0"/>
                    <a:ext cx="1314450" cy="895116"/>
                  </a:xfrm>
                  <a:prstGeom prst="rect">
                    <a:avLst/>
                  </a:prstGeom>
                  <a:ln/>
                </pic:spPr>
              </pic:pic>
            </a:graphicData>
          </a:graphic>
        </wp:anchor>
      </w:drawing>
    </w:r>
    <w:r>
      <w:rPr>
        <w:noProof/>
        <w:lang w:val="es-CO"/>
      </w:rPr>
      <w:drawing>
        <wp:anchor distT="114300" distB="114300" distL="114300" distR="114300" simplePos="0" relativeHeight="251659264" behindDoc="0" locked="0" layoutInCell="1" hidden="0" allowOverlap="1">
          <wp:simplePos x="0" y="0"/>
          <wp:positionH relativeFrom="column">
            <wp:posOffset>-200024</wp:posOffset>
          </wp:positionH>
          <wp:positionV relativeFrom="paragraph">
            <wp:posOffset>-290512</wp:posOffset>
          </wp:positionV>
          <wp:extent cx="1981200" cy="825500"/>
          <wp:effectExtent l="0" t="0" r="0" b="0"/>
          <wp:wrapNone/>
          <wp:docPr id="20432197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1981200" cy="825500"/>
                  </a:xfrm>
                  <a:prstGeom prst="rect">
                    <a:avLst/>
                  </a:prstGeom>
                  <a:ln/>
                </pic:spPr>
              </pic:pic>
            </a:graphicData>
          </a:graphic>
        </wp:anchor>
      </w:drawing>
    </w:r>
    <w:r>
      <w:rPr>
        <w:noProof/>
        <w:lang w:val="es-CO"/>
      </w:rPr>
      <w:drawing>
        <wp:anchor distT="0" distB="0" distL="0" distR="0" simplePos="0" relativeHeight="251660288" behindDoc="1" locked="0" layoutInCell="1" hidden="0" allowOverlap="1">
          <wp:simplePos x="0" y="0"/>
          <wp:positionH relativeFrom="column">
            <wp:posOffset>3981450</wp:posOffset>
          </wp:positionH>
          <wp:positionV relativeFrom="paragraph">
            <wp:posOffset>-95249</wp:posOffset>
          </wp:positionV>
          <wp:extent cx="2182467" cy="590550"/>
          <wp:effectExtent l="0" t="0" r="0" b="0"/>
          <wp:wrapNone/>
          <wp:docPr id="20432197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
                  <a:srcRect/>
                  <a:stretch>
                    <a:fillRect/>
                  </a:stretch>
                </pic:blipFill>
                <pic:spPr>
                  <a:xfrm>
                    <a:off x="0" y="0"/>
                    <a:ext cx="2182467" cy="590550"/>
                  </a:xfrm>
                  <a:prstGeom prst="rect">
                    <a:avLst/>
                  </a:prstGeom>
                  <a:ln/>
                </pic:spPr>
              </pic:pic>
            </a:graphicData>
          </a:graphic>
        </wp:anchor>
      </w:drawing>
    </w:r>
  </w:p>
  <w:p w:rsidR="00D92574" w:rsidRDefault="00D92574">
    <w:pPr>
      <w:widowControl w:val="0"/>
      <w:spacing w:line="240" w:lineRule="auto"/>
      <w:ind w:left="50"/>
      <w:rPr>
        <w:sz w:val="24"/>
        <w:szCs w:val="24"/>
      </w:rPr>
    </w:pPr>
  </w:p>
  <w:p w:rsidR="00D92574" w:rsidRDefault="00D92574">
    <w:pPr>
      <w:widowControl w:val="0"/>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02D0"/>
    <w:multiLevelType w:val="multilevel"/>
    <w:tmpl w:val="2E4A10F2"/>
    <w:lvl w:ilvl="0">
      <w:start w:val="1"/>
      <w:numFmt w:val="decimal"/>
      <w:lvlText w:val="%1."/>
      <w:lvlJc w:val="left"/>
      <w:pPr>
        <w:ind w:left="720" w:hanging="360"/>
      </w:pPr>
      <w:rPr>
        <w:b/>
      </w:rPr>
    </w:lvl>
    <w:lvl w:ilvl="1">
      <w:start w:val="1"/>
      <w:numFmt w:val="decimal"/>
      <w:lvlText w:val="%1.%2."/>
      <w:lvlJc w:val="left"/>
      <w:pPr>
        <w:ind w:left="1440" w:hanging="720"/>
      </w:pPr>
      <w:rPr>
        <w:b/>
        <w:color w:val="000000"/>
      </w:rPr>
    </w:lvl>
    <w:lvl w:ilvl="2">
      <w:start w:val="1"/>
      <w:numFmt w:val="decimal"/>
      <w:lvlText w:val="%1.%2.%3."/>
      <w:lvlJc w:val="left"/>
      <w:pPr>
        <w:ind w:left="1800" w:hanging="720"/>
      </w:pPr>
      <w:rPr>
        <w:b/>
        <w:color w:val="000000"/>
      </w:rPr>
    </w:lvl>
    <w:lvl w:ilvl="3">
      <w:start w:val="1"/>
      <w:numFmt w:val="decimal"/>
      <w:lvlText w:val="%1.%2.%3.%4."/>
      <w:lvlJc w:val="left"/>
      <w:pPr>
        <w:ind w:left="2520" w:hanging="1080"/>
      </w:pPr>
      <w:rPr>
        <w:b/>
        <w:color w:val="000000"/>
      </w:rPr>
    </w:lvl>
    <w:lvl w:ilvl="4">
      <w:start w:val="1"/>
      <w:numFmt w:val="decimal"/>
      <w:lvlText w:val="%1.%2.%3.%4.%5."/>
      <w:lvlJc w:val="left"/>
      <w:pPr>
        <w:ind w:left="2880" w:hanging="1080"/>
      </w:pPr>
      <w:rPr>
        <w:b/>
        <w:color w:val="000000"/>
      </w:rPr>
    </w:lvl>
    <w:lvl w:ilvl="5">
      <w:start w:val="1"/>
      <w:numFmt w:val="decimal"/>
      <w:lvlText w:val="%1.%2.%3.%4.%5.%6."/>
      <w:lvlJc w:val="left"/>
      <w:pPr>
        <w:ind w:left="3600" w:hanging="1440"/>
      </w:pPr>
      <w:rPr>
        <w:b/>
        <w:color w:val="000000"/>
      </w:rPr>
    </w:lvl>
    <w:lvl w:ilvl="6">
      <w:start w:val="1"/>
      <w:numFmt w:val="decimal"/>
      <w:lvlText w:val="%1.%2.%3.%4.%5.%6.%7."/>
      <w:lvlJc w:val="left"/>
      <w:pPr>
        <w:ind w:left="3960" w:hanging="1440"/>
      </w:pPr>
      <w:rPr>
        <w:b/>
        <w:color w:val="000000"/>
      </w:rPr>
    </w:lvl>
    <w:lvl w:ilvl="7">
      <w:start w:val="1"/>
      <w:numFmt w:val="decimal"/>
      <w:lvlText w:val="%1.%2.%3.%4.%5.%6.%7.%8."/>
      <w:lvlJc w:val="left"/>
      <w:pPr>
        <w:ind w:left="4680" w:hanging="1800"/>
      </w:pPr>
      <w:rPr>
        <w:b/>
        <w:color w:val="000000"/>
      </w:rPr>
    </w:lvl>
    <w:lvl w:ilvl="8">
      <w:start w:val="1"/>
      <w:numFmt w:val="decimal"/>
      <w:lvlText w:val="%1.%2.%3.%4.%5.%6.%7.%8.%9."/>
      <w:lvlJc w:val="left"/>
      <w:pPr>
        <w:ind w:left="5040" w:hanging="1800"/>
      </w:pPr>
      <w:rPr>
        <w:b/>
        <w:color w:val="000000"/>
      </w:rPr>
    </w:lvl>
  </w:abstractNum>
  <w:abstractNum w:abstractNumId="1" w15:restartNumberingAfterBreak="0">
    <w:nsid w:val="07C252AD"/>
    <w:multiLevelType w:val="multilevel"/>
    <w:tmpl w:val="1334F4F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B9424E"/>
    <w:multiLevelType w:val="hybridMultilevel"/>
    <w:tmpl w:val="D1DA30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0E33759"/>
    <w:multiLevelType w:val="multilevel"/>
    <w:tmpl w:val="3E8E44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7C289E"/>
    <w:multiLevelType w:val="multilevel"/>
    <w:tmpl w:val="C458F2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3DEC39B8"/>
    <w:multiLevelType w:val="multilevel"/>
    <w:tmpl w:val="2D8A920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981547"/>
    <w:multiLevelType w:val="multilevel"/>
    <w:tmpl w:val="1080429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F350DAB"/>
    <w:multiLevelType w:val="multilevel"/>
    <w:tmpl w:val="4836B5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b/>
        <w:u w:val="none"/>
      </w:rPr>
    </w:lvl>
  </w:abstractNum>
  <w:num w:numId="1">
    <w:abstractNumId w:val="0"/>
  </w:num>
  <w:num w:numId="2">
    <w:abstractNumId w:val="4"/>
  </w:num>
  <w:num w:numId="3">
    <w:abstractNumId w:val="6"/>
  </w:num>
  <w:num w:numId="4">
    <w:abstractNumId w:val="5"/>
  </w:num>
  <w:num w:numId="5">
    <w:abstractNumId w:val="3"/>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A6A"/>
    <w:rsid w:val="00080B29"/>
    <w:rsid w:val="0012445B"/>
    <w:rsid w:val="0018045C"/>
    <w:rsid w:val="00392074"/>
    <w:rsid w:val="003F4D32"/>
    <w:rsid w:val="005F74D5"/>
    <w:rsid w:val="006620B5"/>
    <w:rsid w:val="00B258D8"/>
    <w:rsid w:val="00C323CF"/>
    <w:rsid w:val="00D15A6A"/>
    <w:rsid w:val="00D92574"/>
    <w:rsid w:val="00D9732F"/>
    <w:rsid w:val="00E60091"/>
    <w:rsid w:val="00EF34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3015F"/>
  <w15:docId w15:val="{F5BAB11D-7FCC-4ED5-B153-721C68F80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1"/>
    <w:qFormat/>
    <w:rsid w:val="00516FF3"/>
    <w:pPr>
      <w:ind w:left="720"/>
      <w:contextualSpacing/>
    </w:pPr>
  </w:style>
  <w:style w:type="paragraph" w:styleId="Encabezado">
    <w:name w:val="header"/>
    <w:basedOn w:val="Normal"/>
    <w:link w:val="EncabezadoCar"/>
    <w:uiPriority w:val="99"/>
    <w:unhideWhenUsed/>
    <w:rsid w:val="00502F8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02F8D"/>
  </w:style>
  <w:style w:type="paragraph" w:styleId="Piedepgina">
    <w:name w:val="footer"/>
    <w:basedOn w:val="Normal"/>
    <w:link w:val="PiedepginaCar"/>
    <w:uiPriority w:val="99"/>
    <w:unhideWhenUsed/>
    <w:rsid w:val="00502F8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02F8D"/>
  </w:style>
  <w:style w:type="character" w:styleId="Hipervnculo">
    <w:name w:val="Hyperlink"/>
    <w:basedOn w:val="Fuentedeprrafopredeter"/>
    <w:uiPriority w:val="99"/>
    <w:unhideWhenUsed/>
    <w:rsid w:val="00283168"/>
    <w:rPr>
      <w:color w:val="0000FF" w:themeColor="hyperlink"/>
      <w:u w:val="single"/>
    </w:rPr>
  </w:style>
  <w:style w:type="character" w:customStyle="1" w:styleId="UnresolvedMention">
    <w:name w:val="Unresolved Mention"/>
    <w:basedOn w:val="Fuentedeprrafopredeter"/>
    <w:uiPriority w:val="99"/>
    <w:semiHidden/>
    <w:unhideWhenUsed/>
    <w:rsid w:val="00283168"/>
    <w:rPr>
      <w:color w:val="605E5C"/>
      <w:shd w:val="clear" w:color="auto" w:fill="E1DFDD"/>
    </w:r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after="320"/>
    </w:pPr>
    <w:rPr>
      <w:color w:val="666666"/>
      <w:sz w:val="30"/>
      <w:szCs w:val="30"/>
    </w:r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D9732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3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787_2002.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www.suin-juriscol.gov.co/viewDocument.asp?id=30038148" TargetMode="External"/><Relationship Id="rId2" Type="http://schemas.openxmlformats.org/officeDocument/2006/relationships/numbering" Target="numbering.xml"/><Relationship Id="rId16" Type="http://schemas.openxmlformats.org/officeDocument/2006/relationships/hyperlink" Target="https://www.camara.gov.co/representantes/juan-carlos-wills-ospin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natym\OneDrive\Escritorio\Osvaldito\Trading\Cuentas%20por%20paga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natym\OneDrive\Escritorio\Osvaldito\Trading\Cuentas%20por%20pag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 Participación porcentual</a:t>
            </a:r>
            <a:r>
              <a:rPr lang="es-CO" baseline="0"/>
              <a:t> en la llegada de extranjeros no residentes</a:t>
            </a:r>
            <a:r>
              <a:rPr lang="es-CO"/>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Hoja2!$J$18</c:f>
              <c:strCache>
                <c:ptCount val="1"/>
                <c:pt idx="0">
                  <c:v> PARTICIPACION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Hoja2!$G$19:$G$29</c:f>
              <c:numCache>
                <c:formatCode>0</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Hoja2!$J$19:$J$29</c:f>
              <c:numCache>
                <c:formatCode>_-* #,##0.0_-;\-* #,##0.0_-;_-* "-"??_-;_-@_-</c:formatCode>
                <c:ptCount val="11"/>
                <c:pt idx="0">
                  <c:v>21.715183888363534</c:v>
                </c:pt>
                <c:pt idx="1">
                  <c:v>22.709959372508003</c:v>
                </c:pt>
                <c:pt idx="2">
                  <c:v>22.511423786573882</c:v>
                </c:pt>
                <c:pt idx="3">
                  <c:v>23.989728824178854</c:v>
                </c:pt>
                <c:pt idx="4">
                  <c:v>25.489849347320433</c:v>
                </c:pt>
                <c:pt idx="5">
                  <c:v>26.941521885123223</c:v>
                </c:pt>
                <c:pt idx="6">
                  <c:v>26.215833086468809</c:v>
                </c:pt>
                <c:pt idx="7">
                  <c:v>27.57700280561426</c:v>
                </c:pt>
                <c:pt idx="8">
                  <c:v>22.313314476169278</c:v>
                </c:pt>
                <c:pt idx="9">
                  <c:v>24.19708109554054</c:v>
                </c:pt>
                <c:pt idx="10">
                  <c:v>25.410032100953401</c:v>
                </c:pt>
              </c:numCache>
            </c:numRef>
          </c:val>
          <c:extLst>
            <c:ext xmlns:c16="http://schemas.microsoft.com/office/drawing/2014/chart" uri="{C3380CC4-5D6E-409C-BE32-E72D297353CC}">
              <c16:uniqueId val="{00000000-32D3-4101-AFBE-2D17B1D2208C}"/>
            </c:ext>
          </c:extLst>
        </c:ser>
        <c:dLbls>
          <c:dLblPos val="outEnd"/>
          <c:showLegendKey val="0"/>
          <c:showVal val="1"/>
          <c:showCatName val="0"/>
          <c:showSerName val="0"/>
          <c:showPercent val="0"/>
          <c:showBubbleSize val="0"/>
        </c:dLbls>
        <c:gapWidth val="219"/>
        <c:overlap val="-27"/>
        <c:axId val="1287793600"/>
        <c:axId val="655432032"/>
      </c:barChart>
      <c:catAx>
        <c:axId val="128779360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55432032"/>
        <c:crosses val="autoZero"/>
        <c:auto val="1"/>
        <c:lblAlgn val="ctr"/>
        <c:lblOffset val="100"/>
        <c:tickLblSkip val="1"/>
        <c:noMultiLvlLbl val="0"/>
      </c:catAx>
      <c:valAx>
        <c:axId val="655432032"/>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7793600"/>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Variación porcentual de visitantes a los parques nacionales naturales de</a:t>
            </a:r>
            <a:r>
              <a:rPr lang="es-CO" baseline="0"/>
              <a:t> la Región Caribe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Hoja2!$N$20</c:f>
              <c:strCache>
                <c:ptCount val="1"/>
                <c:pt idx="0">
                  <c:v> TOTAL VISITANTES CARIBE </c:v>
                </c:pt>
              </c:strCache>
            </c:strRef>
          </c:tx>
          <c:spPr>
            <a:solidFill>
              <a:schemeClr val="accent5">
                <a:lumMod val="40000"/>
                <a:lumOff val="60000"/>
              </a:schemeClr>
            </a:solidFill>
            <a:ln>
              <a:noFill/>
            </a:ln>
            <a:effectLst/>
          </c:spPr>
          <c:invertIfNegative val="0"/>
          <c:dLbls>
            <c:delete val="1"/>
          </c:dLbls>
          <c:cat>
            <c:strRef>
              <c:f>Hoja2!$M$21:$M$26</c:f>
              <c:strCache>
                <c:ptCount val="6"/>
                <c:pt idx="0">
                  <c:v>2019</c:v>
                </c:pt>
                <c:pt idx="1">
                  <c:v>2020</c:v>
                </c:pt>
                <c:pt idx="2">
                  <c:v>2021</c:v>
                </c:pt>
                <c:pt idx="3">
                  <c:v>2022</c:v>
                </c:pt>
                <c:pt idx="4">
                  <c:v>2023</c:v>
                </c:pt>
                <c:pt idx="5">
                  <c:v>2019-2023</c:v>
                </c:pt>
              </c:strCache>
            </c:strRef>
          </c:cat>
          <c:val>
            <c:numRef>
              <c:f>Hoja2!$N$21:$N$26</c:f>
              <c:numCache>
                <c:formatCode>_-* #,##0_-;\-* #,##0_-;_-* "-"??_-;_-@_-</c:formatCode>
                <c:ptCount val="6"/>
                <c:pt idx="0">
                  <c:v>1821089</c:v>
                </c:pt>
                <c:pt idx="1">
                  <c:v>466910</c:v>
                </c:pt>
                <c:pt idx="2">
                  <c:v>958245</c:v>
                </c:pt>
                <c:pt idx="3">
                  <c:v>1257594</c:v>
                </c:pt>
                <c:pt idx="4">
                  <c:v>1415957</c:v>
                </c:pt>
                <c:pt idx="5">
                  <c:v>-405132</c:v>
                </c:pt>
              </c:numCache>
            </c:numRef>
          </c:val>
          <c:extLst>
            <c:ext xmlns:c16="http://schemas.microsoft.com/office/drawing/2014/chart" uri="{C3380CC4-5D6E-409C-BE32-E72D297353CC}">
              <c16:uniqueId val="{00000000-A939-4C18-A401-CA4FDBC2A817}"/>
            </c:ext>
          </c:extLst>
        </c:ser>
        <c:dLbls>
          <c:showLegendKey val="0"/>
          <c:showVal val="1"/>
          <c:showCatName val="0"/>
          <c:showSerName val="0"/>
          <c:showPercent val="0"/>
          <c:showBubbleSize val="0"/>
        </c:dLbls>
        <c:gapWidth val="219"/>
        <c:overlap val="-27"/>
        <c:axId val="1288155312"/>
        <c:axId val="1288159152"/>
      </c:barChart>
      <c:lineChart>
        <c:grouping val="standard"/>
        <c:varyColors val="0"/>
        <c:ser>
          <c:idx val="1"/>
          <c:order val="1"/>
          <c:tx>
            <c:strRef>
              <c:f>Hoja2!$O$20</c:f>
              <c:strCache>
                <c:ptCount val="1"/>
                <c:pt idx="0">
                  <c:v> VARIACION % </c:v>
                </c:pt>
              </c:strCache>
            </c:strRef>
          </c:tx>
          <c:spPr>
            <a:ln w="28575" cap="rnd">
              <a:solidFill>
                <a:schemeClr val="accent2"/>
              </a:solidFill>
              <a:round/>
            </a:ln>
            <a:effectLst/>
          </c:spPr>
          <c:marker>
            <c:symbol val="none"/>
          </c:marker>
          <c:dLbls>
            <c:dLbl>
              <c:idx val="5"/>
              <c:layout>
                <c:manualLayout>
                  <c:x val="-4.4444444444444446E-2"/>
                  <c:y val="0.115740740740740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39-4C18-A401-CA4FDBC2A8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Hoja2!$M$21:$M$26</c:f>
              <c:strCache>
                <c:ptCount val="6"/>
                <c:pt idx="0">
                  <c:v>2019</c:v>
                </c:pt>
                <c:pt idx="1">
                  <c:v>2020</c:v>
                </c:pt>
                <c:pt idx="2">
                  <c:v>2021</c:v>
                </c:pt>
                <c:pt idx="3">
                  <c:v>2022</c:v>
                </c:pt>
                <c:pt idx="4">
                  <c:v>2023</c:v>
                </c:pt>
                <c:pt idx="5">
                  <c:v>2019-2023</c:v>
                </c:pt>
              </c:strCache>
            </c:strRef>
          </c:cat>
          <c:val>
            <c:numRef>
              <c:f>Hoja2!$O$21:$O$26</c:f>
              <c:numCache>
                <c:formatCode>0.0%</c:formatCode>
                <c:ptCount val="6"/>
                <c:pt idx="0">
                  <c:v>9.0499999999999997E-2</c:v>
                </c:pt>
                <c:pt idx="1">
                  <c:v>-0.743609455660871</c:v>
                </c:pt>
                <c:pt idx="2">
                  <c:v>1.0523120087383007</c:v>
                </c:pt>
                <c:pt idx="3">
                  <c:v>0.31239296839534775</c:v>
                </c:pt>
                <c:pt idx="4">
                  <c:v>0.12592537814270743</c:v>
                </c:pt>
                <c:pt idx="5">
                  <c:v>-0.22246688657171615</c:v>
                </c:pt>
              </c:numCache>
            </c:numRef>
          </c:val>
          <c:smooth val="0"/>
          <c:extLst>
            <c:ext xmlns:c16="http://schemas.microsoft.com/office/drawing/2014/chart" uri="{C3380CC4-5D6E-409C-BE32-E72D297353CC}">
              <c16:uniqueId val="{00000002-A939-4C18-A401-CA4FDBC2A817}"/>
            </c:ext>
          </c:extLst>
        </c:ser>
        <c:dLbls>
          <c:showLegendKey val="0"/>
          <c:showVal val="1"/>
          <c:showCatName val="0"/>
          <c:showSerName val="0"/>
          <c:showPercent val="0"/>
          <c:showBubbleSize val="0"/>
        </c:dLbls>
        <c:marker val="1"/>
        <c:smooth val="0"/>
        <c:axId val="1288163952"/>
        <c:axId val="1288162032"/>
      </c:lineChart>
      <c:catAx>
        <c:axId val="12881553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8159152"/>
        <c:crosses val="autoZero"/>
        <c:auto val="1"/>
        <c:lblAlgn val="ctr"/>
        <c:lblOffset val="100"/>
        <c:noMultiLvlLbl val="0"/>
      </c:catAx>
      <c:valAx>
        <c:axId val="128815915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8155312"/>
        <c:crosses val="autoZero"/>
        <c:crossBetween val="between"/>
      </c:valAx>
      <c:valAx>
        <c:axId val="1288162032"/>
        <c:scaling>
          <c:orientation val="minMax"/>
          <c:max val="1.1000000000000001"/>
          <c:min val="-0.75000000000000011"/>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8163952"/>
        <c:crosses val="max"/>
        <c:crossBetween val="between"/>
        <c:majorUnit val="0.30000000000000004"/>
      </c:valAx>
      <c:catAx>
        <c:axId val="1288163952"/>
        <c:scaling>
          <c:orientation val="minMax"/>
        </c:scaling>
        <c:delete val="1"/>
        <c:axPos val="b"/>
        <c:numFmt formatCode="General" sourceLinked="1"/>
        <c:majorTickMark val="none"/>
        <c:minorTickMark val="none"/>
        <c:tickLblPos val="nextTo"/>
        <c:crossAx val="1288162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XKUuDJvYr+xNIP/MadQdmAbaw==">CgMxLjAaHwoBMBIaChgICVIUChJ0YWJsZS5rMHdpZzh4anhpbnEaHwoBMRIaChgICVIUChJ0YWJsZS44czdjMDA1OG9sc2syDmgucTRpbHEwOWp5Z2p6Mg5oLmVtYWcwZ3M2OWhzcDIOaC5zbXkyeHltNmE0eDEyDmguanRjdXRoMmpncjh6Mg5oLjI4ZDY2b3MwZTZobzIOaC5tNzNpOGZoM3N5dmIyDmgub2s0dnVlaGloejV4Mg1oLjJlMmlsbjJoeDQ5Mg5oLnhwN3k2b2Q4ZHM4dDIOaC41OTVid3h2ZDFuZ3QyDmgubHZtN3Q1aTA3MmpjMg5oLjYzZWNvcWQ5ZnF5eDIOaC5zbXkyeHltNmE0eDEyDmguanRjdXRoMmpncjh6OAByITFxUXFtRVZMQWVMbDF3U0RDYnZtRW5IYzVpVjF4czRo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12881</Words>
  <Characters>70847</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Elena Reyes Figueroa</dc:creator>
  <cp:lastModifiedBy>Luz Marina Lopez Parra</cp:lastModifiedBy>
  <cp:revision>26</cp:revision>
  <cp:lastPrinted>2025-07-22T18:06:00Z</cp:lastPrinted>
  <dcterms:created xsi:type="dcterms:W3CDTF">2025-08-04T16:51:00Z</dcterms:created>
  <dcterms:modified xsi:type="dcterms:W3CDTF">2025-08-04T16:58:00Z</dcterms:modified>
</cp:coreProperties>
</file>