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0F7087" w14:textId="77777777" w:rsidR="00EA4CAD" w:rsidRPr="001B0583" w:rsidRDefault="00EA4CAD" w:rsidP="004F726E">
      <w:pPr>
        <w:pStyle w:val="p1"/>
        <w:rPr>
          <w:rFonts w:ascii="Arial" w:hAnsi="Arial" w:cs="Arial"/>
          <w:color w:val="000000" w:themeColor="text1"/>
          <w:sz w:val="24"/>
          <w:szCs w:val="24"/>
        </w:rPr>
      </w:pPr>
    </w:p>
    <w:p w14:paraId="3FC8D211" w14:textId="622E6BF0"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Bogotá D.C.,</w:t>
      </w:r>
      <w:r w:rsidR="00B15235">
        <w:rPr>
          <w:rFonts w:ascii="Arial" w:eastAsia="Arial" w:hAnsi="Arial" w:cs="Arial"/>
          <w:color w:val="000000" w:themeColor="text1"/>
        </w:rPr>
        <w:t xml:space="preserve"> julio</w:t>
      </w:r>
      <w:r w:rsidRPr="001B0583">
        <w:rPr>
          <w:rFonts w:ascii="Arial" w:eastAsia="Arial" w:hAnsi="Arial" w:cs="Arial"/>
          <w:color w:val="000000" w:themeColor="text1"/>
        </w:rPr>
        <w:t xml:space="preserve"> de 2025</w:t>
      </w:r>
    </w:p>
    <w:p w14:paraId="162F9EC9" w14:textId="77777777" w:rsidR="00EA4CAD" w:rsidRPr="001B0583" w:rsidRDefault="00EA4CAD" w:rsidP="00EA4CAD">
      <w:pPr>
        <w:jc w:val="both"/>
        <w:rPr>
          <w:rFonts w:ascii="Arial" w:eastAsia="Arial" w:hAnsi="Arial" w:cs="Arial"/>
          <w:color w:val="000000" w:themeColor="text1"/>
        </w:rPr>
      </w:pPr>
    </w:p>
    <w:p w14:paraId="3BEB38DF"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Doctor</w:t>
      </w:r>
    </w:p>
    <w:p w14:paraId="49F19129" w14:textId="77777777" w:rsidR="00EA4CAD" w:rsidRPr="001B0583" w:rsidRDefault="00EA4CAD" w:rsidP="00EA4CAD">
      <w:pPr>
        <w:jc w:val="both"/>
        <w:rPr>
          <w:rFonts w:ascii="Arial" w:eastAsia="Arial" w:hAnsi="Arial" w:cs="Arial"/>
          <w:b/>
          <w:color w:val="000000" w:themeColor="text1"/>
        </w:rPr>
      </w:pPr>
      <w:r w:rsidRPr="001B0583">
        <w:rPr>
          <w:rFonts w:ascii="Arial" w:eastAsia="Arial" w:hAnsi="Arial" w:cs="Arial"/>
          <w:b/>
          <w:color w:val="000000" w:themeColor="text1"/>
        </w:rPr>
        <w:t>Jaime Luis Lacouture Peñaloza</w:t>
      </w:r>
    </w:p>
    <w:p w14:paraId="535ABD0B"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b/>
          <w:color w:val="000000" w:themeColor="text1"/>
        </w:rPr>
        <w:t>Secretario General</w:t>
      </w:r>
    </w:p>
    <w:p w14:paraId="5B131F18"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Cámara de Representantes</w:t>
      </w:r>
    </w:p>
    <w:p w14:paraId="079CBC3B"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Ciudad</w:t>
      </w:r>
    </w:p>
    <w:p w14:paraId="22EDD51D" w14:textId="77777777" w:rsidR="00EA4CAD" w:rsidRPr="001B0583" w:rsidRDefault="00EA4CAD" w:rsidP="00EA4CAD">
      <w:pPr>
        <w:jc w:val="both"/>
        <w:rPr>
          <w:rFonts w:ascii="Arial" w:eastAsia="Arial" w:hAnsi="Arial" w:cs="Arial"/>
          <w:color w:val="000000" w:themeColor="text1"/>
        </w:rPr>
      </w:pPr>
    </w:p>
    <w:p w14:paraId="19157D6C" w14:textId="77777777" w:rsidR="00EA4CAD" w:rsidRPr="001B0583" w:rsidRDefault="00EA4CAD" w:rsidP="00EA4CAD">
      <w:pPr>
        <w:jc w:val="both"/>
        <w:rPr>
          <w:rFonts w:ascii="Arial" w:eastAsia="Arial" w:hAnsi="Arial" w:cs="Arial"/>
          <w:b/>
          <w:color w:val="000000" w:themeColor="text1"/>
        </w:rPr>
      </w:pPr>
    </w:p>
    <w:p w14:paraId="68796170" w14:textId="74AF3CFC" w:rsidR="00EA4CAD" w:rsidRPr="001B0583" w:rsidRDefault="00EA4CAD" w:rsidP="00EA4CAD">
      <w:pPr>
        <w:ind w:left="1416"/>
        <w:jc w:val="both"/>
        <w:rPr>
          <w:rFonts w:ascii="Arial" w:eastAsia="Arial" w:hAnsi="Arial" w:cs="Arial"/>
          <w:b/>
          <w:color w:val="000000" w:themeColor="text1"/>
        </w:rPr>
      </w:pPr>
      <w:r w:rsidRPr="001B0583">
        <w:rPr>
          <w:rFonts w:ascii="Arial" w:eastAsia="Arial" w:hAnsi="Arial" w:cs="Arial"/>
          <w:b/>
          <w:color w:val="000000" w:themeColor="text1"/>
        </w:rPr>
        <w:t xml:space="preserve">Asunto: Radicación del Proyecto de Ley: “Por medio de la cual se </w:t>
      </w:r>
      <w:r w:rsidR="00891663" w:rsidRPr="001B0583">
        <w:rPr>
          <w:rFonts w:ascii="Arial" w:eastAsia="Arial" w:hAnsi="Arial" w:cs="Arial"/>
          <w:b/>
          <w:color w:val="000000" w:themeColor="text1"/>
        </w:rPr>
        <w:t>incluyen municipios del Departamento de Boyacá</w:t>
      </w:r>
      <w:r w:rsidR="001232D4" w:rsidRPr="001B0583">
        <w:rPr>
          <w:rFonts w:ascii="Arial" w:eastAsia="Arial" w:hAnsi="Arial" w:cs="Arial"/>
          <w:b/>
          <w:color w:val="000000" w:themeColor="text1"/>
        </w:rPr>
        <w:t xml:space="preserve"> a</w:t>
      </w:r>
      <w:r w:rsidR="00891663" w:rsidRPr="001B0583">
        <w:rPr>
          <w:rFonts w:ascii="Arial" w:eastAsia="Arial" w:hAnsi="Arial" w:cs="Arial"/>
          <w:b/>
          <w:color w:val="000000" w:themeColor="text1"/>
        </w:rPr>
        <w:t xml:space="preserve"> los </w:t>
      </w:r>
      <w:r w:rsidR="001232D4" w:rsidRPr="001B0583">
        <w:rPr>
          <w:rFonts w:ascii="Arial" w:eastAsia="Arial" w:hAnsi="Arial" w:cs="Arial"/>
          <w:b/>
          <w:color w:val="000000" w:themeColor="text1"/>
        </w:rPr>
        <w:t xml:space="preserve">Programas de Desarrollo con Enfoque Territorial – PDET y a las </w:t>
      </w:r>
      <w:r w:rsidR="00891663" w:rsidRPr="001B0583">
        <w:rPr>
          <w:rFonts w:ascii="Arial" w:eastAsia="Arial" w:hAnsi="Arial" w:cs="Arial"/>
          <w:b/>
          <w:color w:val="000000" w:themeColor="text1"/>
        </w:rPr>
        <w:t xml:space="preserve">Zonas más Afectadas por el Conflicto Armado </w:t>
      </w:r>
      <w:r w:rsidR="001232D4" w:rsidRPr="001B0583">
        <w:rPr>
          <w:rFonts w:ascii="Arial" w:eastAsia="Arial" w:hAnsi="Arial" w:cs="Arial"/>
          <w:b/>
          <w:color w:val="000000" w:themeColor="text1"/>
        </w:rPr>
        <w:t>–</w:t>
      </w:r>
      <w:r w:rsidR="00891663" w:rsidRPr="001B0583">
        <w:rPr>
          <w:rFonts w:ascii="Arial" w:eastAsia="Arial" w:hAnsi="Arial" w:cs="Arial"/>
          <w:b/>
          <w:color w:val="000000" w:themeColor="text1"/>
        </w:rPr>
        <w:t xml:space="preserve"> ZOMAC</w:t>
      </w:r>
      <w:r w:rsidR="001232D4" w:rsidRPr="001B0583">
        <w:rPr>
          <w:rFonts w:ascii="Arial" w:eastAsia="Arial" w:hAnsi="Arial" w:cs="Arial"/>
          <w:b/>
          <w:color w:val="000000" w:themeColor="text1"/>
        </w:rPr>
        <w:t xml:space="preserve">, </w:t>
      </w:r>
      <w:r w:rsidRPr="001B0583">
        <w:rPr>
          <w:rFonts w:ascii="Arial" w:eastAsia="Arial" w:hAnsi="Arial" w:cs="Arial"/>
          <w:b/>
          <w:color w:val="000000" w:themeColor="text1"/>
        </w:rPr>
        <w:t>y se dictan otras disposiciones”.</w:t>
      </w:r>
    </w:p>
    <w:p w14:paraId="139BF14A" w14:textId="77777777" w:rsidR="00EA4CAD" w:rsidRPr="001B0583" w:rsidRDefault="00EA4CAD" w:rsidP="00EA4CAD">
      <w:pPr>
        <w:jc w:val="both"/>
        <w:rPr>
          <w:rFonts w:ascii="Arial" w:eastAsia="Arial" w:hAnsi="Arial" w:cs="Arial"/>
          <w:b/>
          <w:color w:val="000000" w:themeColor="text1"/>
          <w:lang w:val="es-ES_tradnl"/>
        </w:rPr>
      </w:pPr>
    </w:p>
    <w:p w14:paraId="60845110" w14:textId="77777777" w:rsidR="00EA4CAD" w:rsidRPr="001B0583" w:rsidRDefault="00EA4CAD" w:rsidP="00EA4CAD">
      <w:pPr>
        <w:jc w:val="both"/>
        <w:rPr>
          <w:rFonts w:ascii="Arial" w:eastAsia="Arial" w:hAnsi="Arial" w:cs="Arial"/>
          <w:color w:val="000000" w:themeColor="text1"/>
        </w:rPr>
      </w:pPr>
    </w:p>
    <w:p w14:paraId="4F26C0F5"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Respetado Doctor Jaime Luis Lacouture Peñaloza:</w:t>
      </w:r>
    </w:p>
    <w:p w14:paraId="1CC5514C" w14:textId="77777777" w:rsidR="00EA4CAD" w:rsidRPr="001B0583" w:rsidRDefault="00EA4CAD" w:rsidP="00EA4CAD">
      <w:pPr>
        <w:jc w:val="both"/>
        <w:rPr>
          <w:rFonts w:ascii="Arial" w:eastAsia="Arial" w:hAnsi="Arial" w:cs="Arial"/>
          <w:color w:val="000000" w:themeColor="text1"/>
        </w:rPr>
      </w:pPr>
    </w:p>
    <w:p w14:paraId="58CC7F5D"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Por medio de la presente, muy comedidamente me permito radicar el Proyecto de Ley del asunto. En tal sentido, respetuosamente solicito proceder según el trámite previsto legal y constitucionalmente para tales efectos.</w:t>
      </w:r>
    </w:p>
    <w:p w14:paraId="383EF9D0" w14:textId="77777777" w:rsidR="00EA4CAD" w:rsidRPr="001B0583" w:rsidRDefault="00EA4CAD" w:rsidP="00EA4CAD">
      <w:pPr>
        <w:jc w:val="both"/>
        <w:rPr>
          <w:rFonts w:ascii="Arial" w:eastAsia="Arial" w:hAnsi="Arial" w:cs="Arial"/>
          <w:color w:val="000000" w:themeColor="text1"/>
        </w:rPr>
      </w:pPr>
    </w:p>
    <w:p w14:paraId="63027109" w14:textId="77777777" w:rsidR="00EA4CAD" w:rsidRPr="001B0583" w:rsidRDefault="00EA4CAD" w:rsidP="00EA4CAD">
      <w:pPr>
        <w:tabs>
          <w:tab w:val="left" w:pos="3915"/>
        </w:tabs>
        <w:jc w:val="both"/>
        <w:rPr>
          <w:rFonts w:ascii="Arial" w:eastAsia="Arial" w:hAnsi="Arial" w:cs="Arial"/>
          <w:color w:val="000000" w:themeColor="text1"/>
        </w:rPr>
      </w:pPr>
      <w:r w:rsidRPr="001B0583">
        <w:rPr>
          <w:rFonts w:ascii="Arial" w:eastAsia="Arial" w:hAnsi="Arial" w:cs="Arial"/>
          <w:color w:val="000000" w:themeColor="text1"/>
        </w:rPr>
        <w:t xml:space="preserve">Cordialmente, </w:t>
      </w:r>
    </w:p>
    <w:p w14:paraId="6FB74341" w14:textId="77777777" w:rsidR="00EA4CAD" w:rsidRPr="001B0583" w:rsidRDefault="00EA4CAD" w:rsidP="00EA4CAD">
      <w:pPr>
        <w:jc w:val="both"/>
        <w:rPr>
          <w:rFonts w:ascii="Arial" w:eastAsia="Arial" w:hAnsi="Arial" w:cs="Arial"/>
          <w:b/>
          <w:color w:val="000000" w:themeColor="text1"/>
        </w:rPr>
      </w:pPr>
    </w:p>
    <w:p w14:paraId="649BFE69" w14:textId="77777777" w:rsidR="00EA4CAD" w:rsidRPr="001B0583" w:rsidRDefault="00EA4CAD" w:rsidP="00EA4CAD">
      <w:pPr>
        <w:jc w:val="both"/>
        <w:rPr>
          <w:rFonts w:ascii="Arial" w:eastAsia="Arial" w:hAnsi="Arial" w:cs="Arial"/>
          <w:color w:val="000000" w:themeColor="text1"/>
        </w:rPr>
      </w:pPr>
    </w:p>
    <w:p w14:paraId="4F7BEE44" w14:textId="77777777" w:rsidR="00EA4CAD" w:rsidRPr="001B0583" w:rsidRDefault="00EA4CAD" w:rsidP="00EA4CAD">
      <w:pPr>
        <w:jc w:val="both"/>
        <w:rPr>
          <w:rFonts w:ascii="Arial" w:eastAsia="Arial" w:hAnsi="Arial" w:cs="Arial"/>
          <w:color w:val="000000" w:themeColor="text1"/>
        </w:rPr>
      </w:pPr>
    </w:p>
    <w:p w14:paraId="607084A9" w14:textId="77777777" w:rsidR="00EA4CAD" w:rsidRPr="001B0583" w:rsidRDefault="00EA4CAD" w:rsidP="00EA4CAD">
      <w:pPr>
        <w:jc w:val="both"/>
        <w:rPr>
          <w:rFonts w:ascii="Arial" w:eastAsia="Arial" w:hAnsi="Arial" w:cs="Arial"/>
          <w:color w:val="000000" w:themeColor="text1"/>
        </w:rPr>
      </w:pPr>
    </w:p>
    <w:p w14:paraId="579E3F0E" w14:textId="77777777" w:rsidR="00EA4CAD" w:rsidRPr="001B0583" w:rsidRDefault="00EA4CAD" w:rsidP="00EA4CAD">
      <w:pPr>
        <w:jc w:val="both"/>
        <w:rPr>
          <w:rFonts w:ascii="Arial" w:eastAsia="Arial" w:hAnsi="Arial" w:cs="Arial"/>
          <w:color w:val="000000" w:themeColor="text1"/>
        </w:rPr>
      </w:pPr>
    </w:p>
    <w:p w14:paraId="6CE5D8FF" w14:textId="77777777" w:rsidR="00EA4CAD" w:rsidRPr="001B0583" w:rsidRDefault="00EA4CAD" w:rsidP="00EA4CAD">
      <w:pPr>
        <w:tabs>
          <w:tab w:val="left" w:pos="3915"/>
        </w:tabs>
        <w:jc w:val="both"/>
        <w:rPr>
          <w:rFonts w:ascii="Arial" w:eastAsia="Arial" w:hAnsi="Arial" w:cs="Arial"/>
          <w:b/>
          <w:color w:val="000000" w:themeColor="text1"/>
        </w:rPr>
      </w:pPr>
      <w:r w:rsidRPr="001B0583">
        <w:rPr>
          <w:rFonts w:ascii="Arial" w:eastAsia="Arial" w:hAnsi="Arial" w:cs="Arial"/>
          <w:b/>
          <w:color w:val="000000" w:themeColor="text1"/>
        </w:rPr>
        <w:t xml:space="preserve">HECTOR DAVID CHAPARRO </w:t>
      </w:r>
    </w:p>
    <w:p w14:paraId="48C29178" w14:textId="77777777" w:rsidR="00EA4CAD" w:rsidRPr="001B0583" w:rsidRDefault="00EA4CAD" w:rsidP="00EA4CAD">
      <w:pPr>
        <w:jc w:val="both"/>
        <w:rPr>
          <w:rFonts w:ascii="Arial" w:eastAsia="Arial" w:hAnsi="Arial" w:cs="Arial"/>
          <w:color w:val="000000" w:themeColor="text1"/>
        </w:rPr>
      </w:pPr>
      <w:r w:rsidRPr="001B0583">
        <w:rPr>
          <w:rFonts w:ascii="Arial" w:eastAsia="Arial" w:hAnsi="Arial" w:cs="Arial"/>
          <w:color w:val="000000" w:themeColor="text1"/>
        </w:rPr>
        <w:t>Representante a la Cámara</w:t>
      </w:r>
      <w:r w:rsidRPr="001B0583">
        <w:rPr>
          <w:rFonts w:ascii="Arial" w:eastAsia="Arial" w:hAnsi="Arial" w:cs="Arial"/>
          <w:color w:val="000000" w:themeColor="text1"/>
        </w:rPr>
        <w:tab/>
      </w:r>
    </w:p>
    <w:p w14:paraId="6B53728C" w14:textId="77777777" w:rsidR="00EA4CAD" w:rsidRPr="001B0583" w:rsidRDefault="00EA4CAD" w:rsidP="00EA4CAD">
      <w:pPr>
        <w:jc w:val="both"/>
        <w:rPr>
          <w:rFonts w:ascii="Arial" w:eastAsia="Arial" w:hAnsi="Arial" w:cs="Arial"/>
          <w:b/>
          <w:color w:val="000000" w:themeColor="text1"/>
        </w:rPr>
      </w:pPr>
      <w:r w:rsidRPr="001B0583">
        <w:rPr>
          <w:rFonts w:ascii="Arial" w:eastAsia="Arial" w:hAnsi="Arial" w:cs="Arial"/>
          <w:color w:val="000000" w:themeColor="text1"/>
        </w:rPr>
        <w:t>Partido Liberal</w:t>
      </w:r>
      <w:r w:rsidRPr="001B0583">
        <w:rPr>
          <w:rFonts w:ascii="Arial" w:eastAsia="Arial" w:hAnsi="Arial" w:cs="Arial"/>
          <w:color w:val="000000" w:themeColor="text1"/>
        </w:rPr>
        <w:tab/>
      </w:r>
    </w:p>
    <w:p w14:paraId="7B5E4969"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themeColor="text1"/>
          <w:kern w:val="0"/>
        </w:rPr>
      </w:pPr>
    </w:p>
    <w:p w14:paraId="6B333834"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themeColor="text1"/>
          <w:kern w:val="0"/>
        </w:rPr>
      </w:pPr>
    </w:p>
    <w:p w14:paraId="270014DC"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themeColor="text1"/>
          <w:kern w:val="0"/>
        </w:rPr>
      </w:pPr>
    </w:p>
    <w:p w14:paraId="492CFA0A"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themeColor="text1"/>
          <w:kern w:val="0"/>
        </w:rPr>
      </w:pPr>
    </w:p>
    <w:p w14:paraId="5D811B5C"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bCs/>
          <w:color w:val="000000" w:themeColor="text1"/>
          <w:kern w:val="0"/>
        </w:rPr>
      </w:pPr>
    </w:p>
    <w:p w14:paraId="3D038E6F"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4C7C1562"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4F4D415E"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61D19B26"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4139DF24"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643235DA"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7548DADD"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070134FE"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545AAC8B"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359A3A25"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78B57BA0" w14:textId="77777777" w:rsidR="00EA4CAD" w:rsidRPr="001B0583" w:rsidRDefault="00EA4CAD" w:rsidP="00EA4CAD">
      <w:pPr>
        <w:jc w:val="center"/>
        <w:rPr>
          <w:rFonts w:ascii="Arial" w:eastAsia="Arial" w:hAnsi="Arial" w:cs="Arial"/>
          <w:b/>
          <w:color w:val="000000" w:themeColor="text1"/>
        </w:rPr>
      </w:pPr>
      <w:r w:rsidRPr="001B0583">
        <w:rPr>
          <w:rFonts w:ascii="Arial" w:eastAsia="Arial" w:hAnsi="Arial" w:cs="Arial"/>
          <w:b/>
          <w:color w:val="000000" w:themeColor="text1"/>
        </w:rPr>
        <w:t>PROYECTO DE LEY No. ______ DE 2025 CÁMARA</w:t>
      </w:r>
    </w:p>
    <w:p w14:paraId="65548F53"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780B5A0F" w14:textId="77777777" w:rsidR="00EA4CAD" w:rsidRPr="001B0583" w:rsidRDefault="00EA4CAD" w:rsidP="00EA4CA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themeColor="text1"/>
          <w:kern w:val="0"/>
        </w:rPr>
      </w:pPr>
    </w:p>
    <w:p w14:paraId="7CE973E1" w14:textId="58ACF9A8" w:rsidR="00EA4CAD" w:rsidRPr="001B0583" w:rsidRDefault="001232D4" w:rsidP="001232D4">
      <w:pPr>
        <w:jc w:val="center"/>
        <w:rPr>
          <w:rFonts w:ascii="Arial" w:hAnsi="Arial" w:cs="Arial"/>
          <w:b/>
          <w:bCs/>
          <w:color w:val="000000" w:themeColor="text1"/>
          <w:kern w:val="0"/>
          <w:lang w:val="es-ES_tradnl"/>
        </w:rPr>
      </w:pPr>
      <w:r w:rsidRPr="001B0583">
        <w:rPr>
          <w:rFonts w:ascii="Arial" w:eastAsia="Arial" w:hAnsi="Arial" w:cs="Arial"/>
          <w:b/>
          <w:color w:val="000000" w:themeColor="text1"/>
        </w:rPr>
        <w:t>POR MEDIO DE LA CUAL SE INCLUYEN MUNICIPIOS DEL DEPARTAMENTO DE BOYACÁ A LOS PROGRAMAS DE DESARROLLO CON ENFOQUE TERRITORIAL – PDET Y A LAS ZONAS MÁS AFECTADAS POR EL CONFLICTO ARMADO – ZOMAC, Y SE DICTAN OTRAS DISPOSICIONES</w:t>
      </w:r>
    </w:p>
    <w:p w14:paraId="230F6B3D" w14:textId="77777777" w:rsidR="00EA4CAD" w:rsidRPr="001B0583" w:rsidRDefault="00EA4CAD" w:rsidP="00EA4CAD">
      <w:pPr>
        <w:jc w:val="center"/>
        <w:rPr>
          <w:rFonts w:ascii="Arial" w:eastAsia="Arial" w:hAnsi="Arial" w:cs="Arial"/>
          <w:b/>
          <w:color w:val="000000" w:themeColor="text1"/>
        </w:rPr>
      </w:pPr>
      <w:r w:rsidRPr="001B0583">
        <w:rPr>
          <w:rFonts w:ascii="Arial" w:eastAsia="Arial" w:hAnsi="Arial" w:cs="Arial"/>
          <w:b/>
          <w:color w:val="000000" w:themeColor="text1"/>
        </w:rPr>
        <w:t>EL CONGRESO DE COLOMBIA</w:t>
      </w:r>
    </w:p>
    <w:p w14:paraId="25C95AD4" w14:textId="77777777" w:rsidR="001232D4" w:rsidRPr="001B0583" w:rsidRDefault="001232D4" w:rsidP="00EA4CAD">
      <w:pPr>
        <w:jc w:val="both"/>
        <w:rPr>
          <w:rFonts w:ascii="Arial" w:eastAsia="Arial" w:hAnsi="Arial" w:cs="Arial"/>
          <w:b/>
          <w:color w:val="000000" w:themeColor="text1"/>
        </w:rPr>
      </w:pPr>
    </w:p>
    <w:p w14:paraId="6E2F5BD9" w14:textId="77777777" w:rsidR="00EA4CAD" w:rsidRPr="001B0583" w:rsidRDefault="00EA4CAD" w:rsidP="00EA4CAD">
      <w:pPr>
        <w:jc w:val="center"/>
        <w:rPr>
          <w:rFonts w:ascii="Arial" w:eastAsia="Arial" w:hAnsi="Arial" w:cs="Arial"/>
          <w:b/>
          <w:color w:val="000000" w:themeColor="text1"/>
        </w:rPr>
      </w:pPr>
      <w:r w:rsidRPr="001B0583">
        <w:rPr>
          <w:rFonts w:ascii="Arial" w:eastAsia="Arial" w:hAnsi="Arial" w:cs="Arial"/>
          <w:b/>
          <w:color w:val="000000" w:themeColor="text1"/>
        </w:rPr>
        <w:t>DECRETA</w:t>
      </w:r>
    </w:p>
    <w:p w14:paraId="24959F52" w14:textId="77777777" w:rsidR="00EA4CAD" w:rsidRPr="001B0583" w:rsidRDefault="00EA4CAD" w:rsidP="004F726E">
      <w:pPr>
        <w:pStyle w:val="p1"/>
        <w:rPr>
          <w:rFonts w:ascii="Arial" w:hAnsi="Arial" w:cs="Arial"/>
          <w:color w:val="000000" w:themeColor="text1"/>
          <w:sz w:val="24"/>
          <w:szCs w:val="24"/>
        </w:rPr>
      </w:pPr>
    </w:p>
    <w:p w14:paraId="7E94E8D2" w14:textId="77777777" w:rsidR="00EA4CAD" w:rsidRPr="001B0583" w:rsidRDefault="00EA4CAD" w:rsidP="004F726E">
      <w:pPr>
        <w:pStyle w:val="p1"/>
        <w:rPr>
          <w:rFonts w:ascii="Arial" w:hAnsi="Arial" w:cs="Arial"/>
          <w:color w:val="000000" w:themeColor="text1"/>
          <w:sz w:val="24"/>
          <w:szCs w:val="24"/>
        </w:rPr>
      </w:pPr>
    </w:p>
    <w:p w14:paraId="7F5A8728" w14:textId="219AEA6E" w:rsidR="00EA4CAD" w:rsidRPr="001B0583" w:rsidRDefault="001232D4" w:rsidP="00187455">
      <w:pPr>
        <w:pStyle w:val="p1"/>
        <w:jc w:val="both"/>
        <w:rPr>
          <w:rFonts w:ascii="Arial" w:hAnsi="Arial" w:cs="Arial"/>
          <w:color w:val="000000" w:themeColor="text1"/>
          <w:sz w:val="24"/>
          <w:szCs w:val="24"/>
        </w:rPr>
      </w:pPr>
      <w:r w:rsidRPr="001B0583">
        <w:rPr>
          <w:rFonts w:ascii="Arial" w:hAnsi="Arial" w:cs="Arial"/>
          <w:b/>
          <w:bCs/>
          <w:color w:val="000000" w:themeColor="text1"/>
          <w:sz w:val="24"/>
          <w:szCs w:val="24"/>
        </w:rPr>
        <w:t>Articulo 1. Objeto.</w:t>
      </w:r>
      <w:r w:rsidRPr="001B0583">
        <w:rPr>
          <w:rFonts w:ascii="Arial" w:hAnsi="Arial" w:cs="Arial"/>
          <w:color w:val="000000" w:themeColor="text1"/>
          <w:sz w:val="24"/>
          <w:szCs w:val="24"/>
        </w:rPr>
        <w:t xml:space="preserve"> La presente Ley tiene por objeto incluir </w:t>
      </w:r>
      <w:r w:rsidR="00187455" w:rsidRPr="001B0583">
        <w:rPr>
          <w:rFonts w:ascii="Arial" w:hAnsi="Arial" w:cs="Arial"/>
          <w:color w:val="000000" w:themeColor="text1"/>
          <w:sz w:val="24"/>
          <w:szCs w:val="24"/>
        </w:rPr>
        <w:t xml:space="preserve">a </w:t>
      </w:r>
      <w:r w:rsidRPr="001B0583">
        <w:rPr>
          <w:rFonts w:ascii="Arial" w:hAnsi="Arial" w:cs="Arial"/>
          <w:color w:val="000000" w:themeColor="text1"/>
          <w:sz w:val="24"/>
          <w:szCs w:val="24"/>
        </w:rPr>
        <w:t xml:space="preserve">los municipios de Puerto Boyacá, Cubará, El Cocuy, </w:t>
      </w:r>
      <w:r w:rsidR="000E1D3F" w:rsidRPr="001B0583">
        <w:rPr>
          <w:rFonts w:ascii="Arial" w:hAnsi="Arial" w:cs="Arial"/>
          <w:color w:val="000000" w:themeColor="text1"/>
          <w:sz w:val="24"/>
          <w:szCs w:val="24"/>
        </w:rPr>
        <w:t xml:space="preserve">Chita, Chivor, </w:t>
      </w:r>
      <w:proofErr w:type="spellStart"/>
      <w:r w:rsidR="000E1D3F" w:rsidRPr="001B0583">
        <w:rPr>
          <w:rFonts w:ascii="Arial" w:hAnsi="Arial" w:cs="Arial"/>
          <w:color w:val="000000" w:themeColor="text1"/>
          <w:sz w:val="24"/>
          <w:szCs w:val="24"/>
        </w:rPr>
        <w:t>Labrazangrande</w:t>
      </w:r>
      <w:proofErr w:type="spellEnd"/>
      <w:r w:rsidR="000E1D3F" w:rsidRPr="001B0583">
        <w:rPr>
          <w:rFonts w:ascii="Arial" w:hAnsi="Arial" w:cs="Arial"/>
          <w:color w:val="000000" w:themeColor="text1"/>
          <w:sz w:val="24"/>
          <w:szCs w:val="24"/>
        </w:rPr>
        <w:t xml:space="preserve">, Pajarito, Pisba, Paya,  Güicán, </w:t>
      </w:r>
      <w:proofErr w:type="spellStart"/>
      <w:r w:rsidR="000E1D3F" w:rsidRPr="001B0583">
        <w:rPr>
          <w:rFonts w:ascii="Arial" w:hAnsi="Arial" w:cs="Arial"/>
          <w:color w:val="000000" w:themeColor="text1"/>
          <w:sz w:val="24"/>
          <w:szCs w:val="24"/>
        </w:rPr>
        <w:t>Panqueba</w:t>
      </w:r>
      <w:proofErr w:type="spellEnd"/>
      <w:r w:rsidR="000E1D3F" w:rsidRPr="001B0583">
        <w:rPr>
          <w:rFonts w:ascii="Arial" w:hAnsi="Arial" w:cs="Arial"/>
          <w:color w:val="000000" w:themeColor="text1"/>
          <w:sz w:val="24"/>
          <w:szCs w:val="24"/>
        </w:rPr>
        <w:t>, El Espino, Chiscas, Muzo, La Victoria,</w:t>
      </w:r>
      <w:r w:rsidR="00E34589" w:rsidRPr="001B0583">
        <w:rPr>
          <w:rFonts w:ascii="Arial" w:hAnsi="Arial" w:cs="Arial"/>
          <w:color w:val="000000" w:themeColor="text1"/>
          <w:sz w:val="24"/>
          <w:szCs w:val="24"/>
        </w:rPr>
        <w:t xml:space="preserve"> </w:t>
      </w:r>
      <w:proofErr w:type="spellStart"/>
      <w:r w:rsidR="00E34589" w:rsidRPr="001B0583">
        <w:rPr>
          <w:rFonts w:ascii="Arial" w:hAnsi="Arial" w:cs="Arial"/>
          <w:color w:val="000000" w:themeColor="text1"/>
          <w:sz w:val="24"/>
          <w:szCs w:val="24"/>
        </w:rPr>
        <w:t>Busbanz</w:t>
      </w:r>
      <w:r w:rsidR="00CF04A3" w:rsidRPr="001B0583">
        <w:rPr>
          <w:rFonts w:ascii="Arial" w:hAnsi="Arial" w:cs="Arial"/>
          <w:color w:val="000000" w:themeColor="text1"/>
          <w:sz w:val="24"/>
          <w:szCs w:val="24"/>
        </w:rPr>
        <w:t>á</w:t>
      </w:r>
      <w:proofErr w:type="spellEnd"/>
      <w:r w:rsidR="00E34589" w:rsidRPr="001B0583">
        <w:rPr>
          <w:rFonts w:ascii="Arial" w:hAnsi="Arial" w:cs="Arial"/>
          <w:color w:val="000000" w:themeColor="text1"/>
          <w:sz w:val="24"/>
          <w:szCs w:val="24"/>
        </w:rPr>
        <w:t>,</w:t>
      </w:r>
      <w:r w:rsidR="000E1D3F" w:rsidRPr="001B0583">
        <w:rPr>
          <w:rFonts w:ascii="Arial" w:hAnsi="Arial" w:cs="Arial"/>
          <w:color w:val="000000" w:themeColor="text1"/>
          <w:sz w:val="24"/>
          <w:szCs w:val="24"/>
        </w:rPr>
        <w:t xml:space="preserve"> </w:t>
      </w:r>
      <w:proofErr w:type="spellStart"/>
      <w:r w:rsidR="000E1D3F" w:rsidRPr="001B0583">
        <w:rPr>
          <w:rFonts w:ascii="Arial" w:hAnsi="Arial" w:cs="Arial"/>
          <w:color w:val="000000" w:themeColor="text1"/>
          <w:sz w:val="24"/>
          <w:szCs w:val="24"/>
        </w:rPr>
        <w:t>Tutaz</w:t>
      </w:r>
      <w:r w:rsidR="00E34589" w:rsidRPr="001B0583">
        <w:rPr>
          <w:rFonts w:ascii="Arial" w:hAnsi="Arial" w:cs="Arial"/>
          <w:color w:val="000000" w:themeColor="text1"/>
          <w:sz w:val="24"/>
          <w:szCs w:val="24"/>
        </w:rPr>
        <w:t>á</w:t>
      </w:r>
      <w:proofErr w:type="spellEnd"/>
      <w:r w:rsidR="000E1D3F" w:rsidRPr="001B0583">
        <w:rPr>
          <w:rFonts w:ascii="Arial" w:hAnsi="Arial" w:cs="Arial"/>
          <w:color w:val="000000" w:themeColor="text1"/>
          <w:sz w:val="24"/>
          <w:szCs w:val="24"/>
        </w:rPr>
        <w:t xml:space="preserve">  del Departamento de Boyacá</w:t>
      </w:r>
      <w:r w:rsidR="00187455" w:rsidRPr="001B0583">
        <w:rPr>
          <w:rFonts w:ascii="Arial" w:hAnsi="Arial" w:cs="Arial"/>
          <w:color w:val="000000" w:themeColor="text1"/>
          <w:sz w:val="24"/>
          <w:szCs w:val="24"/>
        </w:rPr>
        <w:t xml:space="preserve"> a los Programas de Desarrollo con Enfoque Territorial – PDET y a las </w:t>
      </w:r>
      <w:r w:rsidR="00236337" w:rsidRPr="001B0583">
        <w:rPr>
          <w:rFonts w:ascii="Arial" w:hAnsi="Arial" w:cs="Arial"/>
          <w:color w:val="000000" w:themeColor="text1"/>
          <w:sz w:val="24"/>
          <w:szCs w:val="24"/>
        </w:rPr>
        <w:t>Z</w:t>
      </w:r>
      <w:r w:rsidR="00187455" w:rsidRPr="001B0583">
        <w:rPr>
          <w:rFonts w:ascii="Arial" w:hAnsi="Arial" w:cs="Arial"/>
          <w:color w:val="000000" w:themeColor="text1"/>
          <w:sz w:val="24"/>
          <w:szCs w:val="24"/>
        </w:rPr>
        <w:t xml:space="preserve">onas </w:t>
      </w:r>
      <w:r w:rsidR="00236337" w:rsidRPr="001B0583">
        <w:rPr>
          <w:rFonts w:ascii="Arial" w:hAnsi="Arial" w:cs="Arial"/>
          <w:color w:val="000000" w:themeColor="text1"/>
          <w:sz w:val="24"/>
          <w:szCs w:val="24"/>
        </w:rPr>
        <w:t>M</w:t>
      </w:r>
      <w:r w:rsidR="00187455" w:rsidRPr="001B0583">
        <w:rPr>
          <w:rFonts w:ascii="Arial" w:hAnsi="Arial" w:cs="Arial"/>
          <w:color w:val="000000" w:themeColor="text1"/>
          <w:sz w:val="24"/>
          <w:szCs w:val="24"/>
        </w:rPr>
        <w:t xml:space="preserve">ás </w:t>
      </w:r>
      <w:r w:rsidR="00236337" w:rsidRPr="001B0583">
        <w:rPr>
          <w:rFonts w:ascii="Arial" w:hAnsi="Arial" w:cs="Arial"/>
          <w:color w:val="000000" w:themeColor="text1"/>
          <w:sz w:val="24"/>
          <w:szCs w:val="24"/>
        </w:rPr>
        <w:t>A</w:t>
      </w:r>
      <w:r w:rsidR="00187455" w:rsidRPr="001B0583">
        <w:rPr>
          <w:rFonts w:ascii="Arial" w:hAnsi="Arial" w:cs="Arial"/>
          <w:color w:val="000000" w:themeColor="text1"/>
          <w:sz w:val="24"/>
          <w:szCs w:val="24"/>
        </w:rPr>
        <w:t xml:space="preserve">fectadas por el </w:t>
      </w:r>
      <w:r w:rsidR="00236337" w:rsidRPr="001B0583">
        <w:rPr>
          <w:rFonts w:ascii="Arial" w:hAnsi="Arial" w:cs="Arial"/>
          <w:color w:val="000000" w:themeColor="text1"/>
          <w:sz w:val="24"/>
          <w:szCs w:val="24"/>
        </w:rPr>
        <w:t>C</w:t>
      </w:r>
      <w:r w:rsidR="00187455" w:rsidRPr="001B0583">
        <w:rPr>
          <w:rFonts w:ascii="Arial" w:hAnsi="Arial" w:cs="Arial"/>
          <w:color w:val="000000" w:themeColor="text1"/>
          <w:sz w:val="24"/>
          <w:szCs w:val="24"/>
        </w:rPr>
        <w:t xml:space="preserve">onflicto </w:t>
      </w:r>
      <w:r w:rsidRPr="001B0583">
        <w:rPr>
          <w:rFonts w:ascii="Arial" w:hAnsi="Arial" w:cs="Arial"/>
          <w:color w:val="000000" w:themeColor="text1"/>
          <w:sz w:val="24"/>
          <w:szCs w:val="24"/>
        </w:rPr>
        <w:t>A</w:t>
      </w:r>
      <w:r w:rsidR="00236337" w:rsidRPr="001B0583">
        <w:rPr>
          <w:rFonts w:ascii="Arial" w:hAnsi="Arial" w:cs="Arial"/>
          <w:color w:val="000000" w:themeColor="text1"/>
          <w:sz w:val="24"/>
          <w:szCs w:val="24"/>
        </w:rPr>
        <w:t xml:space="preserve">rmado </w:t>
      </w:r>
      <w:r w:rsidRPr="001B0583">
        <w:rPr>
          <w:rFonts w:ascii="Arial" w:hAnsi="Arial" w:cs="Arial"/>
          <w:color w:val="000000" w:themeColor="text1"/>
          <w:sz w:val="24"/>
          <w:szCs w:val="24"/>
        </w:rPr>
        <w:t>– ZOMAC</w:t>
      </w:r>
      <w:r w:rsidR="00187455" w:rsidRPr="001B0583">
        <w:rPr>
          <w:rFonts w:ascii="Arial" w:hAnsi="Arial" w:cs="Arial"/>
          <w:color w:val="000000" w:themeColor="text1"/>
          <w:sz w:val="24"/>
          <w:szCs w:val="24"/>
        </w:rPr>
        <w:t xml:space="preserve">. </w:t>
      </w:r>
    </w:p>
    <w:p w14:paraId="0A4CEA1B" w14:textId="77777777" w:rsidR="006B0FA4" w:rsidRPr="001B0583" w:rsidRDefault="006B0FA4" w:rsidP="00187455">
      <w:pPr>
        <w:pStyle w:val="p1"/>
        <w:jc w:val="both"/>
        <w:rPr>
          <w:rFonts w:ascii="Arial" w:hAnsi="Arial" w:cs="Arial"/>
          <w:color w:val="000000" w:themeColor="text1"/>
          <w:sz w:val="24"/>
          <w:szCs w:val="24"/>
        </w:rPr>
      </w:pPr>
    </w:p>
    <w:p w14:paraId="5F87D7E4" w14:textId="75673CE2" w:rsidR="006B0FA4" w:rsidRPr="001B0583" w:rsidRDefault="006B0FA4" w:rsidP="00187455">
      <w:pPr>
        <w:pStyle w:val="p1"/>
        <w:jc w:val="both"/>
        <w:rPr>
          <w:rFonts w:ascii="Arial" w:hAnsi="Arial" w:cs="Arial"/>
          <w:color w:val="000000" w:themeColor="text1"/>
          <w:sz w:val="24"/>
          <w:szCs w:val="24"/>
        </w:rPr>
      </w:pPr>
      <w:r w:rsidRPr="001B0583">
        <w:rPr>
          <w:rFonts w:ascii="Arial" w:hAnsi="Arial" w:cs="Arial"/>
          <w:color w:val="000000" w:themeColor="text1"/>
          <w:sz w:val="24"/>
          <w:szCs w:val="24"/>
        </w:rPr>
        <w:t>El propósito esencial es impulsar la paz, el desarrollo y el reconocimiento de los derechos de los habitantes de esos municipios, otorgando una seguridad humana integral con participación de las autoridades civiles.</w:t>
      </w:r>
    </w:p>
    <w:p w14:paraId="3F5BA6ED" w14:textId="77777777" w:rsidR="00236337" w:rsidRPr="001B0583" w:rsidRDefault="00236337" w:rsidP="00187455">
      <w:pPr>
        <w:pStyle w:val="p1"/>
        <w:jc w:val="both"/>
        <w:rPr>
          <w:rFonts w:ascii="Arial" w:hAnsi="Arial" w:cs="Arial"/>
          <w:color w:val="000000" w:themeColor="text1"/>
          <w:sz w:val="24"/>
          <w:szCs w:val="24"/>
        </w:rPr>
      </w:pPr>
    </w:p>
    <w:p w14:paraId="6CCC8FA4" w14:textId="5148D652" w:rsidR="00EF6743" w:rsidRPr="001B0583" w:rsidRDefault="00236337" w:rsidP="00187455">
      <w:pPr>
        <w:pStyle w:val="p1"/>
        <w:jc w:val="both"/>
        <w:rPr>
          <w:rFonts w:ascii="Arial" w:hAnsi="Arial" w:cs="Arial"/>
          <w:color w:val="000000" w:themeColor="text1"/>
          <w:sz w:val="24"/>
          <w:szCs w:val="24"/>
        </w:rPr>
      </w:pPr>
      <w:r w:rsidRPr="001B0583">
        <w:rPr>
          <w:rFonts w:ascii="Arial" w:hAnsi="Arial" w:cs="Arial"/>
          <w:b/>
          <w:bCs/>
          <w:color w:val="000000" w:themeColor="text1"/>
          <w:sz w:val="24"/>
          <w:szCs w:val="24"/>
        </w:rPr>
        <w:t>Artículo 2.</w:t>
      </w:r>
      <w:r w:rsidRPr="001B0583">
        <w:rPr>
          <w:rFonts w:ascii="Arial" w:hAnsi="Arial" w:cs="Arial"/>
          <w:color w:val="000000" w:themeColor="text1"/>
          <w:sz w:val="24"/>
          <w:szCs w:val="24"/>
        </w:rPr>
        <w:t xml:space="preserve"> Modifíquese el</w:t>
      </w:r>
      <w:r w:rsidR="00435F38" w:rsidRPr="001B0583">
        <w:rPr>
          <w:rFonts w:ascii="Arial" w:hAnsi="Arial" w:cs="Arial"/>
          <w:color w:val="000000" w:themeColor="text1"/>
          <w:sz w:val="24"/>
          <w:szCs w:val="24"/>
        </w:rPr>
        <w:t xml:space="preserve"> Artículo 1.1.4 del</w:t>
      </w:r>
      <w:r w:rsidRPr="001B0583">
        <w:rPr>
          <w:rFonts w:ascii="Arial" w:hAnsi="Arial" w:cs="Arial"/>
          <w:color w:val="000000" w:themeColor="text1"/>
          <w:sz w:val="24"/>
          <w:szCs w:val="24"/>
        </w:rPr>
        <w:t xml:space="preserve"> </w:t>
      </w:r>
      <w:r w:rsidR="00EF6743" w:rsidRPr="001B0583">
        <w:rPr>
          <w:rFonts w:ascii="Arial" w:hAnsi="Arial" w:cs="Arial"/>
          <w:color w:val="000000" w:themeColor="text1"/>
          <w:sz w:val="24"/>
          <w:szCs w:val="24"/>
        </w:rPr>
        <w:t>Decreto 1650 de 2017 y sus anexos,</w:t>
      </w:r>
      <w:r w:rsidR="000C1AF4" w:rsidRPr="001B0583">
        <w:rPr>
          <w:rFonts w:ascii="Arial" w:hAnsi="Arial" w:cs="Arial"/>
          <w:color w:val="000000" w:themeColor="text1"/>
          <w:sz w:val="24"/>
          <w:szCs w:val="24"/>
        </w:rPr>
        <w:t xml:space="preserve"> incluyendo un parágrafo nuevo,</w:t>
      </w:r>
      <w:r w:rsidR="00EF6743" w:rsidRPr="001B0583">
        <w:rPr>
          <w:rFonts w:ascii="Arial" w:hAnsi="Arial" w:cs="Arial"/>
          <w:color w:val="000000" w:themeColor="text1"/>
          <w:sz w:val="24"/>
          <w:szCs w:val="24"/>
        </w:rPr>
        <w:t xml:space="preserve"> el cual quedará así: </w:t>
      </w:r>
    </w:p>
    <w:p w14:paraId="2A54AC23" w14:textId="77777777" w:rsidR="00EF6743" w:rsidRPr="001B0583" w:rsidRDefault="00EF6743" w:rsidP="00187455">
      <w:pPr>
        <w:pStyle w:val="p1"/>
        <w:jc w:val="both"/>
        <w:rPr>
          <w:rFonts w:ascii="Arial" w:hAnsi="Arial" w:cs="Arial"/>
          <w:color w:val="000000" w:themeColor="text1"/>
          <w:sz w:val="24"/>
          <w:szCs w:val="24"/>
        </w:rPr>
      </w:pPr>
    </w:p>
    <w:p w14:paraId="636170CA" w14:textId="7D4DD37C" w:rsidR="00EF6743" w:rsidRPr="001B0583" w:rsidRDefault="00EF6743" w:rsidP="00EF6743">
      <w:pPr>
        <w:pStyle w:val="p1"/>
        <w:ind w:left="708"/>
        <w:jc w:val="both"/>
        <w:rPr>
          <w:rFonts w:ascii="Arial" w:hAnsi="Arial" w:cs="Arial"/>
          <w:color w:val="000000" w:themeColor="text1"/>
          <w:sz w:val="24"/>
          <w:szCs w:val="24"/>
        </w:rPr>
      </w:pPr>
      <w:r w:rsidRPr="001B0583">
        <w:rPr>
          <w:rFonts w:ascii="Arial" w:hAnsi="Arial" w:cs="Arial"/>
          <w:color w:val="000000" w:themeColor="text1"/>
          <w:sz w:val="24"/>
          <w:szCs w:val="24"/>
        </w:rPr>
        <w:t>“Artículo 1.1.4. Definición de las Zonas más Afectadas por el Conflicto Armado - ZOMAC. ZOMAC es el conjunto de municipios que sean considerados como más afectados por el Conflicto Armado - ZOMAC - definidos conforme con lo dispuesto en el numeral 6 del artículo 236 de la Ley 1819 del 29 de diciembre de 2016 y en cuya jurisdicción aplicarán las disposiciones establecidas en los artículos 235 al 237 de la misma ley y los reglamentos que se expidan.</w:t>
      </w:r>
    </w:p>
    <w:p w14:paraId="6895202C" w14:textId="77777777" w:rsidR="00EF6743" w:rsidRPr="001B0583" w:rsidRDefault="00EF6743" w:rsidP="00EF6743">
      <w:pPr>
        <w:pStyle w:val="p1"/>
        <w:jc w:val="both"/>
        <w:rPr>
          <w:rFonts w:ascii="Arial" w:hAnsi="Arial" w:cs="Arial"/>
          <w:color w:val="000000" w:themeColor="text1"/>
          <w:sz w:val="24"/>
          <w:szCs w:val="24"/>
        </w:rPr>
      </w:pPr>
    </w:p>
    <w:p w14:paraId="6AE608B5" w14:textId="04ED4011" w:rsidR="00EF6743" w:rsidRPr="001B0583" w:rsidRDefault="00EF6743" w:rsidP="00EF6743">
      <w:pPr>
        <w:ind w:left="708"/>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La metodología y los Municipios más Afectados por el Conflicto Armado - ZOMAC – están definidos en el Anexo No. 2 del presente decreto.</w:t>
      </w:r>
    </w:p>
    <w:p w14:paraId="7AC1ADA1" w14:textId="77777777" w:rsidR="00EF6743" w:rsidRPr="001B0583" w:rsidRDefault="00EF6743" w:rsidP="00EF6743">
      <w:pPr>
        <w:jc w:val="both"/>
        <w:rPr>
          <w:rFonts w:ascii="Arial" w:eastAsia="Times New Roman" w:hAnsi="Arial" w:cs="Arial"/>
          <w:color w:val="000000" w:themeColor="text1"/>
          <w:kern w:val="0"/>
          <w:lang w:val="es-CO" w:eastAsia="es-ES_tradnl"/>
          <w14:ligatures w14:val="none"/>
        </w:rPr>
      </w:pPr>
    </w:p>
    <w:p w14:paraId="22518963" w14:textId="6E8E72B2" w:rsidR="003F581B" w:rsidRPr="001B0583" w:rsidRDefault="00EF6743" w:rsidP="003F581B">
      <w:pPr>
        <w:ind w:left="708"/>
        <w:jc w:val="both"/>
        <w:rPr>
          <w:rFonts w:ascii="Arial" w:eastAsia="Times New Roman" w:hAnsi="Arial" w:cs="Arial"/>
          <w:b/>
          <w:bCs/>
          <w:color w:val="000000" w:themeColor="text1"/>
          <w:kern w:val="0"/>
          <w:u w:val="single"/>
          <w:lang w:val="es-CO" w:eastAsia="es-ES_tradnl"/>
          <w14:ligatures w14:val="none"/>
        </w:rPr>
      </w:pPr>
      <w:r w:rsidRPr="001B0583">
        <w:rPr>
          <w:rFonts w:ascii="Arial" w:eastAsia="Times New Roman" w:hAnsi="Arial" w:cs="Arial"/>
          <w:b/>
          <w:bCs/>
          <w:color w:val="000000" w:themeColor="text1"/>
          <w:kern w:val="0"/>
          <w:u w:val="single"/>
          <w:lang w:val="es-CO" w:eastAsia="es-ES_tradnl"/>
          <w14:ligatures w14:val="none"/>
        </w:rPr>
        <w:t xml:space="preserve">Parágrafo. Inclúyase los municipios de Puerto Boyacá, Cubará, El Cocuy, Chita, , Güicán, </w:t>
      </w:r>
      <w:proofErr w:type="spellStart"/>
      <w:r w:rsidRPr="001B0583">
        <w:rPr>
          <w:rFonts w:ascii="Arial" w:eastAsia="Times New Roman" w:hAnsi="Arial" w:cs="Arial"/>
          <w:b/>
          <w:bCs/>
          <w:color w:val="000000" w:themeColor="text1"/>
          <w:kern w:val="0"/>
          <w:u w:val="single"/>
          <w:lang w:val="es-CO" w:eastAsia="es-ES_tradnl"/>
          <w14:ligatures w14:val="none"/>
        </w:rPr>
        <w:t>Panqueba</w:t>
      </w:r>
      <w:proofErr w:type="spellEnd"/>
      <w:r w:rsidRPr="001B0583">
        <w:rPr>
          <w:rFonts w:ascii="Arial" w:eastAsia="Times New Roman" w:hAnsi="Arial" w:cs="Arial"/>
          <w:b/>
          <w:bCs/>
          <w:color w:val="000000" w:themeColor="text1"/>
          <w:kern w:val="0"/>
          <w:u w:val="single"/>
          <w:lang w:val="es-CO" w:eastAsia="es-ES_tradnl"/>
          <w14:ligatures w14:val="none"/>
        </w:rPr>
        <w:t xml:space="preserve">, El Espino, Chiscas, Muzo, La Victoria, </w:t>
      </w:r>
      <w:proofErr w:type="spellStart"/>
      <w:r w:rsidRPr="001B0583">
        <w:rPr>
          <w:rFonts w:ascii="Arial" w:eastAsia="Times New Roman" w:hAnsi="Arial" w:cs="Arial"/>
          <w:b/>
          <w:bCs/>
          <w:color w:val="000000" w:themeColor="text1"/>
          <w:kern w:val="0"/>
          <w:u w:val="single"/>
          <w:lang w:val="es-CO" w:eastAsia="es-ES_tradnl"/>
          <w14:ligatures w14:val="none"/>
        </w:rPr>
        <w:t>Busbanz</w:t>
      </w:r>
      <w:r w:rsidR="00CF04A3" w:rsidRPr="001B0583">
        <w:rPr>
          <w:rFonts w:ascii="Arial" w:eastAsia="Times New Roman" w:hAnsi="Arial" w:cs="Arial"/>
          <w:b/>
          <w:bCs/>
          <w:color w:val="000000" w:themeColor="text1"/>
          <w:kern w:val="0"/>
          <w:u w:val="single"/>
          <w:lang w:val="es-CO" w:eastAsia="es-ES_tradnl"/>
          <w14:ligatures w14:val="none"/>
        </w:rPr>
        <w:t>á</w:t>
      </w:r>
      <w:proofErr w:type="spellEnd"/>
      <w:r w:rsidRPr="001B0583">
        <w:rPr>
          <w:rFonts w:ascii="Arial" w:eastAsia="Times New Roman" w:hAnsi="Arial" w:cs="Arial"/>
          <w:b/>
          <w:bCs/>
          <w:color w:val="000000" w:themeColor="text1"/>
          <w:kern w:val="0"/>
          <w:u w:val="single"/>
          <w:lang w:val="es-CO" w:eastAsia="es-ES_tradnl"/>
          <w14:ligatures w14:val="none"/>
        </w:rPr>
        <w:t xml:space="preserve">, </w:t>
      </w:r>
      <w:proofErr w:type="spellStart"/>
      <w:r w:rsidRPr="001B0583">
        <w:rPr>
          <w:rFonts w:ascii="Arial" w:eastAsia="Times New Roman" w:hAnsi="Arial" w:cs="Arial"/>
          <w:b/>
          <w:bCs/>
          <w:color w:val="000000" w:themeColor="text1"/>
          <w:kern w:val="0"/>
          <w:u w:val="single"/>
          <w:lang w:val="es-CO" w:eastAsia="es-ES_tradnl"/>
          <w14:ligatures w14:val="none"/>
        </w:rPr>
        <w:t>Tutazá</w:t>
      </w:r>
      <w:proofErr w:type="spellEnd"/>
      <w:r w:rsidRPr="001B0583">
        <w:rPr>
          <w:rFonts w:ascii="Arial" w:eastAsia="Times New Roman" w:hAnsi="Arial" w:cs="Arial"/>
          <w:b/>
          <w:bCs/>
          <w:color w:val="000000" w:themeColor="text1"/>
          <w:kern w:val="0"/>
          <w:u w:val="single"/>
          <w:lang w:val="es-CO" w:eastAsia="es-ES_tradnl"/>
          <w14:ligatures w14:val="none"/>
        </w:rPr>
        <w:t xml:space="preserve">  del Departamento de Boyacá como Zonas Más Afectadas por el Conflicto Armado – ZOMAC. </w:t>
      </w:r>
    </w:p>
    <w:p w14:paraId="50A585C4" w14:textId="77777777" w:rsidR="00EA4CAD" w:rsidRPr="001B0583" w:rsidRDefault="00EA4CAD" w:rsidP="004F726E">
      <w:pPr>
        <w:pStyle w:val="p1"/>
        <w:rPr>
          <w:rFonts w:ascii="Arial" w:hAnsi="Arial" w:cs="Arial"/>
          <w:color w:val="000000" w:themeColor="text1"/>
          <w:sz w:val="24"/>
          <w:szCs w:val="24"/>
        </w:rPr>
      </w:pPr>
    </w:p>
    <w:p w14:paraId="7CFC1C70" w14:textId="77777777" w:rsidR="00EA4CAD" w:rsidRPr="001B0583" w:rsidRDefault="00EA4CAD" w:rsidP="004F726E">
      <w:pPr>
        <w:pStyle w:val="p1"/>
        <w:rPr>
          <w:rFonts w:ascii="Arial" w:hAnsi="Arial" w:cs="Arial"/>
          <w:color w:val="000000" w:themeColor="text1"/>
          <w:sz w:val="24"/>
          <w:szCs w:val="24"/>
        </w:rPr>
      </w:pPr>
    </w:p>
    <w:p w14:paraId="129A9B34" w14:textId="1579A28E" w:rsidR="00EF6743" w:rsidRPr="001B0583" w:rsidRDefault="00EF6743" w:rsidP="00EF6743">
      <w:pPr>
        <w:pStyle w:val="p1"/>
        <w:jc w:val="both"/>
        <w:rPr>
          <w:rFonts w:ascii="Arial" w:hAnsi="Arial" w:cs="Arial"/>
          <w:color w:val="000000" w:themeColor="text1"/>
          <w:sz w:val="24"/>
          <w:szCs w:val="24"/>
        </w:rPr>
      </w:pPr>
      <w:r w:rsidRPr="001B0583">
        <w:rPr>
          <w:rFonts w:ascii="Arial" w:hAnsi="Arial" w:cs="Arial"/>
          <w:b/>
          <w:bCs/>
          <w:color w:val="000000" w:themeColor="text1"/>
          <w:sz w:val="24"/>
          <w:szCs w:val="24"/>
        </w:rPr>
        <w:t>Artículo 3.</w:t>
      </w:r>
      <w:r w:rsidRPr="001B0583">
        <w:rPr>
          <w:rFonts w:ascii="Arial" w:hAnsi="Arial" w:cs="Arial"/>
          <w:color w:val="000000" w:themeColor="text1"/>
          <w:sz w:val="24"/>
          <w:szCs w:val="24"/>
        </w:rPr>
        <w:t xml:space="preserve"> Modifíquese el</w:t>
      </w:r>
      <w:r w:rsidR="00435F38" w:rsidRPr="001B0583">
        <w:rPr>
          <w:rFonts w:ascii="Arial" w:hAnsi="Arial" w:cs="Arial"/>
          <w:color w:val="000000" w:themeColor="text1"/>
          <w:sz w:val="24"/>
          <w:szCs w:val="24"/>
        </w:rPr>
        <w:t xml:space="preserve"> artículo 1 del</w:t>
      </w:r>
      <w:r w:rsidRPr="001B0583">
        <w:rPr>
          <w:rFonts w:ascii="Arial" w:hAnsi="Arial" w:cs="Arial"/>
          <w:color w:val="000000" w:themeColor="text1"/>
          <w:sz w:val="24"/>
          <w:szCs w:val="24"/>
        </w:rPr>
        <w:t xml:space="preserve"> Decreto </w:t>
      </w:r>
      <w:r w:rsidR="0055447C" w:rsidRPr="001B0583">
        <w:rPr>
          <w:rFonts w:ascii="Arial" w:hAnsi="Arial" w:cs="Arial"/>
          <w:color w:val="000000" w:themeColor="text1"/>
          <w:sz w:val="24"/>
          <w:szCs w:val="24"/>
        </w:rPr>
        <w:t>893</w:t>
      </w:r>
      <w:r w:rsidRPr="001B0583">
        <w:rPr>
          <w:rFonts w:ascii="Arial" w:hAnsi="Arial" w:cs="Arial"/>
          <w:color w:val="000000" w:themeColor="text1"/>
          <w:sz w:val="24"/>
          <w:szCs w:val="24"/>
        </w:rPr>
        <w:t xml:space="preserve"> de 2017, el cual quedará así: </w:t>
      </w:r>
    </w:p>
    <w:p w14:paraId="2FDC9CBF" w14:textId="77777777" w:rsidR="00EA4CAD" w:rsidRPr="001B0583" w:rsidRDefault="00EA4CAD" w:rsidP="004F726E">
      <w:pPr>
        <w:pStyle w:val="p1"/>
        <w:rPr>
          <w:rFonts w:ascii="Arial" w:hAnsi="Arial" w:cs="Arial"/>
          <w:color w:val="000000" w:themeColor="text1"/>
          <w:sz w:val="24"/>
          <w:szCs w:val="24"/>
        </w:rPr>
      </w:pPr>
    </w:p>
    <w:p w14:paraId="6296F81B" w14:textId="68A095BB" w:rsidR="00435F38" w:rsidRPr="001B0583" w:rsidRDefault="00435F38" w:rsidP="00924E71">
      <w:pPr>
        <w:pStyle w:val="p1"/>
        <w:ind w:left="708"/>
        <w:jc w:val="both"/>
        <w:rPr>
          <w:rFonts w:ascii="Arial" w:hAnsi="Arial" w:cs="Arial"/>
          <w:color w:val="000000" w:themeColor="text1"/>
          <w:sz w:val="24"/>
          <w:szCs w:val="24"/>
        </w:rPr>
      </w:pPr>
      <w:r w:rsidRPr="001B0583">
        <w:rPr>
          <w:rFonts w:ascii="Arial" w:hAnsi="Arial" w:cs="Arial"/>
          <w:color w:val="000000" w:themeColor="text1"/>
          <w:sz w:val="24"/>
          <w:szCs w:val="24"/>
        </w:rPr>
        <w:lastRenderedPageBreak/>
        <w:t>“Artículo 1. Objeto. Créanse los Programas de Desarrollo con Enfoque Territorial (PDET) como un instrumento de planificación y gestión para implementar de manera</w:t>
      </w:r>
      <w:r w:rsidR="00924E71" w:rsidRPr="001B0583">
        <w:rPr>
          <w:rFonts w:ascii="Arial" w:hAnsi="Arial" w:cs="Arial"/>
          <w:color w:val="000000" w:themeColor="text1"/>
          <w:sz w:val="24"/>
          <w:szCs w:val="24"/>
        </w:rPr>
        <w:t xml:space="preserve"> </w:t>
      </w:r>
      <w:r w:rsidRPr="001B0583">
        <w:rPr>
          <w:rFonts w:ascii="Arial" w:hAnsi="Arial" w:cs="Arial"/>
          <w:color w:val="000000" w:themeColor="text1"/>
          <w:sz w:val="24"/>
          <w:szCs w:val="24"/>
        </w:rPr>
        <w:t>prioritaria los planes sectoriales y programas en el marco de la Reforma Rural</w:t>
      </w:r>
      <w:r w:rsidR="00924E71" w:rsidRPr="001B0583">
        <w:rPr>
          <w:rFonts w:ascii="Arial" w:hAnsi="Arial" w:cs="Arial"/>
          <w:color w:val="000000" w:themeColor="text1"/>
          <w:sz w:val="24"/>
          <w:szCs w:val="24"/>
        </w:rPr>
        <w:t xml:space="preserve"> </w:t>
      </w:r>
      <w:r w:rsidRPr="001B0583">
        <w:rPr>
          <w:rFonts w:ascii="Arial" w:hAnsi="Arial" w:cs="Arial"/>
          <w:color w:val="000000" w:themeColor="text1"/>
          <w:sz w:val="24"/>
          <w:szCs w:val="24"/>
        </w:rPr>
        <w:t>Integral (RRI) y las medidas pertinentes que establece el Acuerdo Final, en</w:t>
      </w:r>
      <w:r w:rsidR="00924E71" w:rsidRPr="001B0583">
        <w:rPr>
          <w:rFonts w:ascii="Arial" w:hAnsi="Arial" w:cs="Arial"/>
          <w:color w:val="000000" w:themeColor="text1"/>
          <w:sz w:val="24"/>
          <w:szCs w:val="24"/>
        </w:rPr>
        <w:t xml:space="preserve"> </w:t>
      </w:r>
      <w:r w:rsidRPr="001B0583">
        <w:rPr>
          <w:rFonts w:ascii="Arial" w:hAnsi="Arial" w:cs="Arial"/>
          <w:color w:val="000000" w:themeColor="text1"/>
          <w:sz w:val="24"/>
          <w:szCs w:val="24"/>
        </w:rPr>
        <w:t>articulación con los planes territoriales, en los municipios priorizados en el presente</w:t>
      </w:r>
    </w:p>
    <w:p w14:paraId="54B91A0B" w14:textId="77777777" w:rsidR="00435F38" w:rsidRPr="001B0583" w:rsidRDefault="00435F38" w:rsidP="00924E71">
      <w:pPr>
        <w:ind w:firstLine="708"/>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Decreto de conformidad con los criterios establecidos en el Acuerdo Final.</w:t>
      </w:r>
    </w:p>
    <w:p w14:paraId="1EB67DE7" w14:textId="77777777" w:rsidR="00924E71" w:rsidRPr="001B0583" w:rsidRDefault="00924E71" w:rsidP="00924E71">
      <w:pPr>
        <w:jc w:val="both"/>
        <w:rPr>
          <w:rFonts w:ascii="Arial" w:eastAsia="Times New Roman" w:hAnsi="Arial" w:cs="Arial"/>
          <w:color w:val="000000" w:themeColor="text1"/>
          <w:kern w:val="0"/>
          <w:lang w:val="es-CO" w:eastAsia="es-ES_tradnl"/>
          <w14:ligatures w14:val="none"/>
        </w:rPr>
      </w:pPr>
    </w:p>
    <w:p w14:paraId="5E6B05FC" w14:textId="25C5D67B" w:rsidR="00924E71" w:rsidRPr="001B0583" w:rsidRDefault="00924E71" w:rsidP="00924E71">
      <w:pPr>
        <w:ind w:left="708"/>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 xml:space="preserve">Los PDET se formularán por una sola vez y tendrán una vigencia de </w:t>
      </w:r>
      <w:r w:rsidRPr="001B0583">
        <w:rPr>
          <w:rFonts w:ascii="Arial" w:eastAsia="Times New Roman" w:hAnsi="Arial" w:cs="Arial"/>
          <w:b/>
          <w:bCs/>
          <w:color w:val="000000" w:themeColor="text1"/>
          <w:kern w:val="0"/>
          <w:u w:val="single"/>
          <w:lang w:val="es-CO" w:eastAsia="es-ES_tradnl"/>
          <w14:ligatures w14:val="none"/>
        </w:rPr>
        <w:t xml:space="preserve">quince (15) </w:t>
      </w:r>
      <w:r w:rsidRPr="001B0583">
        <w:rPr>
          <w:rFonts w:ascii="Arial" w:eastAsia="Times New Roman" w:hAnsi="Arial" w:cs="Arial"/>
          <w:color w:val="000000" w:themeColor="text1"/>
          <w:kern w:val="0"/>
          <w:lang w:val="es-CO" w:eastAsia="es-ES_tradnl"/>
          <w14:ligatures w14:val="none"/>
        </w:rPr>
        <w:t>años. Serán coordinados por la Agencia de Renovación del Territorio (ART), en ejercicio de las funciones que le son propias de conformidad con lo dispuesto en el Decreto Ley 2366 de 2015, modificado por el Decreto Ley 2096 de 2016.</w:t>
      </w:r>
    </w:p>
    <w:p w14:paraId="71466FB1" w14:textId="4AD18CF5" w:rsidR="00924E71" w:rsidRPr="001B0583" w:rsidRDefault="00924E71" w:rsidP="00924E71">
      <w:pPr>
        <w:jc w:val="both"/>
        <w:rPr>
          <w:rFonts w:ascii="Arial" w:eastAsia="Times New Roman" w:hAnsi="Arial" w:cs="Arial"/>
          <w:color w:val="000000" w:themeColor="text1"/>
          <w:kern w:val="0"/>
          <w:lang w:val="es-CO" w:eastAsia="es-ES_tradnl"/>
          <w14:ligatures w14:val="none"/>
        </w:rPr>
      </w:pPr>
    </w:p>
    <w:p w14:paraId="1B48B592" w14:textId="77777777" w:rsidR="00924E71" w:rsidRPr="001B0583" w:rsidRDefault="00924E71" w:rsidP="00435F38">
      <w:pPr>
        <w:ind w:firstLine="708"/>
        <w:jc w:val="both"/>
        <w:rPr>
          <w:rFonts w:ascii="Arial" w:eastAsia="Times New Roman" w:hAnsi="Arial" w:cs="Arial"/>
          <w:color w:val="000000" w:themeColor="text1"/>
          <w:kern w:val="0"/>
          <w:lang w:val="es-CO" w:eastAsia="es-ES_tradnl"/>
          <w14:ligatures w14:val="none"/>
        </w:rPr>
      </w:pPr>
    </w:p>
    <w:p w14:paraId="128C8E3D" w14:textId="7D23C88F" w:rsidR="000E1D3F" w:rsidRPr="001B0583" w:rsidRDefault="00B17095" w:rsidP="00D63305">
      <w:pPr>
        <w:pStyle w:val="p1"/>
        <w:jc w:val="both"/>
        <w:rPr>
          <w:rFonts w:ascii="Arial" w:hAnsi="Arial" w:cs="Arial"/>
          <w:color w:val="000000" w:themeColor="text1"/>
          <w:sz w:val="24"/>
          <w:szCs w:val="24"/>
        </w:rPr>
      </w:pPr>
      <w:r w:rsidRPr="001B0583">
        <w:rPr>
          <w:rFonts w:ascii="Arial" w:hAnsi="Arial" w:cs="Arial"/>
          <w:b/>
          <w:bCs/>
          <w:color w:val="000000" w:themeColor="text1"/>
          <w:sz w:val="24"/>
          <w:szCs w:val="24"/>
        </w:rPr>
        <w:t>Artículo 4.</w:t>
      </w:r>
      <w:r w:rsidRPr="001B0583">
        <w:rPr>
          <w:rFonts w:ascii="Arial" w:hAnsi="Arial" w:cs="Arial"/>
          <w:color w:val="000000" w:themeColor="text1"/>
          <w:sz w:val="24"/>
          <w:szCs w:val="24"/>
        </w:rPr>
        <w:t xml:space="preserve"> Modifíquese el artículo 3 del Decreto 893 de 2017, el cual quedará así: </w:t>
      </w:r>
    </w:p>
    <w:p w14:paraId="770F044B" w14:textId="353969F7" w:rsidR="00EA4CAD" w:rsidRPr="001B0583" w:rsidRDefault="00EA4CAD" w:rsidP="000E1D3F">
      <w:pPr>
        <w:pStyle w:val="p1"/>
        <w:tabs>
          <w:tab w:val="left" w:pos="1625"/>
        </w:tabs>
        <w:rPr>
          <w:rFonts w:ascii="Arial" w:hAnsi="Arial" w:cs="Arial"/>
          <w:color w:val="000000" w:themeColor="text1"/>
          <w:sz w:val="24"/>
          <w:szCs w:val="24"/>
        </w:rPr>
      </w:pPr>
    </w:p>
    <w:p w14:paraId="30442E7C" w14:textId="1B53CC65" w:rsidR="00B17095" w:rsidRPr="001B0583" w:rsidRDefault="00B17095" w:rsidP="00B17095">
      <w:pPr>
        <w:pStyle w:val="p1"/>
        <w:ind w:left="700"/>
        <w:jc w:val="both"/>
        <w:rPr>
          <w:rFonts w:ascii="Arial" w:hAnsi="Arial" w:cs="Arial"/>
          <w:color w:val="000000" w:themeColor="text1"/>
          <w:sz w:val="24"/>
          <w:szCs w:val="24"/>
        </w:rPr>
      </w:pPr>
      <w:r w:rsidRPr="001B0583">
        <w:rPr>
          <w:rFonts w:ascii="Arial" w:hAnsi="Arial" w:cs="Arial"/>
          <w:color w:val="000000" w:themeColor="text1"/>
          <w:sz w:val="24"/>
          <w:szCs w:val="24"/>
        </w:rPr>
        <w:t>“Artículo 3. Cobertura Geográfica. Se desarrollarán 16 PDET, en 170 municipios agrupados así:</w:t>
      </w:r>
    </w:p>
    <w:p w14:paraId="5CDE84A4" w14:textId="77777777" w:rsidR="00B17095" w:rsidRPr="001B0583" w:rsidRDefault="00B17095" w:rsidP="00B17095">
      <w:pPr>
        <w:pStyle w:val="p1"/>
        <w:ind w:left="700"/>
        <w:jc w:val="both"/>
        <w:rPr>
          <w:rFonts w:ascii="Arial" w:hAnsi="Arial" w:cs="Arial"/>
          <w:color w:val="000000" w:themeColor="text1"/>
          <w:sz w:val="24"/>
          <w:szCs w:val="24"/>
        </w:rPr>
      </w:pPr>
    </w:p>
    <w:p w14:paraId="36BC18A3" w14:textId="75DADA65" w:rsidR="00B17095" w:rsidRPr="001B0583" w:rsidRDefault="00B17095" w:rsidP="00B17095">
      <w:pPr>
        <w:pStyle w:val="p1"/>
        <w:ind w:left="700"/>
        <w:jc w:val="both"/>
        <w:rPr>
          <w:rFonts w:ascii="Arial" w:hAnsi="Arial" w:cs="Arial"/>
          <w:color w:val="000000" w:themeColor="text1"/>
          <w:sz w:val="24"/>
          <w:szCs w:val="24"/>
        </w:rPr>
      </w:pPr>
      <w:r w:rsidRPr="001B0583">
        <w:rPr>
          <w:rFonts w:ascii="Arial" w:hAnsi="Arial" w:cs="Arial"/>
          <w:color w:val="000000" w:themeColor="text1"/>
          <w:sz w:val="24"/>
          <w:szCs w:val="24"/>
        </w:rPr>
        <w:t>(…)</w:t>
      </w:r>
    </w:p>
    <w:p w14:paraId="6306E944" w14:textId="77777777" w:rsidR="00B17095" w:rsidRPr="001B0583" w:rsidRDefault="00B17095" w:rsidP="00B17095">
      <w:pPr>
        <w:pStyle w:val="p1"/>
        <w:ind w:left="700"/>
        <w:jc w:val="both"/>
        <w:rPr>
          <w:rFonts w:ascii="Arial" w:hAnsi="Arial" w:cs="Arial"/>
          <w:color w:val="000000" w:themeColor="text1"/>
          <w:sz w:val="24"/>
          <w:szCs w:val="24"/>
        </w:rPr>
      </w:pPr>
    </w:p>
    <w:tbl>
      <w:tblPr>
        <w:tblStyle w:val="Tablaconcuadrcula"/>
        <w:tblW w:w="0" w:type="auto"/>
        <w:tblInd w:w="700" w:type="dxa"/>
        <w:tblLook w:val="04A0" w:firstRow="1" w:lastRow="0" w:firstColumn="1" w:lastColumn="0" w:noHBand="0" w:noVBand="1"/>
      </w:tblPr>
      <w:tblGrid>
        <w:gridCol w:w="1705"/>
        <w:gridCol w:w="2268"/>
        <w:gridCol w:w="1843"/>
        <w:gridCol w:w="2312"/>
      </w:tblGrid>
      <w:tr w:rsidR="00C96AB3" w:rsidRPr="001B0583" w14:paraId="26AA1E4C" w14:textId="77777777" w:rsidTr="00C1075E">
        <w:tc>
          <w:tcPr>
            <w:tcW w:w="1705" w:type="dxa"/>
          </w:tcPr>
          <w:p w14:paraId="30D88B7C" w14:textId="261CB4C0" w:rsidR="00B17095" w:rsidRPr="001B0583" w:rsidRDefault="00B17095"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Subregión</w:t>
            </w:r>
          </w:p>
        </w:tc>
        <w:tc>
          <w:tcPr>
            <w:tcW w:w="2268" w:type="dxa"/>
          </w:tcPr>
          <w:p w14:paraId="7E563E56" w14:textId="77C94EBB" w:rsidR="00B17095" w:rsidRPr="001B0583" w:rsidRDefault="00B17095"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Departamento</w:t>
            </w:r>
          </w:p>
        </w:tc>
        <w:tc>
          <w:tcPr>
            <w:tcW w:w="1843" w:type="dxa"/>
          </w:tcPr>
          <w:p w14:paraId="7E6BF12E" w14:textId="364EF534" w:rsidR="00B17095" w:rsidRPr="001B0583" w:rsidRDefault="00B17095"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Código</w:t>
            </w:r>
          </w:p>
        </w:tc>
        <w:tc>
          <w:tcPr>
            <w:tcW w:w="2312" w:type="dxa"/>
          </w:tcPr>
          <w:p w14:paraId="0E106973" w14:textId="41938582" w:rsidR="00B17095" w:rsidRPr="001B0583" w:rsidRDefault="00B17095"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Municipio</w:t>
            </w:r>
          </w:p>
        </w:tc>
      </w:tr>
      <w:tr w:rsidR="00C96AB3" w:rsidRPr="001B0583" w14:paraId="6F43159C" w14:textId="77777777" w:rsidTr="00C1075E">
        <w:tc>
          <w:tcPr>
            <w:tcW w:w="1705" w:type="dxa"/>
            <w:vMerge w:val="restart"/>
          </w:tcPr>
          <w:p w14:paraId="332E537E" w14:textId="77777777" w:rsidR="00B73176" w:rsidRPr="001B0583" w:rsidRDefault="00B73176" w:rsidP="00B73176">
            <w:pPr>
              <w:pStyle w:val="p1"/>
              <w:jc w:val="center"/>
              <w:rPr>
                <w:rFonts w:ascii="Arial" w:hAnsi="Arial" w:cs="Arial"/>
                <w:b/>
                <w:bCs/>
                <w:color w:val="000000" w:themeColor="text1"/>
                <w:sz w:val="24"/>
                <w:szCs w:val="24"/>
                <w:u w:val="single"/>
              </w:rPr>
            </w:pPr>
          </w:p>
          <w:p w14:paraId="75FD8968" w14:textId="7D3EAC27" w:rsidR="00B73176" w:rsidRPr="001B0583" w:rsidRDefault="00B73176"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BOYACÁ</w:t>
            </w:r>
          </w:p>
        </w:tc>
        <w:tc>
          <w:tcPr>
            <w:tcW w:w="2268" w:type="dxa"/>
            <w:vMerge w:val="restart"/>
          </w:tcPr>
          <w:p w14:paraId="3C2B6D09" w14:textId="77777777" w:rsidR="00B73176" w:rsidRPr="001B0583" w:rsidRDefault="00B73176" w:rsidP="00B17095">
            <w:pPr>
              <w:pStyle w:val="p1"/>
              <w:jc w:val="both"/>
              <w:rPr>
                <w:rFonts w:ascii="Arial" w:hAnsi="Arial" w:cs="Arial"/>
                <w:b/>
                <w:bCs/>
                <w:color w:val="000000" w:themeColor="text1"/>
                <w:sz w:val="24"/>
                <w:szCs w:val="24"/>
                <w:u w:val="single"/>
              </w:rPr>
            </w:pPr>
          </w:p>
          <w:p w14:paraId="6A103375" w14:textId="6902CD75" w:rsidR="00B73176" w:rsidRPr="001B0583" w:rsidRDefault="00B73176" w:rsidP="00B73176">
            <w:pPr>
              <w:pStyle w:val="p1"/>
              <w:jc w:val="center"/>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BOYACÁ</w:t>
            </w:r>
          </w:p>
        </w:tc>
        <w:tc>
          <w:tcPr>
            <w:tcW w:w="1843" w:type="dxa"/>
          </w:tcPr>
          <w:p w14:paraId="6BFC9861"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15572</w:t>
            </w:r>
          </w:p>
          <w:p w14:paraId="1A8D4316" w14:textId="4DA2652C"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38535079" w14:textId="2C9C4C58"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Puerto Boyacá</w:t>
            </w:r>
          </w:p>
        </w:tc>
      </w:tr>
      <w:tr w:rsidR="00C96AB3" w:rsidRPr="001B0583" w14:paraId="75DCEEA9" w14:textId="77777777" w:rsidTr="00C1075E">
        <w:tc>
          <w:tcPr>
            <w:tcW w:w="1705" w:type="dxa"/>
            <w:vMerge/>
          </w:tcPr>
          <w:p w14:paraId="3BB91DF9"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47BFA283"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3BD26659"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15244</w:t>
            </w:r>
          </w:p>
          <w:p w14:paraId="1DCA5941"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6B109E51" w14:textId="77777777" w:rsidR="00B73176" w:rsidRPr="001B0583" w:rsidRDefault="00B73176" w:rsidP="002634BB">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El Cocuy</w:t>
            </w:r>
          </w:p>
          <w:p w14:paraId="76CEC809" w14:textId="08D5C111"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0851E4CA" w14:textId="77777777" w:rsidTr="00C1075E">
        <w:tc>
          <w:tcPr>
            <w:tcW w:w="1705" w:type="dxa"/>
            <w:vMerge/>
          </w:tcPr>
          <w:p w14:paraId="37BCD117"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61AE3765"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5F8038B8"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15223</w:t>
            </w:r>
            <w:r w:rsidRPr="001B0583">
              <w:rPr>
                <w:rStyle w:val="apple-converted-space"/>
                <w:rFonts w:ascii="Arial" w:eastAsiaTheme="majorEastAsia" w:hAnsi="Arial" w:cs="Arial"/>
                <w:b/>
                <w:bCs/>
                <w:color w:val="000000" w:themeColor="text1"/>
                <w:sz w:val="24"/>
                <w:szCs w:val="24"/>
                <w:u w:val="single"/>
              </w:rPr>
              <w:t> </w:t>
            </w:r>
          </w:p>
          <w:p w14:paraId="739007F0"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60A46234" w14:textId="77777777" w:rsidR="00B73176" w:rsidRPr="001B0583" w:rsidRDefault="00B73176" w:rsidP="002634BB">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Cubará</w:t>
            </w:r>
          </w:p>
          <w:p w14:paraId="778D71C1" w14:textId="270C3EE2"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53955BDE" w14:textId="77777777" w:rsidTr="00C1075E">
        <w:tc>
          <w:tcPr>
            <w:tcW w:w="1705" w:type="dxa"/>
            <w:vMerge/>
          </w:tcPr>
          <w:p w14:paraId="48C2CD9C"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7456A44C"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3E693AD2"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15183</w:t>
            </w:r>
          </w:p>
          <w:p w14:paraId="3AE9F484"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6261E471" w14:textId="77777777" w:rsidR="00B73176" w:rsidRPr="001B0583" w:rsidRDefault="00B73176" w:rsidP="002634BB">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Chita</w:t>
            </w:r>
          </w:p>
          <w:p w14:paraId="3C563E00" w14:textId="0502A504"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2EFDB902" w14:textId="77777777" w:rsidTr="00C1075E">
        <w:tc>
          <w:tcPr>
            <w:tcW w:w="1705" w:type="dxa"/>
            <w:vMerge/>
          </w:tcPr>
          <w:p w14:paraId="23F233A2"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1DB39B7B"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64B61A17"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15236</w:t>
            </w:r>
            <w:r w:rsidRPr="001B0583">
              <w:rPr>
                <w:rStyle w:val="apple-converted-space"/>
                <w:rFonts w:ascii="Arial" w:eastAsiaTheme="majorEastAsia" w:hAnsi="Arial" w:cs="Arial"/>
                <w:b/>
                <w:bCs/>
                <w:color w:val="000000" w:themeColor="text1"/>
                <w:sz w:val="24"/>
                <w:szCs w:val="24"/>
                <w:u w:val="single"/>
              </w:rPr>
              <w:t> </w:t>
            </w:r>
          </w:p>
          <w:p w14:paraId="0E60780E"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03CC06E1" w14:textId="77777777" w:rsidR="00B73176" w:rsidRPr="001B0583" w:rsidRDefault="00B73176" w:rsidP="002634BB">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Chivor</w:t>
            </w:r>
          </w:p>
          <w:p w14:paraId="25EA77AC" w14:textId="09620825"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69E741B1" w14:textId="77777777" w:rsidTr="00C1075E">
        <w:tc>
          <w:tcPr>
            <w:tcW w:w="1705" w:type="dxa"/>
            <w:vMerge/>
          </w:tcPr>
          <w:p w14:paraId="56AF4C0E"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1E05961F"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7B5ADCD2"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15377</w:t>
            </w:r>
          </w:p>
          <w:p w14:paraId="575CDF5A"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74C8E0C5" w14:textId="77777777" w:rsidR="00B73176" w:rsidRPr="001B0583" w:rsidRDefault="00B73176" w:rsidP="002634BB">
            <w:pPr>
              <w:pStyle w:val="p1"/>
              <w:jc w:val="both"/>
              <w:rPr>
                <w:rFonts w:ascii="Arial" w:hAnsi="Arial" w:cs="Arial"/>
                <w:b/>
                <w:bCs/>
                <w:color w:val="000000" w:themeColor="text1"/>
                <w:sz w:val="24"/>
                <w:szCs w:val="24"/>
                <w:u w:val="single"/>
              </w:rPr>
            </w:pPr>
            <w:proofErr w:type="spellStart"/>
            <w:r w:rsidRPr="001B0583">
              <w:rPr>
                <w:rFonts w:ascii="Arial" w:hAnsi="Arial" w:cs="Arial"/>
                <w:b/>
                <w:bCs/>
                <w:color w:val="000000" w:themeColor="text1"/>
                <w:sz w:val="24"/>
                <w:szCs w:val="24"/>
                <w:u w:val="single"/>
              </w:rPr>
              <w:t>Labrazangrande</w:t>
            </w:r>
            <w:proofErr w:type="spellEnd"/>
          </w:p>
          <w:p w14:paraId="20F17376" w14:textId="7D805314"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065CCC12" w14:textId="77777777" w:rsidTr="00C1075E">
        <w:tc>
          <w:tcPr>
            <w:tcW w:w="1705" w:type="dxa"/>
            <w:vMerge/>
          </w:tcPr>
          <w:p w14:paraId="67D01C9C"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268" w:type="dxa"/>
            <w:vMerge/>
          </w:tcPr>
          <w:p w14:paraId="35E6696F"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1843" w:type="dxa"/>
          </w:tcPr>
          <w:p w14:paraId="70EE4669"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15518</w:t>
            </w:r>
            <w:r w:rsidRPr="001B0583">
              <w:rPr>
                <w:rStyle w:val="apple-converted-space"/>
                <w:rFonts w:ascii="Arial" w:eastAsiaTheme="majorEastAsia" w:hAnsi="Arial" w:cs="Arial"/>
                <w:b/>
                <w:bCs/>
                <w:color w:val="000000" w:themeColor="text1"/>
                <w:sz w:val="24"/>
                <w:szCs w:val="24"/>
                <w:u w:val="single"/>
              </w:rPr>
              <w:t> </w:t>
            </w:r>
          </w:p>
          <w:p w14:paraId="63679C37" w14:textId="77777777" w:rsidR="00B73176" w:rsidRPr="001B0583" w:rsidRDefault="00B73176" w:rsidP="002634BB">
            <w:pPr>
              <w:pStyle w:val="p1"/>
              <w:jc w:val="both"/>
              <w:rPr>
                <w:rFonts w:ascii="Arial" w:hAnsi="Arial" w:cs="Arial"/>
                <w:b/>
                <w:bCs/>
                <w:color w:val="000000" w:themeColor="text1"/>
                <w:sz w:val="24"/>
                <w:szCs w:val="24"/>
                <w:u w:val="single"/>
              </w:rPr>
            </w:pPr>
          </w:p>
        </w:tc>
        <w:tc>
          <w:tcPr>
            <w:tcW w:w="2312" w:type="dxa"/>
          </w:tcPr>
          <w:p w14:paraId="671997D5" w14:textId="77777777" w:rsidR="00B73176" w:rsidRPr="001B0583" w:rsidRDefault="00B73176" w:rsidP="002634BB">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Pajarito</w:t>
            </w:r>
          </w:p>
          <w:p w14:paraId="18E0E278" w14:textId="424B0574" w:rsidR="00B73176" w:rsidRPr="001B0583" w:rsidRDefault="00B73176" w:rsidP="002634BB">
            <w:pPr>
              <w:pStyle w:val="p1"/>
              <w:jc w:val="both"/>
              <w:rPr>
                <w:rFonts w:ascii="Arial" w:hAnsi="Arial" w:cs="Arial"/>
                <w:b/>
                <w:bCs/>
                <w:color w:val="000000" w:themeColor="text1"/>
                <w:sz w:val="24"/>
                <w:szCs w:val="24"/>
                <w:u w:val="single"/>
              </w:rPr>
            </w:pPr>
          </w:p>
        </w:tc>
      </w:tr>
      <w:tr w:rsidR="00C96AB3" w:rsidRPr="001B0583" w14:paraId="37D1571F" w14:textId="77777777" w:rsidTr="00C1075E">
        <w:tc>
          <w:tcPr>
            <w:tcW w:w="1705" w:type="dxa"/>
            <w:vMerge/>
          </w:tcPr>
          <w:p w14:paraId="42A30B98"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04009B57"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7B938310"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15550</w:t>
            </w:r>
          </w:p>
          <w:p w14:paraId="26541945"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20827202"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Pisba</w:t>
            </w:r>
          </w:p>
          <w:p w14:paraId="035A3C8B" w14:textId="71BAF29A"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4171DFF4" w14:textId="77777777" w:rsidTr="00C1075E">
        <w:tc>
          <w:tcPr>
            <w:tcW w:w="1705" w:type="dxa"/>
            <w:vMerge/>
          </w:tcPr>
          <w:p w14:paraId="5A82EF86"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6C2BE0D6"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66BC8055"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15533</w:t>
            </w:r>
          </w:p>
          <w:p w14:paraId="6A5D66EE"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432BD2FB"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Paya</w:t>
            </w:r>
          </w:p>
          <w:p w14:paraId="1C429599" w14:textId="23BBB9C0"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4A5BAFB0" w14:textId="77777777" w:rsidTr="00C1075E">
        <w:tc>
          <w:tcPr>
            <w:tcW w:w="1705" w:type="dxa"/>
            <w:vMerge/>
          </w:tcPr>
          <w:p w14:paraId="0AC3E891"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18BDA957"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77E60D6F"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15332</w:t>
            </w:r>
            <w:r w:rsidRPr="001B0583">
              <w:rPr>
                <w:rStyle w:val="apple-converted-space"/>
                <w:rFonts w:ascii="Arial" w:eastAsiaTheme="majorEastAsia" w:hAnsi="Arial" w:cs="Arial"/>
                <w:b/>
                <w:bCs/>
                <w:color w:val="000000" w:themeColor="text1"/>
                <w:sz w:val="24"/>
                <w:szCs w:val="24"/>
                <w:u w:val="single"/>
              </w:rPr>
              <w:t> </w:t>
            </w:r>
          </w:p>
          <w:p w14:paraId="3F163DF4"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3E4582F3"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Güicán</w:t>
            </w:r>
          </w:p>
          <w:p w14:paraId="5353A131" w14:textId="521ECB5C"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62A5297C" w14:textId="77777777" w:rsidTr="00C1075E">
        <w:tc>
          <w:tcPr>
            <w:tcW w:w="1705" w:type="dxa"/>
            <w:vMerge/>
          </w:tcPr>
          <w:p w14:paraId="558CBB86"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1302D86D"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29EA64F2"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15522</w:t>
            </w:r>
            <w:r w:rsidRPr="001B0583">
              <w:rPr>
                <w:rStyle w:val="apple-converted-space"/>
                <w:rFonts w:ascii="Arial" w:eastAsiaTheme="majorEastAsia" w:hAnsi="Arial" w:cs="Arial"/>
                <w:b/>
                <w:bCs/>
                <w:color w:val="000000" w:themeColor="text1"/>
                <w:sz w:val="24"/>
                <w:szCs w:val="24"/>
                <w:u w:val="single"/>
              </w:rPr>
              <w:t> </w:t>
            </w:r>
          </w:p>
          <w:p w14:paraId="6F3591C8"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7DDEA19E" w14:textId="77777777" w:rsidR="00B73176" w:rsidRPr="001B0583" w:rsidRDefault="00B73176" w:rsidP="00B17095">
            <w:pPr>
              <w:pStyle w:val="p1"/>
              <w:jc w:val="both"/>
              <w:rPr>
                <w:rFonts w:ascii="Arial" w:hAnsi="Arial" w:cs="Arial"/>
                <w:b/>
                <w:bCs/>
                <w:color w:val="000000" w:themeColor="text1"/>
                <w:sz w:val="24"/>
                <w:szCs w:val="24"/>
                <w:u w:val="single"/>
              </w:rPr>
            </w:pPr>
            <w:proofErr w:type="spellStart"/>
            <w:r w:rsidRPr="001B0583">
              <w:rPr>
                <w:rFonts w:ascii="Arial" w:hAnsi="Arial" w:cs="Arial"/>
                <w:b/>
                <w:bCs/>
                <w:color w:val="000000" w:themeColor="text1"/>
                <w:sz w:val="24"/>
                <w:szCs w:val="24"/>
                <w:u w:val="single"/>
              </w:rPr>
              <w:t>Panqueba</w:t>
            </w:r>
            <w:proofErr w:type="spellEnd"/>
          </w:p>
          <w:p w14:paraId="75268ABB" w14:textId="2D9C7D9E"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28764C53" w14:textId="77777777" w:rsidTr="00C1075E">
        <w:tc>
          <w:tcPr>
            <w:tcW w:w="1705" w:type="dxa"/>
            <w:vMerge/>
          </w:tcPr>
          <w:p w14:paraId="42575D18"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2C9B296D"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526137E5"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15248</w:t>
            </w:r>
          </w:p>
          <w:p w14:paraId="57910DEB"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355E8F44"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El Espino</w:t>
            </w:r>
          </w:p>
          <w:p w14:paraId="72CFC99C" w14:textId="72DCDB42"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7D07C7CF" w14:textId="77777777" w:rsidTr="00C1075E">
        <w:tc>
          <w:tcPr>
            <w:tcW w:w="1705" w:type="dxa"/>
            <w:vMerge/>
          </w:tcPr>
          <w:p w14:paraId="0EE7224B"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541B501E"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356765CA"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15180</w:t>
            </w:r>
          </w:p>
          <w:p w14:paraId="36DD6391"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4609EC74"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Chiscas</w:t>
            </w:r>
          </w:p>
          <w:p w14:paraId="66419541" w14:textId="55772C41"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71179E11" w14:textId="77777777" w:rsidTr="00C1075E">
        <w:tc>
          <w:tcPr>
            <w:tcW w:w="1705" w:type="dxa"/>
            <w:vMerge/>
          </w:tcPr>
          <w:p w14:paraId="18FECC7F"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01F7E27B"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14C2915A"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15480</w:t>
            </w:r>
            <w:r w:rsidRPr="001B0583">
              <w:rPr>
                <w:rStyle w:val="apple-converted-space"/>
                <w:rFonts w:ascii="Arial" w:eastAsiaTheme="majorEastAsia" w:hAnsi="Arial" w:cs="Arial"/>
                <w:b/>
                <w:bCs/>
                <w:color w:val="000000" w:themeColor="text1"/>
                <w:sz w:val="24"/>
                <w:szCs w:val="24"/>
                <w:u w:val="single"/>
              </w:rPr>
              <w:t> </w:t>
            </w:r>
          </w:p>
          <w:p w14:paraId="1DB840F5"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556C5B92"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Muzo</w:t>
            </w:r>
          </w:p>
          <w:p w14:paraId="40A0BA4B" w14:textId="5DE4828B"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215C3775" w14:textId="77777777" w:rsidTr="00C1075E">
        <w:tc>
          <w:tcPr>
            <w:tcW w:w="1705" w:type="dxa"/>
            <w:vMerge/>
          </w:tcPr>
          <w:p w14:paraId="63F78B53"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2AA8EC0F"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7D61CDFD" w14:textId="77777777" w:rsidR="00B73176" w:rsidRPr="001B0583" w:rsidRDefault="00B73176" w:rsidP="00B73176">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15401</w:t>
            </w:r>
          </w:p>
          <w:p w14:paraId="2D74CD6C"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18B83FBA" w14:textId="77777777" w:rsidR="00B73176" w:rsidRPr="001B0583" w:rsidRDefault="00B73176" w:rsidP="00B17095">
            <w:pPr>
              <w:pStyle w:val="p1"/>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La Victoria</w:t>
            </w:r>
          </w:p>
          <w:p w14:paraId="74F97722" w14:textId="2850FBC5" w:rsidR="00B73176" w:rsidRPr="001B0583" w:rsidRDefault="00B73176" w:rsidP="00B17095">
            <w:pPr>
              <w:pStyle w:val="p1"/>
              <w:jc w:val="both"/>
              <w:rPr>
                <w:rFonts w:ascii="Arial" w:hAnsi="Arial" w:cs="Arial"/>
                <w:b/>
                <w:bCs/>
                <w:color w:val="000000" w:themeColor="text1"/>
                <w:sz w:val="24"/>
                <w:szCs w:val="24"/>
                <w:u w:val="single"/>
              </w:rPr>
            </w:pPr>
          </w:p>
        </w:tc>
      </w:tr>
      <w:tr w:rsidR="00C96AB3" w:rsidRPr="001B0583" w14:paraId="44B54E47" w14:textId="77777777" w:rsidTr="00C1075E">
        <w:tc>
          <w:tcPr>
            <w:tcW w:w="1705" w:type="dxa"/>
            <w:vMerge/>
          </w:tcPr>
          <w:p w14:paraId="169B0BEA"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5524CFC5"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479D160A" w14:textId="77777777" w:rsidR="00B73176" w:rsidRPr="001B0583" w:rsidRDefault="00B73176" w:rsidP="00CF04A3">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15114</w:t>
            </w:r>
            <w:r w:rsidRPr="001B0583">
              <w:rPr>
                <w:rStyle w:val="apple-converted-space"/>
                <w:rFonts w:ascii="Arial" w:eastAsiaTheme="majorEastAsia" w:hAnsi="Arial" w:cs="Arial"/>
                <w:b/>
                <w:bCs/>
                <w:color w:val="000000" w:themeColor="text1"/>
                <w:sz w:val="24"/>
                <w:szCs w:val="24"/>
                <w:u w:val="single"/>
              </w:rPr>
              <w:t> </w:t>
            </w:r>
          </w:p>
          <w:p w14:paraId="0043A883"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6FFE0E31" w14:textId="24C00848" w:rsidR="00B73176" w:rsidRPr="001B0583" w:rsidRDefault="00B73176" w:rsidP="00B17095">
            <w:pPr>
              <w:pStyle w:val="p1"/>
              <w:jc w:val="both"/>
              <w:rPr>
                <w:rFonts w:ascii="Arial" w:hAnsi="Arial" w:cs="Arial"/>
                <w:b/>
                <w:bCs/>
                <w:color w:val="000000" w:themeColor="text1"/>
                <w:sz w:val="24"/>
                <w:szCs w:val="24"/>
                <w:u w:val="single"/>
              </w:rPr>
            </w:pPr>
            <w:proofErr w:type="spellStart"/>
            <w:r w:rsidRPr="001B0583">
              <w:rPr>
                <w:rFonts w:ascii="Arial" w:hAnsi="Arial" w:cs="Arial"/>
                <w:b/>
                <w:bCs/>
                <w:color w:val="000000" w:themeColor="text1"/>
                <w:sz w:val="24"/>
                <w:szCs w:val="24"/>
                <w:u w:val="single"/>
              </w:rPr>
              <w:t>Busbanzá</w:t>
            </w:r>
            <w:proofErr w:type="spellEnd"/>
          </w:p>
          <w:p w14:paraId="3EA46B4D" w14:textId="578E68F9" w:rsidR="00B73176" w:rsidRPr="001B0583" w:rsidRDefault="00B73176" w:rsidP="00B17095">
            <w:pPr>
              <w:pStyle w:val="p1"/>
              <w:jc w:val="both"/>
              <w:rPr>
                <w:rFonts w:ascii="Arial" w:hAnsi="Arial" w:cs="Arial"/>
                <w:b/>
                <w:bCs/>
                <w:color w:val="000000" w:themeColor="text1"/>
                <w:sz w:val="24"/>
                <w:szCs w:val="24"/>
                <w:u w:val="single"/>
              </w:rPr>
            </w:pPr>
          </w:p>
        </w:tc>
      </w:tr>
      <w:tr w:rsidR="00B73176" w:rsidRPr="001B0583" w14:paraId="0C87D832" w14:textId="77777777" w:rsidTr="00C1075E">
        <w:tc>
          <w:tcPr>
            <w:tcW w:w="1705" w:type="dxa"/>
            <w:vMerge/>
          </w:tcPr>
          <w:p w14:paraId="65F795F2"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268" w:type="dxa"/>
            <w:vMerge/>
          </w:tcPr>
          <w:p w14:paraId="66405A66"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1843" w:type="dxa"/>
          </w:tcPr>
          <w:p w14:paraId="06890A93" w14:textId="77777777" w:rsidR="00B73176" w:rsidRPr="001B0583" w:rsidRDefault="00B73176" w:rsidP="00B73176">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15839</w:t>
            </w:r>
          </w:p>
          <w:p w14:paraId="4DD8F410" w14:textId="77777777" w:rsidR="00B73176" w:rsidRPr="001B0583" w:rsidRDefault="00B73176" w:rsidP="00B17095">
            <w:pPr>
              <w:pStyle w:val="p1"/>
              <w:jc w:val="both"/>
              <w:rPr>
                <w:rFonts w:ascii="Arial" w:hAnsi="Arial" w:cs="Arial"/>
                <w:b/>
                <w:bCs/>
                <w:color w:val="000000" w:themeColor="text1"/>
                <w:sz w:val="24"/>
                <w:szCs w:val="24"/>
                <w:u w:val="single"/>
              </w:rPr>
            </w:pPr>
          </w:p>
        </w:tc>
        <w:tc>
          <w:tcPr>
            <w:tcW w:w="2312" w:type="dxa"/>
          </w:tcPr>
          <w:p w14:paraId="646A4F79" w14:textId="77777777" w:rsidR="00B73176" w:rsidRPr="001B0583" w:rsidRDefault="00B73176" w:rsidP="00B17095">
            <w:pPr>
              <w:pStyle w:val="p1"/>
              <w:jc w:val="both"/>
              <w:rPr>
                <w:rFonts w:ascii="Arial" w:hAnsi="Arial" w:cs="Arial"/>
                <w:b/>
                <w:bCs/>
                <w:color w:val="000000" w:themeColor="text1"/>
                <w:sz w:val="24"/>
                <w:szCs w:val="24"/>
                <w:u w:val="single"/>
              </w:rPr>
            </w:pPr>
            <w:proofErr w:type="spellStart"/>
            <w:r w:rsidRPr="001B0583">
              <w:rPr>
                <w:rFonts w:ascii="Arial" w:hAnsi="Arial" w:cs="Arial"/>
                <w:b/>
                <w:bCs/>
                <w:color w:val="000000" w:themeColor="text1"/>
                <w:sz w:val="24"/>
                <w:szCs w:val="24"/>
                <w:u w:val="single"/>
              </w:rPr>
              <w:t>Tutazá</w:t>
            </w:r>
            <w:proofErr w:type="spellEnd"/>
          </w:p>
          <w:p w14:paraId="1717F111" w14:textId="527DA06C" w:rsidR="00B73176" w:rsidRPr="001B0583" w:rsidRDefault="00B73176" w:rsidP="00B17095">
            <w:pPr>
              <w:pStyle w:val="p1"/>
              <w:jc w:val="both"/>
              <w:rPr>
                <w:rFonts w:ascii="Arial" w:hAnsi="Arial" w:cs="Arial"/>
                <w:b/>
                <w:bCs/>
                <w:color w:val="000000" w:themeColor="text1"/>
                <w:sz w:val="24"/>
                <w:szCs w:val="24"/>
                <w:u w:val="single"/>
              </w:rPr>
            </w:pPr>
          </w:p>
        </w:tc>
      </w:tr>
    </w:tbl>
    <w:p w14:paraId="63EAD3D0" w14:textId="433223BE" w:rsidR="00344758" w:rsidRPr="001B0583" w:rsidRDefault="00344758" w:rsidP="004F726E">
      <w:pPr>
        <w:pStyle w:val="p1"/>
        <w:rPr>
          <w:rFonts w:ascii="Arial" w:hAnsi="Arial" w:cs="Arial"/>
          <w:b/>
          <w:bCs/>
          <w:color w:val="000000" w:themeColor="text1"/>
          <w:sz w:val="24"/>
          <w:szCs w:val="24"/>
          <w:u w:val="single"/>
        </w:rPr>
      </w:pPr>
    </w:p>
    <w:p w14:paraId="7E2F795A" w14:textId="77777777" w:rsidR="00344758" w:rsidRPr="001B0583" w:rsidRDefault="00C1075E" w:rsidP="007B13D5">
      <w:pPr>
        <w:pStyle w:val="p1"/>
        <w:ind w:firstLine="708"/>
        <w:rPr>
          <w:rFonts w:ascii="Arial" w:hAnsi="Arial" w:cs="Arial"/>
          <w:color w:val="000000" w:themeColor="text1"/>
          <w:sz w:val="24"/>
          <w:szCs w:val="24"/>
        </w:rPr>
      </w:pPr>
      <w:r w:rsidRPr="001B0583">
        <w:rPr>
          <w:rFonts w:ascii="Arial" w:hAnsi="Arial" w:cs="Arial"/>
          <w:color w:val="000000" w:themeColor="text1"/>
          <w:sz w:val="24"/>
          <w:szCs w:val="24"/>
        </w:rPr>
        <w:t>(…)</w:t>
      </w:r>
    </w:p>
    <w:p w14:paraId="46C06E19" w14:textId="77777777" w:rsidR="00344758" w:rsidRPr="001B0583" w:rsidRDefault="00344758" w:rsidP="004F726E">
      <w:pPr>
        <w:pStyle w:val="p1"/>
        <w:rPr>
          <w:rFonts w:ascii="Arial" w:hAnsi="Arial" w:cs="Arial"/>
          <w:color w:val="000000" w:themeColor="text1"/>
          <w:sz w:val="24"/>
          <w:szCs w:val="24"/>
        </w:rPr>
      </w:pPr>
    </w:p>
    <w:p w14:paraId="167A721A" w14:textId="2E469C46" w:rsidR="00C1075E" w:rsidRPr="001B0583" w:rsidRDefault="00344758" w:rsidP="00E25A9F">
      <w:pPr>
        <w:pStyle w:val="p1"/>
        <w:ind w:left="708"/>
        <w:jc w:val="both"/>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Parágrafo</w:t>
      </w:r>
      <w:r w:rsidR="00E25A9F" w:rsidRPr="001B0583">
        <w:rPr>
          <w:rFonts w:ascii="Arial" w:hAnsi="Arial" w:cs="Arial"/>
          <w:b/>
          <w:bCs/>
          <w:color w:val="000000" w:themeColor="text1"/>
          <w:sz w:val="24"/>
          <w:szCs w:val="24"/>
          <w:u w:val="single"/>
        </w:rPr>
        <w:t xml:space="preserve"> 3</w:t>
      </w:r>
      <w:r w:rsidRPr="001B0583">
        <w:rPr>
          <w:rFonts w:ascii="Arial" w:hAnsi="Arial" w:cs="Arial"/>
          <w:b/>
          <w:bCs/>
          <w:color w:val="000000" w:themeColor="text1"/>
          <w:sz w:val="24"/>
          <w:szCs w:val="24"/>
          <w:u w:val="single"/>
        </w:rPr>
        <w:t>. El Gobierno Nacional, tendrá la responsabilidad de adelantar todas las acciones necesarias para desarrollar los Planes de Desarrollo con Enfoque Territorial para los nuevos municipios PDET</w:t>
      </w:r>
      <w:r w:rsidR="007F5E30" w:rsidRPr="001B0583">
        <w:rPr>
          <w:rFonts w:ascii="Arial" w:hAnsi="Arial" w:cs="Arial"/>
          <w:b/>
          <w:bCs/>
          <w:color w:val="000000" w:themeColor="text1"/>
          <w:sz w:val="24"/>
          <w:szCs w:val="24"/>
          <w:u w:val="single"/>
        </w:rPr>
        <w:t>, incluidos los Planes de Acción para la Trasformación Regional para cada uno</w:t>
      </w:r>
      <w:r w:rsidRPr="001B0583">
        <w:rPr>
          <w:rFonts w:ascii="Arial" w:hAnsi="Arial" w:cs="Arial"/>
          <w:b/>
          <w:bCs/>
          <w:color w:val="000000" w:themeColor="text1"/>
          <w:sz w:val="24"/>
          <w:szCs w:val="24"/>
          <w:u w:val="single"/>
        </w:rPr>
        <w:t xml:space="preserve">. </w:t>
      </w:r>
    </w:p>
    <w:p w14:paraId="5315754C" w14:textId="77777777" w:rsidR="00EA4CAD" w:rsidRPr="001B0583" w:rsidRDefault="00EA4CAD" w:rsidP="004F726E">
      <w:pPr>
        <w:pStyle w:val="p1"/>
        <w:rPr>
          <w:rFonts w:ascii="Arial" w:hAnsi="Arial" w:cs="Arial"/>
          <w:color w:val="000000" w:themeColor="text1"/>
          <w:sz w:val="24"/>
          <w:szCs w:val="24"/>
        </w:rPr>
      </w:pPr>
    </w:p>
    <w:p w14:paraId="6BE61FEB" w14:textId="77777777" w:rsidR="00EA4CAD" w:rsidRPr="001B0583" w:rsidRDefault="00EA4CAD" w:rsidP="004F726E">
      <w:pPr>
        <w:pStyle w:val="p1"/>
        <w:rPr>
          <w:rFonts w:ascii="Arial" w:hAnsi="Arial" w:cs="Arial"/>
          <w:color w:val="000000" w:themeColor="text1"/>
          <w:sz w:val="24"/>
          <w:szCs w:val="24"/>
        </w:rPr>
      </w:pPr>
    </w:p>
    <w:p w14:paraId="1FE0EDE6" w14:textId="6E3BF751" w:rsidR="00D63305" w:rsidRPr="001B0583" w:rsidRDefault="000C1AF4" w:rsidP="00D63305">
      <w:pPr>
        <w:jc w:val="both"/>
        <w:rPr>
          <w:rFonts w:ascii="Arial" w:eastAsia="Century Gothic" w:hAnsi="Arial" w:cs="Arial"/>
          <w:color w:val="000000" w:themeColor="text1"/>
          <w:lang w:val="es-CO"/>
        </w:rPr>
      </w:pPr>
      <w:r w:rsidRPr="001B0583">
        <w:rPr>
          <w:rFonts w:ascii="Arial" w:hAnsi="Arial" w:cs="Arial"/>
          <w:b/>
          <w:bCs/>
          <w:color w:val="000000" w:themeColor="text1"/>
        </w:rPr>
        <w:t>Artículo 5.</w:t>
      </w:r>
      <w:r w:rsidRPr="001B0583">
        <w:rPr>
          <w:rFonts w:ascii="Arial" w:hAnsi="Arial" w:cs="Arial"/>
          <w:color w:val="000000" w:themeColor="text1"/>
        </w:rPr>
        <w:t xml:space="preserve"> </w:t>
      </w:r>
      <w:r w:rsidRPr="001B0583">
        <w:rPr>
          <w:rFonts w:ascii="Arial" w:hAnsi="Arial" w:cs="Arial"/>
          <w:b/>
          <w:bCs/>
          <w:color w:val="000000" w:themeColor="text1"/>
        </w:rPr>
        <w:t xml:space="preserve">Temporalidad </w:t>
      </w:r>
      <w:r w:rsidRPr="001B0583">
        <w:rPr>
          <w:rFonts w:ascii="Arial" w:eastAsia="Times New Roman" w:hAnsi="Arial" w:cs="Arial"/>
          <w:b/>
          <w:bCs/>
          <w:color w:val="000000" w:themeColor="text1"/>
          <w:kern w:val="0"/>
          <w:lang w:val="es-CO" w:eastAsia="es-ES_tradnl"/>
          <w14:ligatures w14:val="none"/>
        </w:rPr>
        <w:t>Zonas Más Afectadas por el Conflicto Armado (</w:t>
      </w:r>
      <w:r w:rsidRPr="001B0583">
        <w:rPr>
          <w:rFonts w:ascii="Arial" w:hAnsi="Arial" w:cs="Arial"/>
          <w:b/>
          <w:bCs/>
          <w:color w:val="000000" w:themeColor="text1"/>
        </w:rPr>
        <w:t>ZOMAC).</w:t>
      </w:r>
      <w:r w:rsidRPr="001B0583">
        <w:rPr>
          <w:rFonts w:ascii="Arial" w:hAnsi="Arial" w:cs="Arial"/>
          <w:color w:val="000000" w:themeColor="text1"/>
        </w:rPr>
        <w:t xml:space="preserve"> </w:t>
      </w:r>
      <w:r w:rsidR="00D63305" w:rsidRPr="001B0583">
        <w:rPr>
          <w:rFonts w:ascii="Arial" w:eastAsia="Times New Roman" w:hAnsi="Arial" w:cs="Arial"/>
          <w:color w:val="000000" w:themeColor="text1"/>
          <w:kern w:val="0"/>
          <w:lang w:val="es-CO" w:eastAsia="es-ES_tradnl"/>
          <w14:ligatures w14:val="none"/>
        </w:rPr>
        <w:t xml:space="preserve">Para todos los efectos, a los municipios contemplados en el parágrafo  del Artículo </w:t>
      </w:r>
      <w:r w:rsidR="00D63305" w:rsidRPr="001B0583">
        <w:rPr>
          <w:rFonts w:ascii="Arial" w:eastAsia="Times New Roman" w:hAnsi="Arial" w:cs="Arial"/>
          <w:color w:val="000000" w:themeColor="text1"/>
        </w:rPr>
        <w:t>1.1.4</w:t>
      </w:r>
      <w:r w:rsidR="00D63305" w:rsidRPr="001B0583">
        <w:rPr>
          <w:rFonts w:ascii="Arial" w:hAnsi="Arial" w:cs="Arial"/>
          <w:color w:val="000000" w:themeColor="text1"/>
        </w:rPr>
        <w:t xml:space="preserve"> del Decreto 1650 de 2017</w:t>
      </w:r>
      <w:r w:rsidR="00D63305" w:rsidRPr="001B0583">
        <w:rPr>
          <w:rFonts w:ascii="Arial" w:eastAsia="Times New Roman" w:hAnsi="Arial" w:cs="Arial"/>
          <w:color w:val="000000" w:themeColor="text1"/>
          <w:kern w:val="0"/>
          <w:lang w:val="es-CO" w:eastAsia="es-ES_tradnl"/>
          <w14:ligatures w14:val="none"/>
        </w:rPr>
        <w:t>,  se les aplicarán las medidas tributarias previstas en los artículos 235 a 238 de la Ley 1819  de 2016 y las dispuestas en el Decreto 1650 de 2017 por un plazo de 5 años a partir de la entrada en vigencia de la presente ley.</w:t>
      </w:r>
    </w:p>
    <w:p w14:paraId="600EFA68" w14:textId="65909131" w:rsidR="00EA4CAD" w:rsidRPr="001B0583" w:rsidRDefault="00EA4CAD" w:rsidP="004F726E">
      <w:pPr>
        <w:pStyle w:val="p1"/>
        <w:rPr>
          <w:rFonts w:ascii="Arial" w:hAnsi="Arial" w:cs="Arial"/>
          <w:color w:val="000000" w:themeColor="text1"/>
          <w:sz w:val="24"/>
          <w:szCs w:val="24"/>
        </w:rPr>
      </w:pPr>
    </w:p>
    <w:p w14:paraId="178A9E34" w14:textId="77777777" w:rsidR="00D63305" w:rsidRPr="001B0583" w:rsidRDefault="00D63305" w:rsidP="00D63305">
      <w:pPr>
        <w:jc w:val="both"/>
        <w:rPr>
          <w:rFonts w:ascii="Arial" w:eastAsia="Arial" w:hAnsi="Arial" w:cs="Arial"/>
          <w:color w:val="000000" w:themeColor="text1"/>
        </w:rPr>
      </w:pPr>
      <w:r w:rsidRPr="001B0583">
        <w:rPr>
          <w:rFonts w:ascii="Arial" w:hAnsi="Arial" w:cs="Arial"/>
          <w:b/>
          <w:bCs/>
          <w:color w:val="000000" w:themeColor="text1"/>
        </w:rPr>
        <w:t xml:space="preserve">Artículo 6. Vigencia. </w:t>
      </w:r>
      <w:r w:rsidRPr="001B0583">
        <w:rPr>
          <w:rFonts w:ascii="Arial" w:eastAsia="Arial" w:hAnsi="Arial" w:cs="Arial"/>
          <w:color w:val="000000" w:themeColor="text1"/>
        </w:rPr>
        <w:t xml:space="preserve">La presente ley rige a partir de su publicación, y deroga todas aquellas que le sean contrarias. </w:t>
      </w:r>
    </w:p>
    <w:p w14:paraId="3226CA4F" w14:textId="3BE3EE69" w:rsidR="00EA4CAD" w:rsidRPr="001B0583" w:rsidRDefault="00EA4CAD" w:rsidP="004F726E">
      <w:pPr>
        <w:pStyle w:val="p1"/>
        <w:rPr>
          <w:rFonts w:ascii="Arial" w:hAnsi="Arial" w:cs="Arial"/>
          <w:color w:val="000000" w:themeColor="text1"/>
          <w:sz w:val="24"/>
          <w:szCs w:val="24"/>
          <w:lang w:val="es-ES"/>
        </w:rPr>
      </w:pPr>
    </w:p>
    <w:p w14:paraId="532CB3B5" w14:textId="77777777" w:rsidR="00EA4CAD" w:rsidRPr="001B0583" w:rsidRDefault="00EA4CAD" w:rsidP="004F726E">
      <w:pPr>
        <w:pStyle w:val="p1"/>
        <w:rPr>
          <w:rFonts w:ascii="Arial" w:hAnsi="Arial" w:cs="Arial"/>
          <w:color w:val="000000" w:themeColor="text1"/>
          <w:sz w:val="24"/>
          <w:szCs w:val="24"/>
        </w:rPr>
      </w:pPr>
    </w:p>
    <w:p w14:paraId="41ADE699" w14:textId="77777777" w:rsidR="00EA4CAD" w:rsidRPr="001B0583" w:rsidRDefault="00EA4CAD" w:rsidP="004F726E">
      <w:pPr>
        <w:pStyle w:val="p1"/>
        <w:rPr>
          <w:rFonts w:ascii="Arial" w:hAnsi="Arial" w:cs="Arial"/>
          <w:color w:val="000000" w:themeColor="text1"/>
          <w:sz w:val="24"/>
          <w:szCs w:val="24"/>
        </w:rPr>
      </w:pPr>
    </w:p>
    <w:p w14:paraId="5725C913" w14:textId="77777777" w:rsidR="00EA4CAD" w:rsidRPr="001B0583" w:rsidRDefault="00EA4CAD" w:rsidP="004F726E">
      <w:pPr>
        <w:pStyle w:val="p1"/>
        <w:rPr>
          <w:rFonts w:ascii="Arial" w:hAnsi="Arial" w:cs="Arial"/>
          <w:color w:val="000000" w:themeColor="text1"/>
          <w:sz w:val="24"/>
          <w:szCs w:val="24"/>
        </w:rPr>
      </w:pPr>
    </w:p>
    <w:p w14:paraId="2858DD1D" w14:textId="77777777" w:rsidR="00D63305" w:rsidRPr="001B0583" w:rsidRDefault="00D63305" w:rsidP="00D63305">
      <w:pPr>
        <w:tabs>
          <w:tab w:val="left" w:pos="3915"/>
        </w:tabs>
        <w:jc w:val="both"/>
        <w:rPr>
          <w:rFonts w:ascii="Arial" w:eastAsia="Arial" w:hAnsi="Arial" w:cs="Arial"/>
          <w:b/>
          <w:color w:val="000000" w:themeColor="text1"/>
        </w:rPr>
      </w:pPr>
      <w:r w:rsidRPr="001B0583">
        <w:rPr>
          <w:rFonts w:ascii="Arial" w:eastAsia="Arial" w:hAnsi="Arial" w:cs="Arial"/>
          <w:b/>
          <w:color w:val="000000" w:themeColor="text1"/>
        </w:rPr>
        <w:t xml:space="preserve">HÉCTOR DAVID CHAPARRO </w:t>
      </w:r>
    </w:p>
    <w:p w14:paraId="742757C8" w14:textId="77777777" w:rsidR="00D63305" w:rsidRPr="001B0583" w:rsidRDefault="00D63305" w:rsidP="00D63305">
      <w:pPr>
        <w:jc w:val="both"/>
        <w:rPr>
          <w:rFonts w:ascii="Arial" w:eastAsia="Arial" w:hAnsi="Arial" w:cs="Arial"/>
          <w:color w:val="000000" w:themeColor="text1"/>
        </w:rPr>
      </w:pPr>
      <w:r w:rsidRPr="001B0583">
        <w:rPr>
          <w:rFonts w:ascii="Arial" w:eastAsia="Arial" w:hAnsi="Arial" w:cs="Arial"/>
          <w:color w:val="000000" w:themeColor="text1"/>
        </w:rPr>
        <w:t>Representante a la Cámara</w:t>
      </w:r>
      <w:r w:rsidRPr="001B0583">
        <w:rPr>
          <w:rFonts w:ascii="Arial" w:eastAsia="Arial" w:hAnsi="Arial" w:cs="Arial"/>
          <w:color w:val="000000" w:themeColor="text1"/>
        </w:rPr>
        <w:tab/>
      </w:r>
    </w:p>
    <w:p w14:paraId="0F6F6DA5" w14:textId="245F80FB" w:rsidR="00EA4CAD" w:rsidRPr="001B0583" w:rsidRDefault="00D63305" w:rsidP="00D63305">
      <w:pPr>
        <w:pStyle w:val="p1"/>
        <w:rPr>
          <w:rFonts w:ascii="Arial" w:eastAsia="Arial" w:hAnsi="Arial" w:cs="Arial"/>
          <w:color w:val="000000" w:themeColor="text1"/>
          <w:kern w:val="2"/>
          <w:sz w:val="24"/>
          <w:szCs w:val="24"/>
          <w:lang w:val="es-ES" w:eastAsia="en-US"/>
          <w14:ligatures w14:val="standardContextual"/>
        </w:rPr>
      </w:pPr>
      <w:r w:rsidRPr="001B0583">
        <w:rPr>
          <w:rFonts w:ascii="Arial" w:eastAsia="Arial" w:hAnsi="Arial" w:cs="Arial"/>
          <w:color w:val="000000" w:themeColor="text1"/>
          <w:kern w:val="2"/>
          <w:sz w:val="24"/>
          <w:szCs w:val="24"/>
          <w:lang w:val="es-ES" w:eastAsia="en-US"/>
          <w14:ligatures w14:val="standardContextual"/>
        </w:rPr>
        <w:t>Partido Liberal</w:t>
      </w:r>
    </w:p>
    <w:p w14:paraId="502247FF" w14:textId="77777777" w:rsidR="005C1E00" w:rsidRPr="001B0583" w:rsidRDefault="005C1E00" w:rsidP="00D63305">
      <w:pPr>
        <w:pStyle w:val="p1"/>
        <w:rPr>
          <w:rFonts w:ascii="Arial" w:eastAsia="Arial" w:hAnsi="Arial" w:cs="Arial"/>
          <w:color w:val="000000" w:themeColor="text1"/>
          <w:sz w:val="24"/>
          <w:szCs w:val="24"/>
        </w:rPr>
      </w:pPr>
    </w:p>
    <w:p w14:paraId="423B762F" w14:textId="77777777" w:rsidR="005C1E00" w:rsidRPr="001B0583" w:rsidRDefault="005C1E00" w:rsidP="00D63305">
      <w:pPr>
        <w:pStyle w:val="p1"/>
        <w:rPr>
          <w:rFonts w:ascii="Arial" w:eastAsia="Arial" w:hAnsi="Arial" w:cs="Arial"/>
          <w:color w:val="000000" w:themeColor="text1"/>
          <w:sz w:val="24"/>
          <w:szCs w:val="24"/>
        </w:rPr>
      </w:pPr>
    </w:p>
    <w:p w14:paraId="55BEE04D" w14:textId="77777777" w:rsidR="005C1E00" w:rsidRPr="001B0583" w:rsidRDefault="005C1E00" w:rsidP="00D63305">
      <w:pPr>
        <w:pStyle w:val="p1"/>
        <w:rPr>
          <w:rFonts w:ascii="Arial" w:eastAsia="Arial" w:hAnsi="Arial" w:cs="Arial"/>
          <w:color w:val="000000" w:themeColor="text1"/>
          <w:sz w:val="24"/>
          <w:szCs w:val="24"/>
        </w:rPr>
      </w:pPr>
    </w:p>
    <w:p w14:paraId="6FF2147E" w14:textId="77777777" w:rsidR="005C1E00" w:rsidRPr="001B0583" w:rsidRDefault="005C1E00" w:rsidP="00D63305">
      <w:pPr>
        <w:pStyle w:val="p1"/>
        <w:rPr>
          <w:rFonts w:ascii="Arial" w:eastAsia="Arial" w:hAnsi="Arial" w:cs="Arial"/>
          <w:color w:val="000000" w:themeColor="text1"/>
          <w:sz w:val="24"/>
          <w:szCs w:val="24"/>
        </w:rPr>
      </w:pPr>
    </w:p>
    <w:p w14:paraId="366DEE55" w14:textId="77777777" w:rsidR="005C1E00" w:rsidRPr="001B0583" w:rsidRDefault="005C1E00" w:rsidP="00D63305">
      <w:pPr>
        <w:pStyle w:val="p1"/>
        <w:rPr>
          <w:rFonts w:ascii="Arial" w:hAnsi="Arial" w:cs="Arial"/>
          <w:color w:val="000000" w:themeColor="text1"/>
          <w:sz w:val="24"/>
          <w:szCs w:val="24"/>
        </w:rPr>
      </w:pPr>
    </w:p>
    <w:p w14:paraId="3AE48807" w14:textId="77777777" w:rsidR="00EA4CAD" w:rsidRPr="001B0583" w:rsidRDefault="00EA4CAD" w:rsidP="004F726E">
      <w:pPr>
        <w:pStyle w:val="p1"/>
        <w:rPr>
          <w:rFonts w:ascii="Arial" w:hAnsi="Arial" w:cs="Arial"/>
          <w:color w:val="000000" w:themeColor="text1"/>
          <w:sz w:val="24"/>
          <w:szCs w:val="24"/>
        </w:rPr>
      </w:pPr>
    </w:p>
    <w:p w14:paraId="79A091BD" w14:textId="52C9867C" w:rsidR="005C1E00" w:rsidRPr="001B0583" w:rsidRDefault="005C1E00" w:rsidP="004F726E">
      <w:pPr>
        <w:pStyle w:val="p1"/>
        <w:rPr>
          <w:rFonts w:ascii="Arial" w:hAnsi="Arial" w:cs="Arial"/>
          <w:color w:val="000000" w:themeColor="text1"/>
          <w:sz w:val="24"/>
          <w:szCs w:val="24"/>
        </w:rPr>
      </w:pPr>
    </w:p>
    <w:p w14:paraId="6349944C" w14:textId="77777777" w:rsidR="005C1E00" w:rsidRPr="001B0583" w:rsidRDefault="005C1E00" w:rsidP="004F726E">
      <w:pPr>
        <w:pStyle w:val="p1"/>
        <w:rPr>
          <w:rFonts w:ascii="Arial" w:hAnsi="Arial" w:cs="Arial"/>
          <w:color w:val="000000" w:themeColor="text1"/>
          <w:sz w:val="24"/>
          <w:szCs w:val="24"/>
        </w:rPr>
      </w:pPr>
    </w:p>
    <w:p w14:paraId="41DAA9BB" w14:textId="77777777" w:rsidR="005C1E00" w:rsidRPr="001B0583" w:rsidRDefault="005C1E00" w:rsidP="004F726E">
      <w:pPr>
        <w:pStyle w:val="p1"/>
        <w:rPr>
          <w:rFonts w:ascii="Arial" w:hAnsi="Arial" w:cs="Arial"/>
          <w:color w:val="000000" w:themeColor="text1"/>
          <w:sz w:val="24"/>
          <w:szCs w:val="24"/>
        </w:rPr>
      </w:pPr>
    </w:p>
    <w:p w14:paraId="437A5E25" w14:textId="77777777" w:rsidR="005C1E00" w:rsidRPr="001B0583" w:rsidRDefault="005C1E00" w:rsidP="004F726E">
      <w:pPr>
        <w:pStyle w:val="p1"/>
        <w:rPr>
          <w:rFonts w:ascii="Arial" w:hAnsi="Arial" w:cs="Arial"/>
          <w:color w:val="000000" w:themeColor="text1"/>
          <w:sz w:val="24"/>
          <w:szCs w:val="24"/>
        </w:rPr>
      </w:pPr>
    </w:p>
    <w:p w14:paraId="2299BFAC" w14:textId="77777777" w:rsidR="005C1E00" w:rsidRPr="001B0583" w:rsidRDefault="005C1E00" w:rsidP="004F726E">
      <w:pPr>
        <w:pStyle w:val="p1"/>
        <w:rPr>
          <w:rFonts w:ascii="Arial" w:hAnsi="Arial" w:cs="Arial"/>
          <w:color w:val="000000" w:themeColor="text1"/>
          <w:sz w:val="24"/>
          <w:szCs w:val="24"/>
        </w:rPr>
      </w:pPr>
    </w:p>
    <w:p w14:paraId="5BD4AC2A" w14:textId="77777777" w:rsidR="005C1E00" w:rsidRPr="001B0583" w:rsidRDefault="005C1E00" w:rsidP="004F726E">
      <w:pPr>
        <w:pStyle w:val="p1"/>
        <w:rPr>
          <w:rFonts w:ascii="Arial" w:hAnsi="Arial" w:cs="Arial"/>
          <w:color w:val="000000" w:themeColor="text1"/>
          <w:sz w:val="24"/>
          <w:szCs w:val="24"/>
        </w:rPr>
      </w:pPr>
    </w:p>
    <w:p w14:paraId="390CD2AB" w14:textId="77777777" w:rsidR="005C1E00" w:rsidRPr="001B0583" w:rsidRDefault="005C1E00" w:rsidP="004F726E">
      <w:pPr>
        <w:pStyle w:val="p1"/>
        <w:rPr>
          <w:rFonts w:ascii="Arial" w:hAnsi="Arial" w:cs="Arial"/>
          <w:color w:val="000000" w:themeColor="text1"/>
          <w:sz w:val="24"/>
          <w:szCs w:val="24"/>
        </w:rPr>
      </w:pPr>
    </w:p>
    <w:p w14:paraId="25C03914" w14:textId="0D0E0DFC" w:rsidR="005C1E00" w:rsidRPr="001B0583" w:rsidRDefault="005C1E00" w:rsidP="005C1E00">
      <w:pPr>
        <w:pStyle w:val="p1"/>
        <w:jc w:val="center"/>
        <w:rPr>
          <w:rFonts w:ascii="Arial" w:hAnsi="Arial" w:cs="Arial"/>
          <w:b/>
          <w:bCs/>
          <w:color w:val="000000" w:themeColor="text1"/>
          <w:sz w:val="24"/>
          <w:szCs w:val="24"/>
        </w:rPr>
      </w:pPr>
      <w:r w:rsidRPr="001B0583">
        <w:rPr>
          <w:rFonts w:ascii="Arial" w:hAnsi="Arial" w:cs="Arial"/>
          <w:b/>
          <w:bCs/>
          <w:color w:val="000000" w:themeColor="text1"/>
          <w:sz w:val="24"/>
          <w:szCs w:val="24"/>
        </w:rPr>
        <w:t>EXPOSICIÓN DE MOTIVOS</w:t>
      </w:r>
    </w:p>
    <w:p w14:paraId="522185B0" w14:textId="77777777" w:rsidR="00EA4CAD" w:rsidRPr="001B0583" w:rsidRDefault="00EA4CAD" w:rsidP="004F726E">
      <w:pPr>
        <w:pStyle w:val="p1"/>
        <w:rPr>
          <w:rFonts w:ascii="Arial" w:hAnsi="Arial" w:cs="Arial"/>
          <w:color w:val="000000" w:themeColor="text1"/>
          <w:sz w:val="24"/>
          <w:szCs w:val="24"/>
        </w:rPr>
      </w:pPr>
    </w:p>
    <w:p w14:paraId="32DE3774" w14:textId="277E85E8" w:rsidR="00503F92" w:rsidRPr="001B0583" w:rsidRDefault="005C1E00" w:rsidP="00503F92">
      <w:pPr>
        <w:numPr>
          <w:ilvl w:val="0"/>
          <w:numId w:val="6"/>
        </w:numPr>
        <w:pBdr>
          <w:top w:val="nil"/>
          <w:left w:val="nil"/>
          <w:bottom w:val="nil"/>
          <w:right w:val="nil"/>
          <w:between w:val="nil"/>
        </w:pBdr>
        <w:jc w:val="both"/>
        <w:rPr>
          <w:rFonts w:ascii="Arial" w:eastAsia="Arial" w:hAnsi="Arial" w:cs="Arial"/>
          <w:b/>
          <w:color w:val="000000" w:themeColor="text1"/>
        </w:rPr>
      </w:pPr>
      <w:r w:rsidRPr="001B0583">
        <w:rPr>
          <w:rFonts w:ascii="Arial" w:eastAsia="Arial" w:hAnsi="Arial" w:cs="Arial"/>
          <w:b/>
          <w:color w:val="000000" w:themeColor="text1"/>
        </w:rPr>
        <w:t>Objeto del proyecto de ley.</w:t>
      </w:r>
    </w:p>
    <w:p w14:paraId="16B5E867" w14:textId="77777777" w:rsidR="00503F92" w:rsidRPr="001B0583" w:rsidRDefault="00503F92" w:rsidP="00503F92">
      <w:pPr>
        <w:pStyle w:val="p1"/>
        <w:jc w:val="both"/>
        <w:rPr>
          <w:rFonts w:ascii="Arial" w:hAnsi="Arial" w:cs="Arial"/>
          <w:color w:val="000000" w:themeColor="text1"/>
          <w:sz w:val="24"/>
          <w:szCs w:val="24"/>
          <w:lang w:eastAsia="es-CO"/>
        </w:rPr>
      </w:pPr>
    </w:p>
    <w:p w14:paraId="63788EE4" w14:textId="2216D879" w:rsidR="00211EF0" w:rsidRPr="001B0583" w:rsidRDefault="00503F92" w:rsidP="00211EF0">
      <w:pPr>
        <w:pStyle w:val="p1"/>
        <w:jc w:val="both"/>
        <w:rPr>
          <w:rFonts w:ascii="Arial" w:hAnsi="Arial" w:cs="Arial"/>
          <w:color w:val="000000" w:themeColor="text1"/>
          <w:sz w:val="24"/>
          <w:szCs w:val="24"/>
        </w:rPr>
      </w:pPr>
      <w:r w:rsidRPr="001B0583">
        <w:rPr>
          <w:rFonts w:ascii="Arial" w:hAnsi="Arial" w:cs="Arial"/>
          <w:color w:val="000000" w:themeColor="text1"/>
          <w:sz w:val="24"/>
          <w:szCs w:val="24"/>
          <w:lang w:eastAsia="es-CO"/>
        </w:rPr>
        <w:t xml:space="preserve">El presente Proyecto de Ley tiene como objeto </w:t>
      </w:r>
      <w:r w:rsidRPr="001B0583">
        <w:rPr>
          <w:rFonts w:ascii="Arial" w:hAnsi="Arial" w:cs="Arial"/>
          <w:color w:val="000000" w:themeColor="text1"/>
          <w:sz w:val="24"/>
          <w:szCs w:val="24"/>
        </w:rPr>
        <w:t xml:space="preserve">incluir a los municipios de Puerto Boyacá, Cubará, El Cocuy, Chita, Chivor, </w:t>
      </w:r>
      <w:proofErr w:type="spellStart"/>
      <w:r w:rsidRPr="001B0583">
        <w:rPr>
          <w:rFonts w:ascii="Arial" w:hAnsi="Arial" w:cs="Arial"/>
          <w:color w:val="000000" w:themeColor="text1"/>
          <w:sz w:val="24"/>
          <w:szCs w:val="24"/>
        </w:rPr>
        <w:t>Labrazangrande</w:t>
      </w:r>
      <w:proofErr w:type="spellEnd"/>
      <w:r w:rsidRPr="001B0583">
        <w:rPr>
          <w:rFonts w:ascii="Arial" w:hAnsi="Arial" w:cs="Arial"/>
          <w:color w:val="000000" w:themeColor="text1"/>
          <w:sz w:val="24"/>
          <w:szCs w:val="24"/>
        </w:rPr>
        <w:t xml:space="preserve">, Pajarito, Pisba, Paya,  Güicán, </w:t>
      </w:r>
      <w:proofErr w:type="spellStart"/>
      <w:r w:rsidRPr="001B0583">
        <w:rPr>
          <w:rFonts w:ascii="Arial" w:hAnsi="Arial" w:cs="Arial"/>
          <w:color w:val="000000" w:themeColor="text1"/>
          <w:sz w:val="24"/>
          <w:szCs w:val="24"/>
        </w:rPr>
        <w:t>Panqueba</w:t>
      </w:r>
      <w:proofErr w:type="spellEnd"/>
      <w:r w:rsidRPr="001B0583">
        <w:rPr>
          <w:rFonts w:ascii="Arial" w:hAnsi="Arial" w:cs="Arial"/>
          <w:color w:val="000000" w:themeColor="text1"/>
          <w:sz w:val="24"/>
          <w:szCs w:val="24"/>
        </w:rPr>
        <w:t xml:space="preserve">, El Espino, Chiscas, Muzo, La Victoria, </w:t>
      </w:r>
      <w:proofErr w:type="spellStart"/>
      <w:r w:rsidRPr="001B0583">
        <w:rPr>
          <w:rFonts w:ascii="Arial" w:hAnsi="Arial" w:cs="Arial"/>
          <w:color w:val="000000" w:themeColor="text1"/>
          <w:sz w:val="24"/>
          <w:szCs w:val="24"/>
        </w:rPr>
        <w:t>Busbanzá</w:t>
      </w:r>
      <w:proofErr w:type="spellEnd"/>
      <w:r w:rsidRPr="001B0583">
        <w:rPr>
          <w:rFonts w:ascii="Arial" w:hAnsi="Arial" w:cs="Arial"/>
          <w:color w:val="000000" w:themeColor="text1"/>
          <w:sz w:val="24"/>
          <w:szCs w:val="24"/>
        </w:rPr>
        <w:t xml:space="preserve">, </w:t>
      </w:r>
      <w:proofErr w:type="spellStart"/>
      <w:r w:rsidRPr="001B0583">
        <w:rPr>
          <w:rFonts w:ascii="Arial" w:hAnsi="Arial" w:cs="Arial"/>
          <w:color w:val="000000" w:themeColor="text1"/>
          <w:sz w:val="24"/>
          <w:szCs w:val="24"/>
        </w:rPr>
        <w:t>Tutazá</w:t>
      </w:r>
      <w:proofErr w:type="spellEnd"/>
      <w:r w:rsidRPr="001B0583">
        <w:rPr>
          <w:rFonts w:ascii="Arial" w:hAnsi="Arial" w:cs="Arial"/>
          <w:color w:val="000000" w:themeColor="text1"/>
          <w:sz w:val="24"/>
          <w:szCs w:val="24"/>
        </w:rPr>
        <w:t xml:space="preserve">  del Departamento de Boyacá a los Programas de Desarrollo con Enfoque Territorial – PDET y a las Zonas Más Afectadas por el Conflicto Armado – ZOMAC</w:t>
      </w:r>
      <w:r w:rsidR="00211EF0" w:rsidRPr="001B0583">
        <w:rPr>
          <w:rFonts w:ascii="Arial" w:hAnsi="Arial" w:cs="Arial"/>
          <w:color w:val="000000" w:themeColor="text1"/>
          <w:sz w:val="24"/>
          <w:szCs w:val="24"/>
        </w:rPr>
        <w:t xml:space="preserve"> para que sean beneficiarios de: 1. Las medidas tributarias previstas en los artículos 235 a 238 de la Ley 1819 de 2016 y de las dispuestas en el Decreto 1650 de 2017; 2. Las acciones del gobierno nacional encaminadas a fortalecer la </w:t>
      </w:r>
      <w:r w:rsidR="00211EF0" w:rsidRPr="001B0583">
        <w:rPr>
          <w:rFonts w:ascii="Arial" w:hAnsi="Arial" w:cs="Arial"/>
          <w:color w:val="000000" w:themeColor="text1"/>
          <w:sz w:val="24"/>
          <w:szCs w:val="24"/>
          <w:shd w:val="clear" w:color="auto" w:fill="FFFFFF"/>
        </w:rPr>
        <w:t>institucionalidad,</w:t>
      </w:r>
      <w:r w:rsidR="00211EF0" w:rsidRPr="001B0583">
        <w:rPr>
          <w:rFonts w:ascii="Arial" w:hAnsi="Arial" w:cs="Arial"/>
          <w:color w:val="000000" w:themeColor="text1"/>
          <w:sz w:val="24"/>
          <w:szCs w:val="24"/>
        </w:rPr>
        <w:t xml:space="preserve">lograr la transformación estructural del campo; 3. Mejorar los índices de bienestar y el buen vivir de la población en zonas rurales; 4. El desarrollo de la economía campesina y familiar (cooperativa, mutual, comunal, micro empresarial y asociativa solidaria; </w:t>
      </w:r>
      <w:r w:rsidR="005E65DA" w:rsidRPr="001B0583">
        <w:rPr>
          <w:rFonts w:ascii="Arial" w:hAnsi="Arial" w:cs="Arial"/>
          <w:color w:val="000000" w:themeColor="text1"/>
          <w:sz w:val="24"/>
          <w:szCs w:val="24"/>
        </w:rPr>
        <w:t xml:space="preserve">5. La trasformación del territorio y las condiciones que han perpetuado el conflicto, </w:t>
      </w:r>
      <w:r w:rsidR="00211EF0" w:rsidRPr="001B0583">
        <w:rPr>
          <w:rFonts w:ascii="Arial" w:hAnsi="Arial" w:cs="Arial"/>
          <w:color w:val="000000" w:themeColor="text1"/>
          <w:sz w:val="24"/>
          <w:szCs w:val="24"/>
        </w:rPr>
        <w:t xml:space="preserve">entre otras. </w:t>
      </w:r>
    </w:p>
    <w:p w14:paraId="3F9C906D" w14:textId="77777777" w:rsidR="00211EF0" w:rsidRPr="001B0583" w:rsidRDefault="00211EF0" w:rsidP="00211EF0">
      <w:pPr>
        <w:pStyle w:val="p1"/>
        <w:jc w:val="both"/>
        <w:rPr>
          <w:rFonts w:ascii="Arial" w:hAnsi="Arial" w:cs="Arial"/>
          <w:color w:val="000000" w:themeColor="text1"/>
          <w:sz w:val="24"/>
          <w:szCs w:val="24"/>
        </w:rPr>
      </w:pPr>
    </w:p>
    <w:p w14:paraId="5C1C29E5" w14:textId="3677D6B5" w:rsidR="005E65DA" w:rsidRPr="001B0583" w:rsidRDefault="005E65DA" w:rsidP="005E65DA">
      <w:pPr>
        <w:pStyle w:val="p1"/>
        <w:jc w:val="both"/>
        <w:rPr>
          <w:rFonts w:ascii="Arial" w:hAnsi="Arial" w:cs="Arial"/>
          <w:color w:val="000000" w:themeColor="text1"/>
          <w:sz w:val="24"/>
          <w:szCs w:val="24"/>
        </w:rPr>
      </w:pPr>
      <w:r w:rsidRPr="001B0583">
        <w:rPr>
          <w:rFonts w:ascii="Arial" w:hAnsi="Arial" w:cs="Arial"/>
          <w:color w:val="000000" w:themeColor="text1"/>
          <w:sz w:val="24"/>
          <w:szCs w:val="24"/>
        </w:rPr>
        <w:t>Asimismo,</w:t>
      </w:r>
      <w:r w:rsidR="00211EF0" w:rsidRPr="001B0583">
        <w:rPr>
          <w:rFonts w:ascii="Arial" w:hAnsi="Arial" w:cs="Arial"/>
          <w:color w:val="000000" w:themeColor="text1"/>
          <w:sz w:val="24"/>
          <w:szCs w:val="24"/>
        </w:rPr>
        <w:t xml:space="preserve"> se pretende aumentar la vigencia de los PDET por 5 años más y la de los ZOMAC para los municipios propuestos por un término de 5 años a partir de la entrada en vigencia de la ley</w:t>
      </w:r>
      <w:r w:rsidRPr="001B0583">
        <w:rPr>
          <w:rFonts w:ascii="Arial" w:hAnsi="Arial" w:cs="Arial"/>
          <w:color w:val="000000" w:themeColor="text1"/>
          <w:sz w:val="24"/>
          <w:szCs w:val="24"/>
        </w:rPr>
        <w:t xml:space="preserve">, aunado a la responsabilidad del Gobierno Nacional de adelantar todas las acciones necesarias para desarrollar los Planes de Desarrollo con Enfoque Territorial en los municipios propuestos. </w:t>
      </w:r>
    </w:p>
    <w:p w14:paraId="158A6689" w14:textId="77777777" w:rsidR="000A4BAE" w:rsidRPr="001B0583" w:rsidRDefault="000A4BAE" w:rsidP="005E65DA">
      <w:pPr>
        <w:pStyle w:val="p1"/>
        <w:jc w:val="both"/>
        <w:rPr>
          <w:rFonts w:ascii="Arial" w:hAnsi="Arial" w:cs="Arial"/>
          <w:color w:val="000000" w:themeColor="text1"/>
          <w:sz w:val="24"/>
          <w:szCs w:val="24"/>
        </w:rPr>
      </w:pPr>
    </w:p>
    <w:p w14:paraId="34F3F09D" w14:textId="733AA190" w:rsidR="000A4BAE" w:rsidRPr="001B0583" w:rsidRDefault="000A4BAE" w:rsidP="000A4BAE">
      <w:pPr>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En suma, el presente Proyecto de Ley busca subsanar la omisión histórica que ha tenido el Estado con las comunidades afectadas por el conflicto armado en Boyacá y garantizar que los municipios que han sufrido de manera significativa los efectos del conflicto sean incluidos en los PDET y las ZOMAC, accediendo a los mismos beneficios que se han brindado a otras regiones. Esta inclusión no solo es un asunto de justicia, sino también una necesidad estratégica para garantizar el desarrollo equitativo del país y la consolidación de la paz en estos territorios.</w:t>
      </w:r>
    </w:p>
    <w:p w14:paraId="4C2583E5" w14:textId="77777777" w:rsidR="000A4BAE" w:rsidRPr="001B0583" w:rsidRDefault="000A4BAE" w:rsidP="005E65DA">
      <w:pPr>
        <w:pStyle w:val="p1"/>
        <w:jc w:val="both"/>
        <w:rPr>
          <w:rFonts w:ascii="Arial" w:hAnsi="Arial" w:cs="Arial"/>
          <w:color w:val="000000" w:themeColor="text1"/>
          <w:sz w:val="24"/>
          <w:szCs w:val="24"/>
          <w:lang w:val="es-ES"/>
        </w:rPr>
      </w:pPr>
    </w:p>
    <w:p w14:paraId="1AA60B74" w14:textId="77777777" w:rsidR="00503F92" w:rsidRPr="001B0583" w:rsidRDefault="00503F92" w:rsidP="00503F92">
      <w:pPr>
        <w:pBdr>
          <w:top w:val="nil"/>
          <w:left w:val="nil"/>
          <w:bottom w:val="nil"/>
          <w:right w:val="nil"/>
          <w:between w:val="nil"/>
        </w:pBdr>
        <w:jc w:val="both"/>
        <w:rPr>
          <w:rFonts w:ascii="Arial" w:eastAsia="Arial" w:hAnsi="Arial" w:cs="Arial"/>
          <w:b/>
          <w:color w:val="000000" w:themeColor="text1"/>
        </w:rPr>
      </w:pPr>
    </w:p>
    <w:p w14:paraId="1FF51E87" w14:textId="3E173DB4" w:rsidR="005C1E00" w:rsidRPr="001B0583" w:rsidRDefault="005C1E00" w:rsidP="005C1E00">
      <w:pPr>
        <w:pStyle w:val="Prrafodelista"/>
        <w:numPr>
          <w:ilvl w:val="0"/>
          <w:numId w:val="6"/>
        </w:numPr>
        <w:jc w:val="both"/>
        <w:rPr>
          <w:rFonts w:ascii="Arial" w:eastAsia="Arial" w:hAnsi="Arial" w:cs="Arial"/>
          <w:b/>
          <w:bCs/>
          <w:color w:val="000000" w:themeColor="text1"/>
        </w:rPr>
      </w:pPr>
      <w:r w:rsidRPr="001B0583">
        <w:rPr>
          <w:rFonts w:ascii="Arial" w:eastAsia="Arial" w:hAnsi="Arial" w:cs="Arial"/>
          <w:b/>
          <w:bCs/>
          <w:color w:val="000000" w:themeColor="text1"/>
        </w:rPr>
        <w:t>Justificación</w:t>
      </w:r>
      <w:r w:rsidR="00503F92" w:rsidRPr="001B0583">
        <w:rPr>
          <w:rFonts w:ascii="Arial" w:eastAsia="Arial" w:hAnsi="Arial" w:cs="Arial"/>
          <w:b/>
          <w:bCs/>
          <w:color w:val="000000" w:themeColor="text1"/>
        </w:rPr>
        <w:t>.</w:t>
      </w:r>
      <w:r w:rsidRPr="001B0583">
        <w:rPr>
          <w:rFonts w:ascii="Arial" w:eastAsia="Arial" w:hAnsi="Arial" w:cs="Arial"/>
          <w:b/>
          <w:bCs/>
          <w:color w:val="000000" w:themeColor="text1"/>
        </w:rPr>
        <w:t xml:space="preserve"> </w:t>
      </w:r>
    </w:p>
    <w:p w14:paraId="43906CE0" w14:textId="77777777" w:rsidR="00EA4CAD" w:rsidRPr="001B0583" w:rsidRDefault="00EA4CAD" w:rsidP="004F726E">
      <w:pPr>
        <w:pStyle w:val="p1"/>
        <w:rPr>
          <w:rFonts w:ascii="Arial" w:hAnsi="Arial" w:cs="Arial"/>
          <w:color w:val="000000" w:themeColor="text1"/>
          <w:sz w:val="24"/>
          <w:szCs w:val="24"/>
          <w:lang w:val="es-ES"/>
        </w:rPr>
      </w:pPr>
    </w:p>
    <w:p w14:paraId="274E307F" w14:textId="7CE828E5" w:rsidR="007F5E30" w:rsidRPr="001B0583" w:rsidRDefault="003A7489" w:rsidP="003A7489">
      <w:pPr>
        <w:pStyle w:val="p1"/>
        <w:jc w:val="both"/>
        <w:rPr>
          <w:rFonts w:ascii="Arial" w:hAnsi="Arial" w:cs="Arial"/>
          <w:color w:val="000000" w:themeColor="text1"/>
          <w:sz w:val="24"/>
          <w:szCs w:val="24"/>
          <w:lang w:val="es-ES"/>
        </w:rPr>
      </w:pPr>
      <w:r w:rsidRPr="001B0583">
        <w:rPr>
          <w:rFonts w:ascii="Arial" w:hAnsi="Arial" w:cs="Arial"/>
          <w:color w:val="000000" w:themeColor="text1"/>
          <w:sz w:val="24"/>
          <w:szCs w:val="24"/>
          <w:lang w:val="es-ES"/>
        </w:rPr>
        <w:t xml:space="preserve">De manera preliminar se </w:t>
      </w:r>
      <w:r w:rsidR="007F5E30" w:rsidRPr="001B0583">
        <w:rPr>
          <w:rFonts w:ascii="Arial" w:hAnsi="Arial" w:cs="Arial"/>
          <w:color w:val="000000" w:themeColor="text1"/>
          <w:sz w:val="24"/>
          <w:szCs w:val="24"/>
          <w:lang w:val="es-ES"/>
        </w:rPr>
        <w:t xml:space="preserve">hace necesario dejar claridad que el </w:t>
      </w:r>
      <w:r w:rsidRPr="001B0583">
        <w:rPr>
          <w:rFonts w:ascii="Arial" w:hAnsi="Arial" w:cs="Arial"/>
          <w:color w:val="000000" w:themeColor="text1"/>
          <w:sz w:val="24"/>
          <w:szCs w:val="24"/>
          <w:lang w:val="es-ES"/>
        </w:rPr>
        <w:t xml:space="preserve">legislador tiene </w:t>
      </w:r>
      <w:r w:rsidR="007F5E30" w:rsidRPr="001B0583">
        <w:rPr>
          <w:rFonts w:ascii="Arial" w:hAnsi="Arial" w:cs="Arial"/>
          <w:color w:val="000000" w:themeColor="text1"/>
          <w:sz w:val="24"/>
          <w:szCs w:val="24"/>
          <w:lang w:val="es-ES"/>
        </w:rPr>
        <w:t xml:space="preserve">plena </w:t>
      </w:r>
      <w:r w:rsidRPr="001B0583">
        <w:rPr>
          <w:rFonts w:ascii="Arial" w:hAnsi="Arial" w:cs="Arial"/>
          <w:color w:val="000000" w:themeColor="text1"/>
          <w:sz w:val="24"/>
          <w:szCs w:val="24"/>
          <w:lang w:val="es-ES"/>
        </w:rPr>
        <w:t>facultad de modificar las normas que</w:t>
      </w:r>
      <w:r w:rsidR="007F5E30" w:rsidRPr="001B0583">
        <w:rPr>
          <w:rFonts w:ascii="Arial" w:hAnsi="Arial" w:cs="Arial"/>
          <w:color w:val="000000" w:themeColor="text1"/>
          <w:sz w:val="24"/>
          <w:szCs w:val="24"/>
          <w:lang w:val="es-ES"/>
        </w:rPr>
        <w:t xml:space="preserve"> se incluyen en esta iniciativa legislativa. Al respecto, la Corte Constitucional ha dicho en Sentencia C-730 de 2017 que: </w:t>
      </w:r>
    </w:p>
    <w:p w14:paraId="66E71C13" w14:textId="502CC89F" w:rsidR="007F5E30" w:rsidRPr="001B0583" w:rsidRDefault="007F5E30" w:rsidP="003A7489">
      <w:pPr>
        <w:pStyle w:val="p1"/>
        <w:jc w:val="both"/>
        <w:rPr>
          <w:rFonts w:ascii="Arial" w:hAnsi="Arial" w:cs="Arial"/>
          <w:color w:val="000000" w:themeColor="text1"/>
          <w:sz w:val="24"/>
          <w:szCs w:val="24"/>
          <w:lang w:val="es-ES"/>
        </w:rPr>
      </w:pPr>
      <w:r w:rsidRPr="001B0583">
        <w:rPr>
          <w:rFonts w:ascii="Arial" w:hAnsi="Arial" w:cs="Arial"/>
          <w:color w:val="000000" w:themeColor="text1"/>
          <w:sz w:val="24"/>
          <w:szCs w:val="24"/>
          <w:lang w:val="es-ES"/>
        </w:rPr>
        <w:tab/>
      </w:r>
    </w:p>
    <w:p w14:paraId="149F1492" w14:textId="77777777" w:rsidR="007F5E30" w:rsidRPr="001B0583" w:rsidRDefault="007F5E30" w:rsidP="007F5E30">
      <w:pPr>
        <w:spacing w:before="100" w:beforeAutospacing="1"/>
        <w:ind w:left="708"/>
        <w:jc w:val="both"/>
        <w:rPr>
          <w:rFonts w:ascii="Arial" w:eastAsia="Times New Roman" w:hAnsi="Arial" w:cs="Arial"/>
          <w:color w:val="000000" w:themeColor="text1"/>
          <w:kern w:val="0"/>
          <w:lang w:val="es-CO" w:eastAsia="es-ES_tradnl"/>
          <w14:ligatures w14:val="none"/>
        </w:rPr>
      </w:pPr>
      <w:proofErr w:type="gramStart"/>
      <w:r w:rsidRPr="001B0583">
        <w:rPr>
          <w:rFonts w:ascii="Arial" w:hAnsi="Arial" w:cs="Arial"/>
          <w:color w:val="000000" w:themeColor="text1"/>
        </w:rPr>
        <w:lastRenderedPageBreak/>
        <w:t>“ (</w:t>
      </w:r>
      <w:proofErr w:type="gramEnd"/>
      <w:r w:rsidRPr="001B0583">
        <w:rPr>
          <w:rFonts w:ascii="Arial" w:hAnsi="Arial" w:cs="Arial"/>
          <w:color w:val="000000" w:themeColor="text1"/>
        </w:rPr>
        <w:t xml:space="preserve">…) </w:t>
      </w:r>
      <w:r w:rsidRPr="001B0583">
        <w:rPr>
          <w:rFonts w:ascii="Arial" w:eastAsia="Times New Roman" w:hAnsi="Arial" w:cs="Arial"/>
          <w:b/>
          <w:bCs/>
          <w:color w:val="000000" w:themeColor="text1"/>
          <w:kern w:val="0"/>
          <w:u w:val="single"/>
          <w:lang w:val="es-CO" w:eastAsia="es-ES_tradnl"/>
          <w14:ligatures w14:val="none"/>
        </w:rPr>
        <w:t xml:space="preserve">El legislador del presente no puede prohibir al legislador futuro las facultades de modificación, </w:t>
      </w:r>
      <w:r w:rsidRPr="001B0583">
        <w:rPr>
          <w:rFonts w:ascii="Arial" w:eastAsia="Times New Roman" w:hAnsi="Arial" w:cs="Arial"/>
          <w:color w:val="000000" w:themeColor="text1"/>
          <w:kern w:val="0"/>
          <w:lang w:val="es-CO" w:eastAsia="es-ES_tradnl"/>
          <w14:ligatures w14:val="none"/>
        </w:rPr>
        <w:t>pues como indica la Procuraduría</w:t>
      </w:r>
      <w:r w:rsidRPr="001B0583">
        <w:rPr>
          <w:rFonts w:ascii="Arial" w:eastAsia="Times New Roman" w:hAnsi="Arial" w:cs="Arial"/>
          <w:b/>
          <w:bCs/>
          <w:color w:val="000000" w:themeColor="text1"/>
          <w:kern w:val="0"/>
          <w:u w:val="single"/>
          <w:lang w:val="es-CO" w:eastAsia="es-ES_tradnl"/>
          <w14:ligatures w14:val="none"/>
        </w:rPr>
        <w:t>, se desconocería el principio de soberanía popular</w:t>
      </w:r>
      <w:r w:rsidRPr="001B0583">
        <w:rPr>
          <w:rFonts w:ascii="Arial" w:eastAsia="Times New Roman" w:hAnsi="Arial" w:cs="Arial"/>
          <w:color w:val="000000" w:themeColor="text1"/>
          <w:kern w:val="0"/>
          <w:lang w:val="es-CO" w:eastAsia="es-ES_tradnl"/>
          <w14:ligatures w14:val="none"/>
        </w:rPr>
        <w:t>. De igual manera, el legislador actual tampoco puede supeditar la facultad reglamentaria del Gobierno en relación con preceptos dotados del carácter material de ley a su inexorable ejercicio por una sola vez, pues en este caso se vulneraría el principio de separación de poderes y se limitaría una competencia constitucional propia del ejecutivo (…).</w:t>
      </w:r>
    </w:p>
    <w:p w14:paraId="792FE102" w14:textId="77777777" w:rsidR="007F5E30" w:rsidRPr="001B0583" w:rsidRDefault="007F5E30" w:rsidP="007F5E30">
      <w:pPr>
        <w:spacing w:before="100" w:beforeAutospacing="1"/>
        <w:ind w:left="708"/>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Esta cuestión versa sobre el alcance de las modificaciones que pudiera introducir el legislador y sobre los límites del Gobierno en ejercicio de su facultad reglamentaria, ya que se debe establecer si hay lugar a una competencia abierta para modificar el contenido del decreto ley, inclusive desatendiendo contenidos del Acuerdo de Paz.</w:t>
      </w:r>
    </w:p>
    <w:p w14:paraId="1198650F" w14:textId="0EEA4F75" w:rsidR="007F5E30" w:rsidRPr="001B0583" w:rsidRDefault="007F5E30" w:rsidP="007F5E30">
      <w:pPr>
        <w:spacing w:before="100" w:beforeAutospacing="1"/>
        <w:ind w:left="708"/>
        <w:jc w:val="both"/>
        <w:rPr>
          <w:rFonts w:ascii="Arial" w:eastAsia="Times New Roman" w:hAnsi="Arial" w:cs="Arial"/>
          <w:color w:val="000000" w:themeColor="text1"/>
          <w:kern w:val="0"/>
          <w:lang w:val="es-CO" w:eastAsia="es-ES_tradnl"/>
          <w14:ligatures w14:val="none"/>
        </w:rPr>
      </w:pPr>
      <w:r w:rsidRPr="001B0583">
        <w:rPr>
          <w:rFonts w:ascii="Arial" w:eastAsia="Times New Roman" w:hAnsi="Arial" w:cs="Arial"/>
          <w:color w:val="000000" w:themeColor="text1"/>
          <w:kern w:val="0"/>
          <w:lang w:val="es-CO" w:eastAsia="es-ES_tradnl"/>
          <w14:ligatures w14:val="none"/>
        </w:rPr>
        <w:t xml:space="preserve">Al respecto, considera esta Corte que </w:t>
      </w:r>
      <w:r w:rsidRPr="001B0583">
        <w:rPr>
          <w:rFonts w:ascii="Arial" w:eastAsia="Times New Roman" w:hAnsi="Arial" w:cs="Arial"/>
          <w:b/>
          <w:bCs/>
          <w:color w:val="000000" w:themeColor="text1"/>
          <w:kern w:val="0"/>
          <w:u w:val="single"/>
          <w:lang w:val="es-CO" w:eastAsia="es-ES_tradnl"/>
          <w14:ligatures w14:val="none"/>
        </w:rPr>
        <w:t>la capacidad de modificación legal de las disposiciones examinadas estará limitada, mas no por este decreto ley, que se podría reformar en un futuro desde una perspectiva general, sino por el Acto Legislativo 02 de 2017 que, en desarrollo del derecho a la paz, estableció que los desarrollos normativos del Acuerdo Final y su interpretación y aplicación “deberán guardar coherencia[82] e integralidad con lo acordado, preservando los contenidos, los compromisos, el espíritu y los principios del Acuerdo Fina</w:t>
      </w:r>
      <w:r w:rsidRPr="001B0583">
        <w:rPr>
          <w:rFonts w:ascii="Arial" w:eastAsia="Times New Roman" w:hAnsi="Arial" w:cs="Arial"/>
          <w:color w:val="000000" w:themeColor="text1"/>
          <w:kern w:val="0"/>
          <w:lang w:val="es-CO" w:eastAsia="es-ES_tradnl"/>
          <w14:ligatures w14:val="none"/>
        </w:rPr>
        <w:t xml:space="preserve">l”. Así las cosas, al modificar las medidas legislativas que implementen el Acuerdo Final, el Congreso tendrá una competencia limitada por el Acto Legislativo 02 de 2017, que le permitirá desarrollar el Acuerdo con base en el principio constitucional de buena fe y, especialmente, con fundamento en la paz que es un derecho y pilar fundamental de la Constitución de 1991. De este modo, </w:t>
      </w:r>
      <w:r w:rsidRPr="001B0583">
        <w:rPr>
          <w:rFonts w:ascii="Arial" w:eastAsia="Times New Roman" w:hAnsi="Arial" w:cs="Arial"/>
          <w:b/>
          <w:bCs/>
          <w:color w:val="000000" w:themeColor="text1"/>
          <w:kern w:val="0"/>
          <w:u w:val="single"/>
          <w:lang w:val="es-CO" w:eastAsia="es-ES_tradnl"/>
          <w14:ligatures w14:val="none"/>
        </w:rPr>
        <w:t>las futuras modificaciones legislativas deberán guardar la debida coherencia con lo establecido en el Acuerdo Final y esto, a su turno, condicionará el alcance del ejercicio de la potestad reglamentaria, pues, no siendo independiente de la ley reglamentada, carece de la fuerza indispensable para variarla</w:t>
      </w:r>
      <w:r w:rsidRPr="001B0583">
        <w:rPr>
          <w:rFonts w:ascii="Arial" w:eastAsia="Times New Roman" w:hAnsi="Arial" w:cs="Arial"/>
          <w:color w:val="000000" w:themeColor="text1"/>
          <w:kern w:val="0"/>
          <w:lang w:val="es-CO" w:eastAsia="es-ES_tradnl"/>
          <w14:ligatures w14:val="none"/>
        </w:rPr>
        <w:t xml:space="preserve">.” (Subrayado y negrilla propios). </w:t>
      </w:r>
    </w:p>
    <w:p w14:paraId="65244B3D" w14:textId="77777777" w:rsidR="004115EE" w:rsidRPr="001B0583" w:rsidRDefault="00152512" w:rsidP="00A02EDE">
      <w:pPr>
        <w:pStyle w:val="NormalWeb"/>
        <w:jc w:val="both"/>
        <w:rPr>
          <w:rFonts w:ascii="Arial" w:hAnsi="Arial" w:cs="Arial"/>
          <w:color w:val="000000" w:themeColor="text1"/>
          <w:lang w:val="es-ES"/>
        </w:rPr>
      </w:pPr>
      <w:r w:rsidRPr="001B0583">
        <w:rPr>
          <w:rFonts w:ascii="Arial" w:hAnsi="Arial" w:cs="Arial"/>
          <w:color w:val="000000" w:themeColor="text1"/>
          <w:lang w:val="es-ES"/>
        </w:rPr>
        <w:t xml:space="preserve">Dicho lo anterior, </w:t>
      </w:r>
      <w:r w:rsidR="004115EE" w:rsidRPr="001B0583">
        <w:rPr>
          <w:rFonts w:ascii="Arial" w:hAnsi="Arial" w:cs="Arial"/>
          <w:color w:val="000000" w:themeColor="text1"/>
          <w:lang w:val="es-ES"/>
        </w:rPr>
        <w:t>debemos mencionar que Dentro del Acuerdo Final para la Terminación del Conflicto y la Construcción de una Paz Estable y Duradera (2016), en su punto 1.2, se establecieron los Programas de Desarrollo con Enfoque Territorial (PDET) con el objetivo de lograr una transformación estructural del campo y del ámbito rural en Colombia. Estos programas buscan promover un equilibrio entre el desarrollo rural y urbano, asegurando condiciones de vida dignas para las comunidades más afectadas por el conflicto armado y la pobreza.</w:t>
      </w:r>
    </w:p>
    <w:p w14:paraId="64AC6058" w14:textId="36B78D75" w:rsidR="004115EE" w:rsidRPr="001B0583" w:rsidRDefault="00A02EDE" w:rsidP="00A02EDE">
      <w:pPr>
        <w:spacing w:before="100" w:beforeAutospacing="1" w:after="100" w:afterAutospacing="1"/>
        <w:jc w:val="both"/>
        <w:outlineLvl w:val="2"/>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 xml:space="preserve">Como objetivos y finalidades principales de los </w:t>
      </w:r>
      <w:r w:rsidR="004115EE" w:rsidRPr="001B0583">
        <w:rPr>
          <w:rFonts w:ascii="Arial" w:eastAsia="Times New Roman" w:hAnsi="Arial" w:cs="Arial"/>
          <w:color w:val="000000" w:themeColor="text1"/>
          <w:kern w:val="0"/>
          <w:lang w:eastAsia="es-ES_tradnl"/>
          <w14:ligatures w14:val="none"/>
        </w:rPr>
        <w:t>PDET</w:t>
      </w:r>
      <w:r w:rsidRPr="001B0583">
        <w:rPr>
          <w:rFonts w:ascii="Arial" w:eastAsia="Times New Roman" w:hAnsi="Arial" w:cs="Arial"/>
          <w:color w:val="000000" w:themeColor="text1"/>
          <w:kern w:val="0"/>
          <w:lang w:eastAsia="es-ES_tradnl"/>
          <w14:ligatures w14:val="none"/>
        </w:rPr>
        <w:t xml:space="preserve">, se tienen que pretenden garantizar: </w:t>
      </w:r>
    </w:p>
    <w:p w14:paraId="43F8FE90" w14:textId="77777777" w:rsidR="004115EE" w:rsidRPr="001B0583" w:rsidRDefault="004115EE" w:rsidP="00A02EDE">
      <w:pPr>
        <w:numPr>
          <w:ilvl w:val="0"/>
          <w:numId w:val="7"/>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lastRenderedPageBreak/>
        <w:t>Bienestar y desarrollo equitativo: Mejorar la calidad de vida de la población rural, asegurando el acceso a derechos políticos, económicos, sociales y culturales, reduciendo los efectos de la miseria y del conflicto armado.</w:t>
      </w:r>
    </w:p>
    <w:p w14:paraId="424AB80C" w14:textId="77777777" w:rsidR="004115EE" w:rsidRPr="001B0583" w:rsidRDefault="004115EE" w:rsidP="00A02EDE">
      <w:pPr>
        <w:numPr>
          <w:ilvl w:val="0"/>
          <w:numId w:val="7"/>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Protección de la diversidad étnica y cultural: Fortalecer el conocimiento, la organización social, la producción económica y la relación sostenible con la naturaleza de comunidades indígenas, afrodescendientes, raizales y palenqueras.</w:t>
      </w:r>
    </w:p>
    <w:p w14:paraId="4783871D" w14:textId="77777777" w:rsidR="004115EE" w:rsidRPr="001B0583" w:rsidRDefault="004115EE" w:rsidP="00A02EDE">
      <w:pPr>
        <w:numPr>
          <w:ilvl w:val="0"/>
          <w:numId w:val="7"/>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Impulso de la economía campesina: Apoyar formas de producción comunitarias, cooperativas y microempresariales, promoviendo el acceso a la tierra y a bienes y servicios productivos.</w:t>
      </w:r>
    </w:p>
    <w:p w14:paraId="1BE34CD0" w14:textId="77777777" w:rsidR="004115EE" w:rsidRPr="001B0583" w:rsidRDefault="004115EE" w:rsidP="00A02EDE">
      <w:pPr>
        <w:numPr>
          <w:ilvl w:val="0"/>
          <w:numId w:val="7"/>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Desarrollo e integración de regiones vulnerables: Implementar inversiones públicas progresivas y concertadas con las comunidades para reducir brechas entre el campo y la ciudad.</w:t>
      </w:r>
    </w:p>
    <w:p w14:paraId="7A0682E7" w14:textId="77777777" w:rsidR="004115EE" w:rsidRPr="001B0583" w:rsidRDefault="004115EE" w:rsidP="004115EE">
      <w:pPr>
        <w:numPr>
          <w:ilvl w:val="0"/>
          <w:numId w:val="7"/>
        </w:numPr>
        <w:spacing w:before="100" w:beforeAutospacing="1" w:after="100" w:afterAutospacing="1"/>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Fortalecimiento de organizaciones comunitarias: Incluir activamente a las organizaciones de mujeres rurales y demás actores sociales en el proceso de transformación territorial.</w:t>
      </w:r>
    </w:p>
    <w:p w14:paraId="66D8D2B9" w14:textId="77777777" w:rsidR="004115EE" w:rsidRPr="001B0583" w:rsidRDefault="004115EE" w:rsidP="004115EE">
      <w:pPr>
        <w:numPr>
          <w:ilvl w:val="0"/>
          <w:numId w:val="7"/>
        </w:numPr>
        <w:spacing w:before="100" w:beforeAutospacing="1" w:after="100" w:afterAutospacing="1"/>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Consolidación del campo como escenario de reconciliación: Fomentar la paz y la convivencia en las comunidades rurales a través del desarrollo sostenible.</w:t>
      </w:r>
    </w:p>
    <w:p w14:paraId="03FB37F6" w14:textId="7C2391BF" w:rsidR="004115EE" w:rsidRPr="001B0583" w:rsidRDefault="00A02EDE" w:rsidP="00A02EDE">
      <w:pPr>
        <w:spacing w:before="100" w:beforeAutospacing="1" w:after="100" w:afterAutospacing="1"/>
        <w:jc w:val="both"/>
        <w:outlineLvl w:val="2"/>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 xml:space="preserve">Es así como la </w:t>
      </w:r>
      <w:r w:rsidR="004115EE" w:rsidRPr="001B0583">
        <w:rPr>
          <w:rFonts w:ascii="Arial" w:eastAsia="Times New Roman" w:hAnsi="Arial" w:cs="Arial"/>
          <w:color w:val="000000" w:themeColor="text1"/>
          <w:kern w:val="0"/>
          <w:lang w:eastAsia="es-ES_tradnl"/>
          <w14:ligatures w14:val="none"/>
        </w:rPr>
        <w:t xml:space="preserve">Agencia de Renovación del Territorio (ART), </w:t>
      </w:r>
      <w:r w:rsidRPr="001B0583">
        <w:rPr>
          <w:rFonts w:ascii="Arial" w:eastAsia="Times New Roman" w:hAnsi="Arial" w:cs="Arial"/>
          <w:color w:val="000000" w:themeColor="text1"/>
          <w:kern w:val="0"/>
          <w:lang w:eastAsia="es-ES_tradnl"/>
          <w14:ligatures w14:val="none"/>
        </w:rPr>
        <w:t xml:space="preserve">señala que </w:t>
      </w:r>
      <w:r w:rsidR="004115EE" w:rsidRPr="001B0583">
        <w:rPr>
          <w:rFonts w:ascii="Arial" w:eastAsia="Times New Roman" w:hAnsi="Arial" w:cs="Arial"/>
          <w:color w:val="000000" w:themeColor="text1"/>
          <w:kern w:val="0"/>
          <w:lang w:eastAsia="es-ES_tradnl"/>
          <w14:ligatures w14:val="none"/>
        </w:rPr>
        <w:t>los PDET se han diseñado como un instrumento de planeación y gestión para transformar las zonas más afectadas por el conflicto armado, la pobreza extrema, la debilidad institucional y la presencia de economías ilegales, incluyendo cultivos de uso ilícito. Para ello, se establecieron criterios de priorización basados en:</w:t>
      </w:r>
    </w:p>
    <w:p w14:paraId="579E877F" w14:textId="77777777" w:rsidR="004115EE" w:rsidRPr="001B0583" w:rsidRDefault="004115EE" w:rsidP="00A02EDE">
      <w:pPr>
        <w:numPr>
          <w:ilvl w:val="0"/>
          <w:numId w:val="8"/>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Niveles de pobreza extrema y necesidades básicas insatisfechas.</w:t>
      </w:r>
    </w:p>
    <w:p w14:paraId="77C0F6A3" w14:textId="77777777" w:rsidR="004115EE" w:rsidRPr="001B0583" w:rsidRDefault="004115EE" w:rsidP="00A02EDE">
      <w:pPr>
        <w:numPr>
          <w:ilvl w:val="0"/>
          <w:numId w:val="8"/>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Grado de afectación por el conflicto armado.</w:t>
      </w:r>
    </w:p>
    <w:p w14:paraId="40C2D3CF" w14:textId="77777777" w:rsidR="004115EE" w:rsidRPr="001B0583" w:rsidRDefault="004115EE" w:rsidP="00A02EDE">
      <w:pPr>
        <w:numPr>
          <w:ilvl w:val="0"/>
          <w:numId w:val="8"/>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Debilidad institucional y limitaciones en la capacidad de gestión local.</w:t>
      </w:r>
    </w:p>
    <w:p w14:paraId="0D448B23" w14:textId="77777777" w:rsidR="004115EE" w:rsidRPr="001B0583" w:rsidRDefault="004115EE" w:rsidP="00A02EDE">
      <w:pPr>
        <w:numPr>
          <w:ilvl w:val="0"/>
          <w:numId w:val="8"/>
        </w:num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Presencia de cultivos de uso ilícito y otras economías ilegales.</w:t>
      </w:r>
    </w:p>
    <w:p w14:paraId="199A7683" w14:textId="66B87528" w:rsidR="004115EE" w:rsidRPr="001B0583" w:rsidRDefault="004115EE" w:rsidP="00A02EDE">
      <w:p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 xml:space="preserve">A partir de estos criterios, </w:t>
      </w:r>
      <w:r w:rsidR="00A02EDE" w:rsidRPr="001B0583">
        <w:rPr>
          <w:rFonts w:ascii="Arial" w:eastAsia="Times New Roman" w:hAnsi="Arial" w:cs="Arial"/>
          <w:color w:val="000000" w:themeColor="text1"/>
          <w:kern w:val="0"/>
          <w:lang w:eastAsia="es-ES_tradnl"/>
          <w14:ligatures w14:val="none"/>
        </w:rPr>
        <w:t xml:space="preserve">en su momento </w:t>
      </w:r>
      <w:r w:rsidRPr="001B0583">
        <w:rPr>
          <w:rFonts w:ascii="Arial" w:eastAsia="Times New Roman" w:hAnsi="Arial" w:cs="Arial"/>
          <w:color w:val="000000" w:themeColor="text1"/>
          <w:kern w:val="0"/>
          <w:lang w:eastAsia="es-ES_tradnl"/>
          <w14:ligatures w14:val="none"/>
        </w:rPr>
        <w:t>se priorizaron 170 municipios organizados en 16 subregiones, cubriendo aproximadamente 11.000 veredas y recogiendo 32.808 iniciativas propuestas por las comunidades.</w:t>
      </w:r>
    </w:p>
    <w:p w14:paraId="73BEF795" w14:textId="1AAF7FF9" w:rsidR="004115EE" w:rsidRPr="001B0583" w:rsidRDefault="00A02EDE" w:rsidP="00A02EDE">
      <w:pPr>
        <w:spacing w:before="100" w:beforeAutospacing="1" w:after="100" w:afterAutospacing="1"/>
        <w:jc w:val="both"/>
        <w:outlineLvl w:val="2"/>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 xml:space="preserve">A partir de los PDET el Acuerdo de Paz estableció </w:t>
      </w:r>
      <w:proofErr w:type="gramStart"/>
      <w:r w:rsidRPr="001B0583">
        <w:rPr>
          <w:rFonts w:ascii="Arial" w:eastAsia="Times New Roman" w:hAnsi="Arial" w:cs="Arial"/>
          <w:color w:val="000000" w:themeColor="text1"/>
          <w:kern w:val="0"/>
          <w:lang w:eastAsia="es-ES_tradnl"/>
          <w14:ligatures w14:val="none"/>
        </w:rPr>
        <w:t>que</w:t>
      </w:r>
      <w:proofErr w:type="gramEnd"/>
      <w:r w:rsidRPr="001B0583">
        <w:rPr>
          <w:rFonts w:ascii="Arial" w:eastAsia="Times New Roman" w:hAnsi="Arial" w:cs="Arial"/>
          <w:color w:val="000000" w:themeColor="text1"/>
          <w:kern w:val="0"/>
          <w:lang w:eastAsia="es-ES_tradnl"/>
          <w14:ligatures w14:val="none"/>
        </w:rPr>
        <w:t xml:space="preserve"> e</w:t>
      </w:r>
      <w:r w:rsidR="004115EE" w:rsidRPr="001B0583">
        <w:rPr>
          <w:rFonts w:ascii="Arial" w:eastAsia="Times New Roman" w:hAnsi="Arial" w:cs="Arial"/>
          <w:color w:val="000000" w:themeColor="text1"/>
          <w:kern w:val="0"/>
          <w:lang w:eastAsia="es-ES_tradnl"/>
          <w14:ligatures w14:val="none"/>
        </w:rPr>
        <w:t>n cada zona priorizada, se debe elaborar de manera participativa un Plan de Acción para la Transformación Regional (PATR), integrando todos los niveles del ordenamiento territorial. Estos planes deben contemplar aspectos sociohistóricos, culturales, ambientales y productivos de cada territorio, asegurando que las inversiones públicas se destinen de manera efectiva y sostenible.</w:t>
      </w:r>
    </w:p>
    <w:p w14:paraId="1205BCB5" w14:textId="77777777" w:rsidR="009802F6" w:rsidRPr="001B0583" w:rsidRDefault="00A02EDE" w:rsidP="009802F6">
      <w:p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De esta manera l</w:t>
      </w:r>
      <w:r w:rsidR="004115EE" w:rsidRPr="001B0583">
        <w:rPr>
          <w:rFonts w:ascii="Arial" w:eastAsia="Times New Roman" w:hAnsi="Arial" w:cs="Arial"/>
          <w:color w:val="000000" w:themeColor="text1"/>
          <w:kern w:val="0"/>
          <w:lang w:eastAsia="es-ES_tradnl"/>
          <w14:ligatures w14:val="none"/>
        </w:rPr>
        <w:t xml:space="preserve">os PDET representan una estrategia clave dentro del Acuerdo de Paz para impulsar el desarrollo rural sostenible y cerrar las brechas históricas de desigualdad en </w:t>
      </w:r>
      <w:r w:rsidRPr="001B0583">
        <w:rPr>
          <w:rFonts w:ascii="Arial" w:eastAsia="Times New Roman" w:hAnsi="Arial" w:cs="Arial"/>
          <w:color w:val="000000" w:themeColor="text1"/>
          <w:kern w:val="0"/>
          <w:lang w:eastAsia="es-ES_tradnl"/>
          <w14:ligatures w14:val="none"/>
        </w:rPr>
        <w:t xml:space="preserve">toda </w:t>
      </w:r>
      <w:r w:rsidR="004115EE" w:rsidRPr="001B0583">
        <w:rPr>
          <w:rFonts w:ascii="Arial" w:eastAsia="Times New Roman" w:hAnsi="Arial" w:cs="Arial"/>
          <w:color w:val="000000" w:themeColor="text1"/>
          <w:kern w:val="0"/>
          <w:lang w:eastAsia="es-ES_tradnl"/>
          <w14:ligatures w14:val="none"/>
        </w:rPr>
        <w:t>Colombia</w:t>
      </w:r>
      <w:r w:rsidRPr="001B0583">
        <w:rPr>
          <w:rFonts w:ascii="Arial" w:eastAsia="Times New Roman" w:hAnsi="Arial" w:cs="Arial"/>
          <w:color w:val="000000" w:themeColor="text1"/>
          <w:kern w:val="0"/>
          <w:lang w:eastAsia="es-ES_tradnl"/>
          <w14:ligatures w14:val="none"/>
        </w:rPr>
        <w:t xml:space="preserve"> y no solo en unos municipios</w:t>
      </w:r>
      <w:r w:rsidR="004115EE" w:rsidRPr="001B0583">
        <w:rPr>
          <w:rFonts w:ascii="Arial" w:eastAsia="Times New Roman" w:hAnsi="Arial" w:cs="Arial"/>
          <w:color w:val="000000" w:themeColor="text1"/>
          <w:kern w:val="0"/>
          <w:lang w:eastAsia="es-ES_tradnl"/>
          <w14:ligatures w14:val="none"/>
        </w:rPr>
        <w:t xml:space="preserve">. </w:t>
      </w:r>
      <w:r w:rsidRPr="001B0583">
        <w:rPr>
          <w:rFonts w:ascii="Arial" w:eastAsia="Times New Roman" w:hAnsi="Arial" w:cs="Arial"/>
          <w:color w:val="000000" w:themeColor="text1"/>
          <w:kern w:val="0"/>
          <w:lang w:eastAsia="es-ES_tradnl"/>
          <w14:ligatures w14:val="none"/>
        </w:rPr>
        <w:t xml:space="preserve">Siendo las condiciones de violencia un factor dinámico en necesario brindar esas herramientas de </w:t>
      </w:r>
      <w:r w:rsidRPr="001B0583">
        <w:rPr>
          <w:rFonts w:ascii="Arial" w:eastAsia="Times New Roman" w:hAnsi="Arial" w:cs="Arial"/>
          <w:color w:val="000000" w:themeColor="text1"/>
          <w:kern w:val="0"/>
          <w:lang w:eastAsia="es-ES_tradnl"/>
          <w14:ligatures w14:val="none"/>
        </w:rPr>
        <w:lastRenderedPageBreak/>
        <w:t xml:space="preserve">planeación a otros municipios que hayan sido impactados por el conflicto, para así poder </w:t>
      </w:r>
      <w:r w:rsidR="004115EE" w:rsidRPr="001B0583">
        <w:rPr>
          <w:rFonts w:ascii="Arial" w:eastAsia="Times New Roman" w:hAnsi="Arial" w:cs="Arial"/>
          <w:color w:val="000000" w:themeColor="text1"/>
          <w:kern w:val="0"/>
          <w:lang w:eastAsia="es-ES_tradnl"/>
          <w14:ligatures w14:val="none"/>
        </w:rPr>
        <w:t xml:space="preserve">transformar </w:t>
      </w:r>
      <w:r w:rsidRPr="001B0583">
        <w:rPr>
          <w:rFonts w:ascii="Arial" w:eastAsia="Times New Roman" w:hAnsi="Arial" w:cs="Arial"/>
          <w:color w:val="000000" w:themeColor="text1"/>
          <w:kern w:val="0"/>
          <w:lang w:eastAsia="es-ES_tradnl"/>
          <w14:ligatures w14:val="none"/>
        </w:rPr>
        <w:t xml:space="preserve">plena e íntegramente </w:t>
      </w:r>
      <w:r w:rsidR="004115EE" w:rsidRPr="001B0583">
        <w:rPr>
          <w:rFonts w:ascii="Arial" w:eastAsia="Times New Roman" w:hAnsi="Arial" w:cs="Arial"/>
          <w:color w:val="000000" w:themeColor="text1"/>
          <w:kern w:val="0"/>
          <w:lang w:eastAsia="es-ES_tradnl"/>
          <w14:ligatures w14:val="none"/>
        </w:rPr>
        <w:t>las regiones afectadas por el conflicto, promoviendo el bienestar de sus habitantes y la estabilidad.</w:t>
      </w:r>
    </w:p>
    <w:p w14:paraId="48617512" w14:textId="3BC9891D" w:rsidR="003A7489" w:rsidRPr="001B0583" w:rsidRDefault="009802F6" w:rsidP="003948C9">
      <w:pPr>
        <w:spacing w:before="100" w:beforeAutospacing="1" w:after="100" w:afterAutospacing="1"/>
        <w:jc w:val="both"/>
        <w:rPr>
          <w:rFonts w:ascii="Arial" w:eastAsia="Times New Roman" w:hAnsi="Arial" w:cs="Arial"/>
          <w:color w:val="000000" w:themeColor="text1"/>
          <w:kern w:val="0"/>
          <w:lang w:eastAsia="es-ES_tradnl"/>
          <w14:ligatures w14:val="none"/>
        </w:rPr>
      </w:pPr>
      <w:r w:rsidRPr="001B0583">
        <w:rPr>
          <w:rFonts w:ascii="Arial" w:eastAsia="Times New Roman" w:hAnsi="Arial" w:cs="Arial"/>
          <w:color w:val="000000" w:themeColor="text1"/>
          <w:kern w:val="0"/>
          <w:lang w:eastAsia="es-ES_tradnl"/>
          <w14:ligatures w14:val="none"/>
        </w:rPr>
        <w:t xml:space="preserve">Es que con esta modificación se acata </w:t>
      </w:r>
      <w:r w:rsidR="007F5E30" w:rsidRPr="001B0583">
        <w:rPr>
          <w:rFonts w:ascii="Arial" w:eastAsia="Times New Roman" w:hAnsi="Arial" w:cs="Arial"/>
          <w:color w:val="000000" w:themeColor="text1"/>
          <w:kern w:val="0"/>
          <w:lang w:val="es-CO" w:eastAsia="es-ES_tradnl"/>
          <w14:ligatures w14:val="none"/>
        </w:rPr>
        <w:t>el principio de buena fe en el cumplimiento del Acuerdo Final y guardar conexidad objetiva, estricta y suficiente con los contenidos del mismo, con total sujeción a la Carta Política, en aras de garantizar la efectividad del derecho a la paz</w:t>
      </w:r>
      <w:r w:rsidRPr="001B0583">
        <w:rPr>
          <w:rFonts w:ascii="Arial" w:eastAsia="Times New Roman" w:hAnsi="Arial" w:cs="Arial"/>
          <w:color w:val="000000" w:themeColor="text1"/>
          <w:kern w:val="0"/>
          <w:lang w:val="es-CO" w:eastAsia="es-ES_tradnl"/>
          <w14:ligatures w14:val="none"/>
        </w:rPr>
        <w:t xml:space="preserve"> en los territorios afectados por el conflicto en el Departamento de Boyacá</w:t>
      </w:r>
      <w:r w:rsidR="007F5E30" w:rsidRPr="001B0583">
        <w:rPr>
          <w:rFonts w:ascii="Arial" w:eastAsia="Times New Roman" w:hAnsi="Arial" w:cs="Arial"/>
          <w:color w:val="000000" w:themeColor="text1"/>
          <w:kern w:val="0"/>
          <w:lang w:val="es-CO" w:eastAsia="es-ES_tradnl"/>
          <w14:ligatures w14:val="none"/>
        </w:rPr>
        <w:t>.</w:t>
      </w:r>
    </w:p>
    <w:p w14:paraId="69B26F7F" w14:textId="2D0232BE" w:rsidR="00D23C4E" w:rsidRPr="001B0583" w:rsidRDefault="00D23C4E" w:rsidP="00D23C4E">
      <w:pPr>
        <w:spacing w:before="100" w:beforeAutospacing="1"/>
        <w:jc w:val="both"/>
        <w:rPr>
          <w:rFonts w:ascii="Arial" w:hAnsi="Arial" w:cs="Arial"/>
          <w:color w:val="000000" w:themeColor="text1"/>
          <w:lang w:eastAsia="es-CO"/>
        </w:rPr>
      </w:pPr>
      <w:r w:rsidRPr="001B0583">
        <w:rPr>
          <w:rFonts w:ascii="Arial" w:hAnsi="Arial" w:cs="Arial"/>
          <w:color w:val="000000" w:themeColor="text1"/>
          <w:lang w:eastAsia="es-CO"/>
        </w:rPr>
        <w:t xml:space="preserve">De acuerdo con la Sentencia C-730 de 2017 se expone respecto al Decreto que </w:t>
      </w:r>
      <w:r w:rsidR="003A7489" w:rsidRPr="001B0583">
        <w:rPr>
          <w:rFonts w:ascii="Arial" w:hAnsi="Arial" w:cs="Arial"/>
          <w:color w:val="000000" w:themeColor="text1"/>
          <w:lang w:eastAsia="es-CO"/>
        </w:rPr>
        <w:t xml:space="preserve">893 de 2017 que </w:t>
      </w:r>
      <w:r w:rsidRPr="001B0583">
        <w:rPr>
          <w:rFonts w:ascii="Arial" w:hAnsi="Arial" w:cs="Arial"/>
          <w:color w:val="000000" w:themeColor="text1"/>
          <w:lang w:eastAsia="es-CO"/>
        </w:rPr>
        <w:t>el Acuerdo Final tiene seis ejes temáticos, a saber: (i) Reforma Rural Integral: hacia un nuevo campo colombiano, (</w:t>
      </w:r>
      <w:proofErr w:type="spellStart"/>
      <w:r w:rsidRPr="001B0583">
        <w:rPr>
          <w:rFonts w:ascii="Arial" w:hAnsi="Arial" w:cs="Arial"/>
          <w:color w:val="000000" w:themeColor="text1"/>
          <w:lang w:eastAsia="es-CO"/>
        </w:rPr>
        <w:t>ii</w:t>
      </w:r>
      <w:proofErr w:type="spellEnd"/>
      <w:r w:rsidRPr="001B0583">
        <w:rPr>
          <w:rFonts w:ascii="Arial" w:hAnsi="Arial" w:cs="Arial"/>
          <w:color w:val="000000" w:themeColor="text1"/>
          <w:lang w:eastAsia="es-CO"/>
        </w:rPr>
        <w:t>) Participación Política: apertura democrática para construir la paz, (</w:t>
      </w:r>
      <w:proofErr w:type="spellStart"/>
      <w:r w:rsidRPr="001B0583">
        <w:rPr>
          <w:rFonts w:ascii="Arial" w:hAnsi="Arial" w:cs="Arial"/>
          <w:color w:val="000000" w:themeColor="text1"/>
          <w:lang w:eastAsia="es-CO"/>
        </w:rPr>
        <w:t>iii</w:t>
      </w:r>
      <w:proofErr w:type="spellEnd"/>
      <w:r w:rsidRPr="001B0583">
        <w:rPr>
          <w:rFonts w:ascii="Arial" w:hAnsi="Arial" w:cs="Arial"/>
          <w:color w:val="000000" w:themeColor="text1"/>
          <w:lang w:eastAsia="es-CO"/>
        </w:rPr>
        <w:t>) Fin del Conflicto, (</w:t>
      </w:r>
      <w:proofErr w:type="spellStart"/>
      <w:r w:rsidRPr="001B0583">
        <w:rPr>
          <w:rFonts w:ascii="Arial" w:hAnsi="Arial" w:cs="Arial"/>
          <w:color w:val="000000" w:themeColor="text1"/>
          <w:lang w:eastAsia="es-CO"/>
        </w:rPr>
        <w:t>iv</w:t>
      </w:r>
      <w:proofErr w:type="spellEnd"/>
      <w:r w:rsidRPr="001B0583">
        <w:rPr>
          <w:rFonts w:ascii="Arial" w:hAnsi="Arial" w:cs="Arial"/>
          <w:color w:val="000000" w:themeColor="text1"/>
          <w:lang w:eastAsia="es-CO"/>
        </w:rPr>
        <w:t>) Solución al problema de las drogas ilícitas, (v) Acuerdo sobre las víctimas del conflicto y (vi) Mecanismos de implementación y verificación del cumplimiento del Acuerdo.</w:t>
      </w:r>
    </w:p>
    <w:p w14:paraId="7D6C574A" w14:textId="77777777" w:rsidR="00D23C4E" w:rsidRPr="001B0583" w:rsidRDefault="00D23C4E" w:rsidP="00D23C4E">
      <w:pPr>
        <w:spacing w:before="100" w:beforeAutospacing="1"/>
        <w:jc w:val="both"/>
        <w:rPr>
          <w:rFonts w:ascii="Arial" w:hAnsi="Arial" w:cs="Arial"/>
          <w:color w:val="000000" w:themeColor="text1"/>
          <w:lang w:eastAsia="es-CO"/>
        </w:rPr>
      </w:pPr>
      <w:r w:rsidRPr="001B0583">
        <w:rPr>
          <w:rFonts w:ascii="Arial" w:hAnsi="Arial" w:cs="Arial"/>
          <w:color w:val="000000" w:themeColor="text1"/>
          <w:lang w:eastAsia="es-CO"/>
        </w:rPr>
        <w:t>Como parte del primer punto sobre Reforma Rural Integral, el Acuerdo Final contiene el compromiso de crear los Programas de Desarrollo Rural con Enfoque Territorial y, a la vez, prevé un conjunto de herramientas para lograr esa reforma desde una perspectiva de “acceso integral” a la tierra en el marco de los PDET, según aparece en el punto 1.1.4 del Acuerdo y también en el punto 1.1.5, referente a la formalización masiva de la pequeña y mediana propiedad rural.</w:t>
      </w:r>
    </w:p>
    <w:p w14:paraId="405DB143" w14:textId="1F4E4319" w:rsidR="00D23C4E" w:rsidRPr="001B0583" w:rsidRDefault="003A7489" w:rsidP="00D23C4E">
      <w:pPr>
        <w:spacing w:before="100" w:beforeAutospacing="1"/>
        <w:jc w:val="both"/>
        <w:rPr>
          <w:rFonts w:ascii="Arial" w:hAnsi="Arial" w:cs="Arial"/>
          <w:color w:val="000000" w:themeColor="text1"/>
          <w:lang w:eastAsia="es-CO"/>
        </w:rPr>
      </w:pPr>
      <w:r w:rsidRPr="001B0583">
        <w:rPr>
          <w:rFonts w:ascii="Arial" w:hAnsi="Arial" w:cs="Arial"/>
          <w:color w:val="000000" w:themeColor="text1"/>
          <w:lang w:eastAsia="es-CO"/>
        </w:rPr>
        <w:t>Frente a</w:t>
      </w:r>
      <w:r w:rsidR="00D23C4E" w:rsidRPr="001B0583">
        <w:rPr>
          <w:rFonts w:ascii="Arial" w:hAnsi="Arial" w:cs="Arial"/>
          <w:color w:val="000000" w:themeColor="text1"/>
          <w:lang w:eastAsia="es-CO"/>
        </w:rPr>
        <w:t>l punto 1.2 del Acuerdo Final está específicamente destinado a los PDET y contiene el señalamiento de su objetivo (1.2.1), los criterios de priorización (1.2.2), la creación de los planes de acción para la transformación regional (1.2.3), los mecanismos de participación para su formulación, ejecución y veeduría (1.2.4), los medios para su diseño y ejecución (1.2.5), así como los mecanismos de seguimiento y evaluación (1.2.6). Igualmente, del último de los ejes temáticos del Acuerdo, relativo a los mecanismos de implementación y verificación de su cumplimiento, hace parte el punto 6.2, denominado capítulo étnico, que prevé disposiciones específicas tratándose del desarrollo de los PDET en los territorios de comunidades indígenas y afrocolombianas (6.2.3.a).</w:t>
      </w:r>
    </w:p>
    <w:p w14:paraId="20D9EBF2" w14:textId="139C8B27" w:rsidR="003435FD" w:rsidRPr="001B0583" w:rsidRDefault="003A7489" w:rsidP="00C96AB3">
      <w:pPr>
        <w:spacing w:before="100" w:beforeAutospacing="1"/>
        <w:jc w:val="both"/>
        <w:rPr>
          <w:rFonts w:ascii="Arial" w:hAnsi="Arial" w:cs="Arial"/>
          <w:color w:val="000000" w:themeColor="text1"/>
          <w:lang w:eastAsia="es-CO"/>
        </w:rPr>
      </w:pPr>
      <w:r w:rsidRPr="001B0583">
        <w:rPr>
          <w:rFonts w:ascii="Arial" w:hAnsi="Arial" w:cs="Arial"/>
          <w:color w:val="000000" w:themeColor="text1"/>
          <w:lang w:eastAsia="es-CO"/>
        </w:rPr>
        <w:t xml:space="preserve">En ese sentido los PDET se constituyen como una herramienta de planeación, acorde con el Acuerdo Final, cuyo propósito es organizar la intervención del Estado en las zonas priorizadas mediante Programas de Desarrollo con Enfoque Territorial. Conforme ha sido expuesto, la creación de estos programas no solo corresponde a lo pactado en el Acuerdo </w:t>
      </w:r>
      <w:r w:rsidR="003948C9" w:rsidRPr="001B0583">
        <w:rPr>
          <w:rFonts w:ascii="Arial" w:hAnsi="Arial" w:cs="Arial"/>
          <w:color w:val="000000" w:themeColor="text1"/>
          <w:lang w:eastAsia="es-CO"/>
        </w:rPr>
        <w:t>Final,</w:t>
      </w:r>
      <w:r w:rsidRPr="001B0583">
        <w:rPr>
          <w:rFonts w:ascii="Arial" w:hAnsi="Arial" w:cs="Arial"/>
          <w:color w:val="000000" w:themeColor="text1"/>
          <w:lang w:eastAsia="es-CO"/>
        </w:rPr>
        <w:t xml:space="preserve"> sino que desarrolla objetivos constitucionales primordiales, como la realización del derecho a la igualdad material entre miembros de poblaciones urbanas y campesinas, valiéndose de mecanismos de asignación de la inversión social.</w:t>
      </w:r>
    </w:p>
    <w:p w14:paraId="60B2BA9A" w14:textId="77777777" w:rsidR="003435FD" w:rsidRPr="001B0583" w:rsidRDefault="003435FD" w:rsidP="003435FD">
      <w:pPr>
        <w:jc w:val="both"/>
        <w:rPr>
          <w:rFonts w:ascii="Arial" w:hAnsi="Arial" w:cs="Arial"/>
          <w:color w:val="000000" w:themeColor="text1"/>
          <w:lang w:eastAsia="es-CO"/>
        </w:rPr>
      </w:pPr>
    </w:p>
    <w:p w14:paraId="46D6047D" w14:textId="77777777" w:rsidR="003435FD" w:rsidRPr="001B0583" w:rsidRDefault="003435FD" w:rsidP="003435FD">
      <w:pPr>
        <w:pStyle w:val="NormalWeb"/>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 xml:space="preserve">Por su parte, las Zonas Más Afectadas por el Conflicto Armado (ZOMAC) responden a aquellas regiones que por décadas han sido las más golpeadas por la violencia </w:t>
      </w:r>
      <w:r w:rsidRPr="001B0583">
        <w:rPr>
          <w:rFonts w:ascii="Arial" w:eastAsiaTheme="minorHAnsi" w:hAnsi="Arial" w:cs="Arial"/>
          <w:color w:val="000000" w:themeColor="text1"/>
          <w:kern w:val="2"/>
          <w:lang w:val="es-ES" w:eastAsia="es-CO"/>
          <w14:ligatures w14:val="standardContextual"/>
        </w:rPr>
        <w:lastRenderedPageBreak/>
        <w:t>en Colombia y sobre las cuales se busca acelerar su crecimiento, desarrollo y progreso. Es así como a través del Decreto 1650 de octubre de 2017, el Gobierno nacional crea el programa de estímulos ZOMAC, siendo escenarios en los que se incentiva la inversión otorgando beneficios tributarios para las empresas y nuevas sociedades que desarrollen su actividad económica y generen empleo en cualquiera de los 344 municipios seleccionados por el Ministerio de Hacienda y Crédito Público, el Departamento Nacional de Planeación (DNP) y la Agencia de Renovación del Territorio (ART). </w:t>
      </w:r>
    </w:p>
    <w:p w14:paraId="1B77037B" w14:textId="77777777" w:rsidR="003435FD" w:rsidRPr="001B0583" w:rsidRDefault="003435FD" w:rsidP="003435FD">
      <w:pPr>
        <w:pStyle w:val="NormalWeb"/>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Entre los beneficios de estas zonas están las previstas en la Ley 1819 de 2016 y el Decreto 1650 de 2017, que incluyen medidas como: </w:t>
      </w:r>
    </w:p>
    <w:p w14:paraId="3FCD57E1"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Tarifa del Impuesto sobre la Renta y complementarios de las nuevas sociedades que sean micro y pequeñas empresas, que inicien actividades en las ZOMAC por los años 2017 a 2021 será del 0% </w:t>
      </w:r>
    </w:p>
    <w:p w14:paraId="43B1368B"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Por los años 2022 a 2024 la tarifa será del 25% de la tarifa general del Impuesto sobre la Renta para personas jurídicas o asimiladas </w:t>
      </w:r>
    </w:p>
    <w:p w14:paraId="00864A3E"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Para los años 2025 a 2027 la tarifa será del 50% de la tarifa general. </w:t>
      </w:r>
    </w:p>
    <w:p w14:paraId="3ADAD489"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La tarifa del Impuesto sobre la Renta y complementarios de las nuevas sociedades que sean medianas y grandes empresas, que inicien sus actividades en las ZOMAC por los años 2017 a 2021 será del 50% de la tarifa general del Impuesto sobre la Renta y complementarios para personas jurídicas o asimiladas; Por los años 2022 a 2027 la tarifa será del 75% de la tarifa general.</w:t>
      </w:r>
    </w:p>
    <w:p w14:paraId="78186575"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El Gobierno nacional diseñará líneas de redescuento a través de la Financiera de Desarrollo Territorial S.A - Findeter y el Banco de Comercio Exterior de Colombia S.A. - Bancóldex, dirigidas a empresas y entidades territoriales que busquen invertir en proyectos productivos con el fin de contribuir a la reactivación económica del país. </w:t>
      </w:r>
    </w:p>
    <w:p w14:paraId="5AF92F11" w14:textId="77777777" w:rsidR="003435FD" w:rsidRPr="001B0583" w:rsidRDefault="003435FD" w:rsidP="003435FD">
      <w:pPr>
        <w:pStyle w:val="NormalWeb"/>
        <w:numPr>
          <w:ilvl w:val="1"/>
          <w:numId w:val="10"/>
        </w:numPr>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 xml:space="preserve">El mecanismo de obras por impuestos. </w:t>
      </w:r>
    </w:p>
    <w:p w14:paraId="248F78DE" w14:textId="77777777" w:rsidR="003435FD" w:rsidRPr="001B0583" w:rsidRDefault="003435FD" w:rsidP="003435FD">
      <w:pPr>
        <w:pStyle w:val="NormalWeb"/>
        <w:spacing w:before="0" w:beforeAutospacing="0" w:after="150" w:afterAutospacing="0"/>
        <w:jc w:val="both"/>
        <w:rPr>
          <w:rFonts w:ascii="Arial" w:eastAsiaTheme="minorHAnsi" w:hAnsi="Arial" w:cs="Arial"/>
          <w:color w:val="000000" w:themeColor="text1"/>
          <w:kern w:val="2"/>
          <w:lang w:val="es-ES" w:eastAsia="es-CO"/>
          <w14:ligatures w14:val="standardContextual"/>
        </w:rPr>
      </w:pPr>
      <w:r w:rsidRPr="001B0583">
        <w:rPr>
          <w:rFonts w:ascii="Arial" w:eastAsiaTheme="minorHAnsi" w:hAnsi="Arial" w:cs="Arial"/>
          <w:color w:val="000000" w:themeColor="text1"/>
          <w:kern w:val="2"/>
          <w:lang w:val="es-ES" w:eastAsia="es-CO"/>
          <w14:ligatures w14:val="standardContextual"/>
        </w:rPr>
        <w:t>Beneficios que varían por tamaño de la empresa y actividad económica (Cuadro 3). Por ejemplo: − Microempresa con vocación agrícola, cuyo domicilio y proceso productivo se desarrolle dentro de las ZOMAC, que invierta 40 SMLMV (2017: $29.508.680) y genere 2 empleos directos, podrá gozar del incentivo − Empresa grande, que desarrolla esta misma actividad, los requisitos de inversión y empleo se incrementan a 7800 SMLMV (2017: $5.754.192.600) y 49 empleos directos, respectivamente.</w:t>
      </w:r>
    </w:p>
    <w:p w14:paraId="447B3CBD" w14:textId="43AD876D" w:rsidR="003435FD" w:rsidRPr="001B0583" w:rsidRDefault="003435FD" w:rsidP="003435FD">
      <w:pPr>
        <w:pStyle w:val="p1"/>
        <w:jc w:val="both"/>
        <w:rPr>
          <w:rFonts w:ascii="Arial" w:eastAsiaTheme="minorHAnsi" w:hAnsi="Arial" w:cs="Arial"/>
          <w:color w:val="000000" w:themeColor="text1"/>
          <w:kern w:val="2"/>
          <w:sz w:val="24"/>
          <w:szCs w:val="24"/>
          <w:lang w:val="es-ES" w:eastAsia="es-CO"/>
          <w14:ligatures w14:val="standardContextual"/>
        </w:rPr>
      </w:pPr>
      <w:r w:rsidRPr="001B0583">
        <w:rPr>
          <w:rFonts w:ascii="Arial" w:eastAsiaTheme="minorHAnsi" w:hAnsi="Arial" w:cs="Arial"/>
          <w:color w:val="000000" w:themeColor="text1"/>
          <w:kern w:val="2"/>
          <w:sz w:val="24"/>
          <w:szCs w:val="24"/>
          <w:lang w:val="es-ES" w:eastAsia="es-CO"/>
          <w14:ligatures w14:val="standardContextual"/>
        </w:rPr>
        <w:t>En definitiva, estas zonas tienen el objetivo de atraer la inversión del sector privado expresada en la creación de empresas y la generación de empleo con la finalidad de cerrar las brechas de desigualdad socioeconómicas en estas zonas.</w:t>
      </w:r>
    </w:p>
    <w:p w14:paraId="0801B32A" w14:textId="77777777" w:rsidR="00D23C4E" w:rsidRPr="001B0583" w:rsidRDefault="00D23C4E" w:rsidP="004F726E">
      <w:pPr>
        <w:pStyle w:val="p1"/>
        <w:rPr>
          <w:rFonts w:ascii="Arial" w:hAnsi="Arial" w:cs="Arial"/>
          <w:color w:val="000000" w:themeColor="text1"/>
          <w:sz w:val="24"/>
          <w:szCs w:val="24"/>
          <w:lang w:val="es-ES"/>
        </w:rPr>
      </w:pPr>
    </w:p>
    <w:p w14:paraId="4462527D" w14:textId="09CB6103" w:rsidR="00C96AB3" w:rsidRPr="001B0583" w:rsidRDefault="003435FD" w:rsidP="00C96AB3">
      <w:pPr>
        <w:jc w:val="both"/>
        <w:outlineLvl w:val="2"/>
        <w:rPr>
          <w:rFonts w:ascii="Arial" w:hAnsi="Arial" w:cs="Arial"/>
          <w:color w:val="000000" w:themeColor="text1"/>
          <w:lang w:eastAsia="es-CO"/>
        </w:rPr>
      </w:pPr>
      <w:r w:rsidRPr="001B0583">
        <w:rPr>
          <w:rFonts w:ascii="Arial" w:hAnsi="Arial" w:cs="Arial"/>
          <w:color w:val="000000" w:themeColor="text1"/>
          <w:lang w:eastAsia="es-CO"/>
        </w:rPr>
        <w:t xml:space="preserve">A partir de </w:t>
      </w:r>
      <w:r w:rsidR="00C96AB3" w:rsidRPr="001B0583">
        <w:rPr>
          <w:rFonts w:ascii="Arial" w:hAnsi="Arial" w:cs="Arial"/>
          <w:color w:val="000000" w:themeColor="text1"/>
          <w:lang w:eastAsia="es-CO"/>
        </w:rPr>
        <w:t>lo anterior se puede responder estar preguntas, que atienden justamente a la necesidad de esta iniciativa:</w:t>
      </w:r>
    </w:p>
    <w:p w14:paraId="1A251A8A" w14:textId="77777777" w:rsidR="00C96AB3" w:rsidRPr="001B0583" w:rsidRDefault="00C96AB3" w:rsidP="00C96AB3">
      <w:pPr>
        <w:jc w:val="both"/>
        <w:outlineLvl w:val="2"/>
        <w:rPr>
          <w:rFonts w:ascii="Arial" w:hAnsi="Arial" w:cs="Arial"/>
          <w:color w:val="000000" w:themeColor="text1"/>
          <w:lang w:eastAsia="es-CO"/>
        </w:rPr>
      </w:pPr>
    </w:p>
    <w:p w14:paraId="7C7111AE" w14:textId="6E24405F" w:rsidR="00C96AB3" w:rsidRPr="001B0583" w:rsidRDefault="00C96AB3" w:rsidP="00C96AB3">
      <w:pPr>
        <w:jc w:val="both"/>
        <w:outlineLvl w:val="2"/>
        <w:rPr>
          <w:rFonts w:ascii="Arial" w:hAnsi="Arial" w:cs="Arial"/>
          <w:color w:val="000000" w:themeColor="text1"/>
          <w:lang w:eastAsia="es-CO"/>
        </w:rPr>
      </w:pPr>
      <w:r w:rsidRPr="001B0583">
        <w:rPr>
          <w:rFonts w:ascii="Arial" w:hAnsi="Arial" w:cs="Arial"/>
          <w:color w:val="000000" w:themeColor="text1"/>
          <w:lang w:eastAsia="es-CO"/>
        </w:rPr>
        <w:t xml:space="preserve">¿Cuáles son los beneficios para los municipios PDET?: El principal beneficio para los PDET la aplicación de la Reforma Rural Integral de forma prioritaria en estas zonas rurales. Mediante esta reforma, se buscan sentar las bases para la transformación del campo, generar desarrollo social, reducir los índices de pobreza y crear desarrollo integral de la sociedad mediante proyectos de inversión que generen bienestar para la población. </w:t>
      </w:r>
      <w:proofErr w:type="gramStart"/>
      <w:r w:rsidRPr="001B0583">
        <w:rPr>
          <w:rFonts w:ascii="Arial" w:hAnsi="Arial" w:cs="Arial"/>
          <w:color w:val="000000" w:themeColor="text1"/>
          <w:lang w:eastAsia="es-CO"/>
        </w:rPr>
        <w:t>Además</w:t>
      </w:r>
      <w:proofErr w:type="gramEnd"/>
      <w:r w:rsidRPr="001B0583">
        <w:rPr>
          <w:rFonts w:ascii="Arial" w:hAnsi="Arial" w:cs="Arial"/>
          <w:color w:val="000000" w:themeColor="text1"/>
          <w:lang w:eastAsia="es-CO"/>
        </w:rPr>
        <w:t xml:space="preserve"> existen incentivos tributarios para fomentar el crecimiento económico en dichos territorios. </w:t>
      </w:r>
    </w:p>
    <w:p w14:paraId="09B06959" w14:textId="77777777" w:rsidR="00C96AB3" w:rsidRPr="001B0583" w:rsidRDefault="00C96AB3" w:rsidP="00C96AB3">
      <w:pPr>
        <w:jc w:val="both"/>
        <w:rPr>
          <w:rFonts w:ascii="Arial" w:hAnsi="Arial" w:cs="Arial"/>
          <w:color w:val="000000" w:themeColor="text1"/>
          <w:lang w:eastAsia="es-CO"/>
        </w:rPr>
      </w:pPr>
    </w:p>
    <w:p w14:paraId="18C03062" w14:textId="24A2840B" w:rsidR="00C96AB3" w:rsidRPr="001B0583" w:rsidRDefault="00C96AB3" w:rsidP="00C96AB3">
      <w:pPr>
        <w:jc w:val="both"/>
        <w:rPr>
          <w:rFonts w:ascii="Arial" w:hAnsi="Arial" w:cs="Arial"/>
          <w:color w:val="000000" w:themeColor="text1"/>
          <w:lang w:eastAsia="es-CO"/>
        </w:rPr>
      </w:pPr>
      <w:r w:rsidRPr="001B0583">
        <w:rPr>
          <w:rFonts w:ascii="Arial" w:hAnsi="Arial" w:cs="Arial"/>
          <w:color w:val="000000" w:themeColor="text1"/>
          <w:lang w:eastAsia="es-CO"/>
        </w:rPr>
        <w:t>Bien sea mediante el mejoramiento de vías, obras de mejoramiento para escuelas o instituciones pública, el objetivo es integrar a las zonas afectadas por la violencia para fortalecerlas y propender por el desarrollo económico y social. </w:t>
      </w:r>
    </w:p>
    <w:p w14:paraId="200CCFEF" w14:textId="77777777" w:rsidR="00C96AB3" w:rsidRPr="001B0583" w:rsidRDefault="00C96AB3" w:rsidP="00C96AB3">
      <w:pPr>
        <w:jc w:val="both"/>
        <w:rPr>
          <w:rFonts w:ascii="Arial" w:hAnsi="Arial" w:cs="Arial"/>
          <w:color w:val="000000" w:themeColor="text1"/>
          <w:lang w:eastAsia="es-CO"/>
        </w:rPr>
      </w:pPr>
    </w:p>
    <w:p w14:paraId="2691BD5F" w14:textId="77777777" w:rsidR="00C96AB3" w:rsidRPr="001B0583" w:rsidRDefault="00C96AB3" w:rsidP="00C96AB3">
      <w:pPr>
        <w:jc w:val="both"/>
        <w:rPr>
          <w:rFonts w:ascii="Arial" w:hAnsi="Arial" w:cs="Arial"/>
          <w:color w:val="000000" w:themeColor="text1"/>
          <w:lang w:eastAsia="es-CO"/>
        </w:rPr>
      </w:pPr>
    </w:p>
    <w:p w14:paraId="5A4BD279" w14:textId="14C4D265" w:rsidR="00C96AB3" w:rsidRPr="001B0583" w:rsidRDefault="00C96AB3" w:rsidP="00C96AB3">
      <w:pPr>
        <w:jc w:val="both"/>
        <w:outlineLvl w:val="1"/>
        <w:rPr>
          <w:rFonts w:ascii="Arial" w:hAnsi="Arial" w:cs="Arial"/>
          <w:color w:val="000000" w:themeColor="text1"/>
          <w:lang w:eastAsia="es-CO"/>
        </w:rPr>
      </w:pPr>
      <w:r w:rsidRPr="001B0583">
        <w:rPr>
          <w:rFonts w:ascii="Arial" w:hAnsi="Arial" w:cs="Arial"/>
          <w:color w:val="000000" w:themeColor="text1"/>
          <w:lang w:eastAsia="es-CO"/>
        </w:rPr>
        <w:t>¿Qué es ZOMAC?: Las ZOMAC son un conjunto de municipios que agrupa las zonas del país más afectadas por el conflicto, tal como indican sus siglas ZOMAC – Zonas más Afectadas por el Conflicto Armado. Estas zonas tienen una serie de implicaciones en el régimen de tributación para empresas dedicadas en las zonas o bien, creadas en las zonas que tuvieron la principal incidencia del conflicto. Los</w:t>
      </w:r>
      <w:r w:rsidRPr="001B0583">
        <w:rPr>
          <w:rFonts w:ascii="Arial" w:eastAsia="Times New Roman" w:hAnsi="Arial" w:cs="Arial"/>
          <w:color w:val="000000" w:themeColor="text1"/>
          <w:kern w:val="0"/>
          <w:lang w:val="es-CO" w:eastAsia="es-ES_tradnl"/>
          <w14:ligatures w14:val="none"/>
        </w:rPr>
        <w:t xml:space="preserve"> beneficios e incentivos tributarios de las ZOMAC quedaron plasmados en los artículos 235 al 237 de la ley 2819 de 2016 y el Decreto 1650 de 2017.</w:t>
      </w:r>
    </w:p>
    <w:p w14:paraId="5AA46A71" w14:textId="77777777" w:rsidR="00D23C4E" w:rsidRPr="001B0583" w:rsidRDefault="00D23C4E" w:rsidP="004F726E">
      <w:pPr>
        <w:pStyle w:val="p1"/>
        <w:rPr>
          <w:rFonts w:ascii="Arial" w:hAnsi="Arial" w:cs="Arial"/>
          <w:color w:val="000000" w:themeColor="text1"/>
          <w:sz w:val="24"/>
          <w:szCs w:val="24"/>
        </w:rPr>
      </w:pPr>
    </w:p>
    <w:p w14:paraId="5723DE30" w14:textId="4BFF41C1" w:rsidR="00C96AB3" w:rsidRPr="001B0583" w:rsidRDefault="00C96AB3" w:rsidP="00C96AB3">
      <w:pPr>
        <w:jc w:val="both"/>
        <w:rPr>
          <w:rFonts w:ascii="Arial" w:hAnsi="Arial" w:cs="Arial"/>
          <w:color w:val="000000" w:themeColor="text1"/>
        </w:rPr>
      </w:pPr>
      <w:r w:rsidRPr="001B0583">
        <w:rPr>
          <w:rFonts w:ascii="Arial" w:hAnsi="Arial" w:cs="Arial"/>
          <w:color w:val="000000" w:themeColor="text1"/>
        </w:rPr>
        <w:t>Es que la Corte Constitucional ha dicho que estos municipios están relacionados a derechos fundamentales como, por ejemplo, el derecho a la educación básica de niños, niñas y adolescentes (arts. 44 y 67 C.P.); el derecho a la salud (Ley 1757 de 2015); el derecho a la alimentación que es fundamental para la mujer gestante y lactante (artículo 43 C.P.), para los niños y niñas (artículo 44 C.P.) y para las personas mayores (artículo 46 C.P.), y el derecho al mínimo vital (artículo 11 y 53); todas las acciones encaminadas a la satisfacción de estos derechos contribuye a erradicar la pobreza extrema en el campo y la discriminación entre habitantes del campo y la ciudad.</w:t>
      </w:r>
    </w:p>
    <w:p w14:paraId="160FB746" w14:textId="77777777" w:rsidR="00C96AB3" w:rsidRPr="001B0583" w:rsidRDefault="00C96AB3" w:rsidP="00C96AB3">
      <w:pPr>
        <w:jc w:val="both"/>
        <w:rPr>
          <w:rFonts w:ascii="Arial" w:hAnsi="Arial" w:cs="Arial"/>
          <w:color w:val="000000" w:themeColor="text1"/>
        </w:rPr>
      </w:pPr>
    </w:p>
    <w:p w14:paraId="5B023FDF" w14:textId="0BD12ED1" w:rsidR="00C96AB3" w:rsidRPr="001B0583" w:rsidRDefault="00C96AB3" w:rsidP="00C96AB3">
      <w:pPr>
        <w:jc w:val="both"/>
        <w:rPr>
          <w:rFonts w:ascii="Arial" w:hAnsi="Arial" w:cs="Arial"/>
          <w:color w:val="000000" w:themeColor="text1"/>
        </w:rPr>
      </w:pPr>
      <w:r w:rsidRPr="001B0583">
        <w:rPr>
          <w:rFonts w:ascii="Arial" w:hAnsi="Arial" w:cs="Arial"/>
          <w:color w:val="000000" w:themeColor="text1"/>
        </w:rPr>
        <w:t xml:space="preserve">Los PDET y los PATR también contribuyen a la realización del derecho fundamental a la reparación individual y colectiva de las víctimas de graves violaciones a los derechos humanos e infracciones al Derecho Internacional Humanitario, en cuanto los PDET son focalizados en zonas de alta victimización y deben tener un enfoque reparador, como lo menciona el punto 5.1.3.3 del Acuerdo Final, y el artículo 4.6 del Decreto Ley. Adicionalmente, en su conjunto, los PDET, como parte de la Reforma Rural Integral, </w:t>
      </w:r>
      <w:r w:rsidR="00BC3035" w:rsidRPr="001B0583">
        <w:rPr>
          <w:rFonts w:ascii="Arial" w:hAnsi="Arial" w:cs="Arial"/>
          <w:color w:val="000000" w:themeColor="text1"/>
        </w:rPr>
        <w:t>de acuerdo con el</w:t>
      </w:r>
      <w:r w:rsidRPr="001B0583">
        <w:rPr>
          <w:rFonts w:ascii="Arial" w:hAnsi="Arial" w:cs="Arial"/>
          <w:color w:val="000000" w:themeColor="text1"/>
        </w:rPr>
        <w:t xml:space="preserve"> texto del Acuerdo Final, fueron concebidos como una garantía de no repetición del conflicto armado, por lo que hacen parte del derecho a la reparación, en su componente de garantía de no repetición (artículos 2, 93 y 230 C.P.).</w:t>
      </w:r>
    </w:p>
    <w:p w14:paraId="00593A4A" w14:textId="77777777" w:rsidR="00C96AB3" w:rsidRPr="001B0583" w:rsidRDefault="00C96AB3" w:rsidP="00C96AB3">
      <w:pPr>
        <w:jc w:val="both"/>
        <w:rPr>
          <w:rFonts w:ascii="Arial" w:hAnsi="Arial" w:cs="Arial"/>
          <w:color w:val="000000" w:themeColor="text1"/>
        </w:rPr>
      </w:pPr>
    </w:p>
    <w:p w14:paraId="4F6459A6" w14:textId="5A555ED8" w:rsidR="00D23C4E" w:rsidRPr="001B0583" w:rsidRDefault="00C96AB3" w:rsidP="003435FD">
      <w:pPr>
        <w:jc w:val="both"/>
        <w:rPr>
          <w:rFonts w:ascii="Arial" w:hAnsi="Arial" w:cs="Arial"/>
          <w:color w:val="000000" w:themeColor="text1"/>
        </w:rPr>
      </w:pPr>
      <w:r w:rsidRPr="001B0583">
        <w:rPr>
          <w:rFonts w:ascii="Arial" w:hAnsi="Arial" w:cs="Arial"/>
          <w:color w:val="000000" w:themeColor="text1"/>
        </w:rPr>
        <w:t xml:space="preserve">Es que, además el Acto Legislativo 02 de 2017 señala, además, que las autoridades del Estado tienen la obligación de cumplir de buena fe con lo establecido en el Acuerdo Final, por lo que los desarrollos normativos del Acuerdo Final y su </w:t>
      </w:r>
      <w:r w:rsidRPr="001B0583">
        <w:rPr>
          <w:rFonts w:ascii="Arial" w:hAnsi="Arial" w:cs="Arial"/>
          <w:color w:val="000000" w:themeColor="text1"/>
        </w:rPr>
        <w:lastRenderedPageBreak/>
        <w:t>interpretación “</w:t>
      </w:r>
      <w:r w:rsidRPr="001B0583">
        <w:rPr>
          <w:rFonts w:ascii="Arial" w:hAnsi="Arial" w:cs="Arial"/>
          <w:i/>
          <w:iCs/>
          <w:color w:val="000000" w:themeColor="text1"/>
        </w:rPr>
        <w:t>deberán guardar coherencia e integralidad con lo acordado, preservando los contenidos, los compromisos, el espíritu y los principios del Acuerdo Final</w:t>
      </w:r>
      <w:r w:rsidRPr="001B0583">
        <w:rPr>
          <w:rFonts w:ascii="Arial" w:hAnsi="Arial" w:cs="Arial"/>
          <w:color w:val="000000" w:themeColor="text1"/>
        </w:rPr>
        <w:t xml:space="preserve">”. Esta disposición impone a los </w:t>
      </w:r>
      <w:r w:rsidR="00BC3035" w:rsidRPr="001B0583">
        <w:rPr>
          <w:rFonts w:ascii="Arial" w:hAnsi="Arial" w:cs="Arial"/>
          <w:color w:val="000000" w:themeColor="text1"/>
        </w:rPr>
        <w:t>órganos</w:t>
      </w:r>
      <w:r w:rsidRPr="001B0583">
        <w:rPr>
          <w:rFonts w:ascii="Arial" w:hAnsi="Arial" w:cs="Arial"/>
          <w:color w:val="000000" w:themeColor="text1"/>
        </w:rPr>
        <w:t xml:space="preserve"> y autoridades del Estado el cumplimiento de buena fe de los compromisos del Acuerdo Final y la búsqueda de sus finalidades, para lo cual, en el Ámbito de sus competencias, podrán elegir los medios más apropiados para ello, bajo el principio de progresividad. Es decir, los ajustes a los contenidos normativos de implementación son admisibles siempre que tengan por objeto el cumplimiento de buena fe de los compromisos y finalidades del Acuerdo Final. Esta obligación, establecida en el Acto Legislativo 02 de 2017, no se refiere sólo a la producción normativa tendiente a implementar y desarrollar lo acordado, sino a la ejecución y desarrollo de las normas de implementación. </w:t>
      </w:r>
    </w:p>
    <w:p w14:paraId="091E4A07" w14:textId="77777777" w:rsidR="003435FD" w:rsidRPr="001B0583" w:rsidRDefault="003435FD" w:rsidP="003435FD">
      <w:pPr>
        <w:pStyle w:val="NormalWeb"/>
        <w:spacing w:before="0" w:beforeAutospacing="0" w:after="150" w:afterAutospacing="0"/>
        <w:jc w:val="both"/>
        <w:rPr>
          <w:rFonts w:ascii="Arial" w:eastAsiaTheme="minorHAnsi" w:hAnsi="Arial" w:cs="Arial"/>
          <w:color w:val="000000" w:themeColor="text1"/>
          <w:kern w:val="2"/>
          <w:lang w:val="es-ES" w:eastAsia="es-CO"/>
          <w14:ligatures w14:val="standardContextual"/>
        </w:rPr>
      </w:pPr>
    </w:p>
    <w:p w14:paraId="6A0AA0F8" w14:textId="6C24EED4" w:rsidR="003435FD" w:rsidRPr="001B0583" w:rsidRDefault="003435FD" w:rsidP="003435FD">
      <w:pPr>
        <w:jc w:val="both"/>
        <w:rPr>
          <w:rFonts w:ascii="Arial" w:hAnsi="Arial" w:cs="Arial"/>
          <w:b/>
          <w:bCs/>
          <w:color w:val="000000" w:themeColor="text1"/>
          <w:u w:val="single"/>
          <w:lang w:val="es-CO" w:eastAsia="es-CO"/>
        </w:rPr>
      </w:pPr>
      <w:r w:rsidRPr="004542C2">
        <w:rPr>
          <w:rFonts w:ascii="Arial" w:hAnsi="Arial" w:cs="Arial"/>
          <w:b/>
          <w:bCs/>
          <w:color w:val="000000" w:themeColor="text1"/>
          <w:u w:val="single"/>
          <w:lang w:val="es-CO" w:eastAsia="es-CO"/>
        </w:rPr>
        <w:t>BOYACÁ</w:t>
      </w:r>
      <w:r w:rsidRPr="001B0583">
        <w:rPr>
          <w:rFonts w:ascii="Arial" w:hAnsi="Arial" w:cs="Arial"/>
          <w:b/>
          <w:bCs/>
          <w:color w:val="000000" w:themeColor="text1"/>
          <w:u w:val="single"/>
          <w:lang w:val="es-CO" w:eastAsia="es-CO"/>
        </w:rPr>
        <w:t xml:space="preserve"> </w:t>
      </w:r>
    </w:p>
    <w:p w14:paraId="62A59E56" w14:textId="77777777" w:rsidR="00D23C4E" w:rsidRPr="001B0583" w:rsidRDefault="00D23C4E" w:rsidP="004F726E">
      <w:pPr>
        <w:pStyle w:val="p1"/>
        <w:rPr>
          <w:rFonts w:ascii="Arial" w:hAnsi="Arial" w:cs="Arial"/>
          <w:b/>
          <w:bCs/>
          <w:color w:val="000000" w:themeColor="text1"/>
          <w:sz w:val="24"/>
          <w:szCs w:val="24"/>
          <w:u w:val="single"/>
          <w:lang w:val="es-ES"/>
        </w:rPr>
      </w:pPr>
    </w:p>
    <w:p w14:paraId="12FD11B9" w14:textId="119DAB25" w:rsidR="000A4BAE" w:rsidRPr="001B0583" w:rsidRDefault="000A4BAE" w:rsidP="000A4BAE">
      <w:pPr>
        <w:jc w:val="both"/>
        <w:rPr>
          <w:rFonts w:ascii="Arial" w:hAnsi="Arial" w:cs="Arial"/>
          <w:color w:val="000000" w:themeColor="text1"/>
        </w:rPr>
      </w:pPr>
      <w:r w:rsidRPr="001B0583">
        <w:rPr>
          <w:rFonts w:ascii="Arial" w:hAnsi="Arial" w:cs="Arial"/>
          <w:color w:val="000000" w:themeColor="text1"/>
        </w:rPr>
        <w:t>La exclusión de Boyacá de los PDET es inexplicable a la luz de los datos que documentan el impacto del conflicto armado en este departamento. Según la Unidad para las Víctimas (2024), Boyacá registra 37.916 víctimas de desplazamiento forzado, cifra comparable con municipios de Caquetá, Nariño y el Catatumbo, que fueron incluidos en los PDET. Además, 10.198 homicidios y 2.717 desapariciones forzadas reflejan la magnitud de la violencia sufrida por la población, con municipios como Puerto Boyacá, Cubará, Chita y Pajarito soportando algunos de los peores efectos del conflicto.</w:t>
      </w:r>
    </w:p>
    <w:p w14:paraId="77AFCACC" w14:textId="77777777" w:rsidR="000A4BAE" w:rsidRPr="001B0583" w:rsidRDefault="000A4BAE" w:rsidP="000A4BAE">
      <w:pPr>
        <w:jc w:val="both"/>
        <w:rPr>
          <w:rFonts w:ascii="Arial" w:hAnsi="Arial" w:cs="Arial"/>
          <w:color w:val="000000" w:themeColor="text1"/>
        </w:rPr>
      </w:pPr>
    </w:p>
    <w:p w14:paraId="082C1D81" w14:textId="77777777" w:rsidR="000A4BAE" w:rsidRPr="001B0583" w:rsidRDefault="000A4BAE" w:rsidP="000A4BAE">
      <w:pPr>
        <w:jc w:val="both"/>
        <w:rPr>
          <w:rFonts w:ascii="Arial" w:hAnsi="Arial" w:cs="Arial"/>
          <w:color w:val="000000" w:themeColor="text1"/>
        </w:rPr>
      </w:pPr>
      <w:r w:rsidRPr="001B0583">
        <w:rPr>
          <w:rFonts w:ascii="Arial" w:hAnsi="Arial" w:cs="Arial"/>
          <w:color w:val="000000" w:themeColor="text1"/>
        </w:rPr>
        <w:t xml:space="preserve">Para contextualizar la injusticia de esta exclusión, se pueden comparar las cifras de algunos municipios boyacenses con otros que sí fueron incluidos en los PDET. Puerto Boyacá presenta 1.503 homicidios, 1.154 desapariciones forzadas y 6.446 desplazados, cifras que superan las de municipios PDET en Putumayo (Puerto </w:t>
      </w:r>
      <w:proofErr w:type="spellStart"/>
      <w:r w:rsidRPr="001B0583">
        <w:rPr>
          <w:rFonts w:ascii="Arial" w:hAnsi="Arial" w:cs="Arial"/>
          <w:color w:val="000000" w:themeColor="text1"/>
        </w:rPr>
        <w:t>Leguízamo</w:t>
      </w:r>
      <w:proofErr w:type="spellEnd"/>
      <w:r w:rsidRPr="001B0583">
        <w:rPr>
          <w:rFonts w:ascii="Arial" w:hAnsi="Arial" w:cs="Arial"/>
          <w:color w:val="000000" w:themeColor="text1"/>
        </w:rPr>
        <w:t>: 1.122 homicidios, 5.879 desplazados) y Meta (Vista Hermosa: 998 homicidios, 5.342 desplazados).</w:t>
      </w:r>
    </w:p>
    <w:p w14:paraId="6898349E" w14:textId="77777777" w:rsidR="000A4BAE" w:rsidRPr="001B0583" w:rsidRDefault="000A4BAE" w:rsidP="000A4BAE">
      <w:pPr>
        <w:jc w:val="both"/>
        <w:rPr>
          <w:rFonts w:ascii="Arial" w:hAnsi="Arial" w:cs="Arial"/>
          <w:color w:val="000000" w:themeColor="text1"/>
        </w:rPr>
      </w:pPr>
    </w:p>
    <w:p w14:paraId="1F748BA6" w14:textId="77777777" w:rsidR="000A4BAE" w:rsidRPr="001B0583" w:rsidRDefault="000A4BAE" w:rsidP="000A4BAE">
      <w:pPr>
        <w:jc w:val="both"/>
        <w:rPr>
          <w:rFonts w:ascii="Arial" w:hAnsi="Arial" w:cs="Arial"/>
          <w:color w:val="000000" w:themeColor="text1"/>
        </w:rPr>
      </w:pPr>
      <w:r w:rsidRPr="001B0583">
        <w:rPr>
          <w:rFonts w:ascii="Arial" w:hAnsi="Arial" w:cs="Arial"/>
          <w:color w:val="000000" w:themeColor="text1"/>
        </w:rPr>
        <w:t>De manera similar, Cubará reporta 1.050 desplazados y 297 homicidios, superando municipios PDET en Arauca como Arauquita (812 desplazados y 275 homicidios) y en Tolima como Ataco (970 desplazados, 289 homicidios). En Chita, se documentan 1.458 personas desplazadas y 350 homicidios, una afectación que sobrepasa municipios PDET de Cauca como Balboa (1.200 desplazados, 315 homicidios).</w:t>
      </w:r>
    </w:p>
    <w:p w14:paraId="551E121B" w14:textId="77777777" w:rsidR="000A4BAE" w:rsidRPr="001B0583" w:rsidRDefault="000A4BAE" w:rsidP="000A4BAE">
      <w:pPr>
        <w:jc w:val="both"/>
        <w:rPr>
          <w:rFonts w:ascii="Arial" w:hAnsi="Arial" w:cs="Arial"/>
          <w:color w:val="000000" w:themeColor="text1"/>
        </w:rPr>
      </w:pPr>
    </w:p>
    <w:p w14:paraId="7DA9757D" w14:textId="77777777" w:rsidR="000A4BAE" w:rsidRPr="001B0583" w:rsidRDefault="000A4BAE" w:rsidP="000A4BAE">
      <w:pPr>
        <w:jc w:val="both"/>
        <w:rPr>
          <w:rFonts w:ascii="Arial" w:hAnsi="Arial" w:cs="Arial"/>
          <w:color w:val="000000" w:themeColor="text1"/>
        </w:rPr>
      </w:pPr>
      <w:r w:rsidRPr="001B0583">
        <w:rPr>
          <w:rFonts w:ascii="Arial" w:hAnsi="Arial" w:cs="Arial"/>
          <w:color w:val="000000" w:themeColor="text1"/>
        </w:rPr>
        <w:t>Estos datos evidencian que, si la selección de municipios PDET se basó en criterios de violencia y desplazamiento, Boyacá debió ser incluido desde un principio. Su exclusión constituye un rezago en el acceso a recursos, infraestructura y oportunidades económicas esenciales para la recuperación de estas comunidades.</w:t>
      </w:r>
    </w:p>
    <w:p w14:paraId="215B7D0D" w14:textId="77777777" w:rsidR="000A4BAE" w:rsidRPr="001B0583" w:rsidRDefault="000A4BAE" w:rsidP="000A4BAE">
      <w:pPr>
        <w:jc w:val="both"/>
        <w:rPr>
          <w:rFonts w:ascii="Arial" w:hAnsi="Arial" w:cs="Arial"/>
          <w:color w:val="000000" w:themeColor="text1"/>
        </w:rPr>
      </w:pPr>
    </w:p>
    <w:p w14:paraId="30E13333" w14:textId="719BEA03" w:rsidR="000A4BAE" w:rsidRPr="001B0583" w:rsidRDefault="000A4BAE" w:rsidP="000A4BAE">
      <w:pPr>
        <w:jc w:val="both"/>
        <w:rPr>
          <w:rFonts w:ascii="Arial" w:hAnsi="Arial" w:cs="Arial"/>
          <w:color w:val="000000" w:themeColor="text1"/>
        </w:rPr>
      </w:pPr>
      <w:r w:rsidRPr="001B0583">
        <w:rPr>
          <w:rFonts w:ascii="Arial" w:hAnsi="Arial" w:cs="Arial"/>
          <w:color w:val="000000" w:themeColor="text1"/>
        </w:rPr>
        <w:t xml:space="preserve">La Corte Constitucional a través de La Sentencia C-730 de 2017, determinó que la selección de territorios para esquemas de desarrollo especial debe sustentarse en criterios objetivos y verificables. La exclusión de Boyacá de los PDET contradice este principio, pues las cifras demuestran que su situación es equiparable a la de </w:t>
      </w:r>
      <w:r w:rsidRPr="001B0583">
        <w:rPr>
          <w:rFonts w:ascii="Arial" w:hAnsi="Arial" w:cs="Arial"/>
          <w:color w:val="000000" w:themeColor="text1"/>
        </w:rPr>
        <w:lastRenderedPageBreak/>
        <w:t xml:space="preserve">otros municipios ya beneficiados. Por ello, es necesario revisar y reformar los criterios de inclusión en los PDET y ZOMAC, permitiendo la incorporación de Boyacá a estos programas. </w:t>
      </w:r>
    </w:p>
    <w:p w14:paraId="31CA5909" w14:textId="428EEFD5" w:rsidR="00240737" w:rsidRPr="001B0583" w:rsidRDefault="00240737" w:rsidP="000A4BAE">
      <w:pPr>
        <w:jc w:val="both"/>
        <w:rPr>
          <w:rFonts w:ascii="Arial" w:hAnsi="Arial" w:cs="Arial"/>
          <w:color w:val="000000" w:themeColor="text1"/>
        </w:rPr>
      </w:pPr>
    </w:p>
    <w:p w14:paraId="017188E7" w14:textId="706FAB0E" w:rsidR="00D23C4E" w:rsidRPr="001B0583" w:rsidRDefault="00240737" w:rsidP="002B6997">
      <w:pPr>
        <w:pStyle w:val="p1"/>
        <w:jc w:val="center"/>
        <w:rPr>
          <w:rFonts w:ascii="Arial" w:hAnsi="Arial" w:cs="Arial"/>
          <w:b/>
          <w:bCs/>
          <w:color w:val="000000" w:themeColor="text1"/>
          <w:sz w:val="24"/>
          <w:szCs w:val="24"/>
          <w:u w:val="single"/>
          <w:lang w:val="es-ES"/>
        </w:rPr>
      </w:pPr>
      <w:r w:rsidRPr="001B0583">
        <w:rPr>
          <w:rFonts w:ascii="Arial" w:hAnsi="Arial" w:cs="Arial"/>
          <w:b/>
          <w:bCs/>
          <w:color w:val="000000" w:themeColor="text1"/>
          <w:sz w:val="24"/>
          <w:szCs w:val="24"/>
          <w:u w:val="single"/>
          <w:lang w:val="es-ES"/>
        </w:rPr>
        <w:t>CIFRAS</w:t>
      </w:r>
    </w:p>
    <w:p w14:paraId="6E98D572" w14:textId="77777777" w:rsidR="00D23C4E" w:rsidRPr="001B0583" w:rsidRDefault="00D23C4E" w:rsidP="004F726E">
      <w:pPr>
        <w:pStyle w:val="p1"/>
        <w:rPr>
          <w:rFonts w:ascii="Arial" w:hAnsi="Arial" w:cs="Arial"/>
          <w:color w:val="000000" w:themeColor="text1"/>
          <w:sz w:val="24"/>
          <w:szCs w:val="24"/>
          <w:lang w:val="es-ES"/>
        </w:rPr>
      </w:pPr>
    </w:p>
    <w:p w14:paraId="7D3FE939" w14:textId="03DC5622" w:rsidR="00DD030E" w:rsidRPr="001B0583" w:rsidRDefault="00DD030E" w:rsidP="00DD030E">
      <w:pPr>
        <w:pStyle w:val="p1"/>
        <w:jc w:val="both"/>
        <w:rPr>
          <w:rFonts w:ascii="Arial" w:hAnsi="Arial" w:cs="Arial"/>
          <w:sz w:val="24"/>
          <w:szCs w:val="24"/>
        </w:rPr>
      </w:pPr>
      <w:r w:rsidRPr="004542C2">
        <w:rPr>
          <w:rFonts w:ascii="Arial" w:hAnsi="Arial" w:cs="Arial"/>
          <w:b/>
          <w:bCs/>
          <w:sz w:val="24"/>
          <w:szCs w:val="24"/>
        </w:rPr>
        <w:t>-VÍCTIMAS:</w:t>
      </w:r>
      <w:r w:rsidRPr="001B0583">
        <w:rPr>
          <w:rFonts w:ascii="Arial" w:hAnsi="Arial" w:cs="Arial"/>
          <w:b/>
          <w:bCs/>
          <w:sz w:val="24"/>
          <w:szCs w:val="24"/>
        </w:rPr>
        <w:t xml:space="preserve"> </w:t>
      </w:r>
    </w:p>
    <w:p w14:paraId="17E3274C" w14:textId="77777777" w:rsidR="00DD030E" w:rsidRPr="001B0583" w:rsidRDefault="00DD030E" w:rsidP="00DD030E">
      <w:pPr>
        <w:pStyle w:val="p1"/>
        <w:jc w:val="both"/>
        <w:rPr>
          <w:rFonts w:ascii="Arial" w:hAnsi="Arial" w:cs="Arial"/>
          <w:sz w:val="24"/>
          <w:szCs w:val="24"/>
        </w:rPr>
      </w:pPr>
    </w:p>
    <w:p w14:paraId="16A91775" w14:textId="42ACD32E" w:rsidR="002B6997" w:rsidRPr="001B0583" w:rsidRDefault="00DD030E" w:rsidP="002B6997">
      <w:pPr>
        <w:pStyle w:val="p1"/>
        <w:jc w:val="both"/>
        <w:rPr>
          <w:rFonts w:ascii="Arial" w:eastAsiaTheme="minorHAnsi" w:hAnsi="Arial" w:cs="Arial"/>
          <w:color w:val="000000" w:themeColor="text1"/>
          <w:kern w:val="2"/>
          <w:sz w:val="24"/>
          <w:szCs w:val="24"/>
          <w:lang w:val="es-ES" w:eastAsia="en-US"/>
          <w14:ligatures w14:val="standardContextual"/>
        </w:rPr>
      </w:pPr>
      <w:r w:rsidRPr="001B0583">
        <w:rPr>
          <w:rFonts w:ascii="Arial" w:eastAsiaTheme="minorHAnsi" w:hAnsi="Arial" w:cs="Arial"/>
          <w:color w:val="000000" w:themeColor="text1"/>
          <w:kern w:val="2"/>
          <w:sz w:val="24"/>
          <w:szCs w:val="24"/>
          <w:lang w:val="es-ES" w:eastAsia="en-US"/>
          <w14:ligatures w14:val="standardContextual"/>
        </w:rPr>
        <w:t>A febrero de 202</w:t>
      </w:r>
      <w:r w:rsidR="00240737" w:rsidRPr="001B0583">
        <w:rPr>
          <w:rFonts w:ascii="Arial" w:eastAsiaTheme="minorHAnsi" w:hAnsi="Arial" w:cs="Arial"/>
          <w:color w:val="000000" w:themeColor="text1"/>
          <w:kern w:val="2"/>
          <w:sz w:val="24"/>
          <w:szCs w:val="24"/>
          <w:lang w:val="es-ES" w:eastAsia="en-US"/>
          <w14:ligatures w14:val="standardContextual"/>
        </w:rPr>
        <w:t>5</w:t>
      </w:r>
      <w:r w:rsidRPr="001B0583">
        <w:rPr>
          <w:rFonts w:ascii="Arial" w:eastAsiaTheme="minorHAnsi" w:hAnsi="Arial" w:cs="Arial"/>
          <w:color w:val="000000" w:themeColor="text1"/>
          <w:kern w:val="2"/>
          <w:sz w:val="24"/>
          <w:szCs w:val="24"/>
          <w:lang w:val="es-ES" w:eastAsia="en-US"/>
          <w14:ligatures w14:val="standardContextual"/>
        </w:rPr>
        <w:t>, Colombia tenía registradas en el Registro Único de Víctimas (RUV)</w:t>
      </w:r>
      <w:r w:rsidR="002B6997" w:rsidRPr="001B0583">
        <w:rPr>
          <w:rFonts w:ascii="Arial" w:eastAsiaTheme="minorHAnsi" w:hAnsi="Arial" w:cs="Arial"/>
          <w:color w:val="000000" w:themeColor="text1"/>
          <w:kern w:val="2"/>
          <w:sz w:val="24"/>
          <w:szCs w:val="24"/>
          <w:lang w:val="es-ES" w:eastAsia="en-US"/>
          <w14:ligatures w14:val="standardContextual"/>
        </w:rPr>
        <w:t>, un total de 9’882.219 personas han sido reconocidas como víctimas del conflicto armado, lo que equivale al 21,9 % de la población, es decir, aproximadamente 2 de cada 10 colombianos.</w:t>
      </w:r>
    </w:p>
    <w:p w14:paraId="13C99E64" w14:textId="141EF36B" w:rsidR="00DD030E" w:rsidRPr="001B0583" w:rsidRDefault="002B6997" w:rsidP="002B6997">
      <w:pPr>
        <w:pStyle w:val="NormalWeb"/>
        <w:jc w:val="both"/>
        <w:rPr>
          <w:rFonts w:ascii="Arial" w:eastAsiaTheme="minorHAnsi" w:hAnsi="Arial" w:cs="Arial"/>
          <w:color w:val="000000" w:themeColor="text1"/>
          <w:kern w:val="2"/>
          <w:lang w:val="es-ES" w:eastAsia="en-US"/>
          <w14:ligatures w14:val="standardContextual"/>
        </w:rPr>
      </w:pPr>
      <w:r w:rsidRPr="001B0583">
        <w:rPr>
          <w:rFonts w:ascii="Arial" w:eastAsiaTheme="minorHAnsi" w:hAnsi="Arial" w:cs="Arial"/>
          <w:color w:val="000000" w:themeColor="text1"/>
          <w:kern w:val="2"/>
          <w:lang w:val="es-ES" w:eastAsia="en-US"/>
          <w14:ligatures w14:val="standardContextual"/>
        </w:rPr>
        <w:t>En el departamento de Boyacá, la Unidad para las Víctimas (2025) reporta 50.611 víctimas reconocidas, afectadas por más de 61.600 hechos de violencia. Entre estos, se registran más de 10.690 homicidios, 2.900 casos de desaparición forzada, 39.300 personas desplazadas forzosamente, 425 casos de secuestro, 130 casos de tortura y 400 actos terroristas, entre otros muchos eventos que evidencian la magnitud del impacto del conflicto armado en la región.</w:t>
      </w:r>
    </w:p>
    <w:p w14:paraId="38CE2BD6" w14:textId="2D08D16C" w:rsidR="00DD030E" w:rsidRPr="001B0583" w:rsidRDefault="000E0FB7" w:rsidP="00DD030E">
      <w:pPr>
        <w:pStyle w:val="p1"/>
        <w:jc w:val="both"/>
        <w:rPr>
          <w:rFonts w:ascii="Arial" w:hAnsi="Arial" w:cs="Arial"/>
          <w:sz w:val="24"/>
          <w:szCs w:val="24"/>
        </w:rPr>
      </w:pPr>
      <w:r w:rsidRPr="001B0583">
        <w:rPr>
          <w:rFonts w:ascii="Arial" w:hAnsi="Arial" w:cs="Arial"/>
          <w:noProof/>
          <w:sz w:val="24"/>
          <w:szCs w:val="24"/>
        </w:rPr>
        <w:drawing>
          <wp:inline distT="0" distB="0" distL="0" distR="0" wp14:anchorId="4656EAFC" wp14:editId="115F0A85">
            <wp:extent cx="5612130" cy="2114550"/>
            <wp:effectExtent l="0" t="0" r="1270" b="6350"/>
            <wp:docPr id="674920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20249" name=""/>
                    <pic:cNvPicPr/>
                  </pic:nvPicPr>
                  <pic:blipFill>
                    <a:blip r:embed="rId8"/>
                    <a:stretch>
                      <a:fillRect/>
                    </a:stretch>
                  </pic:blipFill>
                  <pic:spPr>
                    <a:xfrm>
                      <a:off x="0" y="0"/>
                      <a:ext cx="5612130" cy="2114550"/>
                    </a:xfrm>
                    <a:prstGeom prst="rect">
                      <a:avLst/>
                    </a:prstGeom>
                  </pic:spPr>
                </pic:pic>
              </a:graphicData>
            </a:graphic>
          </wp:inline>
        </w:drawing>
      </w:r>
    </w:p>
    <w:p w14:paraId="77F4A622" w14:textId="7F964C8D" w:rsidR="002B6997" w:rsidRPr="001B0583" w:rsidRDefault="000E0FB7" w:rsidP="002B6997">
      <w:pPr>
        <w:pStyle w:val="p1"/>
        <w:jc w:val="center"/>
        <w:rPr>
          <w:rFonts w:ascii="Arial" w:hAnsi="Arial" w:cs="Arial"/>
          <w:sz w:val="24"/>
          <w:szCs w:val="24"/>
        </w:rPr>
      </w:pPr>
      <w:r w:rsidRPr="001B0583">
        <w:rPr>
          <w:rFonts w:ascii="Arial" w:hAnsi="Arial" w:cs="Arial"/>
          <w:sz w:val="24"/>
          <w:szCs w:val="24"/>
        </w:rPr>
        <w:t xml:space="preserve">(Fuente: Unidad </w:t>
      </w:r>
      <w:r w:rsidR="002B6997" w:rsidRPr="001B0583">
        <w:rPr>
          <w:rFonts w:ascii="Arial" w:hAnsi="Arial" w:cs="Arial"/>
          <w:sz w:val="24"/>
          <w:szCs w:val="24"/>
        </w:rPr>
        <w:t>para las</w:t>
      </w:r>
      <w:r w:rsidRPr="001B0583">
        <w:rPr>
          <w:rFonts w:ascii="Arial" w:hAnsi="Arial" w:cs="Arial"/>
          <w:sz w:val="24"/>
          <w:szCs w:val="24"/>
        </w:rPr>
        <w:t xml:space="preserve"> Víctimas, 2025)</w:t>
      </w:r>
    </w:p>
    <w:p w14:paraId="5D226061" w14:textId="77777777" w:rsidR="002B6997" w:rsidRPr="001B0583" w:rsidRDefault="002B6997" w:rsidP="002B6997">
      <w:pPr>
        <w:pStyle w:val="p1"/>
        <w:rPr>
          <w:rFonts w:ascii="Arial" w:hAnsi="Arial" w:cs="Arial"/>
          <w:sz w:val="24"/>
          <w:szCs w:val="24"/>
        </w:rPr>
      </w:pPr>
    </w:p>
    <w:p w14:paraId="2863A77A" w14:textId="0D65EEC4" w:rsidR="002B6997" w:rsidRPr="001B0583" w:rsidRDefault="002B6997" w:rsidP="00995670">
      <w:pPr>
        <w:pStyle w:val="p1"/>
        <w:jc w:val="both"/>
        <w:rPr>
          <w:rFonts w:ascii="Arial" w:hAnsi="Arial" w:cs="Arial"/>
          <w:sz w:val="24"/>
          <w:szCs w:val="24"/>
        </w:rPr>
      </w:pPr>
      <w:r w:rsidRPr="001B0583">
        <w:rPr>
          <w:rFonts w:ascii="Arial" w:hAnsi="Arial" w:cs="Arial"/>
          <w:sz w:val="24"/>
          <w:szCs w:val="24"/>
        </w:rPr>
        <w:t>En el mapa de victimización de la Unidad para las Víctimas</w:t>
      </w:r>
      <w:r w:rsidR="004F2C51" w:rsidRPr="001B0583">
        <w:rPr>
          <w:rStyle w:val="Refdenotaalpie"/>
          <w:rFonts w:ascii="Arial" w:hAnsi="Arial" w:cs="Arial"/>
          <w:sz w:val="24"/>
          <w:szCs w:val="24"/>
        </w:rPr>
        <w:footnoteReference w:id="1"/>
      </w:r>
      <w:r w:rsidR="00995670" w:rsidRPr="001B0583">
        <w:rPr>
          <w:rFonts w:ascii="Arial" w:hAnsi="Arial" w:cs="Arial"/>
          <w:sz w:val="24"/>
          <w:szCs w:val="24"/>
        </w:rPr>
        <w:t>,</w:t>
      </w:r>
      <w:r w:rsidRPr="001B0583">
        <w:rPr>
          <w:rFonts w:ascii="Arial" w:hAnsi="Arial" w:cs="Arial"/>
          <w:sz w:val="24"/>
          <w:szCs w:val="24"/>
        </w:rPr>
        <w:t xml:space="preserve"> que muestra </w:t>
      </w:r>
      <w:r w:rsidR="00995670" w:rsidRPr="001B0583">
        <w:rPr>
          <w:rFonts w:ascii="Arial" w:hAnsi="Arial" w:cs="Arial"/>
          <w:sz w:val="24"/>
          <w:szCs w:val="24"/>
        </w:rPr>
        <w:t xml:space="preserve">casos </w:t>
      </w:r>
      <w:r w:rsidR="004F2C51" w:rsidRPr="001B0583">
        <w:rPr>
          <w:rFonts w:ascii="Arial" w:hAnsi="Arial" w:cs="Arial"/>
          <w:sz w:val="24"/>
          <w:szCs w:val="24"/>
        </w:rPr>
        <w:t xml:space="preserve">o hechos cometidos con ocasión del conflicto que no estén dentro del universo de víctimas objeto de registro en el Programa de Reparación Integral de Víctimas, </w:t>
      </w:r>
      <w:r w:rsidR="00995670" w:rsidRPr="001B0583">
        <w:rPr>
          <w:rFonts w:ascii="Arial" w:hAnsi="Arial" w:cs="Arial"/>
          <w:sz w:val="24"/>
          <w:szCs w:val="24"/>
        </w:rPr>
        <w:t xml:space="preserve">deja ver que Boyacá tiene 41 casos, siendo el séptimo departamento con más casos no registrados. </w:t>
      </w:r>
    </w:p>
    <w:p w14:paraId="0CB316E4" w14:textId="77777777" w:rsidR="00995670" w:rsidRPr="001B0583" w:rsidRDefault="00995670" w:rsidP="002B6997">
      <w:pPr>
        <w:pStyle w:val="p1"/>
        <w:rPr>
          <w:rFonts w:ascii="Arial" w:hAnsi="Arial" w:cs="Arial"/>
          <w:sz w:val="24"/>
          <w:szCs w:val="24"/>
        </w:rPr>
      </w:pPr>
    </w:p>
    <w:p w14:paraId="0AF0225F" w14:textId="3ABB8371" w:rsidR="00995670" w:rsidRPr="001B0583" w:rsidRDefault="00995670" w:rsidP="00995670">
      <w:pPr>
        <w:pStyle w:val="p1"/>
        <w:jc w:val="center"/>
        <w:rPr>
          <w:rFonts w:ascii="Arial" w:hAnsi="Arial" w:cs="Arial"/>
          <w:sz w:val="24"/>
          <w:szCs w:val="24"/>
        </w:rPr>
      </w:pPr>
      <w:r w:rsidRPr="001B0583">
        <w:rPr>
          <w:rFonts w:ascii="Arial" w:hAnsi="Arial" w:cs="Arial"/>
          <w:noProof/>
          <w:sz w:val="24"/>
          <w:szCs w:val="24"/>
        </w:rPr>
        <w:lastRenderedPageBreak/>
        <w:drawing>
          <wp:inline distT="0" distB="0" distL="0" distR="0" wp14:anchorId="46AE4B96" wp14:editId="06B53617">
            <wp:extent cx="5273269" cy="2365155"/>
            <wp:effectExtent l="0" t="0" r="0" b="0"/>
            <wp:docPr id="2076323136"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23136" name="Imagen 1" descr="Gráfico, Gráfico de barras&#10;&#10;El contenido generado por IA puede ser incorrecto."/>
                    <pic:cNvPicPr/>
                  </pic:nvPicPr>
                  <pic:blipFill>
                    <a:blip r:embed="rId9"/>
                    <a:stretch>
                      <a:fillRect/>
                    </a:stretch>
                  </pic:blipFill>
                  <pic:spPr>
                    <a:xfrm>
                      <a:off x="0" y="0"/>
                      <a:ext cx="5281263" cy="2368741"/>
                    </a:xfrm>
                    <a:prstGeom prst="rect">
                      <a:avLst/>
                    </a:prstGeom>
                  </pic:spPr>
                </pic:pic>
              </a:graphicData>
            </a:graphic>
          </wp:inline>
        </w:drawing>
      </w:r>
    </w:p>
    <w:p w14:paraId="0215A421" w14:textId="134624F0" w:rsidR="004F2C51" w:rsidRPr="001B0583" w:rsidRDefault="004F2C51" w:rsidP="00995670">
      <w:pPr>
        <w:pStyle w:val="p1"/>
        <w:jc w:val="center"/>
        <w:rPr>
          <w:rFonts w:ascii="Arial" w:hAnsi="Arial" w:cs="Arial"/>
          <w:sz w:val="24"/>
          <w:szCs w:val="24"/>
        </w:rPr>
      </w:pPr>
      <w:r w:rsidRPr="001B0583">
        <w:rPr>
          <w:rFonts w:ascii="Arial" w:hAnsi="Arial" w:cs="Arial"/>
          <w:sz w:val="24"/>
          <w:szCs w:val="24"/>
        </w:rPr>
        <w:t>(Fuente: Unidad para las Víctimas, 2025)</w:t>
      </w:r>
    </w:p>
    <w:p w14:paraId="587479DA"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D77863F" w14:textId="77777777" w:rsidR="004F2C51" w:rsidRPr="001B0583" w:rsidRDefault="004F2C51" w:rsidP="00DD030E">
      <w:pPr>
        <w:jc w:val="both"/>
        <w:rPr>
          <w:rFonts w:ascii="Arial" w:eastAsia="Times New Roman" w:hAnsi="Arial" w:cs="Arial"/>
          <w:color w:val="000000"/>
          <w:kern w:val="0"/>
          <w:lang w:val="es-CO" w:eastAsia="es-ES_tradnl"/>
          <w14:ligatures w14:val="none"/>
        </w:rPr>
      </w:pPr>
    </w:p>
    <w:p w14:paraId="07B5EBFB" w14:textId="77777777" w:rsidR="006F3A84" w:rsidRPr="001B0583" w:rsidRDefault="006F3A84" w:rsidP="006F3A84">
      <w:pPr>
        <w:pStyle w:val="NormalWeb"/>
        <w:jc w:val="both"/>
        <w:rPr>
          <w:rFonts w:ascii="Arial" w:eastAsiaTheme="minorHAnsi" w:hAnsi="Arial" w:cs="Arial"/>
          <w:kern w:val="2"/>
          <w:lang w:eastAsia="en-US"/>
          <w14:ligatures w14:val="standardContextual"/>
        </w:rPr>
      </w:pPr>
      <w:r w:rsidRPr="001B0583">
        <w:rPr>
          <w:rFonts w:ascii="Arial" w:eastAsiaTheme="minorHAnsi" w:hAnsi="Arial" w:cs="Arial"/>
          <w:kern w:val="2"/>
          <w:lang w:eastAsia="en-US"/>
          <w14:ligatures w14:val="standardContextual"/>
        </w:rPr>
        <w:t>En cuanto al Índice de Incidencia del Conflicto Armado (IICA)</w:t>
      </w:r>
      <w:r w:rsidRPr="001B0583">
        <w:rPr>
          <w:rStyle w:val="Refdenotaalpie"/>
          <w:rFonts w:ascii="Arial" w:eastAsiaTheme="minorHAnsi" w:hAnsi="Arial" w:cs="Arial"/>
          <w:kern w:val="2"/>
          <w:lang w:eastAsia="en-US"/>
          <w14:ligatures w14:val="standardContextual"/>
        </w:rPr>
        <w:footnoteReference w:id="2"/>
      </w:r>
      <w:r w:rsidRPr="001B0583">
        <w:rPr>
          <w:rFonts w:ascii="Arial" w:eastAsiaTheme="minorHAnsi" w:hAnsi="Arial" w:cs="Arial"/>
          <w:kern w:val="2"/>
          <w:lang w:eastAsia="en-US"/>
          <w14:ligatures w14:val="standardContextual"/>
        </w:rPr>
        <w:t xml:space="preserve"> para el departamento de Boyacá, este mide diversas variables relacionadas con la violencia y sus impactos, tales como: (i) acciones armadas, (</w:t>
      </w:r>
      <w:proofErr w:type="spellStart"/>
      <w:r w:rsidRPr="001B0583">
        <w:rPr>
          <w:rFonts w:ascii="Arial" w:eastAsiaTheme="minorHAnsi" w:hAnsi="Arial" w:cs="Arial"/>
          <w:kern w:val="2"/>
          <w:lang w:eastAsia="en-US"/>
          <w14:ligatures w14:val="standardContextual"/>
        </w:rPr>
        <w:t>ii</w:t>
      </w:r>
      <w:proofErr w:type="spellEnd"/>
      <w:r w:rsidRPr="001B0583">
        <w:rPr>
          <w:rFonts w:ascii="Arial" w:eastAsiaTheme="minorHAnsi" w:hAnsi="Arial" w:cs="Arial"/>
          <w:kern w:val="2"/>
          <w:lang w:eastAsia="en-US"/>
          <w14:ligatures w14:val="standardContextual"/>
        </w:rPr>
        <w:t>) homicidios, (</w:t>
      </w:r>
      <w:proofErr w:type="spellStart"/>
      <w:r w:rsidRPr="001B0583">
        <w:rPr>
          <w:rFonts w:ascii="Arial" w:eastAsiaTheme="minorHAnsi" w:hAnsi="Arial" w:cs="Arial"/>
          <w:kern w:val="2"/>
          <w:lang w:eastAsia="en-US"/>
          <w14:ligatures w14:val="standardContextual"/>
        </w:rPr>
        <w:t>iii</w:t>
      </w:r>
      <w:proofErr w:type="spellEnd"/>
      <w:r w:rsidRPr="001B0583">
        <w:rPr>
          <w:rFonts w:ascii="Arial" w:eastAsiaTheme="minorHAnsi" w:hAnsi="Arial" w:cs="Arial"/>
          <w:kern w:val="2"/>
          <w:lang w:eastAsia="en-US"/>
          <w14:ligatures w14:val="standardContextual"/>
        </w:rPr>
        <w:t>) secuestros, (</w:t>
      </w:r>
      <w:proofErr w:type="spellStart"/>
      <w:r w:rsidRPr="001B0583">
        <w:rPr>
          <w:rFonts w:ascii="Arial" w:eastAsiaTheme="minorHAnsi" w:hAnsi="Arial" w:cs="Arial"/>
          <w:kern w:val="2"/>
          <w:lang w:eastAsia="en-US"/>
          <w14:ligatures w14:val="standardContextual"/>
        </w:rPr>
        <w:t>iv</w:t>
      </w:r>
      <w:proofErr w:type="spellEnd"/>
      <w:r w:rsidRPr="001B0583">
        <w:rPr>
          <w:rFonts w:ascii="Arial" w:eastAsiaTheme="minorHAnsi" w:hAnsi="Arial" w:cs="Arial"/>
          <w:kern w:val="2"/>
          <w:lang w:eastAsia="en-US"/>
          <w14:ligatures w14:val="standardContextual"/>
        </w:rPr>
        <w:t>) víctimas de minas antipersonal, (v) desplazamiento forzado y (vi) cultivos de coca. Adicionalmente, se incluyeron dos variables más: (</w:t>
      </w:r>
      <w:proofErr w:type="spellStart"/>
      <w:r w:rsidRPr="001B0583">
        <w:rPr>
          <w:rFonts w:ascii="Arial" w:eastAsiaTheme="minorHAnsi" w:hAnsi="Arial" w:cs="Arial"/>
          <w:kern w:val="2"/>
          <w:lang w:eastAsia="en-US"/>
          <w14:ligatures w14:val="standardContextual"/>
        </w:rPr>
        <w:t>vii</w:t>
      </w:r>
      <w:proofErr w:type="spellEnd"/>
      <w:r w:rsidRPr="001B0583">
        <w:rPr>
          <w:rFonts w:ascii="Arial" w:eastAsiaTheme="minorHAnsi" w:hAnsi="Arial" w:cs="Arial"/>
          <w:kern w:val="2"/>
          <w:lang w:eastAsia="en-US"/>
          <w14:ligatures w14:val="standardContextual"/>
        </w:rPr>
        <w:t>) homicidios de líderes sociales y defensores de derechos humanos y (</w:t>
      </w:r>
      <w:proofErr w:type="spellStart"/>
      <w:r w:rsidRPr="001B0583">
        <w:rPr>
          <w:rFonts w:ascii="Arial" w:eastAsiaTheme="minorHAnsi" w:hAnsi="Arial" w:cs="Arial"/>
          <w:kern w:val="2"/>
          <w:lang w:eastAsia="en-US"/>
          <w14:ligatures w14:val="standardContextual"/>
        </w:rPr>
        <w:t>viii</w:t>
      </w:r>
      <w:proofErr w:type="spellEnd"/>
      <w:r w:rsidRPr="001B0583">
        <w:rPr>
          <w:rFonts w:ascii="Arial" w:eastAsiaTheme="minorHAnsi" w:hAnsi="Arial" w:cs="Arial"/>
          <w:kern w:val="2"/>
          <w:lang w:eastAsia="en-US"/>
          <w14:ligatures w14:val="standardContextual"/>
        </w:rPr>
        <w:t>) homicidios de excombatientes.</w:t>
      </w:r>
    </w:p>
    <w:p w14:paraId="692AAF82" w14:textId="77777777" w:rsidR="006F3A84" w:rsidRPr="001B0583" w:rsidRDefault="006F3A84" w:rsidP="006F3A84">
      <w:pPr>
        <w:pStyle w:val="NormalWeb"/>
        <w:jc w:val="both"/>
        <w:rPr>
          <w:rFonts w:ascii="Arial" w:eastAsiaTheme="minorHAnsi" w:hAnsi="Arial" w:cs="Arial"/>
          <w:kern w:val="2"/>
          <w:lang w:eastAsia="en-US"/>
          <w14:ligatures w14:val="standardContextual"/>
        </w:rPr>
      </w:pPr>
      <w:r w:rsidRPr="001B0583">
        <w:rPr>
          <w:rFonts w:ascii="Arial" w:eastAsiaTheme="minorHAnsi" w:hAnsi="Arial" w:cs="Arial"/>
          <w:kern w:val="2"/>
          <w:lang w:eastAsia="en-US"/>
          <w14:ligatures w14:val="standardContextual"/>
        </w:rPr>
        <w:t>Este índice proporciona insumos clave para el diseño, ajuste e implementación de políticas, programas y proyectos territoriales enfocados en la construcción de paz. En este contexto, se tiene que los siguientes municipios han tenido incidencia de conflicto armado, medio, alto y muy alto:</w:t>
      </w:r>
    </w:p>
    <w:p w14:paraId="259BF854" w14:textId="77777777" w:rsidR="006F3A84" w:rsidRPr="001B0583" w:rsidRDefault="006F3A84" w:rsidP="006F3A84">
      <w:pPr>
        <w:jc w:val="both"/>
        <w:rPr>
          <w:rFonts w:ascii="Arial" w:hAnsi="Arial" w:cs="Arial"/>
          <w:color w:val="333333"/>
          <w:shd w:val="clear" w:color="auto" w:fill="FFFFFF"/>
        </w:rPr>
      </w:pPr>
    </w:p>
    <w:p w14:paraId="6B9269C8"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 xml:space="preserve">2002- 2013: </w:t>
      </w:r>
      <w:r w:rsidRPr="001B0583">
        <w:rPr>
          <w:rFonts w:ascii="Arial" w:hAnsi="Arial" w:cs="Arial"/>
          <w:lang w:val="es-CO"/>
        </w:rPr>
        <w:t xml:space="preserve">Pajarito, Paya, </w:t>
      </w:r>
      <w:proofErr w:type="spellStart"/>
      <w:r w:rsidRPr="001B0583">
        <w:rPr>
          <w:rFonts w:ascii="Arial" w:hAnsi="Arial" w:cs="Arial"/>
          <w:lang w:val="es-CO"/>
        </w:rPr>
        <w:t>Tutazá</w:t>
      </w:r>
      <w:proofErr w:type="spellEnd"/>
      <w:r w:rsidRPr="001B0583">
        <w:rPr>
          <w:rFonts w:ascii="Arial" w:hAnsi="Arial" w:cs="Arial"/>
          <w:lang w:val="es-CO"/>
        </w:rPr>
        <w:t xml:space="preserve">, </w:t>
      </w:r>
      <w:proofErr w:type="spellStart"/>
      <w:r w:rsidRPr="001B0583">
        <w:rPr>
          <w:rFonts w:ascii="Arial" w:hAnsi="Arial" w:cs="Arial"/>
          <w:lang w:val="es-CO"/>
        </w:rPr>
        <w:t>Labranzagrande</w:t>
      </w:r>
      <w:proofErr w:type="spellEnd"/>
      <w:r w:rsidRPr="001B0583">
        <w:rPr>
          <w:rFonts w:ascii="Arial" w:hAnsi="Arial" w:cs="Arial"/>
          <w:lang w:val="es-CO"/>
        </w:rPr>
        <w:t xml:space="preserve">, Campohermoso, Mongua, San Luis de Gaceno, </w:t>
      </w:r>
      <w:proofErr w:type="spellStart"/>
      <w:r w:rsidRPr="001B0583">
        <w:rPr>
          <w:rFonts w:ascii="Arial" w:hAnsi="Arial" w:cs="Arial"/>
          <w:lang w:val="es-CO"/>
        </w:rPr>
        <w:t>Zetaquira</w:t>
      </w:r>
      <w:proofErr w:type="spellEnd"/>
      <w:r w:rsidRPr="001B0583">
        <w:rPr>
          <w:rFonts w:ascii="Arial" w:hAnsi="Arial" w:cs="Arial"/>
          <w:lang w:val="es-CO"/>
        </w:rPr>
        <w:t xml:space="preserve">, </w:t>
      </w:r>
      <w:proofErr w:type="spellStart"/>
      <w:r w:rsidRPr="001B0583">
        <w:rPr>
          <w:rFonts w:ascii="Arial" w:hAnsi="Arial" w:cs="Arial"/>
          <w:lang w:val="es-CO"/>
        </w:rPr>
        <w:t>Chinavita</w:t>
      </w:r>
      <w:proofErr w:type="spellEnd"/>
      <w:r w:rsidRPr="001B0583">
        <w:rPr>
          <w:rFonts w:ascii="Arial" w:hAnsi="Arial" w:cs="Arial"/>
          <w:lang w:val="es-CO"/>
        </w:rPr>
        <w:t xml:space="preserve">, Chiscas, Aquitania, Cubará, San Eduardo, Chivor, Otanche, </w:t>
      </w:r>
      <w:proofErr w:type="spellStart"/>
      <w:r w:rsidRPr="001B0583">
        <w:rPr>
          <w:rFonts w:ascii="Arial" w:hAnsi="Arial" w:cs="Arial"/>
          <w:lang w:val="es-CO"/>
        </w:rPr>
        <w:t>Susacón</w:t>
      </w:r>
      <w:proofErr w:type="spellEnd"/>
      <w:r w:rsidRPr="001B0583">
        <w:rPr>
          <w:rFonts w:ascii="Arial" w:hAnsi="Arial" w:cs="Arial"/>
          <w:lang w:val="es-CO"/>
        </w:rPr>
        <w:t xml:space="preserve">, Pauna, San Pablo de </w:t>
      </w:r>
      <w:proofErr w:type="spellStart"/>
      <w:r w:rsidRPr="001B0583">
        <w:rPr>
          <w:rFonts w:ascii="Arial" w:hAnsi="Arial" w:cs="Arial"/>
          <w:lang w:val="es-CO"/>
        </w:rPr>
        <w:t>Borbur</w:t>
      </w:r>
      <w:proofErr w:type="spellEnd"/>
      <w:r w:rsidRPr="001B0583">
        <w:rPr>
          <w:rFonts w:ascii="Arial" w:hAnsi="Arial" w:cs="Arial"/>
          <w:lang w:val="es-CO"/>
        </w:rPr>
        <w:t xml:space="preserve">, Socotá, </w:t>
      </w:r>
      <w:proofErr w:type="spellStart"/>
      <w:r w:rsidRPr="001B0583">
        <w:rPr>
          <w:rFonts w:ascii="Arial" w:hAnsi="Arial" w:cs="Arial"/>
          <w:lang w:val="es-CO"/>
        </w:rPr>
        <w:t>Paéz</w:t>
      </w:r>
      <w:proofErr w:type="spellEnd"/>
      <w:r w:rsidRPr="001B0583">
        <w:rPr>
          <w:rFonts w:ascii="Arial" w:hAnsi="Arial" w:cs="Arial"/>
          <w:lang w:val="es-CO"/>
        </w:rPr>
        <w:t xml:space="preserve">, Tinjacá, </w:t>
      </w:r>
      <w:proofErr w:type="spellStart"/>
      <w:r w:rsidRPr="001B0583">
        <w:rPr>
          <w:rFonts w:ascii="Arial" w:hAnsi="Arial" w:cs="Arial"/>
          <w:lang w:val="es-CO"/>
        </w:rPr>
        <w:t>Coper</w:t>
      </w:r>
      <w:proofErr w:type="spellEnd"/>
      <w:r w:rsidRPr="001B0583">
        <w:rPr>
          <w:rFonts w:ascii="Arial" w:hAnsi="Arial" w:cs="Arial"/>
          <w:lang w:val="es-CO"/>
        </w:rPr>
        <w:t xml:space="preserve">, </w:t>
      </w:r>
      <w:proofErr w:type="spellStart"/>
      <w:r w:rsidRPr="001B0583">
        <w:rPr>
          <w:rFonts w:ascii="Arial" w:hAnsi="Arial" w:cs="Arial"/>
          <w:lang w:val="es-CO"/>
        </w:rPr>
        <w:t>Macanal</w:t>
      </w:r>
      <w:proofErr w:type="spellEnd"/>
      <w:r w:rsidRPr="001B0583">
        <w:rPr>
          <w:rFonts w:ascii="Arial" w:hAnsi="Arial" w:cs="Arial"/>
          <w:lang w:val="es-CO"/>
        </w:rPr>
        <w:t xml:space="preserve">, Güicán, El Cocuy, Almeida, </w:t>
      </w:r>
      <w:proofErr w:type="spellStart"/>
      <w:r w:rsidRPr="001B0583">
        <w:rPr>
          <w:rFonts w:ascii="Arial" w:hAnsi="Arial" w:cs="Arial"/>
          <w:lang w:val="es-CO"/>
        </w:rPr>
        <w:t>Chinavita</w:t>
      </w:r>
      <w:proofErr w:type="spellEnd"/>
      <w:r w:rsidRPr="001B0583">
        <w:rPr>
          <w:rFonts w:ascii="Arial" w:hAnsi="Arial" w:cs="Arial"/>
          <w:lang w:val="es-CO"/>
        </w:rPr>
        <w:t>, Muzo, El Espino, Garagoa, Chita, Chiquinquirá, Berbeo, Monguí, Corrales, Briceño, Pisba (Medio Alto, Alto, Muy Alto).</w:t>
      </w:r>
    </w:p>
    <w:p w14:paraId="6AF1117E"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 xml:space="preserve">2014: </w:t>
      </w:r>
      <w:r w:rsidRPr="001B0583">
        <w:rPr>
          <w:rFonts w:ascii="Arial" w:hAnsi="Arial" w:cs="Arial"/>
          <w:lang w:val="es-CO"/>
        </w:rPr>
        <w:t xml:space="preserve">Pisba, Combita, </w:t>
      </w:r>
      <w:proofErr w:type="spellStart"/>
      <w:r w:rsidRPr="001B0583">
        <w:rPr>
          <w:rFonts w:ascii="Arial" w:hAnsi="Arial" w:cs="Arial"/>
          <w:lang w:val="es-CO"/>
        </w:rPr>
        <w:t>Labranzagrande</w:t>
      </w:r>
      <w:proofErr w:type="spellEnd"/>
      <w:r w:rsidRPr="001B0583">
        <w:rPr>
          <w:rFonts w:ascii="Arial" w:hAnsi="Arial" w:cs="Arial"/>
          <w:lang w:val="es-CO"/>
        </w:rPr>
        <w:t xml:space="preserve">, Cubara, Pajarito, </w:t>
      </w:r>
      <w:proofErr w:type="spellStart"/>
      <w:r w:rsidRPr="001B0583">
        <w:rPr>
          <w:rFonts w:ascii="Arial" w:hAnsi="Arial" w:cs="Arial"/>
          <w:lang w:val="es-CO"/>
        </w:rPr>
        <w:t>Panqueba</w:t>
      </w:r>
      <w:proofErr w:type="spellEnd"/>
      <w:r w:rsidRPr="001B0583">
        <w:rPr>
          <w:rFonts w:ascii="Arial" w:hAnsi="Arial" w:cs="Arial"/>
          <w:lang w:val="es-CO"/>
        </w:rPr>
        <w:t>. (Medio Alto, Alto, Muy Alto).</w:t>
      </w:r>
    </w:p>
    <w:p w14:paraId="3D3907EF"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2015:</w:t>
      </w:r>
      <w:r w:rsidRPr="001B0583">
        <w:rPr>
          <w:rFonts w:ascii="Arial" w:hAnsi="Arial" w:cs="Arial"/>
          <w:lang w:val="es-CO"/>
        </w:rPr>
        <w:t xml:space="preserve"> Güicán, Pajarito, </w:t>
      </w:r>
      <w:proofErr w:type="spellStart"/>
      <w:r w:rsidRPr="001B0583">
        <w:rPr>
          <w:rFonts w:ascii="Arial" w:hAnsi="Arial" w:cs="Arial"/>
          <w:lang w:val="es-CO"/>
        </w:rPr>
        <w:t>Labranzagrande</w:t>
      </w:r>
      <w:proofErr w:type="spellEnd"/>
      <w:r w:rsidRPr="001B0583">
        <w:rPr>
          <w:rFonts w:ascii="Arial" w:hAnsi="Arial" w:cs="Arial"/>
          <w:lang w:val="es-CO"/>
        </w:rPr>
        <w:t>, Cubará. (Medio Alto, Alto, Muy Alto).</w:t>
      </w:r>
    </w:p>
    <w:p w14:paraId="4FF22AB9"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2016:</w:t>
      </w:r>
      <w:r w:rsidRPr="001B0583">
        <w:rPr>
          <w:rFonts w:ascii="Arial" w:hAnsi="Arial" w:cs="Arial"/>
          <w:lang w:val="es-CO"/>
        </w:rPr>
        <w:t xml:space="preserve"> Cubará, Pajarito, Pisba, (Medio Alto, Alto, Muy Alto).</w:t>
      </w:r>
    </w:p>
    <w:p w14:paraId="185DDF50"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2017:</w:t>
      </w:r>
      <w:r w:rsidRPr="001B0583">
        <w:rPr>
          <w:rFonts w:ascii="Arial" w:hAnsi="Arial" w:cs="Arial"/>
          <w:lang w:val="es-CO"/>
        </w:rPr>
        <w:t xml:space="preserve"> Cubará, Güicán, Pisba, </w:t>
      </w:r>
      <w:proofErr w:type="spellStart"/>
      <w:r w:rsidRPr="001B0583">
        <w:rPr>
          <w:rFonts w:ascii="Arial" w:hAnsi="Arial" w:cs="Arial"/>
          <w:lang w:val="es-CO"/>
        </w:rPr>
        <w:t>Labranzagrande</w:t>
      </w:r>
      <w:proofErr w:type="spellEnd"/>
      <w:r w:rsidRPr="001B0583">
        <w:rPr>
          <w:rFonts w:ascii="Arial" w:hAnsi="Arial" w:cs="Arial"/>
          <w:lang w:val="es-CO"/>
        </w:rPr>
        <w:t>, Pajarito.  (Medio Alto, Alto, Muy Alto).</w:t>
      </w:r>
    </w:p>
    <w:p w14:paraId="644CCD50"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lastRenderedPageBreak/>
        <w:t>2018</w:t>
      </w:r>
      <w:r w:rsidRPr="001B0583">
        <w:rPr>
          <w:rFonts w:ascii="Arial" w:hAnsi="Arial" w:cs="Arial"/>
          <w:lang w:val="es-CO"/>
        </w:rPr>
        <w:t xml:space="preserve">: Otanche, Paya, Güicán, </w:t>
      </w:r>
      <w:proofErr w:type="spellStart"/>
      <w:r w:rsidRPr="001B0583">
        <w:rPr>
          <w:rFonts w:ascii="Arial" w:hAnsi="Arial" w:cs="Arial"/>
          <w:lang w:val="es-CO"/>
        </w:rPr>
        <w:t>Labranzagrande</w:t>
      </w:r>
      <w:proofErr w:type="spellEnd"/>
      <w:r w:rsidRPr="001B0583">
        <w:rPr>
          <w:rFonts w:ascii="Arial" w:hAnsi="Arial" w:cs="Arial"/>
          <w:lang w:val="es-CO"/>
        </w:rPr>
        <w:t xml:space="preserve">, Pajarito, </w:t>
      </w:r>
      <w:proofErr w:type="spellStart"/>
      <w:r w:rsidRPr="001B0583">
        <w:rPr>
          <w:rFonts w:ascii="Arial" w:hAnsi="Arial" w:cs="Arial"/>
          <w:lang w:val="es-CO"/>
        </w:rPr>
        <w:t>Tutaza</w:t>
      </w:r>
      <w:proofErr w:type="spellEnd"/>
      <w:r w:rsidRPr="001B0583">
        <w:rPr>
          <w:rFonts w:ascii="Arial" w:hAnsi="Arial" w:cs="Arial"/>
          <w:lang w:val="es-CO"/>
        </w:rPr>
        <w:t xml:space="preserve"> Cubará. (Medio Alto, Alto, Muy Alto).</w:t>
      </w:r>
    </w:p>
    <w:p w14:paraId="716D5A50"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 xml:space="preserve">2019: </w:t>
      </w:r>
      <w:r w:rsidRPr="001B0583">
        <w:rPr>
          <w:rFonts w:ascii="Arial" w:hAnsi="Arial" w:cs="Arial"/>
          <w:lang w:val="es-CO"/>
        </w:rPr>
        <w:t>Cubará, La Victoria. (Medio Alto, Alto, Muy Alto).</w:t>
      </w:r>
    </w:p>
    <w:p w14:paraId="0B2EB09E"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2020:</w:t>
      </w:r>
      <w:r w:rsidRPr="001B0583">
        <w:rPr>
          <w:rFonts w:ascii="Arial" w:hAnsi="Arial" w:cs="Arial"/>
          <w:lang w:val="es-CO"/>
        </w:rPr>
        <w:t xml:space="preserve"> Güicán, El Cocuy, Cubará. (Medio Alto, Alto, Muy Alto).</w:t>
      </w:r>
    </w:p>
    <w:p w14:paraId="193A5320"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2021:</w:t>
      </w:r>
      <w:r w:rsidRPr="001B0583">
        <w:rPr>
          <w:rFonts w:ascii="Arial" w:hAnsi="Arial" w:cs="Arial"/>
          <w:lang w:val="es-CO"/>
        </w:rPr>
        <w:t xml:space="preserve"> Chita, </w:t>
      </w:r>
      <w:proofErr w:type="spellStart"/>
      <w:r w:rsidRPr="001B0583">
        <w:rPr>
          <w:rFonts w:ascii="Arial" w:hAnsi="Arial" w:cs="Arial"/>
          <w:lang w:val="es-CO"/>
        </w:rPr>
        <w:t>Covarachia</w:t>
      </w:r>
      <w:proofErr w:type="spellEnd"/>
      <w:r w:rsidRPr="001B0583">
        <w:rPr>
          <w:rFonts w:ascii="Arial" w:hAnsi="Arial" w:cs="Arial"/>
          <w:lang w:val="es-CO"/>
        </w:rPr>
        <w:t xml:space="preserve">, </w:t>
      </w:r>
      <w:proofErr w:type="spellStart"/>
      <w:r w:rsidRPr="001B0583">
        <w:rPr>
          <w:rFonts w:ascii="Arial" w:hAnsi="Arial" w:cs="Arial"/>
          <w:lang w:val="es-CO"/>
        </w:rPr>
        <w:t>Busbanza</w:t>
      </w:r>
      <w:proofErr w:type="spellEnd"/>
      <w:r w:rsidRPr="001B0583">
        <w:rPr>
          <w:rFonts w:ascii="Arial" w:hAnsi="Arial" w:cs="Arial"/>
          <w:lang w:val="es-CO"/>
        </w:rPr>
        <w:t>, Cubara. (Medio Alto, Alto, Muy Alto).</w:t>
      </w:r>
    </w:p>
    <w:p w14:paraId="6D93AF2A" w14:textId="77777777" w:rsidR="006F3A84" w:rsidRPr="001B0583" w:rsidRDefault="006F3A84" w:rsidP="006F3A84">
      <w:pPr>
        <w:pStyle w:val="Prrafodelista"/>
        <w:numPr>
          <w:ilvl w:val="0"/>
          <w:numId w:val="12"/>
        </w:numPr>
        <w:jc w:val="both"/>
        <w:rPr>
          <w:rFonts w:ascii="Arial" w:hAnsi="Arial" w:cs="Arial"/>
          <w:lang w:val="es-CO"/>
        </w:rPr>
      </w:pPr>
      <w:r w:rsidRPr="001B0583">
        <w:rPr>
          <w:rFonts w:ascii="Arial" w:hAnsi="Arial" w:cs="Arial"/>
          <w:b/>
          <w:bCs/>
          <w:lang w:val="es-CO"/>
        </w:rPr>
        <w:t>2022:</w:t>
      </w:r>
      <w:r w:rsidRPr="001B0583">
        <w:rPr>
          <w:rFonts w:ascii="Arial" w:hAnsi="Arial" w:cs="Arial"/>
          <w:lang w:val="es-CO"/>
        </w:rPr>
        <w:t xml:space="preserve"> Cubara, Combita, Muzo. (Medio Alto, Alto, Muy Alto).</w:t>
      </w:r>
    </w:p>
    <w:p w14:paraId="0A0171D7" w14:textId="77777777" w:rsidR="006F3A84" w:rsidRPr="001B0583" w:rsidRDefault="006F3A84" w:rsidP="00DD030E">
      <w:pPr>
        <w:jc w:val="both"/>
        <w:rPr>
          <w:rFonts w:ascii="Arial" w:eastAsia="Times New Roman" w:hAnsi="Arial" w:cs="Arial"/>
          <w:color w:val="000000"/>
          <w:kern w:val="0"/>
          <w:lang w:val="es-CO" w:eastAsia="es-ES_tradnl"/>
          <w14:ligatures w14:val="none"/>
        </w:rPr>
      </w:pPr>
    </w:p>
    <w:p w14:paraId="5FDF7E0F" w14:textId="77777777" w:rsidR="006F3A84" w:rsidRPr="001B0583" w:rsidRDefault="006F3A84" w:rsidP="00DD030E">
      <w:pPr>
        <w:jc w:val="both"/>
        <w:rPr>
          <w:rFonts w:ascii="Arial" w:eastAsia="Times New Roman" w:hAnsi="Arial" w:cs="Arial"/>
          <w:color w:val="000000"/>
          <w:kern w:val="0"/>
          <w:lang w:val="es-CO" w:eastAsia="es-ES_tradnl"/>
          <w14:ligatures w14:val="none"/>
        </w:rPr>
      </w:pPr>
    </w:p>
    <w:p w14:paraId="07738CB2" w14:textId="45C5B088" w:rsidR="00DD030E" w:rsidRPr="001B0583" w:rsidRDefault="006F3A84"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De otra parte,</w:t>
      </w:r>
      <w:r w:rsidR="00DD030E" w:rsidRPr="001B0583">
        <w:rPr>
          <w:rFonts w:ascii="Arial" w:eastAsia="Times New Roman" w:hAnsi="Arial" w:cs="Arial"/>
          <w:color w:val="000000"/>
          <w:kern w:val="0"/>
          <w:lang w:val="es-CO" w:eastAsia="es-ES_tradnl"/>
          <w14:ligatures w14:val="none"/>
        </w:rPr>
        <w:t xml:space="preserve"> con información de la Gobernación de Boyacá en el departamento se encuentran 3 grandes grupos étnicos, (Gobernación de Boyacá, 2022) conformados por:</w:t>
      </w:r>
    </w:p>
    <w:p w14:paraId="76E93CBC" w14:textId="77777777" w:rsidR="00DD030E" w:rsidRPr="001B0583" w:rsidRDefault="00DD030E" w:rsidP="00DD030E">
      <w:pPr>
        <w:pStyle w:val="Prrafodelista"/>
        <w:numPr>
          <w:ilvl w:val="0"/>
          <w:numId w:val="11"/>
        </w:num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Resguardo unido </w:t>
      </w:r>
      <w:proofErr w:type="spellStart"/>
      <w:r w:rsidRPr="001B0583">
        <w:rPr>
          <w:rFonts w:ascii="Arial" w:eastAsia="Times New Roman" w:hAnsi="Arial" w:cs="Arial"/>
          <w:color w:val="000000"/>
          <w:kern w:val="0"/>
          <w:lang w:val="es-CO" w:eastAsia="es-ES_tradnl"/>
          <w14:ligatures w14:val="none"/>
        </w:rPr>
        <w:t>U’wa</w:t>
      </w:r>
      <w:proofErr w:type="spellEnd"/>
      <w:r w:rsidRPr="001B0583">
        <w:rPr>
          <w:rFonts w:ascii="Arial" w:eastAsia="Times New Roman" w:hAnsi="Arial" w:cs="Arial"/>
          <w:color w:val="000000"/>
          <w:kern w:val="0"/>
          <w:lang w:val="es-CO" w:eastAsia="es-ES_tradnl"/>
          <w14:ligatures w14:val="none"/>
        </w:rPr>
        <w:t xml:space="preserve">: Comprende los municipios de Güicán, donde la intervención se hace por listado censal a 1305 personas, y Cubara, que, por listado censal, ascienden a más de 4200 personas. De este grupo, en Boyacá se encuentran un total de 7 comunidades, que incluyen </w:t>
      </w:r>
      <w:proofErr w:type="spellStart"/>
      <w:r w:rsidRPr="001B0583">
        <w:rPr>
          <w:rFonts w:ascii="Arial" w:eastAsia="Times New Roman" w:hAnsi="Arial" w:cs="Arial"/>
          <w:color w:val="000000"/>
          <w:kern w:val="0"/>
          <w:lang w:val="es-CO" w:eastAsia="es-ES_tradnl"/>
          <w14:ligatures w14:val="none"/>
        </w:rPr>
        <w:t>Bachira</w:t>
      </w:r>
      <w:proofErr w:type="spellEnd"/>
      <w:r w:rsidRPr="001B0583">
        <w:rPr>
          <w:rFonts w:ascii="Arial" w:eastAsia="Times New Roman" w:hAnsi="Arial" w:cs="Arial"/>
          <w:color w:val="000000"/>
          <w:kern w:val="0"/>
          <w:lang w:val="es-CO" w:eastAsia="es-ES_tradnl"/>
          <w14:ligatures w14:val="none"/>
        </w:rPr>
        <w:t xml:space="preserve"> y Bocotá en el municipio de Güicán de la Sierra, así como </w:t>
      </w:r>
      <w:proofErr w:type="spellStart"/>
      <w:r w:rsidRPr="001B0583">
        <w:rPr>
          <w:rFonts w:ascii="Arial" w:eastAsia="Times New Roman" w:hAnsi="Arial" w:cs="Arial"/>
          <w:color w:val="000000"/>
          <w:kern w:val="0"/>
          <w:lang w:val="es-CO" w:eastAsia="es-ES_tradnl"/>
          <w14:ligatures w14:val="none"/>
        </w:rPr>
        <w:t>Rotarbaria</w:t>
      </w:r>
      <w:proofErr w:type="spellEnd"/>
      <w:r w:rsidRPr="001B0583">
        <w:rPr>
          <w:rFonts w:ascii="Arial" w:eastAsia="Times New Roman" w:hAnsi="Arial" w:cs="Arial"/>
          <w:color w:val="000000"/>
          <w:kern w:val="0"/>
          <w:lang w:val="es-CO" w:eastAsia="es-ES_tradnl"/>
          <w14:ligatures w14:val="none"/>
        </w:rPr>
        <w:t xml:space="preserve">, </w:t>
      </w:r>
      <w:proofErr w:type="spellStart"/>
      <w:r w:rsidRPr="001B0583">
        <w:rPr>
          <w:rFonts w:ascii="Arial" w:eastAsia="Times New Roman" w:hAnsi="Arial" w:cs="Arial"/>
          <w:color w:val="000000"/>
          <w:kern w:val="0"/>
          <w:lang w:val="es-CO" w:eastAsia="es-ES_tradnl"/>
          <w14:ligatures w14:val="none"/>
        </w:rPr>
        <w:t>Covaria</w:t>
      </w:r>
      <w:proofErr w:type="spellEnd"/>
      <w:r w:rsidRPr="001B0583">
        <w:rPr>
          <w:rFonts w:ascii="Arial" w:eastAsia="Times New Roman" w:hAnsi="Arial" w:cs="Arial"/>
          <w:color w:val="000000"/>
          <w:kern w:val="0"/>
          <w:lang w:val="es-CO" w:eastAsia="es-ES_tradnl"/>
          <w14:ligatures w14:val="none"/>
        </w:rPr>
        <w:t xml:space="preserve">, Rinconada, Barrosa y </w:t>
      </w:r>
      <w:proofErr w:type="spellStart"/>
      <w:r w:rsidRPr="001B0583">
        <w:rPr>
          <w:rFonts w:ascii="Arial" w:eastAsia="Times New Roman" w:hAnsi="Arial" w:cs="Arial"/>
          <w:color w:val="000000"/>
          <w:kern w:val="0"/>
          <w:lang w:val="es-CO" w:eastAsia="es-ES_tradnl"/>
          <w14:ligatures w14:val="none"/>
        </w:rPr>
        <w:t>Tegría</w:t>
      </w:r>
      <w:proofErr w:type="spellEnd"/>
      <w:r w:rsidRPr="001B0583">
        <w:rPr>
          <w:rFonts w:ascii="Arial" w:eastAsia="Times New Roman" w:hAnsi="Arial" w:cs="Arial"/>
          <w:color w:val="000000"/>
          <w:kern w:val="0"/>
          <w:lang w:val="es-CO" w:eastAsia="es-ES_tradnl"/>
          <w14:ligatures w14:val="none"/>
        </w:rPr>
        <w:t xml:space="preserve"> en el municipio de Cubara.</w:t>
      </w:r>
    </w:p>
    <w:p w14:paraId="6CCC01B7" w14:textId="77777777" w:rsidR="00DD030E" w:rsidRPr="001B0583" w:rsidRDefault="00DD030E" w:rsidP="00DD030E">
      <w:pPr>
        <w:pStyle w:val="Prrafodelista"/>
        <w:jc w:val="both"/>
        <w:rPr>
          <w:rFonts w:ascii="Arial" w:eastAsia="Times New Roman" w:hAnsi="Arial" w:cs="Arial"/>
          <w:color w:val="000000"/>
          <w:kern w:val="0"/>
          <w:lang w:val="es-CO" w:eastAsia="es-ES_tradnl"/>
          <w14:ligatures w14:val="none"/>
        </w:rPr>
      </w:pPr>
    </w:p>
    <w:p w14:paraId="696AA843" w14:textId="77777777" w:rsidR="00DD030E" w:rsidRPr="001B0583" w:rsidRDefault="00DD030E" w:rsidP="00DD030E">
      <w:pPr>
        <w:pStyle w:val="Prrafodelista"/>
        <w:numPr>
          <w:ilvl w:val="0"/>
          <w:numId w:val="11"/>
        </w:num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Comunidad Emberá </w:t>
      </w:r>
      <w:proofErr w:type="spellStart"/>
      <w:r w:rsidRPr="001B0583">
        <w:rPr>
          <w:rFonts w:ascii="Arial" w:eastAsia="Times New Roman" w:hAnsi="Arial" w:cs="Arial"/>
          <w:color w:val="000000"/>
          <w:kern w:val="0"/>
          <w:lang w:val="es-CO" w:eastAsia="es-ES_tradnl"/>
          <w14:ligatures w14:val="none"/>
        </w:rPr>
        <w:t>Katio</w:t>
      </w:r>
      <w:proofErr w:type="spellEnd"/>
      <w:r w:rsidRPr="001B0583">
        <w:rPr>
          <w:rFonts w:ascii="Arial" w:eastAsia="Times New Roman" w:hAnsi="Arial" w:cs="Arial"/>
          <w:color w:val="000000"/>
          <w:kern w:val="0"/>
          <w:lang w:val="es-CO" w:eastAsia="es-ES_tradnl"/>
          <w14:ligatures w14:val="none"/>
        </w:rPr>
        <w:t xml:space="preserve"> y Emberá Chami: Estas comunidades enfrentan una situación especial debido al conflicto armado en su región. En Puerto Boyacá, las </w:t>
      </w:r>
      <w:r w:rsidRPr="001B0583">
        <w:rPr>
          <w:rFonts w:ascii="Arial" w:hAnsi="Arial" w:cs="Arial"/>
        </w:rPr>
        <w:t xml:space="preserve">familias </w:t>
      </w:r>
      <w:proofErr w:type="spellStart"/>
      <w:r w:rsidRPr="001B0583">
        <w:rPr>
          <w:rFonts w:ascii="Arial" w:hAnsi="Arial" w:cs="Arial"/>
        </w:rPr>
        <w:t>Embera</w:t>
      </w:r>
      <w:proofErr w:type="spellEnd"/>
      <w:r w:rsidRPr="001B0583">
        <w:rPr>
          <w:rFonts w:ascii="Arial" w:hAnsi="Arial" w:cs="Arial"/>
        </w:rPr>
        <w:t xml:space="preserve"> </w:t>
      </w:r>
      <w:proofErr w:type="spellStart"/>
      <w:r w:rsidRPr="001B0583">
        <w:rPr>
          <w:rFonts w:ascii="Arial" w:hAnsi="Arial" w:cs="Arial"/>
        </w:rPr>
        <w:t>Chamí</w:t>
      </w:r>
      <w:proofErr w:type="spellEnd"/>
      <w:r w:rsidRPr="001B0583">
        <w:rPr>
          <w:rFonts w:ascii="Arial" w:hAnsi="Arial" w:cs="Arial"/>
        </w:rPr>
        <w:t xml:space="preserve"> y </w:t>
      </w:r>
      <w:proofErr w:type="spellStart"/>
      <w:r w:rsidRPr="001B0583">
        <w:rPr>
          <w:rFonts w:ascii="Arial" w:hAnsi="Arial" w:cs="Arial"/>
        </w:rPr>
        <w:t>Katío</w:t>
      </w:r>
      <w:proofErr w:type="spellEnd"/>
      <w:r w:rsidRPr="001B0583">
        <w:rPr>
          <w:rFonts w:ascii="Arial" w:hAnsi="Arial" w:cs="Arial"/>
        </w:rPr>
        <w:t xml:space="preserve"> se organizan en 5 familias extensas. Un proceso de caracterización realizado tomó en cuenta a 38 familias nucleares divididas en 23 </w:t>
      </w:r>
      <w:proofErr w:type="spellStart"/>
      <w:r w:rsidRPr="001B0583">
        <w:rPr>
          <w:rFonts w:ascii="Arial" w:eastAsia="Times New Roman" w:hAnsi="Arial" w:cs="Arial"/>
          <w:color w:val="000000"/>
          <w:kern w:val="0"/>
          <w:lang w:val="es-CO" w:eastAsia="es-ES_tradnl"/>
          <w14:ligatures w14:val="none"/>
        </w:rPr>
        <w:t>Katio</w:t>
      </w:r>
      <w:proofErr w:type="spellEnd"/>
      <w:r w:rsidRPr="001B0583">
        <w:rPr>
          <w:rFonts w:ascii="Arial" w:eastAsia="Times New Roman" w:hAnsi="Arial" w:cs="Arial"/>
          <w:color w:val="000000"/>
          <w:kern w:val="0"/>
          <w:lang w:val="es-CO" w:eastAsia="es-ES_tradnl"/>
          <w14:ligatures w14:val="none"/>
        </w:rPr>
        <w:t xml:space="preserve"> y 12 </w:t>
      </w:r>
      <w:proofErr w:type="spellStart"/>
      <w:r w:rsidRPr="001B0583">
        <w:rPr>
          <w:rFonts w:ascii="Arial" w:eastAsia="Times New Roman" w:hAnsi="Arial" w:cs="Arial"/>
          <w:color w:val="000000"/>
          <w:kern w:val="0"/>
          <w:lang w:val="es-CO" w:eastAsia="es-ES_tradnl"/>
          <w14:ligatures w14:val="none"/>
        </w:rPr>
        <w:t>Chamí</w:t>
      </w:r>
      <w:proofErr w:type="spellEnd"/>
      <w:r w:rsidRPr="001B0583">
        <w:rPr>
          <w:rFonts w:ascii="Arial" w:eastAsia="Times New Roman" w:hAnsi="Arial" w:cs="Arial"/>
          <w:color w:val="000000"/>
          <w:kern w:val="0"/>
          <w:lang w:val="es-CO" w:eastAsia="es-ES_tradnl"/>
          <w14:ligatures w14:val="none"/>
        </w:rPr>
        <w:t>, conformadas por un total de 178 individuos.</w:t>
      </w:r>
    </w:p>
    <w:p w14:paraId="3BC60A00" w14:textId="77777777" w:rsidR="00DD030E" w:rsidRPr="001B0583" w:rsidRDefault="00DD030E" w:rsidP="00DD030E">
      <w:pPr>
        <w:pStyle w:val="Prrafodelista"/>
        <w:rPr>
          <w:rFonts w:ascii="Arial" w:eastAsia="Times New Roman" w:hAnsi="Arial" w:cs="Arial"/>
          <w:color w:val="000000"/>
          <w:kern w:val="0"/>
          <w:lang w:val="es-CO" w:eastAsia="es-ES_tradnl"/>
          <w14:ligatures w14:val="none"/>
        </w:rPr>
      </w:pPr>
    </w:p>
    <w:p w14:paraId="377A7EE9" w14:textId="77777777" w:rsidR="00DD030E" w:rsidRPr="001B0583" w:rsidRDefault="00DD030E" w:rsidP="00DD030E">
      <w:pPr>
        <w:pStyle w:val="Prrafodelista"/>
        <w:numPr>
          <w:ilvl w:val="0"/>
          <w:numId w:val="11"/>
        </w:num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Comunidad </w:t>
      </w:r>
      <w:proofErr w:type="spellStart"/>
      <w:r w:rsidRPr="001B0583">
        <w:rPr>
          <w:rFonts w:ascii="Arial" w:eastAsia="Times New Roman" w:hAnsi="Arial" w:cs="Arial"/>
          <w:color w:val="000000"/>
          <w:kern w:val="0"/>
          <w:lang w:val="es-CO" w:eastAsia="es-ES_tradnl"/>
          <w14:ligatures w14:val="none"/>
        </w:rPr>
        <w:t>U’wa</w:t>
      </w:r>
      <w:proofErr w:type="spellEnd"/>
      <w:r w:rsidRPr="001B0583">
        <w:rPr>
          <w:rFonts w:ascii="Arial" w:eastAsia="Times New Roman" w:hAnsi="Arial" w:cs="Arial"/>
          <w:color w:val="000000"/>
          <w:kern w:val="0"/>
          <w:lang w:val="es-CO" w:eastAsia="es-ES_tradnl"/>
          <w14:ligatures w14:val="none"/>
        </w:rPr>
        <w:t>: A 2022 se encontraron 5 familias extensas pertenecientes a esta comunidad, las cuales llegaron al municipio de Ráquira en condición de desplazamiento.</w:t>
      </w:r>
    </w:p>
    <w:p w14:paraId="71639379" w14:textId="77777777" w:rsidR="00DD030E" w:rsidRPr="001B0583" w:rsidRDefault="00DD030E" w:rsidP="00DD030E">
      <w:pPr>
        <w:pStyle w:val="Prrafodelista"/>
        <w:jc w:val="both"/>
        <w:rPr>
          <w:rFonts w:ascii="Arial" w:eastAsia="Times New Roman" w:hAnsi="Arial" w:cs="Arial"/>
          <w:color w:val="000000"/>
          <w:kern w:val="0"/>
          <w:lang w:val="es-CO" w:eastAsia="es-ES_tradnl"/>
          <w14:ligatures w14:val="none"/>
        </w:rPr>
      </w:pPr>
    </w:p>
    <w:p w14:paraId="141D7934"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Frente a  comunidades negras, afrocolombianas, raizales y palenqueras: </w:t>
      </w:r>
    </w:p>
    <w:p w14:paraId="49BF771D" w14:textId="77777777" w:rsidR="00DD030E" w:rsidRPr="001B0583" w:rsidRDefault="00DD030E" w:rsidP="00DD030E">
      <w:pPr>
        <w:pStyle w:val="p1"/>
        <w:jc w:val="both"/>
        <w:rPr>
          <w:rFonts w:ascii="Arial" w:hAnsi="Arial" w:cs="Arial"/>
          <w:sz w:val="24"/>
          <w:szCs w:val="24"/>
        </w:rPr>
      </w:pPr>
    </w:p>
    <w:p w14:paraId="5149685A" w14:textId="77777777" w:rsidR="00DD030E" w:rsidRPr="001B0583" w:rsidRDefault="00DD030E" w:rsidP="00DD030E">
      <w:pPr>
        <w:pStyle w:val="p1"/>
        <w:numPr>
          <w:ilvl w:val="0"/>
          <w:numId w:val="11"/>
        </w:numPr>
        <w:jc w:val="both"/>
        <w:rPr>
          <w:rFonts w:ascii="Arial" w:hAnsi="Arial" w:cs="Arial"/>
          <w:sz w:val="24"/>
          <w:szCs w:val="24"/>
        </w:rPr>
      </w:pPr>
      <w:r w:rsidRPr="001B0583">
        <w:rPr>
          <w:rFonts w:ascii="Arial" w:hAnsi="Arial" w:cs="Arial"/>
          <w:sz w:val="24"/>
          <w:szCs w:val="24"/>
        </w:rPr>
        <w:t xml:space="preserve">En Puerto Boyacá, como resultado de los procesos de caracterización sociocultural, se identificaron un total de 1489 personas como miembros de las comunidades </w:t>
      </w:r>
      <w:proofErr w:type="spellStart"/>
      <w:r w:rsidRPr="001B0583">
        <w:rPr>
          <w:rFonts w:ascii="Arial" w:hAnsi="Arial" w:cs="Arial"/>
          <w:sz w:val="24"/>
          <w:szCs w:val="24"/>
        </w:rPr>
        <w:t>COMUNIDADES</w:t>
      </w:r>
      <w:proofErr w:type="spellEnd"/>
      <w:r w:rsidRPr="001B0583">
        <w:rPr>
          <w:rFonts w:ascii="Arial" w:hAnsi="Arial" w:cs="Arial"/>
          <w:sz w:val="24"/>
          <w:szCs w:val="24"/>
        </w:rPr>
        <w:t xml:space="preserve"> NEGRAS, AFROCOLOMBIANAS, RAIZALES Y PALENQUERAS, de las cuales 498 están asociadas a las organizaciones mencionadas anteriormente. (Gobernación de Boyacá, 2023)</w:t>
      </w:r>
    </w:p>
    <w:p w14:paraId="08353637"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7C6D9692" w14:textId="77777777" w:rsidR="00DD030E" w:rsidRPr="001B0583" w:rsidRDefault="00DD030E" w:rsidP="00DD030E">
      <w:pPr>
        <w:pStyle w:val="Prrafodelista"/>
        <w:numPr>
          <w:ilvl w:val="0"/>
          <w:numId w:val="11"/>
        </w:num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De acuerdo con el censo realizado por la organización Asociación de Afros de Cubará (ASAFRACU), se estima una población de 150 personas en la vereda Margua de Cubará. (Gobernación de Boyacá, 2023)</w:t>
      </w:r>
    </w:p>
    <w:p w14:paraId="133660E5"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282FDC6D"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La comunidad raizal en el departamento de Boyacá se ubica en los Municipios de Cubará (5%), Puerto Boyacá (82%) y en la capital del Departamento de Boyacá, Tunja con un 13 %. (Secretaría de Planeación , 2023). </w:t>
      </w:r>
    </w:p>
    <w:p w14:paraId="4F281405"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4F94D629"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lastRenderedPageBreak/>
        <w:t xml:space="preserve">Por su parte, de acuerdo con cifras del Censo 2018, en Boyacá hay 6.736 personas miembros de comunidades indígenas, de los cuales 5.626, habitan en resguardos indígenas o territorios étnicos (DANE, 2022). En el departamento se cuentan 5626 miembros de la Comunidad </w:t>
      </w:r>
      <w:proofErr w:type="spellStart"/>
      <w:r w:rsidRPr="001B0583">
        <w:rPr>
          <w:rFonts w:ascii="Arial" w:eastAsia="Times New Roman" w:hAnsi="Arial" w:cs="Arial"/>
          <w:color w:val="000000"/>
          <w:kern w:val="0"/>
          <w:lang w:val="es-CO" w:eastAsia="es-ES_tradnl"/>
          <w14:ligatures w14:val="none"/>
        </w:rPr>
        <w:t>U’wa</w:t>
      </w:r>
      <w:proofErr w:type="spellEnd"/>
      <w:r w:rsidRPr="001B0583">
        <w:rPr>
          <w:rFonts w:ascii="Arial" w:eastAsia="Times New Roman" w:hAnsi="Arial" w:cs="Arial"/>
          <w:color w:val="000000"/>
          <w:kern w:val="0"/>
          <w:lang w:val="es-CO" w:eastAsia="es-ES_tradnl"/>
          <w14:ligatures w14:val="none"/>
        </w:rPr>
        <w:t xml:space="preserve">, 260 integrantes de la Comunidad </w:t>
      </w:r>
      <w:proofErr w:type="spellStart"/>
      <w:r w:rsidRPr="001B0583">
        <w:rPr>
          <w:rFonts w:ascii="Arial" w:eastAsia="Times New Roman" w:hAnsi="Arial" w:cs="Arial"/>
          <w:color w:val="000000"/>
          <w:kern w:val="0"/>
          <w:lang w:val="es-CO" w:eastAsia="es-ES_tradnl"/>
          <w14:ligatures w14:val="none"/>
        </w:rPr>
        <w:t>Embera</w:t>
      </w:r>
      <w:proofErr w:type="spellEnd"/>
      <w:r w:rsidRPr="001B0583">
        <w:rPr>
          <w:rFonts w:ascii="Arial" w:eastAsia="Times New Roman" w:hAnsi="Arial" w:cs="Arial"/>
          <w:color w:val="000000"/>
          <w:kern w:val="0"/>
          <w:lang w:val="es-CO" w:eastAsia="es-ES_tradnl"/>
          <w14:ligatures w14:val="none"/>
        </w:rPr>
        <w:t xml:space="preserve"> </w:t>
      </w:r>
      <w:proofErr w:type="spellStart"/>
      <w:r w:rsidRPr="001B0583">
        <w:rPr>
          <w:rFonts w:ascii="Arial" w:eastAsia="Times New Roman" w:hAnsi="Arial" w:cs="Arial"/>
          <w:color w:val="000000"/>
          <w:kern w:val="0"/>
          <w:lang w:val="es-CO" w:eastAsia="es-ES_tradnl"/>
          <w14:ligatures w14:val="none"/>
        </w:rPr>
        <w:t>Katio</w:t>
      </w:r>
      <w:proofErr w:type="spellEnd"/>
      <w:r w:rsidRPr="001B0583">
        <w:rPr>
          <w:rFonts w:ascii="Arial" w:eastAsia="Times New Roman" w:hAnsi="Arial" w:cs="Arial"/>
          <w:color w:val="000000"/>
          <w:kern w:val="0"/>
          <w:lang w:val="es-CO" w:eastAsia="es-ES_tradnl"/>
          <w14:ligatures w14:val="none"/>
        </w:rPr>
        <w:t xml:space="preserve"> y </w:t>
      </w:r>
      <w:proofErr w:type="spellStart"/>
      <w:r w:rsidRPr="001B0583">
        <w:rPr>
          <w:rFonts w:ascii="Arial" w:eastAsia="Times New Roman" w:hAnsi="Arial" w:cs="Arial"/>
          <w:color w:val="000000"/>
          <w:kern w:val="0"/>
          <w:lang w:val="es-CO" w:eastAsia="es-ES_tradnl"/>
          <w14:ligatures w14:val="none"/>
        </w:rPr>
        <w:t>Embera</w:t>
      </w:r>
      <w:proofErr w:type="spellEnd"/>
      <w:r w:rsidRPr="001B0583">
        <w:rPr>
          <w:rFonts w:ascii="Arial" w:eastAsia="Times New Roman" w:hAnsi="Arial" w:cs="Arial"/>
          <w:color w:val="000000"/>
          <w:kern w:val="0"/>
          <w:lang w:val="es-CO" w:eastAsia="es-ES_tradnl"/>
          <w14:ligatures w14:val="none"/>
        </w:rPr>
        <w:t xml:space="preserve"> Chami; 16 miembros de Comunidad </w:t>
      </w:r>
      <w:proofErr w:type="spellStart"/>
      <w:r w:rsidRPr="001B0583">
        <w:rPr>
          <w:rFonts w:ascii="Arial" w:eastAsia="Times New Roman" w:hAnsi="Arial" w:cs="Arial"/>
          <w:color w:val="000000"/>
          <w:kern w:val="0"/>
          <w:lang w:val="es-CO" w:eastAsia="es-ES_tradnl"/>
          <w14:ligatures w14:val="none"/>
        </w:rPr>
        <w:t>U’wa</w:t>
      </w:r>
      <w:proofErr w:type="spellEnd"/>
      <w:r w:rsidRPr="001B0583">
        <w:rPr>
          <w:rFonts w:ascii="Arial" w:eastAsia="Times New Roman" w:hAnsi="Arial" w:cs="Arial"/>
          <w:color w:val="000000"/>
          <w:kern w:val="0"/>
          <w:lang w:val="es-CO" w:eastAsia="es-ES_tradnl"/>
          <w14:ligatures w14:val="none"/>
        </w:rPr>
        <w:t xml:space="preserve"> y 834 personas de diferentes comunidades sin Territorio</w:t>
      </w:r>
    </w:p>
    <w:p w14:paraId="1BE8D4A3"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étnico flotantes (Secretaría de Planeación , 2023)</w:t>
      </w:r>
    </w:p>
    <w:p w14:paraId="4E3240B7"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78E97B9A" w14:textId="70511EB6"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Esto significa que el Proyecto tiene un propósito de proteger y brindar mayores oportunidades a estos grupos indígenas y agro que </w:t>
      </w:r>
      <w:r w:rsidR="006F3A84" w:rsidRPr="001B0583">
        <w:rPr>
          <w:rFonts w:ascii="Arial" w:eastAsia="Times New Roman" w:hAnsi="Arial" w:cs="Arial"/>
          <w:color w:val="000000"/>
          <w:kern w:val="0"/>
          <w:lang w:val="es-CO" w:eastAsia="es-ES_tradnl"/>
          <w14:ligatures w14:val="none"/>
        </w:rPr>
        <w:t>habitan</w:t>
      </w:r>
      <w:r w:rsidRPr="001B0583">
        <w:rPr>
          <w:rFonts w:ascii="Arial" w:eastAsia="Times New Roman" w:hAnsi="Arial" w:cs="Arial"/>
          <w:color w:val="000000"/>
          <w:kern w:val="0"/>
          <w:lang w:val="es-CO" w:eastAsia="es-ES_tradnl"/>
          <w14:ligatures w14:val="none"/>
        </w:rPr>
        <w:t xml:space="preserve"> en el Departamento. </w:t>
      </w:r>
    </w:p>
    <w:p w14:paraId="3037BBF5" w14:textId="77777777" w:rsidR="00DD030E" w:rsidRPr="001B0583" w:rsidRDefault="00DD030E" w:rsidP="00DD030E">
      <w:pPr>
        <w:jc w:val="both"/>
        <w:rPr>
          <w:rFonts w:ascii="Arial" w:hAnsi="Arial" w:cs="Arial"/>
          <w:lang w:val="es-CO"/>
        </w:rPr>
      </w:pPr>
    </w:p>
    <w:p w14:paraId="653266F7" w14:textId="77777777" w:rsidR="00DD030E" w:rsidRPr="001B0583" w:rsidRDefault="00DD030E" w:rsidP="00DD030E">
      <w:pPr>
        <w:jc w:val="both"/>
        <w:rPr>
          <w:rFonts w:ascii="Arial" w:hAnsi="Arial" w:cs="Arial"/>
          <w:lang w:val="es-CO"/>
        </w:rPr>
      </w:pPr>
    </w:p>
    <w:p w14:paraId="59A4FE13" w14:textId="77777777" w:rsidR="00DD030E" w:rsidRPr="001B0583" w:rsidRDefault="00DD030E" w:rsidP="00DD030E">
      <w:pPr>
        <w:pStyle w:val="p1"/>
        <w:jc w:val="both"/>
        <w:rPr>
          <w:rFonts w:ascii="Arial" w:hAnsi="Arial" w:cs="Arial"/>
          <w:sz w:val="24"/>
          <w:szCs w:val="24"/>
        </w:rPr>
      </w:pPr>
      <w:r w:rsidRPr="001B0583">
        <w:rPr>
          <w:rFonts w:ascii="Arial" w:hAnsi="Arial" w:cs="Arial"/>
          <w:b/>
          <w:bCs/>
          <w:sz w:val="24"/>
          <w:szCs w:val="24"/>
        </w:rPr>
        <w:t xml:space="preserve">- BRECHA DIGITAL- “BOYACÁ ESTÁ DESCONECTADO”: </w:t>
      </w:r>
      <w:r w:rsidRPr="001B0583">
        <w:rPr>
          <w:rFonts w:ascii="Arial" w:hAnsi="Arial" w:cs="Arial"/>
          <w:sz w:val="24"/>
          <w:szCs w:val="24"/>
        </w:rPr>
        <w:t>Actualmente, existe una alta disparidad y brecha en Boyacá entre quienes acceden a internet y quienes no lo hacen. 5 de cada 10 hogares en el departamento (DANE, 2023) no tienen acceso a internet y en su gran mayoría son hogares de bajos ingresos, lo que podría traducirse en falta de oportunidades y un aumento de la desigualdad. Tan solo el 54,1% de los hogares en Boyacá cuenta con este servicio, con una mayor concentración en las cabeceras (65,2%) frente a las zonas rurales (35,9%). A todo esto, se suma que la posesión de computadoras (de escritorio, portátiles o tabletas) en los hogares es tan solo de un 28,1% en total. La proporción de hogares con computadoras es más alta en las cabeceras municipales (38,6%) en comparación con las zonas rurales (11,0%). En ese contexto, son necesarias acciones encaminadas para trabajar en lo rural y urbano. (DANE, 2023).</w:t>
      </w:r>
    </w:p>
    <w:p w14:paraId="29B411C5" w14:textId="77777777" w:rsidR="00DD030E" w:rsidRPr="001B0583" w:rsidRDefault="00DD030E" w:rsidP="00DD030E">
      <w:pPr>
        <w:pStyle w:val="p1"/>
        <w:jc w:val="both"/>
        <w:rPr>
          <w:rFonts w:ascii="Arial" w:hAnsi="Arial" w:cs="Arial"/>
          <w:sz w:val="24"/>
          <w:szCs w:val="24"/>
        </w:rPr>
      </w:pPr>
    </w:p>
    <w:p w14:paraId="7C1A777F"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Así mismo, la brecha digital en Boyacá ha ido aumentando pese a los esfuerzos institucionales por promover la oferta y realizar acciones tendientes a garantizar el acceso a servicios. Según el Índice de Brecha Digital Regional del Ministerio TIC (MINTIC COLOMBIA, 2023</w:t>
      </w:r>
      <w:r w:rsidRPr="001B0583">
        <w:rPr>
          <w:rStyle w:val="Refdenotaalpie"/>
          <w:rFonts w:ascii="Arial" w:hAnsi="Arial" w:cs="Arial"/>
          <w:sz w:val="24"/>
          <w:szCs w:val="24"/>
        </w:rPr>
        <w:footnoteReference w:id="3"/>
      </w:r>
      <w:r w:rsidRPr="001B0583">
        <w:rPr>
          <w:rFonts w:ascii="Arial" w:hAnsi="Arial" w:cs="Arial"/>
          <w:sz w:val="24"/>
          <w:szCs w:val="24"/>
        </w:rPr>
        <w:t xml:space="preserve">) Boyacá se ubicó en la posición No. 11 del ranking nacional manteniendo la esa misma posición desde el 2020, de manera que se requieren sumar esfuerzos que impacten los municipios ma2s alejados e impactados por el conflicto como el caso de Cubará, por mencionar solo un ejemplo. En especial se requiere garantizar el acceso, uso y apropiación de nuevas tecnologías. </w:t>
      </w:r>
    </w:p>
    <w:p w14:paraId="1E67478A" w14:textId="77777777" w:rsidR="00DD030E" w:rsidRPr="001B0583" w:rsidRDefault="00DD030E" w:rsidP="00DD030E">
      <w:pPr>
        <w:pStyle w:val="p1"/>
        <w:jc w:val="both"/>
        <w:rPr>
          <w:rFonts w:ascii="Arial" w:hAnsi="Arial" w:cs="Arial"/>
          <w:sz w:val="24"/>
          <w:szCs w:val="24"/>
        </w:rPr>
      </w:pPr>
    </w:p>
    <w:p w14:paraId="7B302B1B"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Es que las Tecnologías de la información y las comunicaciones-TIC y las tecnologías emergentes permiten dinamizar la economía, cambiar la forma en como nos comunicamos y son catalizadores para reducir la desigualdad y la pobreza. Según el (Departamento Nacional de Planeación DNP, 2018) en su estudio “Aproximación al impacto de las TIC en la desigualdad de ingresos en Colombia”, se afirma que “(…) la penetración del servicio de Internet es a todas luces el factor más importante para explicar los cambios en la distribución del ingreso”. </w:t>
      </w:r>
    </w:p>
    <w:p w14:paraId="01F2B0EF" w14:textId="77777777" w:rsidR="00DD030E" w:rsidRPr="001B0583" w:rsidRDefault="00DD030E" w:rsidP="00DD030E">
      <w:pPr>
        <w:pStyle w:val="p1"/>
        <w:jc w:val="both"/>
        <w:rPr>
          <w:rFonts w:ascii="Arial" w:hAnsi="Arial" w:cs="Arial"/>
          <w:sz w:val="24"/>
          <w:szCs w:val="24"/>
        </w:rPr>
      </w:pPr>
    </w:p>
    <w:p w14:paraId="567A798B"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lastRenderedPageBreak/>
        <w:t>De otra parte, en lo que refiere a Hogares con acceso a Televisión TDT, tan solo el 54,1% de los hogares en Boyacá</w:t>
      </w:r>
    </w:p>
    <w:p w14:paraId="3395B698"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cuenta con este servicio, con una mayor concentración en las cabeceras (65,2%) frente a las zonas rurales (35,9%). A todo esto, se suma que la posesión de computadoras (de escritorio, portátiles o tabletas) en los hogares es tan solo de un 28,1% en total. La proporción de hogares con computadoras es más alta en las cabeceras municipales (38,6%) en comparación con las zonas rurales (11,0%), (Datos tomados del Boletín técnico Indicadores básicos de tenencia y uso de Tecnologías de la Información y las Comunicaciones – TIC en hogares y personas de 5 y más años de edad (DANE, 2023).</w:t>
      </w:r>
    </w:p>
    <w:p w14:paraId="118AC1AF" w14:textId="77777777" w:rsidR="00DD030E" w:rsidRPr="001B0583" w:rsidRDefault="00DD030E" w:rsidP="00DD030E">
      <w:pPr>
        <w:pStyle w:val="p1"/>
        <w:jc w:val="both"/>
        <w:rPr>
          <w:rFonts w:ascii="Arial" w:hAnsi="Arial" w:cs="Arial"/>
          <w:sz w:val="24"/>
          <w:szCs w:val="24"/>
        </w:rPr>
      </w:pPr>
    </w:p>
    <w:p w14:paraId="13350F99" w14:textId="77777777" w:rsidR="00DD030E" w:rsidRPr="001B0583" w:rsidRDefault="00DD030E" w:rsidP="00DD030E">
      <w:pPr>
        <w:pStyle w:val="p1"/>
        <w:jc w:val="both"/>
        <w:rPr>
          <w:rFonts w:ascii="Arial" w:hAnsi="Arial" w:cs="Arial"/>
          <w:sz w:val="24"/>
          <w:szCs w:val="24"/>
        </w:rPr>
      </w:pPr>
    </w:p>
    <w:p w14:paraId="75A41CD2" w14:textId="5C735969" w:rsidR="00DD030E" w:rsidRPr="001B0583" w:rsidRDefault="00DD030E" w:rsidP="00DD030E">
      <w:pPr>
        <w:pStyle w:val="p1"/>
        <w:jc w:val="both"/>
        <w:rPr>
          <w:rFonts w:ascii="Arial" w:hAnsi="Arial" w:cs="Arial"/>
          <w:sz w:val="24"/>
          <w:szCs w:val="24"/>
        </w:rPr>
      </w:pPr>
      <w:r w:rsidRPr="001B0583">
        <w:rPr>
          <w:rFonts w:ascii="Arial" w:hAnsi="Arial" w:cs="Arial"/>
          <w:b/>
          <w:bCs/>
          <w:sz w:val="24"/>
          <w:szCs w:val="24"/>
        </w:rPr>
        <w:t xml:space="preserve">- </w:t>
      </w:r>
      <w:r w:rsidR="004542C2" w:rsidRPr="001B0583">
        <w:rPr>
          <w:rFonts w:ascii="Arial" w:hAnsi="Arial" w:cs="Arial"/>
          <w:b/>
          <w:bCs/>
          <w:sz w:val="24"/>
          <w:szCs w:val="24"/>
        </w:rPr>
        <w:t>EDUCACIÓN:</w:t>
      </w:r>
      <w:r w:rsidR="004542C2" w:rsidRPr="001B0583">
        <w:rPr>
          <w:rFonts w:ascii="Arial" w:hAnsi="Arial" w:cs="Arial"/>
          <w:sz w:val="24"/>
          <w:szCs w:val="24"/>
        </w:rPr>
        <w:t xml:space="preserve"> </w:t>
      </w:r>
      <w:r w:rsidRPr="001B0583">
        <w:rPr>
          <w:rFonts w:ascii="Arial" w:hAnsi="Arial" w:cs="Arial"/>
          <w:sz w:val="24"/>
          <w:szCs w:val="24"/>
        </w:rPr>
        <w:t>De acuerdo con cifras de la Gobernación de Boyacá</w:t>
      </w:r>
      <w:r w:rsidRPr="001B0583">
        <w:rPr>
          <w:rStyle w:val="Refdenotaalpie"/>
          <w:rFonts w:ascii="Arial" w:hAnsi="Arial" w:cs="Arial"/>
          <w:sz w:val="24"/>
          <w:szCs w:val="24"/>
        </w:rPr>
        <w:footnoteReference w:id="4"/>
      </w:r>
      <w:r w:rsidRPr="001B0583">
        <w:rPr>
          <w:rFonts w:ascii="Arial" w:hAnsi="Arial" w:cs="Arial"/>
          <w:sz w:val="24"/>
          <w:szCs w:val="24"/>
        </w:rPr>
        <w:t xml:space="preserve">, la tasa de Cobertura bruta de Primaria y de secundaria, 2023 vs 2022, disminuyó en 1.120 y 2.012 estudiantes matriculados respectivamente, equivalente a una baja en puntos de 1,9 y 4 puntos; evidenciando una alta disminución en la matrícula de secundaria; distribuidos 73.2% en la zona urbana y el 26,8% en la zona rural. De los registrados en SIMAT en la zona urbana, un gran porcentaje residen en el área rural del Departamento, dado que en el área rural se encuentran pocas Instituciones Educativas que ofrecen la básica Secundaria y tienen que desplazarse a cursar este nivel a las cabeceras municipales y algunos no continúan, contribuyendo a la deserción escolar presentada en esta Entidad Territorial, que es del 2.95% para el 2022, según datos del MEN en su documento Cobertura en cifras de noviembre de 2023. (Secretaria de Educación de Boyacá, 2023). </w:t>
      </w:r>
    </w:p>
    <w:p w14:paraId="33F2A5FE"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7ED6C4EE"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A través de la Gran Encuesta Integrada de Hogares (GEIH) realizada en el año 2018, arrojó como resultado que la tasa de analfabetismo del país es de 5,24 %. Esto equivale a que, aproximadamente, 1.857.000 colombianos, no tienen competencias lectoras y escritas. La tasa de analfabetismo en Colombia 2023 se encuentra en aproximadamente el 6% de la población; porcentaje que numéricamente indica que tres millones de personas radicadas en el país carecen de habilidades y conocimientos cuyo ejercicio les reporte los mínimos vitales.</w:t>
      </w:r>
    </w:p>
    <w:p w14:paraId="104DDF7E"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La mayoría de los departamentos del país reporta cifras de analfabetismo menores al 10 %. Quienes no tienen estas competencias hacen parte de porcentajes inferiores al 4 % a nivel nacional. En lo que respecta a Boyacá de acuerdo con el DANE tiene una cifra de analfabetismo de 5.81%, el porcentaje obedece a que hay zonas rurales dispersas donde no hay infraestructura básica, lo que se puede traducir en dificultad para acceder al sistema</w:t>
      </w:r>
    </w:p>
    <w:p w14:paraId="16839003"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educativo.</w:t>
      </w:r>
    </w:p>
    <w:p w14:paraId="50386F26"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200CD727"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Esta situación evidencia la necesidad de apoyar sectores clave para de desarrollo de las regiones como lo es la educación. </w:t>
      </w:r>
    </w:p>
    <w:p w14:paraId="27A6BE8C"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42E8D05C"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b/>
          <w:bCs/>
          <w:color w:val="000000"/>
          <w:kern w:val="0"/>
          <w:lang w:val="es-CO" w:eastAsia="es-ES_tradnl"/>
          <w14:ligatures w14:val="none"/>
        </w:rPr>
        <w:lastRenderedPageBreak/>
        <w:t>- POBREZA Y OTROS FACTORES ASOCIADOS EN EL DEPARTAMENTO</w:t>
      </w:r>
      <w:r w:rsidRPr="001B0583">
        <w:rPr>
          <w:rStyle w:val="Refdenotaalpie"/>
          <w:rFonts w:ascii="Arial" w:eastAsia="Times New Roman" w:hAnsi="Arial" w:cs="Arial"/>
          <w:b/>
          <w:bCs/>
          <w:color w:val="000000"/>
          <w:kern w:val="0"/>
          <w:lang w:val="es-CO" w:eastAsia="es-ES_tradnl"/>
          <w14:ligatures w14:val="none"/>
        </w:rPr>
        <w:footnoteReference w:id="5"/>
      </w:r>
      <w:r w:rsidRPr="001B0583">
        <w:rPr>
          <w:rFonts w:ascii="Arial" w:eastAsia="Times New Roman" w:hAnsi="Arial" w:cs="Arial"/>
          <w:b/>
          <w:bCs/>
          <w:color w:val="000000"/>
          <w:kern w:val="0"/>
          <w:lang w:val="es-CO" w:eastAsia="es-ES_tradnl"/>
          <w14:ligatures w14:val="none"/>
        </w:rPr>
        <w:t xml:space="preserve">: </w:t>
      </w:r>
      <w:r w:rsidRPr="001B0583">
        <w:rPr>
          <w:rFonts w:ascii="Arial" w:eastAsia="Times New Roman" w:hAnsi="Arial" w:cs="Arial"/>
          <w:color w:val="000000"/>
          <w:kern w:val="0"/>
          <w:lang w:val="es-CO" w:eastAsia="es-ES_tradnl"/>
          <w14:ligatures w14:val="none"/>
        </w:rPr>
        <w:t>De acuerdo con el informe de “Boyacá en cifras 2023 de la Cámaras de Comercio de Boyacá, respecto a la distribución de la población por área geográfica se encuentra que el 60,5 % de los habitantes se encuentran radicados en la zona urbana de los municipios del</w:t>
      </w:r>
      <w:r w:rsidRPr="001B0583">
        <w:rPr>
          <w:rFonts w:ascii="Arial" w:hAnsi="Arial" w:cs="Arial"/>
        </w:rPr>
        <w:t xml:space="preserve"> departamento, mientras que el 39,5 % restante corresponde a población que reside en el área rural y centros poblados. De estos, los hombres ocupan un mayor porcentaje en las zonas rurales con 51,8 % frente al 48,2% de mujeres, mientras que en las áreas urbanas el porcentaje de habitantes mujeres es del 52,3 % y el de los hombres 47,7 %</w:t>
      </w:r>
      <w:r w:rsidRPr="001B0583">
        <w:rPr>
          <w:rStyle w:val="Refdenotaalpie"/>
          <w:rFonts w:ascii="Arial" w:hAnsi="Arial" w:cs="Arial"/>
        </w:rPr>
        <w:footnoteReference w:id="6"/>
      </w:r>
      <w:r w:rsidRPr="001B0583">
        <w:rPr>
          <w:rFonts w:ascii="Arial" w:hAnsi="Arial" w:cs="Arial"/>
        </w:rPr>
        <w:t>.</w:t>
      </w:r>
    </w:p>
    <w:p w14:paraId="788E288B"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00B65582" w14:textId="77777777" w:rsidR="00DD030E" w:rsidRPr="001B0583" w:rsidRDefault="00DD030E" w:rsidP="00DD030E">
      <w:pPr>
        <w:pStyle w:val="p1"/>
        <w:jc w:val="both"/>
        <w:rPr>
          <w:rFonts w:ascii="Arial" w:eastAsiaTheme="minorHAnsi" w:hAnsi="Arial" w:cs="Arial"/>
          <w:color w:val="auto"/>
          <w:kern w:val="2"/>
          <w:sz w:val="24"/>
          <w:szCs w:val="24"/>
          <w:lang w:val="es-ES" w:eastAsia="en-US"/>
          <w14:ligatures w14:val="standardContextual"/>
        </w:rPr>
      </w:pPr>
      <w:r w:rsidRPr="001B0583">
        <w:rPr>
          <w:rFonts w:ascii="Arial" w:eastAsiaTheme="minorHAnsi" w:hAnsi="Arial" w:cs="Arial"/>
          <w:color w:val="auto"/>
          <w:kern w:val="2"/>
          <w:sz w:val="24"/>
          <w:szCs w:val="24"/>
          <w:lang w:val="es-ES" w:eastAsia="en-US"/>
          <w14:ligatures w14:val="standardContextual"/>
        </w:rPr>
        <w:t xml:space="preserve">Haciendo referencia a la distribución de la población en relación con las provincias existentes en el departamento, se tiene que el 70,6 % de los habitantes se encuentran distribuidos en cuatro provincias: Centro, Occidente, </w:t>
      </w:r>
      <w:proofErr w:type="spellStart"/>
      <w:r w:rsidRPr="001B0583">
        <w:rPr>
          <w:rFonts w:ascii="Arial" w:eastAsiaTheme="minorHAnsi" w:hAnsi="Arial" w:cs="Arial"/>
          <w:color w:val="auto"/>
          <w:kern w:val="2"/>
          <w:sz w:val="24"/>
          <w:szCs w:val="24"/>
          <w:lang w:val="es-ES" w:eastAsia="en-US"/>
          <w14:ligatures w14:val="standardContextual"/>
        </w:rPr>
        <w:t>Sugamuxi</w:t>
      </w:r>
      <w:proofErr w:type="spellEnd"/>
      <w:r w:rsidRPr="001B0583">
        <w:rPr>
          <w:rFonts w:ascii="Arial" w:eastAsiaTheme="minorHAnsi" w:hAnsi="Arial" w:cs="Arial"/>
          <w:color w:val="auto"/>
          <w:kern w:val="2"/>
          <w:sz w:val="24"/>
          <w:szCs w:val="24"/>
          <w:lang w:val="es-ES" w:eastAsia="en-US"/>
          <w14:ligatures w14:val="standardContextual"/>
        </w:rPr>
        <w:t xml:space="preserve"> y Tundama, donde más del 59 % de la población de estas provincias, habita en las áreas urbanas; mientras que el 29,4 % restante de la población del departamento se distribuye en las otras nueve provincias. Así mismo, se puede evidenciar que existe una mayor cantidad de población habitando las zonas rurales y centros poblados, en relación con las áreas urbanas; las provincias menos pobladas son Márquez con 72,5 %, seguida de La Libertad 65,9 %, Gutiérrez 65,2 %, Valderrama 62,3 %, Ricaurte 59 %, Oriente 56,2 %, </w:t>
      </w:r>
      <w:proofErr w:type="spellStart"/>
      <w:r w:rsidRPr="001B0583">
        <w:rPr>
          <w:rFonts w:ascii="Arial" w:eastAsiaTheme="minorHAnsi" w:hAnsi="Arial" w:cs="Arial"/>
          <w:color w:val="auto"/>
          <w:kern w:val="2"/>
          <w:sz w:val="24"/>
          <w:szCs w:val="24"/>
          <w:lang w:val="es-ES" w:eastAsia="en-US"/>
          <w14:ligatures w14:val="standardContextual"/>
        </w:rPr>
        <w:t>Lengupá</w:t>
      </w:r>
      <w:proofErr w:type="spellEnd"/>
      <w:r w:rsidRPr="001B0583">
        <w:rPr>
          <w:rFonts w:ascii="Arial" w:eastAsiaTheme="minorHAnsi" w:hAnsi="Arial" w:cs="Arial"/>
          <w:color w:val="auto"/>
          <w:kern w:val="2"/>
          <w:sz w:val="24"/>
          <w:szCs w:val="24"/>
          <w:lang w:val="es-ES" w:eastAsia="en-US"/>
          <w14:ligatures w14:val="standardContextual"/>
        </w:rPr>
        <w:t xml:space="preserve"> 54,7 %, Norte 53,2 %.</w:t>
      </w:r>
    </w:p>
    <w:p w14:paraId="6DFB1D30" w14:textId="77777777" w:rsidR="00DD030E" w:rsidRPr="001B0583" w:rsidRDefault="00DD030E" w:rsidP="00DD030E">
      <w:pPr>
        <w:pStyle w:val="p1"/>
        <w:jc w:val="center"/>
        <w:rPr>
          <w:rFonts w:ascii="Arial" w:eastAsiaTheme="minorHAnsi" w:hAnsi="Arial" w:cs="Arial"/>
          <w:color w:val="auto"/>
          <w:kern w:val="2"/>
          <w:sz w:val="24"/>
          <w:szCs w:val="24"/>
          <w:lang w:val="es-ES" w:eastAsia="en-US"/>
          <w14:ligatures w14:val="standardContextual"/>
        </w:rPr>
      </w:pPr>
      <w:r w:rsidRPr="001B0583">
        <w:rPr>
          <w:rFonts w:ascii="Arial" w:eastAsiaTheme="minorHAnsi" w:hAnsi="Arial" w:cs="Arial"/>
          <w:noProof/>
          <w:color w:val="auto"/>
          <w:kern w:val="2"/>
          <w:sz w:val="24"/>
          <w:szCs w:val="24"/>
          <w:lang w:val="es-ES" w:eastAsia="en-US"/>
          <w14:ligatures w14:val="standardContextual"/>
        </w:rPr>
        <w:drawing>
          <wp:inline distT="0" distB="0" distL="0" distR="0" wp14:anchorId="5DBAD266" wp14:editId="4F758F0C">
            <wp:extent cx="4289367" cy="3701629"/>
            <wp:effectExtent l="0" t="0" r="3810" b="0"/>
            <wp:docPr id="1561453473"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53473" name="Imagen 1" descr="Gráfico, Gráfico de barras&#10;&#10;El contenido generado por IA puede ser incorrecto."/>
                    <pic:cNvPicPr/>
                  </pic:nvPicPr>
                  <pic:blipFill>
                    <a:blip r:embed="rId10"/>
                    <a:stretch>
                      <a:fillRect/>
                    </a:stretch>
                  </pic:blipFill>
                  <pic:spPr>
                    <a:xfrm>
                      <a:off x="0" y="0"/>
                      <a:ext cx="4315830" cy="3724466"/>
                    </a:xfrm>
                    <a:prstGeom prst="rect">
                      <a:avLst/>
                    </a:prstGeom>
                  </pic:spPr>
                </pic:pic>
              </a:graphicData>
            </a:graphic>
          </wp:inline>
        </w:drawing>
      </w:r>
    </w:p>
    <w:p w14:paraId="559BA6C9"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4F5A450F"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Del periodo 2012 al 2022, se evidencia un comportamiento cíclico de la incidencia de pobreza monetaria en el departamento de Boyacá, teniendo como picos del ciclo, los años 2013 y el 2021. A nivel general, la tendencia es decreciente con una reducción de 5,5 puntos para el año 2022 frente al 2021.</w:t>
      </w:r>
    </w:p>
    <w:p w14:paraId="55183AB2"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D90AE3C" w14:textId="77777777" w:rsidR="00DD030E" w:rsidRPr="001B0583" w:rsidRDefault="00DD030E" w:rsidP="00DD030E">
      <w:pPr>
        <w:jc w:val="center"/>
        <w:rPr>
          <w:rFonts w:ascii="Arial" w:eastAsia="Times New Roman" w:hAnsi="Arial" w:cs="Arial"/>
          <w:color w:val="000000"/>
          <w:kern w:val="0"/>
          <w:lang w:val="es-CO" w:eastAsia="es-ES_tradnl"/>
          <w14:ligatures w14:val="none"/>
        </w:rPr>
      </w:pPr>
      <w:r w:rsidRPr="001B0583">
        <w:rPr>
          <w:rFonts w:ascii="Arial" w:eastAsia="Times New Roman" w:hAnsi="Arial" w:cs="Arial"/>
          <w:noProof/>
          <w:color w:val="000000"/>
          <w:kern w:val="0"/>
          <w:lang w:val="es-CO" w:eastAsia="es-ES_tradnl"/>
          <w14:ligatures w14:val="none"/>
        </w:rPr>
        <w:drawing>
          <wp:inline distT="0" distB="0" distL="0" distR="0" wp14:anchorId="5717D43E" wp14:editId="4836218B">
            <wp:extent cx="3625587" cy="2196369"/>
            <wp:effectExtent l="0" t="0" r="0" b="1270"/>
            <wp:docPr id="101406472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64723" name="Imagen 1" descr="Tabla&#10;&#10;El contenido generado por IA puede ser incorrecto."/>
                    <pic:cNvPicPr/>
                  </pic:nvPicPr>
                  <pic:blipFill>
                    <a:blip r:embed="rId11"/>
                    <a:stretch>
                      <a:fillRect/>
                    </a:stretch>
                  </pic:blipFill>
                  <pic:spPr>
                    <a:xfrm>
                      <a:off x="0" y="0"/>
                      <a:ext cx="3653729" cy="2213417"/>
                    </a:xfrm>
                    <a:prstGeom prst="rect">
                      <a:avLst/>
                    </a:prstGeom>
                  </pic:spPr>
                </pic:pic>
              </a:graphicData>
            </a:graphic>
          </wp:inline>
        </w:drawing>
      </w:r>
    </w:p>
    <w:p w14:paraId="5278F908"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05F67B75"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Dentro de las principales tendencias de las privaciones por hogar en el departamento de Boyacá se identifican reducciones para la serie 2018 al 2023 en: 4 puntos porcentuales en analfabetismo, 8,1 puntos en bajo logro educativo, 4 puntos en barreras de acceso a servicios de salud, 1,1 puntos en Hacinamiento crítico, 2,4 puntos en inadecuada eliminación de excretas, 0,2 puntos en inasistencia escolar, 0,2 puntos en Material inadecuado de paredes exteriores, 2,5 puntos material inadecuado de pisos, 3,7 puntos rezago escolar, 12,5 puntos sin acceso a fuente de agua mejorada, 2,6 puntos sin aseguramiento en salud, 0,8 puntos trabajo infantil y 1,7 puntos trabajo informal.</w:t>
      </w:r>
      <w:r w:rsidRPr="001B0583">
        <w:rPr>
          <w:rStyle w:val="s1"/>
          <w:rFonts w:ascii="Arial" w:eastAsiaTheme="majorEastAsia" w:hAnsi="Arial" w:cs="Arial"/>
          <w:sz w:val="24"/>
          <w:szCs w:val="24"/>
        </w:rPr>
        <w:t xml:space="preserve"> </w:t>
      </w:r>
      <w:r w:rsidRPr="001B0583">
        <w:rPr>
          <w:rFonts w:ascii="Arial" w:hAnsi="Arial" w:cs="Arial"/>
          <w:sz w:val="24"/>
          <w:szCs w:val="24"/>
        </w:rPr>
        <w:t>Por otra parte, las variables que presentaron incrementos en su ponderación fueron con 1,2 puntos barreras a servicios para cuidado de la primera infancia y con 0,1 puntos desempleo de larga duración.</w:t>
      </w:r>
    </w:p>
    <w:p w14:paraId="5BEAD8EC" w14:textId="77777777" w:rsidR="00DD030E" w:rsidRPr="001B0583" w:rsidRDefault="00DD030E" w:rsidP="00DD030E">
      <w:pPr>
        <w:pStyle w:val="p1"/>
        <w:jc w:val="both"/>
        <w:rPr>
          <w:rFonts w:ascii="Arial" w:hAnsi="Arial" w:cs="Arial"/>
          <w:sz w:val="24"/>
          <w:szCs w:val="24"/>
        </w:rPr>
      </w:pPr>
    </w:p>
    <w:p w14:paraId="5B90B006" w14:textId="77777777" w:rsidR="00DD030E" w:rsidRPr="001B0583" w:rsidRDefault="00DD030E" w:rsidP="00DD030E">
      <w:pPr>
        <w:pStyle w:val="p1"/>
        <w:jc w:val="center"/>
        <w:rPr>
          <w:rFonts w:ascii="Arial" w:hAnsi="Arial" w:cs="Arial"/>
          <w:sz w:val="24"/>
          <w:szCs w:val="24"/>
        </w:rPr>
      </w:pPr>
      <w:r w:rsidRPr="001B0583">
        <w:rPr>
          <w:rFonts w:ascii="Arial" w:hAnsi="Arial" w:cs="Arial"/>
          <w:noProof/>
          <w:sz w:val="24"/>
          <w:szCs w:val="24"/>
        </w:rPr>
        <w:lastRenderedPageBreak/>
        <w:drawing>
          <wp:inline distT="0" distB="0" distL="0" distR="0" wp14:anchorId="5FB1B539" wp14:editId="3F8242D8">
            <wp:extent cx="3405352" cy="3071290"/>
            <wp:effectExtent l="0" t="0" r="0" b="2540"/>
            <wp:docPr id="597606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06992" name=""/>
                    <pic:cNvPicPr/>
                  </pic:nvPicPr>
                  <pic:blipFill>
                    <a:blip r:embed="rId12"/>
                    <a:stretch>
                      <a:fillRect/>
                    </a:stretch>
                  </pic:blipFill>
                  <pic:spPr>
                    <a:xfrm>
                      <a:off x="0" y="0"/>
                      <a:ext cx="3431196" cy="3094598"/>
                    </a:xfrm>
                    <a:prstGeom prst="rect">
                      <a:avLst/>
                    </a:prstGeom>
                  </pic:spPr>
                </pic:pic>
              </a:graphicData>
            </a:graphic>
          </wp:inline>
        </w:drawing>
      </w:r>
    </w:p>
    <w:p w14:paraId="58BDAB4C" w14:textId="77777777" w:rsidR="00DD030E" w:rsidRPr="001B0583" w:rsidRDefault="00DD030E" w:rsidP="00DD030E">
      <w:pPr>
        <w:pStyle w:val="p1"/>
        <w:jc w:val="both"/>
        <w:rPr>
          <w:rFonts w:ascii="Arial" w:hAnsi="Arial" w:cs="Arial"/>
          <w:sz w:val="24"/>
          <w:szCs w:val="24"/>
        </w:rPr>
      </w:pPr>
    </w:p>
    <w:p w14:paraId="571E62B0" w14:textId="0E154999"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En relación al comportamiento de las privaciones por hogar en el departamento de Boyacá para el periodo 2023 teniendo en cuenta distribución poblacional, se destaca: mayores índices en el sector rural para las variables de analfabetismos, bajo logro educativo, barreras de acceso a servicios de salud, desempleo de larga duración, inadecuada eliminación de excretas, inasistencia escolar, materiales inadecuados en pisos, rezago escolar, sin acceso a fuentes mejoradas de agua, trabajo infantil, y trabajo informal. En</w:t>
      </w:r>
      <w:r w:rsidR="004542C2">
        <w:rPr>
          <w:rFonts w:ascii="Arial" w:hAnsi="Arial" w:cs="Arial"/>
          <w:sz w:val="24"/>
          <w:szCs w:val="24"/>
        </w:rPr>
        <w:t xml:space="preserve"> </w:t>
      </w:r>
      <w:r w:rsidRPr="001B0583">
        <w:rPr>
          <w:rFonts w:ascii="Arial" w:hAnsi="Arial" w:cs="Arial"/>
          <w:sz w:val="24"/>
          <w:szCs w:val="24"/>
        </w:rPr>
        <w:t>relación con las mejores condiciones de área rural, se identifican las barreras a servicios para cuidado de la primera infancia, hacinamiento crítico, materiales inadecuados de paredes exteriores y sin aseguramiento en salud.</w:t>
      </w:r>
    </w:p>
    <w:p w14:paraId="43BCD6EC"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3E8E0589" w14:textId="77777777" w:rsidR="00DD030E" w:rsidRPr="001B0583" w:rsidRDefault="00DD030E" w:rsidP="00DD030E">
      <w:pPr>
        <w:jc w:val="center"/>
        <w:rPr>
          <w:rFonts w:ascii="Arial" w:eastAsia="Times New Roman" w:hAnsi="Arial" w:cs="Arial"/>
          <w:color w:val="000000"/>
          <w:kern w:val="0"/>
          <w:lang w:val="es-CO" w:eastAsia="es-ES_tradnl"/>
          <w14:ligatures w14:val="none"/>
        </w:rPr>
      </w:pPr>
      <w:r w:rsidRPr="001B0583">
        <w:rPr>
          <w:rFonts w:ascii="Arial" w:eastAsia="Times New Roman" w:hAnsi="Arial" w:cs="Arial"/>
          <w:noProof/>
          <w:color w:val="000000"/>
          <w:kern w:val="0"/>
          <w:lang w:val="es-CO" w:eastAsia="es-ES_tradnl"/>
          <w14:ligatures w14:val="none"/>
        </w:rPr>
        <w:drawing>
          <wp:inline distT="0" distB="0" distL="0" distR="0" wp14:anchorId="034B2AF8" wp14:editId="75BC1F0B">
            <wp:extent cx="4355184" cy="2149504"/>
            <wp:effectExtent l="0" t="0" r="1270" b="0"/>
            <wp:docPr id="166369688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96880" name="Imagen 1" descr="Tabla&#10;&#10;El contenido generado por IA puede ser incorrecto."/>
                    <pic:cNvPicPr/>
                  </pic:nvPicPr>
                  <pic:blipFill>
                    <a:blip r:embed="rId13"/>
                    <a:stretch>
                      <a:fillRect/>
                    </a:stretch>
                  </pic:blipFill>
                  <pic:spPr>
                    <a:xfrm>
                      <a:off x="0" y="0"/>
                      <a:ext cx="4361460" cy="2152601"/>
                    </a:xfrm>
                    <a:prstGeom prst="rect">
                      <a:avLst/>
                    </a:prstGeom>
                  </pic:spPr>
                </pic:pic>
              </a:graphicData>
            </a:graphic>
          </wp:inline>
        </w:drawing>
      </w:r>
    </w:p>
    <w:p w14:paraId="69771E87"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9DAFF01"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En Boyacá, respecto a la índice de Pobreza Multidimensional si tiene que durante 2022 fue de 9,6 en cabecera; 6,1 en centros poblados (subió) y rural disperso fue de 15,1%. (DANE, 2022). Las variables que representa mayores inconvenientes a </w:t>
      </w:r>
      <w:r w:rsidRPr="001B0583">
        <w:rPr>
          <w:rFonts w:ascii="Arial" w:hAnsi="Arial" w:cs="Arial"/>
          <w:sz w:val="24"/>
          <w:szCs w:val="24"/>
        </w:rPr>
        <w:lastRenderedPageBreak/>
        <w:t>nivel total en Boyacá en el 2022 son: trabajo informal 77,5% bajo logro educativo 48,3%, rezago escolar 23,1, sin acceso a fuente de agua mejorada 10,8%. En cuanto al desempleo para el año 2022, la tasa fue 10,7%, mientras que en 2021 se ubicó en 12,0%. La tasa de ocupación se ubicó en 54,2%, mientras que en el año anterior fue 47,7%. Entre tanto, el material inadecuado de paredes exteriores (0.5%), el trabajo infantil (0.9%), las barreras de acceso a salud con</w:t>
      </w:r>
    </w:p>
    <w:p w14:paraId="01759AAA"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(2%) al igual que la inasistencia escolar con (2%) se destacan como los componentes menos desfavorables del índice de pobreza multidimensional para Boyacá (DANE, 2023).</w:t>
      </w:r>
    </w:p>
    <w:p w14:paraId="17BB224F"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011FED2C"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La incidencia de la pobreza multidimensional en 2022 para el departamento de Boyacá fue de 9.6%, el porcentaje de personas en situación de pobreza multidimensional en Colombia fue 12,9% en el total nacional; en las cabeceras de 8,7% y en los centros poblados y rural disperso de 27,3%, es decir, el porcentaje de personas en situación de pobreza multidimensional en centros poblados y rural disperso fue 3,1 veces el de las cabeceras (DANE, 2022).</w:t>
      </w:r>
    </w:p>
    <w:p w14:paraId="40DA6001"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4A1CC3D"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Analizando otras variables se tiene que la prevalencia de inseguridad alimentaria moderada o grave en el departamento fue de 20,74%, lo que indica que en el departamento el 59,7% de sus habitantes viven en inseguridad alimentaria. (DANE, 2022)</w:t>
      </w:r>
    </w:p>
    <w:p w14:paraId="1E24FA88" w14:textId="77777777" w:rsidR="00DD030E" w:rsidRPr="001B0583" w:rsidRDefault="00DD030E" w:rsidP="00DD030E">
      <w:pPr>
        <w:pStyle w:val="p1"/>
        <w:jc w:val="both"/>
        <w:rPr>
          <w:rFonts w:ascii="Arial" w:hAnsi="Arial" w:cs="Arial"/>
          <w:sz w:val="24"/>
          <w:szCs w:val="24"/>
        </w:rPr>
      </w:pPr>
    </w:p>
    <w:p w14:paraId="0BABF9FE"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El indicador de mortalidad por desnutrición en menores de cinco años calcula el riesgo de muerte por desnutrición que tienen los niños menores de 5 años por cada 100.000 menores de cinco años. Este indicador, ha presentado un comportamiento variable en los últimos años en el 2022, la tasa de mortalidad por desnutrición en menores de 5 años en el departamento es de 2,27 y en el 2023 de 1,09 y el país para este mismo año registró 7,80</w:t>
      </w:r>
    </w:p>
    <w:p w14:paraId="5FA23CCB"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muertes por cada 100.000 menores de 5 años. (ASIS - Secretaria de Salud Boyacá, 2023,</w:t>
      </w:r>
    </w:p>
    <w:p w14:paraId="6E032870"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pág. 228). </w:t>
      </w:r>
    </w:p>
    <w:p w14:paraId="0A3331B9"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6907425F"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Mientras que para el año 2021 el departamento de Boyacá reportó un porcentaje de nacidos vivos con bajo peso al nacer de 10,39%, dato superior frente al nacional de 9,86%, la proporción del bajo peso al nacer en el periodo 2012 a 2021 presenta una tendencia al aumento pasando de 9,5% en el 2012 a 10,39 en 2021, reportando la mayor proporción en el año 2021. (ASIS - Secretaria de Salud Boyacá, 2023, pág. 112). Para el Índice de riesgo de la calidad del agua para consumo humano (IRCA) se tomó el dato nacional y departamental del año 2022, reportado al subsistema de información para vigilancia de calidad de agua para consumo humano-SIVICAP, el indicador para el país correspondió al 5,3% y para el departamento al 27,90%, este porcentaje ubica al país en riesgo bajo y al departamento en riesgo medio, indicando que existen diferencias estadísticamente significativas entre las dos entidades territoriales ubicando a Boyacá en peor condición frente al país. (ASIS - Secretaria de Salud Boyacá, 2023, pág. 98)</w:t>
      </w:r>
    </w:p>
    <w:p w14:paraId="568A313E"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0E900599"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lastRenderedPageBreak/>
        <w:t>El Índice de riesgo de la calidad del agua para consumo humano (IRCA) en el año 2022, el indicador para el área urbana correspondió al 7,60% y para el área rural al 44,70%, este porcentaje ubica al área urbana en riesgo bajo y al área rural en riesgo medio, mostrando que existen diferencias estadísticamente significativas que ubican al área rural en peor condición frente al área urbana. (ASIS - Secretaria de Salud Boyacá, 2023, pág. 99)</w:t>
      </w:r>
    </w:p>
    <w:p w14:paraId="46336B8A"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59B1312A" w14:textId="61B538F0"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Según el boletín de la UPME – Ministerio de Minas y Energía, con reportes del año 2006 al 2020. La cobertura del departamento de Boyacá se encuentra al 91%, cobertura reportada por las empresas que operan, distribuyen y comercializan el servicio de gas natural domiciliario, lo anterior solo incluye usuarios residenciales conectados, es decir que ya cuentan con el servicio. (Datos al marzo de 2021). De acuerdo con la Encuesta Nacional de calidad de vida del DANE 2022, se cuenta con una cobertura de gas del 95% en cabeceras municipales y 13% en centros poblados y rurales dispersos. (Gobernación de Boyacá, 2024)</w:t>
      </w:r>
    </w:p>
    <w:p w14:paraId="7DB7EC40"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3EF44D8"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En el año 2021, el Departamento tuvo un déficit de Vivienda del 27.8%. Esta situación de déficit se ha generado, especialmente en las áreas urbanas, donde se evidencia una gran cantidad de asentamiento ilegal e irregular en todo el departamento. El déficit cuantitativo de Boyacá, de acuerdo con el boletín 2021, fue 3.0% por debajo del promedio nacional (7.5%): en las cabeceras municipales el déficit fue del 4.2% y en los sectores rurales del 20.7%. (DANE, 2021, pág. 7). </w:t>
      </w:r>
    </w:p>
    <w:p w14:paraId="5D30D408" w14:textId="77777777" w:rsidR="00DD030E" w:rsidRPr="001B0583" w:rsidRDefault="00DD030E" w:rsidP="00DD030E">
      <w:pPr>
        <w:pStyle w:val="p1"/>
        <w:jc w:val="both"/>
        <w:rPr>
          <w:rFonts w:ascii="Arial" w:hAnsi="Arial" w:cs="Arial"/>
          <w:sz w:val="24"/>
          <w:szCs w:val="24"/>
        </w:rPr>
      </w:pPr>
    </w:p>
    <w:p w14:paraId="35430E46"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En cuanto al déficit cualitativo de vivienda se encuentra por encima del promedio nacional, ya que para el 2021, en Boyacá era de 24.8% mientras que a nivel nacional era de 23.5%. En las cabeceras municipales el déficit fue de 16.7% y 47.5% en la zona rural. (DANE, 2021, pág. 9) El déficit habitacional a nivel general se incrementó 8,3 puntos porcentuales entre los Censos de 2005 y 2018, presionado especialmente en el sector urbano, dado que en el</w:t>
      </w:r>
    </w:p>
    <w:p w14:paraId="68876553"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sector rural dicho déficit disminuyó en la fase intercensal. (DANE, 2021). </w:t>
      </w:r>
    </w:p>
    <w:p w14:paraId="2D470F73"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1A2870A4"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El índice de pobreza multimodal, que refleja la privación de los hogares en distintas dimensiones, indico que  Boyacá se ubica en 9,6 puntos porcentuales. Para “Centros poblados y rural disperso” el cual se ubica sobre 15,10 % para el año 2022.</w:t>
      </w:r>
    </w:p>
    <w:p w14:paraId="1C761075" w14:textId="77777777" w:rsidR="00DD030E" w:rsidRPr="001B0583" w:rsidRDefault="00DD030E" w:rsidP="00DD030E">
      <w:pPr>
        <w:pStyle w:val="p1"/>
        <w:jc w:val="both"/>
        <w:rPr>
          <w:rFonts w:ascii="Arial" w:hAnsi="Arial" w:cs="Arial"/>
          <w:sz w:val="24"/>
          <w:szCs w:val="24"/>
        </w:rPr>
      </w:pPr>
    </w:p>
    <w:p w14:paraId="786219EA"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En cuanto a saneamiento básico, En Boyacá se observa que para el año 2022 en cabeceras el 0,4% de los hogares no cuentan con servicio público de alcantarillado y en centros poblados y rural disperso el 14,8% de los hogares tienen una inadecuada eliminación de excretas. El comportamiento en el departamento para el periodo de 2018 a 2022 es descendiente. (DANE, 2023). </w:t>
      </w:r>
    </w:p>
    <w:p w14:paraId="668915CC" w14:textId="77777777" w:rsidR="00DD030E" w:rsidRPr="001B0583" w:rsidRDefault="00DD030E" w:rsidP="00DD030E">
      <w:pPr>
        <w:pStyle w:val="p1"/>
        <w:jc w:val="both"/>
        <w:rPr>
          <w:rFonts w:ascii="Arial" w:hAnsi="Arial" w:cs="Arial"/>
          <w:sz w:val="24"/>
          <w:szCs w:val="24"/>
        </w:rPr>
      </w:pPr>
    </w:p>
    <w:p w14:paraId="3416339D"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En el departamento según proyección son 387.939 viviendas, en el cual en centros poblados son 9.966 y rural disperso 142.792, mostrando un resultado en el área rural de 152.758 viviendas en las cuales en los centros poblados poseen acueducto 8710 viviendas y en el área rural dispersa 142.792. Dando como resultado una cobertura del centro poblado de 87.40% y rural disperso del 62.76% (DANE, 2022). </w:t>
      </w:r>
    </w:p>
    <w:p w14:paraId="52C6D537"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30EE8E40" w14:textId="07A9BE1A"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En cuanto al alcantarillado en los centros poblados poseen 6908 viviendas y en el área rural dispersa 8.073. Dando como resultado una cobertura del centro poblado de 69.32% y rural disperso del 5.65%, este porcentaje se debe a que el manejo de aguas residuales en el departamento de Boyacá en el área rural dispersa se realiza con sistemas de disposición </w:t>
      </w:r>
      <w:proofErr w:type="spellStart"/>
      <w:r w:rsidRPr="001B0583">
        <w:rPr>
          <w:rFonts w:ascii="Arial" w:eastAsia="Times New Roman" w:hAnsi="Arial" w:cs="Arial"/>
          <w:color w:val="000000"/>
          <w:kern w:val="0"/>
          <w:lang w:val="es-CO" w:eastAsia="es-ES_tradnl"/>
          <w14:ligatures w14:val="none"/>
        </w:rPr>
        <w:t>ín</w:t>
      </w:r>
      <w:proofErr w:type="spellEnd"/>
      <w:r w:rsidR="004542C2">
        <w:rPr>
          <w:rFonts w:ascii="Arial" w:eastAsia="Times New Roman" w:hAnsi="Arial" w:cs="Arial"/>
          <w:color w:val="000000"/>
          <w:kern w:val="0"/>
          <w:lang w:val="es-CO" w:eastAsia="es-ES_tradnl"/>
          <w14:ligatures w14:val="none"/>
        </w:rPr>
        <w:t xml:space="preserve"> </w:t>
      </w:r>
      <w:r w:rsidRPr="001B0583">
        <w:rPr>
          <w:rFonts w:ascii="Arial" w:eastAsia="Times New Roman" w:hAnsi="Arial" w:cs="Arial"/>
          <w:color w:val="000000"/>
          <w:kern w:val="0"/>
          <w:lang w:val="es-CO" w:eastAsia="es-ES_tradnl"/>
          <w14:ligatures w14:val="none"/>
        </w:rPr>
        <w:t>situ el cual contempla la unidad sanitaria, el tanque séptico y campo de infiltración. (DANE, 2022)</w:t>
      </w:r>
    </w:p>
    <w:p w14:paraId="4AD3FCF9"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419CC07D"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359141B2" w14:textId="01A159C5" w:rsidR="00DD030E" w:rsidRPr="001B0583" w:rsidRDefault="00DD030E" w:rsidP="00DD030E">
      <w:pPr>
        <w:pStyle w:val="p1"/>
        <w:jc w:val="both"/>
        <w:rPr>
          <w:rFonts w:ascii="Arial" w:hAnsi="Arial" w:cs="Arial"/>
          <w:sz w:val="24"/>
          <w:szCs w:val="24"/>
        </w:rPr>
      </w:pPr>
      <w:r w:rsidRPr="001B0583">
        <w:rPr>
          <w:rFonts w:ascii="Arial" w:hAnsi="Arial" w:cs="Arial"/>
          <w:b/>
          <w:bCs/>
          <w:sz w:val="24"/>
          <w:szCs w:val="24"/>
        </w:rPr>
        <w:t xml:space="preserve">- RED VIAL – “DETERIORADA”: </w:t>
      </w:r>
      <w:r w:rsidRPr="001B0583">
        <w:rPr>
          <w:rFonts w:ascii="Arial" w:hAnsi="Arial" w:cs="Arial"/>
          <w:sz w:val="24"/>
          <w:szCs w:val="24"/>
        </w:rPr>
        <w:t>Según lo reportado por el inform</w:t>
      </w:r>
      <w:r w:rsidR="00492DBE">
        <w:rPr>
          <w:rFonts w:ascii="Arial" w:hAnsi="Arial" w:cs="Arial"/>
          <w:sz w:val="24"/>
          <w:szCs w:val="24"/>
        </w:rPr>
        <w:t>e</w:t>
      </w:r>
      <w:r w:rsidRPr="001B0583">
        <w:rPr>
          <w:rFonts w:ascii="Arial" w:hAnsi="Arial" w:cs="Arial"/>
          <w:sz w:val="24"/>
          <w:szCs w:val="24"/>
        </w:rPr>
        <w:t xml:space="preserve"> de “Boyacá en cifras 2023”, para el año 2023, el 77,8 % de la red vial primaria se encuentra pavimentada, disminuyendo en 3,4 % con relación al año 2022, mientras que el restante 22,2 % aún está sin pavimentar.</w:t>
      </w:r>
    </w:p>
    <w:p w14:paraId="20920BAE" w14:textId="77777777" w:rsidR="00DD030E" w:rsidRPr="001B0583" w:rsidRDefault="00DD030E" w:rsidP="00DD030E">
      <w:pPr>
        <w:pStyle w:val="p1"/>
        <w:jc w:val="both"/>
        <w:rPr>
          <w:rFonts w:ascii="Arial" w:hAnsi="Arial" w:cs="Arial"/>
          <w:sz w:val="24"/>
          <w:szCs w:val="24"/>
        </w:rPr>
      </w:pPr>
    </w:p>
    <w:p w14:paraId="1DD6C6AA" w14:textId="77777777" w:rsidR="00DD030E" w:rsidRPr="001B0583" w:rsidRDefault="00DD030E" w:rsidP="00DD030E">
      <w:pPr>
        <w:pStyle w:val="p1"/>
        <w:jc w:val="center"/>
        <w:rPr>
          <w:rFonts w:ascii="Arial" w:hAnsi="Arial" w:cs="Arial"/>
          <w:sz w:val="24"/>
          <w:szCs w:val="24"/>
        </w:rPr>
      </w:pPr>
      <w:r w:rsidRPr="001B0583">
        <w:rPr>
          <w:rFonts w:ascii="Arial" w:hAnsi="Arial" w:cs="Arial"/>
          <w:noProof/>
          <w:sz w:val="24"/>
          <w:szCs w:val="24"/>
        </w:rPr>
        <w:drawing>
          <wp:inline distT="0" distB="0" distL="0" distR="0" wp14:anchorId="4CFFD69E" wp14:editId="0DD95247">
            <wp:extent cx="5281166" cy="2017336"/>
            <wp:effectExtent l="0" t="0" r="2540" b="2540"/>
            <wp:docPr id="7301062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0628" name="Imagen 1" descr="Tabla&#10;&#10;El contenido generado por IA puede ser incorrecto."/>
                    <pic:cNvPicPr/>
                  </pic:nvPicPr>
                  <pic:blipFill>
                    <a:blip r:embed="rId14"/>
                    <a:stretch>
                      <a:fillRect/>
                    </a:stretch>
                  </pic:blipFill>
                  <pic:spPr>
                    <a:xfrm>
                      <a:off x="0" y="0"/>
                      <a:ext cx="5295482" cy="2022805"/>
                    </a:xfrm>
                    <a:prstGeom prst="rect">
                      <a:avLst/>
                    </a:prstGeom>
                  </pic:spPr>
                </pic:pic>
              </a:graphicData>
            </a:graphic>
          </wp:inline>
        </w:drawing>
      </w:r>
    </w:p>
    <w:p w14:paraId="539020ED" w14:textId="77777777" w:rsidR="00DD030E" w:rsidRPr="001B0583" w:rsidRDefault="00DD030E" w:rsidP="00DD030E">
      <w:pPr>
        <w:pStyle w:val="p1"/>
        <w:jc w:val="both"/>
        <w:rPr>
          <w:rFonts w:ascii="Arial" w:hAnsi="Arial" w:cs="Arial"/>
          <w:sz w:val="24"/>
          <w:szCs w:val="24"/>
        </w:rPr>
      </w:pPr>
    </w:p>
    <w:p w14:paraId="5B4C14A3"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En cuanto al estado de la red vial, se tiene que el 33 % del total de kilómetros de vías pavimentadas se encuentran en estado bueno o muy bueno; sin embargo, en comparación con el año 2022 esta cifra disminuyó un 31,3 %. Esto seguido del 38,7 % de las vías están en estado regular y el 28,3 % se reportan como estado malo o muy malo. Por otro lado, para las vías sin pavimentar se tiene que el 74,2 % del total de kilómetros se encuentran en estado malo o muy malo, disminuyendo en 13,7 % respecto al año anterior, mientras que el 20,9 % de las vías están en estado regular y tan solo el 4,9 % se reportan en buen estado. Esto quiere decir que 67% de las vías están en muy mal, mal  y regular estado.</w:t>
      </w:r>
    </w:p>
    <w:p w14:paraId="10C0AAAD" w14:textId="77777777" w:rsidR="00DD030E" w:rsidRPr="001B0583" w:rsidRDefault="00DD030E" w:rsidP="00DD030E">
      <w:pPr>
        <w:pStyle w:val="p1"/>
        <w:jc w:val="both"/>
        <w:rPr>
          <w:rFonts w:ascii="Arial" w:hAnsi="Arial" w:cs="Arial"/>
          <w:sz w:val="24"/>
          <w:szCs w:val="24"/>
        </w:rPr>
      </w:pPr>
    </w:p>
    <w:p w14:paraId="4A60732F"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Más recientemente, de acuerdo con el reporte de “Estado de la red vial con criterio técnico primer semestre 2024” del INVIAS, se tiene que el 53% de la Red Vial Pavimentada se encuentra en estado regular, malo y muy malo; frente a la Red Vial No Pavimentada se tiene casi un 20% en estado regular, malo y muy malo. </w:t>
      </w:r>
    </w:p>
    <w:p w14:paraId="712F9EB9" w14:textId="77777777" w:rsidR="00DD030E" w:rsidRPr="001B0583" w:rsidRDefault="00DD030E" w:rsidP="00DD030E">
      <w:pPr>
        <w:pStyle w:val="p1"/>
        <w:jc w:val="both"/>
        <w:rPr>
          <w:rFonts w:ascii="Arial" w:hAnsi="Arial" w:cs="Arial"/>
          <w:sz w:val="24"/>
          <w:szCs w:val="24"/>
        </w:rPr>
      </w:pPr>
    </w:p>
    <w:p w14:paraId="4AE91871" w14:textId="77777777" w:rsidR="00DD030E" w:rsidRPr="001B0583" w:rsidRDefault="00DD030E" w:rsidP="00DD030E">
      <w:pPr>
        <w:pStyle w:val="p1"/>
        <w:jc w:val="center"/>
        <w:rPr>
          <w:rFonts w:ascii="Arial" w:hAnsi="Arial" w:cs="Arial"/>
          <w:sz w:val="24"/>
          <w:szCs w:val="24"/>
        </w:rPr>
      </w:pPr>
      <w:r w:rsidRPr="001B0583">
        <w:rPr>
          <w:rFonts w:ascii="Arial" w:hAnsi="Arial" w:cs="Arial"/>
          <w:b/>
          <w:noProof/>
          <w:color w:val="000000" w:themeColor="text1"/>
          <w:sz w:val="24"/>
          <w:szCs w:val="24"/>
          <w:lang w:eastAsia="en-GB"/>
        </w:rPr>
        <w:lastRenderedPageBreak/>
        <w:drawing>
          <wp:inline distT="0" distB="0" distL="0" distR="0" wp14:anchorId="65363054" wp14:editId="6AE8EBBE">
            <wp:extent cx="3878317" cy="2774239"/>
            <wp:effectExtent l="0" t="0" r="0" b="0"/>
            <wp:docPr id="10643274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27411" name=""/>
                    <pic:cNvPicPr/>
                  </pic:nvPicPr>
                  <pic:blipFill>
                    <a:blip r:embed="rId15"/>
                    <a:stretch>
                      <a:fillRect/>
                    </a:stretch>
                  </pic:blipFill>
                  <pic:spPr>
                    <a:xfrm>
                      <a:off x="0" y="0"/>
                      <a:ext cx="3897014" cy="2787614"/>
                    </a:xfrm>
                    <a:prstGeom prst="rect">
                      <a:avLst/>
                    </a:prstGeom>
                  </pic:spPr>
                </pic:pic>
              </a:graphicData>
            </a:graphic>
          </wp:inline>
        </w:drawing>
      </w:r>
    </w:p>
    <w:p w14:paraId="6B5B7CD7" w14:textId="77777777" w:rsidR="00DD030E" w:rsidRPr="001B0583" w:rsidRDefault="00DD030E" w:rsidP="00DD030E">
      <w:pPr>
        <w:pStyle w:val="p1"/>
        <w:jc w:val="center"/>
        <w:rPr>
          <w:rFonts w:ascii="Arial" w:hAnsi="Arial" w:cs="Arial"/>
          <w:sz w:val="24"/>
          <w:szCs w:val="24"/>
        </w:rPr>
      </w:pPr>
      <w:r w:rsidRPr="001B0583">
        <w:rPr>
          <w:rFonts w:ascii="Arial" w:hAnsi="Arial" w:cs="Arial"/>
          <w:sz w:val="24"/>
          <w:szCs w:val="24"/>
        </w:rPr>
        <w:t>Red Vial Departamento de Boyacá - INVIAS</w:t>
      </w:r>
    </w:p>
    <w:p w14:paraId="2FD1437C" w14:textId="77777777" w:rsidR="00DD030E" w:rsidRPr="001B0583" w:rsidRDefault="00DD030E" w:rsidP="00DD030E">
      <w:pPr>
        <w:pStyle w:val="p1"/>
        <w:jc w:val="center"/>
        <w:rPr>
          <w:rFonts w:ascii="Arial" w:hAnsi="Arial" w:cs="Arial"/>
          <w:sz w:val="24"/>
          <w:szCs w:val="24"/>
        </w:rPr>
      </w:pPr>
      <w:r w:rsidRPr="001B0583">
        <w:rPr>
          <w:rFonts w:ascii="Arial" w:hAnsi="Arial" w:cs="Arial"/>
          <w:b/>
          <w:noProof/>
          <w:color w:val="000000" w:themeColor="text1"/>
          <w:sz w:val="24"/>
          <w:szCs w:val="24"/>
          <w:lang w:eastAsia="en-GB"/>
        </w:rPr>
        <w:drawing>
          <wp:inline distT="0" distB="0" distL="0" distR="0" wp14:anchorId="04A8C114" wp14:editId="5903C2B4">
            <wp:extent cx="4256689" cy="3029965"/>
            <wp:effectExtent l="0" t="0" r="0" b="5715"/>
            <wp:docPr id="76791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157" name=""/>
                    <pic:cNvPicPr/>
                  </pic:nvPicPr>
                  <pic:blipFill>
                    <a:blip r:embed="rId16"/>
                    <a:stretch>
                      <a:fillRect/>
                    </a:stretch>
                  </pic:blipFill>
                  <pic:spPr>
                    <a:xfrm>
                      <a:off x="0" y="0"/>
                      <a:ext cx="4267608" cy="3037737"/>
                    </a:xfrm>
                    <a:prstGeom prst="rect">
                      <a:avLst/>
                    </a:prstGeom>
                  </pic:spPr>
                </pic:pic>
              </a:graphicData>
            </a:graphic>
          </wp:inline>
        </w:drawing>
      </w:r>
    </w:p>
    <w:p w14:paraId="0A16BDCC" w14:textId="77777777" w:rsidR="00DD030E" w:rsidRPr="001B0583" w:rsidRDefault="00DD030E" w:rsidP="00DD030E">
      <w:pPr>
        <w:pStyle w:val="p1"/>
        <w:jc w:val="center"/>
        <w:rPr>
          <w:rFonts w:ascii="Arial" w:hAnsi="Arial" w:cs="Arial"/>
          <w:sz w:val="24"/>
          <w:szCs w:val="24"/>
        </w:rPr>
      </w:pPr>
      <w:r w:rsidRPr="001B0583">
        <w:rPr>
          <w:rFonts w:ascii="Arial" w:hAnsi="Arial" w:cs="Arial"/>
          <w:sz w:val="24"/>
          <w:szCs w:val="24"/>
        </w:rPr>
        <w:t>Red Vial Departamento de Boyacá - INVIAS</w:t>
      </w:r>
    </w:p>
    <w:p w14:paraId="257BF51B" w14:textId="77777777" w:rsidR="00DD030E" w:rsidRPr="001B0583" w:rsidRDefault="00DD030E" w:rsidP="00DD030E">
      <w:pPr>
        <w:pStyle w:val="p1"/>
        <w:jc w:val="center"/>
        <w:rPr>
          <w:rFonts w:ascii="Arial" w:hAnsi="Arial" w:cs="Arial"/>
          <w:sz w:val="24"/>
          <w:szCs w:val="24"/>
        </w:rPr>
      </w:pPr>
    </w:p>
    <w:p w14:paraId="1F76D6EA" w14:textId="77777777" w:rsidR="00DD030E" w:rsidRPr="001B0583" w:rsidRDefault="00DD030E" w:rsidP="00DD030E">
      <w:pPr>
        <w:pStyle w:val="p1"/>
        <w:jc w:val="both"/>
        <w:rPr>
          <w:rFonts w:ascii="Arial" w:hAnsi="Arial" w:cs="Arial"/>
          <w:sz w:val="24"/>
          <w:szCs w:val="24"/>
        </w:rPr>
      </w:pPr>
      <w:r w:rsidRPr="001B0583">
        <w:rPr>
          <w:rFonts w:ascii="Arial" w:hAnsi="Arial" w:cs="Arial"/>
          <w:b/>
          <w:bCs/>
          <w:sz w:val="24"/>
          <w:szCs w:val="24"/>
        </w:rPr>
        <w:t xml:space="preserve">- DINÁMICA EMPRESARIAL: </w:t>
      </w:r>
      <w:r w:rsidRPr="001B0583">
        <w:rPr>
          <w:rFonts w:ascii="Arial" w:hAnsi="Arial" w:cs="Arial"/>
          <w:sz w:val="24"/>
          <w:szCs w:val="24"/>
        </w:rPr>
        <w:t>De acuerdo con información de</w:t>
      </w:r>
      <w:r w:rsidRPr="001B0583">
        <w:rPr>
          <w:rFonts w:ascii="Arial" w:hAnsi="Arial" w:cs="Arial"/>
          <w:b/>
          <w:bCs/>
          <w:sz w:val="24"/>
          <w:szCs w:val="24"/>
        </w:rPr>
        <w:t xml:space="preserve"> </w:t>
      </w:r>
      <w:r w:rsidRPr="001B0583">
        <w:rPr>
          <w:rFonts w:ascii="Arial" w:hAnsi="Arial" w:cs="Arial"/>
          <w:sz w:val="24"/>
          <w:szCs w:val="24"/>
        </w:rPr>
        <w:t>las cámaras de comercio de Duitama, Tunja y Sogamoso frente al comportamiento de las matrículas, renovaciones y cancelaciones realizadas en el año 2023, se tiene que la Cámara de Comercio de Tunja, registra mayor participación, con el 57,6 % sobre el total de las matrículas, 54,2 % sobre las renovadas y 56,5 % sobre las unidades productivas canceladas. </w:t>
      </w:r>
    </w:p>
    <w:p w14:paraId="2D1F9B23" w14:textId="77777777" w:rsidR="00DD030E" w:rsidRPr="001B0583" w:rsidRDefault="00DD030E" w:rsidP="00DD030E">
      <w:pPr>
        <w:pStyle w:val="p1"/>
        <w:jc w:val="both"/>
        <w:rPr>
          <w:rFonts w:ascii="Arial" w:hAnsi="Arial" w:cs="Arial"/>
          <w:sz w:val="24"/>
          <w:szCs w:val="24"/>
        </w:rPr>
      </w:pPr>
    </w:p>
    <w:p w14:paraId="308F562C" w14:textId="77777777" w:rsidR="00DD030E" w:rsidRPr="001B0583" w:rsidRDefault="00DD030E" w:rsidP="00DD030E">
      <w:pPr>
        <w:pStyle w:val="p1"/>
        <w:jc w:val="center"/>
        <w:rPr>
          <w:rFonts w:ascii="Arial" w:hAnsi="Arial" w:cs="Arial"/>
          <w:sz w:val="24"/>
          <w:szCs w:val="24"/>
        </w:rPr>
      </w:pPr>
      <w:r w:rsidRPr="001B0583">
        <w:rPr>
          <w:rFonts w:ascii="Arial" w:hAnsi="Arial" w:cs="Arial"/>
          <w:noProof/>
          <w:sz w:val="24"/>
          <w:szCs w:val="24"/>
        </w:rPr>
        <w:lastRenderedPageBreak/>
        <w:drawing>
          <wp:inline distT="0" distB="0" distL="0" distR="0" wp14:anchorId="00515434" wp14:editId="4B17F614">
            <wp:extent cx="4930219" cy="2770808"/>
            <wp:effectExtent l="0" t="0" r="0" b="0"/>
            <wp:docPr id="333697713"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97713" name="Imagen 1" descr="Gráfico&#10;&#10;El contenido generado por IA puede ser incorrecto."/>
                    <pic:cNvPicPr/>
                  </pic:nvPicPr>
                  <pic:blipFill>
                    <a:blip r:embed="rId17"/>
                    <a:stretch>
                      <a:fillRect/>
                    </a:stretch>
                  </pic:blipFill>
                  <pic:spPr>
                    <a:xfrm>
                      <a:off x="0" y="0"/>
                      <a:ext cx="4935919" cy="2774011"/>
                    </a:xfrm>
                    <a:prstGeom prst="rect">
                      <a:avLst/>
                    </a:prstGeom>
                  </pic:spPr>
                </pic:pic>
              </a:graphicData>
            </a:graphic>
          </wp:inline>
        </w:drawing>
      </w:r>
    </w:p>
    <w:p w14:paraId="05E9A244"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6F02BABB" w14:textId="77777777" w:rsidR="00DD030E" w:rsidRPr="001B0583" w:rsidRDefault="00DD030E" w:rsidP="00DD030E">
      <w:pPr>
        <w:pStyle w:val="p1"/>
        <w:rPr>
          <w:rFonts w:ascii="Arial" w:hAnsi="Arial" w:cs="Arial"/>
          <w:sz w:val="24"/>
          <w:szCs w:val="24"/>
        </w:rPr>
      </w:pPr>
      <w:r w:rsidRPr="001B0583">
        <w:rPr>
          <w:rFonts w:ascii="Arial" w:hAnsi="Arial" w:cs="Arial"/>
          <w:sz w:val="24"/>
          <w:szCs w:val="24"/>
        </w:rPr>
        <w:t>Al comparar la dinámica en cuanto a matrículas, renovaciones y cancelaciones de las tres Cámaras de Comercio del departamento de Boyacá para los años 2022 y 2023, se encontró una leve diminución para matriculas y renovaciones y un incremento en las unidades canceladas, la cual se muestra a continuación:</w:t>
      </w:r>
    </w:p>
    <w:p w14:paraId="56C28255" w14:textId="77777777" w:rsidR="00DD030E" w:rsidRPr="001B0583" w:rsidRDefault="00DD030E" w:rsidP="00DD030E">
      <w:pPr>
        <w:jc w:val="both"/>
        <w:rPr>
          <w:rFonts w:ascii="Arial" w:eastAsia="Times New Roman" w:hAnsi="Arial" w:cs="Arial"/>
          <w:b/>
          <w:bCs/>
          <w:color w:val="000000"/>
          <w:kern w:val="0"/>
          <w:lang w:val="es-CO" w:eastAsia="es-ES_tradnl"/>
          <w14:ligatures w14:val="none"/>
        </w:rPr>
      </w:pPr>
    </w:p>
    <w:p w14:paraId="7F0ECE04" w14:textId="77777777" w:rsidR="00DD030E" w:rsidRPr="001B0583" w:rsidRDefault="00DD030E" w:rsidP="00DD030E">
      <w:pPr>
        <w:jc w:val="both"/>
        <w:rPr>
          <w:rFonts w:ascii="Arial" w:eastAsia="Times New Roman" w:hAnsi="Arial" w:cs="Arial"/>
          <w:b/>
          <w:bCs/>
          <w:color w:val="000000"/>
          <w:kern w:val="0"/>
          <w:lang w:val="es-CO" w:eastAsia="es-ES_tradnl"/>
          <w14:ligatures w14:val="none"/>
        </w:rPr>
      </w:pPr>
      <w:r w:rsidRPr="001B0583">
        <w:rPr>
          <w:rFonts w:ascii="Arial" w:eastAsia="Times New Roman" w:hAnsi="Arial" w:cs="Arial"/>
          <w:b/>
          <w:bCs/>
          <w:noProof/>
          <w:color w:val="000000"/>
          <w:kern w:val="0"/>
          <w:lang w:val="es-CO" w:eastAsia="es-ES_tradnl"/>
          <w14:ligatures w14:val="none"/>
        </w:rPr>
        <w:drawing>
          <wp:inline distT="0" distB="0" distL="0" distR="0" wp14:anchorId="71483707" wp14:editId="7A7406FE">
            <wp:extent cx="5612130" cy="2830195"/>
            <wp:effectExtent l="0" t="0" r="1270" b="1905"/>
            <wp:docPr id="1827130415"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0415" name="Imagen 1" descr="Gráfico, Gráfico de barras&#10;&#10;El contenido generado por IA puede ser incorrecto."/>
                    <pic:cNvPicPr/>
                  </pic:nvPicPr>
                  <pic:blipFill>
                    <a:blip r:embed="rId18"/>
                    <a:stretch>
                      <a:fillRect/>
                    </a:stretch>
                  </pic:blipFill>
                  <pic:spPr>
                    <a:xfrm>
                      <a:off x="0" y="0"/>
                      <a:ext cx="5612130" cy="2830195"/>
                    </a:xfrm>
                    <a:prstGeom prst="rect">
                      <a:avLst/>
                    </a:prstGeom>
                  </pic:spPr>
                </pic:pic>
              </a:graphicData>
            </a:graphic>
          </wp:inline>
        </w:drawing>
      </w:r>
    </w:p>
    <w:p w14:paraId="7602792B" w14:textId="77777777" w:rsidR="00DD030E" w:rsidRPr="001B0583" w:rsidRDefault="00DD030E" w:rsidP="00DD030E">
      <w:pPr>
        <w:pStyle w:val="p1"/>
        <w:rPr>
          <w:rStyle w:val="apple-converted-space"/>
          <w:rFonts w:ascii="Arial" w:eastAsiaTheme="majorEastAsia" w:hAnsi="Arial" w:cs="Arial"/>
          <w:sz w:val="24"/>
          <w:szCs w:val="24"/>
        </w:rPr>
      </w:pPr>
      <w:r w:rsidRPr="001B0583">
        <w:rPr>
          <w:rFonts w:ascii="Arial" w:hAnsi="Arial" w:cs="Arial"/>
          <w:sz w:val="24"/>
          <w:szCs w:val="24"/>
        </w:rPr>
        <w:t>Durante el 2023, se registró a nivel general una disminución del 7,9 % en matriculas y del 13,8 % en renovaciones, mientras que las cancelaciones aumentaron en un 19,6 %, todos estos datos contrastados frente al año 2022.</w:t>
      </w:r>
      <w:r w:rsidRPr="001B0583">
        <w:rPr>
          <w:rStyle w:val="apple-converted-space"/>
          <w:rFonts w:ascii="Arial" w:eastAsiaTheme="majorEastAsia" w:hAnsi="Arial" w:cs="Arial"/>
          <w:sz w:val="24"/>
          <w:szCs w:val="24"/>
        </w:rPr>
        <w:t> </w:t>
      </w:r>
    </w:p>
    <w:p w14:paraId="57EF6147" w14:textId="77777777" w:rsidR="00DD030E" w:rsidRPr="001B0583" w:rsidRDefault="00DD030E" w:rsidP="00DD030E">
      <w:pPr>
        <w:pStyle w:val="p1"/>
        <w:rPr>
          <w:rStyle w:val="apple-converted-space"/>
          <w:rFonts w:ascii="Arial" w:eastAsiaTheme="majorEastAsia" w:hAnsi="Arial" w:cs="Arial"/>
          <w:sz w:val="24"/>
          <w:szCs w:val="24"/>
        </w:rPr>
      </w:pPr>
    </w:p>
    <w:p w14:paraId="1573C7F9" w14:textId="77777777" w:rsidR="00DD030E" w:rsidRPr="001B0583" w:rsidRDefault="00DD030E" w:rsidP="00DD030E">
      <w:pPr>
        <w:pStyle w:val="p1"/>
        <w:jc w:val="both"/>
        <w:rPr>
          <w:rFonts w:ascii="Arial" w:hAnsi="Arial" w:cs="Arial"/>
          <w:sz w:val="24"/>
          <w:szCs w:val="24"/>
        </w:rPr>
      </w:pPr>
      <w:r w:rsidRPr="001B0583">
        <w:rPr>
          <w:rFonts w:ascii="Arial" w:hAnsi="Arial" w:cs="Arial"/>
          <w:sz w:val="24"/>
          <w:szCs w:val="24"/>
        </w:rPr>
        <w:t xml:space="preserve">Respecto al registro de unidades económicas, se tiene que durante el año 2023, las Cámaras de Comercio de Duitama, Tunja y Sogamoso registraron un total de 9.571 unidades económicas, lo que corresponde a un 7,9 % menos que en el año 2022. Del total de unidades económicas matriculadas, el 83,7 % corresponde a registros </w:t>
      </w:r>
      <w:r w:rsidRPr="001B0583">
        <w:rPr>
          <w:rFonts w:ascii="Arial" w:hAnsi="Arial" w:cs="Arial"/>
          <w:sz w:val="24"/>
          <w:szCs w:val="24"/>
        </w:rPr>
        <w:lastRenderedPageBreak/>
        <w:t>como personas naturales, mientras que el 16,3 % restante corresponde a sociedades representadas en empresas limitadas (Ltda.), Sociedad Anónima (S.A.), sociedades colectivas, comandita simple, comandita por acciones, sucursal de sociedad extranjera, Empresa Asociativa de Trabajo, sociedad civil, unipersonal, Entidad Sin Ánimo de Lucro (</w:t>
      </w:r>
      <w:proofErr w:type="spellStart"/>
      <w:r w:rsidRPr="001B0583">
        <w:rPr>
          <w:rFonts w:ascii="Arial" w:hAnsi="Arial" w:cs="Arial"/>
          <w:sz w:val="24"/>
          <w:szCs w:val="24"/>
        </w:rPr>
        <w:t>Esal</w:t>
      </w:r>
      <w:proofErr w:type="spellEnd"/>
      <w:r w:rsidRPr="001B0583">
        <w:rPr>
          <w:rFonts w:ascii="Arial" w:hAnsi="Arial" w:cs="Arial"/>
          <w:sz w:val="24"/>
          <w:szCs w:val="24"/>
        </w:rPr>
        <w:t>), economía solidaria y Sociedad por Acciones Simplificada (S.A.S.).</w:t>
      </w:r>
    </w:p>
    <w:p w14:paraId="15CB5382" w14:textId="77777777" w:rsidR="00DD030E" w:rsidRPr="001B0583" w:rsidRDefault="00DD030E" w:rsidP="00DD030E">
      <w:pPr>
        <w:pStyle w:val="p1"/>
        <w:jc w:val="both"/>
        <w:rPr>
          <w:rFonts w:ascii="Arial" w:hAnsi="Arial" w:cs="Arial"/>
          <w:sz w:val="24"/>
          <w:szCs w:val="24"/>
        </w:rPr>
      </w:pPr>
    </w:p>
    <w:p w14:paraId="344F509C" w14:textId="77777777" w:rsidR="00DD030E" w:rsidRPr="001B0583" w:rsidRDefault="00DD030E" w:rsidP="00DD030E">
      <w:pPr>
        <w:jc w:val="both"/>
        <w:rPr>
          <w:rFonts w:ascii="Arial" w:eastAsia="Times New Roman" w:hAnsi="Arial" w:cs="Arial"/>
          <w:color w:val="000000"/>
          <w:kern w:val="0"/>
          <w:lang w:val="es-CO" w:eastAsia="es-ES_tradnl"/>
          <w14:ligatures w14:val="none"/>
        </w:rPr>
      </w:pPr>
      <w:r w:rsidRPr="001B0583">
        <w:rPr>
          <w:rFonts w:ascii="Arial" w:eastAsia="Times New Roman" w:hAnsi="Arial" w:cs="Arial"/>
          <w:color w:val="000000"/>
          <w:kern w:val="0"/>
          <w:lang w:val="es-CO" w:eastAsia="es-ES_tradnl"/>
          <w14:ligatures w14:val="none"/>
        </w:rPr>
        <w:t xml:space="preserve">Las unidades económicas matriculadas en las ciudades principales Tunja, Duitama y Sogamoso, representan el 52,2 % del total del tejido empresarial nuevo del departamento, seguido de los municipios de Chiquinquirá 4,4 %, Paipa 3,4 %, Villa de Leyva 2,9 %, Moniquirá 2,4 % y Samacá 2,3 % estos 5 municipios aportan un total de participación del 15,5 % del total del departamento. Los restantes 115 municipios, tienen una participación menor al 1,5 % sobre el total de las matrículas y representan el 32,3 % del total de las unidades económicas matriculadas durante el 2023 en las tres cámaras de comercio del departamento de Boyacá. </w:t>
      </w:r>
    </w:p>
    <w:p w14:paraId="61D434DB" w14:textId="77777777" w:rsidR="00DD030E" w:rsidRPr="001B0583" w:rsidRDefault="00DD030E" w:rsidP="00DD030E">
      <w:pPr>
        <w:jc w:val="both"/>
        <w:rPr>
          <w:rFonts w:ascii="Arial" w:eastAsia="Times New Roman" w:hAnsi="Arial" w:cs="Arial"/>
          <w:color w:val="000000"/>
          <w:kern w:val="0"/>
          <w:lang w:val="es-CO" w:eastAsia="es-ES_tradnl"/>
          <w14:ligatures w14:val="none"/>
        </w:rPr>
      </w:pPr>
    </w:p>
    <w:p w14:paraId="00FAADF6" w14:textId="7521099B" w:rsidR="00D23C4E" w:rsidRDefault="00DD030E" w:rsidP="00DD030E">
      <w:pPr>
        <w:pStyle w:val="p1"/>
        <w:jc w:val="both"/>
        <w:rPr>
          <w:rFonts w:ascii="Arial" w:hAnsi="Arial" w:cs="Arial"/>
          <w:sz w:val="24"/>
          <w:szCs w:val="24"/>
        </w:rPr>
      </w:pPr>
      <w:r w:rsidRPr="001B0583">
        <w:rPr>
          <w:rFonts w:ascii="Arial" w:hAnsi="Arial" w:cs="Arial"/>
          <w:sz w:val="24"/>
          <w:szCs w:val="24"/>
        </w:rPr>
        <w:t>En cuanto a las cancelaciones, durante la vigencia 2023, se registraron un total de 8.046 unidades económicas canceladas, de las cuales el 95,9 % corresponden a registros como persona natural y el 4,1 % restante a diferentes tipos de sociedades. Estas cancelaciones presentaron un incremento del 19,6 % con respecto al año 2022.</w:t>
      </w:r>
    </w:p>
    <w:p w14:paraId="7F3C794E" w14:textId="77777777" w:rsidR="004542C2" w:rsidRDefault="004542C2" w:rsidP="00DD030E">
      <w:pPr>
        <w:pStyle w:val="p1"/>
        <w:jc w:val="both"/>
        <w:rPr>
          <w:rFonts w:ascii="Arial" w:hAnsi="Arial" w:cs="Arial"/>
          <w:sz w:val="24"/>
          <w:szCs w:val="24"/>
        </w:rPr>
      </w:pPr>
    </w:p>
    <w:p w14:paraId="71D151EA" w14:textId="04F1B75C" w:rsidR="004542C2" w:rsidRPr="004542C2" w:rsidRDefault="004542C2" w:rsidP="004542C2">
      <w:pPr>
        <w:spacing w:after="160"/>
        <w:jc w:val="both"/>
        <w:rPr>
          <w:rFonts w:ascii="Arial" w:eastAsia="Times New Roman" w:hAnsi="Arial" w:cs="Arial"/>
          <w:color w:val="000000"/>
          <w:kern w:val="0"/>
          <w:lang w:val="es-CO" w:eastAsia="es-ES_tradnl"/>
          <w14:ligatures w14:val="none"/>
        </w:rPr>
      </w:pPr>
      <w:r>
        <w:rPr>
          <w:rFonts w:ascii="Arial" w:eastAsia="Times New Roman" w:hAnsi="Arial" w:cs="Arial"/>
          <w:b/>
          <w:bCs/>
          <w:color w:val="000000"/>
          <w:kern w:val="0"/>
          <w:lang w:val="es-CO" w:eastAsia="es-ES_tradnl"/>
          <w14:ligatures w14:val="none"/>
        </w:rPr>
        <w:t xml:space="preserve">- </w:t>
      </w:r>
      <w:r w:rsidRPr="004542C2">
        <w:rPr>
          <w:rFonts w:ascii="Arial" w:eastAsia="Times New Roman" w:hAnsi="Arial" w:cs="Arial"/>
          <w:b/>
          <w:bCs/>
          <w:color w:val="000000"/>
          <w:kern w:val="0"/>
          <w:lang w:val="es-CO" w:eastAsia="es-ES_tradnl"/>
          <w14:ligatures w14:val="none"/>
        </w:rPr>
        <w:t>FALTA DE INFRAESTRUCTURA Y SERVICIOS PÚBLICOS EN BOYACÁ:</w:t>
      </w:r>
      <w:r w:rsidRPr="004542C2">
        <w:rPr>
          <w:rFonts w:ascii="Arial" w:eastAsia="Times New Roman" w:hAnsi="Arial" w:cs="Arial"/>
          <w:color w:val="000000"/>
          <w:kern w:val="0"/>
          <w:lang w:val="es-CO" w:eastAsia="es-ES_tradnl"/>
          <w14:ligatures w14:val="none"/>
        </w:rPr>
        <w:t xml:space="preserve"> Uno de los aspectos más graves de la exclusión de Boyacá de los PDET es la falta de inversión en infraestructura básica y servicios esenciales. Mientras que en los municipios PDET se han construido 49 centros de salud, 3.887 proyectos de infraestructura y conectividad, y se han electrificado 22.616 nuevos hogares rurales, municipios como Labranza Grande, Pajarito y Pisba carecen de vías de acceso adecuadas, cobertura educativa suficiente y acceso a agua potable. En muchos de estos territorios, la falta de conectividad vial ha dificultado la reactivación económica y la llegada de proyectos productivos, perpetuando la dependencia de economías informales y la vulnerabilidad de la población.</w:t>
      </w:r>
    </w:p>
    <w:p w14:paraId="6EAF1059" w14:textId="77777777" w:rsidR="004542C2" w:rsidRPr="004542C2" w:rsidRDefault="004542C2" w:rsidP="00DD030E">
      <w:pPr>
        <w:pStyle w:val="p1"/>
        <w:jc w:val="both"/>
        <w:rPr>
          <w:rFonts w:ascii="Arial" w:hAnsi="Arial" w:cs="Arial"/>
          <w:sz w:val="24"/>
          <w:szCs w:val="24"/>
          <w:lang w:val="es-ES"/>
        </w:rPr>
      </w:pPr>
    </w:p>
    <w:p w14:paraId="18F65D51" w14:textId="77777777" w:rsidR="005C1E00" w:rsidRPr="001B0583" w:rsidRDefault="005C1E00" w:rsidP="005C1E00">
      <w:pPr>
        <w:pStyle w:val="NormalWeb"/>
        <w:numPr>
          <w:ilvl w:val="0"/>
          <w:numId w:val="6"/>
        </w:numPr>
        <w:shd w:val="clear" w:color="auto" w:fill="FFFFFF"/>
        <w:rPr>
          <w:rFonts w:ascii="Arial" w:hAnsi="Arial" w:cs="Arial"/>
          <w:b/>
          <w:bCs/>
          <w:color w:val="000000" w:themeColor="text1"/>
        </w:rPr>
      </w:pPr>
      <w:r w:rsidRPr="001B0583">
        <w:rPr>
          <w:rFonts w:ascii="Arial" w:hAnsi="Arial" w:cs="Arial"/>
          <w:b/>
          <w:bCs/>
          <w:color w:val="000000" w:themeColor="text1"/>
        </w:rPr>
        <w:t xml:space="preserve">Impacto Fiscal. </w:t>
      </w:r>
    </w:p>
    <w:p w14:paraId="712C8337" w14:textId="77777777" w:rsidR="00F513F2" w:rsidRPr="001B0583" w:rsidRDefault="00F513F2" w:rsidP="00F513F2">
      <w:pPr>
        <w:pStyle w:val="NormalWeb"/>
        <w:jc w:val="both"/>
        <w:rPr>
          <w:rFonts w:ascii="Arial" w:hAnsi="Arial" w:cs="Arial"/>
          <w:color w:val="000000" w:themeColor="text1"/>
        </w:rPr>
      </w:pPr>
      <w:r w:rsidRPr="001B0583">
        <w:rPr>
          <w:rFonts w:ascii="Arial" w:hAnsi="Arial" w:cs="Arial"/>
          <w:color w:val="000000" w:themeColor="text1"/>
        </w:rPr>
        <w:t xml:space="preserve">En cumplimiento de las disposiciones constitucionales y legales, particularmente lo establecido en el artículo 7 de la Ley 819 de 2003, se precisa que la presente iniciativa </w:t>
      </w:r>
      <w:r w:rsidRPr="001B0583">
        <w:rPr>
          <w:rStyle w:val="Textoennegrita"/>
          <w:rFonts w:ascii="Arial" w:hAnsi="Arial" w:cs="Arial"/>
          <w:b w:val="0"/>
          <w:bCs w:val="0"/>
          <w:color w:val="000000" w:themeColor="text1"/>
        </w:rPr>
        <w:t>no genera impacto fiscal</w:t>
      </w:r>
      <w:r w:rsidRPr="001B0583">
        <w:rPr>
          <w:rFonts w:ascii="Arial" w:hAnsi="Arial" w:cs="Arial"/>
          <w:color w:val="000000" w:themeColor="text1"/>
        </w:rPr>
        <w:t xml:space="preserve"> ni requiere la aprobación del Ministerio de Hacienda y Crédito Público, dado que no implica nuevos gastos públicos ni la creación de beneficios tributarios.</w:t>
      </w:r>
    </w:p>
    <w:p w14:paraId="60786559" w14:textId="106F48C1" w:rsidR="005C1E00" w:rsidRPr="001B0583" w:rsidRDefault="00F513F2" w:rsidP="005C1E00">
      <w:pPr>
        <w:pStyle w:val="NormalWeb"/>
        <w:shd w:val="clear" w:color="auto" w:fill="FFFFFF"/>
        <w:jc w:val="both"/>
        <w:rPr>
          <w:rFonts w:ascii="Arial" w:hAnsi="Arial" w:cs="Arial"/>
          <w:color w:val="000000" w:themeColor="text1"/>
        </w:rPr>
      </w:pPr>
      <w:r w:rsidRPr="001B0583">
        <w:rPr>
          <w:rFonts w:ascii="Arial" w:hAnsi="Arial" w:cs="Arial"/>
          <w:color w:val="000000" w:themeColor="text1"/>
        </w:rPr>
        <w:t>Igualmente, e</w:t>
      </w:r>
      <w:r w:rsidR="005C1E00" w:rsidRPr="001B0583">
        <w:rPr>
          <w:rFonts w:ascii="Arial" w:hAnsi="Arial" w:cs="Arial"/>
          <w:color w:val="000000" w:themeColor="text1"/>
        </w:rPr>
        <w:t xml:space="preserve">s necesario mencionar que frente a lo previsto en el artículo 7 de la Ley 819 de 2003, la Corte Constitucional en profusas sentencias de </w:t>
      </w:r>
      <w:r w:rsidR="005C1E00" w:rsidRPr="001B0583">
        <w:rPr>
          <w:rFonts w:ascii="Arial" w:hAnsi="Arial" w:cs="Arial"/>
          <w:color w:val="000000" w:themeColor="text1"/>
        </w:rPr>
        <w:lastRenderedPageBreak/>
        <w:t xml:space="preserve">constitucionalidad (C-859 de 2001, C-911 de 2007, C-502 de 2007, C-577/09 C-766 de 2010,  C-373/10 entre otras) ha sido enfática en señalar que: </w:t>
      </w:r>
    </w:p>
    <w:p w14:paraId="05D4E4FF" w14:textId="77777777" w:rsidR="005C1E00" w:rsidRPr="001B0583" w:rsidRDefault="005C1E00" w:rsidP="005C1E00">
      <w:pPr>
        <w:pStyle w:val="NormalWeb"/>
        <w:shd w:val="clear" w:color="auto" w:fill="FFFFFF"/>
        <w:jc w:val="both"/>
        <w:rPr>
          <w:rFonts w:ascii="Arial" w:hAnsi="Arial" w:cs="Arial"/>
          <w:color w:val="000000" w:themeColor="text1"/>
        </w:rPr>
      </w:pPr>
    </w:p>
    <w:p w14:paraId="5361C00F" w14:textId="77777777" w:rsidR="005C1E00" w:rsidRPr="001B0583" w:rsidRDefault="005C1E00" w:rsidP="005C1E00">
      <w:pPr>
        <w:ind w:left="720"/>
        <w:jc w:val="both"/>
        <w:rPr>
          <w:rFonts w:ascii="Arial" w:hAnsi="Arial" w:cs="Arial"/>
          <w:color w:val="000000" w:themeColor="text1"/>
          <w:lang w:eastAsia="es-CO"/>
        </w:rPr>
      </w:pPr>
      <w:r w:rsidRPr="001B0583">
        <w:rPr>
          <w:rFonts w:ascii="Arial" w:hAnsi="Arial" w:cs="Arial"/>
          <w:color w:val="000000" w:themeColor="text1"/>
          <w:lang w:eastAsia="es-CO"/>
        </w:rPr>
        <w:t xml:space="preserve"> “(…) en materia de gasto público, la competencia parlamentaria desarrolla el principio superior de legalidad del gasto público, según el cual corresponde al Congreso, en su condición de órgano de representación popular, ordenar las erogaciones necesarias para ejecutar los compromisos inherentes al Estado Social de Derecho (artículos 150 y 347 Constitución Política). Sin embargo, el legislador primario por vía de excepción reservó para el Ejecutivo la iniciativa legislativa en relación con algunos aspectos (artículo 154 Constitución Política)”</w:t>
      </w:r>
    </w:p>
    <w:p w14:paraId="6811ECD8" w14:textId="77777777" w:rsidR="005C1E00" w:rsidRPr="001B0583" w:rsidRDefault="005C1E00" w:rsidP="005C1E00">
      <w:pPr>
        <w:jc w:val="both"/>
        <w:rPr>
          <w:rFonts w:ascii="Arial" w:hAnsi="Arial" w:cs="Arial"/>
          <w:color w:val="000000" w:themeColor="text1"/>
          <w:lang w:eastAsia="es-CO"/>
        </w:rPr>
      </w:pPr>
    </w:p>
    <w:p w14:paraId="12B7FBCE" w14:textId="77777777" w:rsidR="005C1E00" w:rsidRPr="001B0583" w:rsidRDefault="005C1E00" w:rsidP="005C1E00">
      <w:pPr>
        <w:ind w:left="720"/>
        <w:jc w:val="both"/>
        <w:rPr>
          <w:rFonts w:ascii="Arial" w:hAnsi="Arial" w:cs="Arial"/>
          <w:color w:val="000000" w:themeColor="text1"/>
          <w:lang w:eastAsia="es-CO"/>
        </w:rPr>
      </w:pPr>
      <w:r w:rsidRPr="001B0583">
        <w:rPr>
          <w:rFonts w:ascii="Arial" w:hAnsi="Arial" w:cs="Arial"/>
          <w:color w:val="000000" w:themeColor="text1"/>
          <w:lang w:eastAsia="es-CO"/>
        </w:rPr>
        <w:t xml:space="preserve"> “(…) </w:t>
      </w:r>
      <w:r w:rsidRPr="001B0583">
        <w:rPr>
          <w:rFonts w:ascii="Arial" w:hAnsi="Arial" w:cs="Arial"/>
          <w:b/>
          <w:bCs/>
          <w:color w:val="000000" w:themeColor="text1"/>
          <w:lang w:eastAsia="es-CO"/>
        </w:rPr>
        <w:t>El mencionado artículo 7° de la Ley 819 de 2003 se erige como una importante herramienta tanto para racionalizar el proceso legislativo como para promover la aplicación y el cumplimiento de las leyes, así como la implementación efectiva de las políticas públicas. Pero ello no significa que pueda interpretarse que este artículo constituye una barrera para que el Congreso ejerza su función legislativa o una carga de trámite que recaiga sobre el legislativo exclusivamente.</w:t>
      </w:r>
      <w:r w:rsidRPr="001B0583">
        <w:rPr>
          <w:rFonts w:ascii="Arial" w:hAnsi="Arial" w:cs="Arial"/>
          <w:color w:val="000000" w:themeColor="text1"/>
          <w:lang w:eastAsia="es-CO"/>
        </w:rPr>
        <w:t xml:space="preserve"> (…)” (subrayado fuera de texto) </w:t>
      </w:r>
    </w:p>
    <w:p w14:paraId="3743BF70" w14:textId="77777777" w:rsidR="005C1E00" w:rsidRPr="001B0583" w:rsidRDefault="005C1E00" w:rsidP="005C1E00">
      <w:pPr>
        <w:ind w:left="720"/>
        <w:jc w:val="both"/>
        <w:rPr>
          <w:rFonts w:ascii="Arial" w:hAnsi="Arial" w:cs="Arial"/>
          <w:color w:val="000000" w:themeColor="text1"/>
          <w:lang w:eastAsia="es-CO"/>
        </w:rPr>
      </w:pPr>
    </w:p>
    <w:p w14:paraId="3D140EF8" w14:textId="78B5EA67" w:rsidR="005C1E00" w:rsidRPr="001B0583" w:rsidRDefault="005C1E00" w:rsidP="005C1E00">
      <w:pPr>
        <w:ind w:left="720"/>
        <w:jc w:val="both"/>
        <w:rPr>
          <w:rFonts w:ascii="Arial" w:hAnsi="Arial" w:cs="Arial"/>
          <w:color w:val="000000" w:themeColor="text1"/>
          <w:lang w:eastAsia="es-CO"/>
        </w:rPr>
      </w:pPr>
      <w:r w:rsidRPr="001B0583">
        <w:rPr>
          <w:rFonts w:ascii="Arial" w:hAnsi="Arial" w:cs="Arial"/>
          <w:color w:val="000000" w:themeColor="text1"/>
          <w:lang w:eastAsia="es-CO"/>
        </w:rPr>
        <w:t xml:space="preserve">“La Corte considera que los primeros tres incisos del art. 7° de la Ley 819 de 2003 deben entenderse como parámetros de racionalidad de la actividad legislativa, y como una carga que le incumbe inicialmente al Ministerio de Hacienda, una vez que el Congreso ha valorado, con la información y las herramientas que tiene a su alcance, las incidencias fiscales de un determinado proyecto de ley. Esto significa que ellos constituyen instrumentos para mejorar la labor legislativa. Es decir, el mencionado artículo debe interpretarse en el sentido de que su fin es obtener que las leyes que se dicten tengan en cuenta las realidades macroeconómicas, pero sin crear barreras insalvables en el ejercicio de la función legislativa ni crear un poder de veto legislativo en cabeza del </w:t>
      </w:r>
      <w:r w:rsidR="004542C2">
        <w:rPr>
          <w:rFonts w:ascii="Arial" w:hAnsi="Arial" w:cs="Arial"/>
          <w:color w:val="000000" w:themeColor="text1"/>
          <w:lang w:eastAsia="es-CO"/>
        </w:rPr>
        <w:t>m</w:t>
      </w:r>
      <w:r w:rsidRPr="001B0583">
        <w:rPr>
          <w:rFonts w:ascii="Arial" w:hAnsi="Arial" w:cs="Arial"/>
          <w:color w:val="000000" w:themeColor="text1"/>
          <w:lang w:eastAsia="es-CO"/>
        </w:rPr>
        <w:t>inistro de Hacienda. Y en ese proceso de racionalidad legislativa la carga principal reposa en el Ministerio de Hacienda, que es el que cuenta con los datos, los equipos de funcionarios y la experticia en materia económica.”</w:t>
      </w:r>
    </w:p>
    <w:p w14:paraId="2DB748C9" w14:textId="77777777" w:rsidR="005C1E00" w:rsidRPr="001B0583" w:rsidRDefault="005C1E00" w:rsidP="005C1E00">
      <w:pPr>
        <w:jc w:val="both"/>
        <w:rPr>
          <w:rFonts w:ascii="Arial" w:hAnsi="Arial" w:cs="Arial"/>
          <w:color w:val="000000" w:themeColor="text1"/>
          <w:lang w:eastAsia="es-CO"/>
        </w:rPr>
      </w:pPr>
    </w:p>
    <w:p w14:paraId="6B702367" w14:textId="77777777" w:rsidR="005C1E00" w:rsidRPr="001B0583" w:rsidRDefault="005C1E00" w:rsidP="003948C9">
      <w:pPr>
        <w:jc w:val="both"/>
        <w:rPr>
          <w:rFonts w:ascii="Arial" w:hAnsi="Arial" w:cs="Arial"/>
          <w:color w:val="000000" w:themeColor="text1"/>
          <w:lang w:eastAsia="es-CO"/>
        </w:rPr>
      </w:pPr>
      <w:r w:rsidRPr="001B0583">
        <w:rPr>
          <w:rFonts w:ascii="Arial" w:hAnsi="Arial" w:cs="Arial"/>
          <w:color w:val="000000" w:themeColor="text1"/>
          <w:lang w:eastAsia="es-CO"/>
        </w:rPr>
        <w:t>Lo que quiere decir que la Ley 819 de 2003, de ninguna manera puede interpretarse como una norma de sometimiento de las facultades legislativas al ejecutivo. Por el contrario, su propósito es el de permitir la concordancia y materialidad de las leyes conforme a las realidades fiscales y macroeconómicas del país. En ese sentido la iniciativa que se pone a consideración contiene un artículo que subsume esta regla, diluyendo el argumento de inviabilidad por impacto fiscal, que en todo caso se insiste no puede significar un veto hacia el legislador.</w:t>
      </w:r>
    </w:p>
    <w:p w14:paraId="1A81155B" w14:textId="77777777" w:rsidR="003948C9" w:rsidRPr="001B0583" w:rsidRDefault="003948C9" w:rsidP="003948C9">
      <w:pPr>
        <w:jc w:val="both"/>
        <w:rPr>
          <w:rFonts w:ascii="Arial" w:hAnsi="Arial" w:cs="Arial"/>
          <w:color w:val="000000" w:themeColor="text1"/>
          <w:lang w:eastAsia="es-CO"/>
        </w:rPr>
      </w:pPr>
    </w:p>
    <w:p w14:paraId="6E9ED5E3" w14:textId="77777777" w:rsidR="005C1E00" w:rsidRPr="001B0583" w:rsidRDefault="005C1E00" w:rsidP="005C1E00">
      <w:pPr>
        <w:pStyle w:val="Prrafodelista"/>
        <w:numPr>
          <w:ilvl w:val="0"/>
          <w:numId w:val="6"/>
        </w:numPr>
        <w:jc w:val="both"/>
        <w:rPr>
          <w:rFonts w:ascii="Arial" w:eastAsia="Arial" w:hAnsi="Arial" w:cs="Arial"/>
          <w:b/>
          <w:bCs/>
          <w:color w:val="000000" w:themeColor="text1"/>
        </w:rPr>
      </w:pPr>
      <w:r w:rsidRPr="001B0583">
        <w:rPr>
          <w:rFonts w:ascii="Arial" w:eastAsia="Arial" w:hAnsi="Arial" w:cs="Arial"/>
          <w:b/>
          <w:bCs/>
          <w:color w:val="000000" w:themeColor="text1"/>
        </w:rPr>
        <w:lastRenderedPageBreak/>
        <w:t>Conflictos de interés</w:t>
      </w:r>
    </w:p>
    <w:p w14:paraId="5E8066CA" w14:textId="77777777" w:rsidR="005C1E00" w:rsidRPr="001B0583" w:rsidRDefault="005C1E00" w:rsidP="005C1E00">
      <w:pPr>
        <w:pStyle w:val="Ttulo1"/>
        <w:tabs>
          <w:tab w:val="left" w:pos="822"/>
          <w:tab w:val="left" w:pos="9214"/>
        </w:tabs>
        <w:jc w:val="both"/>
        <w:rPr>
          <w:rFonts w:ascii="Arial" w:hAnsi="Arial" w:cs="Arial"/>
          <w:b/>
          <w:color w:val="000000" w:themeColor="text1"/>
          <w:sz w:val="24"/>
          <w:szCs w:val="24"/>
        </w:rPr>
      </w:pPr>
      <w:r w:rsidRPr="001B0583">
        <w:rPr>
          <w:rFonts w:ascii="Arial" w:hAnsi="Arial" w:cs="Arial"/>
          <w:color w:val="000000" w:themeColor="text1"/>
          <w:sz w:val="24"/>
          <w:szCs w:val="24"/>
        </w:rPr>
        <w:t xml:space="preserve">Con base en el artículo 3º de la Ley 2003 de 2019, según el cual “El autor del proyecto y el ponente presentarán en el cuerpo de la exposición de motivos un acápite que describa las circunstancias o eventos que podrían generar un conflicto de interés para la discusión y votación del proyecto, de acuerdo al artículo 286. Estos serán criterios guías para que los otros congresistas tomen una decisión en torno a si se encuentran en una causal de impedimento, no obstante, otras causales que el Congresista pueda encontrar”. </w:t>
      </w:r>
    </w:p>
    <w:p w14:paraId="7EF440D9" w14:textId="77777777" w:rsidR="005C1E00" w:rsidRPr="001B0583" w:rsidRDefault="005C1E00" w:rsidP="005C1E00">
      <w:pPr>
        <w:pStyle w:val="Ttulo1"/>
        <w:tabs>
          <w:tab w:val="left" w:pos="822"/>
          <w:tab w:val="left" w:pos="9214"/>
        </w:tabs>
        <w:jc w:val="both"/>
        <w:rPr>
          <w:rFonts w:ascii="Arial" w:hAnsi="Arial" w:cs="Arial"/>
          <w:b/>
          <w:color w:val="000000" w:themeColor="text1"/>
          <w:sz w:val="24"/>
          <w:szCs w:val="24"/>
        </w:rPr>
      </w:pPr>
      <w:r w:rsidRPr="001B0583">
        <w:rPr>
          <w:rFonts w:ascii="Arial" w:hAnsi="Arial" w:cs="Arial"/>
          <w:color w:val="000000" w:themeColor="text1"/>
          <w:sz w:val="24"/>
          <w:szCs w:val="24"/>
        </w:rPr>
        <w:t xml:space="preserve">A continuación, se pondrán de presente los criterios que la Ley 2003 de 2019 contempla para hacer el análisis frente a los posibles impedimentos que se puedan presentar en razón a un conflicto de interés en el ejercicio de la función </w:t>
      </w:r>
      <w:proofErr w:type="spellStart"/>
      <w:r w:rsidRPr="001B0583">
        <w:rPr>
          <w:rFonts w:ascii="Arial" w:hAnsi="Arial" w:cs="Arial"/>
          <w:color w:val="000000" w:themeColor="text1"/>
          <w:sz w:val="24"/>
          <w:szCs w:val="24"/>
        </w:rPr>
        <w:t>congresional</w:t>
      </w:r>
      <w:proofErr w:type="spellEnd"/>
      <w:r w:rsidRPr="001B0583">
        <w:rPr>
          <w:rFonts w:ascii="Arial" w:hAnsi="Arial" w:cs="Arial"/>
          <w:color w:val="000000" w:themeColor="text1"/>
          <w:sz w:val="24"/>
          <w:szCs w:val="24"/>
        </w:rPr>
        <w:t xml:space="preserve">, entre ellas la legislativa.  </w:t>
      </w:r>
    </w:p>
    <w:p w14:paraId="7B68D37E" w14:textId="77777777" w:rsidR="005C1E00" w:rsidRPr="001B0583" w:rsidRDefault="005C1E00" w:rsidP="005C1E00">
      <w:pPr>
        <w:spacing w:before="280" w:after="280"/>
        <w:ind w:firstLine="720"/>
        <w:jc w:val="both"/>
        <w:rPr>
          <w:rFonts w:ascii="Arial" w:eastAsia="Arial" w:hAnsi="Arial" w:cs="Arial"/>
          <w:color w:val="000000" w:themeColor="text1"/>
        </w:rPr>
      </w:pPr>
      <w:r w:rsidRPr="001B0583">
        <w:rPr>
          <w:rFonts w:ascii="Arial" w:eastAsia="Arial" w:hAnsi="Arial" w:cs="Arial"/>
          <w:color w:val="000000" w:themeColor="text1"/>
        </w:rPr>
        <w:t>“Artículo 1º. El artículo </w:t>
      </w:r>
      <w:hyperlink r:id="rId19" w:anchor="286">
        <w:r w:rsidRPr="001B0583">
          <w:rPr>
            <w:rFonts w:ascii="Arial" w:eastAsia="Arial" w:hAnsi="Arial" w:cs="Arial"/>
            <w:color w:val="000000" w:themeColor="text1"/>
          </w:rPr>
          <w:t>286</w:t>
        </w:r>
      </w:hyperlink>
      <w:r w:rsidRPr="001B0583">
        <w:rPr>
          <w:rFonts w:ascii="Arial" w:eastAsia="Arial" w:hAnsi="Arial" w:cs="Arial"/>
          <w:color w:val="000000" w:themeColor="text1"/>
        </w:rPr>
        <w:t> de la Ley 5 de 1992 quedará así:</w:t>
      </w:r>
    </w:p>
    <w:p w14:paraId="7F8682FA" w14:textId="77777777" w:rsidR="005C1E00" w:rsidRPr="001B0583" w:rsidRDefault="005C1E00" w:rsidP="005C1E00">
      <w:pPr>
        <w:spacing w:before="280" w:after="280"/>
        <w:ind w:firstLine="720"/>
        <w:jc w:val="both"/>
        <w:rPr>
          <w:rFonts w:ascii="Arial" w:eastAsia="Arial" w:hAnsi="Arial" w:cs="Arial"/>
          <w:color w:val="000000" w:themeColor="text1"/>
        </w:rPr>
      </w:pPr>
      <w:r w:rsidRPr="001B0583">
        <w:rPr>
          <w:rFonts w:ascii="Arial" w:eastAsia="Arial" w:hAnsi="Arial" w:cs="Arial"/>
          <w:color w:val="000000" w:themeColor="text1"/>
        </w:rPr>
        <w:t>(…)</w:t>
      </w:r>
    </w:p>
    <w:p w14:paraId="665BBAE9"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a) Beneficio particular: aquel que otorga un privilegio o genera ganancias o crea indemnizaciones económicas o elimina obligaciones a favor del congresista de las que no gozan el resto de los ciudadanos. Modifique normas que afecten investigaciones penales, disciplinarias, fiscales o administrativas a las que se encuentre formalmente vinculado.</w:t>
      </w:r>
    </w:p>
    <w:p w14:paraId="681E73DA"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b) Beneficio actual: aquel que efectivamente se configura en las circunstancias presentes y existentes al momento en el que el congresista participa de la decisión.</w:t>
      </w:r>
    </w:p>
    <w:p w14:paraId="734F7205"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c) Beneficio directo: aquel que se produzca de forma específica respecto del congresista, de su cónyuge, compañero o compañera permanente, o parientes dentro del segundo grado de consanguinidad, segundo de afinidad o primero civil.</w:t>
      </w:r>
    </w:p>
    <w:p w14:paraId="49D6255F"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Para todos los efectos se entiende que no hay conflicto de interés en las siguientes circunstancias:</w:t>
      </w:r>
    </w:p>
    <w:p w14:paraId="37649B95" w14:textId="77777777" w:rsidR="005C1E00" w:rsidRPr="001B0583" w:rsidRDefault="005C1E00" w:rsidP="005C1E00">
      <w:pPr>
        <w:spacing w:before="280" w:after="280"/>
        <w:ind w:left="720"/>
        <w:jc w:val="both"/>
        <w:rPr>
          <w:rFonts w:ascii="Arial" w:eastAsia="Arial" w:hAnsi="Arial" w:cs="Arial"/>
          <w:b/>
          <w:color w:val="000000" w:themeColor="text1"/>
        </w:rPr>
      </w:pPr>
      <w:r w:rsidRPr="001B0583">
        <w:rPr>
          <w:rFonts w:ascii="Arial" w:eastAsia="Arial" w:hAnsi="Arial" w:cs="Arial"/>
          <w:b/>
          <w:color w:val="000000" w:themeColor="text1"/>
        </w:rPr>
        <w:t>a) Cuando el congresista participe, discuta, vote un proyecto de ley o de acto legislativo que otorgue beneficios o cargos de carácter general, es decir cuando el interés del congresista coincide o se fusione con los intereses de los electores.</w:t>
      </w:r>
    </w:p>
    <w:p w14:paraId="29B17673" w14:textId="77777777" w:rsidR="005C1E00" w:rsidRPr="001B0583" w:rsidRDefault="005C1E00" w:rsidP="005C1E00">
      <w:pPr>
        <w:spacing w:before="280" w:after="280"/>
        <w:ind w:left="708" w:firstLine="12"/>
        <w:jc w:val="both"/>
        <w:rPr>
          <w:rFonts w:ascii="Arial" w:eastAsia="Arial" w:hAnsi="Arial" w:cs="Arial"/>
          <w:color w:val="000000" w:themeColor="text1"/>
        </w:rPr>
      </w:pPr>
      <w:r w:rsidRPr="001B0583">
        <w:rPr>
          <w:rFonts w:ascii="Arial" w:eastAsia="Arial" w:hAnsi="Arial" w:cs="Arial"/>
          <w:color w:val="000000" w:themeColor="text1"/>
        </w:rPr>
        <w:t>b) Cuando el beneficio podría o no configurarse para el congresista en el futuro.</w:t>
      </w:r>
    </w:p>
    <w:p w14:paraId="1819F305"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lastRenderedPageBreak/>
        <w:t>c) Cuando el congresista participe, discuta o vote artículos de proyectos de ley o acto legislativo de carácter particular, que establezcan sanciones o disminuyan beneficios, en el cual, el congresista tiene un interés particular, actual y directo. El voto negativo no constituirá conflicto de interés cuando mantiene la normatividad vigente.</w:t>
      </w:r>
    </w:p>
    <w:p w14:paraId="368CC71B"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d) Cuando el congresista participe, discuta o vote artículos de proyectos de ley o acto legislativo de carácter particular, que regula un sector económico en el cual el congresista tiene un interés particular, actual y directo, siempre y cuando no genere beneficio particular, directo y actual.</w:t>
      </w:r>
    </w:p>
    <w:p w14:paraId="51BF2ACD"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e) Cuando el congresista participe, discuta o vote artículos de proyectos de ley o acto legislativo que tratan sobre los sectores económicos de quienes fueron financiadores de su campaña siempre y cuando no genere beneficio particular, directo y actual para el congresista. El congresista deberá hacer saber por escrito que el artículo o proyecto beneficia a financiadores de su campaña. Dicha manifestación no requerirá discusión ni votación.</w:t>
      </w:r>
    </w:p>
    <w:p w14:paraId="2DD9EC11" w14:textId="77777777" w:rsidR="005C1E00" w:rsidRPr="001B0583" w:rsidRDefault="005C1E00" w:rsidP="005C1E00">
      <w:pPr>
        <w:spacing w:before="280" w:after="280"/>
        <w:ind w:left="720"/>
        <w:jc w:val="both"/>
        <w:rPr>
          <w:rFonts w:ascii="Arial" w:eastAsia="Arial" w:hAnsi="Arial" w:cs="Arial"/>
          <w:color w:val="000000" w:themeColor="text1"/>
        </w:rPr>
      </w:pPr>
      <w:r w:rsidRPr="001B0583">
        <w:rPr>
          <w:rFonts w:ascii="Arial" w:eastAsia="Arial" w:hAnsi="Arial" w:cs="Arial"/>
          <w:color w:val="000000" w:themeColor="text1"/>
        </w:rPr>
        <w:t xml:space="preserve">f) Cuando el congresista participa en la elección de otros servidores públicos mediante el voto secreto. Se exceptúan los casos en que se presenten inhabilidades referidas al parentesco con los candidatos (...)”. (Subrayado y negrilla fuera de texto). </w:t>
      </w:r>
    </w:p>
    <w:p w14:paraId="1C4209BE" w14:textId="77777777" w:rsidR="005C1E00" w:rsidRPr="001B0583" w:rsidRDefault="005C1E00" w:rsidP="005C1E00">
      <w:pPr>
        <w:jc w:val="both"/>
        <w:rPr>
          <w:rFonts w:ascii="Arial" w:eastAsia="Arial" w:hAnsi="Arial" w:cs="Arial"/>
          <w:color w:val="000000" w:themeColor="text1"/>
        </w:rPr>
      </w:pPr>
    </w:p>
    <w:p w14:paraId="0F56D0FF" w14:textId="0C9B95DC" w:rsidR="00D97ABF" w:rsidRPr="001B0583" w:rsidRDefault="00D97ABF" w:rsidP="00D97ABF">
      <w:pPr>
        <w:jc w:val="both"/>
        <w:rPr>
          <w:rFonts w:ascii="Arial" w:eastAsia="Arial" w:hAnsi="Arial" w:cs="Arial"/>
          <w:color w:val="000000" w:themeColor="text1"/>
        </w:rPr>
      </w:pPr>
      <w:r w:rsidRPr="001B0583">
        <w:rPr>
          <w:rFonts w:ascii="Arial" w:eastAsia="Arial" w:hAnsi="Arial" w:cs="Arial"/>
          <w:color w:val="000000" w:themeColor="text1"/>
        </w:rPr>
        <w:t>De lo anterior, y de manera meramente orientativa, se considera que para la discusión y aprobación de este Proyecto de Ley no existen circunstancias que pudieran dar lugar a un eventual conflicto de interés por parte de los Honorables Congresistas, pues es una iniciativa de carácter general, impersonal y abstracta, con lo cual no se materializa una situación concreta que permita enmarcar un beneficio particular, directo ni actual. Se considera que este proyecto se enmarca en lo dispuesto por el literal a del artículo primero de la Ley 2003 de 2019 sobre las hipótesis de cuando se entiende que no hay conflicto de interés. En todo caso, es pertinente aclarar que los conflictos de interés son personales y corresponde a cada Congresista evaluarlos.</w:t>
      </w:r>
    </w:p>
    <w:p w14:paraId="3CBC3171" w14:textId="77777777" w:rsidR="005C1E00" w:rsidRPr="001B0583" w:rsidRDefault="005C1E00" w:rsidP="005C1E00">
      <w:pPr>
        <w:jc w:val="both"/>
        <w:rPr>
          <w:rFonts w:ascii="Arial" w:eastAsia="Arial" w:hAnsi="Arial" w:cs="Arial"/>
          <w:color w:val="000000" w:themeColor="text1"/>
        </w:rPr>
      </w:pPr>
    </w:p>
    <w:p w14:paraId="1AC183FC" w14:textId="77777777" w:rsidR="005C1E00" w:rsidRPr="001B0583" w:rsidRDefault="005C1E00" w:rsidP="005C1E00">
      <w:pPr>
        <w:jc w:val="both"/>
        <w:rPr>
          <w:rFonts w:ascii="Arial" w:eastAsia="Arial" w:hAnsi="Arial" w:cs="Arial"/>
          <w:color w:val="000000" w:themeColor="text1"/>
        </w:rPr>
      </w:pPr>
      <w:r w:rsidRPr="001B0583">
        <w:rPr>
          <w:rFonts w:ascii="Arial" w:eastAsia="Arial" w:hAnsi="Arial" w:cs="Arial"/>
          <w:color w:val="000000" w:themeColor="text1"/>
        </w:rPr>
        <w:t>Por las razones planteadas, pongo a consideración del Congreso de la República este proyecto de ley.</w:t>
      </w:r>
    </w:p>
    <w:p w14:paraId="0CF11C6A" w14:textId="77777777" w:rsidR="005C1E00" w:rsidRPr="001B0583" w:rsidRDefault="005C1E00" w:rsidP="005C1E00">
      <w:pPr>
        <w:jc w:val="both"/>
        <w:rPr>
          <w:rFonts w:ascii="Arial" w:eastAsia="Arial" w:hAnsi="Arial" w:cs="Arial"/>
          <w:color w:val="000000" w:themeColor="text1"/>
        </w:rPr>
      </w:pPr>
    </w:p>
    <w:p w14:paraId="18DBB506" w14:textId="77777777" w:rsidR="005C1E00" w:rsidRDefault="005C1E00" w:rsidP="005C1E00">
      <w:pPr>
        <w:jc w:val="both"/>
        <w:rPr>
          <w:rFonts w:ascii="Arial" w:eastAsia="Arial" w:hAnsi="Arial" w:cs="Arial"/>
          <w:color w:val="000000" w:themeColor="text1"/>
        </w:rPr>
      </w:pPr>
      <w:r w:rsidRPr="001B0583">
        <w:rPr>
          <w:rFonts w:ascii="Arial" w:eastAsia="Arial" w:hAnsi="Arial" w:cs="Arial"/>
          <w:color w:val="000000" w:themeColor="text1"/>
        </w:rPr>
        <w:t>Cordialmente,</w:t>
      </w:r>
    </w:p>
    <w:p w14:paraId="062420E4" w14:textId="77777777" w:rsidR="001B0583" w:rsidRDefault="001B0583" w:rsidP="005C1E00">
      <w:pPr>
        <w:jc w:val="both"/>
        <w:rPr>
          <w:rFonts w:ascii="Arial" w:eastAsia="Arial" w:hAnsi="Arial" w:cs="Arial"/>
          <w:color w:val="000000" w:themeColor="text1"/>
        </w:rPr>
      </w:pPr>
    </w:p>
    <w:p w14:paraId="4BE2A119" w14:textId="77777777" w:rsidR="001B0583" w:rsidRPr="001B0583" w:rsidRDefault="001B0583" w:rsidP="005C1E00">
      <w:pPr>
        <w:jc w:val="both"/>
        <w:rPr>
          <w:rFonts w:ascii="Arial" w:eastAsia="Arial" w:hAnsi="Arial" w:cs="Arial"/>
          <w:color w:val="000000" w:themeColor="text1"/>
        </w:rPr>
      </w:pPr>
    </w:p>
    <w:p w14:paraId="6A97DBC9" w14:textId="77777777" w:rsidR="001B0583" w:rsidRPr="001B0583" w:rsidRDefault="001B0583" w:rsidP="005C1E00">
      <w:pPr>
        <w:jc w:val="both"/>
        <w:rPr>
          <w:rFonts w:ascii="Arial" w:eastAsia="Arial" w:hAnsi="Arial" w:cs="Arial"/>
          <w:color w:val="000000" w:themeColor="text1"/>
        </w:rPr>
      </w:pPr>
    </w:p>
    <w:p w14:paraId="3A0558A6" w14:textId="77777777" w:rsidR="005C1E00" w:rsidRPr="001B0583" w:rsidRDefault="005C1E00" w:rsidP="005C1E00">
      <w:pPr>
        <w:jc w:val="both"/>
        <w:rPr>
          <w:rFonts w:ascii="Arial" w:eastAsia="Arial" w:hAnsi="Arial" w:cs="Arial"/>
          <w:color w:val="000000" w:themeColor="text1"/>
        </w:rPr>
      </w:pPr>
    </w:p>
    <w:p w14:paraId="7A26B271" w14:textId="77777777" w:rsidR="005C1E00" w:rsidRPr="001B0583" w:rsidRDefault="005C1E00" w:rsidP="005C1E00">
      <w:pPr>
        <w:jc w:val="both"/>
        <w:rPr>
          <w:rFonts w:ascii="Arial" w:eastAsia="Arial" w:hAnsi="Arial" w:cs="Arial"/>
          <w:b/>
          <w:color w:val="000000" w:themeColor="text1"/>
        </w:rPr>
      </w:pPr>
      <w:r w:rsidRPr="001B0583">
        <w:rPr>
          <w:rFonts w:ascii="Arial" w:eastAsia="Arial" w:hAnsi="Arial" w:cs="Arial"/>
          <w:b/>
          <w:color w:val="000000" w:themeColor="text1"/>
        </w:rPr>
        <w:t xml:space="preserve">HÉCTOR DAVID CHAPARRO </w:t>
      </w:r>
    </w:p>
    <w:p w14:paraId="39988699" w14:textId="77777777" w:rsidR="005C1E00" w:rsidRPr="001B0583" w:rsidRDefault="005C1E00" w:rsidP="005C1E00">
      <w:pPr>
        <w:jc w:val="both"/>
        <w:rPr>
          <w:rFonts w:ascii="Arial" w:eastAsia="Arial" w:hAnsi="Arial" w:cs="Arial"/>
          <w:color w:val="000000" w:themeColor="text1"/>
        </w:rPr>
      </w:pPr>
      <w:r w:rsidRPr="001B0583">
        <w:rPr>
          <w:rFonts w:ascii="Arial" w:eastAsia="Arial" w:hAnsi="Arial" w:cs="Arial"/>
          <w:color w:val="000000" w:themeColor="text1"/>
        </w:rPr>
        <w:t xml:space="preserve">Representante a la Cámara </w:t>
      </w:r>
    </w:p>
    <w:p w14:paraId="50C73A85" w14:textId="75EE7776" w:rsidR="005C1E00" w:rsidRPr="004542C2" w:rsidRDefault="005C1E00" w:rsidP="004542C2">
      <w:pPr>
        <w:jc w:val="both"/>
        <w:rPr>
          <w:rFonts w:ascii="Arial" w:eastAsia="Arial" w:hAnsi="Arial" w:cs="Arial"/>
          <w:color w:val="000000" w:themeColor="text1"/>
        </w:rPr>
      </w:pPr>
      <w:r w:rsidRPr="001B0583">
        <w:rPr>
          <w:rFonts w:ascii="Arial" w:eastAsia="Arial" w:hAnsi="Arial" w:cs="Arial"/>
          <w:color w:val="000000" w:themeColor="text1"/>
        </w:rPr>
        <w:t>Partido Liberal</w:t>
      </w:r>
    </w:p>
    <w:p w14:paraId="1B770761" w14:textId="77777777" w:rsidR="005C1E00" w:rsidRPr="001B0583" w:rsidRDefault="005C1E00" w:rsidP="004F726E">
      <w:pPr>
        <w:pStyle w:val="p1"/>
        <w:rPr>
          <w:rFonts w:ascii="Arial" w:hAnsi="Arial" w:cs="Arial"/>
          <w:color w:val="000000" w:themeColor="text1"/>
          <w:sz w:val="24"/>
          <w:szCs w:val="24"/>
          <w:lang w:val="es-ES"/>
        </w:rPr>
      </w:pPr>
    </w:p>
    <w:p w14:paraId="2A383646" w14:textId="77777777" w:rsidR="005C1E00" w:rsidRPr="001B0583" w:rsidRDefault="005C1E00" w:rsidP="004F726E">
      <w:pPr>
        <w:pStyle w:val="p1"/>
        <w:rPr>
          <w:rFonts w:ascii="Arial" w:hAnsi="Arial" w:cs="Arial"/>
          <w:color w:val="000000" w:themeColor="text1"/>
          <w:sz w:val="24"/>
          <w:szCs w:val="24"/>
          <w:lang w:val="es-ES"/>
        </w:rPr>
      </w:pPr>
    </w:p>
    <w:p w14:paraId="4755C08E" w14:textId="5CECC20E" w:rsidR="00EA4CAD" w:rsidRPr="001B0583" w:rsidRDefault="001B0583" w:rsidP="004F726E">
      <w:pPr>
        <w:pStyle w:val="p1"/>
        <w:rPr>
          <w:rFonts w:ascii="Arial" w:hAnsi="Arial" w:cs="Arial"/>
          <w:b/>
          <w:bCs/>
          <w:color w:val="000000" w:themeColor="text1"/>
          <w:sz w:val="24"/>
          <w:szCs w:val="24"/>
          <w:u w:val="single"/>
        </w:rPr>
      </w:pPr>
      <w:r w:rsidRPr="001B0583">
        <w:rPr>
          <w:rFonts w:ascii="Arial" w:hAnsi="Arial" w:cs="Arial"/>
          <w:b/>
          <w:bCs/>
          <w:color w:val="000000" w:themeColor="text1"/>
          <w:sz w:val="24"/>
          <w:szCs w:val="24"/>
          <w:u w:val="single"/>
        </w:rPr>
        <w:t xml:space="preserve">Fuentes: </w:t>
      </w:r>
    </w:p>
    <w:p w14:paraId="7B276F64" w14:textId="77777777" w:rsidR="009675C0" w:rsidRPr="001B0583" w:rsidRDefault="009675C0">
      <w:pPr>
        <w:rPr>
          <w:rFonts w:ascii="Arial" w:hAnsi="Arial" w:cs="Arial"/>
          <w:color w:val="000000" w:themeColor="text1"/>
          <w:lang w:val="es-CO"/>
        </w:rPr>
      </w:pPr>
    </w:p>
    <w:p w14:paraId="357277E0" w14:textId="59E2C05F" w:rsidR="004F726E" w:rsidRPr="001B0583" w:rsidRDefault="0011643B" w:rsidP="001B0583">
      <w:pPr>
        <w:jc w:val="both"/>
        <w:rPr>
          <w:rFonts w:ascii="Arial" w:hAnsi="Arial" w:cs="Arial"/>
          <w:color w:val="000000" w:themeColor="text1"/>
          <w:sz w:val="22"/>
          <w:szCs w:val="22"/>
          <w:lang w:val="es-CO"/>
        </w:rPr>
      </w:pPr>
      <w:hyperlink r:id="rId20" w:history="1">
        <w:r w:rsidR="004F726E" w:rsidRPr="001B0583">
          <w:rPr>
            <w:rStyle w:val="Hipervnculo"/>
            <w:rFonts w:ascii="Arial" w:hAnsi="Arial" w:cs="Arial"/>
            <w:color w:val="000000" w:themeColor="text1"/>
            <w:sz w:val="22"/>
            <w:szCs w:val="22"/>
            <w:u w:val="none"/>
            <w:lang w:val="es-CO"/>
          </w:rPr>
          <w:t>https://serviceweb.renovacionterritorio.gov.co/artdev/media/temp/2022-11-29_114636_1315189334.pdf</w:t>
        </w:r>
      </w:hyperlink>
    </w:p>
    <w:p w14:paraId="1CBD09A0" w14:textId="77777777" w:rsidR="004F726E" w:rsidRPr="001B0583" w:rsidRDefault="004F726E" w:rsidP="001B0583">
      <w:pPr>
        <w:jc w:val="both"/>
        <w:rPr>
          <w:rFonts w:ascii="Arial" w:hAnsi="Arial" w:cs="Arial"/>
          <w:color w:val="000000" w:themeColor="text1"/>
          <w:sz w:val="22"/>
          <w:szCs w:val="22"/>
          <w:lang w:val="es-CO"/>
        </w:rPr>
      </w:pPr>
    </w:p>
    <w:p w14:paraId="4326EDBC" w14:textId="0A5F7D2B" w:rsidR="004F726E" w:rsidRPr="001B0583" w:rsidRDefault="0011643B" w:rsidP="001B0583">
      <w:pPr>
        <w:jc w:val="both"/>
        <w:rPr>
          <w:rFonts w:ascii="Arial" w:hAnsi="Arial" w:cs="Arial"/>
          <w:color w:val="000000" w:themeColor="text1"/>
          <w:sz w:val="22"/>
          <w:szCs w:val="22"/>
          <w:lang w:val="es-CO"/>
        </w:rPr>
      </w:pPr>
      <w:hyperlink r:id="rId21" w:history="1">
        <w:r w:rsidR="004F726E" w:rsidRPr="001B0583">
          <w:rPr>
            <w:rStyle w:val="Hipervnculo"/>
            <w:rFonts w:ascii="Arial" w:hAnsi="Arial" w:cs="Arial"/>
            <w:color w:val="000000" w:themeColor="text1"/>
            <w:sz w:val="22"/>
            <w:szCs w:val="22"/>
            <w:u w:val="none"/>
            <w:lang w:val="es-CO"/>
          </w:rPr>
          <w:t>https://www.camara.gov.co/sites/default/files/2024-10/PL.335-2024C%20%28MUNICIPIOS%20PDET%29.pdf</w:t>
        </w:r>
      </w:hyperlink>
    </w:p>
    <w:p w14:paraId="30FC81C1" w14:textId="77777777" w:rsidR="004F726E" w:rsidRPr="001B0583" w:rsidRDefault="004F726E" w:rsidP="001B0583">
      <w:pPr>
        <w:jc w:val="both"/>
        <w:rPr>
          <w:rFonts w:ascii="Arial" w:hAnsi="Arial" w:cs="Arial"/>
          <w:color w:val="000000" w:themeColor="text1"/>
          <w:sz w:val="22"/>
          <w:szCs w:val="22"/>
          <w:lang w:val="es-CO"/>
        </w:rPr>
      </w:pPr>
    </w:p>
    <w:p w14:paraId="25F2AEA9" w14:textId="66A9EBC3" w:rsidR="000A500A" w:rsidRPr="001B0583" w:rsidRDefault="0011643B" w:rsidP="001B0583">
      <w:pPr>
        <w:jc w:val="both"/>
        <w:rPr>
          <w:rFonts w:ascii="Arial" w:hAnsi="Arial" w:cs="Arial"/>
          <w:color w:val="000000" w:themeColor="text1"/>
          <w:sz w:val="22"/>
          <w:szCs w:val="22"/>
          <w:lang w:val="es-CO"/>
        </w:rPr>
      </w:pPr>
      <w:hyperlink r:id="rId22" w:history="1">
        <w:r w:rsidR="000A500A" w:rsidRPr="001B0583">
          <w:rPr>
            <w:rStyle w:val="Hipervnculo"/>
            <w:rFonts w:ascii="Arial" w:hAnsi="Arial" w:cs="Arial"/>
            <w:color w:val="000000" w:themeColor="text1"/>
            <w:sz w:val="22"/>
            <w:szCs w:val="22"/>
            <w:u w:val="none"/>
            <w:lang w:val="es-CO"/>
          </w:rPr>
          <w:t>https://www.obrasximpuestos.com/municipios-pdet-zomac/</w:t>
        </w:r>
      </w:hyperlink>
    </w:p>
    <w:p w14:paraId="5309BB8F" w14:textId="77777777" w:rsidR="000A500A" w:rsidRPr="001B0583" w:rsidRDefault="000A500A" w:rsidP="001B0583">
      <w:pPr>
        <w:jc w:val="both"/>
        <w:rPr>
          <w:rFonts w:ascii="Arial" w:hAnsi="Arial" w:cs="Arial"/>
          <w:color w:val="000000" w:themeColor="text1"/>
          <w:sz w:val="22"/>
          <w:szCs w:val="22"/>
          <w:lang w:val="es-CO"/>
        </w:rPr>
      </w:pPr>
    </w:p>
    <w:p w14:paraId="5929596F" w14:textId="458B96C5" w:rsidR="00C96AB3" w:rsidRPr="001B0583" w:rsidRDefault="0011643B" w:rsidP="001B0583">
      <w:pPr>
        <w:jc w:val="both"/>
        <w:rPr>
          <w:rFonts w:ascii="Arial" w:hAnsi="Arial" w:cs="Arial"/>
          <w:color w:val="000000" w:themeColor="text1"/>
          <w:sz w:val="22"/>
          <w:szCs w:val="22"/>
          <w:lang w:val="es-CO"/>
        </w:rPr>
      </w:pPr>
      <w:hyperlink r:id="rId23" w:history="1">
        <w:r w:rsidR="000A500A" w:rsidRPr="001B0583">
          <w:rPr>
            <w:rStyle w:val="Hipervnculo"/>
            <w:rFonts w:ascii="Arial" w:hAnsi="Arial" w:cs="Arial"/>
            <w:color w:val="000000" w:themeColor="text1"/>
            <w:sz w:val="22"/>
            <w:szCs w:val="22"/>
            <w:u w:val="none"/>
            <w:lang w:val="es-CO"/>
          </w:rPr>
          <w:t>https://www.minjusticia.gov.co/programas-co/ODC/territorios/Cuartoencuentronacionalsobrelapoliticadedrogasente/programas_desarrollo_enfoque_territorial_ART.pdf</w:t>
        </w:r>
      </w:hyperlink>
    </w:p>
    <w:p w14:paraId="44CD24E3" w14:textId="77777777" w:rsidR="00C96AB3" w:rsidRPr="001B0583" w:rsidRDefault="00C96AB3" w:rsidP="001B0583">
      <w:pPr>
        <w:jc w:val="both"/>
        <w:rPr>
          <w:rFonts w:ascii="Arial" w:hAnsi="Arial" w:cs="Arial"/>
          <w:color w:val="000000" w:themeColor="text1"/>
          <w:sz w:val="22"/>
          <w:szCs w:val="22"/>
        </w:rPr>
      </w:pPr>
    </w:p>
    <w:p w14:paraId="75C4CA16" w14:textId="42D668BA" w:rsidR="00075551" w:rsidRPr="001B0583" w:rsidRDefault="0011643B" w:rsidP="001B0583">
      <w:pPr>
        <w:pBdr>
          <w:top w:val="nil"/>
          <w:left w:val="nil"/>
          <w:bottom w:val="nil"/>
          <w:right w:val="nil"/>
          <w:between w:val="nil"/>
        </w:pBdr>
        <w:spacing w:line="499" w:lineRule="auto"/>
        <w:ind w:right="106"/>
        <w:jc w:val="both"/>
        <w:rPr>
          <w:rFonts w:ascii="Arial" w:hAnsi="Arial" w:cs="Arial"/>
          <w:color w:val="000000" w:themeColor="text1"/>
          <w:sz w:val="22"/>
          <w:szCs w:val="22"/>
        </w:rPr>
      </w:pPr>
      <w:hyperlink r:id="rId24">
        <w:r w:rsidR="00075551" w:rsidRPr="001B0583">
          <w:rPr>
            <w:rFonts w:ascii="Arial" w:hAnsi="Arial" w:cs="Arial"/>
            <w:color w:val="000000" w:themeColor="text1"/>
            <w:sz w:val="22"/>
            <w:szCs w:val="22"/>
          </w:rPr>
          <w:t>https://www.renovacionterritorio.gov.co/especiales/especial_pdet/</w:t>
        </w:r>
      </w:hyperlink>
    </w:p>
    <w:p w14:paraId="36CA88F4" w14:textId="77777777" w:rsidR="00CD7201" w:rsidRPr="001B0583" w:rsidRDefault="00CD7201" w:rsidP="001B0583">
      <w:pPr>
        <w:jc w:val="both"/>
        <w:rPr>
          <w:rFonts w:ascii="Arial" w:hAnsi="Arial" w:cs="Arial"/>
          <w:color w:val="000000" w:themeColor="text1"/>
          <w:sz w:val="22"/>
          <w:szCs w:val="22"/>
          <w:lang w:val="es-419" w:eastAsia="en-GB"/>
        </w:rPr>
      </w:pPr>
    </w:p>
    <w:p w14:paraId="27644007" w14:textId="1723EF51" w:rsidR="00CD7201" w:rsidRPr="001B0583" w:rsidRDefault="0011643B" w:rsidP="001B0583">
      <w:pPr>
        <w:jc w:val="both"/>
        <w:rPr>
          <w:rFonts w:ascii="Arial" w:hAnsi="Arial" w:cs="Arial"/>
          <w:color w:val="000000" w:themeColor="text1"/>
          <w:sz w:val="22"/>
          <w:szCs w:val="22"/>
          <w:lang w:val="es-419" w:eastAsia="en-GB"/>
        </w:rPr>
      </w:pPr>
      <w:hyperlink r:id="rId25" w:history="1">
        <w:r w:rsidR="00CD7201" w:rsidRPr="001B0583">
          <w:rPr>
            <w:rStyle w:val="Hipervnculo"/>
            <w:rFonts w:ascii="Arial" w:hAnsi="Arial" w:cs="Arial"/>
            <w:color w:val="000000" w:themeColor="text1"/>
            <w:sz w:val="22"/>
            <w:szCs w:val="22"/>
            <w:u w:val="none"/>
            <w:lang w:val="es-419" w:eastAsia="en-GB"/>
          </w:rPr>
          <w:t>https://derechoshumanos.gov.co/Observatorio/Publicaciones/Documents/2022/Informe-lideres-sociales-DDHH-2021.pdf</w:t>
        </w:r>
      </w:hyperlink>
    </w:p>
    <w:p w14:paraId="537EE6F6" w14:textId="77777777" w:rsidR="00CD7201" w:rsidRPr="001B0583" w:rsidRDefault="00CD7201" w:rsidP="001B0583">
      <w:pPr>
        <w:jc w:val="both"/>
        <w:rPr>
          <w:rFonts w:ascii="Arial" w:hAnsi="Arial" w:cs="Arial"/>
          <w:color w:val="000000" w:themeColor="text1"/>
          <w:sz w:val="22"/>
          <w:szCs w:val="22"/>
          <w:lang w:val="es-419" w:eastAsia="en-GB"/>
        </w:rPr>
      </w:pPr>
    </w:p>
    <w:p w14:paraId="48B7FD46" w14:textId="138296AF" w:rsidR="005C53F3" w:rsidRPr="001B0583" w:rsidRDefault="0011643B" w:rsidP="001B0583">
      <w:pPr>
        <w:jc w:val="both"/>
        <w:rPr>
          <w:rFonts w:ascii="Arial" w:hAnsi="Arial" w:cs="Arial"/>
          <w:color w:val="000000" w:themeColor="text1"/>
          <w:sz w:val="22"/>
          <w:szCs w:val="22"/>
          <w:lang w:val="es-419" w:eastAsia="en-GB"/>
        </w:rPr>
      </w:pPr>
      <w:hyperlink r:id="rId26" w:history="1">
        <w:r w:rsidR="00CD7201" w:rsidRPr="001B0583">
          <w:rPr>
            <w:rStyle w:val="Hipervnculo"/>
            <w:rFonts w:ascii="Arial" w:hAnsi="Arial" w:cs="Arial"/>
            <w:color w:val="000000" w:themeColor="text1"/>
            <w:sz w:val="22"/>
            <w:szCs w:val="22"/>
            <w:u w:val="none"/>
            <w:lang w:val="es-419" w:eastAsia="en-GB"/>
          </w:rPr>
          <w:t>https://derechoshumanos.gov.co/Observatorio/Publicaciones/Documents/2021/INFORME-2020-HOMICIDIOS-DEFENSORES-DDHH-21.02.21.pdf</w:t>
        </w:r>
      </w:hyperlink>
    </w:p>
    <w:p w14:paraId="186483A4" w14:textId="77777777" w:rsidR="005C53F3" w:rsidRPr="001B0583" w:rsidRDefault="005C53F3" w:rsidP="001B0583">
      <w:pPr>
        <w:jc w:val="both"/>
        <w:rPr>
          <w:rFonts w:ascii="Arial" w:hAnsi="Arial" w:cs="Arial"/>
          <w:color w:val="000000" w:themeColor="text1"/>
          <w:sz w:val="22"/>
          <w:szCs w:val="22"/>
        </w:rPr>
      </w:pPr>
    </w:p>
    <w:p w14:paraId="51EA8CDE" w14:textId="57E1136F" w:rsidR="005C53F3" w:rsidRPr="001B0583" w:rsidRDefault="0011643B" w:rsidP="001B0583">
      <w:pPr>
        <w:jc w:val="both"/>
        <w:rPr>
          <w:rFonts w:ascii="Arial" w:hAnsi="Arial" w:cs="Arial"/>
          <w:color w:val="000000" w:themeColor="text1"/>
          <w:sz w:val="22"/>
          <w:szCs w:val="22"/>
        </w:rPr>
      </w:pPr>
      <w:hyperlink r:id="rId27" w:history="1">
        <w:r w:rsidR="005C53F3" w:rsidRPr="001B0583">
          <w:rPr>
            <w:rStyle w:val="Hipervnculo"/>
            <w:rFonts w:ascii="Arial" w:hAnsi="Arial" w:cs="Arial"/>
            <w:color w:val="000000" w:themeColor="text1"/>
            <w:sz w:val="22"/>
            <w:szCs w:val="22"/>
            <w:u w:val="none"/>
          </w:rPr>
          <w:t>https://colaboracion.dnp.gov.co/CDT/Desarrollo%20Territorial/Anexo%201%20-%20Diagnóstico%20Territorial%20y%20Priorización%20PGOT.pdf</w:t>
        </w:r>
      </w:hyperlink>
    </w:p>
    <w:p w14:paraId="15B6D2CA" w14:textId="77777777" w:rsidR="005C53F3" w:rsidRPr="001B0583" w:rsidRDefault="005C53F3" w:rsidP="001B0583">
      <w:pPr>
        <w:jc w:val="both"/>
        <w:rPr>
          <w:rFonts w:ascii="Arial" w:hAnsi="Arial" w:cs="Arial"/>
          <w:color w:val="000000" w:themeColor="text1"/>
          <w:sz w:val="22"/>
          <w:szCs w:val="22"/>
        </w:rPr>
      </w:pPr>
    </w:p>
    <w:p w14:paraId="4D541EC7" w14:textId="050394BB" w:rsidR="005C53F3" w:rsidRPr="001B0583" w:rsidRDefault="005C53F3" w:rsidP="001B0583">
      <w:pPr>
        <w:jc w:val="both"/>
        <w:rPr>
          <w:rFonts w:ascii="Arial" w:hAnsi="Arial" w:cs="Arial"/>
          <w:color w:val="000000" w:themeColor="text1"/>
          <w:sz w:val="22"/>
          <w:szCs w:val="22"/>
          <w:lang w:val="es-CO"/>
        </w:rPr>
      </w:pPr>
      <w:r w:rsidRPr="001B0583">
        <w:rPr>
          <w:rFonts w:ascii="Arial" w:hAnsi="Arial" w:cs="Arial"/>
          <w:color w:val="000000" w:themeColor="text1"/>
          <w:sz w:val="22"/>
          <w:szCs w:val="22"/>
          <w:lang w:val="es-CO"/>
        </w:rPr>
        <w:t>https://colaboracion.dnp.gov.co/CDT/Conpes/Económicos/4031.pdf</w:t>
      </w:r>
    </w:p>
    <w:p w14:paraId="49751A18" w14:textId="77777777" w:rsidR="005C53F3" w:rsidRPr="001B0583" w:rsidRDefault="005C53F3" w:rsidP="001B0583">
      <w:pPr>
        <w:jc w:val="both"/>
        <w:rPr>
          <w:rFonts w:ascii="Arial" w:hAnsi="Arial" w:cs="Arial"/>
          <w:color w:val="000000" w:themeColor="text1"/>
          <w:sz w:val="22"/>
          <w:szCs w:val="22"/>
        </w:rPr>
      </w:pPr>
    </w:p>
    <w:p w14:paraId="6F9DE6FD" w14:textId="77777777" w:rsidR="003E2574" w:rsidRPr="001B0583" w:rsidRDefault="005C53F3" w:rsidP="001B0583">
      <w:pPr>
        <w:jc w:val="both"/>
        <w:rPr>
          <w:rFonts w:ascii="Arial" w:hAnsi="Arial" w:cs="Arial"/>
          <w:color w:val="000000" w:themeColor="text1"/>
          <w:sz w:val="22"/>
          <w:szCs w:val="22"/>
          <w:lang w:eastAsia="en-GB"/>
        </w:rPr>
      </w:pPr>
      <w:r w:rsidRPr="001B0583">
        <w:rPr>
          <w:rFonts w:ascii="Arial" w:hAnsi="Arial" w:cs="Arial"/>
          <w:color w:val="000000" w:themeColor="text1"/>
          <w:sz w:val="22"/>
          <w:szCs w:val="22"/>
          <w:lang w:eastAsia="en-GB"/>
        </w:rPr>
        <w:t>https://www.minsalud.gov.co/sites/rid/Lists/BibliotecaDigital/RIDE/VS/ED/PSP/contextos-territoriales-conflicto-armado-interno</w:t>
      </w:r>
    </w:p>
    <w:p w14:paraId="5A08632D" w14:textId="5AA94300" w:rsidR="003E2574" w:rsidRPr="001B0583" w:rsidRDefault="005C53F3" w:rsidP="001B0583">
      <w:pPr>
        <w:jc w:val="both"/>
        <w:rPr>
          <w:rFonts w:ascii="Arial" w:hAnsi="Arial" w:cs="Arial"/>
          <w:color w:val="000000" w:themeColor="text1"/>
          <w:sz w:val="22"/>
          <w:szCs w:val="22"/>
          <w:lang w:eastAsia="en-GB"/>
        </w:rPr>
      </w:pPr>
      <w:r w:rsidRPr="001B0583">
        <w:rPr>
          <w:rFonts w:ascii="Arial" w:hAnsi="Arial" w:cs="Arial"/>
          <w:color w:val="000000" w:themeColor="text1"/>
          <w:sz w:val="22"/>
          <w:szCs w:val="22"/>
          <w:lang w:eastAsia="en-GB"/>
        </w:rPr>
        <w:t>-colombia-2005-2022.pdf</w:t>
      </w:r>
    </w:p>
    <w:p w14:paraId="19A28846" w14:textId="77777777" w:rsidR="003E2574" w:rsidRPr="001B0583" w:rsidRDefault="003E2574" w:rsidP="001B0583">
      <w:pPr>
        <w:jc w:val="both"/>
        <w:rPr>
          <w:rFonts w:ascii="Arial" w:hAnsi="Arial" w:cs="Arial"/>
          <w:color w:val="000000" w:themeColor="text1"/>
          <w:sz w:val="22"/>
          <w:szCs w:val="22"/>
          <w:lang w:eastAsia="en-GB"/>
        </w:rPr>
      </w:pPr>
    </w:p>
    <w:p w14:paraId="7D980D3B" w14:textId="24EB52EF" w:rsidR="003E2574" w:rsidRPr="001B0583" w:rsidRDefault="0011643B" w:rsidP="001B0583">
      <w:pPr>
        <w:jc w:val="both"/>
        <w:rPr>
          <w:rFonts w:ascii="Arial" w:hAnsi="Arial" w:cs="Arial"/>
          <w:color w:val="000000" w:themeColor="text1"/>
          <w:sz w:val="22"/>
          <w:szCs w:val="22"/>
          <w:lang w:eastAsia="en-GB"/>
        </w:rPr>
      </w:pPr>
      <w:hyperlink r:id="rId28" w:history="1">
        <w:r w:rsidR="003E2574" w:rsidRPr="001B0583">
          <w:rPr>
            <w:rStyle w:val="Hipervnculo"/>
            <w:rFonts w:ascii="Arial" w:hAnsi="Arial" w:cs="Arial"/>
            <w:color w:val="000000" w:themeColor="text1"/>
            <w:sz w:val="22"/>
            <w:szCs w:val="22"/>
            <w:u w:val="none"/>
            <w:lang w:eastAsia="en-GB"/>
          </w:rPr>
          <w:t>https://colaboracion.dnp.gov.co/CDT/Gobierno_DDHH_Paz/Der_Humanos_Paz/DocumentosPaginaWeb/IICA/IICA%202022/Presentación_IICA_2017-2022.pdf</w:t>
        </w:r>
      </w:hyperlink>
    </w:p>
    <w:p w14:paraId="572A5E0E" w14:textId="77777777" w:rsidR="003E2574" w:rsidRPr="001B0583" w:rsidRDefault="003E2574" w:rsidP="001B0583">
      <w:pPr>
        <w:jc w:val="both"/>
        <w:rPr>
          <w:rFonts w:ascii="Arial" w:hAnsi="Arial" w:cs="Arial"/>
          <w:color w:val="000000" w:themeColor="text1"/>
          <w:sz w:val="22"/>
          <w:szCs w:val="22"/>
          <w:lang w:eastAsia="en-GB"/>
        </w:rPr>
      </w:pPr>
    </w:p>
    <w:p w14:paraId="5B306CE5" w14:textId="2F3D49FA" w:rsidR="003E2574" w:rsidRPr="001B0583" w:rsidRDefault="0011643B" w:rsidP="001B0583">
      <w:pPr>
        <w:jc w:val="both"/>
        <w:rPr>
          <w:rFonts w:ascii="Arial" w:hAnsi="Arial" w:cs="Arial"/>
          <w:color w:val="000000" w:themeColor="text1"/>
          <w:sz w:val="22"/>
          <w:szCs w:val="22"/>
          <w:lang w:eastAsia="en-GB"/>
        </w:rPr>
      </w:pPr>
      <w:hyperlink r:id="rId29" w:history="1">
        <w:r w:rsidR="003E2574" w:rsidRPr="001B0583">
          <w:rPr>
            <w:rStyle w:val="Hipervnculo"/>
            <w:rFonts w:ascii="Arial" w:hAnsi="Arial" w:cs="Arial"/>
            <w:color w:val="000000" w:themeColor="text1"/>
            <w:sz w:val="22"/>
            <w:szCs w:val="22"/>
            <w:u w:val="none"/>
            <w:lang w:eastAsia="en-GB"/>
          </w:rPr>
          <w:t>https://www.dnp.gov.co/LaEntidad_/subdireccion-general-prospectiva-desarrollo-nacional/direccion-gobierno-ddhh-paz/Paginas/mediciones-seguimiento-y-evaluaciones.aspx</w:t>
        </w:r>
      </w:hyperlink>
    </w:p>
    <w:p w14:paraId="6F3ECD1B" w14:textId="77777777" w:rsidR="003E2574" w:rsidRPr="001B0583" w:rsidRDefault="003E2574" w:rsidP="001B0583">
      <w:pPr>
        <w:jc w:val="both"/>
        <w:rPr>
          <w:rFonts w:ascii="Arial" w:hAnsi="Arial" w:cs="Arial"/>
          <w:color w:val="000000" w:themeColor="text1"/>
          <w:sz w:val="22"/>
          <w:szCs w:val="22"/>
          <w:lang w:eastAsia="en-GB"/>
        </w:rPr>
      </w:pPr>
    </w:p>
    <w:p w14:paraId="5BAA0B73" w14:textId="77777777" w:rsidR="0058458E" w:rsidRPr="001B0583" w:rsidRDefault="0011643B" w:rsidP="001B0583">
      <w:pPr>
        <w:pStyle w:val="Textonotaalfinal"/>
        <w:jc w:val="both"/>
        <w:rPr>
          <w:rFonts w:ascii="Arial" w:hAnsi="Arial" w:cs="Arial"/>
          <w:color w:val="000000" w:themeColor="text1"/>
          <w:sz w:val="22"/>
          <w:szCs w:val="22"/>
          <w:lang w:val="es-ES"/>
        </w:rPr>
      </w:pPr>
      <w:hyperlink r:id="rId30" w:history="1">
        <w:r w:rsidR="0058458E" w:rsidRPr="001B0583">
          <w:rPr>
            <w:rStyle w:val="Hipervnculo"/>
            <w:rFonts w:ascii="Arial" w:eastAsiaTheme="majorEastAsia" w:hAnsi="Arial" w:cs="Arial"/>
            <w:color w:val="000000" w:themeColor="text1"/>
            <w:sz w:val="22"/>
            <w:szCs w:val="22"/>
            <w:u w:val="none"/>
          </w:rPr>
          <w:t>https://www.dane.gov.co/index.php/estadisticas-por-tema/pobreza-y-condiciones-de-vida/pobreza-multidimensional</w:t>
        </w:r>
      </w:hyperlink>
      <w:r w:rsidR="0058458E" w:rsidRPr="001B0583">
        <w:rPr>
          <w:rFonts w:ascii="Arial" w:hAnsi="Arial" w:cs="Arial"/>
          <w:color w:val="000000" w:themeColor="text1"/>
          <w:sz w:val="22"/>
          <w:szCs w:val="22"/>
          <w:lang w:val="es-ES"/>
        </w:rPr>
        <w:t xml:space="preserve">. </w:t>
      </w:r>
    </w:p>
    <w:p w14:paraId="1969D1AE" w14:textId="3FDCE9BA" w:rsidR="00833D30" w:rsidRPr="001B0583" w:rsidRDefault="00833D30" w:rsidP="001B0583">
      <w:pPr>
        <w:jc w:val="both"/>
        <w:rPr>
          <w:rFonts w:ascii="Arial" w:hAnsi="Arial" w:cs="Arial"/>
          <w:noProof/>
          <w:color w:val="000000" w:themeColor="text1"/>
          <w:sz w:val="22"/>
          <w:szCs w:val="22"/>
        </w:rPr>
      </w:pPr>
      <w:r w:rsidRPr="001B0583">
        <w:rPr>
          <w:rFonts w:ascii="Arial" w:hAnsi="Arial" w:cs="Arial"/>
          <w:noProof/>
          <w:color w:val="000000" w:themeColor="text1"/>
          <w:sz w:val="22"/>
          <w:szCs w:val="22"/>
        </w:rPr>
        <w:t xml:space="preserve"> </w:t>
      </w:r>
    </w:p>
    <w:p w14:paraId="672AAFBE" w14:textId="5FEF8C25" w:rsidR="000C1AF4" w:rsidRPr="001B0583" w:rsidRDefault="0011643B" w:rsidP="001B0583">
      <w:pPr>
        <w:jc w:val="both"/>
        <w:rPr>
          <w:rFonts w:ascii="Arial" w:hAnsi="Arial" w:cs="Arial"/>
          <w:color w:val="000000" w:themeColor="text1"/>
          <w:sz w:val="22"/>
          <w:szCs w:val="22"/>
          <w:lang w:eastAsia="en-GB"/>
        </w:rPr>
      </w:pPr>
      <w:hyperlink r:id="rId31" w:history="1">
        <w:r w:rsidR="000C1AF4" w:rsidRPr="001B0583">
          <w:rPr>
            <w:rStyle w:val="Hipervnculo"/>
            <w:rFonts w:ascii="Arial" w:hAnsi="Arial" w:cs="Arial"/>
            <w:color w:val="000000" w:themeColor="text1"/>
            <w:sz w:val="22"/>
            <w:szCs w:val="22"/>
            <w:u w:val="none"/>
            <w:lang w:eastAsia="en-GB"/>
          </w:rPr>
          <w:t>http://www.colombiamania.com/mapas/departamentos/boyaca.html</w:t>
        </w:r>
      </w:hyperlink>
    </w:p>
    <w:p w14:paraId="2C72487E" w14:textId="77777777" w:rsidR="001676C5" w:rsidRPr="001B0583" w:rsidRDefault="001676C5" w:rsidP="001B0583">
      <w:pPr>
        <w:jc w:val="both"/>
        <w:rPr>
          <w:rFonts w:ascii="Arial" w:hAnsi="Arial" w:cs="Arial"/>
          <w:color w:val="000000" w:themeColor="text1"/>
          <w:sz w:val="22"/>
          <w:szCs w:val="22"/>
          <w:lang w:eastAsia="en-GB"/>
        </w:rPr>
      </w:pPr>
    </w:p>
    <w:p w14:paraId="26E2C022" w14:textId="11813EFD" w:rsidR="001676C5" w:rsidRPr="001B0583" w:rsidRDefault="0011643B" w:rsidP="001B0583">
      <w:pPr>
        <w:jc w:val="both"/>
        <w:rPr>
          <w:rFonts w:ascii="Arial" w:hAnsi="Arial" w:cs="Arial"/>
          <w:color w:val="000000" w:themeColor="text1"/>
          <w:sz w:val="22"/>
          <w:szCs w:val="22"/>
          <w:lang w:eastAsia="en-GB"/>
        </w:rPr>
      </w:pPr>
      <w:hyperlink r:id="rId32" w:anchor=":~:text=ZOMAC,su%20crecimiento%2C%20desarrollo%20y%20progreso" w:history="1">
        <w:r w:rsidR="001676C5" w:rsidRPr="001B0583">
          <w:rPr>
            <w:rStyle w:val="Hipervnculo"/>
            <w:rFonts w:ascii="Arial" w:hAnsi="Arial" w:cs="Arial"/>
            <w:color w:val="000000" w:themeColor="text1"/>
            <w:sz w:val="22"/>
            <w:szCs w:val="22"/>
            <w:u w:val="none"/>
            <w:lang w:eastAsia="en-GB"/>
          </w:rPr>
          <w:t>https://www.dian.gov.co/impuestos/Formalizacion-Tributaria/Paginas/Multisectorial.aspx#:~:text=ZOMAC,su%20crecimiento%2C%20desarrollo%20y%20progreso</w:t>
        </w:r>
      </w:hyperlink>
      <w:r w:rsidR="001676C5" w:rsidRPr="001B0583">
        <w:rPr>
          <w:rFonts w:ascii="Arial" w:hAnsi="Arial" w:cs="Arial"/>
          <w:color w:val="000000" w:themeColor="text1"/>
          <w:sz w:val="22"/>
          <w:szCs w:val="22"/>
          <w:lang w:eastAsia="en-GB"/>
        </w:rPr>
        <w:t>.</w:t>
      </w:r>
    </w:p>
    <w:p w14:paraId="306E1A2A" w14:textId="77777777" w:rsidR="001676C5" w:rsidRPr="001B0583" w:rsidRDefault="001676C5" w:rsidP="00E60E8F">
      <w:pPr>
        <w:rPr>
          <w:rFonts w:ascii="Arial" w:hAnsi="Arial" w:cs="Arial"/>
          <w:b/>
          <w:color w:val="000000" w:themeColor="text1"/>
          <w:lang w:eastAsia="en-GB"/>
        </w:rPr>
      </w:pPr>
    </w:p>
    <w:sectPr w:rsidR="001676C5" w:rsidRPr="001B0583" w:rsidSect="00EA4CAD">
      <w:headerReference w:type="default" r:id="rId33"/>
      <w:pgSz w:w="12240" w:h="15840"/>
      <w:pgMar w:top="162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9EF4C" w14:textId="77777777" w:rsidR="0011643B" w:rsidRDefault="0011643B" w:rsidP="00EA4CAD">
      <w:r>
        <w:separator/>
      </w:r>
    </w:p>
  </w:endnote>
  <w:endnote w:type="continuationSeparator" w:id="0">
    <w:p w14:paraId="7E4CB911" w14:textId="77777777" w:rsidR="0011643B" w:rsidRDefault="0011643B" w:rsidP="00EA4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Helvetica">
    <w:panose1 w:val="020B0604020202020204"/>
    <w:charset w:val="00"/>
    <w:family w:val="auto"/>
    <w:pitch w:val="variable"/>
    <w:sig w:usb0="E00002FF" w:usb1="5000785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Times">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371AC1" w14:textId="77777777" w:rsidR="0011643B" w:rsidRDefault="0011643B" w:rsidP="00EA4CAD">
      <w:r>
        <w:separator/>
      </w:r>
    </w:p>
  </w:footnote>
  <w:footnote w:type="continuationSeparator" w:id="0">
    <w:p w14:paraId="74DC1BD9" w14:textId="77777777" w:rsidR="0011643B" w:rsidRDefault="0011643B" w:rsidP="00EA4CAD">
      <w:r>
        <w:continuationSeparator/>
      </w:r>
    </w:p>
  </w:footnote>
  <w:footnote w:id="1">
    <w:p w14:paraId="1A857A72" w14:textId="16A2C341" w:rsidR="004F2C51" w:rsidRDefault="004F2C51">
      <w:pPr>
        <w:pStyle w:val="Textonotapie"/>
      </w:pPr>
      <w:r>
        <w:rPr>
          <w:rStyle w:val="Refdenotaalpie"/>
        </w:rPr>
        <w:footnoteRef/>
      </w:r>
      <w:r>
        <w:t xml:space="preserve"> </w:t>
      </w:r>
      <w:hyperlink r:id="rId1" w:history="1">
        <w:r w:rsidRPr="007407FA">
          <w:rPr>
            <w:rStyle w:val="Hipervnculo"/>
          </w:rPr>
          <w:t>https://datospaz.unidadvictimas.gov.co/mapa-de-victimizacion/</w:t>
        </w:r>
      </w:hyperlink>
    </w:p>
    <w:p w14:paraId="3B6FBE4A" w14:textId="77777777" w:rsidR="004F2C51" w:rsidRPr="004F2C51" w:rsidRDefault="004F2C51">
      <w:pPr>
        <w:pStyle w:val="Textonotapie"/>
        <w:rPr>
          <w:lang w:val="en-US"/>
        </w:rPr>
      </w:pPr>
    </w:p>
  </w:footnote>
  <w:footnote w:id="2">
    <w:p w14:paraId="55B3D578" w14:textId="77777777" w:rsidR="006F3A84" w:rsidRPr="00DA479F" w:rsidRDefault="006F3A84" w:rsidP="006F3A84">
      <w:pPr>
        <w:pStyle w:val="Textonotapie"/>
        <w:rPr>
          <w:lang w:val="en-US"/>
        </w:rPr>
      </w:pPr>
      <w:r>
        <w:rPr>
          <w:rStyle w:val="Refdenotaalpie"/>
        </w:rPr>
        <w:footnoteRef/>
      </w:r>
      <w:r w:rsidRPr="006F3A84">
        <w:rPr>
          <w:lang w:val="en-US"/>
        </w:rPr>
        <w:t xml:space="preserve"> https://www.dnp.gov.co/LaEntidad_/subdireccion-general-prospectiva-desarrollo-nacional/direccion-gobierno-ddhh-paz/Paginas/mediciones-seguimiento-y-evaluaciones.aspx</w:t>
      </w:r>
    </w:p>
  </w:footnote>
  <w:footnote w:id="3">
    <w:p w14:paraId="503D3D6D" w14:textId="77777777" w:rsidR="00DD030E" w:rsidRPr="002339B1" w:rsidRDefault="00DD030E" w:rsidP="00DD030E">
      <w:pPr>
        <w:pStyle w:val="Textonotapie"/>
        <w:rPr>
          <w:rFonts w:ascii="Arial" w:hAnsi="Arial" w:cs="Arial"/>
          <w:color w:val="000000" w:themeColor="text1"/>
          <w:lang w:val="en-US"/>
        </w:rPr>
      </w:pPr>
      <w:r w:rsidRPr="002339B1">
        <w:rPr>
          <w:rStyle w:val="Refdenotaalpie"/>
          <w:rFonts w:ascii="Arial" w:hAnsi="Arial" w:cs="Arial"/>
          <w:color w:val="000000" w:themeColor="text1"/>
        </w:rPr>
        <w:footnoteRef/>
      </w:r>
      <w:r w:rsidRPr="006F3A84">
        <w:rPr>
          <w:rFonts w:ascii="Arial" w:hAnsi="Arial" w:cs="Arial"/>
          <w:color w:val="000000" w:themeColor="text1"/>
          <w:lang w:val="en-US"/>
        </w:rPr>
        <w:t xml:space="preserve"> https://colombiatic.mintic.gov.co/679/articles-396961_recurso_3.pdf</w:t>
      </w:r>
    </w:p>
  </w:footnote>
  <w:footnote w:id="4">
    <w:p w14:paraId="586A61E0" w14:textId="77777777" w:rsidR="00DD030E" w:rsidRPr="002339B1" w:rsidRDefault="00DD030E" w:rsidP="00DD030E">
      <w:pPr>
        <w:pStyle w:val="Textonotapie"/>
        <w:rPr>
          <w:rFonts w:ascii="Arial" w:hAnsi="Arial" w:cs="Arial"/>
          <w:color w:val="000000" w:themeColor="text1"/>
          <w:lang w:val="en-US"/>
        </w:rPr>
      </w:pPr>
      <w:r w:rsidRPr="002339B1">
        <w:rPr>
          <w:rStyle w:val="Refdenotaalpie"/>
          <w:rFonts w:ascii="Arial" w:hAnsi="Arial" w:cs="Arial"/>
          <w:color w:val="000000" w:themeColor="text1"/>
        </w:rPr>
        <w:footnoteRef/>
      </w:r>
      <w:r w:rsidRPr="002339B1">
        <w:rPr>
          <w:rFonts w:ascii="Arial" w:hAnsi="Arial" w:cs="Arial"/>
          <w:color w:val="000000" w:themeColor="text1"/>
          <w:lang w:val="en-US"/>
        </w:rPr>
        <w:t xml:space="preserve"> https://www.boyaca.gov.co/wp-content/uploads/2024/07/PDD-NUESTRO-GRAN-PLAN-ES-BOYACA-2024-2027-FINAL.pdf</w:t>
      </w:r>
    </w:p>
  </w:footnote>
  <w:footnote w:id="5">
    <w:p w14:paraId="0439C211" w14:textId="77777777" w:rsidR="00DD030E" w:rsidRPr="002339B1" w:rsidRDefault="00DD030E" w:rsidP="00DD030E">
      <w:pPr>
        <w:pStyle w:val="Textonotapie"/>
        <w:rPr>
          <w:rFonts w:ascii="Arial" w:hAnsi="Arial" w:cs="Arial"/>
          <w:color w:val="000000" w:themeColor="text1"/>
          <w:lang w:val="en-US"/>
        </w:rPr>
      </w:pPr>
      <w:r w:rsidRPr="002339B1">
        <w:rPr>
          <w:rStyle w:val="Refdenotaalpie"/>
          <w:rFonts w:ascii="Arial" w:hAnsi="Arial" w:cs="Arial"/>
          <w:color w:val="000000" w:themeColor="text1"/>
        </w:rPr>
        <w:footnoteRef/>
      </w:r>
      <w:r w:rsidRPr="002339B1">
        <w:rPr>
          <w:rFonts w:ascii="Arial" w:hAnsi="Arial" w:cs="Arial"/>
          <w:color w:val="000000" w:themeColor="text1"/>
          <w:lang w:val="en-US"/>
        </w:rPr>
        <w:t xml:space="preserve"> </w:t>
      </w:r>
      <w:hyperlink r:id="rId2" w:history="1">
        <w:r w:rsidRPr="002339B1">
          <w:rPr>
            <w:rStyle w:val="Hipervnculo"/>
            <w:rFonts w:ascii="Arial" w:hAnsi="Arial" w:cs="Arial"/>
            <w:color w:val="000000" w:themeColor="text1"/>
            <w:lang w:val="en-US"/>
          </w:rPr>
          <w:t>https://www.dane.gov.co/index.php/estadisticas-por-tema/pobreza-y-condiciones-de-vida/pobreza-multidimensional</w:t>
        </w:r>
      </w:hyperlink>
    </w:p>
    <w:p w14:paraId="36D6CB09" w14:textId="77777777" w:rsidR="00DD030E" w:rsidRPr="002339B1" w:rsidRDefault="00DD030E" w:rsidP="00DD030E">
      <w:pPr>
        <w:pStyle w:val="Textonotapie"/>
        <w:rPr>
          <w:rFonts w:ascii="Arial" w:hAnsi="Arial" w:cs="Arial"/>
          <w:color w:val="000000" w:themeColor="text1"/>
          <w:lang w:val="en-US"/>
        </w:rPr>
      </w:pPr>
    </w:p>
  </w:footnote>
  <w:footnote w:id="6">
    <w:p w14:paraId="6937EF56" w14:textId="77777777" w:rsidR="00DD030E" w:rsidRPr="002339B1" w:rsidRDefault="00DD030E" w:rsidP="00DD030E">
      <w:pPr>
        <w:pStyle w:val="Textonotapie"/>
        <w:rPr>
          <w:rFonts w:ascii="Arial" w:hAnsi="Arial" w:cs="Arial"/>
          <w:color w:val="000000" w:themeColor="text1"/>
          <w:lang w:val="en-US"/>
        </w:rPr>
      </w:pPr>
      <w:r w:rsidRPr="002339B1">
        <w:rPr>
          <w:rStyle w:val="Refdenotaalpie"/>
          <w:rFonts w:ascii="Arial" w:hAnsi="Arial" w:cs="Arial"/>
          <w:color w:val="000000" w:themeColor="text1"/>
        </w:rPr>
        <w:footnoteRef/>
      </w:r>
      <w:r w:rsidRPr="002339B1">
        <w:rPr>
          <w:rFonts w:ascii="Arial" w:hAnsi="Arial" w:cs="Arial"/>
          <w:color w:val="000000" w:themeColor="text1"/>
          <w:lang w:val="en-US"/>
        </w:rPr>
        <w:t xml:space="preserve"> https://cctunja.org.co/wp-content/uploads/2024/08/Boyaca_Cifras_2023_V1.pdf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CE892" w14:textId="72FDC214" w:rsidR="00EA4CAD" w:rsidRDefault="00EA4CAD">
    <w:pPr>
      <w:pStyle w:val="Encabezado"/>
    </w:pPr>
    <w:r>
      <w:rPr>
        <w:noProof/>
      </w:rPr>
      <w:drawing>
        <wp:anchor distT="0" distB="0" distL="0" distR="0" simplePos="0" relativeHeight="251659264" behindDoc="1" locked="0" layoutInCell="1" hidden="0" allowOverlap="1" wp14:anchorId="0C0B6876" wp14:editId="33C97FCC">
          <wp:simplePos x="0" y="0"/>
          <wp:positionH relativeFrom="column">
            <wp:posOffset>1529897</wp:posOffset>
          </wp:positionH>
          <wp:positionV relativeFrom="paragraph">
            <wp:posOffset>-181573</wp:posOffset>
          </wp:positionV>
          <wp:extent cx="2410691" cy="678873"/>
          <wp:effectExtent l="0" t="0" r="2540" b="0"/>
          <wp:wrapNone/>
          <wp:docPr id="2" name="image1.png" descr="http://tatacabello.com/wp-content/uploads/2015/06/logo-congreso.png"/>
          <wp:cNvGraphicFramePr/>
          <a:graphic xmlns:a="http://schemas.openxmlformats.org/drawingml/2006/main">
            <a:graphicData uri="http://schemas.openxmlformats.org/drawingml/2006/picture">
              <pic:pic xmlns:pic="http://schemas.openxmlformats.org/drawingml/2006/picture">
                <pic:nvPicPr>
                  <pic:cNvPr id="0" name="image1.png" descr="http://tatacabello.com/wp-content/uploads/2015/06/logo-congreso.png"/>
                  <pic:cNvPicPr preferRelativeResize="0"/>
                </pic:nvPicPr>
                <pic:blipFill>
                  <a:blip r:embed="rId1"/>
                  <a:srcRect/>
                  <a:stretch>
                    <a:fillRect/>
                  </a:stretch>
                </pic:blipFill>
                <pic:spPr>
                  <a:xfrm>
                    <a:off x="0" y="0"/>
                    <a:ext cx="2410691" cy="678873"/>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B6D76"/>
    <w:multiLevelType w:val="multilevel"/>
    <w:tmpl w:val="21EE110C"/>
    <w:lvl w:ilvl="0">
      <w:numFmt w:val="bullet"/>
      <w:lvlText w:val="●"/>
      <w:lvlJc w:val="left"/>
      <w:pPr>
        <w:ind w:left="842" w:hanging="360"/>
      </w:pPr>
      <w:rPr>
        <w:rFonts w:ascii="Noto Sans Symbols" w:eastAsia="Noto Sans Symbols" w:hAnsi="Noto Sans Symbols" w:cs="Noto Sans Symbols"/>
        <w:sz w:val="24"/>
        <w:szCs w:val="24"/>
      </w:rPr>
    </w:lvl>
    <w:lvl w:ilvl="1">
      <w:numFmt w:val="bullet"/>
      <w:lvlText w:val="•"/>
      <w:lvlJc w:val="left"/>
      <w:pPr>
        <w:ind w:left="1630" w:hanging="360"/>
      </w:pPr>
    </w:lvl>
    <w:lvl w:ilvl="2">
      <w:numFmt w:val="bullet"/>
      <w:lvlText w:val="•"/>
      <w:lvlJc w:val="left"/>
      <w:pPr>
        <w:ind w:left="2421" w:hanging="360"/>
      </w:pPr>
    </w:lvl>
    <w:lvl w:ilvl="3">
      <w:numFmt w:val="bullet"/>
      <w:lvlText w:val="•"/>
      <w:lvlJc w:val="left"/>
      <w:pPr>
        <w:ind w:left="3211" w:hanging="360"/>
      </w:pPr>
    </w:lvl>
    <w:lvl w:ilvl="4">
      <w:numFmt w:val="bullet"/>
      <w:lvlText w:val="•"/>
      <w:lvlJc w:val="left"/>
      <w:pPr>
        <w:ind w:left="4002" w:hanging="360"/>
      </w:pPr>
    </w:lvl>
    <w:lvl w:ilvl="5">
      <w:numFmt w:val="bullet"/>
      <w:lvlText w:val="•"/>
      <w:lvlJc w:val="left"/>
      <w:pPr>
        <w:ind w:left="4793" w:hanging="360"/>
      </w:pPr>
    </w:lvl>
    <w:lvl w:ilvl="6">
      <w:numFmt w:val="bullet"/>
      <w:lvlText w:val="•"/>
      <w:lvlJc w:val="left"/>
      <w:pPr>
        <w:ind w:left="5583" w:hanging="360"/>
      </w:pPr>
    </w:lvl>
    <w:lvl w:ilvl="7">
      <w:numFmt w:val="bullet"/>
      <w:lvlText w:val="•"/>
      <w:lvlJc w:val="left"/>
      <w:pPr>
        <w:ind w:left="6374" w:hanging="360"/>
      </w:pPr>
    </w:lvl>
    <w:lvl w:ilvl="8">
      <w:numFmt w:val="bullet"/>
      <w:lvlText w:val="•"/>
      <w:lvlJc w:val="left"/>
      <w:pPr>
        <w:ind w:left="7165" w:hanging="360"/>
      </w:pPr>
    </w:lvl>
  </w:abstractNum>
  <w:abstractNum w:abstractNumId="1" w15:restartNumberingAfterBreak="0">
    <w:nsid w:val="1F9849D9"/>
    <w:multiLevelType w:val="hybridMultilevel"/>
    <w:tmpl w:val="9D0C4D76"/>
    <w:lvl w:ilvl="0" w:tplc="AA865F04">
      <w:start w:val="4"/>
      <w:numFmt w:val="bullet"/>
      <w:lvlText w:val="-"/>
      <w:lvlJc w:val="left"/>
      <w:pPr>
        <w:ind w:left="720" w:hanging="360"/>
      </w:pPr>
      <w:rPr>
        <w:rFonts w:ascii="Helvetica" w:eastAsia="Times New Roman" w:hAnsi="Helvetica" w:cs="Arial" w:hint="default"/>
        <w:sz w:val="15"/>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31007E54"/>
    <w:multiLevelType w:val="hybridMultilevel"/>
    <w:tmpl w:val="9EFE12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37C256CF"/>
    <w:multiLevelType w:val="multilevel"/>
    <w:tmpl w:val="F5464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8A70B8B"/>
    <w:multiLevelType w:val="hybridMultilevel"/>
    <w:tmpl w:val="F164186A"/>
    <w:lvl w:ilvl="0" w:tplc="580A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9644422"/>
    <w:multiLevelType w:val="hybridMultilevel"/>
    <w:tmpl w:val="D9C283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36C040E"/>
    <w:multiLevelType w:val="hybridMultilevel"/>
    <w:tmpl w:val="5A724C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B5C6405"/>
    <w:multiLevelType w:val="multilevel"/>
    <w:tmpl w:val="9F061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BCF2F98"/>
    <w:multiLevelType w:val="hybridMultilevel"/>
    <w:tmpl w:val="5150FC9A"/>
    <w:lvl w:ilvl="0" w:tplc="8840836C">
      <w:start w:val="4"/>
      <w:numFmt w:val="bullet"/>
      <w:lvlText w:val="-"/>
      <w:lvlJc w:val="left"/>
      <w:pPr>
        <w:ind w:left="720" w:hanging="360"/>
      </w:pPr>
      <w:rPr>
        <w:rFonts w:ascii="Aptos" w:eastAsiaTheme="minorHAnsi" w:hAnsi="Aptos"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71B16A2F"/>
    <w:multiLevelType w:val="multilevel"/>
    <w:tmpl w:val="C0CCF284"/>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73D04172"/>
    <w:multiLevelType w:val="multilevel"/>
    <w:tmpl w:val="C3BEC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A65248"/>
    <w:multiLevelType w:val="multilevel"/>
    <w:tmpl w:val="B62EA8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AAA299E"/>
    <w:multiLevelType w:val="multilevel"/>
    <w:tmpl w:val="AB94C418"/>
    <w:lvl w:ilvl="0">
      <w:start w:val="1"/>
      <w:numFmt w:val="decimal"/>
      <w:lvlText w:val="%1."/>
      <w:lvlJc w:val="left"/>
      <w:pPr>
        <w:ind w:left="842" w:hanging="360"/>
      </w:pPr>
      <w:rPr>
        <w:rFonts w:ascii="Arial" w:eastAsia="Arial" w:hAnsi="Arial" w:cs="Arial"/>
        <w:b/>
        <w:sz w:val="24"/>
        <w:szCs w:val="24"/>
      </w:rPr>
    </w:lvl>
    <w:lvl w:ilvl="1">
      <w:numFmt w:val="bullet"/>
      <w:lvlText w:val="•"/>
      <w:lvlJc w:val="left"/>
      <w:pPr>
        <w:ind w:left="1630" w:hanging="360"/>
      </w:pPr>
    </w:lvl>
    <w:lvl w:ilvl="2">
      <w:numFmt w:val="bullet"/>
      <w:lvlText w:val="•"/>
      <w:lvlJc w:val="left"/>
      <w:pPr>
        <w:ind w:left="2421" w:hanging="360"/>
      </w:pPr>
    </w:lvl>
    <w:lvl w:ilvl="3">
      <w:numFmt w:val="bullet"/>
      <w:lvlText w:val="•"/>
      <w:lvlJc w:val="left"/>
      <w:pPr>
        <w:ind w:left="3211" w:hanging="360"/>
      </w:pPr>
    </w:lvl>
    <w:lvl w:ilvl="4">
      <w:numFmt w:val="bullet"/>
      <w:lvlText w:val="•"/>
      <w:lvlJc w:val="left"/>
      <w:pPr>
        <w:ind w:left="4002" w:hanging="360"/>
      </w:pPr>
    </w:lvl>
    <w:lvl w:ilvl="5">
      <w:numFmt w:val="bullet"/>
      <w:lvlText w:val="•"/>
      <w:lvlJc w:val="left"/>
      <w:pPr>
        <w:ind w:left="4793" w:hanging="360"/>
      </w:pPr>
    </w:lvl>
    <w:lvl w:ilvl="6">
      <w:numFmt w:val="bullet"/>
      <w:lvlText w:val="•"/>
      <w:lvlJc w:val="left"/>
      <w:pPr>
        <w:ind w:left="5583" w:hanging="360"/>
      </w:pPr>
    </w:lvl>
    <w:lvl w:ilvl="7">
      <w:numFmt w:val="bullet"/>
      <w:lvlText w:val="•"/>
      <w:lvlJc w:val="left"/>
      <w:pPr>
        <w:ind w:left="6374" w:hanging="360"/>
      </w:pPr>
    </w:lvl>
    <w:lvl w:ilvl="8">
      <w:numFmt w:val="bullet"/>
      <w:lvlText w:val="•"/>
      <w:lvlJc w:val="left"/>
      <w:pPr>
        <w:ind w:left="7165" w:hanging="360"/>
      </w:pPr>
    </w:lvl>
  </w:abstractNum>
  <w:num w:numId="1">
    <w:abstractNumId w:val="6"/>
  </w:num>
  <w:num w:numId="2">
    <w:abstractNumId w:val="12"/>
  </w:num>
  <w:num w:numId="3">
    <w:abstractNumId w:val="0"/>
  </w:num>
  <w:num w:numId="4">
    <w:abstractNumId w:val="2"/>
  </w:num>
  <w:num w:numId="5">
    <w:abstractNumId w:val="4"/>
  </w:num>
  <w:num w:numId="6">
    <w:abstractNumId w:val="9"/>
  </w:num>
  <w:num w:numId="7">
    <w:abstractNumId w:val="3"/>
  </w:num>
  <w:num w:numId="8">
    <w:abstractNumId w:val="10"/>
  </w:num>
  <w:num w:numId="9">
    <w:abstractNumId w:val="7"/>
  </w:num>
  <w:num w:numId="10">
    <w:abstractNumId w:val="11"/>
  </w:num>
  <w:num w:numId="11">
    <w:abstractNumId w:val="1"/>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26E"/>
    <w:rsid w:val="00045A0F"/>
    <w:rsid w:val="00075551"/>
    <w:rsid w:val="000A4BAE"/>
    <w:rsid w:val="000A500A"/>
    <w:rsid w:val="000C1AF4"/>
    <w:rsid w:val="000E0FB7"/>
    <w:rsid w:val="000E1D3F"/>
    <w:rsid w:val="0011643B"/>
    <w:rsid w:val="001232D4"/>
    <w:rsid w:val="00152512"/>
    <w:rsid w:val="001563A0"/>
    <w:rsid w:val="001676C5"/>
    <w:rsid w:val="00182063"/>
    <w:rsid w:val="00187455"/>
    <w:rsid w:val="001B0583"/>
    <w:rsid w:val="00211EF0"/>
    <w:rsid w:val="00236337"/>
    <w:rsid w:val="00240737"/>
    <w:rsid w:val="00261729"/>
    <w:rsid w:val="002A397F"/>
    <w:rsid w:val="002A42CB"/>
    <w:rsid w:val="002B6997"/>
    <w:rsid w:val="00307F3E"/>
    <w:rsid w:val="003435FD"/>
    <w:rsid w:val="00344758"/>
    <w:rsid w:val="00355325"/>
    <w:rsid w:val="003948C9"/>
    <w:rsid w:val="003A7489"/>
    <w:rsid w:val="003D0597"/>
    <w:rsid w:val="003D4151"/>
    <w:rsid w:val="003E2574"/>
    <w:rsid w:val="003F581B"/>
    <w:rsid w:val="003F7444"/>
    <w:rsid w:val="004115EE"/>
    <w:rsid w:val="00435A57"/>
    <w:rsid w:val="00435F38"/>
    <w:rsid w:val="00440E7B"/>
    <w:rsid w:val="004542C2"/>
    <w:rsid w:val="00492DBE"/>
    <w:rsid w:val="004E4C8C"/>
    <w:rsid w:val="004F2C51"/>
    <w:rsid w:val="004F726E"/>
    <w:rsid w:val="0050304D"/>
    <w:rsid w:val="00503F92"/>
    <w:rsid w:val="0055447C"/>
    <w:rsid w:val="0058458E"/>
    <w:rsid w:val="005C1E00"/>
    <w:rsid w:val="005C53F3"/>
    <w:rsid w:val="005E65DA"/>
    <w:rsid w:val="00692284"/>
    <w:rsid w:val="006B0FA4"/>
    <w:rsid w:val="006D10FA"/>
    <w:rsid w:val="006F33CB"/>
    <w:rsid w:val="006F3A84"/>
    <w:rsid w:val="007B13D5"/>
    <w:rsid w:val="007C15E6"/>
    <w:rsid w:val="007D70CF"/>
    <w:rsid w:val="007E7B52"/>
    <w:rsid w:val="007F404D"/>
    <w:rsid w:val="007F598A"/>
    <w:rsid w:val="007F5E30"/>
    <w:rsid w:val="00800953"/>
    <w:rsid w:val="00833D30"/>
    <w:rsid w:val="00891663"/>
    <w:rsid w:val="008E681C"/>
    <w:rsid w:val="00924E71"/>
    <w:rsid w:val="009675C0"/>
    <w:rsid w:val="009802F6"/>
    <w:rsid w:val="00995670"/>
    <w:rsid w:val="009B19D7"/>
    <w:rsid w:val="009E01C9"/>
    <w:rsid w:val="00A02EDE"/>
    <w:rsid w:val="00A344CC"/>
    <w:rsid w:val="00A55784"/>
    <w:rsid w:val="00A57D57"/>
    <w:rsid w:val="00A90806"/>
    <w:rsid w:val="00AC68D0"/>
    <w:rsid w:val="00B15235"/>
    <w:rsid w:val="00B16DD2"/>
    <w:rsid w:val="00B17095"/>
    <w:rsid w:val="00B73176"/>
    <w:rsid w:val="00BC0DFC"/>
    <w:rsid w:val="00BC1946"/>
    <w:rsid w:val="00BC3035"/>
    <w:rsid w:val="00C1075E"/>
    <w:rsid w:val="00C115DE"/>
    <w:rsid w:val="00C46C1B"/>
    <w:rsid w:val="00C96AB3"/>
    <w:rsid w:val="00CD7201"/>
    <w:rsid w:val="00CF04A3"/>
    <w:rsid w:val="00D119F4"/>
    <w:rsid w:val="00D17B77"/>
    <w:rsid w:val="00D23C4E"/>
    <w:rsid w:val="00D63305"/>
    <w:rsid w:val="00D97ABF"/>
    <w:rsid w:val="00DA1DAE"/>
    <w:rsid w:val="00DD030E"/>
    <w:rsid w:val="00E25A9F"/>
    <w:rsid w:val="00E34589"/>
    <w:rsid w:val="00E60E8F"/>
    <w:rsid w:val="00EA4CAD"/>
    <w:rsid w:val="00EF6743"/>
    <w:rsid w:val="00F513F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AD928"/>
  <w15:chartTrackingRefBased/>
  <w15:docId w15:val="{6E737A36-88D6-0343-8A96-E814B08A6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C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uiPriority w:val="9"/>
    <w:qFormat/>
    <w:rsid w:val="004F726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4F726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4F726E"/>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4F726E"/>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4F726E"/>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4F726E"/>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4F726E"/>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4F726E"/>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4F726E"/>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F726E"/>
    <w:rPr>
      <w:rFonts w:asciiTheme="majorHAnsi" w:eastAsiaTheme="majorEastAsia" w:hAnsiTheme="majorHAnsi" w:cstheme="majorBidi"/>
      <w:color w:val="0F4761" w:themeColor="accent1" w:themeShade="BF"/>
      <w:sz w:val="40"/>
      <w:szCs w:val="40"/>
      <w:lang w:val="es-ES"/>
    </w:rPr>
  </w:style>
  <w:style w:type="character" w:customStyle="1" w:styleId="Ttulo2Car">
    <w:name w:val="Título 2 Car"/>
    <w:basedOn w:val="Fuentedeprrafopredeter"/>
    <w:link w:val="Ttulo2"/>
    <w:uiPriority w:val="9"/>
    <w:rsid w:val="004F726E"/>
    <w:rPr>
      <w:rFonts w:asciiTheme="majorHAnsi" w:eastAsiaTheme="majorEastAsia" w:hAnsiTheme="majorHAnsi" w:cstheme="majorBidi"/>
      <w:color w:val="0F4761" w:themeColor="accent1" w:themeShade="BF"/>
      <w:sz w:val="32"/>
      <w:szCs w:val="32"/>
      <w:lang w:val="es-ES"/>
    </w:rPr>
  </w:style>
  <w:style w:type="character" w:customStyle="1" w:styleId="Ttulo3Car">
    <w:name w:val="Título 3 Car"/>
    <w:basedOn w:val="Fuentedeprrafopredeter"/>
    <w:link w:val="Ttulo3"/>
    <w:uiPriority w:val="9"/>
    <w:rsid w:val="004F726E"/>
    <w:rPr>
      <w:rFonts w:eastAsiaTheme="majorEastAsia" w:cstheme="majorBidi"/>
      <w:color w:val="0F4761" w:themeColor="accent1" w:themeShade="BF"/>
      <w:sz w:val="28"/>
      <w:szCs w:val="28"/>
      <w:lang w:val="es-ES"/>
    </w:rPr>
  </w:style>
  <w:style w:type="character" w:customStyle="1" w:styleId="Ttulo4Car">
    <w:name w:val="Título 4 Car"/>
    <w:basedOn w:val="Fuentedeprrafopredeter"/>
    <w:link w:val="Ttulo4"/>
    <w:uiPriority w:val="9"/>
    <w:semiHidden/>
    <w:rsid w:val="004F726E"/>
    <w:rPr>
      <w:rFonts w:eastAsiaTheme="majorEastAsia" w:cstheme="majorBidi"/>
      <w:i/>
      <w:iCs/>
      <w:color w:val="0F4761" w:themeColor="accent1" w:themeShade="BF"/>
      <w:lang w:val="es-ES"/>
    </w:rPr>
  </w:style>
  <w:style w:type="character" w:customStyle="1" w:styleId="Ttulo5Car">
    <w:name w:val="Título 5 Car"/>
    <w:basedOn w:val="Fuentedeprrafopredeter"/>
    <w:link w:val="Ttulo5"/>
    <w:uiPriority w:val="9"/>
    <w:semiHidden/>
    <w:rsid w:val="004F726E"/>
    <w:rPr>
      <w:rFonts w:eastAsiaTheme="majorEastAsia" w:cstheme="majorBidi"/>
      <w:color w:val="0F4761" w:themeColor="accent1" w:themeShade="BF"/>
      <w:lang w:val="es-ES"/>
    </w:rPr>
  </w:style>
  <w:style w:type="character" w:customStyle="1" w:styleId="Ttulo6Car">
    <w:name w:val="Título 6 Car"/>
    <w:basedOn w:val="Fuentedeprrafopredeter"/>
    <w:link w:val="Ttulo6"/>
    <w:uiPriority w:val="9"/>
    <w:semiHidden/>
    <w:rsid w:val="004F726E"/>
    <w:rPr>
      <w:rFonts w:eastAsiaTheme="majorEastAsia" w:cstheme="majorBidi"/>
      <w:i/>
      <w:iCs/>
      <w:color w:val="595959" w:themeColor="text1" w:themeTint="A6"/>
      <w:lang w:val="es-ES"/>
    </w:rPr>
  </w:style>
  <w:style w:type="character" w:customStyle="1" w:styleId="Ttulo7Car">
    <w:name w:val="Título 7 Car"/>
    <w:basedOn w:val="Fuentedeprrafopredeter"/>
    <w:link w:val="Ttulo7"/>
    <w:uiPriority w:val="9"/>
    <w:semiHidden/>
    <w:rsid w:val="004F726E"/>
    <w:rPr>
      <w:rFonts w:eastAsiaTheme="majorEastAsia" w:cstheme="majorBidi"/>
      <w:color w:val="595959" w:themeColor="text1" w:themeTint="A6"/>
      <w:lang w:val="es-ES"/>
    </w:rPr>
  </w:style>
  <w:style w:type="character" w:customStyle="1" w:styleId="Ttulo8Car">
    <w:name w:val="Título 8 Car"/>
    <w:basedOn w:val="Fuentedeprrafopredeter"/>
    <w:link w:val="Ttulo8"/>
    <w:uiPriority w:val="9"/>
    <w:semiHidden/>
    <w:rsid w:val="004F726E"/>
    <w:rPr>
      <w:rFonts w:eastAsiaTheme="majorEastAsia" w:cstheme="majorBidi"/>
      <w:i/>
      <w:iCs/>
      <w:color w:val="272727" w:themeColor="text1" w:themeTint="D8"/>
      <w:lang w:val="es-ES"/>
    </w:rPr>
  </w:style>
  <w:style w:type="character" w:customStyle="1" w:styleId="Ttulo9Car">
    <w:name w:val="Título 9 Car"/>
    <w:basedOn w:val="Fuentedeprrafopredeter"/>
    <w:link w:val="Ttulo9"/>
    <w:uiPriority w:val="9"/>
    <w:semiHidden/>
    <w:rsid w:val="004F726E"/>
    <w:rPr>
      <w:rFonts w:eastAsiaTheme="majorEastAsia" w:cstheme="majorBidi"/>
      <w:color w:val="272727" w:themeColor="text1" w:themeTint="D8"/>
      <w:lang w:val="es-ES"/>
    </w:rPr>
  </w:style>
  <w:style w:type="paragraph" w:styleId="Ttulo">
    <w:name w:val="Title"/>
    <w:basedOn w:val="Normal"/>
    <w:next w:val="Normal"/>
    <w:link w:val="TtuloCar"/>
    <w:uiPriority w:val="10"/>
    <w:qFormat/>
    <w:rsid w:val="004F726E"/>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4F726E"/>
    <w:rPr>
      <w:rFonts w:asciiTheme="majorHAnsi" w:eastAsiaTheme="majorEastAsia" w:hAnsiTheme="majorHAnsi" w:cstheme="majorBidi"/>
      <w:spacing w:val="-10"/>
      <w:kern w:val="28"/>
      <w:sz w:val="56"/>
      <w:szCs w:val="56"/>
      <w:lang w:val="es-ES"/>
    </w:rPr>
  </w:style>
  <w:style w:type="paragraph" w:styleId="Subttulo">
    <w:name w:val="Subtitle"/>
    <w:basedOn w:val="Normal"/>
    <w:next w:val="Normal"/>
    <w:link w:val="SubttuloCar"/>
    <w:uiPriority w:val="11"/>
    <w:qFormat/>
    <w:rsid w:val="004F726E"/>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4F726E"/>
    <w:rPr>
      <w:rFonts w:eastAsiaTheme="majorEastAsia" w:cstheme="majorBidi"/>
      <w:color w:val="595959" w:themeColor="text1" w:themeTint="A6"/>
      <w:spacing w:val="15"/>
      <w:sz w:val="28"/>
      <w:szCs w:val="28"/>
      <w:lang w:val="es-ES"/>
    </w:rPr>
  </w:style>
  <w:style w:type="paragraph" w:styleId="Cita">
    <w:name w:val="Quote"/>
    <w:basedOn w:val="Normal"/>
    <w:next w:val="Normal"/>
    <w:link w:val="CitaCar"/>
    <w:uiPriority w:val="29"/>
    <w:qFormat/>
    <w:rsid w:val="004F726E"/>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4F726E"/>
    <w:rPr>
      <w:i/>
      <w:iCs/>
      <w:color w:val="404040" w:themeColor="text1" w:themeTint="BF"/>
      <w:lang w:val="es-ES"/>
    </w:rPr>
  </w:style>
  <w:style w:type="paragraph" w:styleId="Prrafodelista">
    <w:name w:val="List Paragraph"/>
    <w:aliases w:val="Ha,titulo 3,HOJA,Bolita,Párrafo de lista4,BOLADEF,Párrafo de lista3,Párrafo de lista21,BOLA,Nivel 1 OS,Colorful List Accent 1,Colorful List - Accent 11,Viñeta 6,Flor,Bullets,Titulo 8,Guión,Párrafo de lista211,titulo 5,Dot pt,No Spacing1"/>
    <w:basedOn w:val="Normal"/>
    <w:link w:val="PrrafodelistaCar"/>
    <w:uiPriority w:val="34"/>
    <w:qFormat/>
    <w:rsid w:val="004F726E"/>
    <w:pPr>
      <w:ind w:left="720"/>
      <w:contextualSpacing/>
    </w:pPr>
  </w:style>
  <w:style w:type="character" w:styleId="nfasisintenso">
    <w:name w:val="Intense Emphasis"/>
    <w:basedOn w:val="Fuentedeprrafopredeter"/>
    <w:uiPriority w:val="21"/>
    <w:qFormat/>
    <w:rsid w:val="004F726E"/>
    <w:rPr>
      <w:i/>
      <w:iCs/>
      <w:color w:val="0F4761" w:themeColor="accent1" w:themeShade="BF"/>
    </w:rPr>
  </w:style>
  <w:style w:type="paragraph" w:styleId="Citadestacada">
    <w:name w:val="Intense Quote"/>
    <w:basedOn w:val="Normal"/>
    <w:next w:val="Normal"/>
    <w:link w:val="CitadestacadaCar"/>
    <w:uiPriority w:val="30"/>
    <w:qFormat/>
    <w:rsid w:val="004F726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4F726E"/>
    <w:rPr>
      <w:i/>
      <w:iCs/>
      <w:color w:val="0F4761" w:themeColor="accent1" w:themeShade="BF"/>
      <w:lang w:val="es-ES"/>
    </w:rPr>
  </w:style>
  <w:style w:type="character" w:styleId="Referenciaintensa">
    <w:name w:val="Intense Reference"/>
    <w:basedOn w:val="Fuentedeprrafopredeter"/>
    <w:uiPriority w:val="32"/>
    <w:qFormat/>
    <w:rsid w:val="004F726E"/>
    <w:rPr>
      <w:b/>
      <w:bCs/>
      <w:smallCaps/>
      <w:color w:val="0F4761" w:themeColor="accent1" w:themeShade="BF"/>
      <w:spacing w:val="5"/>
    </w:rPr>
  </w:style>
  <w:style w:type="paragraph" w:customStyle="1" w:styleId="p1">
    <w:name w:val="p1"/>
    <w:basedOn w:val="Normal"/>
    <w:rsid w:val="004F726E"/>
    <w:rPr>
      <w:rFonts w:ascii="Helvetica" w:eastAsia="Times New Roman" w:hAnsi="Helvetica" w:cs="Times New Roman"/>
      <w:color w:val="000000"/>
      <w:kern w:val="0"/>
      <w:sz w:val="18"/>
      <w:szCs w:val="18"/>
      <w:lang w:val="es-CO" w:eastAsia="es-ES_tradnl"/>
      <w14:ligatures w14:val="none"/>
    </w:rPr>
  </w:style>
  <w:style w:type="character" w:styleId="Hipervnculo">
    <w:name w:val="Hyperlink"/>
    <w:basedOn w:val="Fuentedeprrafopredeter"/>
    <w:uiPriority w:val="99"/>
    <w:unhideWhenUsed/>
    <w:rsid w:val="004F726E"/>
    <w:rPr>
      <w:color w:val="467886" w:themeColor="hyperlink"/>
      <w:u w:val="single"/>
    </w:rPr>
  </w:style>
  <w:style w:type="character" w:styleId="Mencinsinresolver">
    <w:name w:val="Unresolved Mention"/>
    <w:basedOn w:val="Fuentedeprrafopredeter"/>
    <w:uiPriority w:val="99"/>
    <w:semiHidden/>
    <w:unhideWhenUsed/>
    <w:rsid w:val="004F726E"/>
    <w:rPr>
      <w:color w:val="605E5C"/>
      <w:shd w:val="clear" w:color="auto" w:fill="E1DFDD"/>
    </w:rPr>
  </w:style>
  <w:style w:type="paragraph" w:styleId="NormalWeb">
    <w:name w:val="Normal (Web)"/>
    <w:basedOn w:val="Normal"/>
    <w:uiPriority w:val="99"/>
    <w:unhideWhenUsed/>
    <w:rsid w:val="00A55784"/>
    <w:pPr>
      <w:spacing w:before="100" w:beforeAutospacing="1" w:after="100" w:afterAutospacing="1"/>
    </w:pPr>
    <w:rPr>
      <w:rFonts w:ascii="Times New Roman" w:eastAsia="Times New Roman" w:hAnsi="Times New Roman" w:cs="Times New Roman"/>
      <w:kern w:val="0"/>
      <w:lang w:val="es-CO" w:eastAsia="es-ES_tradnl"/>
      <w14:ligatures w14:val="none"/>
    </w:rPr>
  </w:style>
  <w:style w:type="character" w:customStyle="1" w:styleId="PrrafodelistaCar">
    <w:name w:val="Párrafo de lista Car"/>
    <w:aliases w:val="Ha Car,titulo 3 Car,HOJA Car,Bolita Car,Párrafo de lista4 Car,BOLADEF Car,Párrafo de lista3 Car,Párrafo de lista21 Car,BOLA Car,Nivel 1 OS Car,Colorful List Accent 1 Car,Colorful List - Accent 11 Car,Viñeta 6 Car,Flor Car,Guión Car"/>
    <w:link w:val="Prrafodelista"/>
    <w:uiPriority w:val="34"/>
    <w:qFormat/>
    <w:rsid w:val="00B16DD2"/>
    <w:rPr>
      <w:lang w:val="es-ES"/>
    </w:rPr>
  </w:style>
  <w:style w:type="table" w:styleId="Tablaconcuadrcula">
    <w:name w:val="Table Grid"/>
    <w:basedOn w:val="Tablanormal"/>
    <w:uiPriority w:val="39"/>
    <w:rsid w:val="00E60E8F"/>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unhideWhenUsed/>
    <w:rsid w:val="0058458E"/>
    <w:rPr>
      <w:rFonts w:ascii="Times New Roman" w:eastAsia="Times New Roman" w:hAnsi="Times New Roman" w:cs="Times New Roman"/>
      <w:kern w:val="0"/>
      <w:sz w:val="20"/>
      <w:szCs w:val="20"/>
      <w:lang w:val="es-CO" w:eastAsia="es-ES_tradnl"/>
      <w14:ligatures w14:val="none"/>
    </w:rPr>
  </w:style>
  <w:style w:type="character" w:customStyle="1" w:styleId="TextonotaalfinalCar">
    <w:name w:val="Texto nota al final Car"/>
    <w:basedOn w:val="Fuentedeprrafopredeter"/>
    <w:link w:val="Textonotaalfinal"/>
    <w:uiPriority w:val="99"/>
    <w:rsid w:val="0058458E"/>
    <w:rPr>
      <w:rFonts w:ascii="Times New Roman" w:eastAsia="Times New Roman" w:hAnsi="Times New Roman" w:cs="Times New Roman"/>
      <w:kern w:val="0"/>
      <w:sz w:val="20"/>
      <w:szCs w:val="20"/>
      <w:lang w:eastAsia="es-ES_tradnl"/>
      <w14:ligatures w14:val="none"/>
    </w:rPr>
  </w:style>
  <w:style w:type="paragraph" w:styleId="Encabezado">
    <w:name w:val="header"/>
    <w:basedOn w:val="Normal"/>
    <w:link w:val="EncabezadoCar"/>
    <w:uiPriority w:val="99"/>
    <w:unhideWhenUsed/>
    <w:rsid w:val="00EA4CAD"/>
    <w:pPr>
      <w:tabs>
        <w:tab w:val="center" w:pos="4252"/>
        <w:tab w:val="right" w:pos="8504"/>
      </w:tabs>
    </w:pPr>
  </w:style>
  <w:style w:type="character" w:customStyle="1" w:styleId="EncabezadoCar">
    <w:name w:val="Encabezado Car"/>
    <w:basedOn w:val="Fuentedeprrafopredeter"/>
    <w:link w:val="Encabezado"/>
    <w:uiPriority w:val="99"/>
    <w:rsid w:val="00EA4CAD"/>
    <w:rPr>
      <w:lang w:val="es-ES"/>
    </w:rPr>
  </w:style>
  <w:style w:type="paragraph" w:styleId="Piedepgina">
    <w:name w:val="footer"/>
    <w:basedOn w:val="Normal"/>
    <w:link w:val="PiedepginaCar"/>
    <w:uiPriority w:val="99"/>
    <w:unhideWhenUsed/>
    <w:rsid w:val="00EA4CAD"/>
    <w:pPr>
      <w:tabs>
        <w:tab w:val="center" w:pos="4252"/>
        <w:tab w:val="right" w:pos="8504"/>
      </w:tabs>
    </w:pPr>
  </w:style>
  <w:style w:type="character" w:customStyle="1" w:styleId="PiedepginaCar">
    <w:name w:val="Pie de página Car"/>
    <w:basedOn w:val="Fuentedeprrafopredeter"/>
    <w:link w:val="Piedepgina"/>
    <w:uiPriority w:val="99"/>
    <w:rsid w:val="00EA4CAD"/>
    <w:rPr>
      <w:lang w:val="es-ES"/>
    </w:rPr>
  </w:style>
  <w:style w:type="character" w:customStyle="1" w:styleId="apple-converted-space">
    <w:name w:val="apple-converted-space"/>
    <w:basedOn w:val="Fuentedeprrafopredeter"/>
    <w:rsid w:val="000E1D3F"/>
  </w:style>
  <w:style w:type="paragraph" w:customStyle="1" w:styleId="p2">
    <w:name w:val="p2"/>
    <w:basedOn w:val="Normal"/>
    <w:rsid w:val="00EF6743"/>
    <w:rPr>
      <w:rFonts w:ascii="Helvetica" w:eastAsia="Times New Roman" w:hAnsi="Helvetica" w:cs="Times New Roman"/>
      <w:color w:val="000000"/>
      <w:kern w:val="0"/>
      <w:sz w:val="16"/>
      <w:szCs w:val="16"/>
      <w:lang w:val="es-CO" w:eastAsia="es-ES_tradnl"/>
      <w14:ligatures w14:val="none"/>
    </w:rPr>
  </w:style>
  <w:style w:type="character" w:customStyle="1" w:styleId="s1">
    <w:name w:val="s1"/>
    <w:basedOn w:val="Fuentedeprrafopredeter"/>
    <w:rsid w:val="00EF6743"/>
    <w:rPr>
      <w:rFonts w:ascii="Times" w:hAnsi="Times" w:hint="default"/>
      <w:sz w:val="18"/>
      <w:szCs w:val="18"/>
    </w:rPr>
  </w:style>
  <w:style w:type="character" w:customStyle="1" w:styleId="s2">
    <w:name w:val="s2"/>
    <w:basedOn w:val="Fuentedeprrafopredeter"/>
    <w:rsid w:val="00EF6743"/>
    <w:rPr>
      <w:rFonts w:ascii="Helvetica" w:hAnsi="Helvetica" w:hint="default"/>
      <w:sz w:val="18"/>
      <w:szCs w:val="18"/>
    </w:rPr>
  </w:style>
  <w:style w:type="character" w:customStyle="1" w:styleId="s3">
    <w:name w:val="s3"/>
    <w:basedOn w:val="Fuentedeprrafopredeter"/>
    <w:rsid w:val="00EF6743"/>
    <w:rPr>
      <w:rFonts w:ascii="Helvetica" w:hAnsi="Helvetica" w:hint="default"/>
      <w:sz w:val="18"/>
      <w:szCs w:val="18"/>
    </w:rPr>
  </w:style>
  <w:style w:type="character" w:customStyle="1" w:styleId="s4">
    <w:name w:val="s4"/>
    <w:basedOn w:val="Fuentedeprrafopredeter"/>
    <w:rsid w:val="00EF6743"/>
    <w:rPr>
      <w:rFonts w:ascii="Helvetica" w:hAnsi="Helvetica" w:hint="default"/>
      <w:sz w:val="16"/>
      <w:szCs w:val="16"/>
    </w:rPr>
  </w:style>
  <w:style w:type="character" w:styleId="Hipervnculovisitado">
    <w:name w:val="FollowedHyperlink"/>
    <w:basedOn w:val="Fuentedeprrafopredeter"/>
    <w:uiPriority w:val="99"/>
    <w:semiHidden/>
    <w:unhideWhenUsed/>
    <w:rsid w:val="00833D30"/>
    <w:rPr>
      <w:color w:val="96607D" w:themeColor="followedHyperlink"/>
      <w:u w:val="single"/>
    </w:rPr>
  </w:style>
  <w:style w:type="paragraph" w:styleId="Textonotapie">
    <w:name w:val="footnote text"/>
    <w:basedOn w:val="Normal"/>
    <w:link w:val="TextonotapieCar"/>
    <w:uiPriority w:val="99"/>
    <w:semiHidden/>
    <w:unhideWhenUsed/>
    <w:rsid w:val="005C1E00"/>
    <w:rPr>
      <w:sz w:val="20"/>
      <w:szCs w:val="20"/>
    </w:rPr>
  </w:style>
  <w:style w:type="character" w:customStyle="1" w:styleId="TextonotapieCar">
    <w:name w:val="Texto nota pie Car"/>
    <w:basedOn w:val="Fuentedeprrafopredeter"/>
    <w:link w:val="Textonotapie"/>
    <w:uiPriority w:val="99"/>
    <w:semiHidden/>
    <w:rsid w:val="005C1E00"/>
    <w:rPr>
      <w:sz w:val="20"/>
      <w:szCs w:val="20"/>
      <w:lang w:val="es-ES"/>
    </w:rPr>
  </w:style>
  <w:style w:type="character" w:styleId="Refdenotaalpie">
    <w:name w:val="footnote reference"/>
    <w:basedOn w:val="Fuentedeprrafopredeter"/>
    <w:uiPriority w:val="99"/>
    <w:semiHidden/>
    <w:unhideWhenUsed/>
    <w:rsid w:val="005C1E00"/>
    <w:rPr>
      <w:vertAlign w:val="superscript"/>
    </w:rPr>
  </w:style>
  <w:style w:type="character" w:styleId="Textoennegrita">
    <w:name w:val="Strong"/>
    <w:basedOn w:val="Fuentedeprrafopredeter"/>
    <w:uiPriority w:val="22"/>
    <w:qFormat/>
    <w:rsid w:val="00F513F2"/>
    <w:rPr>
      <w:b/>
      <w:bCs/>
    </w:rPr>
  </w:style>
  <w:style w:type="character" w:customStyle="1" w:styleId="spelle">
    <w:name w:val="spelle"/>
    <w:basedOn w:val="Fuentedeprrafopredeter"/>
    <w:rsid w:val="00211EF0"/>
  </w:style>
  <w:style w:type="character" w:styleId="nfasis">
    <w:name w:val="Emphasis"/>
    <w:basedOn w:val="Fuentedeprrafopredeter"/>
    <w:uiPriority w:val="20"/>
    <w:qFormat/>
    <w:rsid w:val="007F5E3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398">
      <w:bodyDiv w:val="1"/>
      <w:marLeft w:val="0"/>
      <w:marRight w:val="0"/>
      <w:marTop w:val="0"/>
      <w:marBottom w:val="0"/>
      <w:divBdr>
        <w:top w:val="none" w:sz="0" w:space="0" w:color="auto"/>
        <w:left w:val="none" w:sz="0" w:space="0" w:color="auto"/>
        <w:bottom w:val="none" w:sz="0" w:space="0" w:color="auto"/>
        <w:right w:val="none" w:sz="0" w:space="0" w:color="auto"/>
      </w:divBdr>
    </w:div>
    <w:div w:id="158355087">
      <w:bodyDiv w:val="1"/>
      <w:marLeft w:val="0"/>
      <w:marRight w:val="0"/>
      <w:marTop w:val="0"/>
      <w:marBottom w:val="0"/>
      <w:divBdr>
        <w:top w:val="none" w:sz="0" w:space="0" w:color="auto"/>
        <w:left w:val="none" w:sz="0" w:space="0" w:color="auto"/>
        <w:bottom w:val="none" w:sz="0" w:space="0" w:color="auto"/>
        <w:right w:val="none" w:sz="0" w:space="0" w:color="auto"/>
      </w:divBdr>
    </w:div>
    <w:div w:id="196089453">
      <w:bodyDiv w:val="1"/>
      <w:marLeft w:val="0"/>
      <w:marRight w:val="0"/>
      <w:marTop w:val="0"/>
      <w:marBottom w:val="0"/>
      <w:divBdr>
        <w:top w:val="none" w:sz="0" w:space="0" w:color="auto"/>
        <w:left w:val="none" w:sz="0" w:space="0" w:color="auto"/>
        <w:bottom w:val="none" w:sz="0" w:space="0" w:color="auto"/>
        <w:right w:val="none" w:sz="0" w:space="0" w:color="auto"/>
      </w:divBdr>
    </w:div>
    <w:div w:id="208567913">
      <w:bodyDiv w:val="1"/>
      <w:marLeft w:val="0"/>
      <w:marRight w:val="0"/>
      <w:marTop w:val="0"/>
      <w:marBottom w:val="0"/>
      <w:divBdr>
        <w:top w:val="none" w:sz="0" w:space="0" w:color="auto"/>
        <w:left w:val="none" w:sz="0" w:space="0" w:color="auto"/>
        <w:bottom w:val="none" w:sz="0" w:space="0" w:color="auto"/>
        <w:right w:val="none" w:sz="0" w:space="0" w:color="auto"/>
      </w:divBdr>
    </w:div>
    <w:div w:id="297339096">
      <w:bodyDiv w:val="1"/>
      <w:marLeft w:val="0"/>
      <w:marRight w:val="0"/>
      <w:marTop w:val="0"/>
      <w:marBottom w:val="0"/>
      <w:divBdr>
        <w:top w:val="none" w:sz="0" w:space="0" w:color="auto"/>
        <w:left w:val="none" w:sz="0" w:space="0" w:color="auto"/>
        <w:bottom w:val="none" w:sz="0" w:space="0" w:color="auto"/>
        <w:right w:val="none" w:sz="0" w:space="0" w:color="auto"/>
      </w:divBdr>
    </w:div>
    <w:div w:id="363604516">
      <w:bodyDiv w:val="1"/>
      <w:marLeft w:val="0"/>
      <w:marRight w:val="0"/>
      <w:marTop w:val="0"/>
      <w:marBottom w:val="0"/>
      <w:divBdr>
        <w:top w:val="none" w:sz="0" w:space="0" w:color="auto"/>
        <w:left w:val="none" w:sz="0" w:space="0" w:color="auto"/>
        <w:bottom w:val="none" w:sz="0" w:space="0" w:color="auto"/>
        <w:right w:val="none" w:sz="0" w:space="0" w:color="auto"/>
      </w:divBdr>
    </w:div>
    <w:div w:id="401829265">
      <w:bodyDiv w:val="1"/>
      <w:marLeft w:val="0"/>
      <w:marRight w:val="0"/>
      <w:marTop w:val="0"/>
      <w:marBottom w:val="0"/>
      <w:divBdr>
        <w:top w:val="none" w:sz="0" w:space="0" w:color="auto"/>
        <w:left w:val="none" w:sz="0" w:space="0" w:color="auto"/>
        <w:bottom w:val="none" w:sz="0" w:space="0" w:color="auto"/>
        <w:right w:val="none" w:sz="0" w:space="0" w:color="auto"/>
      </w:divBdr>
    </w:div>
    <w:div w:id="495615065">
      <w:bodyDiv w:val="1"/>
      <w:marLeft w:val="0"/>
      <w:marRight w:val="0"/>
      <w:marTop w:val="0"/>
      <w:marBottom w:val="0"/>
      <w:divBdr>
        <w:top w:val="none" w:sz="0" w:space="0" w:color="auto"/>
        <w:left w:val="none" w:sz="0" w:space="0" w:color="auto"/>
        <w:bottom w:val="none" w:sz="0" w:space="0" w:color="auto"/>
        <w:right w:val="none" w:sz="0" w:space="0" w:color="auto"/>
      </w:divBdr>
    </w:div>
    <w:div w:id="526256727">
      <w:bodyDiv w:val="1"/>
      <w:marLeft w:val="0"/>
      <w:marRight w:val="0"/>
      <w:marTop w:val="0"/>
      <w:marBottom w:val="0"/>
      <w:divBdr>
        <w:top w:val="none" w:sz="0" w:space="0" w:color="auto"/>
        <w:left w:val="none" w:sz="0" w:space="0" w:color="auto"/>
        <w:bottom w:val="none" w:sz="0" w:space="0" w:color="auto"/>
        <w:right w:val="none" w:sz="0" w:space="0" w:color="auto"/>
      </w:divBdr>
    </w:div>
    <w:div w:id="678430815">
      <w:bodyDiv w:val="1"/>
      <w:marLeft w:val="0"/>
      <w:marRight w:val="0"/>
      <w:marTop w:val="0"/>
      <w:marBottom w:val="0"/>
      <w:divBdr>
        <w:top w:val="none" w:sz="0" w:space="0" w:color="auto"/>
        <w:left w:val="none" w:sz="0" w:space="0" w:color="auto"/>
        <w:bottom w:val="none" w:sz="0" w:space="0" w:color="auto"/>
        <w:right w:val="none" w:sz="0" w:space="0" w:color="auto"/>
      </w:divBdr>
    </w:div>
    <w:div w:id="684290700">
      <w:bodyDiv w:val="1"/>
      <w:marLeft w:val="0"/>
      <w:marRight w:val="0"/>
      <w:marTop w:val="0"/>
      <w:marBottom w:val="0"/>
      <w:divBdr>
        <w:top w:val="none" w:sz="0" w:space="0" w:color="auto"/>
        <w:left w:val="none" w:sz="0" w:space="0" w:color="auto"/>
        <w:bottom w:val="none" w:sz="0" w:space="0" w:color="auto"/>
        <w:right w:val="none" w:sz="0" w:space="0" w:color="auto"/>
      </w:divBdr>
    </w:div>
    <w:div w:id="709308349">
      <w:bodyDiv w:val="1"/>
      <w:marLeft w:val="0"/>
      <w:marRight w:val="0"/>
      <w:marTop w:val="0"/>
      <w:marBottom w:val="0"/>
      <w:divBdr>
        <w:top w:val="none" w:sz="0" w:space="0" w:color="auto"/>
        <w:left w:val="none" w:sz="0" w:space="0" w:color="auto"/>
        <w:bottom w:val="none" w:sz="0" w:space="0" w:color="auto"/>
        <w:right w:val="none" w:sz="0" w:space="0" w:color="auto"/>
      </w:divBdr>
    </w:div>
    <w:div w:id="714306371">
      <w:bodyDiv w:val="1"/>
      <w:marLeft w:val="0"/>
      <w:marRight w:val="0"/>
      <w:marTop w:val="0"/>
      <w:marBottom w:val="0"/>
      <w:divBdr>
        <w:top w:val="none" w:sz="0" w:space="0" w:color="auto"/>
        <w:left w:val="none" w:sz="0" w:space="0" w:color="auto"/>
        <w:bottom w:val="none" w:sz="0" w:space="0" w:color="auto"/>
        <w:right w:val="none" w:sz="0" w:space="0" w:color="auto"/>
      </w:divBdr>
    </w:div>
    <w:div w:id="725763462">
      <w:bodyDiv w:val="1"/>
      <w:marLeft w:val="0"/>
      <w:marRight w:val="0"/>
      <w:marTop w:val="0"/>
      <w:marBottom w:val="0"/>
      <w:divBdr>
        <w:top w:val="none" w:sz="0" w:space="0" w:color="auto"/>
        <w:left w:val="none" w:sz="0" w:space="0" w:color="auto"/>
        <w:bottom w:val="none" w:sz="0" w:space="0" w:color="auto"/>
        <w:right w:val="none" w:sz="0" w:space="0" w:color="auto"/>
      </w:divBdr>
    </w:div>
    <w:div w:id="791285088">
      <w:bodyDiv w:val="1"/>
      <w:marLeft w:val="0"/>
      <w:marRight w:val="0"/>
      <w:marTop w:val="0"/>
      <w:marBottom w:val="0"/>
      <w:divBdr>
        <w:top w:val="none" w:sz="0" w:space="0" w:color="auto"/>
        <w:left w:val="none" w:sz="0" w:space="0" w:color="auto"/>
        <w:bottom w:val="none" w:sz="0" w:space="0" w:color="auto"/>
        <w:right w:val="none" w:sz="0" w:space="0" w:color="auto"/>
      </w:divBdr>
    </w:div>
    <w:div w:id="807823614">
      <w:bodyDiv w:val="1"/>
      <w:marLeft w:val="0"/>
      <w:marRight w:val="0"/>
      <w:marTop w:val="0"/>
      <w:marBottom w:val="0"/>
      <w:divBdr>
        <w:top w:val="none" w:sz="0" w:space="0" w:color="auto"/>
        <w:left w:val="none" w:sz="0" w:space="0" w:color="auto"/>
        <w:bottom w:val="none" w:sz="0" w:space="0" w:color="auto"/>
        <w:right w:val="none" w:sz="0" w:space="0" w:color="auto"/>
      </w:divBdr>
    </w:div>
    <w:div w:id="812671954">
      <w:bodyDiv w:val="1"/>
      <w:marLeft w:val="0"/>
      <w:marRight w:val="0"/>
      <w:marTop w:val="0"/>
      <w:marBottom w:val="0"/>
      <w:divBdr>
        <w:top w:val="none" w:sz="0" w:space="0" w:color="auto"/>
        <w:left w:val="none" w:sz="0" w:space="0" w:color="auto"/>
        <w:bottom w:val="none" w:sz="0" w:space="0" w:color="auto"/>
        <w:right w:val="none" w:sz="0" w:space="0" w:color="auto"/>
      </w:divBdr>
    </w:div>
    <w:div w:id="840318377">
      <w:bodyDiv w:val="1"/>
      <w:marLeft w:val="0"/>
      <w:marRight w:val="0"/>
      <w:marTop w:val="0"/>
      <w:marBottom w:val="0"/>
      <w:divBdr>
        <w:top w:val="none" w:sz="0" w:space="0" w:color="auto"/>
        <w:left w:val="none" w:sz="0" w:space="0" w:color="auto"/>
        <w:bottom w:val="none" w:sz="0" w:space="0" w:color="auto"/>
        <w:right w:val="none" w:sz="0" w:space="0" w:color="auto"/>
      </w:divBdr>
    </w:div>
    <w:div w:id="851339870">
      <w:bodyDiv w:val="1"/>
      <w:marLeft w:val="0"/>
      <w:marRight w:val="0"/>
      <w:marTop w:val="0"/>
      <w:marBottom w:val="0"/>
      <w:divBdr>
        <w:top w:val="none" w:sz="0" w:space="0" w:color="auto"/>
        <w:left w:val="none" w:sz="0" w:space="0" w:color="auto"/>
        <w:bottom w:val="none" w:sz="0" w:space="0" w:color="auto"/>
        <w:right w:val="none" w:sz="0" w:space="0" w:color="auto"/>
      </w:divBdr>
    </w:div>
    <w:div w:id="1075976710">
      <w:bodyDiv w:val="1"/>
      <w:marLeft w:val="0"/>
      <w:marRight w:val="0"/>
      <w:marTop w:val="0"/>
      <w:marBottom w:val="0"/>
      <w:divBdr>
        <w:top w:val="none" w:sz="0" w:space="0" w:color="auto"/>
        <w:left w:val="none" w:sz="0" w:space="0" w:color="auto"/>
        <w:bottom w:val="none" w:sz="0" w:space="0" w:color="auto"/>
        <w:right w:val="none" w:sz="0" w:space="0" w:color="auto"/>
      </w:divBdr>
    </w:div>
    <w:div w:id="1112431494">
      <w:bodyDiv w:val="1"/>
      <w:marLeft w:val="0"/>
      <w:marRight w:val="0"/>
      <w:marTop w:val="0"/>
      <w:marBottom w:val="0"/>
      <w:divBdr>
        <w:top w:val="none" w:sz="0" w:space="0" w:color="auto"/>
        <w:left w:val="none" w:sz="0" w:space="0" w:color="auto"/>
        <w:bottom w:val="none" w:sz="0" w:space="0" w:color="auto"/>
        <w:right w:val="none" w:sz="0" w:space="0" w:color="auto"/>
      </w:divBdr>
    </w:div>
    <w:div w:id="1126512298">
      <w:bodyDiv w:val="1"/>
      <w:marLeft w:val="0"/>
      <w:marRight w:val="0"/>
      <w:marTop w:val="0"/>
      <w:marBottom w:val="0"/>
      <w:divBdr>
        <w:top w:val="none" w:sz="0" w:space="0" w:color="auto"/>
        <w:left w:val="none" w:sz="0" w:space="0" w:color="auto"/>
        <w:bottom w:val="none" w:sz="0" w:space="0" w:color="auto"/>
        <w:right w:val="none" w:sz="0" w:space="0" w:color="auto"/>
      </w:divBdr>
    </w:div>
    <w:div w:id="1153525778">
      <w:bodyDiv w:val="1"/>
      <w:marLeft w:val="0"/>
      <w:marRight w:val="0"/>
      <w:marTop w:val="0"/>
      <w:marBottom w:val="0"/>
      <w:divBdr>
        <w:top w:val="none" w:sz="0" w:space="0" w:color="auto"/>
        <w:left w:val="none" w:sz="0" w:space="0" w:color="auto"/>
        <w:bottom w:val="none" w:sz="0" w:space="0" w:color="auto"/>
        <w:right w:val="none" w:sz="0" w:space="0" w:color="auto"/>
      </w:divBdr>
    </w:div>
    <w:div w:id="1211770923">
      <w:bodyDiv w:val="1"/>
      <w:marLeft w:val="0"/>
      <w:marRight w:val="0"/>
      <w:marTop w:val="0"/>
      <w:marBottom w:val="0"/>
      <w:divBdr>
        <w:top w:val="none" w:sz="0" w:space="0" w:color="auto"/>
        <w:left w:val="none" w:sz="0" w:space="0" w:color="auto"/>
        <w:bottom w:val="none" w:sz="0" w:space="0" w:color="auto"/>
        <w:right w:val="none" w:sz="0" w:space="0" w:color="auto"/>
      </w:divBdr>
    </w:div>
    <w:div w:id="1232155853">
      <w:bodyDiv w:val="1"/>
      <w:marLeft w:val="0"/>
      <w:marRight w:val="0"/>
      <w:marTop w:val="0"/>
      <w:marBottom w:val="0"/>
      <w:divBdr>
        <w:top w:val="none" w:sz="0" w:space="0" w:color="auto"/>
        <w:left w:val="none" w:sz="0" w:space="0" w:color="auto"/>
        <w:bottom w:val="none" w:sz="0" w:space="0" w:color="auto"/>
        <w:right w:val="none" w:sz="0" w:space="0" w:color="auto"/>
      </w:divBdr>
    </w:div>
    <w:div w:id="1248421202">
      <w:bodyDiv w:val="1"/>
      <w:marLeft w:val="0"/>
      <w:marRight w:val="0"/>
      <w:marTop w:val="0"/>
      <w:marBottom w:val="0"/>
      <w:divBdr>
        <w:top w:val="none" w:sz="0" w:space="0" w:color="auto"/>
        <w:left w:val="none" w:sz="0" w:space="0" w:color="auto"/>
        <w:bottom w:val="none" w:sz="0" w:space="0" w:color="auto"/>
        <w:right w:val="none" w:sz="0" w:space="0" w:color="auto"/>
      </w:divBdr>
    </w:div>
    <w:div w:id="1260679571">
      <w:bodyDiv w:val="1"/>
      <w:marLeft w:val="0"/>
      <w:marRight w:val="0"/>
      <w:marTop w:val="0"/>
      <w:marBottom w:val="0"/>
      <w:divBdr>
        <w:top w:val="none" w:sz="0" w:space="0" w:color="auto"/>
        <w:left w:val="none" w:sz="0" w:space="0" w:color="auto"/>
        <w:bottom w:val="none" w:sz="0" w:space="0" w:color="auto"/>
        <w:right w:val="none" w:sz="0" w:space="0" w:color="auto"/>
      </w:divBdr>
    </w:div>
    <w:div w:id="1340767404">
      <w:bodyDiv w:val="1"/>
      <w:marLeft w:val="0"/>
      <w:marRight w:val="0"/>
      <w:marTop w:val="0"/>
      <w:marBottom w:val="0"/>
      <w:divBdr>
        <w:top w:val="none" w:sz="0" w:space="0" w:color="auto"/>
        <w:left w:val="none" w:sz="0" w:space="0" w:color="auto"/>
        <w:bottom w:val="none" w:sz="0" w:space="0" w:color="auto"/>
        <w:right w:val="none" w:sz="0" w:space="0" w:color="auto"/>
      </w:divBdr>
    </w:div>
    <w:div w:id="1349789087">
      <w:bodyDiv w:val="1"/>
      <w:marLeft w:val="0"/>
      <w:marRight w:val="0"/>
      <w:marTop w:val="0"/>
      <w:marBottom w:val="0"/>
      <w:divBdr>
        <w:top w:val="none" w:sz="0" w:space="0" w:color="auto"/>
        <w:left w:val="none" w:sz="0" w:space="0" w:color="auto"/>
        <w:bottom w:val="none" w:sz="0" w:space="0" w:color="auto"/>
        <w:right w:val="none" w:sz="0" w:space="0" w:color="auto"/>
      </w:divBdr>
    </w:div>
    <w:div w:id="1381786091">
      <w:bodyDiv w:val="1"/>
      <w:marLeft w:val="0"/>
      <w:marRight w:val="0"/>
      <w:marTop w:val="0"/>
      <w:marBottom w:val="0"/>
      <w:divBdr>
        <w:top w:val="none" w:sz="0" w:space="0" w:color="auto"/>
        <w:left w:val="none" w:sz="0" w:space="0" w:color="auto"/>
        <w:bottom w:val="none" w:sz="0" w:space="0" w:color="auto"/>
        <w:right w:val="none" w:sz="0" w:space="0" w:color="auto"/>
      </w:divBdr>
    </w:div>
    <w:div w:id="1383864427">
      <w:bodyDiv w:val="1"/>
      <w:marLeft w:val="0"/>
      <w:marRight w:val="0"/>
      <w:marTop w:val="0"/>
      <w:marBottom w:val="0"/>
      <w:divBdr>
        <w:top w:val="none" w:sz="0" w:space="0" w:color="auto"/>
        <w:left w:val="none" w:sz="0" w:space="0" w:color="auto"/>
        <w:bottom w:val="none" w:sz="0" w:space="0" w:color="auto"/>
        <w:right w:val="none" w:sz="0" w:space="0" w:color="auto"/>
      </w:divBdr>
    </w:div>
    <w:div w:id="1657682411">
      <w:bodyDiv w:val="1"/>
      <w:marLeft w:val="0"/>
      <w:marRight w:val="0"/>
      <w:marTop w:val="0"/>
      <w:marBottom w:val="0"/>
      <w:divBdr>
        <w:top w:val="none" w:sz="0" w:space="0" w:color="auto"/>
        <w:left w:val="none" w:sz="0" w:space="0" w:color="auto"/>
        <w:bottom w:val="none" w:sz="0" w:space="0" w:color="auto"/>
        <w:right w:val="none" w:sz="0" w:space="0" w:color="auto"/>
      </w:divBdr>
    </w:div>
    <w:div w:id="1691251331">
      <w:bodyDiv w:val="1"/>
      <w:marLeft w:val="0"/>
      <w:marRight w:val="0"/>
      <w:marTop w:val="0"/>
      <w:marBottom w:val="0"/>
      <w:divBdr>
        <w:top w:val="none" w:sz="0" w:space="0" w:color="auto"/>
        <w:left w:val="none" w:sz="0" w:space="0" w:color="auto"/>
        <w:bottom w:val="none" w:sz="0" w:space="0" w:color="auto"/>
        <w:right w:val="none" w:sz="0" w:space="0" w:color="auto"/>
      </w:divBdr>
    </w:div>
    <w:div w:id="1802383956">
      <w:bodyDiv w:val="1"/>
      <w:marLeft w:val="0"/>
      <w:marRight w:val="0"/>
      <w:marTop w:val="0"/>
      <w:marBottom w:val="0"/>
      <w:divBdr>
        <w:top w:val="none" w:sz="0" w:space="0" w:color="auto"/>
        <w:left w:val="none" w:sz="0" w:space="0" w:color="auto"/>
        <w:bottom w:val="none" w:sz="0" w:space="0" w:color="auto"/>
        <w:right w:val="none" w:sz="0" w:space="0" w:color="auto"/>
      </w:divBdr>
    </w:div>
    <w:div w:id="1817062146">
      <w:bodyDiv w:val="1"/>
      <w:marLeft w:val="0"/>
      <w:marRight w:val="0"/>
      <w:marTop w:val="0"/>
      <w:marBottom w:val="0"/>
      <w:divBdr>
        <w:top w:val="none" w:sz="0" w:space="0" w:color="auto"/>
        <w:left w:val="none" w:sz="0" w:space="0" w:color="auto"/>
        <w:bottom w:val="none" w:sz="0" w:space="0" w:color="auto"/>
        <w:right w:val="none" w:sz="0" w:space="0" w:color="auto"/>
      </w:divBdr>
    </w:div>
    <w:div w:id="1831560657">
      <w:bodyDiv w:val="1"/>
      <w:marLeft w:val="0"/>
      <w:marRight w:val="0"/>
      <w:marTop w:val="0"/>
      <w:marBottom w:val="0"/>
      <w:divBdr>
        <w:top w:val="none" w:sz="0" w:space="0" w:color="auto"/>
        <w:left w:val="none" w:sz="0" w:space="0" w:color="auto"/>
        <w:bottom w:val="none" w:sz="0" w:space="0" w:color="auto"/>
        <w:right w:val="none" w:sz="0" w:space="0" w:color="auto"/>
      </w:divBdr>
    </w:div>
    <w:div w:id="1866399958">
      <w:bodyDiv w:val="1"/>
      <w:marLeft w:val="0"/>
      <w:marRight w:val="0"/>
      <w:marTop w:val="0"/>
      <w:marBottom w:val="0"/>
      <w:divBdr>
        <w:top w:val="none" w:sz="0" w:space="0" w:color="auto"/>
        <w:left w:val="none" w:sz="0" w:space="0" w:color="auto"/>
        <w:bottom w:val="none" w:sz="0" w:space="0" w:color="auto"/>
        <w:right w:val="none" w:sz="0" w:space="0" w:color="auto"/>
      </w:divBdr>
    </w:div>
    <w:div w:id="1872451107">
      <w:bodyDiv w:val="1"/>
      <w:marLeft w:val="0"/>
      <w:marRight w:val="0"/>
      <w:marTop w:val="0"/>
      <w:marBottom w:val="0"/>
      <w:divBdr>
        <w:top w:val="none" w:sz="0" w:space="0" w:color="auto"/>
        <w:left w:val="none" w:sz="0" w:space="0" w:color="auto"/>
        <w:bottom w:val="none" w:sz="0" w:space="0" w:color="auto"/>
        <w:right w:val="none" w:sz="0" w:space="0" w:color="auto"/>
      </w:divBdr>
    </w:div>
    <w:div w:id="2014914970">
      <w:bodyDiv w:val="1"/>
      <w:marLeft w:val="0"/>
      <w:marRight w:val="0"/>
      <w:marTop w:val="0"/>
      <w:marBottom w:val="0"/>
      <w:divBdr>
        <w:top w:val="none" w:sz="0" w:space="0" w:color="auto"/>
        <w:left w:val="none" w:sz="0" w:space="0" w:color="auto"/>
        <w:bottom w:val="none" w:sz="0" w:space="0" w:color="auto"/>
        <w:right w:val="none" w:sz="0" w:space="0" w:color="auto"/>
      </w:divBdr>
    </w:div>
    <w:div w:id="2076663735">
      <w:bodyDiv w:val="1"/>
      <w:marLeft w:val="0"/>
      <w:marRight w:val="0"/>
      <w:marTop w:val="0"/>
      <w:marBottom w:val="0"/>
      <w:divBdr>
        <w:top w:val="none" w:sz="0" w:space="0" w:color="auto"/>
        <w:left w:val="none" w:sz="0" w:space="0" w:color="auto"/>
        <w:bottom w:val="none" w:sz="0" w:space="0" w:color="auto"/>
        <w:right w:val="none" w:sz="0" w:space="0" w:color="auto"/>
      </w:divBdr>
    </w:div>
    <w:div w:id="2133747067">
      <w:bodyDiv w:val="1"/>
      <w:marLeft w:val="0"/>
      <w:marRight w:val="0"/>
      <w:marTop w:val="0"/>
      <w:marBottom w:val="0"/>
      <w:divBdr>
        <w:top w:val="none" w:sz="0" w:space="0" w:color="auto"/>
        <w:left w:val="none" w:sz="0" w:space="0" w:color="auto"/>
        <w:bottom w:val="none" w:sz="0" w:space="0" w:color="auto"/>
        <w:right w:val="none" w:sz="0" w:space="0" w:color="auto"/>
      </w:divBdr>
    </w:div>
    <w:div w:id="2137944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erechoshumanos.gov.co/Observatorio/Publicaciones/Documents/2021/INFORME-2020-HOMICIDIOS-DEFENSORES-DDHH-21.02.21.pdf" TargetMode="External"/><Relationship Id="rId3" Type="http://schemas.openxmlformats.org/officeDocument/2006/relationships/styles" Target="styles.xml"/><Relationship Id="rId21" Type="http://schemas.openxmlformats.org/officeDocument/2006/relationships/hyperlink" Target="https://www.camara.gov.co/sites/default/files/2024-10/PL.335-2024C%20%28MUNICIPIOS%20PDET%29.pdf"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erechoshumanos.gov.co/Observatorio/Publicaciones/Documents/2022/Informe-lideres-sociales-DDHH-2021.pdf"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serviceweb.renovacionterritorio.gov.co/artdev/media/temp/2022-11-29_114636_1315189334.pdf" TargetMode="External"/><Relationship Id="rId29" Type="http://schemas.openxmlformats.org/officeDocument/2006/relationships/hyperlink" Target="https://www.dnp.gov.co/LaEntidad_/subdireccion-general-prospectiva-desarrollo-nacional/direccion-gobierno-ddhh-paz/Paginas/mediciones-seguimiento-y-evaluaciones.asp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renovacionterritorio.gov.co/especiales/especial_pdet/" TargetMode="External"/><Relationship Id="rId32" Type="http://schemas.openxmlformats.org/officeDocument/2006/relationships/hyperlink" Target="https://www.dian.gov.co/impuestos/Formalizacion-Tributaria/Paginas/Multisectorial.aspx"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minjusticia.gov.co/programas-co/ODC/territorios/Cuartoencuentronacionalsobrelapoliticadedrogasente/programas_desarrollo_enfoque_territorial_ART.pdf" TargetMode="External"/><Relationship Id="rId28" Type="http://schemas.openxmlformats.org/officeDocument/2006/relationships/hyperlink" Target="https://colaboracion.dnp.gov.co/CDT/Gobierno_DDHH_Paz/Der_Humanos_Paz/DocumentosPaginaWeb/IICA/IICA%202022/Presentaci&#243;n_IICA_2017-2022.pdf" TargetMode="External"/><Relationship Id="rId10" Type="http://schemas.openxmlformats.org/officeDocument/2006/relationships/image" Target="media/image3.png"/><Relationship Id="rId19" Type="http://schemas.openxmlformats.org/officeDocument/2006/relationships/hyperlink" Target="http://www.secretariasenado.gov.co/senado/basedoc/ley_0005_1992_pr007.html" TargetMode="External"/><Relationship Id="rId31" Type="http://schemas.openxmlformats.org/officeDocument/2006/relationships/hyperlink" Target="http://www.colombiamania.com/mapas/departamentos/boyac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obrasximpuestos.com/municipios-pdet-zomac/" TargetMode="External"/><Relationship Id="rId27" Type="http://schemas.openxmlformats.org/officeDocument/2006/relationships/hyperlink" Target="https://colaboracion.dnp.gov.co/CDT/Desarrollo%20Territorial/Anexo%201%20-%20Diagn&#243;stico%20Territorial%20y%20Priorizaci&#243;n%20PGOT.pdf" TargetMode="External"/><Relationship Id="rId30" Type="http://schemas.openxmlformats.org/officeDocument/2006/relationships/hyperlink" Target="https://www.dane.gov.co/index.php/estadisticas-por-tema/pobreza-y-condiciones-de-vida/pobreza-multidimensional" TargetMode="External"/><Relationship Id="rId35" Type="http://schemas.openxmlformats.org/officeDocument/2006/relationships/theme" Target="theme/theme1.xml"/><Relationship Id="rId8" Type="http://schemas.openxmlformats.org/officeDocument/2006/relationships/image" Target="media/image1.emf"/></Relationships>
</file>

<file path=word/_rels/footnotes.xml.rels><?xml version="1.0" encoding="UTF-8" standalone="yes"?>
<Relationships xmlns="http://schemas.openxmlformats.org/package/2006/relationships"><Relationship Id="rId2" Type="http://schemas.openxmlformats.org/officeDocument/2006/relationships/hyperlink" Target="https://www.dane.gov.co/index.php/estadisticas-por-tema/pobreza-y-condiciones-de-vida/pobreza-multidimensional" TargetMode="External"/><Relationship Id="rId1" Type="http://schemas.openxmlformats.org/officeDocument/2006/relationships/hyperlink" Target="https://datospaz.unidadvictimas.gov.co/mapa-de-victimizac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9E1A1E-2C42-DB46-B8E8-0883E5B6D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9394</Words>
  <Characters>51672</Characters>
  <Application>Microsoft Office Word</Application>
  <DocSecurity>0</DocSecurity>
  <Lines>430</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David Galindo Pineda</dc:creator>
  <cp:keywords/>
  <dc:description/>
  <cp:lastModifiedBy>Gina Bibiana Forero Duque</cp:lastModifiedBy>
  <cp:revision>2</cp:revision>
  <dcterms:created xsi:type="dcterms:W3CDTF">2025-07-30T16:01:00Z</dcterms:created>
  <dcterms:modified xsi:type="dcterms:W3CDTF">2025-07-30T16:01:00Z</dcterms:modified>
</cp:coreProperties>
</file>