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4227C" w14:textId="77777777" w:rsidR="008A6B9D" w:rsidRDefault="008A16FD">
      <w:pPr>
        <w:jc w:val="both"/>
        <w:rPr>
          <w:rFonts w:ascii="Arial Narrow" w:eastAsia="Arial Narrow" w:hAnsi="Arial Narrow" w:cs="Arial Narrow"/>
          <w:sz w:val="22"/>
          <w:szCs w:val="22"/>
        </w:rPr>
      </w:pPr>
      <w:r>
        <w:rPr>
          <w:rFonts w:ascii="Arial Narrow" w:eastAsia="Arial Narrow" w:hAnsi="Arial Narrow" w:cs="Arial Narrow"/>
          <w:sz w:val="22"/>
          <w:szCs w:val="22"/>
        </w:rPr>
        <w:t>Bogotá, D.C., Julio de 2025</w:t>
      </w:r>
    </w:p>
    <w:p w14:paraId="4EBBDAB8" w14:textId="77777777" w:rsidR="008A6B9D" w:rsidRDefault="008A6B9D">
      <w:pPr>
        <w:jc w:val="both"/>
        <w:rPr>
          <w:rFonts w:ascii="Arial Narrow" w:eastAsia="Arial Narrow" w:hAnsi="Arial Narrow" w:cs="Arial Narrow"/>
          <w:sz w:val="22"/>
          <w:szCs w:val="22"/>
        </w:rPr>
      </w:pPr>
    </w:p>
    <w:p w14:paraId="17C29F6F" w14:textId="77777777" w:rsidR="008A6B9D" w:rsidRDefault="008A6B9D">
      <w:pPr>
        <w:jc w:val="both"/>
        <w:rPr>
          <w:rFonts w:ascii="Arial Narrow" w:eastAsia="Arial Narrow" w:hAnsi="Arial Narrow" w:cs="Arial Narrow"/>
          <w:sz w:val="22"/>
          <w:szCs w:val="22"/>
        </w:rPr>
      </w:pPr>
    </w:p>
    <w:p w14:paraId="206B2FF4" w14:textId="77777777" w:rsidR="008A6B9D" w:rsidRDefault="008A6B9D">
      <w:pPr>
        <w:jc w:val="both"/>
        <w:rPr>
          <w:rFonts w:ascii="Arial Narrow" w:eastAsia="Arial Narrow" w:hAnsi="Arial Narrow" w:cs="Arial Narrow"/>
          <w:sz w:val="22"/>
          <w:szCs w:val="22"/>
        </w:rPr>
      </w:pPr>
    </w:p>
    <w:p w14:paraId="4B1B7A2F" w14:textId="77777777" w:rsidR="008A6B9D" w:rsidRDefault="008A16FD">
      <w:pPr>
        <w:jc w:val="both"/>
        <w:rPr>
          <w:rFonts w:ascii="Arial Narrow" w:eastAsia="Arial Narrow" w:hAnsi="Arial Narrow" w:cs="Arial Narrow"/>
        </w:rPr>
      </w:pPr>
      <w:r>
        <w:rPr>
          <w:rFonts w:ascii="Arial Narrow" w:eastAsia="Arial Narrow" w:hAnsi="Arial Narrow" w:cs="Arial Narrow"/>
        </w:rPr>
        <w:t>Señores</w:t>
      </w:r>
    </w:p>
    <w:p w14:paraId="782B2F0B" w14:textId="77777777" w:rsidR="008A6B9D" w:rsidRDefault="008A16FD">
      <w:pPr>
        <w:jc w:val="both"/>
        <w:rPr>
          <w:rFonts w:ascii="Arial Narrow" w:eastAsia="Arial Narrow" w:hAnsi="Arial Narrow" w:cs="Arial Narrow"/>
          <w:b/>
        </w:rPr>
      </w:pPr>
      <w:r>
        <w:rPr>
          <w:rFonts w:ascii="Arial Narrow" w:eastAsia="Arial Narrow" w:hAnsi="Arial Narrow" w:cs="Arial Narrow"/>
          <w:b/>
        </w:rPr>
        <w:t>MESA DIRECTIVA</w:t>
      </w:r>
    </w:p>
    <w:p w14:paraId="2BB8AE43" w14:textId="77777777" w:rsidR="008A6B9D" w:rsidRDefault="008A16FD">
      <w:pPr>
        <w:jc w:val="both"/>
        <w:rPr>
          <w:rFonts w:ascii="Arial Narrow" w:eastAsia="Arial Narrow" w:hAnsi="Arial Narrow" w:cs="Arial Narrow"/>
        </w:rPr>
      </w:pPr>
      <w:r>
        <w:rPr>
          <w:rFonts w:ascii="Arial Narrow" w:eastAsia="Arial Narrow" w:hAnsi="Arial Narrow" w:cs="Arial Narrow"/>
        </w:rPr>
        <w:t>Honorable Cámara de Representantes</w:t>
      </w:r>
    </w:p>
    <w:p w14:paraId="6701FE27" w14:textId="77777777" w:rsidR="008A6B9D" w:rsidRDefault="008A16FD">
      <w:pPr>
        <w:jc w:val="both"/>
        <w:rPr>
          <w:rFonts w:ascii="Arial Narrow" w:eastAsia="Arial Narrow" w:hAnsi="Arial Narrow" w:cs="Arial Narrow"/>
        </w:rPr>
      </w:pPr>
      <w:r>
        <w:rPr>
          <w:rFonts w:ascii="Arial Narrow" w:eastAsia="Arial Narrow" w:hAnsi="Arial Narrow" w:cs="Arial Narrow"/>
        </w:rPr>
        <w:t>Congreso de la República</w:t>
      </w:r>
    </w:p>
    <w:p w14:paraId="528018C0" w14:textId="77777777" w:rsidR="008A6B9D" w:rsidRDefault="008A16FD">
      <w:pPr>
        <w:jc w:val="both"/>
        <w:rPr>
          <w:rFonts w:ascii="Arial Narrow" w:eastAsia="Arial Narrow" w:hAnsi="Arial Narrow" w:cs="Arial Narrow"/>
        </w:rPr>
      </w:pPr>
      <w:r>
        <w:rPr>
          <w:rFonts w:ascii="Arial Narrow" w:eastAsia="Arial Narrow" w:hAnsi="Arial Narrow" w:cs="Arial Narrow"/>
        </w:rPr>
        <w:t>Ciudad</w:t>
      </w:r>
    </w:p>
    <w:p w14:paraId="17425DE3" w14:textId="77777777" w:rsidR="008A6B9D" w:rsidRDefault="008A6B9D">
      <w:pPr>
        <w:jc w:val="both"/>
        <w:rPr>
          <w:rFonts w:ascii="Arial Narrow" w:eastAsia="Arial Narrow" w:hAnsi="Arial Narrow" w:cs="Arial Narrow"/>
        </w:rPr>
      </w:pPr>
    </w:p>
    <w:p w14:paraId="681882A9" w14:textId="77777777" w:rsidR="008A6B9D" w:rsidRDefault="008A16FD">
      <w:pPr>
        <w:jc w:val="both"/>
        <w:rPr>
          <w:rFonts w:ascii="Arial Narrow" w:eastAsia="Arial Narrow" w:hAnsi="Arial Narrow" w:cs="Arial Narrow"/>
        </w:rPr>
      </w:pPr>
      <w:r>
        <w:rPr>
          <w:rFonts w:ascii="Arial Narrow" w:eastAsia="Arial Narrow" w:hAnsi="Arial Narrow" w:cs="Arial Narrow"/>
        </w:rPr>
        <w:t>Secretario</w:t>
      </w:r>
    </w:p>
    <w:p w14:paraId="0F598C40" w14:textId="77777777" w:rsidR="008A6B9D" w:rsidRDefault="008A16FD">
      <w:pPr>
        <w:jc w:val="both"/>
        <w:rPr>
          <w:rFonts w:ascii="Arial Narrow" w:eastAsia="Arial Narrow" w:hAnsi="Arial Narrow" w:cs="Arial Narrow"/>
          <w:b/>
        </w:rPr>
      </w:pPr>
      <w:r>
        <w:rPr>
          <w:rFonts w:ascii="Arial Narrow" w:eastAsia="Arial Narrow" w:hAnsi="Arial Narrow" w:cs="Arial Narrow"/>
          <w:b/>
        </w:rPr>
        <w:t>JAIME LUIS LACOUTURE PEÑALOZA</w:t>
      </w:r>
    </w:p>
    <w:p w14:paraId="79663A94" w14:textId="77777777" w:rsidR="008A6B9D" w:rsidRDefault="008A16FD">
      <w:pPr>
        <w:jc w:val="both"/>
        <w:rPr>
          <w:rFonts w:ascii="Arial Narrow" w:eastAsia="Arial Narrow" w:hAnsi="Arial Narrow" w:cs="Arial Narrow"/>
        </w:rPr>
      </w:pPr>
      <w:r>
        <w:rPr>
          <w:rFonts w:ascii="Arial Narrow" w:eastAsia="Arial Narrow" w:hAnsi="Arial Narrow" w:cs="Arial Narrow"/>
        </w:rPr>
        <w:t>Honorable Cámara de Representantes</w:t>
      </w:r>
    </w:p>
    <w:p w14:paraId="61E23CF8" w14:textId="77777777" w:rsidR="008A6B9D" w:rsidRDefault="008A16FD">
      <w:pPr>
        <w:jc w:val="both"/>
        <w:rPr>
          <w:rFonts w:ascii="Arial Narrow" w:eastAsia="Arial Narrow" w:hAnsi="Arial Narrow" w:cs="Arial Narrow"/>
        </w:rPr>
      </w:pPr>
      <w:r>
        <w:rPr>
          <w:rFonts w:ascii="Arial Narrow" w:eastAsia="Arial Narrow" w:hAnsi="Arial Narrow" w:cs="Arial Narrow"/>
        </w:rPr>
        <w:t>Congreso de la República</w:t>
      </w:r>
    </w:p>
    <w:p w14:paraId="3F49E404" w14:textId="77777777" w:rsidR="008A6B9D" w:rsidRDefault="008A16FD">
      <w:pPr>
        <w:jc w:val="both"/>
        <w:rPr>
          <w:rFonts w:ascii="Arial Narrow" w:eastAsia="Arial Narrow" w:hAnsi="Arial Narrow" w:cs="Arial Narrow"/>
        </w:rPr>
      </w:pPr>
      <w:r>
        <w:rPr>
          <w:rFonts w:ascii="Arial Narrow" w:eastAsia="Arial Narrow" w:hAnsi="Arial Narrow" w:cs="Arial Narrow"/>
        </w:rPr>
        <w:t>Ciudad</w:t>
      </w:r>
    </w:p>
    <w:p w14:paraId="10BD32D7" w14:textId="77777777" w:rsidR="008A6B9D" w:rsidRDefault="008A6B9D">
      <w:pPr>
        <w:jc w:val="both"/>
        <w:rPr>
          <w:rFonts w:ascii="Arial Narrow" w:eastAsia="Arial Narrow" w:hAnsi="Arial Narrow" w:cs="Arial Narrow"/>
        </w:rPr>
      </w:pPr>
    </w:p>
    <w:p w14:paraId="45541D39" w14:textId="77777777" w:rsidR="008A6B9D" w:rsidRDefault="008A6B9D">
      <w:pPr>
        <w:jc w:val="both"/>
        <w:rPr>
          <w:rFonts w:ascii="Arial Narrow" w:eastAsia="Arial Narrow" w:hAnsi="Arial Narrow" w:cs="Arial Narrow"/>
          <w:sz w:val="22"/>
          <w:szCs w:val="22"/>
        </w:rPr>
      </w:pPr>
    </w:p>
    <w:p w14:paraId="46F1F99C" w14:textId="77777777" w:rsidR="008A6B9D" w:rsidRDefault="008A6B9D">
      <w:pPr>
        <w:jc w:val="both"/>
        <w:rPr>
          <w:rFonts w:ascii="Arial Narrow" w:eastAsia="Arial Narrow" w:hAnsi="Arial Narrow" w:cs="Arial Narrow"/>
          <w:sz w:val="22"/>
          <w:szCs w:val="22"/>
        </w:rPr>
      </w:pPr>
    </w:p>
    <w:p w14:paraId="4C01B0B6" w14:textId="77777777" w:rsidR="008A6B9D" w:rsidRDefault="008A6B9D">
      <w:pPr>
        <w:jc w:val="both"/>
        <w:rPr>
          <w:rFonts w:ascii="Arial Narrow" w:eastAsia="Arial Narrow" w:hAnsi="Arial Narrow" w:cs="Arial Narrow"/>
          <w:sz w:val="22"/>
          <w:szCs w:val="22"/>
        </w:rPr>
      </w:pPr>
    </w:p>
    <w:p w14:paraId="77E50430" w14:textId="77777777" w:rsidR="008A6B9D" w:rsidRDefault="008A16FD">
      <w:pPr>
        <w:ind w:left="720" w:right="4"/>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Asunto: </w:t>
      </w:r>
      <w:r>
        <w:rPr>
          <w:rFonts w:ascii="Arial Narrow" w:eastAsia="Arial Narrow" w:hAnsi="Arial Narrow" w:cs="Arial Narrow"/>
          <w:sz w:val="22"/>
          <w:szCs w:val="22"/>
        </w:rPr>
        <w:t>Presentación del Proyecto de Ley Nro. ________ “</w:t>
      </w:r>
      <w:r>
        <w:rPr>
          <w:rFonts w:ascii="Arial Narrow" w:eastAsia="Arial Narrow" w:hAnsi="Arial Narrow" w:cs="Arial Narrow"/>
          <w:i/>
          <w:sz w:val="22"/>
          <w:szCs w:val="22"/>
        </w:rPr>
        <w:t xml:space="preserve">POR MEDIO DE LA CUAL SE RINDE HOMENAJE Y SE PRESERVA LA MEMORIA DEL PRÓCER </w:t>
      </w:r>
      <w:r>
        <w:rPr>
          <w:rFonts w:ascii="Arial Narrow" w:eastAsia="Arial Narrow" w:hAnsi="Arial Narrow" w:cs="Arial Narrow"/>
          <w:i/>
          <w:sz w:val="22"/>
          <w:szCs w:val="22"/>
          <w:highlight w:val="white"/>
        </w:rPr>
        <w:t>ANTONIO AMADOR JOSÉ NARIÑO Y ÁLVAREZ DEL CASAL,</w:t>
      </w:r>
      <w:r>
        <w:rPr>
          <w:rFonts w:ascii="Arial Narrow" w:eastAsia="Arial Narrow" w:hAnsi="Arial Narrow" w:cs="Arial Narrow"/>
          <w:i/>
          <w:sz w:val="22"/>
          <w:szCs w:val="22"/>
        </w:rPr>
        <w:t xml:space="preserve"> AL HABERSE CUMPLIDO 200 AÑOS DE SU MUERTE EN EL MUNICIPIO DE VILLA DE LEYVA Y SE DICT</w:t>
      </w:r>
      <w:r>
        <w:rPr>
          <w:rFonts w:ascii="Arial Narrow" w:eastAsia="Arial Narrow" w:hAnsi="Arial Narrow" w:cs="Arial Narrow"/>
          <w:i/>
          <w:sz w:val="22"/>
          <w:szCs w:val="22"/>
        </w:rPr>
        <w:t>AN OTRAS DISPOSICIONES</w:t>
      </w:r>
      <w:r>
        <w:rPr>
          <w:rFonts w:ascii="Arial Narrow" w:eastAsia="Arial Narrow" w:hAnsi="Arial Narrow" w:cs="Arial Narrow"/>
          <w:sz w:val="22"/>
          <w:szCs w:val="22"/>
        </w:rPr>
        <w:t>”</w:t>
      </w:r>
      <w:r>
        <w:rPr>
          <w:rFonts w:ascii="Arial Narrow" w:eastAsia="Arial Narrow" w:hAnsi="Arial Narrow" w:cs="Arial Narrow"/>
          <w:i/>
          <w:sz w:val="22"/>
          <w:szCs w:val="22"/>
        </w:rPr>
        <w:t>.</w:t>
      </w:r>
    </w:p>
    <w:p w14:paraId="27DEAFFB" w14:textId="77777777" w:rsidR="008A6B9D" w:rsidRDefault="008A6B9D">
      <w:pPr>
        <w:ind w:right="4"/>
        <w:jc w:val="both"/>
        <w:rPr>
          <w:rFonts w:ascii="Arial Narrow" w:eastAsia="Arial Narrow" w:hAnsi="Arial Narrow" w:cs="Arial Narrow"/>
          <w:sz w:val="22"/>
          <w:szCs w:val="22"/>
        </w:rPr>
      </w:pPr>
    </w:p>
    <w:p w14:paraId="2512047B" w14:textId="77777777" w:rsidR="008A6B9D" w:rsidRDefault="008A6B9D">
      <w:pPr>
        <w:ind w:right="4"/>
        <w:jc w:val="both"/>
        <w:rPr>
          <w:rFonts w:ascii="Arial Narrow" w:eastAsia="Arial Narrow" w:hAnsi="Arial Narrow" w:cs="Arial Narrow"/>
          <w:sz w:val="22"/>
          <w:szCs w:val="22"/>
        </w:rPr>
      </w:pPr>
    </w:p>
    <w:p w14:paraId="3F42A36C" w14:textId="77777777" w:rsidR="008A6B9D" w:rsidRDefault="008A16FD">
      <w:pPr>
        <w:ind w:right="4"/>
        <w:jc w:val="both"/>
        <w:rPr>
          <w:rFonts w:ascii="Arial Narrow" w:eastAsia="Arial Narrow" w:hAnsi="Arial Narrow" w:cs="Arial Narrow"/>
          <w:sz w:val="22"/>
          <w:szCs w:val="22"/>
        </w:rPr>
      </w:pPr>
      <w:r>
        <w:rPr>
          <w:rFonts w:ascii="Arial Narrow" w:eastAsia="Arial Narrow" w:hAnsi="Arial Narrow" w:cs="Arial Narrow"/>
          <w:sz w:val="22"/>
          <w:szCs w:val="22"/>
        </w:rPr>
        <w:t>En ejercicio de la facultad prevista en la Constitución y el artículo 140 numeral 1º de la Ley 5ª de 1992, presento a consideración del Congreso de la República el proyecto de ley</w:t>
      </w:r>
      <w:r>
        <w:rPr>
          <w:rFonts w:ascii="Arial Narrow" w:eastAsia="Arial Narrow" w:hAnsi="Arial Narrow" w:cs="Arial Narrow"/>
          <w:i/>
          <w:sz w:val="22"/>
          <w:szCs w:val="22"/>
        </w:rPr>
        <w:t xml:space="preserve"> “POR MEDIO DE LA CUAL SE RINDE HOMENAJE Y SE PRES</w:t>
      </w:r>
      <w:r>
        <w:rPr>
          <w:rFonts w:ascii="Arial Narrow" w:eastAsia="Arial Narrow" w:hAnsi="Arial Narrow" w:cs="Arial Narrow"/>
          <w:i/>
          <w:sz w:val="22"/>
          <w:szCs w:val="22"/>
        </w:rPr>
        <w:t xml:space="preserve">ERVA LA MEMORIA DEL PRÓCER </w:t>
      </w:r>
      <w:r>
        <w:rPr>
          <w:rFonts w:ascii="Arial Narrow" w:eastAsia="Arial Narrow" w:hAnsi="Arial Narrow" w:cs="Arial Narrow"/>
          <w:i/>
          <w:sz w:val="22"/>
          <w:szCs w:val="22"/>
          <w:highlight w:val="white"/>
        </w:rPr>
        <w:t>ANTONIO AMADOR JOSÉ NARIÑO Y ÁLVAREZ DEL CASAL,</w:t>
      </w:r>
      <w:r>
        <w:rPr>
          <w:rFonts w:ascii="Arial Narrow" w:eastAsia="Arial Narrow" w:hAnsi="Arial Narrow" w:cs="Arial Narrow"/>
          <w:i/>
          <w:sz w:val="22"/>
          <w:szCs w:val="22"/>
        </w:rPr>
        <w:t xml:space="preserve"> AL HABERSE CUMPLIDO 200 AÑOS DE SU MUERTE EN EL MUNICIPIO DE VILLA DE LEYVA Y SE DICTAN OTRAS DISPOSICIONES”</w:t>
      </w:r>
      <w:r>
        <w:rPr>
          <w:rFonts w:ascii="Arial Narrow" w:eastAsia="Arial Narrow" w:hAnsi="Arial Narrow" w:cs="Arial Narrow"/>
          <w:sz w:val="22"/>
          <w:szCs w:val="22"/>
        </w:rPr>
        <w:t>, con el fin de surtir el respectivo trámite legislativo.</w:t>
      </w:r>
    </w:p>
    <w:p w14:paraId="7A843DAC" w14:textId="77777777" w:rsidR="008A6B9D" w:rsidRDefault="008A6B9D">
      <w:pPr>
        <w:ind w:right="4"/>
        <w:jc w:val="both"/>
        <w:rPr>
          <w:rFonts w:ascii="Arial Narrow" w:eastAsia="Arial Narrow" w:hAnsi="Arial Narrow" w:cs="Arial Narrow"/>
          <w:sz w:val="22"/>
          <w:szCs w:val="22"/>
        </w:rPr>
      </w:pPr>
    </w:p>
    <w:p w14:paraId="3E3EEEB7" w14:textId="77777777" w:rsidR="008A6B9D" w:rsidRDefault="008A16FD">
      <w:pPr>
        <w:ind w:right="4"/>
        <w:jc w:val="both"/>
        <w:rPr>
          <w:rFonts w:ascii="Arial Narrow" w:eastAsia="Arial Narrow" w:hAnsi="Arial Narrow" w:cs="Arial Narrow"/>
          <w:sz w:val="22"/>
          <w:szCs w:val="22"/>
        </w:rPr>
      </w:pPr>
      <w:r>
        <w:rPr>
          <w:rFonts w:ascii="Arial Narrow" w:eastAsia="Arial Narrow" w:hAnsi="Arial Narrow" w:cs="Arial Narrow"/>
          <w:sz w:val="22"/>
          <w:szCs w:val="22"/>
        </w:rPr>
        <w:t>Cordialmente,</w:t>
      </w:r>
      <w:r>
        <w:rPr>
          <w:noProof/>
        </w:rPr>
        <w:drawing>
          <wp:anchor distT="114300" distB="114300" distL="114300" distR="114300" simplePos="0" relativeHeight="251658240" behindDoc="0" locked="0" layoutInCell="1" hidden="0" allowOverlap="1" wp14:anchorId="5AE5739B" wp14:editId="2F90E723">
            <wp:simplePos x="0" y="0"/>
            <wp:positionH relativeFrom="column">
              <wp:posOffset>1800225</wp:posOffset>
            </wp:positionH>
            <wp:positionV relativeFrom="paragraph">
              <wp:posOffset>115701</wp:posOffset>
            </wp:positionV>
            <wp:extent cx="2524125" cy="1190625"/>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524125" cy="1190625"/>
                    </a:xfrm>
                    <a:prstGeom prst="rect">
                      <a:avLst/>
                    </a:prstGeom>
                    <a:ln/>
                  </pic:spPr>
                </pic:pic>
              </a:graphicData>
            </a:graphic>
          </wp:anchor>
        </w:drawing>
      </w:r>
    </w:p>
    <w:p w14:paraId="0F58A672" w14:textId="77777777" w:rsidR="008A6B9D" w:rsidRDefault="008A6B9D">
      <w:pPr>
        <w:jc w:val="both"/>
        <w:rPr>
          <w:rFonts w:ascii="Arial Narrow" w:eastAsia="Arial Narrow" w:hAnsi="Arial Narrow" w:cs="Arial Narrow"/>
          <w:sz w:val="22"/>
          <w:szCs w:val="22"/>
        </w:rPr>
      </w:pPr>
    </w:p>
    <w:p w14:paraId="56F60D39" w14:textId="77777777" w:rsidR="008A6B9D" w:rsidRDefault="008A6B9D">
      <w:pPr>
        <w:jc w:val="both"/>
        <w:rPr>
          <w:rFonts w:ascii="Arial Narrow" w:eastAsia="Arial Narrow" w:hAnsi="Arial Narrow" w:cs="Arial Narrow"/>
          <w:sz w:val="22"/>
          <w:szCs w:val="22"/>
        </w:rPr>
      </w:pPr>
    </w:p>
    <w:p w14:paraId="38662B2F" w14:textId="77777777" w:rsidR="008A6B9D" w:rsidRDefault="008A6B9D">
      <w:pPr>
        <w:jc w:val="both"/>
        <w:rPr>
          <w:rFonts w:ascii="Arial Narrow" w:eastAsia="Arial Narrow" w:hAnsi="Arial Narrow" w:cs="Arial Narrow"/>
          <w:b/>
          <w:sz w:val="22"/>
          <w:szCs w:val="22"/>
        </w:rPr>
      </w:pPr>
    </w:p>
    <w:p w14:paraId="42937DFE" w14:textId="77777777" w:rsidR="008A6B9D" w:rsidRDefault="008A6B9D">
      <w:pPr>
        <w:jc w:val="both"/>
        <w:rPr>
          <w:rFonts w:ascii="Arial Narrow" w:eastAsia="Arial Narrow" w:hAnsi="Arial Narrow" w:cs="Arial Narrow"/>
          <w:b/>
          <w:sz w:val="22"/>
          <w:szCs w:val="22"/>
        </w:rPr>
      </w:pPr>
    </w:p>
    <w:p w14:paraId="2F5563E6" w14:textId="77777777" w:rsidR="008A6B9D" w:rsidRDefault="008A6B9D">
      <w:pPr>
        <w:jc w:val="both"/>
        <w:rPr>
          <w:rFonts w:ascii="Arial Narrow" w:eastAsia="Arial Narrow" w:hAnsi="Arial Narrow" w:cs="Arial Narrow"/>
          <w:b/>
          <w:sz w:val="22"/>
          <w:szCs w:val="22"/>
        </w:rPr>
      </w:pPr>
    </w:p>
    <w:p w14:paraId="79E6343C" w14:textId="77777777" w:rsidR="008A6B9D" w:rsidRDefault="008A6B9D">
      <w:pPr>
        <w:jc w:val="both"/>
        <w:rPr>
          <w:rFonts w:ascii="Arial Narrow" w:eastAsia="Arial Narrow" w:hAnsi="Arial Narrow" w:cs="Arial Narrow"/>
          <w:b/>
          <w:sz w:val="22"/>
          <w:szCs w:val="22"/>
        </w:rPr>
      </w:pPr>
    </w:p>
    <w:p w14:paraId="0F6EDF28" w14:textId="77777777" w:rsidR="008A6B9D" w:rsidRDefault="008A6B9D">
      <w:pPr>
        <w:jc w:val="both"/>
        <w:rPr>
          <w:rFonts w:ascii="Arial Narrow" w:eastAsia="Arial Narrow" w:hAnsi="Arial Narrow" w:cs="Arial Narrow"/>
          <w:b/>
          <w:sz w:val="22"/>
          <w:szCs w:val="22"/>
        </w:rPr>
      </w:pPr>
    </w:p>
    <w:p w14:paraId="2B73B0AA" w14:textId="77777777" w:rsidR="008A6B9D" w:rsidRDefault="008A6B9D">
      <w:pPr>
        <w:jc w:val="both"/>
        <w:rPr>
          <w:rFonts w:ascii="Arial Narrow" w:eastAsia="Arial Narrow" w:hAnsi="Arial Narrow" w:cs="Arial Narrow"/>
          <w:b/>
          <w:sz w:val="22"/>
          <w:szCs w:val="22"/>
        </w:rPr>
      </w:pPr>
    </w:p>
    <w:p w14:paraId="104D26E7" w14:textId="77777777" w:rsidR="008A6B9D" w:rsidRDefault="008A16FD">
      <w:pPr>
        <w:jc w:val="center"/>
        <w:rPr>
          <w:rFonts w:ascii="Arial Narrow" w:eastAsia="Arial Narrow" w:hAnsi="Arial Narrow" w:cs="Arial Narrow"/>
          <w:b/>
          <w:sz w:val="22"/>
          <w:szCs w:val="22"/>
        </w:rPr>
      </w:pPr>
      <w:r>
        <w:rPr>
          <w:rFonts w:ascii="Arial Narrow" w:eastAsia="Arial Narrow" w:hAnsi="Arial Narrow" w:cs="Arial Narrow"/>
          <w:b/>
          <w:sz w:val="22"/>
          <w:szCs w:val="22"/>
        </w:rPr>
        <w:t>WILMER CASTELLANOS HERNÁNDEZ</w:t>
      </w:r>
    </w:p>
    <w:p w14:paraId="7ADA27C8" w14:textId="77777777" w:rsidR="008A6B9D" w:rsidRDefault="008A16FD">
      <w:pPr>
        <w:jc w:val="center"/>
        <w:rPr>
          <w:rFonts w:ascii="Arial Narrow" w:eastAsia="Arial Narrow" w:hAnsi="Arial Narrow" w:cs="Arial Narrow"/>
          <w:sz w:val="22"/>
          <w:szCs w:val="22"/>
        </w:rPr>
      </w:pPr>
      <w:r>
        <w:rPr>
          <w:rFonts w:ascii="Arial Narrow" w:eastAsia="Arial Narrow" w:hAnsi="Arial Narrow" w:cs="Arial Narrow"/>
          <w:sz w:val="22"/>
          <w:szCs w:val="22"/>
        </w:rPr>
        <w:t>Representante de la Cámara por Boyacá</w:t>
      </w:r>
    </w:p>
    <w:p w14:paraId="1E3528E2" w14:textId="77777777" w:rsidR="008A6B9D" w:rsidRDefault="008A16FD">
      <w:pPr>
        <w:jc w:val="center"/>
        <w:rPr>
          <w:rFonts w:ascii="Arial Narrow" w:eastAsia="Arial Narrow" w:hAnsi="Arial Narrow" w:cs="Arial Narrow"/>
          <w:sz w:val="22"/>
          <w:szCs w:val="22"/>
        </w:rPr>
      </w:pPr>
      <w:r>
        <w:rPr>
          <w:rFonts w:ascii="Arial Narrow" w:eastAsia="Arial Narrow" w:hAnsi="Arial Narrow" w:cs="Arial Narrow"/>
          <w:sz w:val="22"/>
          <w:szCs w:val="22"/>
        </w:rPr>
        <w:t>Congreso de la República</w:t>
      </w:r>
    </w:p>
    <w:p w14:paraId="786E1813" w14:textId="77777777" w:rsidR="008A6B9D" w:rsidRDefault="008A16FD">
      <w:pPr>
        <w:jc w:val="center"/>
        <w:rPr>
          <w:rFonts w:ascii="Arial Narrow" w:eastAsia="Arial Narrow" w:hAnsi="Arial Narrow" w:cs="Arial Narrow"/>
          <w:sz w:val="22"/>
          <w:szCs w:val="22"/>
        </w:rPr>
      </w:pPr>
      <w:r>
        <w:rPr>
          <w:rFonts w:ascii="Arial Narrow" w:eastAsia="Arial Narrow" w:hAnsi="Arial Narrow" w:cs="Arial Narrow"/>
          <w:sz w:val="22"/>
          <w:szCs w:val="22"/>
        </w:rPr>
        <w:t>Partido Alianza Verde</w:t>
      </w:r>
    </w:p>
    <w:p w14:paraId="329E9706" w14:textId="77777777" w:rsidR="008A6B9D" w:rsidRDefault="008A6B9D">
      <w:pPr>
        <w:rPr>
          <w:rFonts w:ascii="Arial Narrow" w:eastAsia="Arial Narrow" w:hAnsi="Arial Narrow" w:cs="Arial Narrow"/>
          <w:sz w:val="22"/>
          <w:szCs w:val="22"/>
        </w:rPr>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85"/>
        <w:gridCol w:w="4875"/>
      </w:tblGrid>
      <w:tr w:rsidR="008A6B9D" w14:paraId="54B93FA8" w14:textId="77777777">
        <w:trPr>
          <w:trHeight w:val="1467"/>
        </w:trPr>
        <w:tc>
          <w:tcPr>
            <w:tcW w:w="4485" w:type="dxa"/>
            <w:shd w:val="clear" w:color="auto" w:fill="auto"/>
            <w:tcMar>
              <w:top w:w="100" w:type="dxa"/>
              <w:left w:w="100" w:type="dxa"/>
              <w:bottom w:w="100" w:type="dxa"/>
              <w:right w:w="100" w:type="dxa"/>
            </w:tcMar>
          </w:tcPr>
          <w:p w14:paraId="0914A06B" w14:textId="1FF7D357" w:rsidR="008A6B9D" w:rsidRDefault="008A6B9D">
            <w:pPr>
              <w:widowControl w:val="0"/>
              <w:pBdr>
                <w:top w:val="nil"/>
                <w:left w:val="nil"/>
                <w:bottom w:val="nil"/>
                <w:right w:val="nil"/>
                <w:between w:val="nil"/>
              </w:pBdr>
              <w:rPr>
                <w:rFonts w:ascii="Arial Narrow" w:eastAsia="Arial Narrow" w:hAnsi="Arial Narrow" w:cs="Arial Narrow"/>
                <w:sz w:val="22"/>
                <w:szCs w:val="22"/>
              </w:rPr>
            </w:pPr>
          </w:p>
          <w:p w14:paraId="0B45B960" w14:textId="4C8A2796" w:rsidR="008A6B9D" w:rsidRDefault="008A16FD">
            <w:pPr>
              <w:widowControl w:val="0"/>
              <w:pBdr>
                <w:top w:val="nil"/>
                <w:left w:val="nil"/>
                <w:bottom w:val="nil"/>
                <w:right w:val="nil"/>
                <w:between w:val="nil"/>
              </w:pBd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4875" w:type="dxa"/>
            <w:shd w:val="clear" w:color="auto" w:fill="auto"/>
            <w:tcMar>
              <w:top w:w="100" w:type="dxa"/>
              <w:left w:w="100" w:type="dxa"/>
              <w:bottom w:w="100" w:type="dxa"/>
              <w:right w:w="100" w:type="dxa"/>
            </w:tcMar>
          </w:tcPr>
          <w:p w14:paraId="0CE5534C"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r>
      <w:tr w:rsidR="008A6B9D" w14:paraId="2FB1364A" w14:textId="77777777">
        <w:trPr>
          <w:trHeight w:val="1437"/>
        </w:trPr>
        <w:tc>
          <w:tcPr>
            <w:tcW w:w="4485" w:type="dxa"/>
            <w:shd w:val="clear" w:color="auto" w:fill="auto"/>
            <w:tcMar>
              <w:top w:w="100" w:type="dxa"/>
              <w:left w:w="100" w:type="dxa"/>
              <w:bottom w:w="100" w:type="dxa"/>
              <w:right w:w="100" w:type="dxa"/>
            </w:tcMar>
          </w:tcPr>
          <w:p w14:paraId="61CC00F2"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c>
          <w:tcPr>
            <w:tcW w:w="4875" w:type="dxa"/>
            <w:shd w:val="clear" w:color="auto" w:fill="auto"/>
            <w:tcMar>
              <w:top w:w="100" w:type="dxa"/>
              <w:left w:w="100" w:type="dxa"/>
              <w:bottom w:w="100" w:type="dxa"/>
              <w:right w:w="100" w:type="dxa"/>
            </w:tcMar>
          </w:tcPr>
          <w:p w14:paraId="6A4D39D9"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r>
      <w:tr w:rsidR="008A6B9D" w14:paraId="567DBBA3" w14:textId="77777777">
        <w:trPr>
          <w:trHeight w:val="1422"/>
        </w:trPr>
        <w:tc>
          <w:tcPr>
            <w:tcW w:w="4485" w:type="dxa"/>
            <w:shd w:val="clear" w:color="auto" w:fill="auto"/>
            <w:tcMar>
              <w:top w:w="100" w:type="dxa"/>
              <w:left w:w="100" w:type="dxa"/>
              <w:bottom w:w="100" w:type="dxa"/>
              <w:right w:w="100" w:type="dxa"/>
            </w:tcMar>
          </w:tcPr>
          <w:p w14:paraId="3C7C8369"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c>
          <w:tcPr>
            <w:tcW w:w="4875" w:type="dxa"/>
            <w:shd w:val="clear" w:color="auto" w:fill="auto"/>
            <w:tcMar>
              <w:top w:w="100" w:type="dxa"/>
              <w:left w:w="100" w:type="dxa"/>
              <w:bottom w:w="100" w:type="dxa"/>
              <w:right w:w="100" w:type="dxa"/>
            </w:tcMar>
          </w:tcPr>
          <w:p w14:paraId="0FCA1469"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r>
      <w:tr w:rsidR="008A6B9D" w14:paraId="1BE87B67" w14:textId="77777777">
        <w:trPr>
          <w:trHeight w:val="1557"/>
        </w:trPr>
        <w:tc>
          <w:tcPr>
            <w:tcW w:w="4485" w:type="dxa"/>
            <w:shd w:val="clear" w:color="auto" w:fill="auto"/>
            <w:tcMar>
              <w:top w:w="100" w:type="dxa"/>
              <w:left w:w="100" w:type="dxa"/>
              <w:bottom w:w="100" w:type="dxa"/>
              <w:right w:w="100" w:type="dxa"/>
            </w:tcMar>
          </w:tcPr>
          <w:p w14:paraId="30943E99"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c>
          <w:tcPr>
            <w:tcW w:w="4875" w:type="dxa"/>
            <w:shd w:val="clear" w:color="auto" w:fill="auto"/>
            <w:tcMar>
              <w:top w:w="100" w:type="dxa"/>
              <w:left w:w="100" w:type="dxa"/>
              <w:bottom w:w="100" w:type="dxa"/>
              <w:right w:w="100" w:type="dxa"/>
            </w:tcMar>
          </w:tcPr>
          <w:p w14:paraId="42323A04"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r>
      <w:tr w:rsidR="008A6B9D" w14:paraId="3752134D" w14:textId="77777777">
        <w:trPr>
          <w:trHeight w:val="1422"/>
        </w:trPr>
        <w:tc>
          <w:tcPr>
            <w:tcW w:w="4485" w:type="dxa"/>
            <w:shd w:val="clear" w:color="auto" w:fill="auto"/>
            <w:tcMar>
              <w:top w:w="100" w:type="dxa"/>
              <w:left w:w="100" w:type="dxa"/>
              <w:bottom w:w="100" w:type="dxa"/>
              <w:right w:w="100" w:type="dxa"/>
            </w:tcMar>
          </w:tcPr>
          <w:p w14:paraId="40D2F0FD"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c>
          <w:tcPr>
            <w:tcW w:w="4875" w:type="dxa"/>
            <w:shd w:val="clear" w:color="auto" w:fill="auto"/>
            <w:tcMar>
              <w:top w:w="100" w:type="dxa"/>
              <w:left w:w="100" w:type="dxa"/>
              <w:bottom w:w="100" w:type="dxa"/>
              <w:right w:w="100" w:type="dxa"/>
            </w:tcMar>
          </w:tcPr>
          <w:p w14:paraId="7773FA31"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r>
      <w:tr w:rsidR="008A6B9D" w14:paraId="5F18E82E" w14:textId="77777777">
        <w:trPr>
          <w:trHeight w:val="1422"/>
        </w:trPr>
        <w:tc>
          <w:tcPr>
            <w:tcW w:w="4485" w:type="dxa"/>
            <w:shd w:val="clear" w:color="auto" w:fill="auto"/>
            <w:tcMar>
              <w:top w:w="100" w:type="dxa"/>
              <w:left w:w="100" w:type="dxa"/>
              <w:bottom w:w="100" w:type="dxa"/>
              <w:right w:w="100" w:type="dxa"/>
            </w:tcMar>
          </w:tcPr>
          <w:p w14:paraId="62BB4138"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c>
          <w:tcPr>
            <w:tcW w:w="4875" w:type="dxa"/>
            <w:shd w:val="clear" w:color="auto" w:fill="auto"/>
            <w:tcMar>
              <w:top w:w="100" w:type="dxa"/>
              <w:left w:w="100" w:type="dxa"/>
              <w:bottom w:w="100" w:type="dxa"/>
              <w:right w:w="100" w:type="dxa"/>
            </w:tcMar>
          </w:tcPr>
          <w:p w14:paraId="44C1EFCA"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r>
      <w:tr w:rsidR="008A6B9D" w14:paraId="45EF838B" w14:textId="77777777">
        <w:trPr>
          <w:trHeight w:val="1437"/>
        </w:trPr>
        <w:tc>
          <w:tcPr>
            <w:tcW w:w="4485" w:type="dxa"/>
            <w:shd w:val="clear" w:color="auto" w:fill="auto"/>
            <w:tcMar>
              <w:top w:w="100" w:type="dxa"/>
              <w:left w:w="100" w:type="dxa"/>
              <w:bottom w:w="100" w:type="dxa"/>
              <w:right w:w="100" w:type="dxa"/>
            </w:tcMar>
          </w:tcPr>
          <w:p w14:paraId="599017B5"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c>
          <w:tcPr>
            <w:tcW w:w="4875" w:type="dxa"/>
            <w:shd w:val="clear" w:color="auto" w:fill="auto"/>
            <w:tcMar>
              <w:top w:w="100" w:type="dxa"/>
              <w:left w:w="100" w:type="dxa"/>
              <w:bottom w:w="100" w:type="dxa"/>
              <w:right w:w="100" w:type="dxa"/>
            </w:tcMar>
          </w:tcPr>
          <w:p w14:paraId="07EA6348" w14:textId="77777777" w:rsidR="008A6B9D" w:rsidRDefault="008A6B9D">
            <w:pPr>
              <w:widowControl w:val="0"/>
              <w:pBdr>
                <w:top w:val="nil"/>
                <w:left w:val="nil"/>
                <w:bottom w:val="nil"/>
                <w:right w:val="nil"/>
                <w:between w:val="nil"/>
              </w:pBdr>
              <w:rPr>
                <w:rFonts w:ascii="Arial Narrow" w:eastAsia="Arial Narrow" w:hAnsi="Arial Narrow" w:cs="Arial Narrow"/>
                <w:sz w:val="22"/>
                <w:szCs w:val="22"/>
              </w:rPr>
            </w:pPr>
          </w:p>
        </w:tc>
      </w:tr>
    </w:tbl>
    <w:p w14:paraId="109642CA" w14:textId="77777777" w:rsidR="008A6B9D" w:rsidRDefault="008A6B9D">
      <w:pPr>
        <w:rPr>
          <w:rFonts w:ascii="Arial Narrow" w:eastAsia="Arial Narrow" w:hAnsi="Arial Narrow" w:cs="Arial Narrow"/>
          <w:sz w:val="22"/>
          <w:szCs w:val="22"/>
        </w:rPr>
      </w:pPr>
    </w:p>
    <w:p w14:paraId="6F8D0A4F" w14:textId="77777777" w:rsidR="008A6B9D" w:rsidRDefault="008A6B9D">
      <w:pPr>
        <w:rPr>
          <w:rFonts w:ascii="Arial Narrow" w:eastAsia="Arial Narrow" w:hAnsi="Arial Narrow" w:cs="Arial Narrow"/>
          <w:sz w:val="22"/>
          <w:szCs w:val="22"/>
        </w:rPr>
      </w:pPr>
    </w:p>
    <w:p w14:paraId="10D16B1E" w14:textId="77777777" w:rsidR="008A6B9D" w:rsidRDefault="008A6B9D">
      <w:pPr>
        <w:rPr>
          <w:rFonts w:ascii="Arial Narrow" w:eastAsia="Arial Narrow" w:hAnsi="Arial Narrow" w:cs="Arial Narrow"/>
          <w:sz w:val="22"/>
          <w:szCs w:val="22"/>
        </w:rPr>
      </w:pPr>
    </w:p>
    <w:p w14:paraId="4D071F76" w14:textId="77777777" w:rsidR="008A6B9D" w:rsidRDefault="008A6B9D">
      <w:pPr>
        <w:rPr>
          <w:rFonts w:ascii="Arial Narrow" w:eastAsia="Arial Narrow" w:hAnsi="Arial Narrow" w:cs="Arial Narrow"/>
          <w:sz w:val="22"/>
          <w:szCs w:val="22"/>
        </w:rPr>
      </w:pPr>
    </w:p>
    <w:p w14:paraId="254EC93C" w14:textId="77777777" w:rsidR="008A6B9D" w:rsidRDefault="008A16FD">
      <w:pPr>
        <w:pBdr>
          <w:top w:val="nil"/>
          <w:left w:val="nil"/>
          <w:bottom w:val="nil"/>
          <w:right w:val="nil"/>
          <w:between w:val="nil"/>
        </w:pBdr>
        <w:ind w:left="2880" w:firstLine="720"/>
        <w:jc w:val="both"/>
        <w:rPr>
          <w:rFonts w:ascii="Arial Narrow" w:eastAsia="Arial Narrow" w:hAnsi="Arial Narrow" w:cs="Arial Narrow"/>
          <w:b/>
          <w:sz w:val="22"/>
          <w:szCs w:val="22"/>
        </w:rPr>
      </w:pPr>
      <w:r>
        <w:rPr>
          <w:rFonts w:ascii="Arial Narrow" w:eastAsia="Arial Narrow" w:hAnsi="Arial Narrow" w:cs="Arial Narrow"/>
          <w:b/>
          <w:sz w:val="22"/>
          <w:szCs w:val="22"/>
        </w:rPr>
        <w:t>TABLA DE CONTENIDO</w:t>
      </w:r>
    </w:p>
    <w:p w14:paraId="5A8AD4B1" w14:textId="77777777" w:rsidR="008A6B9D" w:rsidRDefault="008A6B9D">
      <w:pPr>
        <w:pBdr>
          <w:top w:val="nil"/>
          <w:left w:val="nil"/>
          <w:bottom w:val="nil"/>
          <w:right w:val="nil"/>
          <w:between w:val="nil"/>
        </w:pBdr>
        <w:jc w:val="both"/>
        <w:rPr>
          <w:rFonts w:ascii="Arial Narrow" w:eastAsia="Arial Narrow" w:hAnsi="Arial Narrow" w:cs="Arial Narrow"/>
          <w:b/>
          <w:sz w:val="22"/>
          <w:szCs w:val="22"/>
        </w:rPr>
      </w:pPr>
    </w:p>
    <w:p w14:paraId="1B0E7899" w14:textId="77777777" w:rsidR="008A6B9D" w:rsidRDefault="008A6B9D">
      <w:pPr>
        <w:pBdr>
          <w:top w:val="nil"/>
          <w:left w:val="nil"/>
          <w:bottom w:val="nil"/>
          <w:right w:val="nil"/>
          <w:between w:val="nil"/>
        </w:pBdr>
        <w:jc w:val="both"/>
        <w:rPr>
          <w:rFonts w:ascii="Arial Narrow" w:eastAsia="Arial Narrow" w:hAnsi="Arial Narrow" w:cs="Arial Narrow"/>
          <w:b/>
          <w:sz w:val="22"/>
          <w:szCs w:val="22"/>
        </w:rPr>
      </w:pPr>
    </w:p>
    <w:p w14:paraId="15354772" w14:textId="77777777" w:rsidR="008A6B9D" w:rsidRDefault="008A6B9D">
      <w:pPr>
        <w:pBdr>
          <w:top w:val="nil"/>
          <w:left w:val="nil"/>
          <w:bottom w:val="nil"/>
          <w:right w:val="nil"/>
          <w:between w:val="nil"/>
        </w:pBdr>
        <w:jc w:val="both"/>
        <w:rPr>
          <w:rFonts w:ascii="Arial Narrow" w:eastAsia="Arial Narrow" w:hAnsi="Arial Narrow" w:cs="Arial Narrow"/>
          <w:b/>
          <w:sz w:val="22"/>
          <w:szCs w:val="22"/>
        </w:rPr>
      </w:pPr>
    </w:p>
    <w:sdt>
      <w:sdtPr>
        <w:id w:val="-764598240"/>
        <w:docPartObj>
          <w:docPartGallery w:val="Table of Contents"/>
          <w:docPartUnique/>
        </w:docPartObj>
      </w:sdtPr>
      <w:sdtEndPr/>
      <w:sdtContent>
        <w:p w14:paraId="3802AD4B" w14:textId="77777777" w:rsidR="008A6B9D" w:rsidRDefault="008A16FD">
          <w:pPr>
            <w:widowControl w:val="0"/>
            <w:tabs>
              <w:tab w:val="right" w:pos="12000"/>
            </w:tabs>
            <w:spacing w:before="6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gjdgxs">
            <w:r>
              <w:rPr>
                <w:rFonts w:ascii="Arial Narrow" w:eastAsia="Arial Narrow" w:hAnsi="Arial Narrow" w:cs="Arial Narrow"/>
                <w:b/>
                <w:color w:val="000000"/>
                <w:sz w:val="22"/>
                <w:szCs w:val="22"/>
              </w:rPr>
              <w:t>1. ARTICULADO</w:t>
            </w:r>
            <w:r>
              <w:rPr>
                <w:rFonts w:ascii="Arial Narrow" w:eastAsia="Arial Narrow" w:hAnsi="Arial Narrow" w:cs="Arial Narrow"/>
                <w:b/>
                <w:color w:val="000000"/>
                <w:sz w:val="22"/>
                <w:szCs w:val="22"/>
              </w:rPr>
              <w:tab/>
              <w:t>3</w:t>
            </w:r>
          </w:hyperlink>
        </w:p>
        <w:p w14:paraId="59BED7A8" w14:textId="77777777" w:rsidR="008A6B9D" w:rsidRDefault="008A16FD">
          <w:pPr>
            <w:widowControl w:val="0"/>
            <w:tabs>
              <w:tab w:val="right" w:pos="12000"/>
            </w:tabs>
            <w:spacing w:before="60"/>
            <w:rPr>
              <w:rFonts w:ascii="Arial" w:eastAsia="Arial" w:hAnsi="Arial" w:cs="Arial"/>
              <w:b/>
              <w:color w:val="000000"/>
              <w:sz w:val="22"/>
              <w:szCs w:val="22"/>
            </w:rPr>
          </w:pPr>
          <w:hyperlink w:anchor="_heading=h.1fob9te">
            <w:r>
              <w:rPr>
                <w:rFonts w:ascii="Arial Narrow" w:eastAsia="Arial Narrow" w:hAnsi="Arial Narrow" w:cs="Arial Narrow"/>
                <w:b/>
                <w:color w:val="000000"/>
                <w:sz w:val="22"/>
                <w:szCs w:val="22"/>
              </w:rPr>
              <w:t>2. EXPOSICIÓN DE MOTIVOS</w:t>
            </w:r>
            <w:r>
              <w:rPr>
                <w:rFonts w:ascii="Arial Narrow" w:eastAsia="Arial Narrow" w:hAnsi="Arial Narrow" w:cs="Arial Narrow"/>
                <w:b/>
                <w:color w:val="000000"/>
                <w:sz w:val="22"/>
                <w:szCs w:val="22"/>
              </w:rPr>
              <w:tab/>
              <w:t>5</w:t>
            </w:r>
          </w:hyperlink>
        </w:p>
        <w:p w14:paraId="096437D4" w14:textId="77777777" w:rsidR="008A6B9D" w:rsidRDefault="008A16FD">
          <w:pPr>
            <w:widowControl w:val="0"/>
            <w:tabs>
              <w:tab w:val="right" w:pos="12000"/>
            </w:tabs>
            <w:spacing w:before="60"/>
            <w:ind w:left="360"/>
            <w:rPr>
              <w:rFonts w:ascii="Arial" w:eastAsia="Arial" w:hAnsi="Arial" w:cs="Arial"/>
              <w:color w:val="000000"/>
              <w:sz w:val="22"/>
              <w:szCs w:val="22"/>
            </w:rPr>
          </w:pPr>
          <w:hyperlink w:anchor="_heading=h.3znysh7">
            <w:r>
              <w:rPr>
                <w:rFonts w:ascii="Arial Narrow" w:eastAsia="Arial Narrow" w:hAnsi="Arial Narrow" w:cs="Arial Narrow"/>
                <w:color w:val="000000"/>
                <w:sz w:val="22"/>
                <w:szCs w:val="22"/>
              </w:rPr>
              <w:t>2.1. Presentación y síntesis del proyecto</w:t>
            </w:r>
            <w:r>
              <w:rPr>
                <w:rFonts w:ascii="Arial Narrow" w:eastAsia="Arial Narrow" w:hAnsi="Arial Narrow" w:cs="Arial Narrow"/>
                <w:color w:val="000000"/>
                <w:sz w:val="22"/>
                <w:szCs w:val="22"/>
              </w:rPr>
              <w:tab/>
              <w:t>5</w:t>
            </w:r>
          </w:hyperlink>
        </w:p>
        <w:p w14:paraId="64BE73CA" w14:textId="77777777" w:rsidR="008A6B9D" w:rsidRDefault="008A16FD">
          <w:pPr>
            <w:widowControl w:val="0"/>
            <w:tabs>
              <w:tab w:val="right" w:pos="12000"/>
            </w:tabs>
            <w:spacing w:before="60"/>
            <w:ind w:left="360"/>
            <w:rPr>
              <w:rFonts w:ascii="Arial" w:eastAsia="Arial" w:hAnsi="Arial" w:cs="Arial"/>
              <w:color w:val="000000"/>
              <w:sz w:val="22"/>
              <w:szCs w:val="22"/>
            </w:rPr>
          </w:pPr>
          <w:hyperlink w:anchor="_heading=h.2et92p0">
            <w:r>
              <w:rPr>
                <w:rFonts w:ascii="Arial Narrow" w:eastAsia="Arial Narrow" w:hAnsi="Arial Narrow" w:cs="Arial Narrow"/>
                <w:color w:val="000000"/>
                <w:sz w:val="22"/>
                <w:szCs w:val="22"/>
              </w:rPr>
              <w:t>2.2. Contenido del proyecto</w:t>
            </w:r>
            <w:r>
              <w:rPr>
                <w:rFonts w:ascii="Arial Narrow" w:eastAsia="Arial Narrow" w:hAnsi="Arial Narrow" w:cs="Arial Narrow"/>
                <w:color w:val="000000"/>
                <w:sz w:val="22"/>
                <w:szCs w:val="22"/>
              </w:rPr>
              <w:tab/>
              <w:t>5</w:t>
            </w:r>
          </w:hyperlink>
        </w:p>
        <w:p w14:paraId="796CF9ED" w14:textId="77777777" w:rsidR="008A6B9D" w:rsidRDefault="008A16FD">
          <w:pPr>
            <w:widowControl w:val="0"/>
            <w:tabs>
              <w:tab w:val="right" w:pos="12000"/>
            </w:tabs>
            <w:spacing w:before="60"/>
            <w:ind w:left="360"/>
            <w:rPr>
              <w:rFonts w:ascii="Arial" w:eastAsia="Arial" w:hAnsi="Arial" w:cs="Arial"/>
              <w:color w:val="000000"/>
              <w:sz w:val="22"/>
              <w:szCs w:val="22"/>
            </w:rPr>
          </w:pPr>
          <w:hyperlink w:anchor="_heading=h.tyjcwt">
            <w:r>
              <w:rPr>
                <w:rFonts w:ascii="Arial Narrow" w:eastAsia="Arial Narrow" w:hAnsi="Arial Narrow" w:cs="Arial Narrow"/>
                <w:color w:val="000000"/>
                <w:sz w:val="22"/>
                <w:szCs w:val="22"/>
              </w:rPr>
              <w:t>2.3. Justificación</w:t>
            </w:r>
            <w:r>
              <w:rPr>
                <w:rFonts w:ascii="Arial Narrow" w:eastAsia="Arial Narrow" w:hAnsi="Arial Narrow" w:cs="Arial Narrow"/>
                <w:color w:val="000000"/>
                <w:sz w:val="22"/>
                <w:szCs w:val="22"/>
              </w:rPr>
              <w:tab/>
              <w:t>5</w:t>
            </w:r>
          </w:hyperlink>
        </w:p>
        <w:p w14:paraId="64BCE85D" w14:textId="77777777" w:rsidR="008A6B9D" w:rsidRDefault="008A16FD">
          <w:pPr>
            <w:widowControl w:val="0"/>
            <w:tabs>
              <w:tab w:val="right" w:pos="12000"/>
            </w:tabs>
            <w:spacing w:before="60"/>
            <w:ind w:left="720"/>
            <w:rPr>
              <w:rFonts w:ascii="Arial" w:eastAsia="Arial" w:hAnsi="Arial" w:cs="Arial"/>
              <w:color w:val="000000"/>
              <w:sz w:val="22"/>
              <w:szCs w:val="22"/>
            </w:rPr>
          </w:pPr>
          <w:hyperlink w:anchor="_heading=h.sytamapx9hqx">
            <w:r>
              <w:rPr>
                <w:rFonts w:ascii="Arial Narrow" w:eastAsia="Arial Narrow" w:hAnsi="Arial Narrow" w:cs="Arial Narrow"/>
                <w:color w:val="000000"/>
                <w:sz w:val="22"/>
                <w:szCs w:val="22"/>
              </w:rPr>
              <w:t>2.3.1 Aspectos biográficos de “ANTONIO NARIÑO”</w:t>
            </w:r>
            <w:r>
              <w:rPr>
                <w:rFonts w:ascii="Arial Narrow" w:eastAsia="Arial Narrow" w:hAnsi="Arial Narrow" w:cs="Arial Narrow"/>
                <w:color w:val="000000"/>
                <w:sz w:val="22"/>
                <w:szCs w:val="22"/>
              </w:rPr>
              <w:tab/>
              <w:t>5</w:t>
            </w:r>
          </w:hyperlink>
        </w:p>
        <w:p w14:paraId="3E2B2DF3" w14:textId="77777777" w:rsidR="008A6B9D" w:rsidRDefault="008A16FD">
          <w:pPr>
            <w:widowControl w:val="0"/>
            <w:tabs>
              <w:tab w:val="right" w:pos="12000"/>
            </w:tabs>
            <w:spacing w:before="60"/>
            <w:ind w:left="720"/>
            <w:rPr>
              <w:rFonts w:ascii="Arial" w:eastAsia="Arial" w:hAnsi="Arial" w:cs="Arial"/>
              <w:color w:val="000000"/>
              <w:sz w:val="22"/>
              <w:szCs w:val="22"/>
            </w:rPr>
          </w:pPr>
          <w:hyperlink w:anchor="_heading=h.idq1x0496bjl">
            <w:r>
              <w:rPr>
                <w:rFonts w:ascii="Arial Narrow" w:eastAsia="Arial Narrow" w:hAnsi="Arial Narrow" w:cs="Arial Narrow"/>
                <w:color w:val="000000"/>
                <w:sz w:val="22"/>
                <w:szCs w:val="22"/>
              </w:rPr>
              <w:t>2.3.2. Reseña de Villa de Leyva</w:t>
            </w:r>
            <w:r>
              <w:rPr>
                <w:rFonts w:ascii="Arial Narrow" w:eastAsia="Arial Narrow" w:hAnsi="Arial Narrow" w:cs="Arial Narrow"/>
                <w:color w:val="000000"/>
                <w:sz w:val="22"/>
                <w:szCs w:val="22"/>
              </w:rPr>
              <w:tab/>
              <w:t>6</w:t>
            </w:r>
          </w:hyperlink>
        </w:p>
        <w:p w14:paraId="198E87EA" w14:textId="77777777" w:rsidR="008A6B9D" w:rsidRDefault="008A16FD">
          <w:pPr>
            <w:widowControl w:val="0"/>
            <w:tabs>
              <w:tab w:val="right" w:pos="12000"/>
            </w:tabs>
            <w:spacing w:before="60"/>
            <w:ind w:left="720"/>
            <w:rPr>
              <w:rFonts w:ascii="Arial" w:eastAsia="Arial" w:hAnsi="Arial" w:cs="Arial"/>
              <w:color w:val="000000"/>
              <w:sz w:val="22"/>
              <w:szCs w:val="22"/>
            </w:rPr>
          </w:pPr>
          <w:hyperlink w:anchor="_heading=h.fb5pmie8kkxx">
            <w:r>
              <w:rPr>
                <w:rFonts w:ascii="Arial Narrow" w:eastAsia="Arial Narrow" w:hAnsi="Arial Narrow" w:cs="Arial Narrow"/>
                <w:color w:val="000000"/>
                <w:sz w:val="22"/>
                <w:szCs w:val="22"/>
              </w:rPr>
              <w:t>2.3.3. Pretensiones de la Iniciativa Legislativa.</w:t>
            </w:r>
            <w:r>
              <w:rPr>
                <w:rFonts w:ascii="Arial Narrow" w:eastAsia="Arial Narrow" w:hAnsi="Arial Narrow" w:cs="Arial Narrow"/>
                <w:color w:val="000000"/>
                <w:sz w:val="22"/>
                <w:szCs w:val="22"/>
              </w:rPr>
              <w:tab/>
              <w:t>7</w:t>
            </w:r>
          </w:hyperlink>
        </w:p>
        <w:p w14:paraId="0C00DE2C" w14:textId="77777777" w:rsidR="008A6B9D" w:rsidRDefault="008A16FD">
          <w:pPr>
            <w:widowControl w:val="0"/>
            <w:tabs>
              <w:tab w:val="right" w:pos="12000"/>
            </w:tabs>
            <w:spacing w:before="60"/>
            <w:ind w:left="1080"/>
            <w:rPr>
              <w:rFonts w:ascii="Arial" w:eastAsia="Arial" w:hAnsi="Arial" w:cs="Arial"/>
              <w:color w:val="000000"/>
              <w:sz w:val="22"/>
              <w:szCs w:val="22"/>
            </w:rPr>
          </w:pPr>
          <w:hyperlink w:anchor="_heading=h.c6m678rklxrc">
            <w:r>
              <w:rPr>
                <w:rFonts w:ascii="Arial Narrow" w:eastAsia="Arial Narrow" w:hAnsi="Arial Narrow" w:cs="Arial Narrow"/>
                <w:color w:val="000000"/>
                <w:sz w:val="22"/>
                <w:szCs w:val="22"/>
              </w:rPr>
              <w:t>A) Exaltar a la Iglesia de Nuestra Señora del Rosario de Villa de Leyva por ser el sitio donde fue sepultado inicialmente “ANTONIO NARIÑO”:</w:t>
            </w:r>
            <w:r>
              <w:rPr>
                <w:rFonts w:ascii="Arial Narrow" w:eastAsia="Arial Narrow" w:hAnsi="Arial Narrow" w:cs="Arial Narrow"/>
                <w:color w:val="000000"/>
                <w:sz w:val="22"/>
                <w:szCs w:val="22"/>
              </w:rPr>
              <w:tab/>
              <w:t>7</w:t>
            </w:r>
          </w:hyperlink>
        </w:p>
        <w:p w14:paraId="18580060" w14:textId="77777777" w:rsidR="008A6B9D" w:rsidRDefault="008A16FD">
          <w:pPr>
            <w:widowControl w:val="0"/>
            <w:tabs>
              <w:tab w:val="right" w:pos="12000"/>
            </w:tabs>
            <w:spacing w:before="60"/>
            <w:ind w:left="1080"/>
            <w:rPr>
              <w:rFonts w:ascii="Arial" w:eastAsia="Arial" w:hAnsi="Arial" w:cs="Arial"/>
              <w:b/>
              <w:color w:val="000000"/>
              <w:sz w:val="22"/>
              <w:szCs w:val="22"/>
            </w:rPr>
          </w:pPr>
          <w:hyperlink w:anchor="_heading=h.ljlymgqehtdm">
            <w:r>
              <w:rPr>
                <w:rFonts w:ascii="Arial Narrow" w:eastAsia="Arial Narrow" w:hAnsi="Arial Narrow" w:cs="Arial Narrow"/>
                <w:color w:val="000000"/>
                <w:sz w:val="22"/>
                <w:szCs w:val="22"/>
              </w:rPr>
              <w:t xml:space="preserve">B) Otorgar el nombre de “ANTONIO NARIÑO” a la </w:t>
            </w:r>
            <w:r>
              <w:rPr>
                <w:rFonts w:ascii="Arial Narrow" w:eastAsia="Arial Narrow" w:hAnsi="Arial Narrow" w:cs="Arial Narrow"/>
                <w:color w:val="000000"/>
                <w:sz w:val="22"/>
                <w:szCs w:val="22"/>
              </w:rPr>
              <w:t>actual Avenida Circunvalar que rodea parte del municipio de Villa de Leyva, autorizando realizar inversiones en la misma y a la construcción de una placa conmemorativa.</w:t>
            </w:r>
            <w:r>
              <w:rPr>
                <w:rFonts w:ascii="Arial Narrow" w:eastAsia="Arial Narrow" w:hAnsi="Arial Narrow" w:cs="Arial Narrow"/>
                <w:color w:val="000000"/>
                <w:sz w:val="22"/>
                <w:szCs w:val="22"/>
              </w:rPr>
              <w:tab/>
              <w:t>8</w:t>
            </w:r>
          </w:hyperlink>
        </w:p>
        <w:p w14:paraId="031313CF" w14:textId="77777777" w:rsidR="008A6B9D" w:rsidRDefault="008A16FD">
          <w:pPr>
            <w:widowControl w:val="0"/>
            <w:tabs>
              <w:tab w:val="right" w:pos="12000"/>
            </w:tabs>
            <w:spacing w:before="60"/>
            <w:ind w:left="1080"/>
            <w:rPr>
              <w:rFonts w:ascii="Arial" w:eastAsia="Arial" w:hAnsi="Arial" w:cs="Arial"/>
              <w:b/>
              <w:color w:val="000000"/>
              <w:sz w:val="22"/>
              <w:szCs w:val="22"/>
            </w:rPr>
          </w:pPr>
          <w:hyperlink w:anchor="_heading=h.j5r4d87qd23j">
            <w:r>
              <w:rPr>
                <w:rFonts w:ascii="Arial Narrow" w:eastAsia="Arial Narrow" w:hAnsi="Arial Narrow" w:cs="Arial Narrow"/>
                <w:color w:val="000000"/>
                <w:sz w:val="22"/>
                <w:szCs w:val="22"/>
              </w:rPr>
              <w:t>C) Erigir un busto en bronce en honor a</w:t>
            </w:r>
            <w:r>
              <w:rPr>
                <w:rFonts w:ascii="Arial Narrow" w:eastAsia="Arial Narrow" w:hAnsi="Arial Narrow" w:cs="Arial Narrow"/>
                <w:color w:val="000000"/>
                <w:sz w:val="22"/>
                <w:szCs w:val="22"/>
              </w:rPr>
              <w:t xml:space="preserve"> “ANTONIO NARIÑO”, el cual será ubicado en la Real Fábrica de Licores de Villa de Leyva, autorizando los recursos para garantizar la restauración y el mantenimiento de esta edificación.</w:t>
            </w:r>
            <w:r>
              <w:rPr>
                <w:rFonts w:ascii="Arial Narrow" w:eastAsia="Arial Narrow" w:hAnsi="Arial Narrow" w:cs="Arial Narrow"/>
                <w:color w:val="000000"/>
                <w:sz w:val="22"/>
                <w:szCs w:val="22"/>
              </w:rPr>
              <w:tab/>
              <w:t>9</w:t>
            </w:r>
          </w:hyperlink>
        </w:p>
        <w:p w14:paraId="0DEB90C5" w14:textId="77777777" w:rsidR="008A6B9D" w:rsidRDefault="008A16FD">
          <w:pPr>
            <w:widowControl w:val="0"/>
            <w:tabs>
              <w:tab w:val="right" w:pos="12000"/>
            </w:tabs>
            <w:spacing w:before="60"/>
            <w:ind w:left="360"/>
            <w:rPr>
              <w:rFonts w:ascii="Arial" w:eastAsia="Arial" w:hAnsi="Arial" w:cs="Arial"/>
              <w:color w:val="000000"/>
              <w:sz w:val="22"/>
              <w:szCs w:val="22"/>
            </w:rPr>
          </w:pPr>
          <w:hyperlink w:anchor="_heading=h.845380r3ivax">
            <w:r>
              <w:rPr>
                <w:rFonts w:ascii="Arial Narrow" w:eastAsia="Arial Narrow" w:hAnsi="Arial Narrow" w:cs="Arial Narrow"/>
                <w:color w:val="000000"/>
                <w:sz w:val="22"/>
                <w:szCs w:val="22"/>
              </w:rPr>
              <w:t>2.4. Marco Constitucio</w:t>
            </w:r>
            <w:r>
              <w:rPr>
                <w:rFonts w:ascii="Arial Narrow" w:eastAsia="Arial Narrow" w:hAnsi="Arial Narrow" w:cs="Arial Narrow"/>
                <w:color w:val="000000"/>
                <w:sz w:val="22"/>
                <w:szCs w:val="22"/>
              </w:rPr>
              <w:t>nal, legal y jurisprudencial</w:t>
            </w:r>
            <w:r>
              <w:rPr>
                <w:rFonts w:ascii="Arial Narrow" w:eastAsia="Arial Narrow" w:hAnsi="Arial Narrow" w:cs="Arial Narrow"/>
                <w:color w:val="000000"/>
                <w:sz w:val="22"/>
                <w:szCs w:val="22"/>
              </w:rPr>
              <w:tab/>
              <w:t>11</w:t>
            </w:r>
          </w:hyperlink>
        </w:p>
        <w:p w14:paraId="211D7B43" w14:textId="77777777" w:rsidR="008A6B9D" w:rsidRDefault="008A16FD">
          <w:pPr>
            <w:widowControl w:val="0"/>
            <w:tabs>
              <w:tab w:val="right" w:pos="12000"/>
            </w:tabs>
            <w:spacing w:before="60"/>
            <w:ind w:left="720"/>
            <w:rPr>
              <w:rFonts w:ascii="Arial" w:eastAsia="Arial" w:hAnsi="Arial" w:cs="Arial"/>
              <w:color w:val="000000"/>
              <w:sz w:val="22"/>
              <w:szCs w:val="22"/>
            </w:rPr>
          </w:pPr>
          <w:hyperlink w:anchor="_heading=h.ycpvr54ec3ja">
            <w:r>
              <w:rPr>
                <w:rFonts w:ascii="Arial Narrow" w:eastAsia="Arial Narrow" w:hAnsi="Arial Narrow" w:cs="Arial Narrow"/>
                <w:color w:val="000000"/>
                <w:sz w:val="22"/>
                <w:szCs w:val="22"/>
              </w:rPr>
              <w:t>2.4.1 Marco Constitucional.</w:t>
            </w:r>
            <w:r>
              <w:rPr>
                <w:rFonts w:ascii="Arial Narrow" w:eastAsia="Arial Narrow" w:hAnsi="Arial Narrow" w:cs="Arial Narrow"/>
                <w:color w:val="000000"/>
                <w:sz w:val="22"/>
                <w:szCs w:val="22"/>
              </w:rPr>
              <w:tab/>
              <w:t>11</w:t>
            </w:r>
          </w:hyperlink>
        </w:p>
        <w:p w14:paraId="030E6B79" w14:textId="77777777" w:rsidR="008A6B9D" w:rsidRDefault="008A16FD">
          <w:pPr>
            <w:widowControl w:val="0"/>
            <w:tabs>
              <w:tab w:val="right" w:pos="12000"/>
            </w:tabs>
            <w:spacing w:before="60"/>
            <w:ind w:left="720"/>
            <w:rPr>
              <w:rFonts w:ascii="Arial" w:eastAsia="Arial" w:hAnsi="Arial" w:cs="Arial"/>
              <w:color w:val="000000"/>
              <w:sz w:val="22"/>
              <w:szCs w:val="22"/>
            </w:rPr>
          </w:pPr>
          <w:hyperlink w:anchor="_heading=h.23evxdcfkacv">
            <w:r>
              <w:rPr>
                <w:rFonts w:ascii="Arial Narrow" w:eastAsia="Arial Narrow" w:hAnsi="Arial Narrow" w:cs="Arial Narrow"/>
                <w:color w:val="000000"/>
                <w:sz w:val="22"/>
                <w:szCs w:val="22"/>
              </w:rPr>
              <w:t>2.4.2. Marco Legal y Reglamentario.</w:t>
            </w:r>
            <w:r>
              <w:rPr>
                <w:rFonts w:ascii="Arial Narrow" w:eastAsia="Arial Narrow" w:hAnsi="Arial Narrow" w:cs="Arial Narrow"/>
                <w:color w:val="000000"/>
                <w:sz w:val="22"/>
                <w:szCs w:val="22"/>
              </w:rPr>
              <w:tab/>
              <w:t>12</w:t>
            </w:r>
          </w:hyperlink>
        </w:p>
        <w:p w14:paraId="5B3DA1ED" w14:textId="77777777" w:rsidR="008A6B9D" w:rsidRDefault="008A16FD">
          <w:pPr>
            <w:widowControl w:val="0"/>
            <w:tabs>
              <w:tab w:val="right" w:pos="12000"/>
            </w:tabs>
            <w:spacing w:before="60"/>
            <w:ind w:left="720"/>
            <w:rPr>
              <w:rFonts w:ascii="Arial Narrow" w:eastAsia="Arial Narrow" w:hAnsi="Arial Narrow" w:cs="Arial Narrow"/>
              <w:color w:val="000000"/>
              <w:sz w:val="22"/>
              <w:szCs w:val="22"/>
            </w:rPr>
          </w:pPr>
          <w:hyperlink w:anchor="_heading=h.pwzygh3guof3">
            <w:r>
              <w:rPr>
                <w:rFonts w:ascii="Arial Narrow" w:eastAsia="Arial Narrow" w:hAnsi="Arial Narrow" w:cs="Arial Narrow"/>
                <w:color w:val="000000"/>
                <w:sz w:val="22"/>
                <w:szCs w:val="22"/>
              </w:rPr>
              <w:t>2.4.3. Marco Jurisprudencial.</w:t>
            </w:r>
            <w:r>
              <w:rPr>
                <w:rFonts w:ascii="Arial Narrow" w:eastAsia="Arial Narrow" w:hAnsi="Arial Narrow" w:cs="Arial Narrow"/>
                <w:color w:val="000000"/>
                <w:sz w:val="22"/>
                <w:szCs w:val="22"/>
              </w:rPr>
              <w:tab/>
              <w:t>12</w:t>
            </w:r>
          </w:hyperlink>
        </w:p>
        <w:p w14:paraId="6679D7F1" w14:textId="77777777" w:rsidR="008A6B9D" w:rsidRDefault="008A16FD">
          <w:pPr>
            <w:widowControl w:val="0"/>
            <w:tabs>
              <w:tab w:val="right" w:pos="12000"/>
            </w:tabs>
            <w:spacing w:before="60"/>
            <w:rPr>
              <w:rFonts w:ascii="Arial" w:eastAsia="Arial" w:hAnsi="Arial" w:cs="Arial"/>
              <w:b/>
              <w:color w:val="000000"/>
              <w:sz w:val="22"/>
              <w:szCs w:val="22"/>
            </w:rPr>
          </w:pPr>
          <w:hyperlink w:anchor="_heading=h.72q0mkz17jog">
            <w:r>
              <w:rPr>
                <w:rFonts w:ascii="Arial Narrow" w:eastAsia="Arial Narrow" w:hAnsi="Arial Narrow" w:cs="Arial Narrow"/>
                <w:b/>
                <w:color w:val="000000"/>
                <w:sz w:val="22"/>
                <w:szCs w:val="22"/>
              </w:rPr>
              <w:t>3. Análisis de impacto fiscal artículo 7 Ley 819 de 2003.</w:t>
            </w:r>
            <w:r>
              <w:rPr>
                <w:rFonts w:ascii="Arial Narrow" w:eastAsia="Arial Narrow" w:hAnsi="Arial Narrow" w:cs="Arial Narrow"/>
                <w:b/>
                <w:color w:val="000000"/>
                <w:sz w:val="22"/>
                <w:szCs w:val="22"/>
              </w:rPr>
              <w:tab/>
              <w:t>13</w:t>
            </w:r>
          </w:hyperlink>
        </w:p>
        <w:p w14:paraId="6B5E1708" w14:textId="77777777" w:rsidR="008A6B9D" w:rsidRDefault="008A16FD">
          <w:pPr>
            <w:widowControl w:val="0"/>
            <w:tabs>
              <w:tab w:val="right" w:pos="12000"/>
            </w:tabs>
            <w:spacing w:before="60"/>
            <w:rPr>
              <w:rFonts w:ascii="Arial" w:eastAsia="Arial" w:hAnsi="Arial" w:cs="Arial"/>
              <w:b/>
              <w:color w:val="000000"/>
              <w:sz w:val="22"/>
              <w:szCs w:val="22"/>
            </w:rPr>
          </w:pPr>
          <w:hyperlink w:anchor="_heading=h.1t3h5sf">
            <w:r>
              <w:rPr>
                <w:rFonts w:ascii="Arial Narrow" w:eastAsia="Arial Narrow" w:hAnsi="Arial Narrow" w:cs="Arial Narrow"/>
                <w:b/>
                <w:color w:val="000000"/>
                <w:sz w:val="22"/>
                <w:szCs w:val="22"/>
              </w:rPr>
              <w:t>4. Conflictos de intereses – Ar</w:t>
            </w:r>
            <w:r>
              <w:rPr>
                <w:rFonts w:ascii="Arial Narrow" w:eastAsia="Arial Narrow" w:hAnsi="Arial Narrow" w:cs="Arial Narrow"/>
                <w:b/>
                <w:color w:val="000000"/>
                <w:sz w:val="22"/>
                <w:szCs w:val="22"/>
              </w:rPr>
              <w:t>tículo 291 de la Ley 5 de 1992</w:t>
            </w:r>
            <w:r>
              <w:rPr>
                <w:rFonts w:ascii="Arial Narrow" w:eastAsia="Arial Narrow" w:hAnsi="Arial Narrow" w:cs="Arial Narrow"/>
                <w:b/>
                <w:color w:val="000000"/>
                <w:sz w:val="22"/>
                <w:szCs w:val="22"/>
              </w:rPr>
              <w:tab/>
              <w:t>14</w:t>
            </w:r>
          </w:hyperlink>
        </w:p>
        <w:p w14:paraId="13A68FFC" w14:textId="77777777" w:rsidR="008A6B9D" w:rsidRDefault="008A16FD">
          <w:pPr>
            <w:widowControl w:val="0"/>
            <w:tabs>
              <w:tab w:val="right" w:pos="12000"/>
            </w:tabs>
            <w:spacing w:before="60"/>
            <w:rPr>
              <w:rFonts w:ascii="Arial" w:eastAsia="Arial" w:hAnsi="Arial" w:cs="Arial"/>
              <w:b/>
              <w:color w:val="000000"/>
              <w:sz w:val="22"/>
              <w:szCs w:val="22"/>
            </w:rPr>
          </w:pPr>
          <w:hyperlink w:anchor="_heading=h.4d34og8">
            <w:r>
              <w:rPr>
                <w:rFonts w:ascii="Arial Narrow" w:eastAsia="Arial Narrow" w:hAnsi="Arial Narrow" w:cs="Arial Narrow"/>
                <w:b/>
                <w:color w:val="000000"/>
                <w:sz w:val="22"/>
                <w:szCs w:val="22"/>
              </w:rPr>
              <w:t>5. Fuentes consultadas</w:t>
            </w:r>
            <w:r>
              <w:rPr>
                <w:rFonts w:ascii="Arial Narrow" w:eastAsia="Arial Narrow" w:hAnsi="Arial Narrow" w:cs="Arial Narrow"/>
                <w:b/>
                <w:color w:val="000000"/>
                <w:sz w:val="22"/>
                <w:szCs w:val="22"/>
              </w:rPr>
              <w:tab/>
              <w:t>16</w:t>
            </w:r>
          </w:hyperlink>
          <w:r>
            <w:fldChar w:fldCharType="end"/>
          </w:r>
        </w:p>
      </w:sdtContent>
    </w:sdt>
    <w:p w14:paraId="77EE769C" w14:textId="77777777" w:rsidR="008A6B9D" w:rsidRDefault="008A6B9D">
      <w:pPr>
        <w:pBdr>
          <w:top w:val="nil"/>
          <w:left w:val="nil"/>
          <w:bottom w:val="nil"/>
          <w:right w:val="nil"/>
          <w:between w:val="nil"/>
        </w:pBdr>
        <w:tabs>
          <w:tab w:val="left" w:pos="480"/>
          <w:tab w:val="right" w:pos="9340"/>
        </w:tabs>
        <w:jc w:val="both"/>
        <w:rPr>
          <w:rFonts w:ascii="Arial Narrow" w:eastAsia="Arial Narrow" w:hAnsi="Arial Narrow" w:cs="Arial Narrow"/>
          <w:b/>
          <w:color w:val="000000"/>
          <w:sz w:val="22"/>
          <w:szCs w:val="22"/>
        </w:rPr>
      </w:pPr>
    </w:p>
    <w:p w14:paraId="12492421"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1AFBB75E"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45B65F86"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007B7160"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1AB90D40"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483E0B85"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0F4CC64C"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0F600CA8"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72D24199"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072B901C"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2D4429A9"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2AFF07AC"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14D60BB5"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728BD766" w14:textId="77777777" w:rsidR="008A6B9D" w:rsidRDefault="008A16FD">
      <w:pPr>
        <w:numPr>
          <w:ilvl w:val="0"/>
          <w:numId w:val="1"/>
        </w:numPr>
        <w:pBdr>
          <w:top w:val="nil"/>
          <w:left w:val="nil"/>
          <w:bottom w:val="nil"/>
          <w:right w:val="nil"/>
          <w:between w:val="nil"/>
        </w:pBdr>
        <w:jc w:val="both"/>
        <w:rPr>
          <w:rFonts w:ascii="Arial Narrow" w:eastAsia="Arial Narrow" w:hAnsi="Arial Narrow" w:cs="Arial Narrow"/>
          <w:b/>
          <w:color w:val="000000"/>
          <w:sz w:val="22"/>
          <w:szCs w:val="22"/>
        </w:rPr>
      </w:pPr>
      <w:bookmarkStart w:id="0" w:name="_heading=h.gjdgxs" w:colFirst="0" w:colLast="0"/>
      <w:bookmarkEnd w:id="0"/>
      <w:r>
        <w:rPr>
          <w:rFonts w:ascii="Arial Narrow" w:eastAsia="Arial Narrow" w:hAnsi="Arial Narrow" w:cs="Arial Narrow"/>
          <w:b/>
          <w:color w:val="000000"/>
          <w:sz w:val="22"/>
          <w:szCs w:val="22"/>
        </w:rPr>
        <w:t>ARTICULADO</w:t>
      </w:r>
    </w:p>
    <w:p w14:paraId="79D34A2E" w14:textId="77777777" w:rsidR="008A6B9D" w:rsidRDefault="008A6B9D">
      <w:pPr>
        <w:pBdr>
          <w:top w:val="nil"/>
          <w:left w:val="nil"/>
          <w:bottom w:val="nil"/>
          <w:right w:val="nil"/>
          <w:between w:val="nil"/>
        </w:pBdr>
        <w:ind w:right="4"/>
        <w:jc w:val="both"/>
        <w:rPr>
          <w:rFonts w:ascii="Arial Narrow" w:eastAsia="Arial Narrow" w:hAnsi="Arial Narrow" w:cs="Arial Narrow"/>
          <w:b/>
          <w:color w:val="000000"/>
          <w:sz w:val="22"/>
          <w:szCs w:val="22"/>
        </w:rPr>
      </w:pPr>
    </w:p>
    <w:p w14:paraId="39D1B6BB" w14:textId="77777777" w:rsidR="008A6B9D" w:rsidRDefault="008A6B9D">
      <w:pPr>
        <w:pBdr>
          <w:top w:val="nil"/>
          <w:left w:val="nil"/>
          <w:bottom w:val="nil"/>
          <w:right w:val="nil"/>
          <w:between w:val="nil"/>
        </w:pBdr>
        <w:ind w:right="4"/>
        <w:jc w:val="both"/>
        <w:rPr>
          <w:rFonts w:ascii="Arial Narrow" w:eastAsia="Arial Narrow" w:hAnsi="Arial Narrow" w:cs="Arial Narrow"/>
          <w:b/>
          <w:color w:val="000000"/>
          <w:sz w:val="22"/>
          <w:szCs w:val="22"/>
        </w:rPr>
      </w:pPr>
    </w:p>
    <w:p w14:paraId="3D5BECB1" w14:textId="77777777" w:rsidR="008A6B9D" w:rsidRDefault="008A16FD">
      <w:pPr>
        <w:pBdr>
          <w:top w:val="nil"/>
          <w:left w:val="nil"/>
          <w:bottom w:val="nil"/>
          <w:right w:val="nil"/>
          <w:between w:val="nil"/>
        </w:pBdr>
        <w:ind w:right="4"/>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PROYECTO DE LEY _________ DE 2023</w:t>
      </w:r>
    </w:p>
    <w:p w14:paraId="0A940417" w14:textId="77777777" w:rsidR="008A6B9D" w:rsidRDefault="008A6B9D">
      <w:pPr>
        <w:pBdr>
          <w:top w:val="nil"/>
          <w:left w:val="nil"/>
          <w:bottom w:val="nil"/>
          <w:right w:val="nil"/>
          <w:between w:val="nil"/>
        </w:pBdr>
        <w:ind w:right="4"/>
        <w:jc w:val="center"/>
        <w:rPr>
          <w:rFonts w:ascii="Arial Narrow" w:eastAsia="Arial Narrow" w:hAnsi="Arial Narrow" w:cs="Arial Narrow"/>
          <w:b/>
          <w:color w:val="000000"/>
          <w:sz w:val="22"/>
          <w:szCs w:val="22"/>
          <w:highlight w:val="white"/>
        </w:rPr>
      </w:pPr>
    </w:p>
    <w:p w14:paraId="6B6DAC43" w14:textId="77777777" w:rsidR="008A6B9D" w:rsidRDefault="008A16FD">
      <w:pPr>
        <w:pBdr>
          <w:top w:val="nil"/>
          <w:left w:val="nil"/>
          <w:bottom w:val="nil"/>
          <w:right w:val="nil"/>
          <w:between w:val="nil"/>
        </w:pBdr>
        <w:ind w:right="4"/>
        <w:jc w:val="center"/>
        <w:rPr>
          <w:rFonts w:ascii="Arial Narrow" w:eastAsia="Arial Narrow" w:hAnsi="Arial Narrow" w:cs="Arial Narrow"/>
          <w:b/>
          <w:color w:val="000000"/>
          <w:sz w:val="22"/>
          <w:szCs w:val="22"/>
          <w:highlight w:val="yellow"/>
        </w:rPr>
      </w:pPr>
      <w:r>
        <w:rPr>
          <w:rFonts w:ascii="Arial Narrow" w:eastAsia="Arial Narrow" w:hAnsi="Arial Narrow" w:cs="Arial Narrow"/>
          <w:b/>
          <w:color w:val="000000"/>
          <w:sz w:val="22"/>
          <w:szCs w:val="22"/>
          <w:highlight w:val="white"/>
        </w:rPr>
        <w:t>“</w:t>
      </w:r>
      <w:r>
        <w:rPr>
          <w:rFonts w:ascii="Arial Narrow" w:eastAsia="Arial Narrow" w:hAnsi="Arial Narrow" w:cs="Arial Narrow"/>
          <w:b/>
          <w:i/>
          <w:color w:val="000000"/>
          <w:sz w:val="22"/>
          <w:szCs w:val="22"/>
        </w:rPr>
        <w:t xml:space="preserve">POR MEDIO DE LA CUAL SE RINDE HOMENAJE Y SE PRESERVA LA MEMORIA DEL PRÓCER </w:t>
      </w:r>
      <w:r>
        <w:rPr>
          <w:rFonts w:ascii="Arial Narrow" w:eastAsia="Arial Narrow" w:hAnsi="Arial Narrow" w:cs="Arial Narrow"/>
          <w:b/>
          <w:i/>
          <w:color w:val="000000"/>
          <w:sz w:val="22"/>
          <w:szCs w:val="22"/>
          <w:highlight w:val="white"/>
        </w:rPr>
        <w:t>ANTONIO AMADOR JOSÉ NARIÑO Y ÁLVAREZ DEL CASAL,</w:t>
      </w:r>
      <w:r>
        <w:rPr>
          <w:rFonts w:ascii="Arial Narrow" w:eastAsia="Arial Narrow" w:hAnsi="Arial Narrow" w:cs="Arial Narrow"/>
          <w:b/>
          <w:i/>
          <w:color w:val="000000"/>
          <w:sz w:val="22"/>
          <w:szCs w:val="22"/>
        </w:rPr>
        <w:t xml:space="preserve"> </w:t>
      </w:r>
      <w:r>
        <w:rPr>
          <w:rFonts w:ascii="Arial Narrow" w:eastAsia="Arial Narrow" w:hAnsi="Arial Narrow" w:cs="Arial Narrow"/>
          <w:b/>
          <w:i/>
          <w:sz w:val="22"/>
          <w:szCs w:val="22"/>
        </w:rPr>
        <w:t>AL HABERSE CUMPLIDO 200 AÑOS</w:t>
      </w:r>
      <w:r>
        <w:rPr>
          <w:rFonts w:ascii="Arial Narrow" w:eastAsia="Arial Narrow" w:hAnsi="Arial Narrow" w:cs="Arial Narrow"/>
          <w:i/>
          <w:sz w:val="22"/>
          <w:szCs w:val="22"/>
        </w:rPr>
        <w:t xml:space="preserve"> </w:t>
      </w:r>
      <w:r>
        <w:rPr>
          <w:rFonts w:ascii="Arial Narrow" w:eastAsia="Arial Narrow" w:hAnsi="Arial Narrow" w:cs="Arial Narrow"/>
          <w:b/>
          <w:i/>
          <w:color w:val="000000"/>
          <w:sz w:val="22"/>
          <w:szCs w:val="22"/>
        </w:rPr>
        <w:t>DE SU MUERTE EN EL MUNICIPIO DE VILLA DE LEYVA Y SE DICTAN OTRAS DISPOSICIONES”</w:t>
      </w:r>
    </w:p>
    <w:p w14:paraId="6976723C" w14:textId="77777777" w:rsidR="008A6B9D" w:rsidRDefault="008A6B9D">
      <w:pPr>
        <w:pBdr>
          <w:top w:val="nil"/>
          <w:left w:val="nil"/>
          <w:bottom w:val="nil"/>
          <w:right w:val="nil"/>
          <w:between w:val="nil"/>
        </w:pBdr>
        <w:ind w:right="4"/>
        <w:jc w:val="both"/>
        <w:rPr>
          <w:rFonts w:ascii="Arial Narrow" w:eastAsia="Arial Narrow" w:hAnsi="Arial Narrow" w:cs="Arial Narrow"/>
          <w:b/>
          <w:i/>
          <w:color w:val="000000"/>
          <w:sz w:val="22"/>
          <w:szCs w:val="22"/>
          <w:highlight w:val="white"/>
        </w:rPr>
      </w:pPr>
    </w:p>
    <w:p w14:paraId="00095738" w14:textId="77777777" w:rsidR="008A6B9D" w:rsidRDefault="008A6B9D">
      <w:pPr>
        <w:pBdr>
          <w:top w:val="nil"/>
          <w:left w:val="nil"/>
          <w:bottom w:val="nil"/>
          <w:right w:val="nil"/>
          <w:between w:val="nil"/>
        </w:pBdr>
        <w:ind w:right="4"/>
        <w:jc w:val="both"/>
        <w:rPr>
          <w:rFonts w:ascii="Arial Narrow" w:eastAsia="Arial Narrow" w:hAnsi="Arial Narrow" w:cs="Arial Narrow"/>
          <w:b/>
          <w:i/>
          <w:color w:val="000000"/>
          <w:sz w:val="22"/>
          <w:szCs w:val="22"/>
          <w:highlight w:val="white"/>
        </w:rPr>
      </w:pPr>
    </w:p>
    <w:p w14:paraId="0163B6A5" w14:textId="77777777" w:rsidR="008A6B9D" w:rsidRDefault="008A16FD">
      <w:pPr>
        <w:pBdr>
          <w:top w:val="nil"/>
          <w:left w:val="nil"/>
          <w:bottom w:val="nil"/>
          <w:right w:val="nil"/>
          <w:between w:val="nil"/>
        </w:pBdr>
        <w:jc w:val="center"/>
        <w:rPr>
          <w:rFonts w:ascii="Arial Narrow" w:eastAsia="Arial Narrow" w:hAnsi="Arial Narrow" w:cs="Arial Narrow"/>
          <w:b/>
          <w:color w:val="000000"/>
          <w:sz w:val="22"/>
          <w:szCs w:val="22"/>
          <w:highlight w:val="white"/>
        </w:rPr>
      </w:pPr>
      <w:r>
        <w:rPr>
          <w:rFonts w:ascii="Arial Narrow" w:eastAsia="Arial Narrow" w:hAnsi="Arial Narrow" w:cs="Arial Narrow"/>
          <w:b/>
          <w:color w:val="000000"/>
          <w:sz w:val="22"/>
          <w:szCs w:val="22"/>
          <w:highlight w:val="white"/>
        </w:rPr>
        <w:t>EL CONGRESO DE LA REPÚBLICA DE COLOMBIA</w:t>
      </w:r>
    </w:p>
    <w:p w14:paraId="69628D5D" w14:textId="77777777" w:rsidR="008A6B9D" w:rsidRDefault="008A6B9D">
      <w:pPr>
        <w:pBdr>
          <w:top w:val="nil"/>
          <w:left w:val="nil"/>
          <w:bottom w:val="nil"/>
          <w:right w:val="nil"/>
          <w:between w:val="nil"/>
        </w:pBdr>
        <w:jc w:val="both"/>
        <w:rPr>
          <w:rFonts w:ascii="Arial Narrow" w:eastAsia="Arial Narrow" w:hAnsi="Arial Narrow" w:cs="Arial Narrow"/>
          <w:b/>
          <w:color w:val="000000"/>
          <w:sz w:val="22"/>
          <w:szCs w:val="22"/>
          <w:highlight w:val="white"/>
        </w:rPr>
      </w:pPr>
    </w:p>
    <w:p w14:paraId="04D623D7" w14:textId="77777777" w:rsidR="008A6B9D" w:rsidRDefault="008A6B9D">
      <w:pPr>
        <w:pBdr>
          <w:top w:val="nil"/>
          <w:left w:val="nil"/>
          <w:bottom w:val="nil"/>
          <w:right w:val="nil"/>
          <w:between w:val="nil"/>
        </w:pBdr>
        <w:jc w:val="both"/>
        <w:rPr>
          <w:rFonts w:ascii="Arial Narrow" w:eastAsia="Arial Narrow" w:hAnsi="Arial Narrow" w:cs="Arial Narrow"/>
          <w:b/>
          <w:color w:val="000000"/>
          <w:sz w:val="22"/>
          <w:szCs w:val="22"/>
          <w:highlight w:val="white"/>
        </w:rPr>
      </w:pPr>
    </w:p>
    <w:p w14:paraId="262998FE" w14:textId="77777777" w:rsidR="008A6B9D" w:rsidRDefault="008A16FD">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highlight w:val="white"/>
        </w:rPr>
        <w:t>DECRETA</w:t>
      </w:r>
    </w:p>
    <w:p w14:paraId="24DF105B" w14:textId="77777777" w:rsidR="008A6B9D" w:rsidRDefault="008A6B9D">
      <w:pPr>
        <w:pBdr>
          <w:top w:val="nil"/>
          <w:left w:val="nil"/>
          <w:bottom w:val="nil"/>
          <w:right w:val="nil"/>
          <w:between w:val="nil"/>
        </w:pBdr>
        <w:ind w:right="4"/>
        <w:jc w:val="both"/>
        <w:rPr>
          <w:rFonts w:ascii="Arial Narrow" w:eastAsia="Arial Narrow" w:hAnsi="Arial Narrow" w:cs="Arial Narrow"/>
          <w:b/>
          <w:color w:val="000000"/>
          <w:sz w:val="22"/>
          <w:szCs w:val="22"/>
        </w:rPr>
      </w:pPr>
    </w:p>
    <w:p w14:paraId="1C8342DC" w14:textId="77777777" w:rsidR="008A6B9D" w:rsidRDefault="008A16FD">
      <w:pPr>
        <w:pBdr>
          <w:top w:val="nil"/>
          <w:left w:val="nil"/>
          <w:bottom w:val="nil"/>
          <w:right w:val="nil"/>
          <w:between w:val="nil"/>
        </w:pBdr>
        <w:ind w:right="4"/>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Artículo 1. Objeto.</w:t>
      </w:r>
      <w:r>
        <w:rPr>
          <w:rFonts w:ascii="Arial Narrow" w:eastAsia="Arial Narrow" w:hAnsi="Arial Narrow" w:cs="Arial Narrow"/>
          <w:color w:val="000000"/>
          <w:sz w:val="22"/>
          <w:szCs w:val="22"/>
        </w:rPr>
        <w:t xml:space="preserve"> La presente ley tiene por objeto honrar y exaltar la memoria del prócer </w:t>
      </w:r>
      <w:r>
        <w:rPr>
          <w:rFonts w:ascii="Arial Narrow" w:eastAsia="Arial Narrow" w:hAnsi="Arial Narrow" w:cs="Arial Narrow"/>
          <w:color w:val="000000"/>
          <w:sz w:val="22"/>
          <w:szCs w:val="22"/>
          <w:highlight w:val="white"/>
        </w:rPr>
        <w:t>ANTONIO AMADOR JOSÉ NARIÑO Y ÁLVAREZ DEL CASAL, “ANTONIO NARIÑO”,</w:t>
      </w:r>
      <w:r>
        <w:rPr>
          <w:rFonts w:ascii="Arial Narrow" w:eastAsia="Arial Narrow" w:hAnsi="Arial Narrow" w:cs="Arial Narrow"/>
          <w:color w:val="000000"/>
          <w:sz w:val="22"/>
          <w:szCs w:val="22"/>
        </w:rPr>
        <w:t xml:space="preserve"> quien tradujo y difundió la Declaración de Derechos del Hombre y del Ciudadano, luchó por la causa independentista y </w:t>
      </w:r>
      <w:r>
        <w:rPr>
          <w:rFonts w:ascii="Arial Narrow" w:eastAsia="Arial Narrow" w:hAnsi="Arial Narrow" w:cs="Arial Narrow"/>
          <w:color w:val="000000"/>
          <w:sz w:val="22"/>
          <w:szCs w:val="22"/>
        </w:rPr>
        <w:t>los ideales liberales, al h</w:t>
      </w:r>
      <w:r>
        <w:rPr>
          <w:rFonts w:ascii="Arial Narrow" w:eastAsia="Arial Narrow" w:hAnsi="Arial Narrow" w:cs="Arial Narrow"/>
          <w:sz w:val="22"/>
          <w:szCs w:val="22"/>
        </w:rPr>
        <w:t>aberse cumplido</w:t>
      </w:r>
      <w:r>
        <w:rPr>
          <w:rFonts w:ascii="Arial Narrow" w:eastAsia="Arial Narrow" w:hAnsi="Arial Narrow" w:cs="Arial Narrow"/>
          <w:color w:val="000000"/>
          <w:sz w:val="22"/>
          <w:szCs w:val="22"/>
        </w:rPr>
        <w:t xml:space="preserve"> 200 años de su fallecimiento en el Municipio de Villa de Leyva, el 13 de diciembre de 2023.</w:t>
      </w:r>
    </w:p>
    <w:p w14:paraId="72A8B68E" w14:textId="77777777" w:rsidR="008A6B9D" w:rsidRDefault="008A6B9D">
      <w:pPr>
        <w:pBdr>
          <w:top w:val="nil"/>
          <w:left w:val="nil"/>
          <w:bottom w:val="nil"/>
          <w:right w:val="nil"/>
          <w:between w:val="nil"/>
        </w:pBdr>
        <w:ind w:right="4"/>
        <w:jc w:val="both"/>
        <w:rPr>
          <w:rFonts w:ascii="Arial Narrow" w:eastAsia="Arial Narrow" w:hAnsi="Arial Narrow" w:cs="Arial Narrow"/>
          <w:color w:val="000000"/>
          <w:sz w:val="22"/>
          <w:szCs w:val="22"/>
        </w:rPr>
      </w:pPr>
    </w:p>
    <w:p w14:paraId="4D704E1C"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Artículo 2. </w:t>
      </w:r>
      <w:r>
        <w:rPr>
          <w:rFonts w:ascii="Arial Narrow" w:eastAsia="Arial Narrow" w:hAnsi="Arial Narrow" w:cs="Arial Narrow"/>
          <w:b/>
          <w:sz w:val="22"/>
          <w:szCs w:val="22"/>
        </w:rPr>
        <w:t>Homenaje.</w:t>
      </w:r>
      <w:r>
        <w:rPr>
          <w:rFonts w:ascii="Arial Narrow" w:eastAsia="Arial Narrow" w:hAnsi="Arial Narrow" w:cs="Arial Narrow"/>
          <w:color w:val="000000"/>
          <w:sz w:val="22"/>
          <w:szCs w:val="22"/>
        </w:rPr>
        <w:t xml:space="preserve"> Autorízase al Gobierno Nacional y al Congreso de la República para rendir honores al Prócer </w:t>
      </w:r>
      <w:r>
        <w:rPr>
          <w:rFonts w:ascii="Arial Narrow" w:eastAsia="Arial Narrow" w:hAnsi="Arial Narrow" w:cs="Arial Narrow"/>
          <w:color w:val="000000"/>
          <w:sz w:val="22"/>
          <w:szCs w:val="22"/>
          <w:highlight w:val="white"/>
        </w:rPr>
        <w:t>ANTONI</w:t>
      </w:r>
      <w:r>
        <w:rPr>
          <w:rFonts w:ascii="Arial Narrow" w:eastAsia="Arial Narrow" w:hAnsi="Arial Narrow" w:cs="Arial Narrow"/>
          <w:color w:val="000000"/>
          <w:sz w:val="22"/>
          <w:szCs w:val="22"/>
          <w:highlight w:val="white"/>
        </w:rPr>
        <w:t xml:space="preserve">O AMADOR JOSÉ NARIÑO Y ÁLVAREZ DEL CASAL “ANTONIO NARIÑO”, </w:t>
      </w:r>
      <w:r>
        <w:rPr>
          <w:rFonts w:ascii="Arial Narrow" w:eastAsia="Arial Narrow" w:hAnsi="Arial Narrow" w:cs="Arial Narrow"/>
          <w:color w:val="000000"/>
          <w:sz w:val="22"/>
          <w:szCs w:val="22"/>
        </w:rPr>
        <w:t xml:space="preserve">realizando un evento conmemorativo en Villa de Leyva, exaltando la importancia de este prócer de la independencia y del Municipio en la historia de la Nación, con participación de funcionarios del </w:t>
      </w:r>
      <w:r>
        <w:rPr>
          <w:rFonts w:ascii="Arial Narrow" w:eastAsia="Arial Narrow" w:hAnsi="Arial Narrow" w:cs="Arial Narrow"/>
          <w:color w:val="000000"/>
          <w:sz w:val="22"/>
          <w:szCs w:val="22"/>
        </w:rPr>
        <w:t xml:space="preserve">Gobierno </w:t>
      </w:r>
      <w:r>
        <w:rPr>
          <w:rFonts w:ascii="Arial Narrow" w:eastAsia="Arial Narrow" w:hAnsi="Arial Narrow" w:cs="Arial Narrow"/>
          <w:sz w:val="22"/>
          <w:szCs w:val="22"/>
        </w:rPr>
        <w:t>Departamental y Municipal</w:t>
      </w:r>
      <w:r>
        <w:rPr>
          <w:rFonts w:ascii="Arial Narrow" w:eastAsia="Arial Narrow" w:hAnsi="Arial Narrow" w:cs="Arial Narrow"/>
          <w:color w:val="000000"/>
          <w:sz w:val="22"/>
          <w:szCs w:val="22"/>
        </w:rPr>
        <w:t>.</w:t>
      </w:r>
    </w:p>
    <w:p w14:paraId="687170FF"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6308C4E5"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Artículo 3.</w:t>
      </w:r>
      <w:r>
        <w:rPr>
          <w:rFonts w:ascii="Arial Narrow" w:eastAsia="Arial Narrow" w:hAnsi="Arial Narrow" w:cs="Arial Narrow"/>
          <w:color w:val="000000"/>
          <w:sz w:val="22"/>
          <w:szCs w:val="22"/>
        </w:rPr>
        <w:t xml:space="preserve"> </w:t>
      </w:r>
      <w:r>
        <w:rPr>
          <w:rFonts w:ascii="Arial Narrow" w:eastAsia="Arial Narrow" w:hAnsi="Arial Narrow" w:cs="Arial Narrow"/>
          <w:b/>
          <w:color w:val="000000"/>
          <w:sz w:val="22"/>
          <w:szCs w:val="22"/>
        </w:rPr>
        <w:t xml:space="preserve">Autorizaciones. </w:t>
      </w:r>
      <w:r>
        <w:rPr>
          <w:rFonts w:ascii="Arial Narrow" w:eastAsia="Arial Narrow" w:hAnsi="Arial Narrow" w:cs="Arial Narrow"/>
          <w:color w:val="000000"/>
          <w:sz w:val="22"/>
          <w:szCs w:val="22"/>
        </w:rPr>
        <w:t xml:space="preserve">En homenaje al bicentenario de la muerte de </w:t>
      </w:r>
      <w:r>
        <w:rPr>
          <w:rFonts w:ascii="Arial Narrow" w:eastAsia="Arial Narrow" w:hAnsi="Arial Narrow" w:cs="Arial Narrow"/>
          <w:color w:val="000000"/>
          <w:sz w:val="22"/>
          <w:szCs w:val="22"/>
          <w:highlight w:val="white"/>
        </w:rPr>
        <w:t>“ANTONIO NARIÑO” en el Municipio de Villa de Leyva,</w:t>
      </w:r>
      <w:r>
        <w:rPr>
          <w:rFonts w:ascii="Arial Narrow" w:eastAsia="Arial Narrow" w:hAnsi="Arial Narrow" w:cs="Arial Narrow"/>
          <w:color w:val="000000"/>
          <w:sz w:val="22"/>
          <w:szCs w:val="22"/>
        </w:rPr>
        <w:t xml:space="preserve">  autorízase al Gobierno  Nacional para que incorpore dentro del Presupuesto General de la Nació</w:t>
      </w:r>
      <w:r>
        <w:rPr>
          <w:rFonts w:ascii="Arial Narrow" w:eastAsia="Arial Narrow" w:hAnsi="Arial Narrow" w:cs="Arial Narrow"/>
          <w:color w:val="000000"/>
          <w:sz w:val="22"/>
          <w:szCs w:val="22"/>
        </w:rPr>
        <w:t>n, de acuerdo con la disponibilidad presupuestal, el Marco Fiscal de Mediano Plazo y el Marco de Gasto del Mediano Plazo, las siguientes obras con el objetivo de preservar la memoria de este prócer de la patria en su último sitio de morada, así como de rea</w:t>
      </w:r>
      <w:r>
        <w:rPr>
          <w:rFonts w:ascii="Arial Narrow" w:eastAsia="Arial Narrow" w:hAnsi="Arial Narrow" w:cs="Arial Narrow"/>
          <w:color w:val="000000"/>
          <w:sz w:val="22"/>
          <w:szCs w:val="22"/>
        </w:rPr>
        <w:t>lizar acciones tendientes a la conservación de su legado:</w:t>
      </w:r>
    </w:p>
    <w:p w14:paraId="6276725C"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750E2636" w14:textId="77777777" w:rsidR="008A6B9D" w:rsidRDefault="008A16FD">
      <w:pPr>
        <w:numPr>
          <w:ilvl w:val="0"/>
          <w:numId w:val="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Exáltese la Iglesia de Nuestra Señora del Rosario de Villa de Leyva, por ser el lugar donde fue sepultado inicialmente </w:t>
      </w:r>
      <w:r>
        <w:rPr>
          <w:rFonts w:ascii="Arial Narrow" w:eastAsia="Arial Narrow" w:hAnsi="Arial Narrow" w:cs="Arial Narrow"/>
          <w:color w:val="000000"/>
          <w:sz w:val="22"/>
          <w:szCs w:val="22"/>
          <w:highlight w:val="white"/>
        </w:rPr>
        <w:t>“ANTONIO NARIÑO”</w:t>
      </w:r>
      <w:r>
        <w:rPr>
          <w:rFonts w:ascii="Arial Narrow" w:eastAsia="Arial Narrow" w:hAnsi="Arial Narrow" w:cs="Arial Narrow"/>
          <w:color w:val="000000"/>
          <w:sz w:val="22"/>
          <w:szCs w:val="22"/>
        </w:rPr>
        <w:t xml:space="preserve"> luego de su fallecimiento el 13 de diciembre de 1823, </w:t>
      </w:r>
      <w:r>
        <w:rPr>
          <w:rFonts w:ascii="Arial Narrow" w:eastAsia="Arial Narrow" w:hAnsi="Arial Narrow" w:cs="Arial Narrow"/>
          <w:sz w:val="22"/>
          <w:szCs w:val="22"/>
        </w:rPr>
        <w:t>a través de</w:t>
      </w:r>
      <w:r>
        <w:rPr>
          <w:rFonts w:ascii="Arial Narrow" w:eastAsia="Arial Narrow" w:hAnsi="Arial Narrow" w:cs="Arial Narrow"/>
          <w:color w:val="000000"/>
          <w:sz w:val="22"/>
          <w:szCs w:val="22"/>
        </w:rPr>
        <w:t xml:space="preserve"> obras de conservación, mantenimiento y mejoramiento qu</w:t>
      </w:r>
      <w:r>
        <w:rPr>
          <w:rFonts w:ascii="Arial Narrow" w:eastAsia="Arial Narrow" w:hAnsi="Arial Narrow" w:cs="Arial Narrow"/>
          <w:color w:val="000000"/>
          <w:sz w:val="22"/>
          <w:szCs w:val="22"/>
        </w:rPr>
        <w:t>e se requieran en el inmueble.</w:t>
      </w:r>
    </w:p>
    <w:p w14:paraId="3ADCC9F2" w14:textId="77777777" w:rsidR="008A6B9D" w:rsidRDefault="008A6B9D">
      <w:pPr>
        <w:pBdr>
          <w:top w:val="nil"/>
          <w:left w:val="nil"/>
          <w:bottom w:val="nil"/>
          <w:right w:val="nil"/>
          <w:between w:val="nil"/>
        </w:pBdr>
        <w:ind w:left="1080"/>
        <w:jc w:val="both"/>
        <w:rPr>
          <w:rFonts w:ascii="Arial Narrow" w:eastAsia="Arial Narrow" w:hAnsi="Arial Narrow" w:cs="Arial Narrow"/>
          <w:color w:val="000000"/>
          <w:sz w:val="22"/>
          <w:szCs w:val="22"/>
        </w:rPr>
      </w:pPr>
    </w:p>
    <w:p w14:paraId="433C2B25" w14:textId="77777777" w:rsidR="008A6B9D" w:rsidRDefault="008A16FD">
      <w:pPr>
        <w:numPr>
          <w:ilvl w:val="0"/>
          <w:numId w:val="3"/>
        </w:numPr>
        <w:pBdr>
          <w:top w:val="nil"/>
          <w:left w:val="nil"/>
          <w:bottom w:val="nil"/>
          <w:right w:val="nil"/>
          <w:between w:val="nil"/>
        </w:pBdr>
        <w:ind w:left="1134" w:hanging="425"/>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Otórguese el nombre de “</w:t>
      </w:r>
      <w:r>
        <w:rPr>
          <w:rFonts w:ascii="Arial Narrow" w:eastAsia="Arial Narrow" w:hAnsi="Arial Narrow" w:cs="Arial Narrow"/>
          <w:color w:val="000000"/>
          <w:sz w:val="22"/>
          <w:szCs w:val="22"/>
          <w:highlight w:val="white"/>
        </w:rPr>
        <w:t>ANTONIO NARIÑO</w:t>
      </w:r>
      <w:r>
        <w:rPr>
          <w:rFonts w:ascii="Arial Narrow" w:eastAsia="Arial Narrow" w:hAnsi="Arial Narrow" w:cs="Arial Narrow"/>
          <w:color w:val="000000"/>
          <w:sz w:val="22"/>
          <w:szCs w:val="22"/>
        </w:rPr>
        <w:t>” a la actual Avenida Circunvalar que rodea parte del Municipio de Villa de Leyva y autorícese a realizar inversiones que garanticen el mejoramiento del estado de la vía y la construcció</w:t>
      </w:r>
      <w:r>
        <w:rPr>
          <w:rFonts w:ascii="Arial Narrow" w:eastAsia="Arial Narrow" w:hAnsi="Arial Narrow" w:cs="Arial Narrow"/>
          <w:color w:val="000000"/>
          <w:sz w:val="22"/>
          <w:szCs w:val="22"/>
        </w:rPr>
        <w:t>n de una placa conmemorativa.</w:t>
      </w:r>
    </w:p>
    <w:p w14:paraId="7650094C" w14:textId="77777777" w:rsidR="008A6B9D" w:rsidRDefault="008A6B9D">
      <w:pPr>
        <w:rPr>
          <w:rFonts w:ascii="Arial Narrow" w:eastAsia="Arial Narrow" w:hAnsi="Arial Narrow" w:cs="Arial Narrow"/>
          <w:sz w:val="22"/>
          <w:szCs w:val="22"/>
        </w:rPr>
      </w:pPr>
    </w:p>
    <w:p w14:paraId="7781A729" w14:textId="77777777" w:rsidR="008A6B9D" w:rsidRDefault="008A16FD">
      <w:pPr>
        <w:numPr>
          <w:ilvl w:val="0"/>
          <w:numId w:val="3"/>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Eríjase un busto en honor a “</w:t>
      </w:r>
      <w:r>
        <w:rPr>
          <w:rFonts w:ascii="Arial Narrow" w:eastAsia="Arial Narrow" w:hAnsi="Arial Narrow" w:cs="Arial Narrow"/>
          <w:color w:val="000000"/>
          <w:sz w:val="22"/>
          <w:szCs w:val="22"/>
          <w:highlight w:val="white"/>
        </w:rPr>
        <w:t>ANTONIO NARIÑO</w:t>
      </w:r>
      <w:r>
        <w:rPr>
          <w:rFonts w:ascii="Arial Narrow" w:eastAsia="Arial Narrow" w:hAnsi="Arial Narrow" w:cs="Arial Narrow"/>
          <w:color w:val="000000"/>
          <w:sz w:val="22"/>
          <w:szCs w:val="22"/>
        </w:rPr>
        <w:t xml:space="preserve">”, el cual será ubicado en la Real Fábrica de Licores de Villa de Leyva, lugar en el que en época colonial funcionó el cabildo, y realícense obras de  conservación, mantenimiento y </w:t>
      </w:r>
      <w:r>
        <w:rPr>
          <w:rFonts w:ascii="Arial Narrow" w:eastAsia="Arial Narrow" w:hAnsi="Arial Narrow" w:cs="Arial Narrow"/>
          <w:sz w:val="22"/>
          <w:szCs w:val="22"/>
        </w:rPr>
        <w:t>r</w:t>
      </w:r>
      <w:r>
        <w:rPr>
          <w:rFonts w:ascii="Arial Narrow" w:eastAsia="Arial Narrow" w:hAnsi="Arial Narrow" w:cs="Arial Narrow"/>
          <w:sz w:val="22"/>
          <w:szCs w:val="22"/>
        </w:rPr>
        <w:t xml:space="preserve">estauración </w:t>
      </w:r>
      <w:r>
        <w:rPr>
          <w:rFonts w:ascii="Arial Narrow" w:eastAsia="Arial Narrow" w:hAnsi="Arial Narrow" w:cs="Arial Narrow"/>
          <w:color w:val="000000"/>
          <w:sz w:val="22"/>
          <w:szCs w:val="22"/>
        </w:rPr>
        <w:t>que requiera el inmueble</w:t>
      </w:r>
      <w:r>
        <w:rPr>
          <w:rFonts w:ascii="Arial Narrow" w:eastAsia="Arial Narrow" w:hAnsi="Arial Narrow" w:cs="Arial Narrow"/>
          <w:sz w:val="22"/>
          <w:szCs w:val="22"/>
        </w:rPr>
        <w:t>.</w:t>
      </w:r>
    </w:p>
    <w:p w14:paraId="43F6C828" w14:textId="77777777" w:rsidR="008A6B9D" w:rsidRDefault="008A6B9D">
      <w:pPr>
        <w:pBdr>
          <w:top w:val="nil"/>
          <w:left w:val="nil"/>
          <w:bottom w:val="nil"/>
          <w:right w:val="nil"/>
          <w:between w:val="nil"/>
        </w:pBdr>
        <w:ind w:left="1080"/>
        <w:jc w:val="both"/>
        <w:rPr>
          <w:rFonts w:ascii="Arial Narrow" w:eastAsia="Arial Narrow" w:hAnsi="Arial Narrow" w:cs="Arial Narrow"/>
          <w:sz w:val="22"/>
          <w:szCs w:val="22"/>
        </w:rPr>
      </w:pPr>
    </w:p>
    <w:p w14:paraId="6D696E89" w14:textId="77777777" w:rsidR="008A6B9D" w:rsidRDefault="008A16FD">
      <w:pPr>
        <w:numPr>
          <w:ilvl w:val="0"/>
          <w:numId w:val="3"/>
        </w:num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Autorizase al Gobierno Nacional para realizar las gestiones a las que haya lugar para la construcción del Centro de Convenciones “ANTONIO NARIÑO” de Villa de Leyva.</w:t>
      </w:r>
    </w:p>
    <w:p w14:paraId="00C26CF8"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3DDB087C"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 xml:space="preserve">Artículo 4. Vigencia. </w:t>
      </w:r>
      <w:r>
        <w:rPr>
          <w:rFonts w:ascii="Arial Narrow" w:eastAsia="Arial Narrow" w:hAnsi="Arial Narrow" w:cs="Arial Narrow"/>
          <w:color w:val="000000"/>
          <w:sz w:val="22"/>
          <w:szCs w:val="22"/>
        </w:rPr>
        <w:t>Esta ley rige a partir de su promulgación y deroga todas las normas que le sean contrarias.</w:t>
      </w:r>
    </w:p>
    <w:p w14:paraId="16E16534" w14:textId="77777777" w:rsidR="008A6B9D" w:rsidRDefault="008A6B9D">
      <w:pPr>
        <w:pBdr>
          <w:top w:val="nil"/>
          <w:left w:val="nil"/>
          <w:bottom w:val="nil"/>
          <w:right w:val="nil"/>
          <w:between w:val="nil"/>
        </w:pBdr>
        <w:rPr>
          <w:rFonts w:ascii="Arial Narrow" w:eastAsia="Arial Narrow" w:hAnsi="Arial Narrow" w:cs="Arial Narrow"/>
          <w:color w:val="000000"/>
          <w:sz w:val="22"/>
          <w:szCs w:val="22"/>
        </w:rPr>
      </w:pPr>
    </w:p>
    <w:p w14:paraId="5FF426E6" w14:textId="77777777" w:rsidR="008A6B9D" w:rsidRDefault="008A16FD">
      <w:pPr>
        <w:pBdr>
          <w:top w:val="nil"/>
          <w:left w:val="nil"/>
          <w:bottom w:val="nil"/>
          <w:right w:val="nil"/>
          <w:between w:val="nil"/>
        </w:pBdr>
        <w:rPr>
          <w:rFonts w:ascii="Arial Narrow" w:eastAsia="Arial Narrow" w:hAnsi="Arial Narrow" w:cs="Arial Narrow"/>
          <w:color w:val="000000"/>
          <w:sz w:val="22"/>
          <w:szCs w:val="22"/>
        </w:rPr>
      </w:pPr>
      <w:r>
        <w:rPr>
          <w:noProof/>
        </w:rPr>
        <w:drawing>
          <wp:anchor distT="114300" distB="114300" distL="114300" distR="114300" simplePos="0" relativeHeight="251660288" behindDoc="0" locked="0" layoutInCell="1" hidden="0" allowOverlap="1" wp14:anchorId="673B53C8" wp14:editId="6A0A1DC2">
            <wp:simplePos x="0" y="0"/>
            <wp:positionH relativeFrom="column">
              <wp:posOffset>1619250</wp:posOffset>
            </wp:positionH>
            <wp:positionV relativeFrom="paragraph">
              <wp:posOffset>144276</wp:posOffset>
            </wp:positionV>
            <wp:extent cx="2524125" cy="1190625"/>
            <wp:effectExtent l="0" t="0" r="0" b="0"/>
            <wp:wrapNone/>
            <wp:docPr id="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524125" cy="1190625"/>
                    </a:xfrm>
                    <a:prstGeom prst="rect">
                      <a:avLst/>
                    </a:prstGeom>
                    <a:ln/>
                  </pic:spPr>
                </pic:pic>
              </a:graphicData>
            </a:graphic>
          </wp:anchor>
        </w:drawing>
      </w:r>
    </w:p>
    <w:p w14:paraId="3485296F"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73936608"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78BE3185"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337EBBD2"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1FF82E8C"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0F1E80BC"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203D77E7"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712D96F5" w14:textId="77777777" w:rsidR="008A6B9D" w:rsidRDefault="008A6B9D">
      <w:pPr>
        <w:pBdr>
          <w:top w:val="nil"/>
          <w:left w:val="nil"/>
          <w:bottom w:val="nil"/>
          <w:right w:val="nil"/>
          <w:between w:val="nil"/>
        </w:pBdr>
        <w:ind w:right="4"/>
        <w:jc w:val="both"/>
        <w:rPr>
          <w:rFonts w:ascii="Arial Narrow" w:eastAsia="Arial Narrow" w:hAnsi="Arial Narrow" w:cs="Arial Narrow"/>
          <w:color w:val="000000"/>
          <w:sz w:val="22"/>
          <w:szCs w:val="22"/>
        </w:rPr>
      </w:pPr>
    </w:p>
    <w:p w14:paraId="7D051E20" w14:textId="77777777" w:rsidR="008A6B9D" w:rsidRDefault="008A16FD">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WILMER CASTELLANOS HERNÁNDEZ</w:t>
      </w:r>
    </w:p>
    <w:p w14:paraId="4861ABD5" w14:textId="77777777" w:rsidR="008A6B9D" w:rsidRDefault="008A16FD">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Representante a la Cámara por Boyacá</w:t>
      </w:r>
    </w:p>
    <w:p w14:paraId="6609EE1B" w14:textId="77777777" w:rsidR="008A6B9D" w:rsidRDefault="008A16FD">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Congreso de la República</w:t>
      </w:r>
    </w:p>
    <w:p w14:paraId="260078F2" w14:textId="77777777" w:rsidR="008A6B9D" w:rsidRDefault="008A16FD">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Partido Alianza Verde</w:t>
      </w:r>
    </w:p>
    <w:p w14:paraId="7B2CAE68"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7C2BCB75"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37293520"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42E7DC93"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5405C5F9"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7C88C1BD"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257D5929"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54D24A24"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22733586"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38D9257B"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7D7FA451"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24CF9FF4"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4C38161A"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1EB4C1B5"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17780390"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722D77BD"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555771FD"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16BCD925"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65E318EF"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54408761"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4A96660F"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06D634C7"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62B37C46"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1AB37C4C"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72B4348A"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06509689" w14:textId="77777777" w:rsidR="008A6B9D" w:rsidRDefault="008A6B9D">
      <w:pPr>
        <w:pBdr>
          <w:top w:val="nil"/>
          <w:left w:val="nil"/>
          <w:bottom w:val="nil"/>
          <w:right w:val="nil"/>
          <w:between w:val="nil"/>
        </w:pBdr>
        <w:ind w:left="720" w:hanging="360"/>
        <w:jc w:val="both"/>
        <w:rPr>
          <w:rFonts w:ascii="Arial Narrow" w:eastAsia="Arial Narrow" w:hAnsi="Arial Narrow" w:cs="Arial Narrow"/>
          <w:color w:val="000000"/>
          <w:sz w:val="22"/>
          <w:szCs w:val="22"/>
        </w:rPr>
      </w:pPr>
    </w:p>
    <w:p w14:paraId="5CABB7BF"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42B4FA25"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33ED3C87" w14:textId="77777777" w:rsidR="008A6B9D" w:rsidRDefault="008A6B9D">
      <w:pPr>
        <w:rPr>
          <w:rFonts w:ascii="Arial Narrow" w:eastAsia="Arial Narrow" w:hAnsi="Arial Narrow" w:cs="Arial Narrow"/>
          <w:sz w:val="22"/>
          <w:szCs w:val="22"/>
        </w:rPr>
      </w:pPr>
    </w:p>
    <w:tbl>
      <w:tblPr>
        <w:tblStyle w:val="a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6B9D" w14:paraId="3AFC7917" w14:textId="77777777">
        <w:trPr>
          <w:trHeight w:val="1467"/>
        </w:trPr>
        <w:tc>
          <w:tcPr>
            <w:tcW w:w="4680" w:type="dxa"/>
            <w:shd w:val="clear" w:color="auto" w:fill="auto"/>
            <w:tcMar>
              <w:top w:w="100" w:type="dxa"/>
              <w:left w:w="100" w:type="dxa"/>
              <w:bottom w:w="100" w:type="dxa"/>
              <w:right w:w="100" w:type="dxa"/>
            </w:tcMar>
          </w:tcPr>
          <w:p w14:paraId="2F37CDC7" w14:textId="77777777" w:rsidR="008A6B9D" w:rsidRDefault="008A16FD">
            <w:pPr>
              <w:widowControl w:val="0"/>
              <w:rPr>
                <w:rFonts w:ascii="Arial Narrow" w:eastAsia="Arial Narrow" w:hAnsi="Arial Narrow" w:cs="Arial Narrow"/>
                <w:sz w:val="22"/>
                <w:szCs w:val="22"/>
              </w:rPr>
            </w:pPr>
            <w:r>
              <w:rPr>
                <w:noProof/>
              </w:rPr>
              <w:drawing>
                <wp:anchor distT="114300" distB="114300" distL="114300" distR="114300" simplePos="0" relativeHeight="251661312" behindDoc="1" locked="0" layoutInCell="1" hidden="0" allowOverlap="1" wp14:anchorId="21249038" wp14:editId="12BD67AC">
                  <wp:simplePos x="0" y="0"/>
                  <wp:positionH relativeFrom="column">
                    <wp:posOffset>114300</wp:posOffset>
                  </wp:positionH>
                  <wp:positionV relativeFrom="paragraph">
                    <wp:posOffset>114300</wp:posOffset>
                  </wp:positionV>
                  <wp:extent cx="2952750" cy="812800"/>
                  <wp:effectExtent l="0" t="0" r="0" b="0"/>
                  <wp:wrapNone/>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52750" cy="812800"/>
                          </a:xfrm>
                          <a:prstGeom prst="rect">
                            <a:avLst/>
                          </a:prstGeom>
                          <a:ln/>
                        </pic:spPr>
                      </pic:pic>
                    </a:graphicData>
                  </a:graphic>
                </wp:anchor>
              </w:drawing>
            </w:r>
          </w:p>
          <w:p w14:paraId="0ADE10C1" w14:textId="77777777" w:rsidR="008A6B9D" w:rsidRDefault="008A16FD">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JAEL QUIROGA CARRILLO </w:t>
            </w:r>
          </w:p>
          <w:p w14:paraId="04357E34" w14:textId="77777777" w:rsidR="008A6B9D" w:rsidRDefault="008A16FD">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Senadora de la República </w:t>
            </w:r>
          </w:p>
          <w:p w14:paraId="13374C50" w14:textId="77777777" w:rsidR="008A6B9D" w:rsidRDefault="008A16FD">
            <w:pPr>
              <w:widowControl w:val="0"/>
              <w:jc w:val="center"/>
              <w:rPr>
                <w:rFonts w:ascii="Arial Narrow" w:eastAsia="Arial Narrow" w:hAnsi="Arial Narrow" w:cs="Arial Narrow"/>
                <w:sz w:val="22"/>
                <w:szCs w:val="22"/>
              </w:rPr>
            </w:pPr>
            <w:r>
              <w:rPr>
                <w:rFonts w:ascii="Arial Narrow" w:eastAsia="Arial Narrow" w:hAnsi="Arial Narrow" w:cs="Arial Narrow"/>
                <w:b/>
                <w:sz w:val="22"/>
                <w:szCs w:val="22"/>
              </w:rPr>
              <w:t>Pacto Histórico- UP</w:t>
            </w:r>
            <w:r>
              <w:rPr>
                <w:rFonts w:ascii="Arial Narrow" w:eastAsia="Arial Narrow" w:hAnsi="Arial Narrow" w:cs="Arial Narrow"/>
                <w:sz w:val="22"/>
                <w:szCs w:val="22"/>
              </w:rPr>
              <w:t xml:space="preserve">. </w:t>
            </w:r>
          </w:p>
        </w:tc>
        <w:tc>
          <w:tcPr>
            <w:tcW w:w="4680" w:type="dxa"/>
            <w:shd w:val="clear" w:color="auto" w:fill="auto"/>
            <w:tcMar>
              <w:top w:w="100" w:type="dxa"/>
              <w:left w:w="100" w:type="dxa"/>
              <w:bottom w:w="100" w:type="dxa"/>
              <w:right w:w="100" w:type="dxa"/>
            </w:tcMar>
          </w:tcPr>
          <w:p w14:paraId="4B774E1D" w14:textId="77777777" w:rsidR="008A6B9D" w:rsidRDefault="008A6B9D">
            <w:pPr>
              <w:widowControl w:val="0"/>
              <w:rPr>
                <w:rFonts w:ascii="Arial Narrow" w:eastAsia="Arial Narrow" w:hAnsi="Arial Narrow" w:cs="Arial Narrow"/>
                <w:sz w:val="22"/>
                <w:szCs w:val="22"/>
              </w:rPr>
            </w:pPr>
          </w:p>
        </w:tc>
      </w:tr>
      <w:tr w:rsidR="008A6B9D" w14:paraId="0DF6FC1E" w14:textId="77777777">
        <w:trPr>
          <w:trHeight w:val="1437"/>
        </w:trPr>
        <w:tc>
          <w:tcPr>
            <w:tcW w:w="4680" w:type="dxa"/>
            <w:shd w:val="clear" w:color="auto" w:fill="auto"/>
            <w:tcMar>
              <w:top w:w="100" w:type="dxa"/>
              <w:left w:w="100" w:type="dxa"/>
              <w:bottom w:w="100" w:type="dxa"/>
              <w:right w:w="100" w:type="dxa"/>
            </w:tcMar>
          </w:tcPr>
          <w:p w14:paraId="02BE36EF"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564E1E8D" w14:textId="77777777" w:rsidR="008A6B9D" w:rsidRDefault="008A6B9D">
            <w:pPr>
              <w:widowControl w:val="0"/>
              <w:rPr>
                <w:rFonts w:ascii="Arial Narrow" w:eastAsia="Arial Narrow" w:hAnsi="Arial Narrow" w:cs="Arial Narrow"/>
                <w:sz w:val="22"/>
                <w:szCs w:val="22"/>
              </w:rPr>
            </w:pPr>
          </w:p>
        </w:tc>
      </w:tr>
      <w:tr w:rsidR="008A6B9D" w14:paraId="2112368C" w14:textId="77777777">
        <w:trPr>
          <w:trHeight w:val="1422"/>
        </w:trPr>
        <w:tc>
          <w:tcPr>
            <w:tcW w:w="4680" w:type="dxa"/>
            <w:shd w:val="clear" w:color="auto" w:fill="auto"/>
            <w:tcMar>
              <w:top w:w="100" w:type="dxa"/>
              <w:left w:w="100" w:type="dxa"/>
              <w:bottom w:w="100" w:type="dxa"/>
              <w:right w:w="100" w:type="dxa"/>
            </w:tcMar>
          </w:tcPr>
          <w:p w14:paraId="5732BCCD"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5081DD43" w14:textId="77777777" w:rsidR="008A6B9D" w:rsidRDefault="008A6B9D">
            <w:pPr>
              <w:widowControl w:val="0"/>
              <w:rPr>
                <w:rFonts w:ascii="Arial Narrow" w:eastAsia="Arial Narrow" w:hAnsi="Arial Narrow" w:cs="Arial Narrow"/>
                <w:sz w:val="22"/>
                <w:szCs w:val="22"/>
              </w:rPr>
            </w:pPr>
          </w:p>
        </w:tc>
      </w:tr>
      <w:tr w:rsidR="008A6B9D" w14:paraId="300136D8" w14:textId="77777777">
        <w:trPr>
          <w:trHeight w:val="1557"/>
        </w:trPr>
        <w:tc>
          <w:tcPr>
            <w:tcW w:w="4680" w:type="dxa"/>
            <w:shd w:val="clear" w:color="auto" w:fill="auto"/>
            <w:tcMar>
              <w:top w:w="100" w:type="dxa"/>
              <w:left w:w="100" w:type="dxa"/>
              <w:bottom w:w="100" w:type="dxa"/>
              <w:right w:w="100" w:type="dxa"/>
            </w:tcMar>
          </w:tcPr>
          <w:p w14:paraId="52C35F37"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2C28B053" w14:textId="77777777" w:rsidR="008A6B9D" w:rsidRDefault="008A6B9D">
            <w:pPr>
              <w:widowControl w:val="0"/>
              <w:rPr>
                <w:rFonts w:ascii="Arial Narrow" w:eastAsia="Arial Narrow" w:hAnsi="Arial Narrow" w:cs="Arial Narrow"/>
                <w:sz w:val="22"/>
                <w:szCs w:val="22"/>
              </w:rPr>
            </w:pPr>
          </w:p>
        </w:tc>
      </w:tr>
      <w:tr w:rsidR="008A6B9D" w14:paraId="6556A50B" w14:textId="77777777">
        <w:trPr>
          <w:trHeight w:val="1422"/>
        </w:trPr>
        <w:tc>
          <w:tcPr>
            <w:tcW w:w="4680" w:type="dxa"/>
            <w:shd w:val="clear" w:color="auto" w:fill="auto"/>
            <w:tcMar>
              <w:top w:w="100" w:type="dxa"/>
              <w:left w:w="100" w:type="dxa"/>
              <w:bottom w:w="100" w:type="dxa"/>
              <w:right w:w="100" w:type="dxa"/>
            </w:tcMar>
          </w:tcPr>
          <w:p w14:paraId="39A1DC61"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11903BE6" w14:textId="77777777" w:rsidR="008A6B9D" w:rsidRDefault="008A6B9D">
            <w:pPr>
              <w:widowControl w:val="0"/>
              <w:rPr>
                <w:rFonts w:ascii="Arial Narrow" w:eastAsia="Arial Narrow" w:hAnsi="Arial Narrow" w:cs="Arial Narrow"/>
                <w:sz w:val="22"/>
                <w:szCs w:val="22"/>
              </w:rPr>
            </w:pPr>
          </w:p>
        </w:tc>
      </w:tr>
      <w:tr w:rsidR="008A6B9D" w14:paraId="329E8B90" w14:textId="77777777">
        <w:trPr>
          <w:trHeight w:val="1422"/>
        </w:trPr>
        <w:tc>
          <w:tcPr>
            <w:tcW w:w="4680" w:type="dxa"/>
            <w:shd w:val="clear" w:color="auto" w:fill="auto"/>
            <w:tcMar>
              <w:top w:w="100" w:type="dxa"/>
              <w:left w:w="100" w:type="dxa"/>
              <w:bottom w:w="100" w:type="dxa"/>
              <w:right w:w="100" w:type="dxa"/>
            </w:tcMar>
          </w:tcPr>
          <w:p w14:paraId="48068391"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3CF23315" w14:textId="77777777" w:rsidR="008A6B9D" w:rsidRDefault="008A6B9D">
            <w:pPr>
              <w:widowControl w:val="0"/>
              <w:rPr>
                <w:rFonts w:ascii="Arial Narrow" w:eastAsia="Arial Narrow" w:hAnsi="Arial Narrow" w:cs="Arial Narrow"/>
                <w:sz w:val="22"/>
                <w:szCs w:val="22"/>
              </w:rPr>
            </w:pPr>
          </w:p>
        </w:tc>
      </w:tr>
      <w:tr w:rsidR="008A6B9D" w14:paraId="0180E9BC" w14:textId="77777777">
        <w:trPr>
          <w:trHeight w:val="1437"/>
        </w:trPr>
        <w:tc>
          <w:tcPr>
            <w:tcW w:w="4680" w:type="dxa"/>
            <w:shd w:val="clear" w:color="auto" w:fill="auto"/>
            <w:tcMar>
              <w:top w:w="100" w:type="dxa"/>
              <w:left w:w="100" w:type="dxa"/>
              <w:bottom w:w="100" w:type="dxa"/>
              <w:right w:w="100" w:type="dxa"/>
            </w:tcMar>
          </w:tcPr>
          <w:p w14:paraId="075CF27A"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13CED9A9" w14:textId="77777777" w:rsidR="008A6B9D" w:rsidRDefault="008A6B9D">
            <w:pPr>
              <w:widowControl w:val="0"/>
              <w:rPr>
                <w:rFonts w:ascii="Arial Narrow" w:eastAsia="Arial Narrow" w:hAnsi="Arial Narrow" w:cs="Arial Narrow"/>
                <w:sz w:val="22"/>
                <w:szCs w:val="22"/>
              </w:rPr>
            </w:pPr>
          </w:p>
        </w:tc>
      </w:tr>
    </w:tbl>
    <w:p w14:paraId="499393C2"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3D9857BD" w14:textId="77777777" w:rsidR="008A6B9D" w:rsidRDefault="008A6B9D">
      <w:pPr>
        <w:rPr>
          <w:rFonts w:ascii="Arial Narrow" w:eastAsia="Arial Narrow" w:hAnsi="Arial Narrow" w:cs="Arial Narrow"/>
          <w:sz w:val="22"/>
          <w:szCs w:val="22"/>
        </w:rPr>
      </w:pPr>
    </w:p>
    <w:p w14:paraId="186ABFEF" w14:textId="77777777" w:rsidR="008A6B9D" w:rsidRDefault="008A6B9D">
      <w:pPr>
        <w:rPr>
          <w:rFonts w:ascii="Arial Narrow" w:eastAsia="Arial Narrow" w:hAnsi="Arial Narrow" w:cs="Arial Narrow"/>
          <w:sz w:val="22"/>
          <w:szCs w:val="22"/>
        </w:rPr>
      </w:pPr>
    </w:p>
    <w:p w14:paraId="5251F83C"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2DACE96B" w14:textId="77777777" w:rsidR="008A6B9D" w:rsidRDefault="008A16FD">
      <w:pPr>
        <w:numPr>
          <w:ilvl w:val="0"/>
          <w:numId w:val="1"/>
        </w:numPr>
        <w:pBdr>
          <w:top w:val="nil"/>
          <w:left w:val="nil"/>
          <w:bottom w:val="nil"/>
          <w:right w:val="nil"/>
          <w:between w:val="nil"/>
        </w:pBdr>
        <w:jc w:val="both"/>
        <w:rPr>
          <w:rFonts w:ascii="Arial Narrow" w:eastAsia="Arial Narrow" w:hAnsi="Arial Narrow" w:cs="Arial Narrow"/>
          <w:b/>
          <w:color w:val="000000"/>
          <w:sz w:val="22"/>
          <w:szCs w:val="22"/>
        </w:rPr>
      </w:pPr>
      <w:bookmarkStart w:id="1" w:name="_heading=h.1fob9te" w:colFirst="0" w:colLast="0"/>
      <w:bookmarkEnd w:id="1"/>
      <w:r>
        <w:rPr>
          <w:rFonts w:ascii="Arial Narrow" w:eastAsia="Arial Narrow" w:hAnsi="Arial Narrow" w:cs="Arial Narrow"/>
          <w:b/>
          <w:color w:val="000000"/>
          <w:sz w:val="22"/>
          <w:szCs w:val="22"/>
        </w:rPr>
        <w:t>EXPOSICIÓN DE MOTIVOS</w:t>
      </w:r>
    </w:p>
    <w:p w14:paraId="5D837C9F" w14:textId="77777777" w:rsidR="008A6B9D" w:rsidRDefault="008A6B9D">
      <w:pPr>
        <w:pBdr>
          <w:top w:val="nil"/>
          <w:left w:val="nil"/>
          <w:bottom w:val="nil"/>
          <w:right w:val="nil"/>
          <w:between w:val="nil"/>
        </w:pBdr>
        <w:jc w:val="both"/>
        <w:rPr>
          <w:rFonts w:ascii="Arial Narrow" w:eastAsia="Arial Narrow" w:hAnsi="Arial Narrow" w:cs="Arial Narrow"/>
          <w:b/>
          <w:color w:val="000000"/>
          <w:sz w:val="22"/>
          <w:szCs w:val="22"/>
        </w:rPr>
      </w:pPr>
      <w:bookmarkStart w:id="2" w:name="_heading=h.6axg0giyht64" w:colFirst="0" w:colLast="0"/>
      <w:bookmarkEnd w:id="2"/>
    </w:p>
    <w:p w14:paraId="1850B5EF" w14:textId="77777777" w:rsidR="008A6B9D" w:rsidRDefault="008A16FD">
      <w:pPr>
        <w:numPr>
          <w:ilvl w:val="1"/>
          <w:numId w:val="1"/>
        </w:numPr>
        <w:pBdr>
          <w:top w:val="nil"/>
          <w:left w:val="nil"/>
          <w:bottom w:val="nil"/>
          <w:right w:val="nil"/>
          <w:between w:val="nil"/>
        </w:pBdr>
        <w:ind w:right="4"/>
        <w:jc w:val="both"/>
        <w:rPr>
          <w:rFonts w:ascii="Arial Narrow" w:eastAsia="Arial Narrow" w:hAnsi="Arial Narrow" w:cs="Arial Narrow"/>
          <w:b/>
          <w:color w:val="000000"/>
          <w:sz w:val="22"/>
          <w:szCs w:val="22"/>
        </w:rPr>
      </w:pPr>
      <w:bookmarkStart w:id="3" w:name="_heading=h.3znysh7" w:colFirst="0" w:colLast="0"/>
      <w:bookmarkEnd w:id="3"/>
      <w:r>
        <w:rPr>
          <w:rFonts w:ascii="Arial Narrow" w:eastAsia="Arial Narrow" w:hAnsi="Arial Narrow" w:cs="Arial Narrow"/>
          <w:b/>
          <w:color w:val="000000"/>
          <w:sz w:val="22"/>
          <w:szCs w:val="22"/>
        </w:rPr>
        <w:t xml:space="preserve"> Presentación y síntesis del proyecto</w:t>
      </w:r>
    </w:p>
    <w:p w14:paraId="6B6040F4" w14:textId="77777777" w:rsidR="008A6B9D" w:rsidRDefault="008A6B9D">
      <w:pPr>
        <w:pBdr>
          <w:top w:val="nil"/>
          <w:left w:val="nil"/>
          <w:bottom w:val="nil"/>
          <w:right w:val="nil"/>
          <w:between w:val="nil"/>
        </w:pBdr>
        <w:ind w:left="360" w:right="4"/>
        <w:jc w:val="both"/>
        <w:rPr>
          <w:rFonts w:ascii="Arial Narrow" w:eastAsia="Arial Narrow" w:hAnsi="Arial Narrow" w:cs="Arial Narrow"/>
          <w:b/>
          <w:color w:val="000000"/>
          <w:sz w:val="22"/>
          <w:szCs w:val="22"/>
        </w:rPr>
      </w:pPr>
    </w:p>
    <w:p w14:paraId="66A8B425" w14:textId="77777777" w:rsidR="008A6B9D" w:rsidRDefault="008A16FD">
      <w:pPr>
        <w:pBdr>
          <w:top w:val="nil"/>
          <w:left w:val="nil"/>
          <w:bottom w:val="nil"/>
          <w:right w:val="nil"/>
          <w:between w:val="nil"/>
        </w:pBdr>
        <w:ind w:right="4"/>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presente Proyecto de Ley busca rendir homenaje y preservar la memoria del prócer ANTONIO AMADOR JOSÉ NARIÑO Y ÁLVAREZ DEL CASAL “ANTONIO NARIÑO” en Villa de Leyva, al haberse cumpli</w:t>
      </w:r>
      <w:r>
        <w:rPr>
          <w:rFonts w:ascii="Arial Narrow" w:eastAsia="Arial Narrow" w:hAnsi="Arial Narrow" w:cs="Arial Narrow"/>
          <w:sz w:val="22"/>
          <w:szCs w:val="22"/>
        </w:rPr>
        <w:t>do</w:t>
      </w:r>
      <w:r>
        <w:rPr>
          <w:rFonts w:ascii="Arial Narrow" w:eastAsia="Arial Narrow" w:hAnsi="Arial Narrow" w:cs="Arial Narrow"/>
          <w:color w:val="000000"/>
          <w:sz w:val="22"/>
          <w:szCs w:val="22"/>
        </w:rPr>
        <w:t xml:space="preserve"> 200 años de su muerte el 13 de diciembre de 2023. De igual forma, est</w:t>
      </w:r>
      <w:r>
        <w:rPr>
          <w:rFonts w:ascii="Arial Narrow" w:eastAsia="Arial Narrow" w:hAnsi="Arial Narrow" w:cs="Arial Narrow"/>
          <w:color w:val="000000"/>
          <w:sz w:val="22"/>
          <w:szCs w:val="22"/>
        </w:rPr>
        <w:t>a iniciativa busca exaltar la importancia del Municipio de Villa de Leyva en la historia de la Nación como último lugar de morada del prócer y ser el sitio donde fue inicialmente sepultado.</w:t>
      </w:r>
    </w:p>
    <w:p w14:paraId="7113D1AB" w14:textId="77777777" w:rsidR="008A6B9D" w:rsidRDefault="008A6B9D">
      <w:pPr>
        <w:pBdr>
          <w:top w:val="nil"/>
          <w:left w:val="nil"/>
          <w:bottom w:val="nil"/>
          <w:right w:val="nil"/>
          <w:between w:val="nil"/>
        </w:pBdr>
        <w:ind w:right="4"/>
        <w:jc w:val="both"/>
        <w:rPr>
          <w:rFonts w:ascii="Arial Narrow" w:eastAsia="Arial Narrow" w:hAnsi="Arial Narrow" w:cs="Arial Narrow"/>
          <w:color w:val="000000"/>
          <w:sz w:val="22"/>
          <w:szCs w:val="22"/>
        </w:rPr>
      </w:pPr>
    </w:p>
    <w:p w14:paraId="205F9259" w14:textId="77777777" w:rsidR="008A6B9D" w:rsidRDefault="008A16FD">
      <w:pPr>
        <w:numPr>
          <w:ilvl w:val="1"/>
          <w:numId w:val="1"/>
        </w:numPr>
        <w:pBdr>
          <w:top w:val="nil"/>
          <w:left w:val="nil"/>
          <w:bottom w:val="nil"/>
          <w:right w:val="nil"/>
          <w:between w:val="nil"/>
        </w:pBdr>
        <w:ind w:right="4"/>
        <w:jc w:val="both"/>
        <w:rPr>
          <w:rFonts w:ascii="Arial Narrow" w:eastAsia="Arial Narrow" w:hAnsi="Arial Narrow" w:cs="Arial Narrow"/>
          <w:b/>
          <w:color w:val="000000"/>
          <w:sz w:val="22"/>
          <w:szCs w:val="22"/>
        </w:rPr>
      </w:pPr>
      <w:bookmarkStart w:id="4" w:name="_heading=h.2et92p0" w:colFirst="0" w:colLast="0"/>
      <w:bookmarkEnd w:id="4"/>
      <w:r>
        <w:rPr>
          <w:rFonts w:ascii="Arial Narrow" w:eastAsia="Arial Narrow" w:hAnsi="Arial Narrow" w:cs="Arial Narrow"/>
          <w:b/>
          <w:color w:val="000000"/>
          <w:sz w:val="22"/>
          <w:szCs w:val="22"/>
        </w:rPr>
        <w:t xml:space="preserve"> Contenido del proyecto</w:t>
      </w:r>
    </w:p>
    <w:p w14:paraId="0D7E1250"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38914075"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Proyecto de Ley consta de 4 artículos.</w:t>
      </w:r>
    </w:p>
    <w:p w14:paraId="3762A797"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5EC41296"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Artículo 1.</w:t>
      </w:r>
      <w:r>
        <w:rPr>
          <w:rFonts w:ascii="Arial Narrow" w:eastAsia="Arial Narrow" w:hAnsi="Arial Narrow" w:cs="Arial Narrow"/>
          <w:color w:val="000000"/>
          <w:sz w:val="22"/>
          <w:szCs w:val="22"/>
        </w:rPr>
        <w:t xml:space="preserve"> Objeto</w:t>
      </w:r>
    </w:p>
    <w:p w14:paraId="2309F051"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Artículo 2</w:t>
      </w:r>
      <w:r>
        <w:rPr>
          <w:rFonts w:ascii="Arial Narrow" w:eastAsia="Arial Narrow" w:hAnsi="Arial Narrow" w:cs="Arial Narrow"/>
          <w:color w:val="000000"/>
          <w:sz w:val="22"/>
          <w:szCs w:val="22"/>
        </w:rPr>
        <w:t>. Autorización al Gobierno Nacional y al Congreso de la República para rendir honores a “ANTONIO NARIÑO”.</w:t>
      </w:r>
    </w:p>
    <w:p w14:paraId="4F551583"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Artículo 3.</w:t>
      </w:r>
      <w:r>
        <w:rPr>
          <w:rFonts w:ascii="Arial Narrow" w:eastAsia="Arial Narrow" w:hAnsi="Arial Narrow" w:cs="Arial Narrow"/>
          <w:color w:val="000000"/>
          <w:sz w:val="22"/>
          <w:szCs w:val="22"/>
        </w:rPr>
        <w:t xml:space="preserve"> Autorización al Gobierno Nacional para adelantar acciones para preservar la memoria del prócer.</w:t>
      </w:r>
    </w:p>
    <w:p w14:paraId="0E272460"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Artículo 4</w:t>
      </w:r>
      <w:r>
        <w:rPr>
          <w:rFonts w:ascii="Arial Narrow" w:eastAsia="Arial Narrow" w:hAnsi="Arial Narrow" w:cs="Arial Narrow"/>
          <w:color w:val="000000"/>
          <w:sz w:val="22"/>
          <w:szCs w:val="22"/>
        </w:rPr>
        <w:t>. Vigencia.</w:t>
      </w:r>
    </w:p>
    <w:p w14:paraId="0EAB2BED"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57C0EDA6"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1F69EF3E" w14:textId="77777777" w:rsidR="008A6B9D" w:rsidRDefault="008A16FD">
      <w:pPr>
        <w:pBdr>
          <w:top w:val="nil"/>
          <w:left w:val="nil"/>
          <w:bottom w:val="nil"/>
          <w:right w:val="nil"/>
          <w:between w:val="nil"/>
        </w:pBdr>
        <w:jc w:val="both"/>
        <w:rPr>
          <w:rFonts w:ascii="Arial Narrow" w:eastAsia="Arial Narrow" w:hAnsi="Arial Narrow" w:cs="Arial Narrow"/>
          <w:b/>
          <w:color w:val="000000"/>
          <w:sz w:val="22"/>
          <w:szCs w:val="22"/>
        </w:rPr>
      </w:pPr>
      <w:bookmarkStart w:id="5" w:name="_heading=h.tyjcwt" w:colFirst="0" w:colLast="0"/>
      <w:bookmarkEnd w:id="5"/>
      <w:r>
        <w:rPr>
          <w:rFonts w:ascii="Arial Narrow" w:eastAsia="Arial Narrow" w:hAnsi="Arial Narrow" w:cs="Arial Narrow"/>
          <w:b/>
          <w:color w:val="000000"/>
          <w:sz w:val="22"/>
          <w:szCs w:val="22"/>
        </w:rPr>
        <w:t>2.3. Justificación</w:t>
      </w:r>
    </w:p>
    <w:p w14:paraId="3E0BF39E" w14:textId="77777777" w:rsidR="008A6B9D" w:rsidRDefault="008A16FD">
      <w:pPr>
        <w:keepNext/>
        <w:keepLines/>
        <w:pBdr>
          <w:top w:val="nil"/>
          <w:left w:val="nil"/>
          <w:bottom w:val="nil"/>
          <w:right w:val="nil"/>
          <w:between w:val="nil"/>
        </w:pBdr>
        <w:spacing w:before="280" w:after="80"/>
        <w:ind w:right="4"/>
        <w:jc w:val="both"/>
        <w:rPr>
          <w:rFonts w:ascii="Arial Narrow" w:eastAsia="Arial Narrow" w:hAnsi="Arial Narrow" w:cs="Arial Narrow"/>
          <w:b/>
          <w:color w:val="000000"/>
          <w:sz w:val="22"/>
          <w:szCs w:val="22"/>
        </w:rPr>
      </w:pPr>
      <w:bookmarkStart w:id="6" w:name="_heading=h.sytamapx9hqx" w:colFirst="0" w:colLast="0"/>
      <w:bookmarkEnd w:id="6"/>
      <w:r>
        <w:rPr>
          <w:rFonts w:ascii="Arial Narrow" w:eastAsia="Arial Narrow" w:hAnsi="Arial Narrow" w:cs="Arial Narrow"/>
          <w:b/>
          <w:color w:val="000000"/>
          <w:sz w:val="22"/>
          <w:szCs w:val="22"/>
        </w:rPr>
        <w:t>2.3.1 Aspectos biográficos de “ANTONIO NARIÑO”</w:t>
      </w:r>
    </w:p>
    <w:p w14:paraId="6B8DC2EC" w14:textId="77777777" w:rsidR="008A6B9D" w:rsidRDefault="008A6B9D">
      <w:pPr>
        <w:pBdr>
          <w:top w:val="nil"/>
          <w:left w:val="nil"/>
          <w:bottom w:val="nil"/>
          <w:right w:val="nil"/>
          <w:between w:val="nil"/>
        </w:pBdr>
        <w:ind w:right="4"/>
        <w:jc w:val="both"/>
        <w:rPr>
          <w:rFonts w:ascii="Arial Narrow" w:eastAsia="Arial Narrow" w:hAnsi="Arial Narrow" w:cs="Arial Narrow"/>
          <w:b/>
          <w:color w:val="000000"/>
          <w:sz w:val="22"/>
          <w:szCs w:val="22"/>
        </w:rPr>
      </w:pPr>
      <w:bookmarkStart w:id="7" w:name="_heading=h.3dy6vkm" w:colFirst="0" w:colLast="0"/>
      <w:bookmarkEnd w:id="7"/>
    </w:p>
    <w:p w14:paraId="387BBF5C"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highlight w:val="white"/>
        </w:rPr>
        <w:t xml:space="preserve">“ANTONIO AMADOR JOSÉ NARIÑO Y ÁLVAREZ DEL CASAL “ANTONIO NARIÑO”, nació en </w:t>
      </w:r>
      <w:r>
        <w:rPr>
          <w:rFonts w:ascii="Arial Narrow" w:eastAsia="Arial Narrow" w:hAnsi="Arial Narrow" w:cs="Arial Narrow"/>
          <w:color w:val="000000"/>
          <w:sz w:val="22"/>
          <w:szCs w:val="22"/>
        </w:rPr>
        <w:t>Santafé de Bogotá el 9 de abril de 1765, en el seno de una de las familias más importantes del virreinato, su padre fue el español Vicente de Nariño y su madre la santafereña Catali</w:t>
      </w:r>
      <w:r>
        <w:rPr>
          <w:rFonts w:ascii="Arial Narrow" w:eastAsia="Arial Narrow" w:hAnsi="Arial Narrow" w:cs="Arial Narrow"/>
          <w:color w:val="000000"/>
          <w:sz w:val="22"/>
          <w:szCs w:val="22"/>
        </w:rPr>
        <w:t xml:space="preserve">na Álvarez del Casal. Desde muy temprano, Nariño ocupó diferentes puestos en la burocracia virreinal destacándose como alcalde del segundo voto de Santafé, tesorero de diezmos del </w:t>
      </w:r>
      <w:r>
        <w:rPr>
          <w:rFonts w:ascii="Arial Narrow" w:eastAsia="Arial Narrow" w:hAnsi="Arial Narrow" w:cs="Arial Narrow"/>
          <w:color w:val="000000"/>
          <w:sz w:val="22"/>
          <w:szCs w:val="22"/>
        </w:rPr>
        <w:lastRenderedPageBreak/>
        <w:t>Arzobispado y regidor y alcalde mayor provincial, cargos que combinó siempre</w:t>
      </w:r>
      <w:r>
        <w:rPr>
          <w:rFonts w:ascii="Arial Narrow" w:eastAsia="Arial Narrow" w:hAnsi="Arial Narrow" w:cs="Arial Narrow"/>
          <w:color w:val="000000"/>
          <w:sz w:val="22"/>
          <w:szCs w:val="22"/>
        </w:rPr>
        <w:t xml:space="preserve"> con el comercio de cacao, té de Bogotá, quinas y libros.</w:t>
      </w:r>
    </w:p>
    <w:p w14:paraId="7E690E5A"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p>
    <w:p w14:paraId="1F587C0C"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abril de 1793, Nariño puso en funcionamiento la Imprenta Patriótica, la primera imprenta de carácter particular de la que se tiene noticia en la historia colombiana. Nariño protagonizó un hecho </w:t>
      </w:r>
      <w:r>
        <w:rPr>
          <w:rFonts w:ascii="Arial Narrow" w:eastAsia="Arial Narrow" w:hAnsi="Arial Narrow" w:cs="Arial Narrow"/>
          <w:color w:val="000000"/>
          <w:sz w:val="22"/>
          <w:szCs w:val="22"/>
        </w:rPr>
        <w:t xml:space="preserve">que cambió su vida para siempre: imprimió de manera clandestina, por vez primera en la América hispánica, la Declaración de los Derechos del Hombre y del Ciudadano hecha por la Asamblea Nacional Constituyente de Francia el 26 de agosto de 1789. Este hecho </w:t>
      </w:r>
      <w:r>
        <w:rPr>
          <w:rFonts w:ascii="Arial Narrow" w:eastAsia="Arial Narrow" w:hAnsi="Arial Narrow" w:cs="Arial Narrow"/>
          <w:color w:val="000000"/>
          <w:sz w:val="22"/>
          <w:szCs w:val="22"/>
        </w:rPr>
        <w:t>le causó cerca de 16 años de prisión en Santafé, Cartagena y Cádiz, la pérdida de todos sus bienes, múltiples destierros, quebrantos de salud y afugias familiares.</w:t>
      </w:r>
    </w:p>
    <w:p w14:paraId="209B9AD3"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p>
    <w:p w14:paraId="0C8F488D"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octubre de 1810, ya en el contexto de la formación de las juntas autonómicas de gobierno</w:t>
      </w:r>
      <w:r>
        <w:rPr>
          <w:rFonts w:ascii="Arial Narrow" w:eastAsia="Arial Narrow" w:hAnsi="Arial Narrow" w:cs="Arial Narrow"/>
          <w:color w:val="000000"/>
          <w:sz w:val="22"/>
          <w:szCs w:val="22"/>
        </w:rPr>
        <w:t xml:space="preserve"> en toda América, Nariño recobró su libertad y fue designado como secretario del primer Congreso de las Provincias de la Nueva Granada. Meses después, en julio de 1811, publicó el primer número de su célebre periódico La Bagatela (1811-1812), donde se enca</w:t>
      </w:r>
      <w:r>
        <w:rPr>
          <w:rFonts w:ascii="Arial Narrow" w:eastAsia="Arial Narrow" w:hAnsi="Arial Narrow" w:cs="Arial Narrow"/>
          <w:color w:val="000000"/>
          <w:sz w:val="22"/>
          <w:szCs w:val="22"/>
        </w:rPr>
        <w:t>rgó de formular su “propuesta centralista” y agitó el ruedo político denunciando los grandes peligros que enfrentaba la existencia política de la Nueva Granada. Tan solo dos meses después, el 19 de septiembre de 1811, Nariño fue elegido presidente del Esta</w:t>
      </w:r>
      <w:r>
        <w:rPr>
          <w:rFonts w:ascii="Arial Narrow" w:eastAsia="Arial Narrow" w:hAnsi="Arial Narrow" w:cs="Arial Narrow"/>
          <w:color w:val="000000"/>
          <w:sz w:val="22"/>
          <w:szCs w:val="22"/>
        </w:rPr>
        <w:t>do de Cundinamarca tras la dimisión del titular Jorge Tadeo Lozano a raíz de estas polémicas periodísticas.</w:t>
      </w:r>
    </w:p>
    <w:p w14:paraId="6FDF1007"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p>
    <w:p w14:paraId="5B76CF55"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Durante un poco más dos años, Nariño estuvo al frente de la presidencia del Estado, reorganizó los ramos de hacienda y militar, empezando una férre</w:t>
      </w:r>
      <w:r>
        <w:rPr>
          <w:rFonts w:ascii="Arial Narrow" w:eastAsia="Arial Narrow" w:hAnsi="Arial Narrow" w:cs="Arial Narrow"/>
          <w:color w:val="000000"/>
          <w:sz w:val="22"/>
          <w:szCs w:val="22"/>
        </w:rPr>
        <w:t xml:space="preserve">a política de anexión de provincias vecinas, al tiempo que llevó a cabo importantes campañas militares contra las fuerzas monárquicas y los bastiones federalistas del Congreso. El 14 de mayo de 1814, en el marco de estas luchas, en la conocida Campaña del </w:t>
      </w:r>
      <w:r>
        <w:rPr>
          <w:rFonts w:ascii="Arial Narrow" w:eastAsia="Arial Narrow" w:hAnsi="Arial Narrow" w:cs="Arial Narrow"/>
          <w:color w:val="000000"/>
          <w:sz w:val="22"/>
          <w:szCs w:val="22"/>
        </w:rPr>
        <w:t>Sur, Nariño fue apresado por las fuerzas realistas en la acción de Tacines y conducido preso a la ciudad de Pasto. De allí fue llevado a Quito, Guayaquil, Lima, y finalmente a Cádiz, donde llegó el 6 de marzo de 1816 y permaneció hasta 1820. En esta última</w:t>
      </w:r>
      <w:r>
        <w:rPr>
          <w:rFonts w:ascii="Arial Narrow" w:eastAsia="Arial Narrow" w:hAnsi="Arial Narrow" w:cs="Arial Narrow"/>
          <w:color w:val="000000"/>
          <w:sz w:val="22"/>
          <w:szCs w:val="22"/>
        </w:rPr>
        <w:t xml:space="preserve"> ciudad, publicó Las cartas de un americano a un amigo suyo, firmadas por Enrique Somoyar, donde denunciaba los excesos del bando realista durante las guerras de Independencia. Este documento fue publicado posteriormente en Colombia por el Correo del Orino</w:t>
      </w:r>
      <w:r>
        <w:rPr>
          <w:rFonts w:ascii="Arial Narrow" w:eastAsia="Arial Narrow" w:hAnsi="Arial Narrow" w:cs="Arial Narrow"/>
          <w:color w:val="000000"/>
          <w:sz w:val="22"/>
          <w:szCs w:val="22"/>
        </w:rPr>
        <w:t>co y circuló ampliamente en América y España.</w:t>
      </w:r>
    </w:p>
    <w:p w14:paraId="77FCD434"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p>
    <w:p w14:paraId="3965D769"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Una vez en Bogotá, ya en el marco de la política Grancolombiana, el 6 de mayo de 1821, Nariño inauguró el Congreso de Cúcuta en calidad de vicepresidente de la República. En diciembre de 1822, fue designado co</w:t>
      </w:r>
      <w:r>
        <w:rPr>
          <w:rFonts w:ascii="Arial Narrow" w:eastAsia="Arial Narrow" w:hAnsi="Arial Narrow" w:cs="Arial Narrow"/>
          <w:color w:val="000000"/>
          <w:sz w:val="22"/>
          <w:szCs w:val="22"/>
        </w:rPr>
        <w:t>mo senador en Cúcuta, pero su curul fue impugnada por algunos de los más cercanos colaboradores de Francisco de Paula Santander, con los cuales se enfrascó en una polémica en la que sería su última aventura editorial: Los Toros de Fucha. El 13 de diciembre</w:t>
      </w:r>
      <w:r>
        <w:rPr>
          <w:rFonts w:ascii="Arial Narrow" w:eastAsia="Arial Narrow" w:hAnsi="Arial Narrow" w:cs="Arial Narrow"/>
          <w:color w:val="000000"/>
          <w:sz w:val="22"/>
          <w:szCs w:val="22"/>
        </w:rPr>
        <w:t xml:space="preserve"> de 1823, Nariño murió enfermo en Villa de Leyva a la de edad de 58 años”.</w:t>
      </w:r>
      <w:r>
        <w:rPr>
          <w:rFonts w:ascii="Arial Narrow" w:eastAsia="Arial Narrow" w:hAnsi="Arial Narrow" w:cs="Arial Narrow"/>
          <w:color w:val="000000"/>
          <w:sz w:val="22"/>
          <w:szCs w:val="22"/>
          <w:vertAlign w:val="superscript"/>
        </w:rPr>
        <w:footnoteReference w:id="1"/>
      </w:r>
    </w:p>
    <w:p w14:paraId="1305AF30" w14:textId="77777777" w:rsidR="008A6B9D" w:rsidRDefault="008A6B9D">
      <w:pPr>
        <w:pBdr>
          <w:top w:val="nil"/>
          <w:left w:val="nil"/>
          <w:bottom w:val="nil"/>
          <w:right w:val="nil"/>
          <w:between w:val="nil"/>
        </w:pBdr>
        <w:jc w:val="both"/>
        <w:rPr>
          <w:rFonts w:ascii="Arial Narrow" w:eastAsia="Arial Narrow" w:hAnsi="Arial Narrow" w:cs="Arial Narrow"/>
          <w:b/>
          <w:color w:val="000000"/>
          <w:sz w:val="22"/>
          <w:szCs w:val="22"/>
        </w:rPr>
      </w:pPr>
    </w:p>
    <w:p w14:paraId="5C1E8852" w14:textId="77777777" w:rsidR="008A6B9D" w:rsidRDefault="008A16FD">
      <w:pPr>
        <w:keepNext/>
        <w:keepLines/>
        <w:pBdr>
          <w:top w:val="nil"/>
          <w:left w:val="nil"/>
          <w:bottom w:val="nil"/>
          <w:right w:val="nil"/>
          <w:between w:val="nil"/>
        </w:pBdr>
        <w:spacing w:before="280" w:after="80"/>
        <w:ind w:right="4"/>
        <w:jc w:val="both"/>
        <w:rPr>
          <w:rFonts w:ascii="Arial Narrow" w:eastAsia="Arial Narrow" w:hAnsi="Arial Narrow" w:cs="Arial Narrow"/>
          <w:b/>
          <w:color w:val="000000"/>
          <w:sz w:val="22"/>
          <w:szCs w:val="22"/>
        </w:rPr>
      </w:pPr>
      <w:bookmarkStart w:id="8" w:name="_heading=h.idq1x0496bjl" w:colFirst="0" w:colLast="0"/>
      <w:bookmarkEnd w:id="8"/>
      <w:r>
        <w:rPr>
          <w:rFonts w:ascii="Arial Narrow" w:eastAsia="Arial Narrow" w:hAnsi="Arial Narrow" w:cs="Arial Narrow"/>
          <w:b/>
          <w:color w:val="000000"/>
          <w:sz w:val="22"/>
          <w:szCs w:val="22"/>
        </w:rPr>
        <w:t>2.3.2. Reseña de Villa de Leyva</w:t>
      </w:r>
    </w:p>
    <w:p w14:paraId="1A60A15C" w14:textId="77777777" w:rsidR="008A6B9D" w:rsidRDefault="008A6B9D">
      <w:pPr>
        <w:pBdr>
          <w:top w:val="nil"/>
          <w:left w:val="nil"/>
          <w:bottom w:val="nil"/>
          <w:right w:val="nil"/>
          <w:between w:val="nil"/>
        </w:pBdr>
        <w:ind w:right="4"/>
        <w:jc w:val="both"/>
        <w:rPr>
          <w:rFonts w:ascii="Arial Narrow" w:eastAsia="Arial Narrow" w:hAnsi="Arial Narrow" w:cs="Arial Narrow"/>
          <w:b/>
          <w:color w:val="000000"/>
          <w:sz w:val="22"/>
          <w:szCs w:val="22"/>
        </w:rPr>
      </w:pPr>
    </w:p>
    <w:p w14:paraId="081B0BA9"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 de Leyva fue fundada el 12 de junio de 1572 por el Presidente de la Real Audiencia del Nuevo Reino de Granada Andrés Díaz Venero de Leyva. Fue sitio de recreo de funcionarios y centro de una zona de cultivos de trigo y olivos. En 1811 se unió a la p</w:t>
      </w:r>
      <w:r>
        <w:rPr>
          <w:rFonts w:ascii="Arial Narrow" w:eastAsia="Arial Narrow" w:hAnsi="Arial Narrow" w:cs="Arial Narrow"/>
          <w:color w:val="000000"/>
          <w:sz w:val="22"/>
          <w:szCs w:val="22"/>
        </w:rPr>
        <w:t>rovincia de Cundinamarca que declaró su independencia de España. En 1812 fue sede del primer Congreso de las Provincias Unidas de la Nueva Granada. En 1954 fue declarada monumento nacional”.</w:t>
      </w:r>
      <w:r>
        <w:rPr>
          <w:rFonts w:ascii="Arial Narrow" w:eastAsia="Arial Narrow" w:hAnsi="Arial Narrow" w:cs="Arial Narrow"/>
          <w:color w:val="000000"/>
          <w:sz w:val="22"/>
          <w:szCs w:val="22"/>
          <w:vertAlign w:val="superscript"/>
        </w:rPr>
        <w:footnoteReference w:id="2"/>
      </w:r>
    </w:p>
    <w:p w14:paraId="109AFF94"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p>
    <w:p w14:paraId="254B988D" w14:textId="77777777" w:rsidR="008A6B9D" w:rsidRDefault="008A16FD">
      <w:pPr>
        <w:pBdr>
          <w:top w:val="nil"/>
          <w:left w:val="nil"/>
          <w:bottom w:val="nil"/>
          <w:right w:val="nil"/>
          <w:between w:val="nil"/>
        </w:pBdr>
        <w:tabs>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 de Leyva es hoy uno de los principales destinos turísticos de Colombia, en gran medida gracias a su patrimonio arquitectónico y a una identidad que evoca la imagen que tenemos de las ciudades colombianas en la Colonia y el siglo XIX. Eso la ha conve</w:t>
      </w:r>
      <w:r>
        <w:rPr>
          <w:rFonts w:ascii="Arial Narrow" w:eastAsia="Arial Narrow" w:hAnsi="Arial Narrow" w:cs="Arial Narrow"/>
          <w:color w:val="000000"/>
          <w:sz w:val="22"/>
          <w:szCs w:val="22"/>
        </w:rPr>
        <w:t>rtido en el escenario ideal para la realización de producciones de televisión ambientadas en esos siglos, muchas de las cuales también hacen parte de nuestra memoria (…).”</w:t>
      </w:r>
      <w:r>
        <w:rPr>
          <w:rFonts w:ascii="Arial Narrow" w:eastAsia="Arial Narrow" w:hAnsi="Arial Narrow" w:cs="Arial Narrow"/>
          <w:color w:val="000000"/>
          <w:sz w:val="22"/>
          <w:szCs w:val="22"/>
          <w:vertAlign w:val="superscript"/>
        </w:rPr>
        <w:footnoteReference w:id="3"/>
      </w:r>
      <w:r>
        <w:rPr>
          <w:rFonts w:ascii="Arial Narrow" w:eastAsia="Arial Narrow" w:hAnsi="Arial Narrow" w:cs="Arial Narrow"/>
          <w:color w:val="000000"/>
          <w:sz w:val="22"/>
          <w:szCs w:val="22"/>
        </w:rPr>
        <w:t>.</w:t>
      </w:r>
    </w:p>
    <w:p w14:paraId="60280D25"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p>
    <w:p w14:paraId="7B8D3FEB"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“Entre los edificios coloniales más notables se encuentran la Iglesia Catedral, </w:t>
      </w:r>
      <w:r>
        <w:rPr>
          <w:rFonts w:ascii="Arial Narrow" w:eastAsia="Arial Narrow" w:hAnsi="Arial Narrow" w:cs="Arial Narrow"/>
          <w:color w:val="000000"/>
          <w:sz w:val="22"/>
          <w:szCs w:val="22"/>
        </w:rPr>
        <w:t>la Iglesia del Carmen, el Museo Antonio Ricaurte, el Convento de San Francisco, el Convento del Carmen, el Claustro de San Agustín, la Fábrica Real de Aguardientes, la Casa del Congreso. Además, existen el Museo Luis Alberto Acuña y el Museo del Carmen. La</w:t>
      </w:r>
      <w:r>
        <w:rPr>
          <w:rFonts w:ascii="Arial Narrow" w:eastAsia="Arial Narrow" w:hAnsi="Arial Narrow" w:cs="Arial Narrow"/>
          <w:color w:val="000000"/>
          <w:sz w:val="22"/>
          <w:szCs w:val="22"/>
        </w:rPr>
        <w:t xml:space="preserve"> región alrededor de Villa de Leyva es abundante en fósiles.”</w:t>
      </w:r>
      <w:r>
        <w:rPr>
          <w:rFonts w:ascii="Arial Narrow" w:eastAsia="Arial Narrow" w:hAnsi="Arial Narrow" w:cs="Arial Narrow"/>
          <w:color w:val="000000"/>
          <w:sz w:val="22"/>
          <w:szCs w:val="22"/>
          <w:vertAlign w:val="superscript"/>
        </w:rPr>
        <w:footnoteReference w:id="4"/>
      </w:r>
    </w:p>
    <w:p w14:paraId="74DA27C2"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p>
    <w:p w14:paraId="70343463"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 de Leyva es cuna del General Antonio Ricaurte inmolado en San Mateo durante la guerra de independencia.</w:t>
      </w:r>
    </w:p>
    <w:p w14:paraId="1DCA9DFF"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ind w:left="560"/>
        <w:jc w:val="both"/>
        <w:rPr>
          <w:rFonts w:ascii="Arial Narrow" w:eastAsia="Arial Narrow" w:hAnsi="Arial Narrow" w:cs="Arial Narrow"/>
          <w:color w:val="000000"/>
          <w:sz w:val="22"/>
          <w:szCs w:val="22"/>
        </w:rPr>
      </w:pPr>
    </w:p>
    <w:p w14:paraId="011C0600"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General y Presidente de la República Antonio Nariño pasó sus últimos días aquí. </w:t>
      </w:r>
    </w:p>
    <w:p w14:paraId="2B1ED09E"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sz w:val="22"/>
          <w:szCs w:val="22"/>
        </w:rPr>
      </w:pPr>
    </w:p>
    <w:p w14:paraId="58361417"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1812 se reunió en la Villa el primer Congreso de las Provincias Unidas (…).</w:t>
      </w:r>
      <w:r>
        <w:rPr>
          <w:rFonts w:ascii="Arial Narrow" w:eastAsia="Arial Narrow" w:hAnsi="Arial Narrow" w:cs="Arial Narrow"/>
          <w:color w:val="000000"/>
          <w:sz w:val="22"/>
          <w:szCs w:val="22"/>
          <w:vertAlign w:val="superscript"/>
        </w:rPr>
        <w:footnoteReference w:id="5"/>
      </w:r>
      <w:r>
        <w:rPr>
          <w:rFonts w:ascii="Arial Narrow" w:eastAsia="Arial Narrow" w:hAnsi="Arial Narrow" w:cs="Arial Narrow"/>
          <w:color w:val="000000"/>
          <w:sz w:val="22"/>
          <w:szCs w:val="22"/>
        </w:rPr>
        <w:t>”.</w:t>
      </w:r>
    </w:p>
    <w:p w14:paraId="2DADA1C4"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p>
    <w:p w14:paraId="7923B178"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conformidad con datos del Departamento Nacional de Estadística  DANE, el municipio d</w:t>
      </w:r>
      <w:r>
        <w:rPr>
          <w:rFonts w:ascii="Arial Narrow" w:eastAsia="Arial Narrow" w:hAnsi="Arial Narrow" w:cs="Arial Narrow"/>
          <w:color w:val="000000"/>
          <w:sz w:val="22"/>
          <w:szCs w:val="22"/>
        </w:rPr>
        <w:t>e Villa de Leyva cuenta con 17.466 habitantes</w:t>
      </w:r>
      <w:r>
        <w:rPr>
          <w:rFonts w:ascii="Arial Narrow" w:eastAsia="Arial Narrow" w:hAnsi="Arial Narrow" w:cs="Arial Narrow"/>
          <w:color w:val="000000"/>
          <w:sz w:val="22"/>
          <w:szCs w:val="22"/>
          <w:vertAlign w:val="superscript"/>
        </w:rPr>
        <w:footnoteReference w:id="6"/>
      </w:r>
      <w:r>
        <w:rPr>
          <w:rFonts w:ascii="Arial Narrow" w:eastAsia="Arial Narrow" w:hAnsi="Arial Narrow" w:cs="Arial Narrow"/>
          <w:color w:val="000000"/>
          <w:sz w:val="22"/>
          <w:szCs w:val="22"/>
        </w:rPr>
        <w:t>. “Administrativamente corresponde al Departamento de Boyacá y la subregión denominada vertiente y Valle de Moniquirá, conocida como la Provincia de Ricaurte y según la denominación muisca: Alto Valle de Saque</w:t>
      </w:r>
      <w:r>
        <w:rPr>
          <w:rFonts w:ascii="Arial Narrow" w:eastAsia="Arial Narrow" w:hAnsi="Arial Narrow" w:cs="Arial Narrow"/>
          <w:color w:val="000000"/>
          <w:sz w:val="22"/>
          <w:szCs w:val="22"/>
        </w:rPr>
        <w:t xml:space="preserve">ncipá. </w:t>
      </w:r>
    </w:p>
    <w:p w14:paraId="695C3D8E"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p>
    <w:p w14:paraId="12B25F42"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 de Leyva está regado por tres ríos que colectan las aguas provenientes de los páramos de Gachaneque, Merchán - El Águila, Morro Negro e Iguaque. Los tres ejes fluviales son el Río Sutamarchán, Río Sáchica y Río Cane, con una amplia red de af</w:t>
      </w:r>
      <w:r>
        <w:rPr>
          <w:rFonts w:ascii="Arial Narrow" w:eastAsia="Arial Narrow" w:hAnsi="Arial Narrow" w:cs="Arial Narrow"/>
          <w:color w:val="000000"/>
          <w:sz w:val="22"/>
          <w:szCs w:val="22"/>
        </w:rPr>
        <w:t xml:space="preserve">luentes menores, que se unen formando el Río </w:t>
      </w:r>
      <w:r>
        <w:rPr>
          <w:rFonts w:ascii="Arial Narrow" w:eastAsia="Arial Narrow" w:hAnsi="Arial Narrow" w:cs="Arial Narrow"/>
          <w:sz w:val="22"/>
          <w:szCs w:val="22"/>
        </w:rPr>
        <w:t>Moniquirá</w:t>
      </w:r>
      <w:r>
        <w:rPr>
          <w:rFonts w:ascii="Arial Narrow" w:eastAsia="Arial Narrow" w:hAnsi="Arial Narrow" w:cs="Arial Narrow"/>
          <w:color w:val="000000"/>
          <w:sz w:val="22"/>
          <w:szCs w:val="22"/>
        </w:rPr>
        <w:t>, a través del cual tributan sus aguas al Río Suárez.”</w:t>
      </w:r>
      <w:r>
        <w:rPr>
          <w:rFonts w:ascii="Arial Narrow" w:eastAsia="Arial Narrow" w:hAnsi="Arial Narrow" w:cs="Arial Narrow"/>
          <w:color w:val="000000"/>
          <w:sz w:val="22"/>
          <w:szCs w:val="22"/>
          <w:vertAlign w:val="superscript"/>
        </w:rPr>
        <w:footnoteReference w:id="7"/>
      </w:r>
    </w:p>
    <w:p w14:paraId="5FFD2551"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sz w:val="22"/>
          <w:szCs w:val="22"/>
        </w:rPr>
      </w:pPr>
    </w:p>
    <w:p w14:paraId="0D8D7310"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sz w:val="22"/>
          <w:szCs w:val="22"/>
        </w:rPr>
      </w:pPr>
      <w:r>
        <w:rPr>
          <w:rFonts w:ascii="Arial Narrow" w:eastAsia="Arial Narrow" w:hAnsi="Arial Narrow" w:cs="Arial Narrow"/>
          <w:sz w:val="22"/>
          <w:szCs w:val="22"/>
        </w:rPr>
        <w:t>Villa de Leyva fue declarado como un municipio Monumento Nacional de Utilidad Pública que busca ser conservado por su riqueza cultural, se considera de gran importancia por todo lo que representa para la historia colombiana que debe ser preservada como par</w:t>
      </w:r>
      <w:r>
        <w:rPr>
          <w:rFonts w:ascii="Arial Narrow" w:eastAsia="Arial Narrow" w:hAnsi="Arial Narrow" w:cs="Arial Narrow"/>
          <w:sz w:val="22"/>
          <w:szCs w:val="22"/>
        </w:rPr>
        <w:t>te de nuestra identidad.</w:t>
      </w:r>
    </w:p>
    <w:p w14:paraId="0683F01A" w14:textId="77777777" w:rsidR="008A6B9D" w:rsidRDefault="008A16FD">
      <w:pPr>
        <w:keepNext/>
        <w:keepLines/>
        <w:numPr>
          <w:ilvl w:val="2"/>
          <w:numId w:val="4"/>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280" w:after="80"/>
        <w:ind w:right="4"/>
        <w:jc w:val="both"/>
        <w:rPr>
          <w:rFonts w:ascii="Arial Narrow" w:eastAsia="Arial Narrow" w:hAnsi="Arial Narrow" w:cs="Arial Narrow"/>
          <w:b/>
          <w:color w:val="000000"/>
          <w:sz w:val="22"/>
          <w:szCs w:val="22"/>
        </w:rPr>
      </w:pPr>
      <w:bookmarkStart w:id="9" w:name="_heading=h.fb5pmie8kkxx" w:colFirst="0" w:colLast="0"/>
      <w:bookmarkEnd w:id="9"/>
      <w:r>
        <w:rPr>
          <w:rFonts w:ascii="Arial Narrow" w:eastAsia="Arial Narrow" w:hAnsi="Arial Narrow" w:cs="Arial Narrow"/>
          <w:b/>
          <w:color w:val="000000"/>
          <w:sz w:val="22"/>
          <w:szCs w:val="22"/>
        </w:rPr>
        <w:t xml:space="preserve"> Pretensiones de la Iniciativa Legislativa.</w:t>
      </w:r>
    </w:p>
    <w:p w14:paraId="0E9ECD45"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b/>
          <w:color w:val="000000"/>
          <w:sz w:val="22"/>
          <w:szCs w:val="22"/>
        </w:rPr>
      </w:pPr>
    </w:p>
    <w:p w14:paraId="7D358FE7"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El presente Proyecto de Ley busca homenajear en el bicentenario de su muerte al prócer </w:t>
      </w:r>
      <w:r>
        <w:rPr>
          <w:rFonts w:ascii="Arial Narrow" w:eastAsia="Arial Narrow" w:hAnsi="Arial Narrow" w:cs="Arial Narrow"/>
          <w:color w:val="000000"/>
          <w:sz w:val="22"/>
          <w:szCs w:val="22"/>
          <w:highlight w:val="white"/>
        </w:rPr>
        <w:t>“ANTONIO NARIÑO”, adicionalmente,</w:t>
      </w:r>
      <w:r>
        <w:rPr>
          <w:rFonts w:ascii="Arial Narrow" w:eastAsia="Arial Narrow" w:hAnsi="Arial Narrow" w:cs="Arial Narrow"/>
          <w:color w:val="000000"/>
          <w:sz w:val="22"/>
          <w:szCs w:val="22"/>
        </w:rPr>
        <w:t xml:space="preserve"> se pretende con esta iniciativa legislativa que se </w:t>
      </w:r>
      <w:r>
        <w:rPr>
          <w:rFonts w:ascii="Arial Narrow" w:eastAsia="Arial Narrow" w:hAnsi="Arial Narrow" w:cs="Arial Narrow"/>
          <w:sz w:val="22"/>
          <w:szCs w:val="22"/>
        </w:rPr>
        <w:t>autorice</w:t>
      </w:r>
      <w:r>
        <w:rPr>
          <w:rFonts w:ascii="Arial Narrow" w:eastAsia="Arial Narrow" w:hAnsi="Arial Narrow" w:cs="Arial Narrow"/>
          <w:color w:val="000000"/>
          <w:sz w:val="22"/>
          <w:szCs w:val="22"/>
        </w:rPr>
        <w:t xml:space="preserve"> al Go</w:t>
      </w:r>
      <w:r>
        <w:rPr>
          <w:rFonts w:ascii="Arial Narrow" w:eastAsia="Arial Narrow" w:hAnsi="Arial Narrow" w:cs="Arial Narrow"/>
          <w:color w:val="000000"/>
          <w:sz w:val="22"/>
          <w:szCs w:val="22"/>
        </w:rPr>
        <w:t>bierno Nacional a llevar a cabo las siguientes acciones, con el objetivo de preservar la memoria de este prócer de la patria, en su último sitio de morada así:</w:t>
      </w:r>
    </w:p>
    <w:p w14:paraId="0ADE87D5"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w:t>
      </w:r>
    </w:p>
    <w:p w14:paraId="160DB40C" w14:textId="77777777" w:rsidR="008A6B9D" w:rsidRDefault="008A16FD">
      <w:pPr>
        <w:keepNext/>
        <w:keepLines/>
        <w:numPr>
          <w:ilvl w:val="0"/>
          <w:numId w:val="6"/>
        </w:numPr>
        <w:pBdr>
          <w:top w:val="nil"/>
          <w:left w:val="nil"/>
          <w:bottom w:val="nil"/>
          <w:right w:val="nil"/>
          <w:between w:val="nil"/>
        </w:pBdr>
        <w:spacing w:before="240" w:after="40"/>
        <w:jc w:val="both"/>
        <w:rPr>
          <w:rFonts w:ascii="Arial Narrow" w:eastAsia="Arial Narrow" w:hAnsi="Arial Narrow" w:cs="Arial Narrow"/>
          <w:b/>
          <w:color w:val="000000"/>
          <w:sz w:val="22"/>
          <w:szCs w:val="22"/>
        </w:rPr>
      </w:pPr>
      <w:bookmarkStart w:id="10" w:name="_heading=h.c6m678rklxrc" w:colFirst="0" w:colLast="0"/>
      <w:bookmarkEnd w:id="10"/>
      <w:r>
        <w:rPr>
          <w:rFonts w:ascii="Arial Narrow" w:eastAsia="Arial Narrow" w:hAnsi="Arial Narrow" w:cs="Arial Narrow"/>
          <w:b/>
          <w:color w:val="000000"/>
          <w:sz w:val="22"/>
          <w:szCs w:val="22"/>
        </w:rPr>
        <w:t>Exaltar a la Iglesia de Nuestra Señora del Rosario de Villa de Leyva por ser el sitio donde fue sepultado inicialmente “ANTONIO NARIÑO”:</w:t>
      </w:r>
    </w:p>
    <w:p w14:paraId="26C0F6A5"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53C2D9F4" w14:textId="77777777" w:rsidR="008A6B9D" w:rsidRDefault="008A16FD">
      <w:pPr>
        <w:pBdr>
          <w:top w:val="nil"/>
          <w:left w:val="nil"/>
          <w:bottom w:val="nil"/>
          <w:right w:val="nil"/>
          <w:between w:val="nil"/>
        </w:pBdr>
        <w:ind w:left="1080"/>
        <w:jc w:val="both"/>
        <w:rPr>
          <w:rFonts w:ascii="Arial Narrow" w:eastAsia="Arial Narrow" w:hAnsi="Arial Narrow" w:cs="Arial Narrow"/>
          <w:color w:val="000000"/>
          <w:sz w:val="22"/>
          <w:szCs w:val="22"/>
          <w:highlight w:val="white"/>
        </w:rPr>
      </w:pPr>
      <w:r>
        <w:rPr>
          <w:rFonts w:ascii="Arial Narrow" w:eastAsia="Arial Narrow" w:hAnsi="Arial Narrow" w:cs="Arial Narrow"/>
          <w:color w:val="000000"/>
          <w:sz w:val="22"/>
          <w:szCs w:val="22"/>
        </w:rPr>
        <w:t xml:space="preserve">La iglesia de nuestra señora del Rosario fue </w:t>
      </w:r>
      <w:r>
        <w:rPr>
          <w:rFonts w:ascii="Arial Narrow" w:eastAsia="Arial Narrow" w:hAnsi="Arial Narrow" w:cs="Arial Narrow"/>
          <w:color w:val="000000"/>
          <w:sz w:val="22"/>
          <w:szCs w:val="22"/>
          <w:highlight w:val="white"/>
        </w:rPr>
        <w:t xml:space="preserve">construida en 1.608 bajo las </w:t>
      </w:r>
      <w:r>
        <w:rPr>
          <w:rFonts w:ascii="Arial Narrow" w:eastAsia="Arial Narrow" w:hAnsi="Arial Narrow" w:cs="Arial Narrow"/>
          <w:sz w:val="22"/>
          <w:szCs w:val="22"/>
          <w:highlight w:val="white"/>
        </w:rPr>
        <w:t>órdenes</w:t>
      </w:r>
      <w:r>
        <w:rPr>
          <w:rFonts w:ascii="Arial Narrow" w:eastAsia="Arial Narrow" w:hAnsi="Arial Narrow" w:cs="Arial Narrow"/>
          <w:color w:val="000000"/>
          <w:sz w:val="22"/>
          <w:szCs w:val="22"/>
          <w:highlight w:val="white"/>
        </w:rPr>
        <w:t xml:space="preserve"> del Rey  de España se encuentra ubicada en la Plaza Mayor de Villa de Leyva, </w:t>
      </w:r>
      <w:r>
        <w:rPr>
          <w:rFonts w:ascii="Arial Narrow" w:eastAsia="Arial Narrow" w:hAnsi="Arial Narrow" w:cs="Arial Narrow"/>
          <w:b/>
          <w:color w:val="000000"/>
          <w:sz w:val="22"/>
          <w:szCs w:val="22"/>
          <w:highlight w:val="white"/>
        </w:rPr>
        <w:t>Este templo</w:t>
      </w:r>
      <w:r>
        <w:rPr>
          <w:rFonts w:ascii="Arial Narrow" w:eastAsia="Arial Narrow" w:hAnsi="Arial Narrow" w:cs="Arial Narrow"/>
          <w:color w:val="000000"/>
          <w:sz w:val="22"/>
          <w:szCs w:val="22"/>
          <w:highlight w:val="white"/>
        </w:rPr>
        <w:t> según los historiadores fue construido con donaciones del rey y de los feligreses a inicios </w:t>
      </w:r>
      <w:r>
        <w:rPr>
          <w:rFonts w:ascii="Arial Narrow" w:eastAsia="Arial Narrow" w:hAnsi="Arial Narrow" w:cs="Arial Narrow"/>
          <w:b/>
          <w:color w:val="000000"/>
          <w:sz w:val="22"/>
          <w:szCs w:val="22"/>
          <w:highlight w:val="white"/>
        </w:rPr>
        <w:t>del siglo XVII</w:t>
      </w:r>
      <w:r>
        <w:rPr>
          <w:rFonts w:ascii="Arial Narrow" w:eastAsia="Arial Narrow" w:hAnsi="Arial Narrow" w:cs="Arial Narrow"/>
          <w:color w:val="000000"/>
          <w:sz w:val="22"/>
          <w:szCs w:val="22"/>
          <w:highlight w:val="white"/>
        </w:rPr>
        <w:t>. En su estructura predomina la piedra y </w:t>
      </w:r>
      <w:r>
        <w:rPr>
          <w:rFonts w:ascii="Arial Narrow" w:eastAsia="Arial Narrow" w:hAnsi="Arial Narrow" w:cs="Arial Narrow"/>
          <w:b/>
          <w:color w:val="000000"/>
          <w:sz w:val="22"/>
          <w:szCs w:val="22"/>
          <w:highlight w:val="white"/>
        </w:rPr>
        <w:t>los altares, imágen</w:t>
      </w:r>
      <w:r>
        <w:rPr>
          <w:rFonts w:ascii="Arial Narrow" w:eastAsia="Arial Narrow" w:hAnsi="Arial Narrow" w:cs="Arial Narrow"/>
          <w:b/>
          <w:color w:val="000000"/>
          <w:sz w:val="22"/>
          <w:szCs w:val="22"/>
          <w:highlight w:val="white"/>
        </w:rPr>
        <w:t>es</w:t>
      </w:r>
      <w:r>
        <w:rPr>
          <w:rFonts w:ascii="Arial Narrow" w:eastAsia="Arial Narrow" w:hAnsi="Arial Narrow" w:cs="Arial Narrow"/>
          <w:color w:val="000000"/>
          <w:sz w:val="22"/>
          <w:szCs w:val="22"/>
          <w:highlight w:val="white"/>
        </w:rPr>
        <w:t> y cuadros son de estilo </w:t>
      </w:r>
      <w:r>
        <w:rPr>
          <w:rFonts w:ascii="Arial Narrow" w:eastAsia="Arial Narrow" w:hAnsi="Arial Narrow" w:cs="Arial Narrow"/>
          <w:b/>
          <w:color w:val="000000"/>
          <w:sz w:val="22"/>
          <w:szCs w:val="22"/>
          <w:highlight w:val="white"/>
        </w:rPr>
        <w:t>barroco.</w:t>
      </w:r>
      <w:r>
        <w:rPr>
          <w:rFonts w:ascii="Arial Narrow" w:eastAsia="Arial Narrow" w:hAnsi="Arial Narrow" w:cs="Arial Narrow"/>
          <w:b/>
          <w:color w:val="000000"/>
          <w:sz w:val="22"/>
          <w:szCs w:val="22"/>
          <w:highlight w:val="white"/>
          <w:vertAlign w:val="superscript"/>
        </w:rPr>
        <w:footnoteReference w:id="8"/>
      </w:r>
      <w:r>
        <w:rPr>
          <w:rFonts w:ascii="Arial Narrow" w:eastAsia="Arial Narrow" w:hAnsi="Arial Narrow" w:cs="Arial Narrow"/>
          <w:b/>
          <w:color w:val="000000"/>
          <w:sz w:val="22"/>
          <w:szCs w:val="22"/>
          <w:highlight w:val="white"/>
        </w:rPr>
        <w:t xml:space="preserve"> </w:t>
      </w:r>
      <w:r>
        <w:rPr>
          <w:rFonts w:ascii="Arial Narrow" w:eastAsia="Arial Narrow" w:hAnsi="Arial Narrow" w:cs="Arial Narrow"/>
          <w:color w:val="000000"/>
          <w:sz w:val="22"/>
          <w:szCs w:val="22"/>
          <w:highlight w:val="white"/>
        </w:rPr>
        <w:t>Dentro de esta edificación se pueden apreciar diversas piezas de arte creadas por artistas colombianos.</w:t>
      </w:r>
    </w:p>
    <w:p w14:paraId="75304073" w14:textId="77777777" w:rsidR="008A6B9D" w:rsidRDefault="008A6B9D">
      <w:pPr>
        <w:pBdr>
          <w:top w:val="nil"/>
          <w:left w:val="nil"/>
          <w:bottom w:val="nil"/>
          <w:right w:val="nil"/>
          <w:between w:val="nil"/>
        </w:pBdr>
        <w:ind w:left="1080"/>
        <w:jc w:val="both"/>
        <w:rPr>
          <w:rFonts w:ascii="Arial Narrow" w:eastAsia="Arial Narrow" w:hAnsi="Arial Narrow" w:cs="Arial Narrow"/>
          <w:b/>
          <w:color w:val="000000"/>
          <w:sz w:val="22"/>
          <w:szCs w:val="22"/>
          <w:highlight w:val="white"/>
        </w:rPr>
      </w:pPr>
    </w:p>
    <w:p w14:paraId="572581AC" w14:textId="77777777" w:rsidR="008A6B9D" w:rsidRDefault="008A16FD">
      <w:pPr>
        <w:pBdr>
          <w:top w:val="nil"/>
          <w:left w:val="nil"/>
          <w:bottom w:val="nil"/>
          <w:right w:val="nil"/>
          <w:between w:val="nil"/>
        </w:pBdr>
        <w:ind w:left="1080"/>
        <w:jc w:val="both"/>
        <w:rPr>
          <w:rFonts w:ascii="Arial Narrow" w:eastAsia="Arial Narrow" w:hAnsi="Arial Narrow" w:cs="Arial Narrow"/>
          <w:i/>
          <w:color w:val="000000"/>
          <w:sz w:val="22"/>
          <w:szCs w:val="22"/>
          <w:highlight w:val="white"/>
        </w:rPr>
      </w:pPr>
      <w:r>
        <w:rPr>
          <w:rFonts w:ascii="Arial Narrow" w:eastAsia="Arial Narrow" w:hAnsi="Arial Narrow" w:cs="Arial Narrow"/>
          <w:i/>
          <w:color w:val="000000"/>
          <w:sz w:val="22"/>
          <w:szCs w:val="22"/>
          <w:highlight w:val="white"/>
        </w:rPr>
        <w:t>La Iglesia parroquial, cuenta con una nave central, Altar de la Virgen de Nuestra Señora del Rosario, Altar de Je</w:t>
      </w:r>
      <w:r>
        <w:rPr>
          <w:rFonts w:ascii="Arial Narrow" w:eastAsia="Arial Narrow" w:hAnsi="Arial Narrow" w:cs="Arial Narrow"/>
          <w:i/>
          <w:color w:val="000000"/>
          <w:sz w:val="22"/>
          <w:szCs w:val="22"/>
          <w:highlight w:val="white"/>
        </w:rPr>
        <w:t>sucristo Crucificado Pasión y resurrección, Altar de Niño Jesús y Virgen María, Altar de San Martin de Tours y San Gabriel, Altar de San Francisco de Asís y Altar del Divino Niño.</w:t>
      </w:r>
      <w:r>
        <w:rPr>
          <w:rFonts w:ascii="Arial Narrow" w:eastAsia="Arial Narrow" w:hAnsi="Arial Narrow" w:cs="Arial Narrow"/>
          <w:i/>
          <w:color w:val="000000"/>
          <w:sz w:val="22"/>
          <w:szCs w:val="22"/>
          <w:highlight w:val="white"/>
          <w:vertAlign w:val="superscript"/>
        </w:rPr>
        <w:footnoteReference w:id="9"/>
      </w:r>
    </w:p>
    <w:p w14:paraId="54EC941A" w14:textId="77777777" w:rsidR="008A6B9D" w:rsidRDefault="008A6B9D">
      <w:pPr>
        <w:pBdr>
          <w:top w:val="nil"/>
          <w:left w:val="nil"/>
          <w:bottom w:val="nil"/>
          <w:right w:val="nil"/>
          <w:between w:val="nil"/>
        </w:pBdr>
        <w:ind w:left="1080"/>
        <w:jc w:val="both"/>
        <w:rPr>
          <w:rFonts w:ascii="Arial Narrow" w:eastAsia="Arial Narrow" w:hAnsi="Arial Narrow" w:cs="Arial Narrow"/>
          <w:b/>
          <w:color w:val="000000"/>
          <w:sz w:val="22"/>
          <w:szCs w:val="22"/>
          <w:highlight w:val="white"/>
        </w:rPr>
      </w:pPr>
    </w:p>
    <w:p w14:paraId="12FA8383" w14:textId="77777777" w:rsidR="008A6B9D" w:rsidRDefault="008A16FD">
      <w:pPr>
        <w:pBdr>
          <w:top w:val="nil"/>
          <w:left w:val="nil"/>
          <w:bottom w:val="nil"/>
          <w:right w:val="nil"/>
          <w:between w:val="nil"/>
        </w:pBdr>
        <w:ind w:left="1080"/>
        <w:jc w:val="both"/>
        <w:rPr>
          <w:rFonts w:ascii="Arial Narrow" w:eastAsia="Arial Narrow" w:hAnsi="Arial Narrow" w:cs="Arial Narrow"/>
          <w:color w:val="000000"/>
          <w:sz w:val="22"/>
          <w:szCs w:val="22"/>
          <w:highlight w:val="white"/>
        </w:rPr>
      </w:pPr>
      <w:r>
        <w:rPr>
          <w:rFonts w:ascii="Arial Narrow" w:eastAsia="Arial Narrow" w:hAnsi="Arial Narrow" w:cs="Arial Narrow"/>
          <w:color w:val="000000"/>
          <w:sz w:val="22"/>
          <w:szCs w:val="22"/>
          <w:highlight w:val="white"/>
        </w:rPr>
        <w:t>Esta iglesia ha sido históricamente reconocida por albergar los diputados de las que participaron del Congreso de las Provincias Unidas de la Nueva Granada, en 1812, dos años después del Grito de Independencia Nacional.</w:t>
      </w:r>
    </w:p>
    <w:p w14:paraId="2F93F8CE" w14:textId="77777777" w:rsidR="008A6B9D" w:rsidRDefault="008A6B9D">
      <w:pPr>
        <w:pBdr>
          <w:top w:val="nil"/>
          <w:left w:val="nil"/>
          <w:bottom w:val="nil"/>
          <w:right w:val="nil"/>
          <w:between w:val="nil"/>
        </w:pBdr>
        <w:ind w:left="1080"/>
        <w:jc w:val="both"/>
        <w:rPr>
          <w:rFonts w:ascii="Arial Narrow" w:eastAsia="Arial Narrow" w:hAnsi="Arial Narrow" w:cs="Arial Narrow"/>
          <w:color w:val="000000"/>
          <w:sz w:val="22"/>
          <w:szCs w:val="22"/>
          <w:highlight w:val="white"/>
        </w:rPr>
      </w:pPr>
    </w:p>
    <w:p w14:paraId="5ABCC3DC" w14:textId="77777777" w:rsidR="008A6B9D" w:rsidRDefault="008A16FD">
      <w:pPr>
        <w:pBdr>
          <w:top w:val="nil"/>
          <w:left w:val="nil"/>
          <w:bottom w:val="nil"/>
          <w:right w:val="nil"/>
          <w:between w:val="nil"/>
        </w:pBdr>
        <w:ind w:left="1080"/>
        <w:jc w:val="both"/>
        <w:rPr>
          <w:rFonts w:ascii="Arial Narrow" w:eastAsia="Arial Narrow" w:hAnsi="Arial Narrow" w:cs="Arial Narrow"/>
          <w:color w:val="000000"/>
          <w:sz w:val="22"/>
          <w:szCs w:val="22"/>
          <w:highlight w:val="white"/>
        </w:rPr>
      </w:pPr>
      <w:r>
        <w:rPr>
          <w:rFonts w:ascii="Arial Narrow" w:eastAsia="Arial Narrow" w:hAnsi="Arial Narrow" w:cs="Arial Narrow"/>
          <w:color w:val="000000"/>
          <w:sz w:val="22"/>
          <w:szCs w:val="22"/>
          <w:highlight w:val="white"/>
        </w:rPr>
        <w:t>Adicional a lo anterior, en ese templo fue sepultado Antonio Amador José de Nariño y Álvarez del Casal, así como también fue bautizado Antonio Clemente José-María Bernabé Ricaurte Lozano “El Heroe de San Mateo”.</w:t>
      </w:r>
    </w:p>
    <w:p w14:paraId="16B2C4A3" w14:textId="77777777" w:rsidR="008A6B9D" w:rsidRDefault="008A6B9D">
      <w:pPr>
        <w:pBdr>
          <w:top w:val="nil"/>
          <w:left w:val="nil"/>
          <w:bottom w:val="nil"/>
          <w:right w:val="nil"/>
          <w:between w:val="nil"/>
        </w:pBdr>
        <w:ind w:left="1080"/>
        <w:jc w:val="both"/>
        <w:rPr>
          <w:rFonts w:ascii="Arial Narrow" w:eastAsia="Arial Narrow" w:hAnsi="Arial Narrow" w:cs="Arial Narrow"/>
          <w:color w:val="000000"/>
          <w:sz w:val="22"/>
          <w:szCs w:val="22"/>
          <w:highlight w:val="white"/>
        </w:rPr>
      </w:pPr>
    </w:p>
    <w:p w14:paraId="632E6267" w14:textId="77777777" w:rsidR="008A6B9D" w:rsidRDefault="008A16FD">
      <w:pPr>
        <w:pBdr>
          <w:top w:val="nil"/>
          <w:left w:val="nil"/>
          <w:bottom w:val="nil"/>
          <w:right w:val="nil"/>
          <w:between w:val="nil"/>
        </w:pBdr>
        <w:ind w:left="1080"/>
        <w:jc w:val="both"/>
        <w:rPr>
          <w:rFonts w:ascii="Arial Narrow" w:eastAsia="Arial Narrow" w:hAnsi="Arial Narrow" w:cs="Arial Narrow"/>
          <w:color w:val="000000"/>
          <w:sz w:val="22"/>
          <w:szCs w:val="22"/>
          <w:highlight w:val="white"/>
        </w:rPr>
      </w:pPr>
      <w:r>
        <w:rPr>
          <w:rFonts w:ascii="Arial Narrow" w:eastAsia="Arial Narrow" w:hAnsi="Arial Narrow" w:cs="Arial Narrow"/>
          <w:color w:val="000000"/>
          <w:sz w:val="22"/>
          <w:szCs w:val="22"/>
          <w:highlight w:val="white"/>
        </w:rPr>
        <w:t>Cuando Villa de Leyva fue declarado Monumen</w:t>
      </w:r>
      <w:r>
        <w:rPr>
          <w:rFonts w:ascii="Arial Narrow" w:eastAsia="Arial Narrow" w:hAnsi="Arial Narrow" w:cs="Arial Narrow"/>
          <w:color w:val="000000"/>
          <w:sz w:val="22"/>
          <w:szCs w:val="22"/>
          <w:highlight w:val="white"/>
        </w:rPr>
        <w:t>to Nacional, la Plaza Mayor de Villa de Leyva donde se encuentra la Iglesia de Nuestra Señora del Rosario fue remodelada y hoy en día constituye el mayor atractívo turístico del municipio. Este municipio constituye uno de los 5 municipios más visitados del</w:t>
      </w:r>
      <w:r>
        <w:rPr>
          <w:rFonts w:ascii="Arial Narrow" w:eastAsia="Arial Narrow" w:hAnsi="Arial Narrow" w:cs="Arial Narrow"/>
          <w:color w:val="000000"/>
          <w:sz w:val="22"/>
          <w:szCs w:val="22"/>
          <w:highlight w:val="white"/>
        </w:rPr>
        <w:t xml:space="preserve"> Departamento de Boyacá</w:t>
      </w:r>
      <w:r>
        <w:rPr>
          <w:rFonts w:ascii="Arial Narrow" w:eastAsia="Arial Narrow" w:hAnsi="Arial Narrow" w:cs="Arial Narrow"/>
          <w:color w:val="000000"/>
          <w:sz w:val="22"/>
          <w:szCs w:val="22"/>
          <w:highlight w:val="white"/>
          <w:vertAlign w:val="superscript"/>
        </w:rPr>
        <w:footnoteReference w:id="10"/>
      </w:r>
      <w:r>
        <w:rPr>
          <w:rFonts w:ascii="Arial Narrow" w:eastAsia="Arial Narrow" w:hAnsi="Arial Narrow" w:cs="Arial Narrow"/>
          <w:color w:val="000000"/>
          <w:sz w:val="22"/>
          <w:szCs w:val="22"/>
          <w:highlight w:val="white"/>
        </w:rPr>
        <w:t>, es el primer destino turístico del departamento de Boyacá y el octavo en el ámbito nacional</w:t>
      </w:r>
      <w:r>
        <w:rPr>
          <w:rFonts w:ascii="Arial Narrow" w:eastAsia="Arial Narrow" w:hAnsi="Arial Narrow" w:cs="Arial Narrow"/>
          <w:color w:val="000000"/>
          <w:sz w:val="22"/>
          <w:szCs w:val="22"/>
          <w:highlight w:val="white"/>
          <w:vertAlign w:val="superscript"/>
        </w:rPr>
        <w:footnoteReference w:id="11"/>
      </w:r>
      <w:r>
        <w:rPr>
          <w:rFonts w:ascii="Arial Narrow" w:eastAsia="Arial Narrow" w:hAnsi="Arial Narrow" w:cs="Arial Narrow"/>
          <w:color w:val="000000"/>
          <w:sz w:val="22"/>
          <w:szCs w:val="22"/>
          <w:highlight w:val="white"/>
        </w:rPr>
        <w:t>.</w:t>
      </w:r>
    </w:p>
    <w:p w14:paraId="0581E44F" w14:textId="77777777" w:rsidR="008A6B9D" w:rsidRDefault="008A6B9D">
      <w:pPr>
        <w:pBdr>
          <w:top w:val="nil"/>
          <w:left w:val="nil"/>
          <w:bottom w:val="nil"/>
          <w:right w:val="nil"/>
          <w:between w:val="nil"/>
        </w:pBdr>
        <w:ind w:left="1080"/>
        <w:jc w:val="both"/>
        <w:rPr>
          <w:rFonts w:ascii="Arial Narrow" w:eastAsia="Arial Narrow" w:hAnsi="Arial Narrow" w:cs="Arial Narrow"/>
          <w:color w:val="000000"/>
          <w:sz w:val="22"/>
          <w:szCs w:val="22"/>
          <w:highlight w:val="white"/>
        </w:rPr>
      </w:pPr>
    </w:p>
    <w:p w14:paraId="63206AD6" w14:textId="77777777" w:rsidR="008A6B9D" w:rsidRDefault="008A16FD">
      <w:pPr>
        <w:pBdr>
          <w:top w:val="nil"/>
          <w:left w:val="nil"/>
          <w:bottom w:val="nil"/>
          <w:right w:val="nil"/>
          <w:between w:val="nil"/>
        </w:pBdr>
        <w:ind w:left="1080"/>
        <w:jc w:val="both"/>
        <w:rPr>
          <w:rFonts w:ascii="Arial Narrow" w:eastAsia="Arial Narrow" w:hAnsi="Arial Narrow" w:cs="Arial Narrow"/>
          <w:b/>
          <w:color w:val="000000"/>
          <w:sz w:val="22"/>
          <w:szCs w:val="22"/>
          <w:highlight w:val="white"/>
        </w:rPr>
      </w:pPr>
      <w:r>
        <w:rPr>
          <w:rFonts w:ascii="Arial Narrow" w:eastAsia="Arial Narrow" w:hAnsi="Arial Narrow" w:cs="Arial Narrow"/>
          <w:color w:val="000000"/>
          <w:sz w:val="22"/>
          <w:szCs w:val="22"/>
          <w:highlight w:val="white"/>
        </w:rPr>
        <w:lastRenderedPageBreak/>
        <w:t>En concordancia con lo anterior, la preservación de la Iglesia de Nuestra Señora del Rosario es de gran importancia estratégica, toda</w:t>
      </w:r>
      <w:r>
        <w:rPr>
          <w:rFonts w:ascii="Arial Narrow" w:eastAsia="Arial Narrow" w:hAnsi="Arial Narrow" w:cs="Arial Narrow"/>
          <w:color w:val="000000"/>
          <w:sz w:val="22"/>
          <w:szCs w:val="22"/>
          <w:highlight w:val="white"/>
        </w:rPr>
        <w:t xml:space="preserve"> vez que incentiva el turismo en el municipio y constituye un edificio lleno de historia y cultura de gran interés para nuestra nación.</w:t>
      </w:r>
    </w:p>
    <w:p w14:paraId="6DAF8029"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00D49EBB" w14:textId="77777777" w:rsidR="008A6B9D" w:rsidRDefault="008A16FD">
      <w:pPr>
        <w:keepNext/>
        <w:keepLines/>
        <w:numPr>
          <w:ilvl w:val="0"/>
          <w:numId w:val="6"/>
        </w:numPr>
        <w:pBdr>
          <w:top w:val="nil"/>
          <w:left w:val="nil"/>
          <w:bottom w:val="nil"/>
          <w:right w:val="nil"/>
          <w:between w:val="nil"/>
        </w:pBdr>
        <w:spacing w:before="240" w:after="40"/>
        <w:jc w:val="both"/>
        <w:rPr>
          <w:rFonts w:ascii="Arial Narrow" w:eastAsia="Arial Narrow" w:hAnsi="Arial Narrow" w:cs="Arial Narrow"/>
          <w:b/>
          <w:color w:val="000000"/>
          <w:sz w:val="22"/>
          <w:szCs w:val="22"/>
        </w:rPr>
      </w:pPr>
      <w:bookmarkStart w:id="11" w:name="_heading=h.ljlymgqehtdm" w:colFirst="0" w:colLast="0"/>
      <w:bookmarkEnd w:id="11"/>
      <w:r>
        <w:rPr>
          <w:rFonts w:ascii="Arial Narrow" w:eastAsia="Arial Narrow" w:hAnsi="Arial Narrow" w:cs="Arial Narrow"/>
          <w:b/>
          <w:color w:val="000000"/>
          <w:sz w:val="22"/>
          <w:szCs w:val="22"/>
        </w:rPr>
        <w:t>Otorgar el nombre de “</w:t>
      </w:r>
      <w:r>
        <w:rPr>
          <w:rFonts w:ascii="Arial Narrow" w:eastAsia="Arial Narrow" w:hAnsi="Arial Narrow" w:cs="Arial Narrow"/>
          <w:b/>
          <w:color w:val="000000"/>
          <w:sz w:val="22"/>
          <w:szCs w:val="22"/>
          <w:highlight w:val="white"/>
        </w:rPr>
        <w:t>ANTONIO NARIÑO</w:t>
      </w:r>
      <w:r>
        <w:rPr>
          <w:rFonts w:ascii="Arial Narrow" w:eastAsia="Arial Narrow" w:hAnsi="Arial Narrow" w:cs="Arial Narrow"/>
          <w:b/>
          <w:color w:val="000000"/>
          <w:sz w:val="22"/>
          <w:szCs w:val="22"/>
        </w:rPr>
        <w:t>” a la actual Avenida Circunvalar que rodea parte del municipio de Villa de Leyva, autorizando realizar inversiones en la misma y a la construcción de una placa conmemorativa.</w:t>
      </w:r>
    </w:p>
    <w:p w14:paraId="77DA2CE5" w14:textId="77777777" w:rsidR="008A6B9D" w:rsidRDefault="008A6B9D">
      <w:pPr>
        <w:pBdr>
          <w:top w:val="nil"/>
          <w:left w:val="nil"/>
          <w:bottom w:val="nil"/>
          <w:right w:val="nil"/>
          <w:between w:val="nil"/>
        </w:pBdr>
        <w:ind w:left="1080"/>
        <w:jc w:val="both"/>
        <w:rPr>
          <w:rFonts w:ascii="Arial Narrow" w:eastAsia="Arial Narrow" w:hAnsi="Arial Narrow" w:cs="Arial Narrow"/>
          <w:color w:val="000000"/>
          <w:sz w:val="22"/>
          <w:szCs w:val="22"/>
        </w:rPr>
      </w:pPr>
    </w:p>
    <w:p w14:paraId="07F9398B" w14:textId="77777777" w:rsidR="008A6B9D" w:rsidRDefault="008A16FD">
      <w:pPr>
        <w:pBdr>
          <w:top w:val="nil"/>
          <w:left w:val="nil"/>
          <w:bottom w:val="nil"/>
          <w:right w:val="nil"/>
          <w:between w:val="nil"/>
        </w:pBdr>
        <w:ind w:left="10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Según información brindada por la Alcaldía Municipal de Villa de Leyva, la aven</w:t>
      </w:r>
      <w:r>
        <w:rPr>
          <w:rFonts w:ascii="Arial Narrow" w:eastAsia="Arial Narrow" w:hAnsi="Arial Narrow" w:cs="Arial Narrow"/>
          <w:color w:val="000000"/>
          <w:sz w:val="22"/>
          <w:szCs w:val="22"/>
        </w:rPr>
        <w:t>ida circunvalar comprende desde las coordenadas 5°38’05’’ N, 73°31’42’’ W a las coordenadas 5°38’51’’ N, 73°31’00’’ W, con una longitud de 1.934.96 metros o 1,93496 Km. Esta vía comunica el municipio de Villa de Leyva con Arcabuco y en el momento no se enc</w:t>
      </w:r>
      <w:r>
        <w:rPr>
          <w:rFonts w:ascii="Arial Narrow" w:eastAsia="Arial Narrow" w:hAnsi="Arial Narrow" w:cs="Arial Narrow"/>
          <w:color w:val="000000"/>
          <w:sz w:val="22"/>
          <w:szCs w:val="22"/>
        </w:rPr>
        <w:t>uentra en buenas condiciones.</w:t>
      </w:r>
    </w:p>
    <w:p w14:paraId="7F213B2C" w14:textId="77777777" w:rsidR="008A6B9D" w:rsidRDefault="008A6B9D">
      <w:pPr>
        <w:pBdr>
          <w:top w:val="nil"/>
          <w:left w:val="nil"/>
          <w:bottom w:val="nil"/>
          <w:right w:val="nil"/>
          <w:between w:val="nil"/>
        </w:pBdr>
        <w:ind w:left="1080"/>
        <w:jc w:val="both"/>
        <w:rPr>
          <w:rFonts w:ascii="Arial Narrow" w:eastAsia="Arial Narrow" w:hAnsi="Arial Narrow" w:cs="Arial Narrow"/>
          <w:color w:val="000000"/>
          <w:sz w:val="22"/>
          <w:szCs w:val="22"/>
        </w:rPr>
      </w:pPr>
    </w:p>
    <w:p w14:paraId="38E7F13C" w14:textId="77777777" w:rsidR="008A6B9D" w:rsidRDefault="008A16FD">
      <w:pPr>
        <w:pBdr>
          <w:top w:val="nil"/>
          <w:left w:val="nil"/>
          <w:bottom w:val="nil"/>
          <w:right w:val="nil"/>
          <w:between w:val="nil"/>
        </w:pBdr>
        <w:ind w:left="10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 avenida cuenta parcialmente con andenes, bien sea en ambos costados o en uno solo, pero aproximadamente la mitad de la avenida no cuenta con ellos. Dado el alto número de turistas que recibe el municipio al año, así como la importancia cultural e hist</w:t>
      </w:r>
      <w:r>
        <w:rPr>
          <w:rFonts w:ascii="Arial Narrow" w:eastAsia="Arial Narrow" w:hAnsi="Arial Narrow" w:cs="Arial Narrow"/>
          <w:color w:val="000000"/>
          <w:sz w:val="22"/>
          <w:szCs w:val="22"/>
        </w:rPr>
        <w:t>órica de Villa de Leyva, se requiere priorizar los arreglos y el mantenimiento de la vía para incentivar, mantener y sobre todo incrementar las cifras de turismo en el municipio.</w:t>
      </w:r>
    </w:p>
    <w:p w14:paraId="351E5427" w14:textId="77777777" w:rsidR="008A6B9D" w:rsidRDefault="008A6B9D">
      <w:pPr>
        <w:pBdr>
          <w:top w:val="nil"/>
          <w:left w:val="nil"/>
          <w:bottom w:val="nil"/>
          <w:right w:val="nil"/>
          <w:between w:val="nil"/>
        </w:pBdr>
        <w:ind w:left="1080"/>
        <w:jc w:val="both"/>
        <w:rPr>
          <w:rFonts w:ascii="Arial Narrow" w:eastAsia="Arial Narrow" w:hAnsi="Arial Narrow" w:cs="Arial Narrow"/>
          <w:color w:val="000000"/>
          <w:sz w:val="22"/>
          <w:szCs w:val="22"/>
        </w:rPr>
      </w:pPr>
    </w:p>
    <w:tbl>
      <w:tblPr>
        <w:tblStyle w:val="ad"/>
        <w:tblW w:w="70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1"/>
      </w:tblGrid>
      <w:tr w:rsidR="008A6B9D" w14:paraId="7B17E7E8" w14:textId="77777777">
        <w:trPr>
          <w:trHeight w:val="2306"/>
          <w:jc w:val="center"/>
        </w:trPr>
        <w:tc>
          <w:tcPr>
            <w:tcW w:w="7081" w:type="dxa"/>
            <w:shd w:val="clear" w:color="auto" w:fill="auto"/>
          </w:tcPr>
          <w:p w14:paraId="678F2F56" w14:textId="77777777" w:rsidR="008A6B9D" w:rsidRDefault="008A16FD">
            <w:pPr>
              <w:ind w:left="360"/>
              <w:jc w:val="center"/>
              <w:rPr>
                <w:rFonts w:ascii="Arial Narrow" w:eastAsia="Arial Narrow" w:hAnsi="Arial Narrow" w:cs="Arial Narrow"/>
                <w:b/>
                <w:sz w:val="22"/>
                <w:szCs w:val="22"/>
              </w:rPr>
            </w:pPr>
            <w:r>
              <w:rPr>
                <w:rFonts w:ascii="Arial Narrow" w:eastAsia="Arial Narrow" w:hAnsi="Arial Narrow" w:cs="Arial Narrow"/>
                <w:noProof/>
                <w:sz w:val="22"/>
                <w:szCs w:val="22"/>
              </w:rPr>
              <w:drawing>
                <wp:inline distT="0" distB="0" distL="0" distR="0" wp14:anchorId="073EF539" wp14:editId="155246FA">
                  <wp:extent cx="3638792" cy="2412273"/>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638792" cy="2412273"/>
                          </a:xfrm>
                          <a:prstGeom prst="rect">
                            <a:avLst/>
                          </a:prstGeom>
                          <a:ln/>
                        </pic:spPr>
                      </pic:pic>
                    </a:graphicData>
                  </a:graphic>
                </wp:inline>
              </w:drawing>
            </w:r>
          </w:p>
        </w:tc>
      </w:tr>
      <w:tr w:rsidR="008A6B9D" w14:paraId="3448F798" w14:textId="77777777">
        <w:trPr>
          <w:trHeight w:val="304"/>
          <w:jc w:val="center"/>
        </w:trPr>
        <w:tc>
          <w:tcPr>
            <w:tcW w:w="7081" w:type="dxa"/>
            <w:shd w:val="clear" w:color="auto" w:fill="auto"/>
          </w:tcPr>
          <w:p w14:paraId="5F289E2C" w14:textId="77777777" w:rsidR="008A6B9D" w:rsidRDefault="008A16FD">
            <w:pPr>
              <w:jc w:val="center"/>
              <w:rPr>
                <w:rFonts w:ascii="Arial Narrow" w:eastAsia="Arial Narrow" w:hAnsi="Arial Narrow" w:cs="Arial Narrow"/>
                <w:sz w:val="22"/>
                <w:szCs w:val="22"/>
              </w:rPr>
            </w:pPr>
            <w:r>
              <w:rPr>
                <w:rFonts w:ascii="Arial Narrow" w:eastAsia="Arial Narrow" w:hAnsi="Arial Narrow" w:cs="Arial Narrow"/>
                <w:b/>
                <w:sz w:val="22"/>
                <w:szCs w:val="22"/>
              </w:rPr>
              <w:t>Figura 1: Avenida Circunvalar, Villa De Leyva.</w:t>
            </w:r>
          </w:p>
        </w:tc>
      </w:tr>
      <w:tr w:rsidR="008A6B9D" w14:paraId="74692A2E" w14:textId="77777777">
        <w:trPr>
          <w:trHeight w:val="155"/>
          <w:jc w:val="center"/>
        </w:trPr>
        <w:tc>
          <w:tcPr>
            <w:tcW w:w="7081" w:type="dxa"/>
            <w:shd w:val="clear" w:color="auto" w:fill="auto"/>
          </w:tcPr>
          <w:p w14:paraId="6E4F547D" w14:textId="77777777" w:rsidR="008A6B9D" w:rsidRDefault="008A16FD">
            <w:pPr>
              <w:pBdr>
                <w:top w:val="nil"/>
                <w:left w:val="nil"/>
                <w:bottom w:val="nil"/>
                <w:right w:val="nil"/>
                <w:between w:val="nil"/>
              </w:pBdr>
              <w:shd w:val="clear" w:color="auto" w:fill="FFFFFF"/>
              <w:ind w:left="720" w:hanging="2"/>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Fuente</w:t>
            </w:r>
            <w:r>
              <w:rPr>
                <w:rFonts w:ascii="Arial Narrow" w:eastAsia="Arial Narrow" w:hAnsi="Arial Narrow" w:cs="Arial Narrow"/>
                <w:color w:val="000000"/>
                <w:sz w:val="22"/>
                <w:szCs w:val="22"/>
              </w:rPr>
              <w:t xml:space="preserve"> : Google Earth 2023.</w:t>
            </w:r>
          </w:p>
        </w:tc>
      </w:tr>
    </w:tbl>
    <w:p w14:paraId="018420C6" w14:textId="77777777" w:rsidR="008A6B9D" w:rsidRDefault="008A16FD">
      <w:pPr>
        <w:keepNext/>
        <w:keepLines/>
        <w:numPr>
          <w:ilvl w:val="0"/>
          <w:numId w:val="6"/>
        </w:numPr>
        <w:pBdr>
          <w:top w:val="nil"/>
          <w:left w:val="nil"/>
          <w:bottom w:val="nil"/>
          <w:right w:val="nil"/>
          <w:between w:val="nil"/>
        </w:pBdr>
        <w:spacing w:before="240" w:after="40"/>
        <w:jc w:val="both"/>
      </w:pPr>
      <w:bookmarkStart w:id="12" w:name="_heading=h.j5r4d87qd23j" w:colFirst="0" w:colLast="0"/>
      <w:bookmarkEnd w:id="12"/>
      <w:r>
        <w:rPr>
          <w:rFonts w:ascii="Arial Narrow" w:eastAsia="Arial Narrow" w:hAnsi="Arial Narrow" w:cs="Arial Narrow"/>
          <w:b/>
          <w:color w:val="000000"/>
          <w:sz w:val="22"/>
          <w:szCs w:val="22"/>
        </w:rPr>
        <w:t>Erigir un busto en bronce en honor a “ANTONIO NARIÑO”, el cual será ubicado en la Real Fábrica de Licores de Villa de Leyva, autorizando los recursos para garantizar la restauración y el mantenimiento de esta edificación.</w:t>
      </w:r>
    </w:p>
    <w:p w14:paraId="44E9FB5C" w14:textId="77777777" w:rsidR="008A6B9D" w:rsidRDefault="008A6B9D">
      <w:pPr>
        <w:rPr>
          <w:rFonts w:ascii="Arial Narrow" w:eastAsia="Arial Narrow" w:hAnsi="Arial Narrow" w:cs="Arial Narrow"/>
          <w:b/>
          <w:sz w:val="22"/>
          <w:szCs w:val="22"/>
        </w:rPr>
      </w:pPr>
    </w:p>
    <w:p w14:paraId="5F5CD170" w14:textId="77777777" w:rsidR="008A6B9D" w:rsidRDefault="008A16FD">
      <w:pPr>
        <w:pBdr>
          <w:top w:val="nil"/>
          <w:left w:val="nil"/>
          <w:bottom w:val="nil"/>
          <w:right w:val="nil"/>
          <w:between w:val="nil"/>
        </w:pBdr>
        <w:ind w:left="10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Casa de la Real Fábrica de Lic</w:t>
      </w:r>
      <w:r>
        <w:rPr>
          <w:rFonts w:ascii="Arial Narrow" w:eastAsia="Arial Narrow" w:hAnsi="Arial Narrow" w:cs="Arial Narrow"/>
          <w:color w:val="000000"/>
          <w:sz w:val="22"/>
          <w:szCs w:val="22"/>
        </w:rPr>
        <w:t>ores está ubicada a tan sólo 60 metros de la plaza principal de </w:t>
      </w:r>
      <w:hyperlink r:id="rId11">
        <w:r>
          <w:rPr>
            <w:rFonts w:ascii="Arial Narrow" w:eastAsia="Arial Narrow" w:hAnsi="Arial Narrow" w:cs="Arial Narrow"/>
            <w:color w:val="000000"/>
            <w:sz w:val="22"/>
            <w:szCs w:val="22"/>
          </w:rPr>
          <w:t>Villa de Leyva</w:t>
        </w:r>
      </w:hyperlink>
      <w:r>
        <w:rPr>
          <w:rFonts w:ascii="Arial Narrow" w:eastAsia="Arial Narrow" w:hAnsi="Arial Narrow" w:cs="Arial Narrow"/>
          <w:color w:val="000000"/>
          <w:sz w:val="22"/>
          <w:szCs w:val="22"/>
        </w:rPr>
        <w:t>, se le reconoce como la primera destilería que existió en el país. Su construcción data d</w:t>
      </w:r>
      <w:r>
        <w:rPr>
          <w:rFonts w:ascii="Arial Narrow" w:eastAsia="Arial Narrow" w:hAnsi="Arial Narrow" w:cs="Arial Narrow"/>
          <w:color w:val="000000"/>
          <w:sz w:val="22"/>
          <w:szCs w:val="22"/>
        </w:rPr>
        <w:t xml:space="preserve">e la época colonial y en ella se percibe el estilo barroco popular. Conserva, aún, el escudo de España que se usara </w:t>
      </w:r>
      <w:r>
        <w:rPr>
          <w:rFonts w:ascii="Arial Narrow" w:eastAsia="Arial Narrow" w:hAnsi="Arial Narrow" w:cs="Arial Narrow"/>
          <w:color w:val="000000"/>
          <w:sz w:val="22"/>
          <w:szCs w:val="22"/>
        </w:rPr>
        <w:lastRenderedPageBreak/>
        <w:t>desde el Siglo XVII. En su época, abastecía de licores a toda la comarca. En la casa se preservan los espacios y utensilios de la época, y a</w:t>
      </w:r>
      <w:r>
        <w:rPr>
          <w:rFonts w:ascii="Arial Narrow" w:eastAsia="Arial Narrow" w:hAnsi="Arial Narrow" w:cs="Arial Narrow"/>
          <w:color w:val="000000"/>
          <w:sz w:val="22"/>
          <w:szCs w:val="22"/>
        </w:rPr>
        <w:t>lgunos elementos para la comunicación que se empleaban a escala local.</w:t>
      </w:r>
      <w:r>
        <w:rPr>
          <w:rFonts w:ascii="Arial Narrow" w:eastAsia="Arial Narrow" w:hAnsi="Arial Narrow" w:cs="Arial Narrow"/>
          <w:color w:val="000000"/>
          <w:sz w:val="22"/>
          <w:szCs w:val="22"/>
          <w:vertAlign w:val="superscript"/>
        </w:rPr>
        <w:footnoteReference w:id="12"/>
      </w:r>
    </w:p>
    <w:p w14:paraId="06DB92E7" w14:textId="77777777" w:rsidR="008A6B9D" w:rsidRDefault="008A6B9D">
      <w:pPr>
        <w:pBdr>
          <w:top w:val="nil"/>
          <w:left w:val="nil"/>
          <w:bottom w:val="nil"/>
          <w:right w:val="nil"/>
          <w:between w:val="nil"/>
        </w:pBdr>
        <w:ind w:left="1080"/>
        <w:jc w:val="both"/>
        <w:rPr>
          <w:rFonts w:ascii="Arial Narrow" w:eastAsia="Arial Narrow" w:hAnsi="Arial Narrow" w:cs="Arial Narrow"/>
          <w:color w:val="000000"/>
          <w:sz w:val="22"/>
          <w:szCs w:val="22"/>
        </w:rPr>
      </w:pPr>
    </w:p>
    <w:p w14:paraId="309F59E5" w14:textId="77777777" w:rsidR="008A6B9D" w:rsidRDefault="008A16FD">
      <w:pPr>
        <w:pBdr>
          <w:top w:val="nil"/>
          <w:left w:val="nil"/>
          <w:bottom w:val="nil"/>
          <w:right w:val="nil"/>
          <w:between w:val="nil"/>
        </w:pBdr>
        <w:ind w:left="10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este edificio funcionaron durante algún tiempo las oficinas de la Alcaldía Municipal, ha sido objeto de investigaciones arqueológicas</w:t>
      </w:r>
      <w:r>
        <w:rPr>
          <w:rFonts w:ascii="Arial Narrow" w:eastAsia="Arial Narrow" w:hAnsi="Arial Narrow" w:cs="Arial Narrow"/>
          <w:color w:val="000000"/>
          <w:sz w:val="22"/>
          <w:szCs w:val="22"/>
          <w:vertAlign w:val="superscript"/>
        </w:rPr>
        <w:footnoteReference w:id="13"/>
      </w:r>
      <w:r>
        <w:rPr>
          <w:rFonts w:ascii="Arial Narrow" w:eastAsia="Arial Narrow" w:hAnsi="Arial Narrow" w:cs="Arial Narrow"/>
          <w:color w:val="000000"/>
          <w:sz w:val="22"/>
          <w:szCs w:val="22"/>
        </w:rPr>
        <w:t>, y funcionó como museo colonial con artesan</w:t>
      </w:r>
      <w:r>
        <w:rPr>
          <w:rFonts w:ascii="Arial Narrow" w:eastAsia="Arial Narrow" w:hAnsi="Arial Narrow" w:cs="Arial Narrow"/>
          <w:color w:val="000000"/>
          <w:sz w:val="22"/>
          <w:szCs w:val="22"/>
        </w:rPr>
        <w:t>ías y pinturas coloniales</w:t>
      </w:r>
      <w:r>
        <w:rPr>
          <w:rFonts w:ascii="Arial Narrow" w:eastAsia="Arial Narrow" w:hAnsi="Arial Narrow" w:cs="Arial Narrow"/>
          <w:color w:val="000000"/>
          <w:sz w:val="22"/>
          <w:szCs w:val="22"/>
          <w:vertAlign w:val="superscript"/>
        </w:rPr>
        <w:footnoteReference w:id="14"/>
      </w:r>
      <w:r>
        <w:rPr>
          <w:rFonts w:ascii="Arial Narrow" w:eastAsia="Arial Narrow" w:hAnsi="Arial Narrow" w:cs="Arial Narrow"/>
          <w:color w:val="000000"/>
          <w:sz w:val="22"/>
          <w:szCs w:val="22"/>
        </w:rPr>
        <w:t>, en ese sentido, preservar esta edificación se considera importante porque resguarda las memorias del pasado que identifican a la comunidad villaleyvana en su historia y cultura. Actualmente, este edificio se encuentra en condic</w:t>
      </w:r>
      <w:r>
        <w:rPr>
          <w:rFonts w:ascii="Arial Narrow" w:eastAsia="Arial Narrow" w:hAnsi="Arial Narrow" w:cs="Arial Narrow"/>
          <w:color w:val="000000"/>
          <w:sz w:val="22"/>
          <w:szCs w:val="22"/>
        </w:rPr>
        <w:t xml:space="preserve">iones deplorables que impiden su uso por parte del municipio, razón por la cual se requiere la intervención en su estructura para que pueda remodelarse, conservarse y servir a la comunidad. </w:t>
      </w:r>
    </w:p>
    <w:p w14:paraId="6C4885F3" w14:textId="77777777" w:rsidR="008A6B9D" w:rsidRDefault="008A6B9D">
      <w:pPr>
        <w:pBdr>
          <w:top w:val="nil"/>
          <w:left w:val="nil"/>
          <w:bottom w:val="nil"/>
          <w:right w:val="nil"/>
          <w:between w:val="nil"/>
        </w:pBdr>
        <w:ind w:left="1080"/>
        <w:jc w:val="both"/>
        <w:rPr>
          <w:rFonts w:ascii="Arial Narrow" w:eastAsia="Arial Narrow" w:hAnsi="Arial Narrow" w:cs="Arial Narrow"/>
          <w:color w:val="000000"/>
          <w:sz w:val="22"/>
          <w:szCs w:val="22"/>
        </w:rPr>
      </w:pPr>
    </w:p>
    <w:tbl>
      <w:tblPr>
        <w:tblStyle w:val="ae"/>
        <w:tblW w:w="75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2"/>
      </w:tblGrid>
      <w:tr w:rsidR="008A6B9D" w14:paraId="16F9A898" w14:textId="77777777">
        <w:trPr>
          <w:trHeight w:val="2626"/>
          <w:jc w:val="center"/>
        </w:trPr>
        <w:tc>
          <w:tcPr>
            <w:tcW w:w="7522" w:type="dxa"/>
            <w:shd w:val="clear" w:color="auto" w:fill="auto"/>
          </w:tcPr>
          <w:p w14:paraId="35479A5D" w14:textId="77777777" w:rsidR="008A6B9D" w:rsidRDefault="008A16FD">
            <w:pPr>
              <w:ind w:left="360"/>
              <w:jc w:val="center"/>
              <w:rPr>
                <w:rFonts w:ascii="Arial Narrow" w:eastAsia="Arial Narrow" w:hAnsi="Arial Narrow" w:cs="Arial Narrow"/>
                <w:b/>
                <w:sz w:val="22"/>
                <w:szCs w:val="22"/>
              </w:rPr>
            </w:pPr>
            <w:r>
              <w:rPr>
                <w:rFonts w:ascii="Arial Narrow" w:eastAsia="Arial Narrow" w:hAnsi="Arial Narrow" w:cs="Arial Narrow"/>
                <w:noProof/>
                <w:sz w:val="22"/>
                <w:szCs w:val="22"/>
              </w:rPr>
              <w:drawing>
                <wp:inline distT="0" distB="0" distL="0" distR="0" wp14:anchorId="1079B24D" wp14:editId="27B9E068">
                  <wp:extent cx="3806464" cy="2197080"/>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806464" cy="2197080"/>
                          </a:xfrm>
                          <a:prstGeom prst="rect">
                            <a:avLst/>
                          </a:prstGeom>
                          <a:ln/>
                        </pic:spPr>
                      </pic:pic>
                    </a:graphicData>
                  </a:graphic>
                </wp:inline>
              </w:drawing>
            </w:r>
            <w:r>
              <w:rPr>
                <w:noProof/>
              </w:rPr>
              <w:drawing>
                <wp:anchor distT="0" distB="0" distL="114300" distR="114300" simplePos="0" relativeHeight="251662336" behindDoc="0" locked="0" layoutInCell="1" hidden="0" allowOverlap="1" wp14:anchorId="20E2C49C" wp14:editId="369D4B72">
                  <wp:simplePos x="0" y="0"/>
                  <wp:positionH relativeFrom="column">
                    <wp:posOffset>519430</wp:posOffset>
                  </wp:positionH>
                  <wp:positionV relativeFrom="paragraph">
                    <wp:posOffset>1811654</wp:posOffset>
                  </wp:positionV>
                  <wp:extent cx="276225" cy="475107"/>
                  <wp:effectExtent l="0" t="0" r="0" b="0"/>
                  <wp:wrapNone/>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76225" cy="475107"/>
                          </a:xfrm>
                          <a:prstGeom prst="rect">
                            <a:avLst/>
                          </a:prstGeom>
                          <a:ln/>
                        </pic:spPr>
                      </pic:pic>
                    </a:graphicData>
                  </a:graphic>
                </wp:anchor>
              </w:drawing>
            </w:r>
          </w:p>
        </w:tc>
      </w:tr>
      <w:tr w:rsidR="008A6B9D" w14:paraId="42CB523A" w14:textId="77777777">
        <w:trPr>
          <w:trHeight w:val="480"/>
          <w:jc w:val="center"/>
        </w:trPr>
        <w:tc>
          <w:tcPr>
            <w:tcW w:w="7522" w:type="dxa"/>
            <w:shd w:val="clear" w:color="auto" w:fill="auto"/>
          </w:tcPr>
          <w:p w14:paraId="02C59BA6" w14:textId="77777777" w:rsidR="008A6B9D" w:rsidRDefault="008A16FD">
            <w:pPr>
              <w:jc w:val="center"/>
              <w:rPr>
                <w:rFonts w:ascii="Arial Narrow" w:eastAsia="Arial Narrow" w:hAnsi="Arial Narrow" w:cs="Arial Narrow"/>
                <w:sz w:val="22"/>
                <w:szCs w:val="22"/>
              </w:rPr>
            </w:pPr>
            <w:r>
              <w:rPr>
                <w:rFonts w:ascii="Arial Narrow" w:eastAsia="Arial Narrow" w:hAnsi="Arial Narrow" w:cs="Arial Narrow"/>
                <w:b/>
                <w:sz w:val="22"/>
                <w:szCs w:val="22"/>
              </w:rPr>
              <w:t>Figura 2: Localización Real Fábrica de Licores, Villa De Leyva;</w:t>
            </w:r>
          </w:p>
          <w:p w14:paraId="71F0ED45" w14:textId="77777777" w:rsidR="008A6B9D" w:rsidRDefault="008A16FD">
            <w:pPr>
              <w:jc w:val="center"/>
              <w:rPr>
                <w:rFonts w:ascii="Arial Narrow" w:eastAsia="Arial Narrow" w:hAnsi="Arial Narrow" w:cs="Arial Narrow"/>
                <w:b/>
                <w:sz w:val="22"/>
                <w:szCs w:val="22"/>
              </w:rPr>
            </w:pPr>
            <w:r>
              <w:rPr>
                <w:rFonts w:ascii="Arial Narrow" w:eastAsia="Arial Narrow" w:hAnsi="Arial Narrow" w:cs="Arial Narrow"/>
                <w:b/>
                <w:sz w:val="22"/>
                <w:szCs w:val="22"/>
              </w:rPr>
              <w:t>COORDENADAS: 5°38’00’’ N, 73°31’20’’ W, ALTURA 2149 m.</w:t>
            </w:r>
          </w:p>
        </w:tc>
      </w:tr>
      <w:tr w:rsidR="008A6B9D" w14:paraId="5D171E0F" w14:textId="77777777">
        <w:trPr>
          <w:trHeight w:val="177"/>
          <w:jc w:val="center"/>
        </w:trPr>
        <w:tc>
          <w:tcPr>
            <w:tcW w:w="7522" w:type="dxa"/>
            <w:shd w:val="clear" w:color="auto" w:fill="auto"/>
          </w:tcPr>
          <w:p w14:paraId="0D1E43AE" w14:textId="77777777" w:rsidR="008A6B9D" w:rsidRDefault="008A16FD">
            <w:pPr>
              <w:pBdr>
                <w:top w:val="nil"/>
                <w:left w:val="nil"/>
                <w:bottom w:val="nil"/>
                <w:right w:val="nil"/>
                <w:between w:val="nil"/>
              </w:pBdr>
              <w:shd w:val="clear" w:color="auto" w:fill="FFFFFF"/>
              <w:ind w:left="720" w:hanging="2"/>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Fuente</w:t>
            </w:r>
            <w:r>
              <w:rPr>
                <w:rFonts w:ascii="Arial Narrow" w:eastAsia="Arial Narrow" w:hAnsi="Arial Narrow" w:cs="Arial Narrow"/>
                <w:color w:val="000000"/>
                <w:sz w:val="22"/>
                <w:szCs w:val="22"/>
              </w:rPr>
              <w:t xml:space="preserve"> : Google Earth 2023.</w:t>
            </w:r>
          </w:p>
        </w:tc>
      </w:tr>
    </w:tbl>
    <w:p w14:paraId="5AE919F6" w14:textId="77777777" w:rsidR="008A6B9D" w:rsidRDefault="008A6B9D">
      <w:pPr>
        <w:pBdr>
          <w:top w:val="nil"/>
          <w:left w:val="nil"/>
          <w:bottom w:val="nil"/>
          <w:right w:val="nil"/>
          <w:between w:val="nil"/>
        </w:pBdr>
        <w:ind w:left="1080"/>
        <w:rPr>
          <w:rFonts w:ascii="Arial Narrow" w:eastAsia="Arial Narrow" w:hAnsi="Arial Narrow" w:cs="Arial Narrow"/>
          <w:color w:val="000000"/>
          <w:sz w:val="22"/>
          <w:szCs w:val="22"/>
        </w:rPr>
      </w:pPr>
    </w:p>
    <w:tbl>
      <w:tblPr>
        <w:tblStyle w:val="af"/>
        <w:tblW w:w="75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2"/>
      </w:tblGrid>
      <w:tr w:rsidR="008A6B9D" w14:paraId="7F5FE10C" w14:textId="77777777">
        <w:trPr>
          <w:trHeight w:val="3200"/>
          <w:jc w:val="center"/>
        </w:trPr>
        <w:tc>
          <w:tcPr>
            <w:tcW w:w="7542" w:type="dxa"/>
            <w:shd w:val="clear" w:color="auto" w:fill="auto"/>
          </w:tcPr>
          <w:p w14:paraId="3B95DD84" w14:textId="77777777" w:rsidR="008A6B9D" w:rsidRDefault="008A16FD">
            <w:pPr>
              <w:ind w:left="360"/>
              <w:jc w:val="center"/>
              <w:rPr>
                <w:rFonts w:ascii="Arial Narrow" w:eastAsia="Arial Narrow" w:hAnsi="Arial Narrow" w:cs="Arial Narrow"/>
                <w:b/>
                <w:sz w:val="22"/>
                <w:szCs w:val="22"/>
              </w:rPr>
            </w:pPr>
            <w:r>
              <w:rPr>
                <w:noProof/>
              </w:rPr>
              <w:lastRenderedPageBreak/>
              <w:drawing>
                <wp:anchor distT="0" distB="0" distL="114300" distR="114300" simplePos="0" relativeHeight="251663360" behindDoc="0" locked="0" layoutInCell="1" hidden="0" allowOverlap="1" wp14:anchorId="4B6425C9" wp14:editId="5C0A73E6">
                  <wp:simplePos x="0" y="0"/>
                  <wp:positionH relativeFrom="column">
                    <wp:posOffset>601980</wp:posOffset>
                  </wp:positionH>
                  <wp:positionV relativeFrom="paragraph">
                    <wp:posOffset>-372455</wp:posOffset>
                  </wp:positionV>
                  <wp:extent cx="3616031" cy="2450373"/>
                  <wp:effectExtent l="0" t="0" r="0" b="0"/>
                  <wp:wrapSquare wrapText="bothSides" distT="0" distB="0" distL="114300" distR="11430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616031" cy="2450373"/>
                          </a:xfrm>
                          <a:prstGeom prst="rect">
                            <a:avLst/>
                          </a:prstGeom>
                          <a:ln/>
                        </pic:spPr>
                      </pic:pic>
                    </a:graphicData>
                  </a:graphic>
                </wp:anchor>
              </w:drawing>
            </w:r>
          </w:p>
        </w:tc>
      </w:tr>
      <w:tr w:rsidR="008A6B9D" w14:paraId="4D2EFF79" w14:textId="77777777">
        <w:trPr>
          <w:trHeight w:val="423"/>
          <w:jc w:val="center"/>
        </w:trPr>
        <w:tc>
          <w:tcPr>
            <w:tcW w:w="7542" w:type="dxa"/>
            <w:shd w:val="clear" w:color="auto" w:fill="auto"/>
          </w:tcPr>
          <w:p w14:paraId="1C49903C" w14:textId="77777777" w:rsidR="008A6B9D" w:rsidRDefault="008A16FD">
            <w:pPr>
              <w:jc w:val="center"/>
              <w:rPr>
                <w:rFonts w:ascii="Arial Narrow" w:eastAsia="Arial Narrow" w:hAnsi="Arial Narrow" w:cs="Arial Narrow"/>
                <w:sz w:val="22"/>
                <w:szCs w:val="22"/>
              </w:rPr>
            </w:pPr>
            <w:r>
              <w:rPr>
                <w:rFonts w:ascii="Arial Narrow" w:eastAsia="Arial Narrow" w:hAnsi="Arial Narrow" w:cs="Arial Narrow"/>
                <w:b/>
                <w:sz w:val="22"/>
                <w:szCs w:val="22"/>
              </w:rPr>
              <w:t>Figura 3: Fachada Fabrica Real de Licores, Villa De Leyva.</w:t>
            </w:r>
          </w:p>
        </w:tc>
      </w:tr>
      <w:tr w:rsidR="008A6B9D" w14:paraId="1E4D4D76" w14:textId="77777777">
        <w:trPr>
          <w:trHeight w:val="215"/>
          <w:jc w:val="center"/>
        </w:trPr>
        <w:tc>
          <w:tcPr>
            <w:tcW w:w="7542" w:type="dxa"/>
            <w:shd w:val="clear" w:color="auto" w:fill="auto"/>
          </w:tcPr>
          <w:p w14:paraId="1F0BAF35" w14:textId="77777777" w:rsidR="008A6B9D" w:rsidRDefault="008A16FD">
            <w:pPr>
              <w:pBdr>
                <w:top w:val="nil"/>
                <w:left w:val="nil"/>
                <w:bottom w:val="nil"/>
                <w:right w:val="nil"/>
                <w:between w:val="nil"/>
              </w:pBdr>
              <w:shd w:val="clear" w:color="auto" w:fill="FFFFFF"/>
              <w:ind w:left="720" w:hanging="2"/>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Fuente</w:t>
            </w:r>
            <w:r>
              <w:rPr>
                <w:rFonts w:ascii="Arial Narrow" w:eastAsia="Arial Narrow" w:hAnsi="Arial Narrow" w:cs="Arial Narrow"/>
                <w:color w:val="000000"/>
                <w:sz w:val="22"/>
                <w:szCs w:val="22"/>
              </w:rPr>
              <w:t xml:space="preserve"> : Google Earth 2023.</w:t>
            </w:r>
          </w:p>
        </w:tc>
      </w:tr>
    </w:tbl>
    <w:p w14:paraId="16A16D1B" w14:textId="77777777" w:rsidR="008A6B9D" w:rsidRDefault="008A6B9D">
      <w:pPr>
        <w:jc w:val="both"/>
        <w:rPr>
          <w:rFonts w:ascii="Arial Narrow" w:eastAsia="Arial Narrow" w:hAnsi="Arial Narrow" w:cs="Arial Narrow"/>
          <w:sz w:val="22"/>
          <w:szCs w:val="22"/>
        </w:rPr>
      </w:pPr>
    </w:p>
    <w:p w14:paraId="49E351FD"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b/>
          <w:color w:val="000000"/>
          <w:sz w:val="22"/>
          <w:szCs w:val="22"/>
        </w:rPr>
      </w:pPr>
    </w:p>
    <w:p w14:paraId="30CD450E"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b/>
          <w:color w:val="000000"/>
          <w:sz w:val="22"/>
          <w:szCs w:val="22"/>
        </w:rPr>
      </w:pPr>
      <w:bookmarkStart w:id="13" w:name="_heading=h.845380r3ivax" w:colFirst="0" w:colLast="0"/>
      <w:bookmarkEnd w:id="13"/>
      <w:r>
        <w:rPr>
          <w:rFonts w:ascii="Arial Narrow" w:eastAsia="Arial Narrow" w:hAnsi="Arial Narrow" w:cs="Arial Narrow"/>
          <w:b/>
          <w:color w:val="000000"/>
          <w:sz w:val="22"/>
          <w:szCs w:val="22"/>
        </w:rPr>
        <w:t>2.4. Marco Constitucional, legal y jurisprudencial</w:t>
      </w:r>
    </w:p>
    <w:p w14:paraId="4DDF0460" w14:textId="77777777" w:rsidR="008A6B9D" w:rsidRDefault="008A16FD">
      <w:pPr>
        <w:keepNext/>
        <w:keepLines/>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280" w:after="80"/>
        <w:ind w:right="4"/>
        <w:jc w:val="both"/>
        <w:rPr>
          <w:rFonts w:ascii="Arial Narrow" w:eastAsia="Arial Narrow" w:hAnsi="Arial Narrow" w:cs="Arial Narrow"/>
          <w:b/>
          <w:color w:val="000000"/>
          <w:sz w:val="22"/>
          <w:szCs w:val="22"/>
        </w:rPr>
      </w:pPr>
      <w:bookmarkStart w:id="14" w:name="_heading=h.ycpvr54ec3ja" w:colFirst="0" w:colLast="0"/>
      <w:bookmarkEnd w:id="14"/>
      <w:r>
        <w:rPr>
          <w:rFonts w:ascii="Arial Narrow" w:eastAsia="Arial Narrow" w:hAnsi="Arial Narrow" w:cs="Arial Narrow"/>
          <w:b/>
          <w:color w:val="000000"/>
          <w:sz w:val="22"/>
          <w:szCs w:val="22"/>
        </w:rPr>
        <w:t>2.4.1 Marco Constitucional.</w:t>
      </w:r>
    </w:p>
    <w:p w14:paraId="7FB7ABFD" w14:textId="77777777" w:rsidR="008A6B9D" w:rsidRDefault="008A6B9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rFonts w:ascii="Arial Narrow" w:eastAsia="Arial Narrow" w:hAnsi="Arial Narrow" w:cs="Arial Narrow"/>
          <w:b/>
          <w:sz w:val="22"/>
          <w:szCs w:val="22"/>
        </w:rPr>
      </w:pPr>
    </w:p>
    <w:p w14:paraId="444E164D" w14:textId="77777777" w:rsidR="008A6B9D" w:rsidRDefault="008A16FD">
      <w:p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La Constitución Política de Colombia, en su artículo 70 establece el deber del estado de promover la cultura por medio de la educación, de igual forma, afirma que la cultura es fundamento constitucional así:</w:t>
      </w:r>
    </w:p>
    <w:p w14:paraId="02BA5886" w14:textId="77777777" w:rsidR="008A6B9D" w:rsidRDefault="008A16FD">
      <w:pPr>
        <w:pBdr>
          <w:top w:val="nil"/>
          <w:left w:val="nil"/>
          <w:bottom w:val="nil"/>
          <w:right w:val="nil"/>
          <w:between w:val="nil"/>
        </w:pBdr>
        <w:spacing w:after="160" w:line="259" w:lineRule="auto"/>
        <w:ind w:left="720"/>
        <w:jc w:val="both"/>
        <w:rPr>
          <w:rFonts w:ascii="Arial Narrow" w:eastAsia="Arial Narrow" w:hAnsi="Arial Narrow" w:cs="Arial Narrow"/>
          <w:i/>
          <w:sz w:val="22"/>
          <w:szCs w:val="22"/>
        </w:rPr>
      </w:pPr>
      <w:r>
        <w:rPr>
          <w:rFonts w:ascii="Arial Narrow" w:eastAsia="Arial Narrow" w:hAnsi="Arial Narrow" w:cs="Arial Narrow"/>
          <w:b/>
          <w:i/>
          <w:sz w:val="22"/>
          <w:szCs w:val="22"/>
        </w:rPr>
        <w:t>“ARTÍCULO 70</w:t>
      </w:r>
      <w:r>
        <w:rPr>
          <w:rFonts w:ascii="Arial Narrow" w:eastAsia="Arial Narrow" w:hAnsi="Arial Narrow" w:cs="Arial Narrow"/>
          <w:i/>
          <w:sz w:val="22"/>
          <w:szCs w:val="22"/>
        </w:rPr>
        <w:t>. El Estado tiene el deber de promover y fomentar el acceso a la cultura de todos los colombianos en igualdad de oportunidades, por medio de la educación permanente y la enseñanza científica, técnica, artística y profesional en todas las etapas del proceso</w:t>
      </w:r>
      <w:r>
        <w:rPr>
          <w:rFonts w:ascii="Arial Narrow" w:eastAsia="Arial Narrow" w:hAnsi="Arial Narrow" w:cs="Arial Narrow"/>
          <w:i/>
          <w:sz w:val="22"/>
          <w:szCs w:val="22"/>
        </w:rPr>
        <w:t xml:space="preserve"> de creación de la identidad nacional.</w:t>
      </w:r>
    </w:p>
    <w:p w14:paraId="41E2CA45" w14:textId="77777777" w:rsidR="008A6B9D" w:rsidRDefault="008A16FD">
      <w:pPr>
        <w:pBdr>
          <w:top w:val="nil"/>
          <w:left w:val="nil"/>
          <w:bottom w:val="nil"/>
          <w:right w:val="nil"/>
          <w:between w:val="nil"/>
        </w:pBdr>
        <w:spacing w:after="160" w:line="259" w:lineRule="auto"/>
        <w:ind w:left="720"/>
        <w:jc w:val="both"/>
        <w:rPr>
          <w:rFonts w:ascii="Arial" w:eastAsia="Arial" w:hAnsi="Arial" w:cs="Arial"/>
          <w:i/>
          <w:color w:val="4B4949"/>
          <w:sz w:val="18"/>
          <w:szCs w:val="18"/>
        </w:rPr>
      </w:pPr>
      <w:r>
        <w:rPr>
          <w:rFonts w:ascii="Arial Narrow" w:eastAsia="Arial Narrow" w:hAnsi="Arial Narrow" w:cs="Arial Narrow"/>
          <w:i/>
          <w:sz w:val="22"/>
          <w:szCs w:val="22"/>
        </w:rPr>
        <w:t>La cultura en sus diversas manifestaciones es fundamento de la nacionalidad. El Estado reconoce la igualdad y dignidad de todas las que conviven en el país. El Estado promoverá la investigación, la ciencia, el desarro</w:t>
      </w:r>
      <w:r>
        <w:rPr>
          <w:rFonts w:ascii="Arial Narrow" w:eastAsia="Arial Narrow" w:hAnsi="Arial Narrow" w:cs="Arial Narrow"/>
          <w:i/>
          <w:sz w:val="22"/>
          <w:szCs w:val="22"/>
        </w:rPr>
        <w:t>llo y la difusión de los valores culturales de la Nación”.</w:t>
      </w:r>
    </w:p>
    <w:p w14:paraId="34769EBF" w14:textId="77777777" w:rsidR="008A6B9D" w:rsidRDefault="008A16FD">
      <w:p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De igual forma, el texto constitucional en su artículo 72 establece que el patrimonio cultural es patrimonio de la Nación:</w:t>
      </w:r>
    </w:p>
    <w:p w14:paraId="45B4E286" w14:textId="77777777" w:rsidR="008A6B9D" w:rsidRDefault="008A16FD">
      <w:pPr>
        <w:spacing w:after="160" w:line="259" w:lineRule="auto"/>
        <w:ind w:left="720"/>
        <w:jc w:val="both"/>
        <w:rPr>
          <w:rFonts w:ascii="Arial Narrow" w:eastAsia="Arial Narrow" w:hAnsi="Arial Narrow" w:cs="Arial Narrow"/>
          <w:sz w:val="22"/>
          <w:szCs w:val="22"/>
        </w:rPr>
      </w:pPr>
      <w:r>
        <w:rPr>
          <w:rFonts w:ascii="Arial Narrow" w:eastAsia="Arial Narrow" w:hAnsi="Arial Narrow" w:cs="Arial Narrow"/>
          <w:i/>
          <w:sz w:val="22"/>
          <w:szCs w:val="22"/>
        </w:rPr>
        <w:t>“</w:t>
      </w:r>
      <w:r>
        <w:rPr>
          <w:rFonts w:ascii="Arial Narrow" w:eastAsia="Arial Narrow" w:hAnsi="Arial Narrow" w:cs="Arial Narrow"/>
          <w:b/>
          <w:i/>
          <w:sz w:val="22"/>
          <w:szCs w:val="22"/>
        </w:rPr>
        <w:t xml:space="preserve">ARTÍCULO 72. </w:t>
      </w:r>
      <w:r>
        <w:rPr>
          <w:rFonts w:ascii="Arial Narrow" w:eastAsia="Arial Narrow" w:hAnsi="Arial Narrow" w:cs="Arial Narrow"/>
          <w:i/>
          <w:sz w:val="22"/>
          <w:szCs w:val="22"/>
        </w:rPr>
        <w:t xml:space="preserve">El patrimonio cultural de la Nación está bajo la protección </w:t>
      </w:r>
      <w:r>
        <w:rPr>
          <w:rFonts w:ascii="Arial Narrow" w:eastAsia="Arial Narrow" w:hAnsi="Arial Narrow" w:cs="Arial Narrow"/>
          <w:i/>
          <w:sz w:val="22"/>
          <w:szCs w:val="22"/>
        </w:rPr>
        <w:t xml:space="preserve">del Estado. El patrimonio arqueológico y otros bienes culturales que conforman la identidad nacional, pertenecen a la Nación y son inalienables, inembargables e imprescriptibles. La ley establecerá los mecanismos para readquirirlos cuando se encuentren en </w:t>
      </w:r>
      <w:r>
        <w:rPr>
          <w:rFonts w:ascii="Arial Narrow" w:eastAsia="Arial Narrow" w:hAnsi="Arial Narrow" w:cs="Arial Narrow"/>
          <w:i/>
          <w:sz w:val="22"/>
          <w:szCs w:val="22"/>
        </w:rPr>
        <w:t>manos de particulares y reglamentará los derechos especiales que pudieran tener los grupos étnicos asentados en territorios de riqueza arqueológica”.</w:t>
      </w:r>
      <w:r>
        <w:rPr>
          <w:rFonts w:ascii="Arial Narrow" w:eastAsia="Arial Narrow" w:hAnsi="Arial Narrow" w:cs="Arial Narrow"/>
          <w:sz w:val="22"/>
          <w:szCs w:val="22"/>
        </w:rPr>
        <w:tab/>
      </w:r>
    </w:p>
    <w:p w14:paraId="4763000D" w14:textId="77777777" w:rsidR="008A6B9D" w:rsidRDefault="008A16FD">
      <w:p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Así las cosas, desde la Constitución se establece el deber del Estado de conservar y promover la conserva</w:t>
      </w:r>
      <w:r>
        <w:rPr>
          <w:rFonts w:ascii="Arial Narrow" w:eastAsia="Arial Narrow" w:hAnsi="Arial Narrow" w:cs="Arial Narrow"/>
          <w:sz w:val="22"/>
          <w:szCs w:val="22"/>
        </w:rPr>
        <w:t xml:space="preserve">ción de nuestra cultura como símbolo de la identidad de la nación. En ese sentido, el Estado está obligado bajo un mandato constitucional a crear las condiciones que se requieran para que el patrimonio cultural sea protegido. </w:t>
      </w:r>
    </w:p>
    <w:p w14:paraId="3C05D69A" w14:textId="77777777" w:rsidR="008A6B9D" w:rsidRDefault="008A16FD">
      <w:p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Adicionalmente, el artículo 1</w:t>
      </w:r>
      <w:r>
        <w:rPr>
          <w:rFonts w:ascii="Arial Narrow" w:eastAsia="Arial Narrow" w:hAnsi="Arial Narrow" w:cs="Arial Narrow"/>
          <w:sz w:val="22"/>
          <w:szCs w:val="22"/>
        </w:rPr>
        <w:t>50 constitucional, le atribuye al Congreso de la República hacer las Leyes, y según el numeral 15, las de decretar honores a los pueblos, y ciudadanos que hayan prestado servicios a la patria. Por lo cual el texto constitucional establece la facultad del C</w:t>
      </w:r>
      <w:r>
        <w:rPr>
          <w:rFonts w:ascii="Arial Narrow" w:eastAsia="Arial Narrow" w:hAnsi="Arial Narrow" w:cs="Arial Narrow"/>
          <w:sz w:val="22"/>
          <w:szCs w:val="22"/>
        </w:rPr>
        <w:t xml:space="preserve">ongreso para conceder honores a ciudadanos por medio de leyes así: </w:t>
      </w:r>
    </w:p>
    <w:p w14:paraId="4706B0A8" w14:textId="77777777" w:rsidR="008A6B9D" w:rsidRDefault="008A16FD">
      <w:pPr>
        <w:pBdr>
          <w:top w:val="nil"/>
          <w:left w:val="nil"/>
          <w:bottom w:val="nil"/>
          <w:right w:val="nil"/>
          <w:between w:val="nil"/>
        </w:pBdr>
        <w:spacing w:after="160" w:line="259" w:lineRule="auto"/>
        <w:ind w:left="720"/>
        <w:jc w:val="both"/>
        <w:rPr>
          <w:rFonts w:ascii="Arial Narrow" w:eastAsia="Arial Narrow" w:hAnsi="Arial Narrow" w:cs="Arial Narrow"/>
          <w:i/>
          <w:sz w:val="22"/>
          <w:szCs w:val="22"/>
        </w:rPr>
      </w:pPr>
      <w:r>
        <w:rPr>
          <w:rFonts w:ascii="Arial Narrow" w:eastAsia="Arial Narrow" w:hAnsi="Arial Narrow" w:cs="Arial Narrow"/>
          <w:b/>
          <w:i/>
          <w:sz w:val="22"/>
          <w:szCs w:val="22"/>
        </w:rPr>
        <w:t xml:space="preserve">“ARTÍCULO 150. </w:t>
      </w:r>
      <w:r>
        <w:rPr>
          <w:rFonts w:ascii="Arial Narrow" w:eastAsia="Arial Narrow" w:hAnsi="Arial Narrow" w:cs="Arial Narrow"/>
          <w:i/>
          <w:sz w:val="22"/>
          <w:szCs w:val="22"/>
        </w:rPr>
        <w:t>Corresponde al Congreso hacer las leyes. Por medio de ellas ejerce las siguientes funciones:</w:t>
      </w:r>
    </w:p>
    <w:p w14:paraId="66B3E748" w14:textId="77777777" w:rsidR="008A6B9D" w:rsidRDefault="008A16FD">
      <w:pPr>
        <w:pBdr>
          <w:top w:val="nil"/>
          <w:left w:val="nil"/>
          <w:bottom w:val="nil"/>
          <w:right w:val="nil"/>
          <w:between w:val="nil"/>
        </w:pBdr>
        <w:spacing w:after="160" w:line="259" w:lineRule="auto"/>
        <w:jc w:val="both"/>
        <w:rPr>
          <w:rFonts w:ascii="Arial Narrow" w:eastAsia="Arial Narrow" w:hAnsi="Arial Narrow" w:cs="Arial Narrow"/>
          <w:i/>
          <w:sz w:val="22"/>
          <w:szCs w:val="22"/>
        </w:rPr>
      </w:pPr>
      <w:r>
        <w:rPr>
          <w:rFonts w:ascii="Arial Narrow" w:eastAsia="Arial Narrow" w:hAnsi="Arial Narrow" w:cs="Arial Narrow"/>
          <w:i/>
          <w:sz w:val="22"/>
          <w:szCs w:val="22"/>
        </w:rPr>
        <w:tab/>
        <w:t>(...)</w:t>
      </w:r>
    </w:p>
    <w:p w14:paraId="1EBCB596" w14:textId="77777777" w:rsidR="008A6B9D" w:rsidRDefault="008A16FD">
      <w:pPr>
        <w:pBdr>
          <w:top w:val="nil"/>
          <w:left w:val="nil"/>
          <w:bottom w:val="nil"/>
          <w:right w:val="nil"/>
          <w:between w:val="nil"/>
        </w:pBdr>
        <w:spacing w:after="160" w:line="259" w:lineRule="auto"/>
        <w:ind w:firstLine="720"/>
        <w:jc w:val="both"/>
        <w:rPr>
          <w:rFonts w:ascii="Arial Narrow" w:eastAsia="Arial Narrow" w:hAnsi="Arial Narrow" w:cs="Arial Narrow"/>
          <w:i/>
          <w:sz w:val="22"/>
          <w:szCs w:val="22"/>
        </w:rPr>
      </w:pPr>
      <w:r>
        <w:rPr>
          <w:rFonts w:ascii="Arial Narrow" w:eastAsia="Arial Narrow" w:hAnsi="Arial Narrow" w:cs="Arial Narrow"/>
          <w:i/>
          <w:sz w:val="22"/>
          <w:szCs w:val="22"/>
        </w:rPr>
        <w:t>15. Decretar honores a los ciudadanos que hayan prestado servicios a la patria”.</w:t>
      </w:r>
    </w:p>
    <w:p w14:paraId="488EFBB5" w14:textId="77777777" w:rsidR="008A6B9D" w:rsidRDefault="008A16FD">
      <w:pPr>
        <w:keepNext/>
        <w:keepLines/>
        <w:pBdr>
          <w:top w:val="nil"/>
          <w:left w:val="nil"/>
          <w:bottom w:val="nil"/>
          <w:right w:val="nil"/>
          <w:between w:val="nil"/>
        </w:pBdr>
        <w:spacing w:before="280" w:after="160" w:line="259" w:lineRule="auto"/>
        <w:ind w:right="4" w:firstLine="720"/>
        <w:jc w:val="both"/>
        <w:rPr>
          <w:rFonts w:ascii="Arial Narrow" w:eastAsia="Arial Narrow" w:hAnsi="Arial Narrow" w:cs="Arial Narrow"/>
          <w:b/>
          <w:color w:val="000000"/>
          <w:sz w:val="22"/>
          <w:szCs w:val="22"/>
        </w:rPr>
      </w:pPr>
      <w:bookmarkStart w:id="15" w:name="_heading=h.23evxdcfkacv" w:colFirst="0" w:colLast="0"/>
      <w:bookmarkEnd w:id="15"/>
      <w:r>
        <w:rPr>
          <w:rFonts w:ascii="Arial Narrow" w:eastAsia="Arial Narrow" w:hAnsi="Arial Narrow" w:cs="Arial Narrow"/>
          <w:b/>
          <w:color w:val="000000"/>
          <w:sz w:val="22"/>
          <w:szCs w:val="22"/>
        </w:rPr>
        <w:t>2.4.2. Marco Legal y Reglamentario.</w:t>
      </w:r>
    </w:p>
    <w:p w14:paraId="305B1BC8" w14:textId="77777777" w:rsidR="008A6B9D" w:rsidRDefault="008A16FD">
      <w:pPr>
        <w:jc w:val="both"/>
        <w:rPr>
          <w:rFonts w:ascii="Arial Narrow" w:eastAsia="Arial Narrow" w:hAnsi="Arial Narrow" w:cs="Arial Narrow"/>
          <w:sz w:val="22"/>
          <w:szCs w:val="22"/>
        </w:rPr>
      </w:pPr>
      <w:r>
        <w:rPr>
          <w:rFonts w:ascii="Arial Narrow" w:eastAsia="Arial Narrow" w:hAnsi="Arial Narrow" w:cs="Arial Narrow"/>
          <w:sz w:val="22"/>
          <w:szCs w:val="22"/>
        </w:rPr>
        <w:t>Mediante el parágrafo del artículo 4 de la Ley 163 de 1959, se establece que las calles, plazas, plazoletas, murallas, inmuebles, incluidos</w:t>
      </w:r>
      <w:r>
        <w:rPr>
          <w:rFonts w:ascii="Arial Narrow" w:eastAsia="Arial Narrow" w:hAnsi="Arial Narrow" w:cs="Arial Narrow"/>
          <w:sz w:val="22"/>
          <w:szCs w:val="22"/>
        </w:rPr>
        <w:t xml:space="preserve"> casa y construcciones históricas, en los ejidos, inmuebles, etc., incluidos en el perímetro que tenía Villa de Leyva en el siglo XVI, XVII y XVIII se entenderán como sectores antiguos así:</w:t>
      </w:r>
    </w:p>
    <w:p w14:paraId="32459702" w14:textId="77777777" w:rsidR="008A6B9D" w:rsidRDefault="008A6B9D">
      <w:pPr>
        <w:jc w:val="both"/>
        <w:rPr>
          <w:rFonts w:ascii="Arial Narrow" w:eastAsia="Arial Narrow" w:hAnsi="Arial Narrow" w:cs="Arial Narrow"/>
          <w:sz w:val="22"/>
          <w:szCs w:val="22"/>
        </w:rPr>
      </w:pPr>
    </w:p>
    <w:p w14:paraId="32BEE8EA" w14:textId="77777777" w:rsidR="008A6B9D" w:rsidRDefault="008A16FD">
      <w:pPr>
        <w:pBdr>
          <w:top w:val="nil"/>
          <w:left w:val="nil"/>
          <w:bottom w:val="nil"/>
          <w:right w:val="nil"/>
          <w:between w:val="nil"/>
        </w:pBdr>
        <w:ind w:left="720"/>
        <w:jc w:val="both"/>
        <w:rPr>
          <w:rFonts w:ascii="Arial Narrow" w:eastAsia="Arial Narrow" w:hAnsi="Arial Narrow" w:cs="Arial Narrow"/>
          <w:i/>
          <w:sz w:val="22"/>
          <w:szCs w:val="22"/>
        </w:rPr>
      </w:pPr>
      <w:r>
        <w:rPr>
          <w:rFonts w:ascii="Arial Narrow" w:eastAsia="Arial Narrow" w:hAnsi="Arial Narrow" w:cs="Arial Narrow"/>
          <w:b/>
          <w:i/>
          <w:sz w:val="22"/>
          <w:szCs w:val="22"/>
        </w:rPr>
        <w:t>“PARÁGRAFO</w:t>
      </w:r>
      <w:r>
        <w:rPr>
          <w:rFonts w:ascii="Arial Narrow" w:eastAsia="Arial Narrow" w:hAnsi="Arial Narrow" w:cs="Arial Narrow"/>
          <w:i/>
          <w:sz w:val="22"/>
          <w:szCs w:val="22"/>
        </w:rPr>
        <w:t>.- Para los efectos de la presente Ley se entenderá por</w:t>
      </w:r>
      <w:r>
        <w:rPr>
          <w:rFonts w:ascii="Arial Narrow" w:eastAsia="Arial Narrow" w:hAnsi="Arial Narrow" w:cs="Arial Narrow"/>
          <w:i/>
          <w:sz w:val="22"/>
          <w:szCs w:val="22"/>
        </w:rPr>
        <w:t xml:space="preserve"> sectores antiguos los de las ciudades de Tunja, Cartagena, Mompox, Popayán, Guaduas, Pasto, Santa Marta, Santa Fe de Antioquia, Mariquita, Cartago, Villa de Leyva, Cali, Cerrito y Buga. Las calles, plazas, plazoletas, murallas, inmuebles, incluidos casas </w:t>
      </w:r>
      <w:r>
        <w:rPr>
          <w:rFonts w:ascii="Arial Narrow" w:eastAsia="Arial Narrow" w:hAnsi="Arial Narrow" w:cs="Arial Narrow"/>
          <w:i/>
          <w:sz w:val="22"/>
          <w:szCs w:val="22"/>
        </w:rPr>
        <w:t>y construcciones históricas, en los ejidos, inmuebles, etc., incluidos en el perímetro que tenían estas poblaciones durante los siglos XVI, XVII y XVIII”.</w:t>
      </w:r>
    </w:p>
    <w:p w14:paraId="60FA33E5"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79A5BEB1" w14:textId="77777777" w:rsidR="008A6B9D" w:rsidRDefault="008A16FD">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Adicionalmente, mediante Decreto 3641 de 1954, Villa de Leyva fue declarado Monumento Nacional de utilidad pública debido a su arquitectura, historia, y tradiciones. Razón por la cual el mercado del pueblo que se desarrollaba en la Plaza Mayor de Villa de </w:t>
      </w:r>
      <w:r>
        <w:rPr>
          <w:rFonts w:ascii="Arial Narrow" w:eastAsia="Arial Narrow" w:hAnsi="Arial Narrow" w:cs="Arial Narrow"/>
          <w:sz w:val="22"/>
          <w:szCs w:val="22"/>
        </w:rPr>
        <w:t>Leyva se trasladó a otro lugar del municipio para realizar mejoras en la plaza, lo que activó el turismo en esta zona.</w:t>
      </w:r>
    </w:p>
    <w:p w14:paraId="669178B8" w14:textId="77777777" w:rsidR="008A6B9D" w:rsidRDefault="008A6B9D">
      <w:pPr>
        <w:jc w:val="both"/>
        <w:rPr>
          <w:rFonts w:ascii="Arial Narrow" w:eastAsia="Arial Narrow" w:hAnsi="Arial Narrow" w:cs="Arial Narrow"/>
          <w:sz w:val="22"/>
          <w:szCs w:val="22"/>
        </w:rPr>
      </w:pPr>
    </w:p>
    <w:p w14:paraId="75D124C0" w14:textId="77777777" w:rsidR="008A6B9D" w:rsidRDefault="008A16FD">
      <w:pPr>
        <w:jc w:val="both"/>
        <w:rPr>
          <w:rFonts w:ascii="Arial Narrow" w:eastAsia="Arial Narrow" w:hAnsi="Arial Narrow" w:cs="Arial Narrow"/>
          <w:sz w:val="22"/>
          <w:szCs w:val="22"/>
        </w:rPr>
      </w:pPr>
      <w:r>
        <w:rPr>
          <w:rFonts w:ascii="Arial Narrow" w:eastAsia="Arial Narrow" w:hAnsi="Arial Narrow" w:cs="Arial Narrow"/>
          <w:sz w:val="22"/>
          <w:szCs w:val="22"/>
        </w:rPr>
        <w:t>El Decreto anteriormente citado, especificó en su artículo 3:</w:t>
      </w:r>
    </w:p>
    <w:p w14:paraId="737BC7E4" w14:textId="77777777" w:rsidR="008A6B9D" w:rsidRDefault="008A16FD">
      <w:pPr>
        <w:spacing w:before="240" w:after="240"/>
        <w:ind w:left="540"/>
        <w:jc w:val="both"/>
        <w:rPr>
          <w:rFonts w:ascii="Arial Narrow" w:eastAsia="Arial Narrow" w:hAnsi="Arial Narrow" w:cs="Arial Narrow"/>
          <w:i/>
          <w:sz w:val="22"/>
          <w:szCs w:val="22"/>
        </w:rPr>
      </w:pPr>
      <w:r>
        <w:rPr>
          <w:rFonts w:ascii="Arial Narrow" w:eastAsia="Arial Narrow" w:hAnsi="Arial Narrow" w:cs="Arial Narrow"/>
          <w:i/>
          <w:sz w:val="22"/>
          <w:szCs w:val="22"/>
        </w:rPr>
        <w:t>“</w:t>
      </w:r>
      <w:r>
        <w:rPr>
          <w:rFonts w:ascii="Arial Narrow" w:eastAsia="Arial Narrow" w:hAnsi="Arial Narrow" w:cs="Arial Narrow"/>
          <w:b/>
          <w:i/>
          <w:sz w:val="22"/>
          <w:szCs w:val="22"/>
        </w:rPr>
        <w:t>Artículo 3</w:t>
      </w:r>
      <w:r>
        <w:rPr>
          <w:rFonts w:ascii="Arial Narrow" w:eastAsia="Arial Narrow" w:hAnsi="Arial Narrow" w:cs="Arial Narrow"/>
          <w:i/>
          <w:sz w:val="22"/>
          <w:szCs w:val="22"/>
        </w:rPr>
        <w:t>: El gobierno queda facultado para apropiar anualmente en los presupuestos de rentas y gastos las partidas necesarias para la restauración y conservación de los monumentos históricos de Villa de Leyva.”</w:t>
      </w:r>
    </w:p>
    <w:p w14:paraId="6EB076A1" w14:textId="77777777" w:rsidR="008A6B9D" w:rsidRDefault="008A16FD">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Así las cosas, la Ley actualmente reconoce la importa</w:t>
      </w:r>
      <w:r>
        <w:rPr>
          <w:rFonts w:ascii="Arial Narrow" w:eastAsia="Arial Narrow" w:hAnsi="Arial Narrow" w:cs="Arial Narrow"/>
          <w:sz w:val="22"/>
          <w:szCs w:val="22"/>
        </w:rPr>
        <w:t>ncia de la preservación del municipio como Monumento Nacional teniendo como fundamento que fue el lugar donde se llevó a cabo el Congreso de las Provincias Unidas de la Nueva Granada, que allí nació don Antonio Ricaurte y murió Antonio Nariño y que arquite</w:t>
      </w:r>
      <w:r>
        <w:rPr>
          <w:rFonts w:ascii="Arial Narrow" w:eastAsia="Arial Narrow" w:hAnsi="Arial Narrow" w:cs="Arial Narrow"/>
          <w:sz w:val="22"/>
          <w:szCs w:val="22"/>
        </w:rPr>
        <w:t>ctónicamente “Leiva forma un conjunto armónico altamente valioso y representativo del arte colonial, cuya conservación importa al interés público como testimonio que es de una cultura y de un ambiente”</w:t>
      </w:r>
      <w:r>
        <w:rPr>
          <w:rFonts w:ascii="Arial Narrow" w:eastAsia="Arial Narrow" w:hAnsi="Arial Narrow" w:cs="Arial Narrow"/>
          <w:sz w:val="22"/>
          <w:szCs w:val="22"/>
          <w:vertAlign w:val="superscript"/>
        </w:rPr>
        <w:footnoteReference w:id="15"/>
      </w:r>
      <w:r>
        <w:rPr>
          <w:rFonts w:ascii="Arial Narrow" w:eastAsia="Arial Narrow" w:hAnsi="Arial Narrow" w:cs="Arial Narrow"/>
          <w:sz w:val="22"/>
          <w:szCs w:val="22"/>
        </w:rPr>
        <w:t>, razón por la cual esta iniciativa legislativa se en</w:t>
      </w:r>
      <w:r>
        <w:rPr>
          <w:rFonts w:ascii="Arial Narrow" w:eastAsia="Arial Narrow" w:hAnsi="Arial Narrow" w:cs="Arial Narrow"/>
          <w:sz w:val="22"/>
          <w:szCs w:val="22"/>
        </w:rPr>
        <w:t xml:space="preserve">cuentra </w:t>
      </w:r>
      <w:r>
        <w:rPr>
          <w:rFonts w:ascii="Arial Narrow" w:eastAsia="Arial Narrow" w:hAnsi="Arial Narrow" w:cs="Arial Narrow"/>
          <w:sz w:val="22"/>
          <w:szCs w:val="22"/>
        </w:rPr>
        <w:lastRenderedPageBreak/>
        <w:t>en línea con el presente proyecto de ley, que busca la restauración de lugares históricos para conservar nuestra identidad y fomentar el turismo en el municipio de Villa de Leyva.</w:t>
      </w:r>
    </w:p>
    <w:p w14:paraId="02C3E19F" w14:textId="77777777" w:rsidR="008A6B9D" w:rsidRDefault="008A16FD">
      <w:pPr>
        <w:keepNext/>
        <w:keepLines/>
        <w:pBdr>
          <w:top w:val="nil"/>
          <w:left w:val="nil"/>
          <w:bottom w:val="nil"/>
          <w:right w:val="nil"/>
          <w:between w:val="nil"/>
        </w:pBdr>
        <w:spacing w:before="280" w:after="80"/>
        <w:ind w:right="4" w:firstLine="720"/>
        <w:jc w:val="both"/>
        <w:rPr>
          <w:rFonts w:ascii="Arial Narrow" w:eastAsia="Arial Narrow" w:hAnsi="Arial Narrow" w:cs="Arial Narrow"/>
          <w:b/>
          <w:color w:val="000000"/>
          <w:sz w:val="22"/>
          <w:szCs w:val="22"/>
        </w:rPr>
      </w:pPr>
      <w:bookmarkStart w:id="16" w:name="_heading=h.pwzygh3guof3" w:colFirst="0" w:colLast="0"/>
      <w:bookmarkEnd w:id="16"/>
      <w:r>
        <w:rPr>
          <w:rFonts w:ascii="Arial Narrow" w:eastAsia="Arial Narrow" w:hAnsi="Arial Narrow" w:cs="Arial Narrow"/>
          <w:b/>
          <w:color w:val="000000"/>
          <w:sz w:val="22"/>
          <w:szCs w:val="22"/>
        </w:rPr>
        <w:t>2.4.3. Marco Jurisprudencial.</w:t>
      </w:r>
    </w:p>
    <w:p w14:paraId="2FB3503A" w14:textId="77777777" w:rsidR="008A6B9D" w:rsidRDefault="008A6B9D"/>
    <w:p w14:paraId="0D199525" w14:textId="77777777" w:rsidR="008A6B9D" w:rsidRDefault="008A16FD">
      <w:p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La Corte Constitucional mediante sent</w:t>
      </w:r>
      <w:r>
        <w:rPr>
          <w:rFonts w:ascii="Arial Narrow" w:eastAsia="Arial Narrow" w:hAnsi="Arial Narrow" w:cs="Arial Narrow"/>
          <w:sz w:val="22"/>
          <w:szCs w:val="22"/>
        </w:rPr>
        <w:t>encia C-057-93 indicó que:</w:t>
      </w:r>
    </w:p>
    <w:p w14:paraId="297B6F47" w14:textId="77777777" w:rsidR="008A6B9D" w:rsidRDefault="008A16FD">
      <w:pPr>
        <w:spacing w:after="160" w:line="259" w:lineRule="auto"/>
        <w:ind w:left="720"/>
        <w:jc w:val="both"/>
        <w:rPr>
          <w:rFonts w:ascii="Arial Narrow" w:eastAsia="Arial Narrow" w:hAnsi="Arial Narrow" w:cs="Arial Narrow"/>
          <w:i/>
          <w:sz w:val="22"/>
          <w:szCs w:val="22"/>
        </w:rPr>
      </w:pPr>
      <w:r>
        <w:rPr>
          <w:rFonts w:ascii="Arial Narrow" w:eastAsia="Arial Narrow" w:hAnsi="Arial Narrow" w:cs="Arial Narrow"/>
          <w:i/>
          <w:sz w:val="22"/>
          <w:szCs w:val="22"/>
        </w:rPr>
        <w:t xml:space="preserve">“Decretar honores a los ciudadanos significa reconocimiento  público y exaltación de los (SIC) virtudes que adornan a ciertas personalidades, quienes movidas por fines nobles han prestado servicios a la patria.”  </w:t>
      </w:r>
    </w:p>
    <w:p w14:paraId="7F68D187" w14:textId="77777777" w:rsidR="008A6B9D" w:rsidRDefault="008A16FD">
      <w:p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Por otra parte, la Corte Constitucional me</w:t>
      </w:r>
      <w:r>
        <w:rPr>
          <w:rFonts w:ascii="Arial Narrow" w:eastAsia="Arial Narrow" w:hAnsi="Arial Narrow" w:cs="Arial Narrow"/>
          <w:sz w:val="22"/>
          <w:szCs w:val="22"/>
        </w:rPr>
        <w:t xml:space="preserve">diante sentencia C-817-11 fijó unas reglas acerca de la naturaleza jurídica de las leyes de honores así: </w:t>
      </w:r>
    </w:p>
    <w:p w14:paraId="733B26F8" w14:textId="77777777" w:rsidR="008A6B9D" w:rsidRDefault="008A16FD">
      <w:pPr>
        <w:spacing w:after="160" w:line="259" w:lineRule="auto"/>
        <w:ind w:left="720"/>
        <w:jc w:val="both"/>
        <w:rPr>
          <w:rFonts w:ascii="Arial Narrow" w:eastAsia="Arial Narrow" w:hAnsi="Arial Narrow" w:cs="Arial Narrow"/>
          <w:color w:val="000000"/>
          <w:sz w:val="22"/>
          <w:szCs w:val="22"/>
        </w:rPr>
      </w:pPr>
      <w:r>
        <w:rPr>
          <w:rFonts w:ascii="Arial Narrow" w:eastAsia="Arial Narrow" w:hAnsi="Arial Narrow" w:cs="Arial Narrow"/>
          <w:i/>
          <w:sz w:val="22"/>
          <w:szCs w:val="22"/>
        </w:rPr>
        <w:t xml:space="preserve">1. La naturaleza jurídica de las leyes de honores se funda en el reconocimiento estatal a personas, hechos o instituciones que merecen ser destacadas </w:t>
      </w:r>
      <w:r>
        <w:rPr>
          <w:rFonts w:ascii="Arial Narrow" w:eastAsia="Arial Narrow" w:hAnsi="Arial Narrow" w:cs="Arial Narrow"/>
          <w:i/>
          <w:sz w:val="22"/>
          <w:szCs w:val="22"/>
        </w:rPr>
        <w:t>públicamente, en razón de promover significativamente, valores que interesan a la Constitución.  Como lo ha previsto la Corte, las disposiciones contenidas en dichas normas “… exaltan valores humanos que por su ascendencia ante la comunidad, han sido consi</w:t>
      </w:r>
      <w:r>
        <w:rPr>
          <w:rFonts w:ascii="Arial Narrow" w:eastAsia="Arial Narrow" w:hAnsi="Arial Narrow" w:cs="Arial Narrow"/>
          <w:i/>
          <w:sz w:val="22"/>
          <w:szCs w:val="22"/>
        </w:rPr>
        <w:t>derados como ejemplo vivo de grandeza, nobleza, hidalguía y buen vivir, y por ello se les pone como ejemplo ante la posteridad”. 2. Contrario a como sucede con la actividad legislativa ordinaria del Congreso, las leyes de honores carecen de carácter genera</w:t>
      </w:r>
      <w:r>
        <w:rPr>
          <w:rFonts w:ascii="Arial Narrow" w:eastAsia="Arial Narrow" w:hAnsi="Arial Narrow" w:cs="Arial Narrow"/>
          <w:i/>
          <w:sz w:val="22"/>
          <w:szCs w:val="22"/>
        </w:rPr>
        <w:t>l y abstracto, agotándose en su expedición de manera subjetiva y concreta,  respecto de la persona, situación o institución objeto de exaltación.   En términos de la jurisprudencia reiterada, “[e]sta clase de leyes, debe anotarse, producen efectos  particu</w:t>
      </w:r>
      <w:r>
        <w:rPr>
          <w:rFonts w:ascii="Arial Narrow" w:eastAsia="Arial Narrow" w:hAnsi="Arial Narrow" w:cs="Arial Narrow"/>
          <w:i/>
          <w:sz w:val="22"/>
          <w:szCs w:val="22"/>
        </w:rPr>
        <w:t>lares sin contenido normativo de carácter abstracto. Desde el punto de vista material, no crean, extinguen o modifican situaciones jurídicas objetivas y generales que le son propias a la naturaleza de la ley, pues simplemente se limitan a regular situacion</w:t>
      </w:r>
      <w:r>
        <w:rPr>
          <w:rFonts w:ascii="Arial Narrow" w:eastAsia="Arial Narrow" w:hAnsi="Arial Narrow" w:cs="Arial Narrow"/>
          <w:i/>
          <w:sz w:val="22"/>
          <w:szCs w:val="22"/>
        </w:rPr>
        <w:t>es de orden subjetivo o singulares, cuyo alcance es únicamente la situación concreta descrita en la norma, sin que sean aplicables indefinidamente a una multiplicidad de hipótesis o casos. || Estas leyes se limitan entonces, como lo dice el artículo 150, n</w:t>
      </w:r>
      <w:r>
        <w:rPr>
          <w:rFonts w:ascii="Arial Narrow" w:eastAsia="Arial Narrow" w:hAnsi="Arial Narrow" w:cs="Arial Narrow"/>
          <w:i/>
          <w:sz w:val="22"/>
          <w:szCs w:val="22"/>
        </w:rPr>
        <w:t>umeral 15 de la Constitución vigente, a “decretar honores a los ciudadanos que hayan prestado servicios a la patria” y de manera alguna pueden desprenderse de su contenido, efectos contrarios a su origen, o interpretaciones diversas que se aparten del sent</w:t>
      </w:r>
      <w:r>
        <w:rPr>
          <w:rFonts w:ascii="Arial Narrow" w:eastAsia="Arial Narrow" w:hAnsi="Arial Narrow" w:cs="Arial Narrow"/>
          <w:i/>
          <w:sz w:val="22"/>
          <w:szCs w:val="22"/>
        </w:rPr>
        <w:t>ido de la ley.” 3. El legislador puede adoptar diversas acciones para exaltar o asociar a la Nación a la persona, situación u organización objeto del decreto de honores, de manera tal que las categorías avaladas por la Corte solo tienen carácter enunciativ</w:t>
      </w:r>
      <w:r>
        <w:rPr>
          <w:rFonts w:ascii="Arial Narrow" w:eastAsia="Arial Narrow" w:hAnsi="Arial Narrow" w:cs="Arial Narrow"/>
          <w:i/>
          <w:sz w:val="22"/>
          <w:szCs w:val="22"/>
        </w:rPr>
        <w:t>o.  Con todo, es factible identificar tres modalidades recurrentes de leyes de honores, a saber (i) leyes que rinden homenaje a ciudadanos; (ii) leyes que celebran aniversarios de municipios colombianos; y (iii) leyes que se celebran aniversarios de instit</w:t>
      </w:r>
      <w:r>
        <w:rPr>
          <w:rFonts w:ascii="Arial Narrow" w:eastAsia="Arial Narrow" w:hAnsi="Arial Narrow" w:cs="Arial Narrow"/>
          <w:i/>
          <w:sz w:val="22"/>
          <w:szCs w:val="22"/>
        </w:rPr>
        <w:t>uciones educativas, de valor cultural, arquitectónico o, en general, otros aniversarios.</w:t>
      </w:r>
    </w:p>
    <w:p w14:paraId="3F52ECE8"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sz w:val="22"/>
          <w:szCs w:val="22"/>
        </w:rPr>
        <w:t>Adicional a lo anterior, e</w:t>
      </w:r>
      <w:r>
        <w:rPr>
          <w:rFonts w:ascii="Arial Narrow" w:eastAsia="Arial Narrow" w:hAnsi="Arial Narrow" w:cs="Arial Narrow"/>
          <w:color w:val="000000"/>
          <w:sz w:val="22"/>
          <w:szCs w:val="22"/>
        </w:rPr>
        <w:t>s oportuno indicar que la presente iniciativa respeta los postulados establecidos por la Corte Constitucional frente a la legitimidad de pres</w:t>
      </w:r>
      <w:r>
        <w:rPr>
          <w:rFonts w:ascii="Arial Narrow" w:eastAsia="Arial Narrow" w:hAnsi="Arial Narrow" w:cs="Arial Narrow"/>
          <w:color w:val="000000"/>
          <w:sz w:val="22"/>
          <w:szCs w:val="22"/>
        </w:rPr>
        <w:t>entar proyectos de ley de celebración de aniversarios, conmemoración de fechas o eventos especiales de importancia nacional, declaración de bienes materiales o inmateriales como patrimonio cultural, histórico, arquitectónico, puntualmente lo dispuesto en l</w:t>
      </w:r>
      <w:r>
        <w:rPr>
          <w:rFonts w:ascii="Arial Narrow" w:eastAsia="Arial Narrow" w:hAnsi="Arial Narrow" w:cs="Arial Narrow"/>
          <w:color w:val="000000"/>
          <w:sz w:val="22"/>
          <w:szCs w:val="22"/>
        </w:rPr>
        <w:t>a Sentencia C-441 de 2009, mediante la cual la Corte Constitucional señaló que:</w:t>
      </w:r>
    </w:p>
    <w:p w14:paraId="6B576103"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12319D0A" w14:textId="77777777" w:rsidR="008A6B9D" w:rsidRDefault="008A16FD">
      <w:pPr>
        <w:pBdr>
          <w:top w:val="nil"/>
          <w:left w:val="nil"/>
          <w:bottom w:val="nil"/>
          <w:right w:val="nil"/>
          <w:between w:val="nil"/>
        </w:pBdr>
        <w:ind w:left="720"/>
        <w:jc w:val="both"/>
        <w:rPr>
          <w:rFonts w:ascii="Arial Narrow" w:eastAsia="Arial Narrow" w:hAnsi="Arial Narrow" w:cs="Arial Narrow"/>
          <w:i/>
          <w:color w:val="000000"/>
          <w:sz w:val="22"/>
          <w:szCs w:val="22"/>
          <w:highlight w:val="white"/>
        </w:rPr>
      </w:pPr>
      <w:r>
        <w:rPr>
          <w:rFonts w:ascii="Arial Narrow" w:eastAsia="Arial Narrow" w:hAnsi="Arial Narrow" w:cs="Arial Narrow"/>
          <w:color w:val="000000"/>
          <w:sz w:val="22"/>
          <w:szCs w:val="22"/>
          <w:highlight w:val="white"/>
        </w:rPr>
        <w:t xml:space="preserve">“(…) </w:t>
      </w:r>
      <w:r>
        <w:rPr>
          <w:rFonts w:ascii="Arial Narrow" w:eastAsia="Arial Narrow" w:hAnsi="Arial Narrow" w:cs="Arial Narrow"/>
          <w:i/>
          <w:color w:val="000000"/>
          <w:sz w:val="22"/>
          <w:szCs w:val="22"/>
          <w:highlight w:val="white"/>
        </w:rPr>
        <w:t xml:space="preserve">tanto el Congreso de la República como el Gobierno Nacional poseen iniciativa en materia de gasto público. Al respecto ha señalado que el Congreso está facultado para presentar proyectos que comporten </w:t>
      </w:r>
      <w:r>
        <w:rPr>
          <w:rFonts w:ascii="Arial Narrow" w:eastAsia="Arial Narrow" w:hAnsi="Arial Narrow" w:cs="Arial Narrow"/>
          <w:i/>
          <w:color w:val="000000"/>
          <w:sz w:val="22"/>
          <w:szCs w:val="22"/>
          <w:highlight w:val="white"/>
        </w:rPr>
        <w:lastRenderedPageBreak/>
        <w:t>gasto público, pero que la inclusión de las partidas pr</w:t>
      </w:r>
      <w:r>
        <w:rPr>
          <w:rFonts w:ascii="Arial Narrow" w:eastAsia="Arial Narrow" w:hAnsi="Arial Narrow" w:cs="Arial Narrow"/>
          <w:i/>
          <w:color w:val="000000"/>
          <w:sz w:val="22"/>
          <w:szCs w:val="22"/>
          <w:highlight w:val="white"/>
        </w:rPr>
        <w:t xml:space="preserve">esupuestales en el presupuesto de gastos es facultad exclusiva del Gobierno. </w:t>
      </w:r>
      <w:r>
        <w:rPr>
          <w:rFonts w:ascii="Arial Narrow" w:eastAsia="Arial Narrow" w:hAnsi="Arial Narrow" w:cs="Arial Narrow"/>
          <w:color w:val="000000"/>
          <w:sz w:val="22"/>
          <w:szCs w:val="22"/>
          <w:highlight w:val="white"/>
        </w:rPr>
        <w:t> </w:t>
      </w:r>
      <w:r>
        <w:rPr>
          <w:rFonts w:ascii="Arial Narrow" w:eastAsia="Arial Narrow" w:hAnsi="Arial Narrow" w:cs="Arial Narrow"/>
          <w:i/>
          <w:color w:val="000000"/>
          <w:sz w:val="22"/>
          <w:szCs w:val="22"/>
          <w:highlight w:val="white"/>
        </w:rPr>
        <w:t>También ha indicado que el legislador puede autorizar al Gobierno Nacional para realizar obras en las entidades territoriales, siempre y cuando en las normas respectivas se estab</w:t>
      </w:r>
      <w:r>
        <w:rPr>
          <w:rFonts w:ascii="Arial Narrow" w:eastAsia="Arial Narrow" w:hAnsi="Arial Narrow" w:cs="Arial Narrow"/>
          <w:i/>
          <w:color w:val="000000"/>
          <w:sz w:val="22"/>
          <w:szCs w:val="22"/>
          <w:highlight w:val="white"/>
        </w:rPr>
        <w:t>lezca que el desembolso procede a través del sistema de cofinanciación”.</w:t>
      </w:r>
      <w:r>
        <w:rPr>
          <w:rFonts w:ascii="Arial Narrow" w:eastAsia="Arial Narrow" w:hAnsi="Arial Narrow" w:cs="Arial Narrow"/>
          <w:color w:val="000000"/>
          <w:sz w:val="22"/>
          <w:szCs w:val="22"/>
          <w:vertAlign w:val="superscript"/>
        </w:rPr>
        <w:t xml:space="preserve"> </w:t>
      </w:r>
      <w:r>
        <w:rPr>
          <w:rFonts w:ascii="Arial Narrow" w:eastAsia="Arial Narrow" w:hAnsi="Arial Narrow" w:cs="Arial Narrow"/>
          <w:color w:val="000000"/>
          <w:sz w:val="22"/>
          <w:szCs w:val="22"/>
          <w:vertAlign w:val="superscript"/>
        </w:rPr>
        <w:footnoteReference w:id="16"/>
      </w:r>
      <w:r>
        <w:rPr>
          <w:rFonts w:ascii="Arial Narrow" w:eastAsia="Arial Narrow" w:hAnsi="Arial Narrow" w:cs="Arial Narrow"/>
          <w:i/>
          <w:color w:val="000000"/>
          <w:sz w:val="22"/>
          <w:szCs w:val="22"/>
          <w:highlight w:val="white"/>
        </w:rPr>
        <w:t xml:space="preserve"> </w:t>
      </w:r>
    </w:p>
    <w:p w14:paraId="1462404F"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bookmarkStart w:id="17" w:name="_heading=h.72q0mkz17jog" w:colFirst="0" w:colLast="0"/>
    <w:bookmarkEnd w:id="17"/>
    <w:p w14:paraId="1849C89B" w14:textId="77777777" w:rsidR="008A6B9D" w:rsidRDefault="008A16FD">
      <w:pPr>
        <w:pBdr>
          <w:top w:val="nil"/>
          <w:left w:val="nil"/>
          <w:bottom w:val="nil"/>
          <w:right w:val="nil"/>
          <w:between w:val="nil"/>
        </w:pBdr>
        <w:ind w:left="720" w:hanging="360"/>
        <w:jc w:val="both"/>
        <w:rPr>
          <w:rFonts w:ascii="Arial Narrow" w:eastAsia="Arial Narrow" w:hAnsi="Arial Narrow" w:cs="Arial Narrow"/>
          <w:b/>
          <w:color w:val="000000"/>
          <w:sz w:val="22"/>
          <w:szCs w:val="22"/>
        </w:rPr>
      </w:pPr>
      <w:r>
        <w:fldChar w:fldCharType="begin"/>
      </w:r>
      <w:r>
        <w:instrText xml:space="preserve"> HYPERLINK \l "bookmark=id.35nkun2" \h </w:instrText>
      </w:r>
      <w:r>
        <w:fldChar w:fldCharType="separate"/>
      </w:r>
      <w:r>
        <w:rPr>
          <w:rFonts w:ascii="Arial Narrow" w:eastAsia="Arial Narrow" w:hAnsi="Arial Narrow" w:cs="Arial Narrow"/>
          <w:b/>
          <w:color w:val="1155CC"/>
          <w:sz w:val="22"/>
          <w:szCs w:val="22"/>
          <w:u w:val="single"/>
        </w:rPr>
        <w:t>3.</w:t>
      </w:r>
      <w:r>
        <w:rPr>
          <w:rFonts w:ascii="Arial Narrow" w:eastAsia="Arial Narrow" w:hAnsi="Arial Narrow" w:cs="Arial Narrow"/>
          <w:b/>
          <w:color w:val="1155CC"/>
          <w:sz w:val="22"/>
          <w:szCs w:val="22"/>
          <w:u w:val="single"/>
        </w:rPr>
        <w:fldChar w:fldCharType="end"/>
      </w:r>
      <w:r>
        <w:rPr>
          <w:rFonts w:ascii="Arial Narrow" w:eastAsia="Arial Narrow" w:hAnsi="Arial Narrow" w:cs="Arial Narrow"/>
          <w:b/>
          <w:color w:val="000000"/>
          <w:sz w:val="22"/>
          <w:szCs w:val="22"/>
        </w:rPr>
        <w:t xml:space="preserve"> Análisis de impacto fiscal artículo 7 Ley 819 de 2003.</w:t>
      </w:r>
    </w:p>
    <w:p w14:paraId="61A194BC"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0ED3D381"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artículo 7 de la Ley 819 de 2003 establece que en todo momento, el impacto fiscal de cualquier proyecto de ley, ordenanza o acuerdo, que ordene gasto o que otorgue beneficios tributarios, deberá hacerse explícito y deberá ser compatible con el Marco Fis</w:t>
      </w:r>
      <w:r>
        <w:rPr>
          <w:rFonts w:ascii="Arial Narrow" w:eastAsia="Arial Narrow" w:hAnsi="Arial Narrow" w:cs="Arial Narrow"/>
          <w:color w:val="000000"/>
          <w:sz w:val="22"/>
          <w:szCs w:val="22"/>
        </w:rPr>
        <w:t>cal de Mediano Plazo.</w:t>
      </w:r>
    </w:p>
    <w:p w14:paraId="6F65C238"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2DD8CDB0"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Este proyecto de ley, no conlleva un impacto fiscal debido a que en el articulado no se ordena gasto público, cumpliendo con lo estipulado en la Ley 819 de 2003. El proyecto menciona expresamente que se está otorgando una autorizació</w:t>
      </w:r>
      <w:r>
        <w:rPr>
          <w:rFonts w:ascii="Arial Narrow" w:eastAsia="Arial Narrow" w:hAnsi="Arial Narrow" w:cs="Arial Narrow"/>
          <w:color w:val="000000"/>
          <w:sz w:val="22"/>
          <w:szCs w:val="22"/>
        </w:rPr>
        <w:t>n al Gobierno nacional para que se incluya en el Presupuesto General de la Nación las partidas presupuestales necesarias para la ejecución de algunas de las siguientes obras y dotaciones de utilidad pública y de interés social para el municipio.</w:t>
      </w:r>
    </w:p>
    <w:p w14:paraId="7157AFC7"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4BFF5323"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Honora</w:t>
      </w:r>
      <w:r>
        <w:rPr>
          <w:rFonts w:ascii="Arial Narrow" w:eastAsia="Arial Narrow" w:hAnsi="Arial Narrow" w:cs="Arial Narrow"/>
          <w:color w:val="000000"/>
          <w:sz w:val="22"/>
          <w:szCs w:val="22"/>
        </w:rPr>
        <w:t xml:space="preserve">ble Corte Constitucional, en Sentencia C-866 de 2010, estableció las siguientes sub-reglas sobre el análisis del impacto fiscal de las normas, en lo que tiene que ver con el gasto público, mismas sub-reglas que respeta el presente proyecto de ley: </w:t>
      </w:r>
    </w:p>
    <w:p w14:paraId="1D254AA5"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3AAD691E" w14:textId="77777777" w:rsidR="008A6B9D" w:rsidRDefault="008A16FD">
      <w:pPr>
        <w:pBdr>
          <w:top w:val="nil"/>
          <w:left w:val="nil"/>
          <w:bottom w:val="nil"/>
          <w:right w:val="nil"/>
          <w:between w:val="nil"/>
        </w:pBdr>
        <w:ind w:left="720"/>
        <w:jc w:val="both"/>
        <w:rPr>
          <w:rFonts w:ascii="Arial Narrow" w:eastAsia="Arial Narrow" w:hAnsi="Arial Narrow" w:cs="Arial Narrow"/>
          <w:i/>
          <w:color w:val="000000"/>
          <w:sz w:val="22"/>
          <w:szCs w:val="22"/>
        </w:rPr>
      </w:pPr>
      <w:r>
        <w:rPr>
          <w:rFonts w:ascii="Arial Narrow" w:eastAsia="Arial Narrow" w:hAnsi="Arial Narrow" w:cs="Arial Narrow"/>
          <w:color w:val="000000"/>
          <w:sz w:val="22"/>
          <w:szCs w:val="22"/>
        </w:rPr>
        <w:t xml:space="preserve">“(…) </w:t>
      </w:r>
      <w:r>
        <w:rPr>
          <w:rFonts w:ascii="Arial Narrow" w:eastAsia="Arial Narrow" w:hAnsi="Arial Narrow" w:cs="Arial Narrow"/>
          <w:i/>
          <w:color w:val="000000"/>
          <w:sz w:val="22"/>
          <w:szCs w:val="22"/>
        </w:rPr>
        <w:t>e</w:t>
      </w:r>
      <w:r>
        <w:rPr>
          <w:rFonts w:ascii="Arial Narrow" w:eastAsia="Arial Narrow" w:hAnsi="Arial Narrow" w:cs="Arial Narrow"/>
          <w:i/>
          <w:color w:val="000000"/>
          <w:sz w:val="22"/>
          <w:szCs w:val="22"/>
        </w:rPr>
        <w:t xml:space="preserve">s posible deducir las siguientes subreglas sobre el alcance del artículo 7o de la Ley 819 de 2003: </w:t>
      </w:r>
    </w:p>
    <w:p w14:paraId="29A68130" w14:textId="77777777" w:rsidR="008A6B9D" w:rsidRDefault="008A6B9D">
      <w:pPr>
        <w:pBdr>
          <w:top w:val="nil"/>
          <w:left w:val="nil"/>
          <w:bottom w:val="nil"/>
          <w:right w:val="nil"/>
          <w:between w:val="nil"/>
        </w:pBdr>
        <w:ind w:left="720"/>
        <w:jc w:val="both"/>
        <w:rPr>
          <w:rFonts w:ascii="Arial Narrow" w:eastAsia="Arial Narrow" w:hAnsi="Arial Narrow" w:cs="Arial Narrow"/>
          <w:i/>
          <w:color w:val="000000"/>
          <w:sz w:val="22"/>
          <w:szCs w:val="22"/>
        </w:rPr>
      </w:pPr>
    </w:p>
    <w:p w14:paraId="73B6C761" w14:textId="77777777" w:rsidR="008A6B9D" w:rsidRDefault="008A16FD">
      <w:pPr>
        <w:pBdr>
          <w:top w:val="nil"/>
          <w:left w:val="nil"/>
          <w:bottom w:val="nil"/>
          <w:right w:val="nil"/>
          <w:between w:val="nil"/>
        </w:pBdr>
        <w:ind w:left="720"/>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i) Las obligaciones previstas en el artículo 7o de la Ley 819 de 2003 constituyen un parámetro de racionalidad legislativa, que cumple fines constitucional</w:t>
      </w:r>
      <w:r>
        <w:rPr>
          <w:rFonts w:ascii="Arial Narrow" w:eastAsia="Arial Narrow" w:hAnsi="Arial Narrow" w:cs="Arial Narrow"/>
          <w:i/>
          <w:color w:val="000000"/>
          <w:sz w:val="22"/>
          <w:szCs w:val="22"/>
        </w:rPr>
        <w:t xml:space="preserve">mente relevantes como el orden de las finanzas públicas la estabilidad macroeconómica; </w:t>
      </w:r>
    </w:p>
    <w:p w14:paraId="460BD63D" w14:textId="77777777" w:rsidR="008A6B9D" w:rsidRDefault="008A6B9D">
      <w:pPr>
        <w:pBdr>
          <w:top w:val="nil"/>
          <w:left w:val="nil"/>
          <w:bottom w:val="nil"/>
          <w:right w:val="nil"/>
          <w:between w:val="nil"/>
        </w:pBdr>
        <w:ind w:left="720"/>
        <w:jc w:val="both"/>
        <w:rPr>
          <w:rFonts w:ascii="Arial Narrow" w:eastAsia="Arial Narrow" w:hAnsi="Arial Narrow" w:cs="Arial Narrow"/>
          <w:i/>
          <w:color w:val="000000"/>
          <w:sz w:val="22"/>
          <w:szCs w:val="22"/>
        </w:rPr>
      </w:pPr>
    </w:p>
    <w:p w14:paraId="4F26C1B1" w14:textId="77777777" w:rsidR="008A6B9D" w:rsidRDefault="008A16FD">
      <w:pPr>
        <w:pBdr>
          <w:top w:val="nil"/>
          <w:left w:val="nil"/>
          <w:bottom w:val="nil"/>
          <w:right w:val="nil"/>
          <w:between w:val="nil"/>
        </w:pBdr>
        <w:ind w:left="720"/>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ii) El cumplimiento de lo dispuesto en el artículo 7o de la Ley 819 de 2003 corresponde al Congreso, pero principalmente al Ministro de Hacienda y Crédito Público, en tanto que ‘es el que cuenta con los datos, los equipos de funcionarios y la experticia en</w:t>
      </w:r>
      <w:r>
        <w:rPr>
          <w:rFonts w:ascii="Arial Narrow" w:eastAsia="Arial Narrow" w:hAnsi="Arial Narrow" w:cs="Arial Narrow"/>
          <w:i/>
          <w:color w:val="000000"/>
          <w:sz w:val="22"/>
          <w:szCs w:val="22"/>
        </w:rPr>
        <w:t xml:space="preserve"> materia económica. Por lo tanto, en el caso de que los congresistas tramiten un proyecto incorporando estimativos erróneos sobre el impacto fiscal, sobre la manera de atender esos nuevos gastos o sobre la compatibilidad del proyecto con el Marco Fiscal de</w:t>
      </w:r>
      <w:r>
        <w:rPr>
          <w:rFonts w:ascii="Arial Narrow" w:eastAsia="Arial Narrow" w:hAnsi="Arial Narrow" w:cs="Arial Narrow"/>
          <w:i/>
          <w:color w:val="000000"/>
          <w:sz w:val="22"/>
          <w:szCs w:val="22"/>
        </w:rPr>
        <w:t xml:space="preserve"> Mediano Plazo, le corresponde al Ministro de Hacienda intervenir en el proceso legislativo para ilustrar al Congreso acerca de las consecuencias económicas del proyecto’; </w:t>
      </w:r>
    </w:p>
    <w:p w14:paraId="1CE193D8" w14:textId="77777777" w:rsidR="008A6B9D" w:rsidRDefault="008A6B9D">
      <w:pPr>
        <w:pBdr>
          <w:top w:val="nil"/>
          <w:left w:val="nil"/>
          <w:bottom w:val="nil"/>
          <w:right w:val="nil"/>
          <w:between w:val="nil"/>
        </w:pBdr>
        <w:ind w:left="720"/>
        <w:jc w:val="both"/>
        <w:rPr>
          <w:rFonts w:ascii="Arial Narrow" w:eastAsia="Arial Narrow" w:hAnsi="Arial Narrow" w:cs="Arial Narrow"/>
          <w:i/>
          <w:color w:val="000000"/>
          <w:sz w:val="22"/>
          <w:szCs w:val="22"/>
        </w:rPr>
      </w:pPr>
    </w:p>
    <w:p w14:paraId="14F19891" w14:textId="77777777" w:rsidR="008A6B9D" w:rsidRDefault="008A16FD">
      <w:pPr>
        <w:pBdr>
          <w:top w:val="nil"/>
          <w:left w:val="nil"/>
          <w:bottom w:val="nil"/>
          <w:right w:val="nil"/>
          <w:between w:val="nil"/>
        </w:pBdr>
        <w:ind w:left="720"/>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iii) En caso de que el Ministro de Hacienda y Crédito Público no intervenga en el proceso legislativo u omita conceptuar sobre la viabilidad económica del proyecto, no lo vicia de inconstitucionalidad puesto que este requisito no puede entenderse como un p</w:t>
      </w:r>
      <w:r>
        <w:rPr>
          <w:rFonts w:ascii="Arial Narrow" w:eastAsia="Arial Narrow" w:hAnsi="Arial Narrow" w:cs="Arial Narrow"/>
          <w:i/>
          <w:color w:val="000000"/>
          <w:sz w:val="22"/>
          <w:szCs w:val="22"/>
        </w:rPr>
        <w:t xml:space="preserve">oder de veto sobre la actuación del Congreso o una barrera para que el legislador ejerza su función legislativa, lo cual ‘se muestra incompatible con el balance entre los poderes públicos y el principio democrático’; y </w:t>
      </w:r>
    </w:p>
    <w:p w14:paraId="1376B703" w14:textId="77777777" w:rsidR="008A6B9D" w:rsidRDefault="008A6B9D">
      <w:pPr>
        <w:pBdr>
          <w:top w:val="nil"/>
          <w:left w:val="nil"/>
          <w:bottom w:val="nil"/>
          <w:right w:val="nil"/>
          <w:between w:val="nil"/>
        </w:pBdr>
        <w:ind w:left="720"/>
        <w:jc w:val="both"/>
        <w:rPr>
          <w:rFonts w:ascii="Arial Narrow" w:eastAsia="Arial Narrow" w:hAnsi="Arial Narrow" w:cs="Arial Narrow"/>
          <w:i/>
          <w:color w:val="000000"/>
          <w:sz w:val="22"/>
          <w:szCs w:val="22"/>
        </w:rPr>
      </w:pPr>
    </w:p>
    <w:p w14:paraId="4C57BABE" w14:textId="77777777" w:rsidR="008A6B9D" w:rsidRDefault="008A16FD">
      <w:pPr>
        <w:pBdr>
          <w:top w:val="nil"/>
          <w:left w:val="nil"/>
          <w:bottom w:val="nil"/>
          <w:right w:val="nil"/>
          <w:between w:val="nil"/>
        </w:pBdr>
        <w:ind w:left="720"/>
        <w:jc w:val="both"/>
        <w:rPr>
          <w:rFonts w:ascii="Arial Narrow" w:eastAsia="Arial Narrow" w:hAnsi="Arial Narrow" w:cs="Arial Narrow"/>
          <w:color w:val="000000"/>
          <w:sz w:val="22"/>
          <w:szCs w:val="22"/>
        </w:rPr>
      </w:pPr>
      <w:r>
        <w:rPr>
          <w:rFonts w:ascii="Arial Narrow" w:eastAsia="Arial Narrow" w:hAnsi="Arial Narrow" w:cs="Arial Narrow"/>
          <w:i/>
          <w:color w:val="000000"/>
          <w:sz w:val="22"/>
          <w:szCs w:val="22"/>
        </w:rPr>
        <w:lastRenderedPageBreak/>
        <w:t>iv) El informe presentado por el Mi</w:t>
      </w:r>
      <w:r>
        <w:rPr>
          <w:rFonts w:ascii="Arial Narrow" w:eastAsia="Arial Narrow" w:hAnsi="Arial Narrow" w:cs="Arial Narrow"/>
          <w:i/>
          <w:color w:val="000000"/>
          <w:sz w:val="22"/>
          <w:szCs w:val="22"/>
        </w:rPr>
        <w:t xml:space="preserve">nistro de Hacienda y Crédito Público no obliga a las células legislativas a acoger su posición; sin embargo, sí genera una obligación en cabeza del Congreso de valorarlo y analizarlo. </w:t>
      </w:r>
      <w:r>
        <w:rPr>
          <w:rFonts w:ascii="Arial Narrow" w:eastAsia="Arial Narrow" w:hAnsi="Arial Narrow" w:cs="Arial Narrow"/>
          <w:color w:val="000000"/>
          <w:sz w:val="22"/>
          <w:szCs w:val="22"/>
        </w:rPr>
        <w:t xml:space="preserve"> </w:t>
      </w:r>
      <w:r>
        <w:rPr>
          <w:rFonts w:ascii="Arial Narrow" w:eastAsia="Arial Narrow" w:hAnsi="Arial Narrow" w:cs="Arial Narrow"/>
          <w:i/>
          <w:color w:val="000000"/>
          <w:sz w:val="22"/>
          <w:szCs w:val="22"/>
        </w:rPr>
        <w:t>Solo así se garantiza una debida colaboración entre las ramas del poder</w:t>
      </w:r>
      <w:r>
        <w:rPr>
          <w:rFonts w:ascii="Arial Narrow" w:eastAsia="Arial Narrow" w:hAnsi="Arial Narrow" w:cs="Arial Narrow"/>
          <w:i/>
          <w:color w:val="000000"/>
          <w:sz w:val="22"/>
          <w:szCs w:val="22"/>
        </w:rPr>
        <w:t xml:space="preserve"> público y se armoniza el principio democrático con la estabilidad macroeconómica</w:t>
      </w:r>
      <w:r>
        <w:rPr>
          <w:rFonts w:ascii="Arial Narrow" w:eastAsia="Arial Narrow" w:hAnsi="Arial Narrow" w:cs="Arial Narrow"/>
          <w:color w:val="000000"/>
          <w:sz w:val="22"/>
          <w:szCs w:val="22"/>
        </w:rPr>
        <w:t xml:space="preserve"> (…)”.</w:t>
      </w:r>
    </w:p>
    <w:p w14:paraId="5CA3DDE5"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15846FFD"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conformidad con lo previamente citado, el presente proyecto de ley no establece una orden imperativa al Gobierno Nacional de manera tal que no se ejerce presión sob</w:t>
      </w:r>
      <w:r>
        <w:rPr>
          <w:rFonts w:ascii="Arial Narrow" w:eastAsia="Arial Narrow" w:hAnsi="Arial Narrow" w:cs="Arial Narrow"/>
          <w:color w:val="000000"/>
          <w:sz w:val="22"/>
          <w:szCs w:val="22"/>
        </w:rPr>
        <w:t xml:space="preserve">re el gasto público, respetando las funciones y competencias propias del Gobierno Nacional para considerar la incorporación de las partidas presupuestales, de acuerdo con la disponibilidad de recursos y con el marco fiscal de mediano plazo. </w:t>
      </w:r>
    </w:p>
    <w:p w14:paraId="14C8EF91" w14:textId="77777777" w:rsidR="008A6B9D" w:rsidRDefault="008A6B9D">
      <w:pPr>
        <w:pBdr>
          <w:top w:val="nil"/>
          <w:left w:val="nil"/>
          <w:bottom w:val="nil"/>
          <w:right w:val="nil"/>
          <w:between w:val="nil"/>
        </w:pBdr>
        <w:jc w:val="both"/>
        <w:rPr>
          <w:rFonts w:ascii="Arial Narrow" w:eastAsia="Arial Narrow" w:hAnsi="Arial Narrow" w:cs="Arial Narrow"/>
          <w:color w:val="000000"/>
          <w:sz w:val="22"/>
          <w:szCs w:val="22"/>
        </w:rPr>
      </w:pPr>
    </w:p>
    <w:p w14:paraId="7B9B390E" w14:textId="77777777" w:rsidR="008A6B9D" w:rsidRDefault="008A16FD">
      <w:pPr>
        <w:pBdr>
          <w:top w:val="nil"/>
          <w:left w:val="nil"/>
          <w:bottom w:val="nil"/>
          <w:right w:val="nil"/>
          <w:between w:val="nil"/>
        </w:pBdr>
        <w:ind w:left="720" w:hanging="360"/>
        <w:jc w:val="both"/>
        <w:rPr>
          <w:rFonts w:ascii="Arial Narrow" w:eastAsia="Arial Narrow" w:hAnsi="Arial Narrow" w:cs="Arial Narrow"/>
          <w:b/>
          <w:color w:val="000000"/>
          <w:sz w:val="22"/>
          <w:szCs w:val="22"/>
        </w:rPr>
      </w:pPr>
      <w:bookmarkStart w:id="18" w:name="_heading=h.1t3h5sf" w:colFirst="0" w:colLast="0"/>
      <w:bookmarkEnd w:id="18"/>
      <w:r>
        <w:rPr>
          <w:rFonts w:ascii="Arial Narrow" w:eastAsia="Arial Narrow" w:hAnsi="Arial Narrow" w:cs="Arial Narrow"/>
          <w:b/>
          <w:color w:val="000000"/>
          <w:sz w:val="22"/>
          <w:szCs w:val="22"/>
        </w:rPr>
        <w:t>4. Conflictos</w:t>
      </w:r>
      <w:r>
        <w:rPr>
          <w:rFonts w:ascii="Arial Narrow" w:eastAsia="Arial Narrow" w:hAnsi="Arial Narrow" w:cs="Arial Narrow"/>
          <w:b/>
          <w:color w:val="000000"/>
          <w:sz w:val="22"/>
          <w:szCs w:val="22"/>
        </w:rPr>
        <w:t xml:space="preserve"> de intereses – Artículo 291 de la Ley 5 de 1992</w:t>
      </w:r>
    </w:p>
    <w:p w14:paraId="0CE8D4CF" w14:textId="77777777" w:rsidR="008A6B9D" w:rsidRDefault="008A6B9D">
      <w:pPr>
        <w:pBdr>
          <w:top w:val="nil"/>
          <w:left w:val="nil"/>
          <w:bottom w:val="nil"/>
          <w:right w:val="nil"/>
          <w:between w:val="nil"/>
        </w:pBdr>
        <w:jc w:val="both"/>
        <w:rPr>
          <w:rFonts w:ascii="Arial Narrow" w:eastAsia="Arial Narrow" w:hAnsi="Arial Narrow" w:cs="Arial Narrow"/>
          <w:b/>
          <w:color w:val="000000"/>
          <w:sz w:val="22"/>
          <w:szCs w:val="22"/>
        </w:rPr>
      </w:pPr>
    </w:p>
    <w:p w14:paraId="5B38D374" w14:textId="77777777" w:rsidR="008A6B9D" w:rsidRDefault="008A16FD">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artículo 182 de la Constitución Política de Colombia dispone que los congresistas deberán poner en conocimiento de la respectiva Cámara las situaciones de carácter moral o económico que los inhiban para participar en el trámite de los asuntos sometidos </w:t>
      </w:r>
      <w:r>
        <w:rPr>
          <w:rFonts w:ascii="Arial Narrow" w:eastAsia="Arial Narrow" w:hAnsi="Arial Narrow" w:cs="Arial Narrow"/>
          <w:color w:val="000000"/>
          <w:sz w:val="22"/>
          <w:szCs w:val="22"/>
        </w:rPr>
        <w:t xml:space="preserve">a su consideración, y que la Ley determinará lo relacionado con los conflictos de intereses y las recusaciones. </w:t>
      </w:r>
    </w:p>
    <w:p w14:paraId="2E14E335" w14:textId="77777777" w:rsidR="008A6B9D" w:rsidRDefault="008A6B9D">
      <w:pPr>
        <w:widowControl w:val="0"/>
        <w:pBdr>
          <w:top w:val="nil"/>
          <w:left w:val="nil"/>
          <w:bottom w:val="nil"/>
          <w:right w:val="nil"/>
          <w:between w:val="nil"/>
        </w:pBdr>
        <w:jc w:val="both"/>
        <w:rPr>
          <w:rFonts w:ascii="Arial Narrow" w:eastAsia="Arial Narrow" w:hAnsi="Arial Narrow" w:cs="Arial Narrow"/>
          <w:color w:val="000000"/>
          <w:sz w:val="22"/>
          <w:szCs w:val="22"/>
        </w:rPr>
      </w:pPr>
    </w:p>
    <w:p w14:paraId="725D2877" w14:textId="77777777" w:rsidR="008A6B9D" w:rsidRDefault="008A16FD">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consecuencia, el artículo 286 de la Ley 5 de 1992, modificado por la Ley 2033 de 2009, definió lo relativo al Régimen de Conflicto de Inter</w:t>
      </w:r>
      <w:r>
        <w:rPr>
          <w:rFonts w:ascii="Arial Narrow" w:eastAsia="Arial Narrow" w:hAnsi="Arial Narrow" w:cs="Arial Narrow"/>
          <w:color w:val="000000"/>
          <w:sz w:val="22"/>
          <w:szCs w:val="22"/>
        </w:rPr>
        <w:t>és de los Congresistas, en ese sentido dispuso:</w:t>
      </w:r>
    </w:p>
    <w:p w14:paraId="7AE6509E" w14:textId="77777777" w:rsidR="008A6B9D" w:rsidRDefault="008A6B9D">
      <w:pPr>
        <w:widowControl w:val="0"/>
        <w:pBdr>
          <w:top w:val="nil"/>
          <w:left w:val="nil"/>
          <w:bottom w:val="nil"/>
          <w:right w:val="nil"/>
          <w:between w:val="nil"/>
        </w:pBdr>
        <w:jc w:val="both"/>
        <w:rPr>
          <w:rFonts w:ascii="Arial Narrow" w:eastAsia="Arial Narrow" w:hAnsi="Arial Narrow" w:cs="Arial Narrow"/>
          <w:color w:val="000000"/>
          <w:sz w:val="22"/>
          <w:szCs w:val="22"/>
        </w:rPr>
      </w:pPr>
    </w:p>
    <w:p w14:paraId="70AFB31C"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 Se entiende como conflicto de interés una situación donde la discusión o votación de un proyecto de ley o acto legislativo o artículo, pueda resultar en un beneficio particular, actual y directo a fav</w:t>
      </w:r>
      <w:r>
        <w:rPr>
          <w:rFonts w:ascii="Arial Narrow" w:eastAsia="Arial Narrow" w:hAnsi="Arial Narrow" w:cs="Arial Narrow"/>
          <w:i/>
          <w:color w:val="000000"/>
          <w:sz w:val="22"/>
          <w:szCs w:val="22"/>
        </w:rPr>
        <w:t>or del congresista.</w:t>
      </w:r>
    </w:p>
    <w:p w14:paraId="1F7720CD"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p>
    <w:p w14:paraId="3832140B"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a) Beneficio particular: aquel que otorga un privilegio o genera ganancias o crea indemnizaciones económicas o elimina obligaciones a favor del congresista de las que no gozan el resto de los ciudadanos. Modifique normas que afecten in</w:t>
      </w:r>
      <w:r>
        <w:rPr>
          <w:rFonts w:ascii="Arial Narrow" w:eastAsia="Arial Narrow" w:hAnsi="Arial Narrow" w:cs="Arial Narrow"/>
          <w:i/>
          <w:color w:val="000000"/>
          <w:sz w:val="22"/>
          <w:szCs w:val="22"/>
        </w:rPr>
        <w:t>vestigaciones penales, disciplinarias, fiscales o administrativas a las que se encuentre formalmente vinculado.</w:t>
      </w:r>
    </w:p>
    <w:p w14:paraId="7437ACFB"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p>
    <w:p w14:paraId="16F401DC"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b) Beneficio actual: aquel que efectivamente se configura en las circunstancias presentes y existentes al momento en el que el congresista part</w:t>
      </w:r>
      <w:r>
        <w:rPr>
          <w:rFonts w:ascii="Arial Narrow" w:eastAsia="Arial Narrow" w:hAnsi="Arial Narrow" w:cs="Arial Narrow"/>
          <w:i/>
          <w:color w:val="000000"/>
          <w:sz w:val="22"/>
          <w:szCs w:val="22"/>
        </w:rPr>
        <w:t>icipa de la decisión.</w:t>
      </w:r>
    </w:p>
    <w:p w14:paraId="29F82552"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p>
    <w:p w14:paraId="2FBC90CF"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c) Beneficio directo: aquel que se produzca de forma específica respecto del congresista, de su cónyuge, compañero o compañera permanente, o parientes dentro del segundo grado de consanguinidad, segundo de afinidad o primero civil.”</w:t>
      </w:r>
    </w:p>
    <w:p w14:paraId="700C1CC1" w14:textId="77777777" w:rsidR="008A6B9D" w:rsidRDefault="008A6B9D">
      <w:pPr>
        <w:widowControl w:val="0"/>
        <w:pBdr>
          <w:top w:val="nil"/>
          <w:left w:val="nil"/>
          <w:bottom w:val="nil"/>
          <w:right w:val="nil"/>
          <w:between w:val="nil"/>
        </w:pBdr>
        <w:jc w:val="both"/>
        <w:rPr>
          <w:rFonts w:ascii="Arial Narrow" w:eastAsia="Arial Narrow" w:hAnsi="Arial Narrow" w:cs="Arial Narrow"/>
          <w:color w:val="000000"/>
          <w:sz w:val="22"/>
          <w:szCs w:val="22"/>
        </w:rPr>
      </w:pPr>
    </w:p>
    <w:p w14:paraId="1BB803DD" w14:textId="77777777" w:rsidR="008A6B9D" w:rsidRDefault="008A16FD">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Por otra parte, la Ley precitada también define las circunstancias bajo las cuales se entiende que no hay conflicto de interés para los congresistas, en ese sentido se dispuso:</w:t>
      </w:r>
    </w:p>
    <w:p w14:paraId="7D78F08D" w14:textId="77777777" w:rsidR="008A6B9D" w:rsidRDefault="008A6B9D">
      <w:pPr>
        <w:widowControl w:val="0"/>
        <w:pBdr>
          <w:top w:val="nil"/>
          <w:left w:val="nil"/>
          <w:bottom w:val="nil"/>
          <w:right w:val="nil"/>
          <w:between w:val="nil"/>
        </w:pBdr>
        <w:jc w:val="both"/>
        <w:rPr>
          <w:rFonts w:ascii="Arial Narrow" w:eastAsia="Arial Narrow" w:hAnsi="Arial Narrow" w:cs="Arial Narrow"/>
          <w:color w:val="000000"/>
          <w:sz w:val="22"/>
          <w:szCs w:val="22"/>
        </w:rPr>
      </w:pPr>
    </w:p>
    <w:p w14:paraId="23B14510"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“Para todos los efectos se entiende que no hay conflicto de interés en las si</w:t>
      </w:r>
      <w:r>
        <w:rPr>
          <w:rFonts w:ascii="Arial Narrow" w:eastAsia="Arial Narrow" w:hAnsi="Arial Narrow" w:cs="Arial Narrow"/>
          <w:i/>
          <w:color w:val="000000"/>
          <w:sz w:val="22"/>
          <w:szCs w:val="22"/>
        </w:rPr>
        <w:t>guientes circunstancias:</w:t>
      </w:r>
    </w:p>
    <w:p w14:paraId="62B349C2"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p>
    <w:p w14:paraId="1321743E" w14:textId="77777777" w:rsidR="008A6B9D" w:rsidRDefault="008A16FD">
      <w:pPr>
        <w:widowControl w:val="0"/>
        <w:numPr>
          <w:ilvl w:val="0"/>
          <w:numId w:val="5"/>
        </w:numPr>
        <w:pBdr>
          <w:top w:val="nil"/>
          <w:left w:val="nil"/>
          <w:bottom w:val="nil"/>
          <w:right w:val="nil"/>
          <w:between w:val="nil"/>
        </w:pBdr>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Cuando el congresista participe, discuta, vote un proyecto de ley o de acto legislativo que otorgue beneficios o cargos de carácter general, es decir cuando el interés del congresista coincide o se fusione con los intereses de los electores.</w:t>
      </w:r>
    </w:p>
    <w:p w14:paraId="05751D0F" w14:textId="77777777" w:rsidR="008A6B9D" w:rsidRDefault="008A6B9D">
      <w:pPr>
        <w:widowControl w:val="0"/>
        <w:pBdr>
          <w:top w:val="nil"/>
          <w:left w:val="nil"/>
          <w:bottom w:val="nil"/>
          <w:right w:val="nil"/>
          <w:between w:val="nil"/>
        </w:pBdr>
        <w:ind w:left="1068"/>
        <w:jc w:val="both"/>
        <w:rPr>
          <w:rFonts w:ascii="Arial Narrow" w:eastAsia="Arial Narrow" w:hAnsi="Arial Narrow" w:cs="Arial Narrow"/>
          <w:i/>
          <w:color w:val="000000"/>
          <w:sz w:val="22"/>
          <w:szCs w:val="22"/>
        </w:rPr>
      </w:pPr>
    </w:p>
    <w:p w14:paraId="78E87434" w14:textId="77777777" w:rsidR="008A6B9D" w:rsidRDefault="008A16FD">
      <w:pPr>
        <w:widowControl w:val="0"/>
        <w:numPr>
          <w:ilvl w:val="0"/>
          <w:numId w:val="5"/>
        </w:numPr>
        <w:pBdr>
          <w:top w:val="nil"/>
          <w:left w:val="nil"/>
          <w:bottom w:val="nil"/>
          <w:right w:val="nil"/>
          <w:between w:val="nil"/>
        </w:pBdr>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Cuando el beneficio podría o no configurarse para el congresista en el futuro.</w:t>
      </w:r>
    </w:p>
    <w:p w14:paraId="08BEF218" w14:textId="77777777" w:rsidR="008A6B9D" w:rsidRDefault="008A6B9D">
      <w:pPr>
        <w:pBdr>
          <w:top w:val="nil"/>
          <w:left w:val="nil"/>
          <w:bottom w:val="nil"/>
          <w:right w:val="nil"/>
          <w:between w:val="nil"/>
        </w:pBdr>
        <w:ind w:left="720"/>
        <w:rPr>
          <w:rFonts w:ascii="Arial Narrow" w:eastAsia="Arial Narrow" w:hAnsi="Arial Narrow" w:cs="Arial Narrow"/>
          <w:i/>
          <w:color w:val="000000"/>
          <w:sz w:val="22"/>
          <w:szCs w:val="22"/>
        </w:rPr>
      </w:pPr>
    </w:p>
    <w:p w14:paraId="205A384B" w14:textId="77777777" w:rsidR="008A6B9D" w:rsidRDefault="008A16FD">
      <w:pPr>
        <w:widowControl w:val="0"/>
        <w:numPr>
          <w:ilvl w:val="0"/>
          <w:numId w:val="5"/>
        </w:numPr>
        <w:pBdr>
          <w:top w:val="nil"/>
          <w:left w:val="nil"/>
          <w:bottom w:val="nil"/>
          <w:right w:val="nil"/>
          <w:between w:val="nil"/>
        </w:pBdr>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Cuando el congresista participe, discuta o vote artículos de proyectos de ley o acto legislativo de carácter particular, que establezcan sanciones o disminuyan beneficios, en e</w:t>
      </w:r>
      <w:r>
        <w:rPr>
          <w:rFonts w:ascii="Arial Narrow" w:eastAsia="Arial Narrow" w:hAnsi="Arial Narrow" w:cs="Arial Narrow"/>
          <w:i/>
          <w:color w:val="000000"/>
          <w:sz w:val="22"/>
          <w:szCs w:val="22"/>
        </w:rPr>
        <w:t>l cual, el congresista tiene un interés particular, actual y directo. El voto negativo no constituirá conflicto de interés cuando mantiene la normatividad vigente.</w:t>
      </w:r>
    </w:p>
    <w:p w14:paraId="402E6A37" w14:textId="77777777" w:rsidR="008A6B9D" w:rsidRDefault="008A6B9D">
      <w:pPr>
        <w:pBdr>
          <w:top w:val="nil"/>
          <w:left w:val="nil"/>
          <w:bottom w:val="nil"/>
          <w:right w:val="nil"/>
          <w:between w:val="nil"/>
        </w:pBdr>
        <w:ind w:left="720"/>
        <w:rPr>
          <w:rFonts w:ascii="Arial Narrow" w:eastAsia="Arial Narrow" w:hAnsi="Arial Narrow" w:cs="Arial Narrow"/>
          <w:i/>
          <w:color w:val="000000"/>
          <w:sz w:val="22"/>
          <w:szCs w:val="22"/>
        </w:rPr>
      </w:pPr>
    </w:p>
    <w:p w14:paraId="4FAD9912" w14:textId="77777777" w:rsidR="008A6B9D" w:rsidRDefault="008A16FD">
      <w:pPr>
        <w:widowControl w:val="0"/>
        <w:numPr>
          <w:ilvl w:val="0"/>
          <w:numId w:val="5"/>
        </w:numPr>
        <w:pBdr>
          <w:top w:val="nil"/>
          <w:left w:val="nil"/>
          <w:bottom w:val="nil"/>
          <w:right w:val="nil"/>
          <w:between w:val="nil"/>
        </w:pBdr>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Cuando el congresista participe, discuta o vote artículos de proyectos de ley o acto legisl</w:t>
      </w:r>
      <w:r>
        <w:rPr>
          <w:rFonts w:ascii="Arial Narrow" w:eastAsia="Arial Narrow" w:hAnsi="Arial Narrow" w:cs="Arial Narrow"/>
          <w:i/>
          <w:color w:val="000000"/>
          <w:sz w:val="22"/>
          <w:szCs w:val="22"/>
        </w:rPr>
        <w:t>ativo de carácter particular, que regula un sector económico en el cual el congresista tiene un interés particular, actual y directo, siempre y cuando no genere beneficio particular, directo y actual.</w:t>
      </w:r>
    </w:p>
    <w:p w14:paraId="51D62041" w14:textId="77777777" w:rsidR="008A6B9D" w:rsidRDefault="008A6B9D">
      <w:pPr>
        <w:pBdr>
          <w:top w:val="nil"/>
          <w:left w:val="nil"/>
          <w:bottom w:val="nil"/>
          <w:right w:val="nil"/>
          <w:between w:val="nil"/>
        </w:pBdr>
        <w:ind w:left="720"/>
        <w:rPr>
          <w:rFonts w:ascii="Arial Narrow" w:eastAsia="Arial Narrow" w:hAnsi="Arial Narrow" w:cs="Arial Narrow"/>
          <w:i/>
          <w:color w:val="000000"/>
          <w:sz w:val="22"/>
          <w:szCs w:val="22"/>
        </w:rPr>
      </w:pPr>
    </w:p>
    <w:p w14:paraId="1EA039DA" w14:textId="77777777" w:rsidR="008A6B9D" w:rsidRDefault="008A16FD">
      <w:pPr>
        <w:widowControl w:val="0"/>
        <w:numPr>
          <w:ilvl w:val="0"/>
          <w:numId w:val="5"/>
        </w:numPr>
        <w:pBdr>
          <w:top w:val="nil"/>
          <w:left w:val="nil"/>
          <w:bottom w:val="nil"/>
          <w:right w:val="nil"/>
          <w:between w:val="nil"/>
        </w:pBdr>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Cuando el congresista participa en la elección de otro</w:t>
      </w:r>
      <w:r>
        <w:rPr>
          <w:rFonts w:ascii="Arial Narrow" w:eastAsia="Arial Narrow" w:hAnsi="Arial Narrow" w:cs="Arial Narrow"/>
          <w:i/>
          <w:color w:val="000000"/>
          <w:sz w:val="22"/>
          <w:szCs w:val="22"/>
        </w:rPr>
        <w:t>s servidores públicos mediante el voto secreto. Se exceptúan los casos en que se presenten inhabilidades referidas al parentesco con los candidatos.</w:t>
      </w:r>
    </w:p>
    <w:p w14:paraId="03D82AAE" w14:textId="77777777" w:rsidR="008A6B9D" w:rsidRDefault="008A6B9D">
      <w:pPr>
        <w:pBdr>
          <w:top w:val="nil"/>
          <w:left w:val="nil"/>
          <w:bottom w:val="nil"/>
          <w:right w:val="nil"/>
          <w:between w:val="nil"/>
        </w:pBdr>
        <w:ind w:left="720"/>
        <w:rPr>
          <w:rFonts w:ascii="Arial Narrow" w:eastAsia="Arial Narrow" w:hAnsi="Arial Narrow" w:cs="Arial Narrow"/>
          <w:i/>
          <w:color w:val="000000"/>
          <w:sz w:val="22"/>
          <w:szCs w:val="22"/>
        </w:rPr>
      </w:pPr>
    </w:p>
    <w:p w14:paraId="16E9F775"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PARÁGRAFO 1o. Entiéndase por conflicto de interés moral aquel que presentan los congresistas cuando por razones de conciencia se quieran apartar de la discusión y votación del proyecto.</w:t>
      </w:r>
    </w:p>
    <w:p w14:paraId="28C6F75B"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p>
    <w:p w14:paraId="740C2C35"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PARÁGRAFO 2o. Cuando se trate de funciones judiciales, disciplinarias</w:t>
      </w:r>
      <w:r>
        <w:rPr>
          <w:rFonts w:ascii="Arial Narrow" w:eastAsia="Arial Narrow" w:hAnsi="Arial Narrow" w:cs="Arial Narrow"/>
          <w:i/>
          <w:color w:val="000000"/>
          <w:sz w:val="22"/>
          <w:szCs w:val="22"/>
        </w:rPr>
        <w:t xml:space="preserve"> o fiscales de los congresistas, sobre conflicto de interés se aplicará la norma especial que rige ese tipo de investigación.</w:t>
      </w:r>
    </w:p>
    <w:p w14:paraId="1208D868"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p>
    <w:p w14:paraId="7862B7AA"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PARÁGRAFO 3o. Igualmente se aplicará el régimen de conflicto de intereses para todos y cada uno de los actores que presenten, dis</w:t>
      </w:r>
      <w:r>
        <w:rPr>
          <w:rFonts w:ascii="Arial Narrow" w:eastAsia="Arial Narrow" w:hAnsi="Arial Narrow" w:cs="Arial Narrow"/>
          <w:i/>
          <w:color w:val="000000"/>
          <w:sz w:val="22"/>
          <w:szCs w:val="22"/>
        </w:rPr>
        <w:t xml:space="preserve">cutan o participen de cualquier iniciativa legislativa, conforme al artículo </w:t>
      </w:r>
      <w:hyperlink r:id="rId15" w:anchor="140">
        <w:r>
          <w:rPr>
            <w:rFonts w:ascii="Arial Narrow" w:eastAsia="Arial Narrow" w:hAnsi="Arial Narrow" w:cs="Arial Narrow"/>
            <w:i/>
            <w:color w:val="000000"/>
            <w:sz w:val="22"/>
            <w:szCs w:val="22"/>
          </w:rPr>
          <w:t>140</w:t>
        </w:r>
      </w:hyperlink>
      <w:r>
        <w:rPr>
          <w:rFonts w:ascii="Arial Narrow" w:eastAsia="Arial Narrow" w:hAnsi="Arial Narrow" w:cs="Arial Narrow"/>
          <w:i/>
          <w:color w:val="000000"/>
          <w:sz w:val="22"/>
          <w:szCs w:val="22"/>
        </w:rPr>
        <w:t xml:space="preserve"> de la Ley 5 de 1992.”.</w:t>
      </w:r>
    </w:p>
    <w:p w14:paraId="7E2CE333"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p>
    <w:p w14:paraId="1B1511D7" w14:textId="77777777" w:rsidR="008A6B9D" w:rsidRDefault="008A16FD">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Sobre el conflicto de interés el Consejo de Esta</w:t>
      </w:r>
      <w:r>
        <w:rPr>
          <w:rFonts w:ascii="Arial Narrow" w:eastAsia="Arial Narrow" w:hAnsi="Arial Narrow" w:cs="Arial Narrow"/>
          <w:color w:val="000000"/>
          <w:sz w:val="22"/>
          <w:szCs w:val="22"/>
        </w:rPr>
        <w:t>do en se ha pronunciado en Sentencia del año 2022</w:t>
      </w:r>
      <w:r>
        <w:rPr>
          <w:rFonts w:ascii="Arial Narrow" w:eastAsia="Arial Narrow" w:hAnsi="Arial Narrow" w:cs="Arial Narrow"/>
          <w:color w:val="000000"/>
          <w:sz w:val="22"/>
          <w:szCs w:val="22"/>
          <w:vertAlign w:val="superscript"/>
        </w:rPr>
        <w:footnoteReference w:id="17"/>
      </w:r>
      <w:r>
        <w:rPr>
          <w:rFonts w:ascii="Arial Narrow" w:eastAsia="Arial Narrow" w:hAnsi="Arial Narrow" w:cs="Arial Narrow"/>
          <w:color w:val="000000"/>
          <w:sz w:val="22"/>
          <w:szCs w:val="22"/>
        </w:rPr>
        <w:t>, estableciendo que:</w:t>
      </w:r>
    </w:p>
    <w:p w14:paraId="125A37C1" w14:textId="77777777" w:rsidR="008A6B9D" w:rsidRDefault="008A6B9D">
      <w:pPr>
        <w:widowControl w:val="0"/>
        <w:pBdr>
          <w:top w:val="nil"/>
          <w:left w:val="nil"/>
          <w:bottom w:val="nil"/>
          <w:right w:val="nil"/>
          <w:between w:val="nil"/>
        </w:pBdr>
        <w:jc w:val="both"/>
        <w:rPr>
          <w:rFonts w:ascii="Arial Narrow" w:eastAsia="Arial Narrow" w:hAnsi="Arial Narrow" w:cs="Arial Narrow"/>
          <w:color w:val="000000"/>
          <w:sz w:val="22"/>
          <w:szCs w:val="22"/>
        </w:rPr>
      </w:pPr>
    </w:p>
    <w:p w14:paraId="2A19A801"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“Siempre que se produzca un resultado provechoso por el simple ejercicio de una función oficial, que convenga al agente o a otra persona allegada, en el orden moral o material, surgir</w:t>
      </w:r>
      <w:r>
        <w:rPr>
          <w:rFonts w:ascii="Arial Narrow" w:eastAsia="Arial Narrow" w:hAnsi="Arial Narrow" w:cs="Arial Narrow"/>
          <w:i/>
          <w:color w:val="000000"/>
          <w:sz w:val="22"/>
          <w:szCs w:val="22"/>
        </w:rPr>
        <w:t xml:space="preserve">á un conflicto de intereses. Si la ley protege el interés, será lícito; pero si se persigue con fines personales, particulares, que sobrepasen el interés social, será ilícito”   </w:t>
      </w:r>
    </w:p>
    <w:p w14:paraId="354EED61"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p>
    <w:p w14:paraId="2FF572DD" w14:textId="77777777" w:rsidR="008A6B9D" w:rsidRDefault="008A16FD">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También el Consejo de Estado el año 2010</w:t>
      </w:r>
      <w:r>
        <w:rPr>
          <w:rFonts w:ascii="Arial Narrow" w:eastAsia="Arial Narrow" w:hAnsi="Arial Narrow" w:cs="Arial Narrow"/>
          <w:color w:val="000000"/>
          <w:sz w:val="22"/>
          <w:szCs w:val="22"/>
          <w:vertAlign w:val="superscript"/>
        </w:rPr>
        <w:footnoteReference w:id="18"/>
      </w:r>
      <w:r>
        <w:rPr>
          <w:rFonts w:ascii="Arial Narrow" w:eastAsia="Arial Narrow" w:hAnsi="Arial Narrow" w:cs="Arial Narrow"/>
          <w:color w:val="000000"/>
          <w:sz w:val="22"/>
          <w:szCs w:val="22"/>
        </w:rPr>
        <w:t xml:space="preserve"> sobre el conflicto de interés se </w:t>
      </w:r>
      <w:r>
        <w:rPr>
          <w:rFonts w:ascii="Arial Narrow" w:eastAsia="Arial Narrow" w:hAnsi="Arial Narrow" w:cs="Arial Narrow"/>
          <w:color w:val="000000"/>
          <w:sz w:val="22"/>
          <w:szCs w:val="22"/>
        </w:rPr>
        <w:t>conceptuó:</w:t>
      </w:r>
    </w:p>
    <w:p w14:paraId="76444CD7" w14:textId="77777777" w:rsidR="008A6B9D" w:rsidRDefault="008A6B9D">
      <w:pPr>
        <w:widowControl w:val="0"/>
        <w:pBdr>
          <w:top w:val="nil"/>
          <w:left w:val="nil"/>
          <w:bottom w:val="nil"/>
          <w:right w:val="nil"/>
          <w:between w:val="nil"/>
        </w:pBdr>
        <w:jc w:val="both"/>
        <w:rPr>
          <w:rFonts w:ascii="Arial Narrow" w:eastAsia="Arial Narrow" w:hAnsi="Arial Narrow" w:cs="Arial Narrow"/>
          <w:color w:val="000000"/>
          <w:sz w:val="22"/>
          <w:szCs w:val="22"/>
        </w:rPr>
      </w:pPr>
    </w:p>
    <w:p w14:paraId="3544DC07"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 xml:space="preserve">“La institución del conflicto de intereses apunta a trazar un límite entre el ejercicio legítimo de la función legislativa y el aprovechamiento de esta función por parte del congresista para obtener beneficios personales o en favor de aquellas </w:t>
      </w:r>
      <w:r>
        <w:rPr>
          <w:rFonts w:ascii="Arial Narrow" w:eastAsia="Arial Narrow" w:hAnsi="Arial Narrow" w:cs="Arial Narrow"/>
          <w:i/>
          <w:color w:val="000000"/>
          <w:sz w:val="22"/>
          <w:szCs w:val="22"/>
        </w:rPr>
        <w:t xml:space="preserve">personas allegadas que determina la ley. Así las cosas, no se presenta conflicto entre el interés personal del congresista y el interés general cuando la ley tiene por destinataria a la generalidad de la sociedad, en abstracto, hipótesis en la cual quedan </w:t>
      </w:r>
      <w:r>
        <w:rPr>
          <w:rFonts w:ascii="Arial Narrow" w:eastAsia="Arial Narrow" w:hAnsi="Arial Narrow" w:cs="Arial Narrow"/>
          <w:i/>
          <w:color w:val="000000"/>
          <w:sz w:val="22"/>
          <w:szCs w:val="22"/>
        </w:rPr>
        <w:t xml:space="preserve">incluidos los amplios sectores sociales que son objeto de determinadas leyes, como por ejemplo las minorías étnicas o culturales, las profesiones, los contribuyentes o, como el caso que nos ocupa, las víctimas de la violencia en Colombia. </w:t>
      </w:r>
    </w:p>
    <w:p w14:paraId="2DB9BF34"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p>
    <w:p w14:paraId="49E8EC61" w14:textId="77777777" w:rsidR="008A6B9D" w:rsidRDefault="008A16FD">
      <w:pPr>
        <w:widowControl w:val="0"/>
        <w:pBdr>
          <w:top w:val="nil"/>
          <w:left w:val="nil"/>
          <w:bottom w:val="nil"/>
          <w:right w:val="nil"/>
          <w:between w:val="nil"/>
        </w:pBdr>
        <w:ind w:left="708"/>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No sería razona</w:t>
      </w:r>
      <w:r>
        <w:rPr>
          <w:rFonts w:ascii="Arial Narrow" w:eastAsia="Arial Narrow" w:hAnsi="Arial Narrow" w:cs="Arial Narrow"/>
          <w:i/>
          <w:color w:val="000000"/>
          <w:sz w:val="22"/>
          <w:szCs w:val="22"/>
        </w:rPr>
        <w:t>ble, por consiguiente, afirmar que por el hecho de ser abogado un congresista estaría impedido para participar en la aprobación de una ley que expida el estatuto de esa profesión; que por ser indígena estaría impedido para participar en el trámite de la le</w:t>
      </w:r>
      <w:r>
        <w:rPr>
          <w:rFonts w:ascii="Arial Narrow" w:eastAsia="Arial Narrow" w:hAnsi="Arial Narrow" w:cs="Arial Narrow"/>
          <w:i/>
          <w:color w:val="000000"/>
          <w:sz w:val="22"/>
          <w:szCs w:val="22"/>
        </w:rPr>
        <w:t xml:space="preserve">y orgánica que reglamente las entidades territoriales indígenas; que por ser propietario estaría impedido para intervenir en la discusión de una ley sobre impuesto predial; o que por encajar en la definición legal de víctima del conflicto estaría impedido </w:t>
      </w:r>
      <w:r>
        <w:rPr>
          <w:rFonts w:ascii="Arial Narrow" w:eastAsia="Arial Narrow" w:hAnsi="Arial Narrow" w:cs="Arial Narrow"/>
          <w:i/>
          <w:color w:val="000000"/>
          <w:sz w:val="22"/>
          <w:szCs w:val="22"/>
        </w:rPr>
        <w:t>para intervenir en los debates a un proyecto de ley que establece de manera general las reglas de resarcimiento a las víctimas de la violencia en Colombia. En todos estos casos, ciertamente, podría el congresista derivar de la ley en cuya discusión intervi</w:t>
      </w:r>
      <w:r>
        <w:rPr>
          <w:rFonts w:ascii="Arial Narrow" w:eastAsia="Arial Narrow" w:hAnsi="Arial Narrow" w:cs="Arial Narrow"/>
          <w:i/>
          <w:color w:val="000000"/>
          <w:sz w:val="22"/>
          <w:szCs w:val="22"/>
        </w:rPr>
        <w:t>ene un beneficio personal, pero no por la circunstancia de ser miembro del Congreso ni porque la ley se dirija a un grupo de personas tan restringido y exclusivo (y por tanto excluyente) que convierta al congresista en un destinatario predilecto. En los an</w:t>
      </w:r>
      <w:r>
        <w:rPr>
          <w:rFonts w:ascii="Arial Narrow" w:eastAsia="Arial Narrow" w:hAnsi="Arial Narrow" w:cs="Arial Narrow"/>
          <w:i/>
          <w:color w:val="000000"/>
          <w:sz w:val="22"/>
          <w:szCs w:val="22"/>
        </w:rPr>
        <w:t>teriores ejemplos las leyes no se dirigen a todos los colombianos sino a grupos muy significativos: los abogados, los indígenas, los propietarios de inmuebles, las víctimas del conflicto. No todos los congresistas forman parte necesariamente de estos grupo</w:t>
      </w:r>
      <w:r>
        <w:rPr>
          <w:rFonts w:ascii="Arial Narrow" w:eastAsia="Arial Narrow" w:hAnsi="Arial Narrow" w:cs="Arial Narrow"/>
          <w:i/>
          <w:color w:val="000000"/>
          <w:sz w:val="22"/>
          <w:szCs w:val="22"/>
        </w:rPr>
        <w:t xml:space="preserve">s, pero por la amplitud social de dichos sectores en la nación y la generalidad de las prescripciones de la ley a ellos dirigida, normalmente algunos de los congresistas podrían quedar incluidos. Pues bien, en estos casos no cabe la figura de conflicto de </w:t>
      </w:r>
      <w:r>
        <w:rPr>
          <w:rFonts w:ascii="Arial Narrow" w:eastAsia="Arial Narrow" w:hAnsi="Arial Narrow" w:cs="Arial Narrow"/>
          <w:i/>
          <w:color w:val="000000"/>
          <w:sz w:val="22"/>
          <w:szCs w:val="22"/>
        </w:rPr>
        <w:t>intereses, pues a pesar de que un congresista podría convertirse en destinatario de alguna de las disposiciones legales, tal hecho no obedece a que la ley busque favorecerlo directa, exclusiva y especialmente.”.</w:t>
      </w:r>
    </w:p>
    <w:p w14:paraId="07C131D0" w14:textId="77777777" w:rsidR="008A6B9D" w:rsidRDefault="008A6B9D">
      <w:pPr>
        <w:widowControl w:val="0"/>
        <w:pBdr>
          <w:top w:val="nil"/>
          <w:left w:val="nil"/>
          <w:bottom w:val="nil"/>
          <w:right w:val="nil"/>
          <w:between w:val="nil"/>
        </w:pBdr>
        <w:ind w:left="708"/>
        <w:jc w:val="both"/>
        <w:rPr>
          <w:rFonts w:ascii="Arial Narrow" w:eastAsia="Arial Narrow" w:hAnsi="Arial Narrow" w:cs="Arial Narrow"/>
          <w:color w:val="000000"/>
          <w:sz w:val="22"/>
          <w:szCs w:val="22"/>
        </w:rPr>
      </w:pPr>
    </w:p>
    <w:p w14:paraId="19A0B39C" w14:textId="77777777" w:rsidR="008A6B9D" w:rsidRDefault="008A16FD">
      <w:pPr>
        <w:widowControl w:val="0"/>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consecuencia, se considera que la Ley y la jurisprudencia han dado los criterios orientadores que determinan circunstancias en las cuales se podría estar incurso en un conflicto de interés. Para lo cual será necesario que respecto del asunto objeto de c</w:t>
      </w:r>
      <w:r>
        <w:rPr>
          <w:rFonts w:ascii="Arial Narrow" w:eastAsia="Arial Narrow" w:hAnsi="Arial Narrow" w:cs="Arial Narrow"/>
          <w:color w:val="000000"/>
          <w:sz w:val="22"/>
          <w:szCs w:val="22"/>
        </w:rPr>
        <w:t>onocimiento de parte del congresista (discusión o votación) se reporte un beneficio en el que concurran tres características simultáneas, a saber, ser actual, particular y directo. Define la Ley también las circunstancias bajo las cuales se considera que n</w:t>
      </w:r>
      <w:r>
        <w:rPr>
          <w:rFonts w:ascii="Arial Narrow" w:eastAsia="Arial Narrow" w:hAnsi="Arial Narrow" w:cs="Arial Narrow"/>
          <w:color w:val="000000"/>
          <w:sz w:val="22"/>
          <w:szCs w:val="22"/>
        </w:rPr>
        <w:t xml:space="preserve">o existe un conflicto de interés, en esa medida, se señala que aun cuando el congresista pueda reportar un beneficio, pero este se funde en el interés general, en el interés de sus electores, se dará lugar a que no exista tal conflicto.  </w:t>
      </w:r>
    </w:p>
    <w:p w14:paraId="4517203E" w14:textId="77777777" w:rsidR="008A6B9D" w:rsidRDefault="008A16FD">
      <w:pPr>
        <w:pBdr>
          <w:top w:val="nil"/>
          <w:left w:val="nil"/>
          <w:bottom w:val="nil"/>
          <w:right w:val="nil"/>
          <w:between w:val="nil"/>
        </w:pBdr>
        <w:ind w:firstLine="283"/>
        <w:jc w:val="both"/>
        <w:rPr>
          <w:rFonts w:ascii="Arial Narrow" w:eastAsia="Arial Narrow" w:hAnsi="Arial Narrow" w:cs="Arial Narrow"/>
          <w:sz w:val="22"/>
          <w:szCs w:val="22"/>
        </w:rPr>
      </w:pPr>
      <w:r>
        <w:rPr>
          <w:noProof/>
        </w:rPr>
        <w:drawing>
          <wp:anchor distT="114300" distB="114300" distL="114300" distR="114300" simplePos="0" relativeHeight="251664384" behindDoc="0" locked="0" layoutInCell="1" hidden="0" allowOverlap="1" wp14:anchorId="180D1D44" wp14:editId="4A2883F5">
            <wp:simplePos x="0" y="0"/>
            <wp:positionH relativeFrom="column">
              <wp:posOffset>2095500</wp:posOffset>
            </wp:positionH>
            <wp:positionV relativeFrom="paragraph">
              <wp:posOffset>155426</wp:posOffset>
            </wp:positionV>
            <wp:extent cx="2019658" cy="952669"/>
            <wp:effectExtent l="0" t="0" r="0" b="0"/>
            <wp:wrapNone/>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019658" cy="952669"/>
                    </a:xfrm>
                    <a:prstGeom prst="rect">
                      <a:avLst/>
                    </a:prstGeom>
                    <a:ln/>
                  </pic:spPr>
                </pic:pic>
              </a:graphicData>
            </a:graphic>
          </wp:anchor>
        </w:drawing>
      </w:r>
    </w:p>
    <w:p w14:paraId="233CC9AF" w14:textId="77777777" w:rsidR="008A6B9D" w:rsidRDefault="008A6B9D">
      <w:pPr>
        <w:pBdr>
          <w:top w:val="nil"/>
          <w:left w:val="nil"/>
          <w:bottom w:val="nil"/>
          <w:right w:val="nil"/>
          <w:between w:val="nil"/>
        </w:pBdr>
        <w:ind w:firstLine="283"/>
        <w:jc w:val="both"/>
        <w:rPr>
          <w:rFonts w:ascii="Arial Narrow" w:eastAsia="Arial Narrow" w:hAnsi="Arial Narrow" w:cs="Arial Narrow"/>
          <w:sz w:val="22"/>
          <w:szCs w:val="22"/>
        </w:rPr>
      </w:pPr>
    </w:p>
    <w:p w14:paraId="6E120C46" w14:textId="77777777" w:rsidR="008A6B9D" w:rsidRDefault="008A6B9D">
      <w:pPr>
        <w:jc w:val="both"/>
        <w:rPr>
          <w:rFonts w:ascii="Arial Narrow" w:eastAsia="Arial Narrow" w:hAnsi="Arial Narrow" w:cs="Arial Narrow"/>
          <w:b/>
          <w:sz w:val="22"/>
          <w:szCs w:val="22"/>
        </w:rPr>
      </w:pPr>
    </w:p>
    <w:p w14:paraId="456DC121" w14:textId="77777777" w:rsidR="008A6B9D" w:rsidRDefault="008A6B9D">
      <w:pPr>
        <w:jc w:val="both"/>
        <w:rPr>
          <w:rFonts w:ascii="Arial Narrow" w:eastAsia="Arial Narrow" w:hAnsi="Arial Narrow" w:cs="Arial Narrow"/>
          <w:b/>
          <w:sz w:val="22"/>
          <w:szCs w:val="22"/>
        </w:rPr>
      </w:pPr>
    </w:p>
    <w:p w14:paraId="1E96F7D1" w14:textId="77777777" w:rsidR="008A6B9D" w:rsidRDefault="008A6B9D">
      <w:pPr>
        <w:jc w:val="both"/>
        <w:rPr>
          <w:rFonts w:ascii="Arial Narrow" w:eastAsia="Arial Narrow" w:hAnsi="Arial Narrow" w:cs="Arial Narrow"/>
          <w:b/>
          <w:sz w:val="22"/>
          <w:szCs w:val="22"/>
        </w:rPr>
      </w:pPr>
    </w:p>
    <w:p w14:paraId="20ADC4D3" w14:textId="77777777" w:rsidR="008A6B9D" w:rsidRDefault="008A6B9D">
      <w:pPr>
        <w:jc w:val="both"/>
        <w:rPr>
          <w:rFonts w:ascii="Arial Narrow" w:eastAsia="Arial Narrow" w:hAnsi="Arial Narrow" w:cs="Arial Narrow"/>
          <w:b/>
          <w:sz w:val="22"/>
          <w:szCs w:val="22"/>
        </w:rPr>
      </w:pPr>
    </w:p>
    <w:p w14:paraId="45649976" w14:textId="77777777" w:rsidR="008A6B9D" w:rsidRDefault="008A6B9D">
      <w:pPr>
        <w:jc w:val="both"/>
        <w:rPr>
          <w:rFonts w:ascii="Arial Narrow" w:eastAsia="Arial Narrow" w:hAnsi="Arial Narrow" w:cs="Arial Narrow"/>
          <w:b/>
          <w:sz w:val="22"/>
          <w:szCs w:val="22"/>
        </w:rPr>
      </w:pPr>
    </w:p>
    <w:p w14:paraId="3F60104B" w14:textId="77777777" w:rsidR="008A6B9D" w:rsidRDefault="008A6B9D">
      <w:pPr>
        <w:jc w:val="both"/>
        <w:rPr>
          <w:rFonts w:ascii="Arial Narrow" w:eastAsia="Arial Narrow" w:hAnsi="Arial Narrow" w:cs="Arial Narrow"/>
          <w:b/>
          <w:sz w:val="22"/>
          <w:szCs w:val="22"/>
        </w:rPr>
      </w:pPr>
    </w:p>
    <w:p w14:paraId="635DF193" w14:textId="77777777" w:rsidR="008A6B9D" w:rsidRDefault="008A16FD">
      <w:pPr>
        <w:jc w:val="center"/>
        <w:rPr>
          <w:rFonts w:ascii="Arial Narrow" w:eastAsia="Arial Narrow" w:hAnsi="Arial Narrow" w:cs="Arial Narrow"/>
          <w:b/>
          <w:sz w:val="22"/>
          <w:szCs w:val="22"/>
        </w:rPr>
      </w:pPr>
      <w:r>
        <w:rPr>
          <w:rFonts w:ascii="Arial Narrow" w:eastAsia="Arial Narrow" w:hAnsi="Arial Narrow" w:cs="Arial Narrow"/>
          <w:b/>
          <w:sz w:val="22"/>
          <w:szCs w:val="22"/>
        </w:rPr>
        <w:t>WILMER CASTELLANOS HERNÁNDEZ</w:t>
      </w:r>
    </w:p>
    <w:p w14:paraId="2609768F" w14:textId="77777777" w:rsidR="008A6B9D" w:rsidRDefault="008A16FD">
      <w:pPr>
        <w:jc w:val="center"/>
        <w:rPr>
          <w:rFonts w:ascii="Arial Narrow" w:eastAsia="Arial Narrow" w:hAnsi="Arial Narrow" w:cs="Arial Narrow"/>
          <w:sz w:val="22"/>
          <w:szCs w:val="22"/>
        </w:rPr>
      </w:pPr>
      <w:r>
        <w:rPr>
          <w:rFonts w:ascii="Arial Narrow" w:eastAsia="Arial Narrow" w:hAnsi="Arial Narrow" w:cs="Arial Narrow"/>
          <w:sz w:val="22"/>
          <w:szCs w:val="22"/>
        </w:rPr>
        <w:t>Representante de la Cámara por Boyacá</w:t>
      </w:r>
    </w:p>
    <w:p w14:paraId="541623D7" w14:textId="77777777" w:rsidR="008A6B9D" w:rsidRDefault="008A16FD">
      <w:pPr>
        <w:jc w:val="center"/>
        <w:rPr>
          <w:rFonts w:ascii="Arial Narrow" w:eastAsia="Arial Narrow" w:hAnsi="Arial Narrow" w:cs="Arial Narrow"/>
          <w:sz w:val="22"/>
          <w:szCs w:val="22"/>
        </w:rPr>
      </w:pPr>
      <w:r>
        <w:rPr>
          <w:rFonts w:ascii="Arial Narrow" w:eastAsia="Arial Narrow" w:hAnsi="Arial Narrow" w:cs="Arial Narrow"/>
          <w:sz w:val="22"/>
          <w:szCs w:val="22"/>
        </w:rPr>
        <w:t>Congreso de la República</w:t>
      </w:r>
    </w:p>
    <w:p w14:paraId="7069CB6A" w14:textId="77777777" w:rsidR="008A6B9D" w:rsidRDefault="008A16FD">
      <w:pPr>
        <w:jc w:val="center"/>
        <w:rPr>
          <w:rFonts w:ascii="Arial Narrow" w:eastAsia="Arial Narrow" w:hAnsi="Arial Narrow" w:cs="Arial Narrow"/>
          <w:sz w:val="22"/>
          <w:szCs w:val="22"/>
        </w:rPr>
      </w:pPr>
      <w:r>
        <w:rPr>
          <w:rFonts w:ascii="Arial Narrow" w:eastAsia="Arial Narrow" w:hAnsi="Arial Narrow" w:cs="Arial Narrow"/>
          <w:sz w:val="22"/>
          <w:szCs w:val="22"/>
        </w:rPr>
        <w:t>Partido Alianza Verde</w:t>
      </w:r>
    </w:p>
    <w:p w14:paraId="25AD9952" w14:textId="77777777" w:rsidR="008A6B9D" w:rsidRDefault="008A6B9D">
      <w:pPr>
        <w:jc w:val="center"/>
        <w:rPr>
          <w:rFonts w:ascii="Arial Narrow" w:eastAsia="Arial Narrow" w:hAnsi="Arial Narrow" w:cs="Arial Narrow"/>
          <w:sz w:val="22"/>
          <w:szCs w:val="22"/>
        </w:rPr>
      </w:pPr>
    </w:p>
    <w:p w14:paraId="0FDFA35A" w14:textId="77777777" w:rsidR="008A6B9D" w:rsidRDefault="008A6B9D">
      <w:pPr>
        <w:rPr>
          <w:rFonts w:ascii="Arial Narrow" w:eastAsia="Arial Narrow" w:hAnsi="Arial Narrow" w:cs="Arial Narrow"/>
          <w:sz w:val="22"/>
          <w:szCs w:val="22"/>
        </w:rPr>
      </w:pPr>
    </w:p>
    <w:tbl>
      <w:tblPr>
        <w:tblStyle w:val="af0"/>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8A6B9D" w14:paraId="73A69557" w14:textId="77777777">
        <w:trPr>
          <w:trHeight w:val="1467"/>
        </w:trPr>
        <w:tc>
          <w:tcPr>
            <w:tcW w:w="4680" w:type="dxa"/>
            <w:shd w:val="clear" w:color="auto" w:fill="auto"/>
            <w:tcMar>
              <w:top w:w="100" w:type="dxa"/>
              <w:left w:w="100" w:type="dxa"/>
              <w:bottom w:w="100" w:type="dxa"/>
              <w:right w:w="100" w:type="dxa"/>
            </w:tcMar>
          </w:tcPr>
          <w:p w14:paraId="118A6EE4" w14:textId="77777777" w:rsidR="008A6B9D" w:rsidRDefault="008A16FD">
            <w:pPr>
              <w:widowControl w:val="0"/>
              <w:rPr>
                <w:rFonts w:ascii="Arial Narrow" w:eastAsia="Arial Narrow" w:hAnsi="Arial Narrow" w:cs="Arial Narrow"/>
                <w:sz w:val="22"/>
                <w:szCs w:val="22"/>
              </w:rPr>
            </w:pPr>
            <w:r>
              <w:rPr>
                <w:noProof/>
              </w:rPr>
              <w:drawing>
                <wp:anchor distT="114300" distB="114300" distL="114300" distR="114300" simplePos="0" relativeHeight="251665408" behindDoc="1" locked="0" layoutInCell="1" hidden="0" allowOverlap="1" wp14:anchorId="0F5B2812" wp14:editId="371CFAC1">
                  <wp:simplePos x="0" y="0"/>
                  <wp:positionH relativeFrom="column">
                    <wp:posOffset>114300</wp:posOffset>
                  </wp:positionH>
                  <wp:positionV relativeFrom="paragraph">
                    <wp:posOffset>114300</wp:posOffset>
                  </wp:positionV>
                  <wp:extent cx="2952750" cy="812800"/>
                  <wp:effectExtent l="0" t="0" r="0" b="0"/>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52750" cy="812800"/>
                          </a:xfrm>
                          <a:prstGeom prst="rect">
                            <a:avLst/>
                          </a:prstGeom>
                          <a:ln/>
                        </pic:spPr>
                      </pic:pic>
                    </a:graphicData>
                  </a:graphic>
                </wp:anchor>
              </w:drawing>
            </w:r>
          </w:p>
          <w:p w14:paraId="06CCE757" w14:textId="77777777" w:rsidR="008A6B9D" w:rsidRDefault="008A16FD">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JAEL QUIROGA CARRILLO </w:t>
            </w:r>
          </w:p>
          <w:p w14:paraId="7DD3A528" w14:textId="77777777" w:rsidR="008A6B9D" w:rsidRDefault="008A16FD">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Senadora de la República </w:t>
            </w:r>
          </w:p>
          <w:p w14:paraId="3B73E458" w14:textId="77777777" w:rsidR="008A6B9D" w:rsidRDefault="008A16FD">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Pacto Histórico- UP. </w:t>
            </w:r>
          </w:p>
          <w:p w14:paraId="680BE4B3" w14:textId="77777777" w:rsidR="008A6B9D" w:rsidRDefault="008A6B9D">
            <w:pPr>
              <w:widowControl w:val="0"/>
              <w:jc w:val="center"/>
              <w:rPr>
                <w:rFonts w:ascii="Arial Narrow" w:eastAsia="Arial Narrow" w:hAnsi="Arial Narrow" w:cs="Arial Narrow"/>
                <w:b/>
                <w:sz w:val="22"/>
                <w:szCs w:val="22"/>
              </w:rPr>
            </w:pPr>
          </w:p>
        </w:tc>
        <w:tc>
          <w:tcPr>
            <w:tcW w:w="4680" w:type="dxa"/>
            <w:shd w:val="clear" w:color="auto" w:fill="auto"/>
            <w:tcMar>
              <w:top w:w="100" w:type="dxa"/>
              <w:left w:w="100" w:type="dxa"/>
              <w:bottom w:w="100" w:type="dxa"/>
              <w:right w:w="100" w:type="dxa"/>
            </w:tcMar>
          </w:tcPr>
          <w:p w14:paraId="2B5193FA" w14:textId="77777777" w:rsidR="008A6B9D" w:rsidRDefault="008A6B9D">
            <w:pPr>
              <w:widowControl w:val="0"/>
              <w:rPr>
                <w:rFonts w:ascii="Arial Narrow" w:eastAsia="Arial Narrow" w:hAnsi="Arial Narrow" w:cs="Arial Narrow"/>
                <w:sz w:val="22"/>
                <w:szCs w:val="22"/>
              </w:rPr>
            </w:pPr>
          </w:p>
        </w:tc>
      </w:tr>
      <w:tr w:rsidR="008A6B9D" w14:paraId="3DAE5D09" w14:textId="77777777">
        <w:trPr>
          <w:trHeight w:val="1437"/>
        </w:trPr>
        <w:tc>
          <w:tcPr>
            <w:tcW w:w="4680" w:type="dxa"/>
            <w:shd w:val="clear" w:color="auto" w:fill="auto"/>
            <w:tcMar>
              <w:top w:w="100" w:type="dxa"/>
              <w:left w:w="100" w:type="dxa"/>
              <w:bottom w:w="100" w:type="dxa"/>
              <w:right w:w="100" w:type="dxa"/>
            </w:tcMar>
          </w:tcPr>
          <w:p w14:paraId="58BC1B4C"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437013A4" w14:textId="77777777" w:rsidR="008A6B9D" w:rsidRDefault="008A6B9D">
            <w:pPr>
              <w:widowControl w:val="0"/>
              <w:rPr>
                <w:rFonts w:ascii="Arial Narrow" w:eastAsia="Arial Narrow" w:hAnsi="Arial Narrow" w:cs="Arial Narrow"/>
                <w:sz w:val="22"/>
                <w:szCs w:val="22"/>
              </w:rPr>
            </w:pPr>
          </w:p>
        </w:tc>
      </w:tr>
      <w:tr w:rsidR="008A6B9D" w14:paraId="50018102" w14:textId="77777777">
        <w:trPr>
          <w:trHeight w:val="1422"/>
        </w:trPr>
        <w:tc>
          <w:tcPr>
            <w:tcW w:w="4680" w:type="dxa"/>
            <w:shd w:val="clear" w:color="auto" w:fill="auto"/>
            <w:tcMar>
              <w:top w:w="100" w:type="dxa"/>
              <w:left w:w="100" w:type="dxa"/>
              <w:bottom w:w="100" w:type="dxa"/>
              <w:right w:w="100" w:type="dxa"/>
            </w:tcMar>
          </w:tcPr>
          <w:p w14:paraId="6533EFAB"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147E6551" w14:textId="77777777" w:rsidR="008A6B9D" w:rsidRDefault="008A6B9D">
            <w:pPr>
              <w:widowControl w:val="0"/>
              <w:rPr>
                <w:rFonts w:ascii="Arial Narrow" w:eastAsia="Arial Narrow" w:hAnsi="Arial Narrow" w:cs="Arial Narrow"/>
                <w:sz w:val="22"/>
                <w:szCs w:val="22"/>
              </w:rPr>
            </w:pPr>
          </w:p>
        </w:tc>
      </w:tr>
      <w:tr w:rsidR="008A6B9D" w14:paraId="40598875" w14:textId="77777777">
        <w:trPr>
          <w:trHeight w:val="1557"/>
        </w:trPr>
        <w:tc>
          <w:tcPr>
            <w:tcW w:w="4680" w:type="dxa"/>
            <w:shd w:val="clear" w:color="auto" w:fill="auto"/>
            <w:tcMar>
              <w:top w:w="100" w:type="dxa"/>
              <w:left w:w="100" w:type="dxa"/>
              <w:bottom w:w="100" w:type="dxa"/>
              <w:right w:w="100" w:type="dxa"/>
            </w:tcMar>
          </w:tcPr>
          <w:p w14:paraId="64BF067C"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0F68BE4F" w14:textId="77777777" w:rsidR="008A6B9D" w:rsidRDefault="008A6B9D">
            <w:pPr>
              <w:widowControl w:val="0"/>
              <w:rPr>
                <w:rFonts w:ascii="Arial Narrow" w:eastAsia="Arial Narrow" w:hAnsi="Arial Narrow" w:cs="Arial Narrow"/>
                <w:sz w:val="22"/>
                <w:szCs w:val="22"/>
              </w:rPr>
            </w:pPr>
          </w:p>
        </w:tc>
      </w:tr>
      <w:tr w:rsidR="008A6B9D" w14:paraId="2DF2EF98" w14:textId="77777777">
        <w:trPr>
          <w:trHeight w:val="1422"/>
        </w:trPr>
        <w:tc>
          <w:tcPr>
            <w:tcW w:w="4680" w:type="dxa"/>
            <w:shd w:val="clear" w:color="auto" w:fill="auto"/>
            <w:tcMar>
              <w:top w:w="100" w:type="dxa"/>
              <w:left w:w="100" w:type="dxa"/>
              <w:bottom w:w="100" w:type="dxa"/>
              <w:right w:w="100" w:type="dxa"/>
            </w:tcMar>
          </w:tcPr>
          <w:p w14:paraId="45D4CD57" w14:textId="77777777" w:rsidR="008A6B9D" w:rsidRDefault="008A6B9D">
            <w:pPr>
              <w:widowControl w:val="0"/>
              <w:rPr>
                <w:rFonts w:ascii="Arial Narrow" w:eastAsia="Arial Narrow" w:hAnsi="Arial Narrow" w:cs="Arial Narrow"/>
                <w:sz w:val="22"/>
                <w:szCs w:val="22"/>
              </w:rPr>
            </w:pPr>
          </w:p>
        </w:tc>
        <w:tc>
          <w:tcPr>
            <w:tcW w:w="4680" w:type="dxa"/>
            <w:shd w:val="clear" w:color="auto" w:fill="auto"/>
            <w:tcMar>
              <w:top w:w="100" w:type="dxa"/>
              <w:left w:w="100" w:type="dxa"/>
              <w:bottom w:w="100" w:type="dxa"/>
              <w:right w:w="100" w:type="dxa"/>
            </w:tcMar>
          </w:tcPr>
          <w:p w14:paraId="0FD65E79" w14:textId="77777777" w:rsidR="008A6B9D" w:rsidRDefault="008A6B9D">
            <w:pPr>
              <w:widowControl w:val="0"/>
              <w:rPr>
                <w:rFonts w:ascii="Arial Narrow" w:eastAsia="Arial Narrow" w:hAnsi="Arial Narrow" w:cs="Arial Narrow"/>
                <w:sz w:val="22"/>
                <w:szCs w:val="22"/>
              </w:rPr>
            </w:pPr>
          </w:p>
        </w:tc>
      </w:tr>
    </w:tbl>
    <w:p w14:paraId="5BDE776E" w14:textId="77777777" w:rsidR="008A6B9D" w:rsidRDefault="008A6B9D">
      <w:pPr>
        <w:pBdr>
          <w:top w:val="nil"/>
          <w:left w:val="nil"/>
          <w:bottom w:val="nil"/>
          <w:right w:val="nil"/>
          <w:between w:val="nil"/>
        </w:pBdr>
        <w:jc w:val="both"/>
        <w:rPr>
          <w:rFonts w:ascii="Arial Narrow" w:eastAsia="Arial Narrow" w:hAnsi="Arial Narrow" w:cs="Arial Narrow"/>
          <w:sz w:val="22"/>
          <w:szCs w:val="22"/>
        </w:rPr>
      </w:pPr>
    </w:p>
    <w:p w14:paraId="00988F4E" w14:textId="77777777" w:rsidR="008A6B9D" w:rsidRDefault="008A16FD">
      <w:pPr>
        <w:pBdr>
          <w:top w:val="nil"/>
          <w:left w:val="nil"/>
          <w:bottom w:val="nil"/>
          <w:right w:val="nil"/>
          <w:between w:val="nil"/>
        </w:pBdr>
        <w:ind w:left="720" w:firstLine="720"/>
        <w:jc w:val="both"/>
        <w:rPr>
          <w:rFonts w:ascii="Arial Narrow" w:eastAsia="Arial Narrow" w:hAnsi="Arial Narrow" w:cs="Arial Narrow"/>
          <w:b/>
          <w:color w:val="000000"/>
          <w:sz w:val="22"/>
          <w:szCs w:val="22"/>
        </w:rPr>
      </w:pPr>
      <w:bookmarkStart w:id="19" w:name="_heading=h.4d34og8" w:colFirst="0" w:colLast="0"/>
      <w:bookmarkEnd w:id="19"/>
      <w:r>
        <w:rPr>
          <w:rFonts w:ascii="Arial Narrow" w:eastAsia="Arial Narrow" w:hAnsi="Arial Narrow" w:cs="Arial Narrow"/>
          <w:b/>
          <w:color w:val="000000"/>
          <w:sz w:val="22"/>
          <w:szCs w:val="22"/>
        </w:rPr>
        <w:t xml:space="preserve">5. Fuentes consultadas  </w:t>
      </w:r>
    </w:p>
    <w:p w14:paraId="77BE5CBA" w14:textId="77777777" w:rsidR="008A6B9D" w:rsidRDefault="008A6B9D">
      <w:pPr>
        <w:rPr>
          <w:rFonts w:ascii="Arial Narrow" w:eastAsia="Arial Narrow" w:hAnsi="Arial Narrow" w:cs="Arial Narrow"/>
          <w:sz w:val="22"/>
          <w:szCs w:val="22"/>
        </w:rPr>
      </w:pPr>
    </w:p>
    <w:p w14:paraId="5CF85104" w14:textId="77777777" w:rsidR="008A6B9D" w:rsidRDefault="008A16FD">
      <w:pPr>
        <w:numPr>
          <w:ilvl w:val="0"/>
          <w:numId w:val="2"/>
        </w:num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Chaparro, Alexander. Biografía de Antonio Nariño y Álvarez. Biblioteca Virtual colombiana -  Universidad Nacional. Disponible en: </w:t>
      </w:r>
      <w:hyperlink r:id="rId16">
        <w:r>
          <w:rPr>
            <w:rFonts w:ascii="Arial Narrow" w:eastAsia="Arial Narrow" w:hAnsi="Arial Narrow" w:cs="Arial Narrow"/>
            <w:color w:val="000000"/>
            <w:sz w:val="22"/>
            <w:szCs w:val="22"/>
            <w:u w:val="single"/>
          </w:rPr>
          <w:t>https://www.humanas.unal.edu.co/bvc/exhibits/show/antonio_narino/biografia</w:t>
        </w:r>
      </w:hyperlink>
    </w:p>
    <w:p w14:paraId="3D48FF2A" w14:textId="77777777" w:rsidR="008A6B9D" w:rsidRDefault="008A6B9D">
      <w:pPr>
        <w:pBdr>
          <w:top w:val="nil"/>
          <w:left w:val="nil"/>
          <w:bottom w:val="nil"/>
          <w:right w:val="nil"/>
          <w:between w:val="nil"/>
        </w:pBdr>
        <w:rPr>
          <w:rFonts w:ascii="Arial Narrow" w:eastAsia="Arial Narrow" w:hAnsi="Arial Narrow" w:cs="Arial Narrow"/>
          <w:color w:val="000000"/>
          <w:sz w:val="22"/>
          <w:szCs w:val="22"/>
        </w:rPr>
      </w:pPr>
    </w:p>
    <w:p w14:paraId="3471B9A3" w14:textId="77777777" w:rsidR="008A6B9D" w:rsidRDefault="008A16FD">
      <w:pPr>
        <w:numPr>
          <w:ilvl w:val="0"/>
          <w:numId w:val="2"/>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Historia. envilladeleyva.com. Disponible en: </w:t>
      </w:r>
      <w:hyperlink r:id="rId17">
        <w:r>
          <w:rPr>
            <w:rFonts w:ascii="Arial Narrow" w:eastAsia="Arial Narrow" w:hAnsi="Arial Narrow" w:cs="Arial Narrow"/>
            <w:color w:val="000000"/>
            <w:sz w:val="22"/>
            <w:szCs w:val="22"/>
            <w:u w:val="single"/>
          </w:rPr>
          <w:t>https://envilladeleyva.com/turismo/informacion-de-interes/historia/</w:t>
        </w:r>
      </w:hyperlink>
    </w:p>
    <w:p w14:paraId="09EB71B8" w14:textId="77777777" w:rsidR="008A6B9D" w:rsidRDefault="008A6B9D">
      <w:pPr>
        <w:pBdr>
          <w:top w:val="nil"/>
          <w:left w:val="nil"/>
          <w:bottom w:val="nil"/>
          <w:right w:val="nil"/>
          <w:between w:val="nil"/>
        </w:pBdr>
        <w:ind w:left="720"/>
        <w:rPr>
          <w:rFonts w:ascii="Arial Narrow" w:eastAsia="Arial Narrow" w:hAnsi="Arial Narrow" w:cs="Arial Narrow"/>
          <w:color w:val="000000"/>
          <w:sz w:val="22"/>
          <w:szCs w:val="22"/>
          <w:u w:val="single"/>
        </w:rPr>
      </w:pPr>
    </w:p>
    <w:p w14:paraId="2876489B" w14:textId="77777777" w:rsidR="008A6B9D" w:rsidRDefault="008A16FD">
      <w:pPr>
        <w:numPr>
          <w:ilvl w:val="0"/>
          <w:numId w:val="2"/>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Villa de Leyva, escenario de la historia. </w:t>
      </w:r>
      <w:hyperlink r:id="rId18">
        <w:r>
          <w:rPr>
            <w:rFonts w:ascii="Arial Narrow" w:eastAsia="Arial Narrow" w:hAnsi="Arial Narrow" w:cs="Arial Narrow"/>
            <w:color w:val="000000"/>
            <w:sz w:val="22"/>
            <w:szCs w:val="22"/>
            <w:u w:val="single"/>
          </w:rPr>
          <w:t>https://www.senalmemoria.co/articulos/villa-de-leyva-escenario-historico</w:t>
        </w:r>
      </w:hyperlink>
    </w:p>
    <w:p w14:paraId="5CCC34F4" w14:textId="77777777" w:rsidR="008A6B9D" w:rsidRDefault="008A6B9D">
      <w:pPr>
        <w:pBdr>
          <w:top w:val="nil"/>
          <w:left w:val="nil"/>
          <w:bottom w:val="nil"/>
          <w:right w:val="nil"/>
          <w:between w:val="nil"/>
        </w:pBdr>
        <w:ind w:left="720"/>
        <w:rPr>
          <w:rFonts w:ascii="Arial Narrow" w:eastAsia="Arial Narrow" w:hAnsi="Arial Narrow" w:cs="Arial Narrow"/>
          <w:color w:val="000000"/>
          <w:sz w:val="22"/>
          <w:szCs w:val="22"/>
          <w:u w:val="single"/>
        </w:rPr>
      </w:pPr>
    </w:p>
    <w:p w14:paraId="21185BE5" w14:textId="77777777" w:rsidR="008A6B9D" w:rsidRDefault="008A16FD">
      <w:pPr>
        <w:numPr>
          <w:ilvl w:val="0"/>
          <w:numId w:val="2"/>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Historia. Edificios Notables. envilladeleyva.com. Disponible en: </w:t>
      </w:r>
      <w:hyperlink r:id="rId19">
        <w:r>
          <w:rPr>
            <w:rFonts w:ascii="Arial Narrow" w:eastAsia="Arial Narrow" w:hAnsi="Arial Narrow" w:cs="Arial Narrow"/>
            <w:color w:val="000000"/>
            <w:sz w:val="22"/>
            <w:szCs w:val="22"/>
            <w:u w:val="single"/>
          </w:rPr>
          <w:t>https://envilladeleyva.com/turismo/informacion-de-interes/historia/</w:t>
        </w:r>
      </w:hyperlink>
    </w:p>
    <w:p w14:paraId="3E8A1F35" w14:textId="77777777" w:rsidR="008A6B9D" w:rsidRDefault="008A6B9D">
      <w:pPr>
        <w:pBdr>
          <w:top w:val="nil"/>
          <w:left w:val="nil"/>
          <w:bottom w:val="nil"/>
          <w:right w:val="nil"/>
          <w:between w:val="nil"/>
        </w:pBdr>
        <w:ind w:left="720"/>
        <w:rPr>
          <w:rFonts w:ascii="Arial Narrow" w:eastAsia="Arial Narrow" w:hAnsi="Arial Narrow" w:cs="Arial Narrow"/>
          <w:color w:val="000000"/>
          <w:sz w:val="22"/>
          <w:szCs w:val="22"/>
        </w:rPr>
      </w:pPr>
    </w:p>
    <w:p w14:paraId="53DC04E0" w14:textId="77777777" w:rsidR="008A6B9D" w:rsidRDefault="008A16FD">
      <w:pPr>
        <w:numPr>
          <w:ilvl w:val="0"/>
          <w:numId w:val="2"/>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Datos Generales sobre La Villa de Nuestra Señora María de Leyva. Disponible en: </w:t>
      </w:r>
      <w:hyperlink r:id="rId20">
        <w:r>
          <w:rPr>
            <w:rFonts w:ascii="Arial Narrow" w:eastAsia="Arial Narrow" w:hAnsi="Arial Narrow" w:cs="Arial Narrow"/>
            <w:color w:val="000000"/>
            <w:sz w:val="22"/>
            <w:szCs w:val="22"/>
            <w:u w:val="single"/>
          </w:rPr>
          <w:t>http://www.villaleyvanos.com/autres/informacion/historia/historia.htm</w:t>
        </w:r>
      </w:hyperlink>
    </w:p>
    <w:p w14:paraId="3AB3F04C" w14:textId="77777777" w:rsidR="008A6B9D" w:rsidRDefault="008A6B9D">
      <w:pPr>
        <w:pBdr>
          <w:top w:val="nil"/>
          <w:left w:val="nil"/>
          <w:bottom w:val="nil"/>
          <w:right w:val="nil"/>
          <w:between w:val="nil"/>
        </w:pBdr>
        <w:ind w:left="720"/>
        <w:rPr>
          <w:rFonts w:ascii="Arial Narrow" w:eastAsia="Arial Narrow" w:hAnsi="Arial Narrow" w:cs="Arial Narrow"/>
          <w:color w:val="000000"/>
          <w:sz w:val="22"/>
          <w:szCs w:val="22"/>
        </w:rPr>
      </w:pPr>
    </w:p>
    <w:p w14:paraId="2416752B" w14:textId="77777777" w:rsidR="008A6B9D" w:rsidRDefault="008A16FD">
      <w:pPr>
        <w:numPr>
          <w:ilvl w:val="0"/>
          <w:numId w:val="2"/>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DANE, Censo general 2005 Villa de Leyva. Disponible en: </w:t>
      </w:r>
      <w:hyperlink r:id="rId21">
        <w:r>
          <w:rPr>
            <w:rFonts w:ascii="Arial Narrow" w:eastAsia="Arial Narrow" w:hAnsi="Arial Narrow" w:cs="Arial Narrow"/>
            <w:color w:val="000000"/>
            <w:sz w:val="22"/>
            <w:szCs w:val="22"/>
            <w:u w:val="single"/>
          </w:rPr>
          <w:t>https://www.dane.gov.co/files/censo2005/PERFIL_PDF_CG2005/15407T7T000.PDF</w:t>
        </w:r>
      </w:hyperlink>
    </w:p>
    <w:p w14:paraId="0C99B922" w14:textId="77777777" w:rsidR="008A6B9D" w:rsidRDefault="008A6B9D">
      <w:pPr>
        <w:pBdr>
          <w:top w:val="nil"/>
          <w:left w:val="nil"/>
          <w:bottom w:val="nil"/>
          <w:right w:val="nil"/>
          <w:between w:val="nil"/>
        </w:pBdr>
        <w:ind w:left="720"/>
        <w:rPr>
          <w:rFonts w:ascii="Arial Narrow" w:eastAsia="Arial Narrow" w:hAnsi="Arial Narrow" w:cs="Arial Narrow"/>
          <w:color w:val="000000"/>
          <w:sz w:val="22"/>
          <w:szCs w:val="22"/>
        </w:rPr>
      </w:pPr>
    </w:p>
    <w:p w14:paraId="005FFDE9" w14:textId="77777777" w:rsidR="008A6B9D" w:rsidRDefault="008A16FD">
      <w:pPr>
        <w:numPr>
          <w:ilvl w:val="0"/>
          <w:numId w:val="2"/>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 xml:space="preserve">Página Web de la Alcandía de Villa de Leyva. 2023. Disponible en: </w:t>
      </w:r>
      <w:hyperlink r:id="rId22">
        <w:r>
          <w:rPr>
            <w:rFonts w:ascii="Arial Narrow" w:eastAsia="Arial Narrow" w:hAnsi="Arial Narrow" w:cs="Arial Narrow"/>
            <w:color w:val="000000"/>
            <w:sz w:val="22"/>
            <w:szCs w:val="22"/>
            <w:u w:val="single"/>
          </w:rPr>
          <w:t>https://www.villadeleyva-boyaca.gov.co/MiMunicipio/Paginas/Informacion-del-Municipio.aspx</w:t>
        </w:r>
      </w:hyperlink>
    </w:p>
    <w:p w14:paraId="7D9C7BBA" w14:textId="77777777" w:rsidR="008A6B9D" w:rsidRDefault="008A6B9D">
      <w:pPr>
        <w:pBdr>
          <w:top w:val="nil"/>
          <w:left w:val="nil"/>
          <w:bottom w:val="nil"/>
          <w:right w:val="nil"/>
          <w:between w:val="nil"/>
        </w:pBdr>
        <w:ind w:left="720"/>
        <w:rPr>
          <w:rFonts w:ascii="Arial Narrow" w:eastAsia="Arial Narrow" w:hAnsi="Arial Narrow" w:cs="Arial Narrow"/>
          <w:color w:val="000000"/>
          <w:sz w:val="22"/>
          <w:szCs w:val="22"/>
        </w:rPr>
      </w:pPr>
    </w:p>
    <w:p w14:paraId="77439597" w14:textId="77777777" w:rsidR="008A6B9D" w:rsidRDefault="008A16FD">
      <w:pPr>
        <w:numPr>
          <w:ilvl w:val="0"/>
          <w:numId w:val="2"/>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COLOMBIA. CORTE CONSTITUCIONAL. Sentencia C-506 de 2009, (29 de julio de 2009). Magistrado Ponente: Jorge Iván Palacio Palacio.</w:t>
      </w:r>
    </w:p>
    <w:p w14:paraId="76CEB637" w14:textId="77777777" w:rsidR="008A6B9D" w:rsidRDefault="008A6B9D">
      <w:pPr>
        <w:pBdr>
          <w:top w:val="nil"/>
          <w:left w:val="nil"/>
          <w:bottom w:val="nil"/>
          <w:right w:val="nil"/>
          <w:between w:val="nil"/>
        </w:pBdr>
        <w:ind w:left="720"/>
        <w:rPr>
          <w:rFonts w:ascii="Arial Narrow" w:eastAsia="Arial Narrow" w:hAnsi="Arial Narrow" w:cs="Arial Narrow"/>
          <w:color w:val="000000"/>
          <w:sz w:val="22"/>
          <w:szCs w:val="22"/>
        </w:rPr>
      </w:pPr>
    </w:p>
    <w:p w14:paraId="73315FA0" w14:textId="77777777" w:rsidR="008A6B9D" w:rsidRDefault="008A16FD">
      <w:pPr>
        <w:numPr>
          <w:ilvl w:val="0"/>
          <w:numId w:val="2"/>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COLOMBIA. CONSEJO DE ESTADO. SALA PL</w:t>
      </w:r>
      <w:r>
        <w:rPr>
          <w:rFonts w:ascii="Arial Narrow" w:eastAsia="Arial Narrow" w:hAnsi="Arial Narrow" w:cs="Arial Narrow"/>
          <w:color w:val="000000"/>
          <w:sz w:val="22"/>
          <w:szCs w:val="22"/>
        </w:rPr>
        <w:t>ENA. Sentencia, Radicación número: expediente 11001-03-15-000-2002-0447-01 (03 de septiembre de 2002). Consejero Ponente: Roberto Medina López.</w:t>
      </w:r>
      <w:r>
        <w:rPr>
          <w:rFonts w:ascii="Arial Narrow" w:eastAsia="Arial Narrow" w:hAnsi="Arial Narrow" w:cs="Arial Narrow"/>
          <w:color w:val="000000"/>
          <w:sz w:val="22"/>
          <w:szCs w:val="22"/>
          <w:highlight w:val="white"/>
        </w:rPr>
        <w:t xml:space="preserve"> </w:t>
      </w:r>
    </w:p>
    <w:p w14:paraId="482E82DF" w14:textId="77777777" w:rsidR="008A6B9D" w:rsidRDefault="008A6B9D">
      <w:pPr>
        <w:pBdr>
          <w:top w:val="nil"/>
          <w:left w:val="nil"/>
          <w:bottom w:val="nil"/>
          <w:right w:val="nil"/>
          <w:between w:val="nil"/>
        </w:pBdr>
        <w:ind w:left="720"/>
        <w:rPr>
          <w:rFonts w:ascii="Arial Narrow" w:eastAsia="Arial Narrow" w:hAnsi="Arial Narrow" w:cs="Arial Narrow"/>
          <w:color w:val="000000"/>
          <w:sz w:val="22"/>
          <w:szCs w:val="22"/>
        </w:rPr>
      </w:pPr>
    </w:p>
    <w:p w14:paraId="3B5F87B1" w14:textId="77777777" w:rsidR="008A6B9D" w:rsidRDefault="008A16FD">
      <w:pPr>
        <w:numPr>
          <w:ilvl w:val="0"/>
          <w:numId w:val="2"/>
        </w:numPr>
        <w:pBdr>
          <w:top w:val="nil"/>
          <w:left w:val="nil"/>
          <w:bottom w:val="nil"/>
          <w:right w:val="nil"/>
          <w:between w:val="nil"/>
        </w:pBdr>
        <w:rPr>
          <w:rFonts w:ascii="Arial Narrow" w:eastAsia="Arial Narrow" w:hAnsi="Arial Narrow" w:cs="Arial Narrow"/>
          <w:color w:val="000000"/>
          <w:sz w:val="22"/>
          <w:szCs w:val="22"/>
          <w:u w:val="single"/>
        </w:rPr>
      </w:pPr>
      <w:r>
        <w:rPr>
          <w:rFonts w:ascii="Arial Narrow" w:eastAsia="Arial Narrow" w:hAnsi="Arial Narrow" w:cs="Arial Narrow"/>
          <w:color w:val="000000"/>
          <w:sz w:val="22"/>
          <w:szCs w:val="22"/>
        </w:rPr>
        <w:t>COLOMBIA. CONSEJO DE ESTADO SALA DE CONSULTA Y SERVICIO CIVIL, Concepto, Radicación número: 2042 (21 de octubre de 2010). Consejero Ponente: Augusto Hernández Becerra</w:t>
      </w:r>
      <w:r>
        <w:rPr>
          <w:rFonts w:ascii="Arial Narrow" w:eastAsia="Arial Narrow" w:hAnsi="Arial Narrow" w:cs="Arial Narrow"/>
          <w:color w:val="000000"/>
          <w:sz w:val="22"/>
          <w:szCs w:val="22"/>
          <w:highlight w:val="white"/>
        </w:rPr>
        <w:t>.</w:t>
      </w:r>
    </w:p>
    <w:sectPr w:rsidR="008A6B9D">
      <w:headerReference w:type="default" r:id="rId23"/>
      <w:footerReference w:type="even" r:id="rId24"/>
      <w:footerReference w:type="default" r:id="rId25"/>
      <w:pgSz w:w="12240" w:h="15840"/>
      <w:pgMar w:top="2448"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5AAA6" w14:textId="77777777" w:rsidR="008A16FD" w:rsidRDefault="008A16FD">
      <w:r>
        <w:separator/>
      </w:r>
    </w:p>
  </w:endnote>
  <w:endnote w:type="continuationSeparator" w:id="0">
    <w:p w14:paraId="656DCAAA" w14:textId="77777777" w:rsidR="008A16FD" w:rsidRDefault="008A1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AABAA" w14:textId="77777777" w:rsidR="008A6B9D" w:rsidRDefault="008A6B9D">
    <w:pPr>
      <w:pBdr>
        <w:top w:val="nil"/>
        <w:left w:val="nil"/>
        <w:bottom w:val="nil"/>
        <w:right w:val="nil"/>
        <w:between w:val="nil"/>
      </w:pBdr>
      <w:tabs>
        <w:tab w:val="center" w:pos="4680"/>
        <w:tab w:val="right" w:pos="9360"/>
      </w:tabs>
      <w:jc w:val="right"/>
      <w:rPr>
        <w:color w:val="000000"/>
      </w:rPr>
    </w:pPr>
  </w:p>
  <w:p w14:paraId="3F5860EA" w14:textId="77777777" w:rsidR="008A6B9D" w:rsidRDefault="008A6B9D">
    <w:pPr>
      <w:pBdr>
        <w:top w:val="nil"/>
        <w:left w:val="nil"/>
        <w:bottom w:val="nil"/>
        <w:right w:val="nil"/>
        <w:between w:val="nil"/>
      </w:pBdr>
      <w:tabs>
        <w:tab w:val="center" w:pos="4680"/>
        <w:tab w:val="right" w:pos="9360"/>
      </w:tabs>
      <w:ind w:right="360"/>
      <w:rPr>
        <w:color w:val="000000"/>
      </w:rPr>
    </w:pPr>
  </w:p>
  <w:p w14:paraId="3C8AC7C6" w14:textId="77777777" w:rsidR="008A6B9D" w:rsidRDefault="008A16FD">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010BC" w14:textId="77777777" w:rsidR="008A6B9D" w:rsidRDefault="008A16FD">
    <w:pPr>
      <w:tabs>
        <w:tab w:val="center" w:pos="4252"/>
        <w:tab w:val="right" w:pos="8504"/>
      </w:tabs>
      <w:ind w:right="36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C95A7F6" wp14:editId="74597E74">
          <wp:extent cx="3114040" cy="267335"/>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114040" cy="267335"/>
                  </a:xfrm>
                  <a:prstGeom prst="rect">
                    <a:avLst/>
                  </a:prstGeom>
                  <a:ln/>
                </pic:spPr>
              </pic:pic>
            </a:graphicData>
          </a:graphic>
        </wp:inline>
      </w:drawing>
    </w:r>
  </w:p>
  <w:p w14:paraId="48FEE186" w14:textId="77777777" w:rsidR="008A6B9D" w:rsidRDefault="008A16FD">
    <w:pPr>
      <w:tabs>
        <w:tab w:val="center" w:pos="4252"/>
        <w:tab w:val="right" w:pos="8504"/>
      </w:tabs>
      <w:jc w:val="center"/>
      <w:rPr>
        <w:rFonts w:ascii="Cambria" w:eastAsia="Cambria" w:hAnsi="Cambria" w:cs="Cambria"/>
        <w:sz w:val="20"/>
        <w:szCs w:val="20"/>
      </w:rPr>
    </w:pPr>
    <w:r>
      <w:rPr>
        <w:rFonts w:ascii="Times New Roman" w:eastAsia="Times New Roman" w:hAnsi="Times New Roman" w:cs="Times New Roman"/>
        <w:color w:val="0563C1"/>
        <w:sz w:val="18"/>
        <w:szCs w:val="18"/>
        <w:highlight w:val="white"/>
        <w:u w:val="single"/>
      </w:rPr>
      <w:t xml:space="preserve"> </w:t>
    </w:r>
    <w:r>
      <w:rPr>
        <w:rFonts w:ascii="Cambria" w:eastAsia="Cambria" w:hAnsi="Cambria" w:cs="Cambria"/>
        <w:sz w:val="20"/>
        <w:szCs w:val="20"/>
      </w:rPr>
      <w:t>Cra. 7 No. 8 – 68 Of. 325. Edificio Nuevo del Congreso. Bogotá.</w:t>
    </w:r>
  </w:p>
  <w:p w14:paraId="751EBABA" w14:textId="77777777" w:rsidR="008A6B9D" w:rsidRDefault="008A16FD">
    <w:pPr>
      <w:tabs>
        <w:tab w:val="center" w:pos="4419"/>
        <w:tab w:val="right" w:pos="8838"/>
      </w:tabs>
      <w:jc w:val="center"/>
      <w:rPr>
        <w:rFonts w:ascii="Cambria" w:eastAsia="Cambria" w:hAnsi="Cambria" w:cs="Cambria"/>
        <w:sz w:val="20"/>
        <w:szCs w:val="20"/>
      </w:rPr>
    </w:pPr>
    <w:r>
      <w:rPr>
        <w:rFonts w:ascii="Cambria" w:eastAsia="Cambria" w:hAnsi="Cambria" w:cs="Cambria"/>
        <w:sz w:val="20"/>
        <w:szCs w:val="20"/>
      </w:rPr>
      <w:t xml:space="preserve">Correo: </w:t>
    </w:r>
    <w:hyperlink r:id="rId2">
      <w:r>
        <w:rPr>
          <w:rFonts w:ascii="Cambria" w:eastAsia="Cambria" w:hAnsi="Cambria" w:cs="Cambria"/>
          <w:color w:val="0000FF"/>
          <w:sz w:val="20"/>
          <w:szCs w:val="20"/>
          <w:u w:val="single"/>
        </w:rPr>
        <w:t>wilmer.castellanos@camara.gov.co</w:t>
      </w:r>
    </w:hyperlink>
  </w:p>
  <w:p w14:paraId="36EE64BC" w14:textId="77777777" w:rsidR="008A6B9D" w:rsidRDefault="008A16FD">
    <w:pPr>
      <w:tabs>
        <w:tab w:val="center" w:pos="4419"/>
        <w:tab w:val="right" w:pos="8838"/>
      </w:tabs>
      <w:jc w:val="center"/>
      <w:rPr>
        <w:rFonts w:ascii="Times New Roman" w:eastAsia="Times New Roman" w:hAnsi="Times New Roman" w:cs="Times New Roman"/>
        <w:color w:val="0563C1"/>
        <w:sz w:val="18"/>
        <w:szCs w:val="18"/>
        <w:highlight w:val="white"/>
        <w:u w:val="single"/>
      </w:rPr>
    </w:pPr>
    <w:r>
      <w:rPr>
        <w:rFonts w:ascii="Cambria" w:eastAsia="Cambria" w:hAnsi="Cambria" w:cs="Cambria"/>
        <w:sz w:val="20"/>
        <w:szCs w:val="20"/>
      </w:rPr>
      <w:t>Teléfono: 3904050 ext. 3178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52950" w14:textId="77777777" w:rsidR="008A16FD" w:rsidRDefault="008A16FD">
      <w:r>
        <w:separator/>
      </w:r>
    </w:p>
  </w:footnote>
  <w:footnote w:type="continuationSeparator" w:id="0">
    <w:p w14:paraId="3642AA2C" w14:textId="77777777" w:rsidR="008A16FD" w:rsidRDefault="008A16FD">
      <w:r>
        <w:continuationSeparator/>
      </w:r>
    </w:p>
  </w:footnote>
  <w:footnote w:id="1">
    <w:p w14:paraId="28550C2C" w14:textId="77777777" w:rsidR="008A6B9D" w:rsidRDefault="008A16FD">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Chaparro, Alexander. Biografía de Antonio Nariño y Álvarez. Biblioteca Virtual colombiana - Universidad Nacional. Disponible en: </w:t>
      </w:r>
      <w:hyperlink r:id="rId1">
        <w:r>
          <w:rPr>
            <w:color w:val="000000"/>
            <w:sz w:val="18"/>
            <w:szCs w:val="18"/>
            <w:u w:val="single"/>
          </w:rPr>
          <w:t>https://www.humanas.unal.edu.co/</w:t>
        </w:r>
        <w:r>
          <w:rPr>
            <w:color w:val="000000"/>
            <w:sz w:val="18"/>
            <w:szCs w:val="18"/>
            <w:u w:val="single"/>
          </w:rPr>
          <w:t>bvc/exhibits/show/antonio_narino/biografia</w:t>
        </w:r>
      </w:hyperlink>
    </w:p>
  </w:footnote>
  <w:footnote w:id="2">
    <w:p w14:paraId="61C0BA57" w14:textId="77777777" w:rsidR="008A6B9D" w:rsidRDefault="008A16FD">
      <w:pPr>
        <w:pBdr>
          <w:top w:val="nil"/>
          <w:left w:val="nil"/>
          <w:bottom w:val="nil"/>
          <w:right w:val="nil"/>
          <w:between w:val="nil"/>
        </w:pBdr>
        <w:rPr>
          <w:color w:val="000000"/>
          <w:sz w:val="18"/>
          <w:szCs w:val="18"/>
          <w:u w:val="single"/>
        </w:rPr>
      </w:pPr>
      <w:r>
        <w:rPr>
          <w:vertAlign w:val="superscript"/>
        </w:rPr>
        <w:footnoteRef/>
      </w:r>
      <w:r>
        <w:rPr>
          <w:color w:val="000000"/>
          <w:sz w:val="18"/>
          <w:szCs w:val="18"/>
        </w:rPr>
        <w:t xml:space="preserve"> Historia. envilladeleyva.com. Disponible en: </w:t>
      </w:r>
      <w:hyperlink r:id="rId2">
        <w:r>
          <w:rPr>
            <w:color w:val="0563C1"/>
            <w:sz w:val="18"/>
            <w:szCs w:val="18"/>
            <w:u w:val="single"/>
          </w:rPr>
          <w:t>https://envilladeleyva.com/turismo/informacion-de-interes/historia/</w:t>
        </w:r>
      </w:hyperlink>
      <w:r>
        <w:rPr>
          <w:color w:val="000000"/>
          <w:sz w:val="18"/>
          <w:szCs w:val="18"/>
          <w:u w:val="single"/>
        </w:rPr>
        <w:t xml:space="preserve"> </w:t>
      </w:r>
    </w:p>
  </w:footnote>
  <w:footnote w:id="3">
    <w:p w14:paraId="39B98AF3" w14:textId="77777777" w:rsidR="008A6B9D" w:rsidRDefault="008A16FD">
      <w:pPr>
        <w:pBdr>
          <w:top w:val="nil"/>
          <w:left w:val="nil"/>
          <w:bottom w:val="nil"/>
          <w:right w:val="nil"/>
          <w:between w:val="nil"/>
        </w:pBdr>
        <w:rPr>
          <w:color w:val="0563C1"/>
          <w:sz w:val="18"/>
          <w:szCs w:val="18"/>
          <w:u w:val="single"/>
        </w:rPr>
      </w:pPr>
      <w:r>
        <w:rPr>
          <w:vertAlign w:val="superscript"/>
        </w:rPr>
        <w:footnoteRef/>
      </w:r>
      <w:r>
        <w:rPr>
          <w:color w:val="000000"/>
          <w:sz w:val="18"/>
          <w:szCs w:val="18"/>
        </w:rPr>
        <w:t xml:space="preserve"> Villa de Leyva, escenario de la historia. </w:t>
      </w:r>
      <w:hyperlink r:id="rId3">
        <w:r>
          <w:rPr>
            <w:color w:val="0563C1"/>
            <w:sz w:val="18"/>
            <w:szCs w:val="18"/>
            <w:u w:val="single"/>
          </w:rPr>
          <w:t>https://www.senalmemoria.co/articulos/villa-de-leyva-escenario-historico</w:t>
        </w:r>
      </w:hyperlink>
    </w:p>
  </w:footnote>
  <w:footnote w:id="4">
    <w:p w14:paraId="1E1462F9" w14:textId="77777777" w:rsidR="008A6B9D" w:rsidRDefault="008A16FD">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Historia. Edificios Notables. envilladeleyva.com. Disponible en: </w:t>
      </w:r>
      <w:r>
        <w:rPr>
          <w:color w:val="000000"/>
          <w:sz w:val="18"/>
          <w:szCs w:val="18"/>
          <w:u w:val="single"/>
        </w:rPr>
        <w:t>https://envilladeleyva.com/turismo/informacion-de-interes/historia/</w:t>
      </w:r>
    </w:p>
  </w:footnote>
  <w:footnote w:id="5">
    <w:p w14:paraId="0F25A401" w14:textId="77777777" w:rsidR="008A6B9D" w:rsidRDefault="008A16FD">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jc w:val="both"/>
        <w:rPr>
          <w:color w:val="000000"/>
          <w:sz w:val="18"/>
          <w:szCs w:val="18"/>
        </w:rPr>
      </w:pPr>
      <w:r>
        <w:rPr>
          <w:vertAlign w:val="superscript"/>
        </w:rPr>
        <w:footnoteRef/>
      </w:r>
      <w:r>
        <w:rPr>
          <w:color w:val="000000"/>
          <w:sz w:val="18"/>
          <w:szCs w:val="18"/>
        </w:rPr>
        <w:t xml:space="preserve"> Datos Genera</w:t>
      </w:r>
      <w:r>
        <w:rPr>
          <w:color w:val="000000"/>
          <w:sz w:val="18"/>
          <w:szCs w:val="18"/>
        </w:rPr>
        <w:t xml:space="preserve">les sobre La Villa de Nuestra Señora María de Leyva. Disponible en: </w:t>
      </w:r>
      <w:hyperlink r:id="rId4">
        <w:r>
          <w:rPr>
            <w:color w:val="0563C1"/>
            <w:sz w:val="18"/>
            <w:szCs w:val="18"/>
            <w:u w:val="single"/>
          </w:rPr>
          <w:t>http://www.villaleyvanos.com/autres/informacion/historia/historia.htm</w:t>
        </w:r>
      </w:hyperlink>
    </w:p>
  </w:footnote>
  <w:footnote w:id="6">
    <w:p w14:paraId="32118106" w14:textId="77777777" w:rsidR="008A6B9D" w:rsidRDefault="008A16FD">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Fuente DANE Disponible en: </w:t>
      </w:r>
      <w:hyperlink r:id="rId5">
        <w:r>
          <w:rPr>
            <w:color w:val="0563C1"/>
            <w:sz w:val="18"/>
            <w:szCs w:val="18"/>
            <w:u w:val="single"/>
          </w:rPr>
          <w:t>https://www.dane.gov.co/index.php/estadisticas-por-tema/demografia-y-poblacion/proyecciones-de-poblacion</w:t>
        </w:r>
      </w:hyperlink>
      <w:r>
        <w:rPr>
          <w:color w:val="000000"/>
          <w:sz w:val="18"/>
          <w:szCs w:val="18"/>
        </w:rPr>
        <w:t xml:space="preserve"> </w:t>
      </w:r>
    </w:p>
  </w:footnote>
  <w:footnote w:id="7">
    <w:p w14:paraId="648F81AB" w14:textId="77777777" w:rsidR="008A6B9D" w:rsidRDefault="008A16FD">
      <w:pPr>
        <w:pBdr>
          <w:top w:val="nil"/>
          <w:left w:val="nil"/>
          <w:bottom w:val="nil"/>
          <w:right w:val="nil"/>
          <w:between w:val="nil"/>
        </w:pBdr>
        <w:rPr>
          <w:color w:val="000000"/>
          <w:sz w:val="18"/>
          <w:szCs w:val="18"/>
          <w:u w:val="single"/>
        </w:rPr>
      </w:pPr>
      <w:r>
        <w:rPr>
          <w:vertAlign w:val="superscript"/>
        </w:rPr>
        <w:footnoteRef/>
      </w:r>
      <w:r>
        <w:rPr>
          <w:color w:val="000000"/>
          <w:sz w:val="18"/>
          <w:szCs w:val="18"/>
        </w:rPr>
        <w:t xml:space="preserve"> Página Web de la Alcandí</w:t>
      </w:r>
      <w:r>
        <w:rPr>
          <w:color w:val="000000"/>
          <w:sz w:val="18"/>
          <w:szCs w:val="18"/>
        </w:rPr>
        <w:t xml:space="preserve">a de Villa de Leyva. 2023. Disponible en: </w:t>
      </w:r>
      <w:hyperlink r:id="rId6">
        <w:r>
          <w:rPr>
            <w:color w:val="0563C1"/>
            <w:sz w:val="18"/>
            <w:szCs w:val="18"/>
            <w:u w:val="single"/>
          </w:rPr>
          <w:t>https://www.villadeleyva-boyaca.gov.co/MiMunicipio/Paginas/Informacion-del-Municipio.aspx</w:t>
        </w:r>
      </w:hyperlink>
    </w:p>
    <w:p w14:paraId="706E69B1" w14:textId="77777777" w:rsidR="008A6B9D" w:rsidRDefault="008A6B9D">
      <w:pPr>
        <w:pBdr>
          <w:top w:val="nil"/>
          <w:left w:val="nil"/>
          <w:bottom w:val="nil"/>
          <w:right w:val="nil"/>
          <w:between w:val="nil"/>
        </w:pBdr>
        <w:rPr>
          <w:color w:val="000000"/>
          <w:sz w:val="18"/>
          <w:szCs w:val="18"/>
          <w:u w:val="single"/>
        </w:rPr>
      </w:pPr>
    </w:p>
  </w:footnote>
  <w:footnote w:id="8">
    <w:p w14:paraId="56D98CB5" w14:textId="77777777" w:rsidR="008A6B9D" w:rsidRDefault="008A16FD">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Viajar a Colombia, Página Web, Disponible en: https://viajareacolombia.com/villa-de-leyva/iglesia-de-nuestra-senora-del-rosario/</w:t>
      </w:r>
    </w:p>
  </w:footnote>
  <w:footnote w:id="9">
    <w:p w14:paraId="72F7DAAF" w14:textId="77777777" w:rsidR="008A6B9D" w:rsidRDefault="008A16FD">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ExpoVilla, Disponible en: http://www.expovilla.com/sitios-turisticos/conventos-e-iglesias/iglesia-parroquial-nuestra-senora-</w:t>
      </w:r>
      <w:r>
        <w:rPr>
          <w:color w:val="000000"/>
          <w:sz w:val="18"/>
          <w:szCs w:val="18"/>
        </w:rPr>
        <w:t>del-rosario</w:t>
      </w:r>
    </w:p>
  </w:footnote>
  <w:footnote w:id="10">
    <w:p w14:paraId="298D7119" w14:textId="77777777" w:rsidR="008A6B9D" w:rsidRDefault="008A16FD">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Gobernación de Boyacá. 2023. Cifras importantes del sector turismo al finalizar el 2022. Disponible en: https://www.boyaca.gov.co/cifras-importantes-del-sector-turistico-al-finalizar-el-2022/</w:t>
      </w:r>
    </w:p>
  </w:footnote>
  <w:footnote w:id="11">
    <w:p w14:paraId="323899EF" w14:textId="77777777" w:rsidR="008A6B9D" w:rsidRDefault="008A16FD">
      <w:pPr>
        <w:pBdr>
          <w:top w:val="nil"/>
          <w:left w:val="nil"/>
          <w:bottom w:val="nil"/>
          <w:right w:val="nil"/>
          <w:between w:val="nil"/>
        </w:pBdr>
        <w:rPr>
          <w:color w:val="000000"/>
          <w:sz w:val="20"/>
          <w:szCs w:val="20"/>
        </w:rPr>
      </w:pPr>
      <w:r>
        <w:rPr>
          <w:vertAlign w:val="superscript"/>
        </w:rPr>
        <w:footnoteRef/>
      </w:r>
      <w:r>
        <w:rPr>
          <w:color w:val="000000"/>
          <w:sz w:val="18"/>
          <w:szCs w:val="18"/>
        </w:rPr>
        <w:t xml:space="preserve"> Cámara de Comercio, Impacto Comercial desde la Demanda del XLIV Festival del Viento y las Cometas de Villa de Leyva, 2019. Disponible en: https://cctunja.org.co/wp-content/uploads/2020/12/Presentaci%C3%B3n-villa-de-Leyva-2019-demanda-F.pdf</w:t>
      </w:r>
    </w:p>
  </w:footnote>
  <w:footnote w:id="12">
    <w:p w14:paraId="40763519" w14:textId="77777777" w:rsidR="008A6B9D" w:rsidRDefault="008A16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Casa de la Re</w:t>
      </w:r>
      <w:r>
        <w:rPr>
          <w:color w:val="000000"/>
          <w:sz w:val="20"/>
          <w:szCs w:val="20"/>
        </w:rPr>
        <w:t>al Fábrica de Licores Villa de Leyva – Boyacá Colombia. Disponible en: https://elturismoencolombia.com/a-donde-ir/villa-de-leyva-turismo-colombia/casa-real-fabrica-licores-villa-de-leyva-boyaca/#:~:text=La%20Casa%20de%20la%20Real,percibe%20el%20estilo%20ba</w:t>
      </w:r>
      <w:r>
        <w:rPr>
          <w:color w:val="000000"/>
          <w:sz w:val="20"/>
          <w:szCs w:val="20"/>
        </w:rPr>
        <w:t>rroco%20popular.</w:t>
      </w:r>
    </w:p>
  </w:footnote>
  <w:footnote w:id="13">
    <w:p w14:paraId="11DFE0AB" w14:textId="77777777" w:rsidR="008A6B9D" w:rsidRDefault="008A16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J. G. Martín, Casa de la Real Fábrica de Aguardiente Villa de Leyva-Colombia Un acercamiento a la arqueología histórica, 2001</w:t>
      </w:r>
    </w:p>
  </w:footnote>
  <w:footnote w:id="14">
    <w:p w14:paraId="54BAB8C4" w14:textId="77777777" w:rsidR="008A6B9D" w:rsidRDefault="008A16F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SITUR Boyacá, Disponible en: https://situr.boyaca.gov.co/atractivo-turistico/real-fabrica-de-licores/</w:t>
      </w:r>
    </w:p>
  </w:footnote>
  <w:footnote w:id="15">
    <w:p w14:paraId="1A4F1D55" w14:textId="77777777" w:rsidR="008A6B9D" w:rsidRDefault="008A16FD">
      <w:pPr>
        <w:rPr>
          <w:rFonts w:ascii="Arial Narrow" w:eastAsia="Arial Narrow" w:hAnsi="Arial Narrow" w:cs="Arial Narrow"/>
          <w:sz w:val="18"/>
          <w:szCs w:val="18"/>
        </w:rPr>
      </w:pPr>
      <w:r>
        <w:rPr>
          <w:vertAlign w:val="superscript"/>
        </w:rPr>
        <w:footnoteRef/>
      </w:r>
      <w:r>
        <w:rPr>
          <w:sz w:val="18"/>
          <w:szCs w:val="18"/>
        </w:rPr>
        <w:t xml:space="preserve"> Consideraciones del Decreto 3661 d</w:t>
      </w:r>
      <w:r>
        <w:rPr>
          <w:sz w:val="18"/>
          <w:szCs w:val="18"/>
        </w:rPr>
        <w:t>e 1954.  “Por el cual se declara a Villa de Leiva Monumento nacional y se dictan otras disposiciones</w:t>
      </w:r>
      <w:r>
        <w:rPr>
          <w:rFonts w:ascii="Arial Narrow" w:eastAsia="Arial Narrow" w:hAnsi="Arial Narrow" w:cs="Arial Narrow"/>
          <w:sz w:val="18"/>
          <w:szCs w:val="18"/>
        </w:rPr>
        <w:t>”</w:t>
      </w:r>
    </w:p>
  </w:footnote>
  <w:footnote w:id="16">
    <w:p w14:paraId="68250F75" w14:textId="77777777" w:rsidR="008A6B9D" w:rsidRDefault="008A16FD">
      <w:pPr>
        <w:pBdr>
          <w:top w:val="nil"/>
          <w:left w:val="nil"/>
          <w:bottom w:val="nil"/>
          <w:right w:val="nil"/>
          <w:between w:val="nil"/>
        </w:pBdr>
        <w:rPr>
          <w:color w:val="000000"/>
          <w:sz w:val="18"/>
          <w:szCs w:val="18"/>
        </w:rPr>
      </w:pPr>
      <w:r>
        <w:rPr>
          <w:vertAlign w:val="superscript"/>
        </w:rPr>
        <w:footnoteRef/>
      </w:r>
      <w:r>
        <w:rPr>
          <w:color w:val="000000"/>
          <w:sz w:val="18"/>
          <w:szCs w:val="18"/>
        </w:rPr>
        <w:t xml:space="preserve"> COLOM</w:t>
      </w:r>
      <w:r>
        <w:rPr>
          <w:color w:val="000000"/>
          <w:sz w:val="18"/>
          <w:szCs w:val="18"/>
        </w:rPr>
        <w:t>BIA. CORTE CONSTITUCIONAL. Sentencia C-506 de 2009, (29 de julio de 2009). Magistrado Ponente: Jorge Iván Palacio Palacio.</w:t>
      </w:r>
    </w:p>
  </w:footnote>
  <w:footnote w:id="17">
    <w:p w14:paraId="70CEE394" w14:textId="77777777" w:rsidR="008A6B9D" w:rsidRDefault="008A16FD">
      <w:pPr>
        <w:pBdr>
          <w:top w:val="nil"/>
          <w:left w:val="nil"/>
          <w:bottom w:val="nil"/>
          <w:right w:val="nil"/>
          <w:between w:val="nil"/>
        </w:pBdr>
        <w:jc w:val="both"/>
        <w:rPr>
          <w:color w:val="000000"/>
          <w:sz w:val="18"/>
          <w:szCs w:val="18"/>
        </w:rPr>
      </w:pPr>
      <w:r>
        <w:rPr>
          <w:vertAlign w:val="superscript"/>
        </w:rPr>
        <w:footnoteRef/>
      </w:r>
      <w:r>
        <w:rPr>
          <w:color w:val="000000"/>
          <w:sz w:val="18"/>
          <w:szCs w:val="18"/>
        </w:rPr>
        <w:t xml:space="preserve"> COLOMBIA. CONSEJO DE ESTADO. SALA PLENA. Sentencia, Radicación número: expediente 11001-03-15-000-2002-0447-01 (03 de septiembre de</w:t>
      </w:r>
      <w:r>
        <w:rPr>
          <w:color w:val="000000"/>
          <w:sz w:val="18"/>
          <w:szCs w:val="18"/>
        </w:rPr>
        <w:t xml:space="preserve"> 2002). Consejero Ponente: Roberto Medina López.</w:t>
      </w:r>
      <w:r>
        <w:rPr>
          <w:color w:val="000000"/>
          <w:sz w:val="18"/>
          <w:szCs w:val="18"/>
          <w:highlight w:val="white"/>
        </w:rPr>
        <w:t xml:space="preserve"> </w:t>
      </w:r>
    </w:p>
  </w:footnote>
  <w:footnote w:id="18">
    <w:p w14:paraId="4BFD8A11" w14:textId="77777777" w:rsidR="008A6B9D" w:rsidRDefault="008A16FD">
      <w:pPr>
        <w:pBdr>
          <w:top w:val="nil"/>
          <w:left w:val="nil"/>
          <w:bottom w:val="nil"/>
          <w:right w:val="nil"/>
          <w:between w:val="nil"/>
        </w:pBdr>
        <w:jc w:val="both"/>
        <w:rPr>
          <w:rFonts w:ascii="Arial Narrow" w:eastAsia="Arial Narrow" w:hAnsi="Arial Narrow" w:cs="Arial Narrow"/>
          <w:color w:val="000000"/>
          <w:sz w:val="22"/>
          <w:szCs w:val="22"/>
        </w:rPr>
      </w:pPr>
      <w:r>
        <w:rPr>
          <w:vertAlign w:val="superscript"/>
        </w:rPr>
        <w:footnoteRef/>
      </w:r>
      <w:r>
        <w:rPr>
          <w:color w:val="000000"/>
          <w:sz w:val="18"/>
          <w:szCs w:val="18"/>
        </w:rPr>
        <w:t xml:space="preserve"> COLOMBIA. CONSEJO DE ESTADO SALA DE CONSULTA Y SERVICIO CIVIL, Concepto, Radicación número: 2042 (21 de octubre de 2010). Consejero Ponente: Augusto Hernández Becerra</w:t>
      </w:r>
      <w:r>
        <w:rPr>
          <w:color w:val="000000"/>
          <w:sz w:val="18"/>
          <w:szCs w:val="18"/>
          <w:highlight w:val="whit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7759B" w14:textId="77777777" w:rsidR="008A6B9D" w:rsidRDefault="008A16FD">
    <w:pPr>
      <w:pBdr>
        <w:top w:val="nil"/>
        <w:left w:val="nil"/>
        <w:bottom w:val="nil"/>
        <w:right w:val="nil"/>
        <w:between w:val="nil"/>
      </w:pBdr>
      <w:tabs>
        <w:tab w:val="center" w:pos="4680"/>
        <w:tab w:val="right" w:pos="9360"/>
      </w:tabs>
      <w:jc w:val="center"/>
      <w:rPr>
        <w:color w:val="000000"/>
      </w:rPr>
    </w:pPr>
    <w:r>
      <w:rPr>
        <w:noProof/>
      </w:rPr>
      <w:drawing>
        <wp:anchor distT="114300" distB="114300" distL="114300" distR="114300" simplePos="0" relativeHeight="251658240" behindDoc="0" locked="0" layoutInCell="1" hidden="0" allowOverlap="1" wp14:anchorId="70520B13" wp14:editId="167FC959">
          <wp:simplePos x="0" y="0"/>
          <wp:positionH relativeFrom="page">
            <wp:posOffset>4057650</wp:posOffset>
          </wp:positionH>
          <wp:positionV relativeFrom="page">
            <wp:posOffset>459105</wp:posOffset>
          </wp:positionV>
          <wp:extent cx="2676525" cy="542925"/>
          <wp:effectExtent l="0" t="0" r="0" b="0"/>
          <wp:wrapSquare wrapText="bothSides" distT="114300" distB="114300" distL="114300" distR="11430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676525" cy="542925"/>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3F5C0F1C" wp14:editId="49BC6C5A">
          <wp:simplePos x="0" y="0"/>
          <wp:positionH relativeFrom="column">
            <wp:posOffset>123825</wp:posOffset>
          </wp:positionH>
          <wp:positionV relativeFrom="paragraph">
            <wp:posOffset>-161924</wp:posOffset>
          </wp:positionV>
          <wp:extent cx="2919413" cy="885664"/>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919413" cy="88566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92C60"/>
    <w:multiLevelType w:val="multilevel"/>
    <w:tmpl w:val="1410E5F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 w15:restartNumberingAfterBreak="0">
    <w:nsid w:val="19266CAD"/>
    <w:multiLevelType w:val="multilevel"/>
    <w:tmpl w:val="0102101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1.%2."/>
      <w:lvlJc w:val="left"/>
      <w:pPr>
        <w:ind w:left="360" w:hanging="360"/>
      </w:pPr>
      <w:rPr>
        <w:b/>
        <w:smallCaps w:val="0"/>
        <w:strike w:val="0"/>
        <w:shd w:val="clear" w:color="auto" w:fill="auto"/>
        <w:vertAlign w:val="baseline"/>
      </w:rPr>
    </w:lvl>
    <w:lvl w:ilvl="2">
      <w:start w:val="1"/>
      <w:numFmt w:val="decimal"/>
      <w:lvlText w:val="%1.%2.%3."/>
      <w:lvlJc w:val="left"/>
      <w:pPr>
        <w:ind w:left="1080" w:hanging="720"/>
      </w:pPr>
      <w:rPr>
        <w:b/>
        <w:smallCaps w:val="0"/>
        <w:strike w:val="0"/>
        <w:shd w:val="clear" w:color="auto" w:fill="auto"/>
        <w:vertAlign w:val="baseline"/>
      </w:rPr>
    </w:lvl>
    <w:lvl w:ilvl="3">
      <w:start w:val="1"/>
      <w:numFmt w:val="decimal"/>
      <w:lvlText w:val="%1.%2.%3.%4."/>
      <w:lvlJc w:val="left"/>
      <w:pPr>
        <w:ind w:left="1080" w:hanging="720"/>
      </w:pPr>
      <w:rPr>
        <w:b/>
        <w:smallCaps w:val="0"/>
        <w:strike w:val="0"/>
        <w:shd w:val="clear" w:color="auto" w:fill="auto"/>
        <w:vertAlign w:val="baseline"/>
      </w:rPr>
    </w:lvl>
    <w:lvl w:ilvl="4">
      <w:start w:val="1"/>
      <w:numFmt w:val="decimal"/>
      <w:lvlText w:val="%1.%2.%3.%4.%5."/>
      <w:lvlJc w:val="left"/>
      <w:pPr>
        <w:ind w:left="1440" w:hanging="1080"/>
      </w:pPr>
      <w:rPr>
        <w:b/>
        <w:smallCaps w:val="0"/>
        <w:strike w:val="0"/>
        <w:shd w:val="clear" w:color="auto" w:fill="auto"/>
        <w:vertAlign w:val="baseline"/>
      </w:rPr>
    </w:lvl>
    <w:lvl w:ilvl="5">
      <w:start w:val="1"/>
      <w:numFmt w:val="decimal"/>
      <w:lvlText w:val="%1.%2.%3.%4.%5.%6."/>
      <w:lvlJc w:val="left"/>
      <w:pPr>
        <w:ind w:left="1440" w:hanging="1080"/>
      </w:pPr>
      <w:rPr>
        <w:b/>
        <w:smallCaps w:val="0"/>
        <w:strike w:val="0"/>
        <w:shd w:val="clear" w:color="auto" w:fill="auto"/>
        <w:vertAlign w:val="baseline"/>
      </w:rPr>
    </w:lvl>
    <w:lvl w:ilvl="6">
      <w:start w:val="1"/>
      <w:numFmt w:val="decimal"/>
      <w:lvlText w:val="%1.%2.%3.%4.%5.%6.%7."/>
      <w:lvlJc w:val="left"/>
      <w:pPr>
        <w:ind w:left="1800" w:hanging="1440"/>
      </w:pPr>
      <w:rPr>
        <w:b/>
        <w:smallCaps w:val="0"/>
        <w:strike w:val="0"/>
        <w:shd w:val="clear" w:color="auto" w:fill="auto"/>
        <w:vertAlign w:val="baseline"/>
      </w:rPr>
    </w:lvl>
    <w:lvl w:ilvl="7">
      <w:start w:val="1"/>
      <w:numFmt w:val="decimal"/>
      <w:lvlText w:val="%1.%2.%3.%4.%5.%6.%7.%8."/>
      <w:lvlJc w:val="left"/>
      <w:pPr>
        <w:ind w:left="1800" w:hanging="1440"/>
      </w:pPr>
      <w:rPr>
        <w:b/>
        <w:smallCaps w:val="0"/>
        <w:strike w:val="0"/>
        <w:shd w:val="clear" w:color="auto" w:fill="auto"/>
        <w:vertAlign w:val="baseline"/>
      </w:rPr>
    </w:lvl>
    <w:lvl w:ilvl="8">
      <w:start w:val="1"/>
      <w:numFmt w:val="decimal"/>
      <w:lvlText w:val="%1.%2.%3.%4.%5.%6.%7.%8.%9."/>
      <w:lvlJc w:val="left"/>
      <w:pPr>
        <w:ind w:left="2160" w:hanging="1800"/>
      </w:pPr>
      <w:rPr>
        <w:b/>
        <w:smallCaps w:val="0"/>
        <w:strike w:val="0"/>
        <w:shd w:val="clear" w:color="auto" w:fill="auto"/>
        <w:vertAlign w:val="baseline"/>
      </w:rPr>
    </w:lvl>
  </w:abstractNum>
  <w:abstractNum w:abstractNumId="2" w15:restartNumberingAfterBreak="0">
    <w:nsid w:val="21B2730B"/>
    <w:multiLevelType w:val="multilevel"/>
    <w:tmpl w:val="6A54B0B2"/>
    <w:lvl w:ilvl="0">
      <w:start w:val="1"/>
      <w:numFmt w:val="upperLetter"/>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 w15:restartNumberingAfterBreak="0">
    <w:nsid w:val="23996F9A"/>
    <w:multiLevelType w:val="multilevel"/>
    <w:tmpl w:val="57CEE9D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52A955E2"/>
    <w:multiLevelType w:val="multilevel"/>
    <w:tmpl w:val="2206A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467B6F"/>
    <w:multiLevelType w:val="multilevel"/>
    <w:tmpl w:val="33A0E822"/>
    <w:lvl w:ilvl="0">
      <w:start w:val="2"/>
      <w:numFmt w:val="decimal"/>
      <w:lvlText w:val="%1."/>
      <w:lvlJc w:val="left"/>
      <w:pPr>
        <w:ind w:left="540" w:hanging="540"/>
      </w:pPr>
    </w:lvl>
    <w:lvl w:ilvl="1">
      <w:start w:val="3"/>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B9D"/>
    <w:rsid w:val="002F69D0"/>
    <w:rsid w:val="008A16FD"/>
    <w:rsid w:val="008A6B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6BBA6"/>
  <w15:docId w15:val="{CF8B8BA6-6D34-4DCC-9FCA-33DF694CE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720" w:hanging="1080"/>
      <w:outlineLvl w:val="0"/>
    </w:pPr>
    <w:rPr>
      <w:rFonts w:ascii="Times New Roman" w:eastAsia="Times New Roman" w:hAnsi="Times New Roman" w:cs="Times New Roman"/>
      <w:b/>
    </w:rPr>
  </w:style>
  <w:style w:type="paragraph" w:styleId="Ttulo2">
    <w:name w:val="heading 2"/>
    <w:basedOn w:val="Normal"/>
    <w:next w:val="Normal"/>
    <w:uiPriority w:val="9"/>
    <w:semiHidden/>
    <w:unhideWhenUsed/>
    <w:qFormat/>
    <w:pPr>
      <w:ind w:left="1440" w:right="4" w:hanging="360"/>
      <w:jc w:val="both"/>
      <w:outlineLvl w:val="1"/>
    </w:pPr>
    <w:rPr>
      <w:rFonts w:ascii="Times New Roman" w:eastAsia="Times New Roman" w:hAnsi="Times New Roman" w:cs="Times New Roman"/>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13112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112E"/>
    <w:rPr>
      <w:rFonts w:ascii="Times New Roman" w:hAnsi="Times New Roman" w:cs="Times New Roman"/>
      <w:sz w:val="18"/>
      <w:szCs w:val="18"/>
    </w:rPr>
  </w:style>
  <w:style w:type="character" w:customStyle="1" w:styleId="Ttulo2Car">
    <w:name w:val="Título 2 Car"/>
    <w:basedOn w:val="Fuentedeprrafopredeter"/>
    <w:uiPriority w:val="9"/>
    <w:rsid w:val="00427280"/>
    <w:rPr>
      <w:rFonts w:ascii="Times New Roman" w:hAnsi="Times New Roman" w:cs="Times New Roman"/>
      <w:b/>
      <w:bCs/>
      <w:lang w:val="es-ES"/>
    </w:rPr>
  </w:style>
  <w:style w:type="character" w:customStyle="1" w:styleId="SubttuloCar">
    <w:name w:val="Subtítulo Car"/>
    <w:basedOn w:val="Fuentedeprrafopredeter"/>
    <w:uiPriority w:val="11"/>
    <w:rsid w:val="00015C27"/>
    <w:rPr>
      <w:rFonts w:eastAsiaTheme="minorEastAsia"/>
      <w:color w:val="5A5A5A" w:themeColor="text1" w:themeTint="A5"/>
      <w:spacing w:val="15"/>
      <w:sz w:val="22"/>
      <w:szCs w:val="22"/>
    </w:rPr>
  </w:style>
  <w:style w:type="paragraph" w:styleId="Prrafodelista">
    <w:name w:val="List Paragraph"/>
    <w:basedOn w:val="Normal"/>
    <w:uiPriority w:val="34"/>
    <w:qFormat/>
    <w:rsid w:val="00D92A84"/>
    <w:pPr>
      <w:ind w:left="720"/>
      <w:contextualSpacing/>
    </w:pPr>
  </w:style>
  <w:style w:type="character" w:customStyle="1" w:styleId="Ttulo1Car">
    <w:name w:val="Título 1 Car"/>
    <w:basedOn w:val="Fuentedeprrafopredeter"/>
    <w:uiPriority w:val="9"/>
    <w:rsid w:val="00427280"/>
    <w:rPr>
      <w:rFonts w:ascii="Times New Roman" w:hAnsi="Times New Roman" w:cs="Times New Roman"/>
      <w:b/>
      <w:bCs/>
      <w:lang w:val="es-ES"/>
    </w:rPr>
  </w:style>
  <w:style w:type="paragraph" w:styleId="NormalWeb">
    <w:name w:val="Normal (Web)"/>
    <w:basedOn w:val="Normal"/>
    <w:uiPriority w:val="99"/>
    <w:unhideWhenUsed/>
    <w:rsid w:val="00C06D03"/>
    <w:pPr>
      <w:spacing w:before="100" w:beforeAutospacing="1" w:after="100" w:afterAutospacing="1"/>
    </w:pPr>
    <w:rPr>
      <w:rFonts w:ascii="Times New Roman" w:eastAsia="Times New Roman" w:hAnsi="Times New Roman" w:cs="Times New Roman"/>
    </w:rPr>
  </w:style>
  <w:style w:type="character" w:styleId="Refdecomentario">
    <w:name w:val="annotation reference"/>
    <w:basedOn w:val="Fuentedeprrafopredeter"/>
    <w:uiPriority w:val="99"/>
    <w:semiHidden/>
    <w:unhideWhenUsed/>
    <w:rsid w:val="00050601"/>
    <w:rPr>
      <w:sz w:val="16"/>
      <w:szCs w:val="16"/>
    </w:rPr>
  </w:style>
  <w:style w:type="paragraph" w:styleId="Textocomentario">
    <w:name w:val="annotation text"/>
    <w:basedOn w:val="Normal"/>
    <w:link w:val="TextocomentarioCar"/>
    <w:uiPriority w:val="99"/>
    <w:semiHidden/>
    <w:unhideWhenUsed/>
    <w:rsid w:val="00050601"/>
    <w:rPr>
      <w:rFonts w:ascii="Arial" w:eastAsia="Arial" w:hAnsi="Arial" w:cs="Arial"/>
      <w:sz w:val="20"/>
      <w:szCs w:val="20"/>
      <w:lang w:val="en"/>
    </w:rPr>
  </w:style>
  <w:style w:type="character" w:customStyle="1" w:styleId="TextocomentarioCar">
    <w:name w:val="Texto comentario Car"/>
    <w:basedOn w:val="Fuentedeprrafopredeter"/>
    <w:link w:val="Textocomentario"/>
    <w:uiPriority w:val="99"/>
    <w:semiHidden/>
    <w:rsid w:val="00050601"/>
    <w:rPr>
      <w:rFonts w:ascii="Arial" w:eastAsia="Arial" w:hAnsi="Arial" w:cs="Arial"/>
      <w:sz w:val="20"/>
      <w:szCs w:val="20"/>
      <w:lang w:val="en"/>
    </w:rPr>
  </w:style>
  <w:style w:type="paragraph" w:styleId="TtuloTDC">
    <w:name w:val="TOC Heading"/>
    <w:next w:val="Normal"/>
    <w:uiPriority w:val="39"/>
    <w:unhideWhenUsed/>
    <w:qFormat/>
    <w:rsid w:val="00AB6EB3"/>
    <w:pPr>
      <w:keepNext/>
      <w:keepLines/>
      <w:spacing w:before="480" w:line="276" w:lineRule="auto"/>
    </w:pPr>
    <w:rPr>
      <w:rFonts w:asciiTheme="majorHAnsi" w:eastAsiaTheme="majorEastAsia" w:hAnsiTheme="majorHAnsi" w:cstheme="majorBidi"/>
      <w:color w:val="2F5496" w:themeColor="accent1" w:themeShade="BF"/>
      <w:sz w:val="28"/>
      <w:szCs w:val="28"/>
      <w:lang w:val="en-US"/>
    </w:rPr>
  </w:style>
  <w:style w:type="paragraph" w:styleId="TDC1">
    <w:name w:val="toc 1"/>
    <w:basedOn w:val="Normal"/>
    <w:next w:val="Normal"/>
    <w:autoRedefine/>
    <w:uiPriority w:val="39"/>
    <w:unhideWhenUsed/>
    <w:rsid w:val="00AB6EB3"/>
    <w:pPr>
      <w:spacing w:before="120"/>
    </w:pPr>
    <w:rPr>
      <w:rFonts w:cstheme="minorHAnsi"/>
      <w:b/>
      <w:bCs/>
      <w:i/>
      <w:iCs/>
    </w:rPr>
  </w:style>
  <w:style w:type="character" w:styleId="Hipervnculo">
    <w:name w:val="Hyperlink"/>
    <w:basedOn w:val="Fuentedeprrafopredeter"/>
    <w:uiPriority w:val="99"/>
    <w:unhideWhenUsed/>
    <w:rsid w:val="00AB6EB3"/>
    <w:rPr>
      <w:color w:val="0563C1" w:themeColor="hyperlink"/>
      <w:u w:val="single"/>
    </w:rPr>
  </w:style>
  <w:style w:type="paragraph" w:styleId="TDC2">
    <w:name w:val="toc 2"/>
    <w:basedOn w:val="Normal"/>
    <w:next w:val="Normal"/>
    <w:autoRedefine/>
    <w:uiPriority w:val="39"/>
    <w:unhideWhenUsed/>
    <w:rsid w:val="00AB6EB3"/>
    <w:pPr>
      <w:spacing w:before="120"/>
      <w:ind w:left="240"/>
    </w:pPr>
    <w:rPr>
      <w:rFonts w:cstheme="minorHAnsi"/>
      <w:b/>
      <w:bCs/>
      <w:sz w:val="22"/>
      <w:szCs w:val="22"/>
    </w:rPr>
  </w:style>
  <w:style w:type="paragraph" w:styleId="TDC3">
    <w:name w:val="toc 3"/>
    <w:basedOn w:val="Normal"/>
    <w:next w:val="Normal"/>
    <w:autoRedefine/>
    <w:uiPriority w:val="39"/>
    <w:semiHidden/>
    <w:unhideWhenUsed/>
    <w:rsid w:val="00AB6EB3"/>
    <w:pPr>
      <w:ind w:left="480"/>
    </w:pPr>
    <w:rPr>
      <w:rFonts w:cstheme="minorHAnsi"/>
      <w:sz w:val="20"/>
      <w:szCs w:val="20"/>
    </w:rPr>
  </w:style>
  <w:style w:type="paragraph" w:styleId="TDC4">
    <w:name w:val="toc 4"/>
    <w:basedOn w:val="Normal"/>
    <w:next w:val="Normal"/>
    <w:autoRedefine/>
    <w:uiPriority w:val="39"/>
    <w:semiHidden/>
    <w:unhideWhenUsed/>
    <w:rsid w:val="00AB6EB3"/>
    <w:pPr>
      <w:ind w:left="720"/>
    </w:pPr>
    <w:rPr>
      <w:rFonts w:cstheme="minorHAnsi"/>
      <w:sz w:val="20"/>
      <w:szCs w:val="20"/>
    </w:rPr>
  </w:style>
  <w:style w:type="paragraph" w:styleId="TDC5">
    <w:name w:val="toc 5"/>
    <w:basedOn w:val="Normal"/>
    <w:next w:val="Normal"/>
    <w:autoRedefine/>
    <w:uiPriority w:val="39"/>
    <w:semiHidden/>
    <w:unhideWhenUsed/>
    <w:rsid w:val="00AB6EB3"/>
    <w:pPr>
      <w:ind w:left="960"/>
    </w:pPr>
    <w:rPr>
      <w:rFonts w:cstheme="minorHAnsi"/>
      <w:sz w:val="20"/>
      <w:szCs w:val="20"/>
    </w:rPr>
  </w:style>
  <w:style w:type="paragraph" w:styleId="TDC6">
    <w:name w:val="toc 6"/>
    <w:basedOn w:val="Normal"/>
    <w:next w:val="Normal"/>
    <w:autoRedefine/>
    <w:uiPriority w:val="39"/>
    <w:semiHidden/>
    <w:unhideWhenUsed/>
    <w:rsid w:val="00AB6EB3"/>
    <w:pPr>
      <w:ind w:left="1200"/>
    </w:pPr>
    <w:rPr>
      <w:rFonts w:cstheme="minorHAnsi"/>
      <w:sz w:val="20"/>
      <w:szCs w:val="20"/>
    </w:rPr>
  </w:style>
  <w:style w:type="paragraph" w:styleId="TDC7">
    <w:name w:val="toc 7"/>
    <w:basedOn w:val="Normal"/>
    <w:next w:val="Normal"/>
    <w:autoRedefine/>
    <w:uiPriority w:val="39"/>
    <w:semiHidden/>
    <w:unhideWhenUsed/>
    <w:rsid w:val="00AB6EB3"/>
    <w:pPr>
      <w:ind w:left="1440"/>
    </w:pPr>
    <w:rPr>
      <w:rFonts w:cstheme="minorHAnsi"/>
      <w:sz w:val="20"/>
      <w:szCs w:val="20"/>
    </w:rPr>
  </w:style>
  <w:style w:type="paragraph" w:styleId="TDC8">
    <w:name w:val="toc 8"/>
    <w:basedOn w:val="Normal"/>
    <w:next w:val="Normal"/>
    <w:autoRedefine/>
    <w:uiPriority w:val="39"/>
    <w:semiHidden/>
    <w:unhideWhenUsed/>
    <w:rsid w:val="00AB6EB3"/>
    <w:pPr>
      <w:ind w:left="1680"/>
    </w:pPr>
    <w:rPr>
      <w:rFonts w:cstheme="minorHAnsi"/>
      <w:sz w:val="20"/>
      <w:szCs w:val="20"/>
    </w:rPr>
  </w:style>
  <w:style w:type="paragraph" w:styleId="TDC9">
    <w:name w:val="toc 9"/>
    <w:basedOn w:val="Normal"/>
    <w:next w:val="Normal"/>
    <w:autoRedefine/>
    <w:uiPriority w:val="39"/>
    <w:semiHidden/>
    <w:unhideWhenUsed/>
    <w:rsid w:val="00AB6EB3"/>
    <w:pPr>
      <w:ind w:left="1920"/>
    </w:pPr>
    <w:rPr>
      <w:rFonts w:cstheme="minorHAnsi"/>
      <w:sz w:val="20"/>
      <w:szCs w:val="20"/>
    </w:rPr>
  </w:style>
  <w:style w:type="paragraph" w:styleId="Encabezado">
    <w:name w:val="header"/>
    <w:basedOn w:val="Normal"/>
    <w:link w:val="EncabezadoCar"/>
    <w:uiPriority w:val="99"/>
    <w:unhideWhenUsed/>
    <w:rsid w:val="00C34D4D"/>
    <w:pPr>
      <w:tabs>
        <w:tab w:val="center" w:pos="4680"/>
        <w:tab w:val="right" w:pos="9360"/>
      </w:tabs>
    </w:pPr>
  </w:style>
  <w:style w:type="character" w:customStyle="1" w:styleId="EncabezadoCar">
    <w:name w:val="Encabezado Car"/>
    <w:basedOn w:val="Fuentedeprrafopredeter"/>
    <w:link w:val="Encabezado"/>
    <w:uiPriority w:val="99"/>
    <w:rsid w:val="00C34D4D"/>
  </w:style>
  <w:style w:type="paragraph" w:styleId="Piedepgina">
    <w:name w:val="footer"/>
    <w:basedOn w:val="Normal"/>
    <w:link w:val="PiedepginaCar"/>
    <w:uiPriority w:val="99"/>
    <w:unhideWhenUsed/>
    <w:rsid w:val="00C34D4D"/>
    <w:pPr>
      <w:tabs>
        <w:tab w:val="center" w:pos="4680"/>
        <w:tab w:val="right" w:pos="9360"/>
      </w:tabs>
    </w:pPr>
  </w:style>
  <w:style w:type="character" w:customStyle="1" w:styleId="PiedepginaCar">
    <w:name w:val="Pie de página Car"/>
    <w:basedOn w:val="Fuentedeprrafopredeter"/>
    <w:link w:val="Piedepgina"/>
    <w:uiPriority w:val="99"/>
    <w:rsid w:val="00C34D4D"/>
  </w:style>
  <w:style w:type="character" w:styleId="Nmerodepgina">
    <w:name w:val="page number"/>
    <w:basedOn w:val="Fuentedeprrafopredeter"/>
    <w:uiPriority w:val="99"/>
    <w:semiHidden/>
    <w:unhideWhenUsed/>
    <w:rsid w:val="00C34D4D"/>
  </w:style>
  <w:style w:type="character" w:customStyle="1" w:styleId="apple-converted-space">
    <w:name w:val="apple-converted-space"/>
    <w:basedOn w:val="Fuentedeprrafopredeter"/>
    <w:rsid w:val="00127682"/>
  </w:style>
  <w:style w:type="paragraph" w:styleId="Textonotapie">
    <w:name w:val="footnote text"/>
    <w:basedOn w:val="Normal"/>
    <w:link w:val="TextonotapieCar"/>
    <w:uiPriority w:val="99"/>
    <w:unhideWhenUsed/>
    <w:rsid w:val="0093394E"/>
    <w:rPr>
      <w:sz w:val="20"/>
      <w:szCs w:val="20"/>
    </w:rPr>
  </w:style>
  <w:style w:type="character" w:customStyle="1" w:styleId="TextonotapieCar">
    <w:name w:val="Texto nota pie Car"/>
    <w:basedOn w:val="Fuentedeprrafopredeter"/>
    <w:link w:val="Textonotapie"/>
    <w:uiPriority w:val="99"/>
    <w:rsid w:val="0093394E"/>
    <w:rPr>
      <w:sz w:val="20"/>
      <w:szCs w:val="20"/>
    </w:rPr>
  </w:style>
  <w:style w:type="character" w:styleId="Refdenotaalpie">
    <w:name w:val="footnote reference"/>
    <w:basedOn w:val="Fuentedeprrafopredeter"/>
    <w:uiPriority w:val="99"/>
    <w:semiHidden/>
    <w:unhideWhenUsed/>
    <w:rsid w:val="0093394E"/>
    <w:rPr>
      <w:vertAlign w:val="superscript"/>
    </w:rPr>
  </w:style>
  <w:style w:type="character" w:styleId="nfasis">
    <w:name w:val="Emphasis"/>
    <w:basedOn w:val="Fuentedeprrafopredeter"/>
    <w:uiPriority w:val="20"/>
    <w:qFormat/>
    <w:rsid w:val="00E40BC3"/>
    <w:rPr>
      <w:i/>
      <w:iCs/>
    </w:rPr>
  </w:style>
  <w:style w:type="character" w:styleId="Textoennegrita">
    <w:name w:val="Strong"/>
    <w:basedOn w:val="Fuentedeprrafopredeter"/>
    <w:uiPriority w:val="22"/>
    <w:qFormat/>
    <w:rsid w:val="00E40BC3"/>
    <w:rPr>
      <w:b/>
      <w:bCs/>
    </w:rPr>
  </w:style>
  <w:style w:type="paragraph" w:customStyle="1" w:styleId="Cuerpo">
    <w:name w:val="Cuerpo"/>
    <w:rsid w:val="00AE37B8"/>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Ninguno">
    <w:name w:val="Ninguno"/>
    <w:rsid w:val="00AE37B8"/>
  </w:style>
  <w:style w:type="character" w:customStyle="1" w:styleId="Hyperlink1">
    <w:name w:val="Hyperlink.1"/>
    <w:basedOn w:val="Ninguno"/>
    <w:rsid w:val="00AE37B8"/>
    <w:rPr>
      <w:b/>
      <w:bCs/>
    </w:rPr>
  </w:style>
  <w:style w:type="numbering" w:customStyle="1" w:styleId="Estiloimportado1">
    <w:name w:val="Estilo importado 1"/>
    <w:rsid w:val="00AE37B8"/>
  </w:style>
  <w:style w:type="paragraph" w:customStyle="1" w:styleId="Predeterminado">
    <w:name w:val="Predeterminado"/>
    <w:rsid w:val="00AE37B8"/>
    <w:pPr>
      <w:pBdr>
        <w:top w:val="nil"/>
        <w:left w:val="nil"/>
        <w:bottom w:val="nil"/>
        <w:right w:val="nil"/>
        <w:between w:val="nil"/>
        <w:bar w:val="nil"/>
      </w:pBdr>
      <w:spacing w:before="160" w:line="288"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character" w:customStyle="1" w:styleId="Hyperlink2">
    <w:name w:val="Hyperlink.2"/>
    <w:basedOn w:val="Ninguno"/>
    <w:rsid w:val="00AE37B8"/>
    <w:rPr>
      <w:i/>
      <w:iCs/>
    </w:rPr>
  </w:style>
  <w:style w:type="paragraph" w:styleId="Asuntodelcomentario">
    <w:name w:val="annotation subject"/>
    <w:basedOn w:val="Textocomentario"/>
    <w:next w:val="Textocomentario"/>
    <w:link w:val="AsuntodelcomentarioCar"/>
    <w:uiPriority w:val="99"/>
    <w:semiHidden/>
    <w:unhideWhenUsed/>
    <w:rsid w:val="00BB7DBE"/>
    <w:rPr>
      <w:rFonts w:ascii="Calibri" w:eastAsia="Calibri" w:hAnsi="Calibri" w:cs="Calibri"/>
      <w:b/>
      <w:bCs/>
      <w:lang w:val="es-ES_tradnl"/>
    </w:rPr>
  </w:style>
  <w:style w:type="character" w:customStyle="1" w:styleId="AsuntodelcomentarioCar">
    <w:name w:val="Asunto del comentario Car"/>
    <w:basedOn w:val="TextocomentarioCar"/>
    <w:link w:val="Asuntodelcomentario"/>
    <w:uiPriority w:val="99"/>
    <w:semiHidden/>
    <w:rsid w:val="00BB7DBE"/>
    <w:rPr>
      <w:rFonts w:ascii="Arial" w:eastAsia="Arial" w:hAnsi="Arial" w:cs="Arial"/>
      <w:b/>
      <w:bCs/>
      <w:sz w:val="20"/>
      <w:szCs w:val="20"/>
      <w:lang w:val="en"/>
    </w:rPr>
  </w:style>
  <w:style w:type="paragraph" w:styleId="Revisin">
    <w:name w:val="Revision"/>
    <w:hidden/>
    <w:uiPriority w:val="99"/>
    <w:semiHidden/>
    <w:rsid w:val="00950720"/>
  </w:style>
  <w:style w:type="character" w:customStyle="1" w:styleId="Mencinsinresolver1">
    <w:name w:val="Mención sin resolver1"/>
    <w:basedOn w:val="Fuentedeprrafopredeter"/>
    <w:uiPriority w:val="99"/>
    <w:semiHidden/>
    <w:unhideWhenUsed/>
    <w:rsid w:val="008824D0"/>
    <w:rPr>
      <w:color w:val="605E5C"/>
      <w:shd w:val="clear" w:color="auto" w:fill="E1DFDD"/>
    </w:rPr>
  </w:style>
  <w:style w:type="paragraph" w:styleId="Textonotaalfinal">
    <w:name w:val="endnote text"/>
    <w:basedOn w:val="Normal"/>
    <w:link w:val="TextonotaalfinalCar"/>
    <w:uiPriority w:val="99"/>
    <w:semiHidden/>
    <w:unhideWhenUsed/>
    <w:rsid w:val="008824D0"/>
    <w:rPr>
      <w:sz w:val="20"/>
      <w:szCs w:val="20"/>
    </w:rPr>
  </w:style>
  <w:style w:type="character" w:customStyle="1" w:styleId="TextonotaalfinalCar">
    <w:name w:val="Texto nota al final Car"/>
    <w:basedOn w:val="Fuentedeprrafopredeter"/>
    <w:link w:val="Textonotaalfinal"/>
    <w:uiPriority w:val="99"/>
    <w:semiHidden/>
    <w:rsid w:val="008824D0"/>
    <w:rPr>
      <w:sz w:val="20"/>
      <w:szCs w:val="20"/>
    </w:rPr>
  </w:style>
  <w:style w:type="character" w:styleId="Refdenotaalfinal">
    <w:name w:val="endnote reference"/>
    <w:basedOn w:val="Fuentedeprrafopredeter"/>
    <w:uiPriority w:val="99"/>
    <w:semiHidden/>
    <w:unhideWhenUsed/>
    <w:rsid w:val="008824D0"/>
    <w:rPr>
      <w:vertAlign w:val="superscript"/>
    </w:rPr>
  </w:style>
  <w:style w:type="character" w:styleId="Hipervnculovisitado">
    <w:name w:val="FollowedHyperlink"/>
    <w:basedOn w:val="Fuentedeprrafopredeter"/>
    <w:uiPriority w:val="99"/>
    <w:semiHidden/>
    <w:unhideWhenUsed/>
    <w:rsid w:val="008824D0"/>
    <w:rPr>
      <w:color w:val="954F72" w:themeColor="followedHyperlink"/>
      <w:u w:val="single"/>
    </w:rPr>
  </w:style>
  <w:style w:type="character" w:styleId="Mencinsinresolver">
    <w:name w:val="Unresolved Mention"/>
    <w:basedOn w:val="Fuentedeprrafopredeter"/>
    <w:uiPriority w:val="99"/>
    <w:semiHidden/>
    <w:unhideWhenUsed/>
    <w:rsid w:val="0020425E"/>
    <w:rPr>
      <w:color w:val="605E5C"/>
      <w:shd w:val="clear" w:color="auto" w:fill="E1DFDD"/>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paragraph" w:styleId="Subttulo">
    <w:name w:val="Subtitle"/>
    <w:basedOn w:val="Normal"/>
    <w:next w:val="Normal"/>
    <w:uiPriority w:val="11"/>
    <w:qFormat/>
    <w:pPr>
      <w:spacing w:after="160"/>
    </w:pPr>
    <w:rPr>
      <w:color w:val="5A5A5A"/>
      <w:sz w:val="22"/>
      <w:szCs w:val="22"/>
    </w:r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s://www.senalmemoria.co/articulos/villa-de-leyva-escenario-historic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dane.gov.co/files/censo2005/PERFIL_PDF_CG2005/15407T7T000.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envilladeleyva.com/turismo/informacion-de-interes/historia/"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humanas.unal.edu.co/bvc/exhibits/show/antonio_narino/biografia" TargetMode="External"/><Relationship Id="rId20" Type="http://schemas.openxmlformats.org/officeDocument/2006/relationships/hyperlink" Target="http://www.villaleyvanos.com/autres/informacion/historia/histori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turismoencolombia.com/travel-guide/villa-de-leyva-turismo/"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secretariasenado.gov.co/senado/basedoc/ley_0005_1992_pr004.html"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envilladeleyva.com/turismo/informacion-de-interes/histori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villadeleyva-boyaca.gov.co/MiMunicipio/Paginas/Informacion-del-Municipio.aspx"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wilmer.castellanos@camara.gov.co" TargetMode="External"/><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senalmemoria.co/articulos/villa-de-leyva-escenario-historico" TargetMode="External"/><Relationship Id="rId2" Type="http://schemas.openxmlformats.org/officeDocument/2006/relationships/hyperlink" Target="https://envilladeleyva.com/turismo/informacion-de-interes/historia/" TargetMode="External"/><Relationship Id="rId1" Type="http://schemas.openxmlformats.org/officeDocument/2006/relationships/hyperlink" Target="https://www.humanas.unal.edu.co/bvc/exhibits/show/antonio_narino/biografia" TargetMode="External"/><Relationship Id="rId6" Type="http://schemas.openxmlformats.org/officeDocument/2006/relationships/hyperlink" Target="https://www.villadeleyva-boyaca.gov.co/MiMunicipio/Paginas/Informacion-del-Municipio.aspx" TargetMode="External"/><Relationship Id="rId5" Type="http://schemas.openxmlformats.org/officeDocument/2006/relationships/hyperlink" Target="https://www.dane.gov.co/index.php/estadisticas-por-tema/demografia-y-poblacion/proyecciones-de-poblacion" TargetMode="External"/><Relationship Id="rId4" Type="http://schemas.openxmlformats.org/officeDocument/2006/relationships/hyperlink" Target="http://www.villaleyvanos.com/autres/informacion/historia/historia.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t4+77XrU66adyNMTEibyPgNaw==">CgMxLjAyCGguZ2pkZ3hzMgloLjFmb2I5dGUyDmguNmF4ZzBnaXlodDY0MgloLjN6bnlzaDcyCWguMmV0OTJwMDIIaC50eWpjd3QyDmguc3l0YW1hcHg5aHF4MgloLjNkeTZ2a20yDmguaWRxMXgwNDk2YmpsMg5oLmZiNXBtaWU4a2t4eDIOaC5jNm02Nzhya2x4cmMyDmgubGpseW1ncWVodGRtMg5oLmo1cjRkODdxZDIzajIOaC44NDUzODByM2l2YXgyDmgueWNwdnI1NGVjM2phMg5oLjIzZXZ4ZGNma2FjdjIOaC5wd3p5Z2gzZ3VvZjMyDmguNzJxMG1rejE3am9nMgloLjF0M2g1c2YyCWguNGQzNG9nODgAciExTVdtTEc2VktCcmswRlNoMkprRm9DcFdIQ1VKOE5jZ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6193</Words>
  <Characters>34065</Characters>
  <Application>Microsoft Office Word</Application>
  <DocSecurity>0</DocSecurity>
  <Lines>283</Lines>
  <Paragraphs>80</Paragraphs>
  <ScaleCrop>false</ScaleCrop>
  <Company/>
  <LinksUpToDate>false</LinksUpToDate>
  <CharactersWithSpaces>40178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del Pilar Rodríguez Cuéllar</dc:creator>
  <cp:lastModifiedBy>Maria Camila Lopez Hernandez</cp:lastModifiedBy>
  <cp:revision>2</cp:revision>
  <dcterms:created xsi:type="dcterms:W3CDTF">2023-05-09T01:35:00Z</dcterms:created>
  <dcterms:modified xsi:type="dcterms:W3CDTF">2025-07-28T20:54:00Z</dcterms:modified>
</cp:coreProperties>
</file>