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4B693" w14:textId="77777777" w:rsidR="004C2B5D" w:rsidRDefault="00AD159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PROYECTO DE LEY</w:t>
      </w:r>
    </w:p>
    <w:p w14:paraId="7A2CD0C8" w14:textId="77777777" w:rsidR="004C2B5D" w:rsidRDefault="004C2B5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24528F61" w14:textId="77777777" w:rsidR="004C2B5D" w:rsidRDefault="00AD159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“POR MEDIO DE LA CUAL SE DIGNIFICAN A LOS VETERANOS Y SUS FAMILIAS, SE MODIFICA LA LEY 1979 DE 2019 Y SE DICTAN OTRAS DISPOSICIONES”</w:t>
      </w:r>
    </w:p>
    <w:p w14:paraId="0E53467F" w14:textId="77777777" w:rsidR="004C2B5D" w:rsidRDefault="004C2B5D">
      <w:pPr>
        <w:spacing w:line="276" w:lineRule="auto"/>
        <w:rPr>
          <w:rFonts w:ascii="Times New Roman" w:eastAsia="Times New Roman" w:hAnsi="Times New Roman" w:cs="Times New Roman"/>
          <w:b/>
          <w:sz w:val="24"/>
          <w:szCs w:val="24"/>
        </w:rPr>
      </w:pPr>
    </w:p>
    <w:p w14:paraId="2BC429D7" w14:textId="77777777" w:rsidR="004C2B5D" w:rsidRDefault="00AD1592">
      <w:pPr>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Colombia</w:t>
      </w:r>
    </w:p>
    <w:p w14:paraId="1F85DD52" w14:textId="77777777" w:rsidR="004C2B5D" w:rsidRDefault="00AD1592">
      <w:pPr>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14:paraId="6D885FD0" w14:textId="04C8ED67" w:rsidR="004C2B5D" w:rsidRDefault="00AD159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Objeto. </w:t>
      </w:r>
      <w:r>
        <w:rPr>
          <w:rFonts w:ascii="Times New Roman" w:eastAsia="Times New Roman" w:hAnsi="Times New Roman" w:cs="Times New Roman"/>
          <w:sz w:val="24"/>
          <w:szCs w:val="24"/>
        </w:rPr>
        <w:t xml:space="preserve">El objeto de esta ley </w:t>
      </w:r>
      <w:r w:rsidR="00123613">
        <w:rPr>
          <w:rFonts w:ascii="Times New Roman" w:eastAsia="Times New Roman" w:hAnsi="Times New Roman" w:cs="Times New Roman"/>
          <w:sz w:val="24"/>
          <w:szCs w:val="24"/>
        </w:rPr>
        <w:t>es modificar</w:t>
      </w:r>
      <w:r>
        <w:rPr>
          <w:rFonts w:ascii="Times New Roman" w:eastAsia="Times New Roman" w:hAnsi="Times New Roman" w:cs="Times New Roman"/>
          <w:sz w:val="24"/>
          <w:szCs w:val="24"/>
        </w:rPr>
        <w:t xml:space="preserve"> la ley 1979 </w:t>
      </w:r>
      <w:r w:rsidR="00123613">
        <w:rPr>
          <w:rFonts w:ascii="Times New Roman" w:eastAsia="Times New Roman" w:hAnsi="Times New Roman" w:cs="Times New Roman"/>
          <w:sz w:val="24"/>
          <w:szCs w:val="24"/>
        </w:rPr>
        <w:t>ampliando beneficios</w:t>
      </w:r>
      <w:r>
        <w:rPr>
          <w:rFonts w:ascii="Times New Roman" w:eastAsia="Times New Roman" w:hAnsi="Times New Roman" w:cs="Times New Roman"/>
          <w:sz w:val="24"/>
          <w:szCs w:val="24"/>
        </w:rPr>
        <w:t xml:space="preserve"> a todos los miembros de la Fuerza Pública y sus familias, garantizando la equidad e igualdad en la labor que desempeñaron en la protección de la soberanía de Colombia.</w:t>
      </w:r>
    </w:p>
    <w:p w14:paraId="23D0A447" w14:textId="77777777" w:rsidR="004C2B5D" w:rsidRDefault="00AD1592">
      <w:pPr>
        <w:shd w:val="clear" w:color="auto" w:fill="FFFFFF"/>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 Modifíquese el artículo 23 de la ley 1979 de 2019 beneficio en la liquidación de la pensión de invalidez.</w:t>
      </w:r>
      <w:r>
        <w:rPr>
          <w:rFonts w:ascii="Times New Roman" w:eastAsia="Times New Roman" w:hAnsi="Times New Roman" w:cs="Times New Roman"/>
          <w:sz w:val="24"/>
          <w:szCs w:val="24"/>
        </w:rPr>
        <w:t> Los Oficiales, Suboficiales, personal del Nivel Ejecutivo, Patrulleros de Policía, Agentes, Soldados Voluntarios e Infantes de Marina Voluntarios, Soldados Profesionales e Infantes de Marina Profesionales, Soldados Profesionales de la Fuerza Aérea que hayan sido pensionados por invalidez, originada en el servicio como consecuencia de actos meritorios del mismo, en el servicio por causa y razón del mismo, en combate o en accidente relacionado con el mismo, o por acción directa del enemigo, en tareas de mantenimiento o restablecimiento del orden público o en conflicto internacional, accidente de trabajo o enfermedad profesional causado por el mismo, tendrán derecho a partir de la vigencia de la presente ley, a que el valor de la pensión de invalidez se incremente al último salario devengado con sus partidas computables  por el uniformado estando en servicio activo.</w:t>
      </w:r>
    </w:p>
    <w:p w14:paraId="163AF90F" w14:textId="77777777" w:rsidR="004C2B5D" w:rsidRDefault="00AD1592">
      <w:pPr>
        <w:shd w:val="clear" w:color="auto" w:fill="FFFFFF"/>
        <w:spacing w:before="280" w:after="280"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PARÁGRAFO 1º.</w:t>
      </w:r>
      <w:r>
        <w:rPr>
          <w:rFonts w:ascii="Times New Roman" w:eastAsia="Times New Roman" w:hAnsi="Times New Roman" w:cs="Times New Roman"/>
          <w:sz w:val="24"/>
          <w:szCs w:val="24"/>
        </w:rPr>
        <w:t> Para los Soldados e Infantes de Marina Regulares y Auxiliares de Policía, que estén prestando el servicio militar obligatorio que hayan sido pensionados por invalidez, originada en el servicio como consecuencia de actos meritorios del mismo, en combate o en accidente relacionado con el mismo, o por acción directa del enemigo, en tareas de mantenimiento o restablecimiento del orden público o en conflicto internacional, o accidente laboral en razón del mismo, tendrán derecho a partir de la vigencia de la presente ley, a que el valor de la pensión de invalidez sea  (100%) del salario básico devengado, en servicio activo, por un cabo tercero o su equivalente en las Fuerzas Militares, y un cabo segundo de la Policía Nacional.</w:t>
      </w:r>
    </w:p>
    <w:p w14:paraId="6F716FF1" w14:textId="0F5C38C7" w:rsidR="004C2B5D" w:rsidRDefault="00123613">
      <w:pPr>
        <w:shd w:val="clear" w:color="auto" w:fill="FFFFFF"/>
        <w:spacing w:before="280" w:after="280"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lastRenderedPageBreak/>
        <w:t>PARÁGRAFO 2º.</w:t>
      </w:r>
      <w:r w:rsidR="00AD1592">
        <w:rPr>
          <w:rFonts w:ascii="Times New Roman" w:eastAsia="Times New Roman" w:hAnsi="Times New Roman" w:cs="Times New Roman"/>
          <w:color w:val="333333"/>
          <w:sz w:val="24"/>
          <w:szCs w:val="24"/>
        </w:rPr>
        <w:t> Para los soldados e infantes de marina regulares y auxiliares de policía de la Policía Nacional, que hayan sido pensionados por invalidez, originada en el servicio como consecuencia de actos meritorios del mismo, en combate o en accidente relacionado con el mismo, o por acción directa del enemigo, en tareas de mantenimiento o restablecimiento del orden público o en conflicto internacional, tendrán derecho a partir de la vigencia de la presente ley, a que el valor de la pensión de invalidez se le incremente al ciento por ciento (100%) del salario básico devengado, en servicio activo, por un cabo tercero o su equivalente en las Fuerzas Militares, y un cabo segundo de la Policía Nacional.</w:t>
      </w:r>
    </w:p>
    <w:p w14:paraId="6DE052EE" w14:textId="36F51669" w:rsidR="004C2B5D" w:rsidRDefault="00AD1592">
      <w:pPr>
        <w:shd w:val="clear" w:color="auto" w:fill="FFFFFF"/>
        <w:spacing w:before="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Artículo </w:t>
      </w:r>
      <w:r>
        <w:rPr>
          <w:rFonts w:ascii="Times New Roman" w:eastAsia="Times New Roman" w:hAnsi="Times New Roman" w:cs="Times New Roman"/>
          <w:b/>
          <w:sz w:val="24"/>
          <w:szCs w:val="24"/>
        </w:rPr>
        <w:t>3. Pensión de sobreviviente.:</w:t>
      </w:r>
      <w:r>
        <w:rPr>
          <w:rFonts w:ascii="Times New Roman" w:eastAsia="Times New Roman" w:hAnsi="Times New Roman" w:cs="Times New Roman"/>
          <w:sz w:val="24"/>
          <w:szCs w:val="24"/>
        </w:rPr>
        <w:t xml:space="preserve"> Las viudas, huérfanos, padres o madres que tengan pensión por el ministerio de defensa tendrá el derecho que se le pague el cien por ciento (100%) del básico y las partidas computables que </w:t>
      </w:r>
      <w:r w:rsidR="00123613">
        <w:rPr>
          <w:rFonts w:ascii="Times New Roman" w:eastAsia="Times New Roman" w:hAnsi="Times New Roman" w:cs="Times New Roman"/>
          <w:sz w:val="24"/>
          <w:szCs w:val="24"/>
        </w:rPr>
        <w:t>devengaba el</w:t>
      </w:r>
      <w:r>
        <w:rPr>
          <w:rFonts w:ascii="Times New Roman" w:eastAsia="Times New Roman" w:hAnsi="Times New Roman" w:cs="Times New Roman"/>
          <w:sz w:val="24"/>
          <w:szCs w:val="24"/>
        </w:rPr>
        <w:t xml:space="preserve"> uniformado al momento de su deceso</w:t>
      </w:r>
      <w:r>
        <w:rPr>
          <w:rFonts w:ascii="Times New Roman" w:eastAsia="Times New Roman" w:hAnsi="Times New Roman" w:cs="Times New Roman"/>
          <w:b/>
          <w:sz w:val="24"/>
          <w:szCs w:val="24"/>
        </w:rPr>
        <w:t>.</w:t>
      </w:r>
    </w:p>
    <w:p w14:paraId="51DA6155" w14:textId="77777777" w:rsidR="004C2B5D" w:rsidRDefault="00AD1592">
      <w:pPr>
        <w:shd w:val="clear" w:color="auto" w:fill="FFFFFF"/>
        <w:spacing w:before="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4. Participación en programas sociales: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personal de veteranos y su núcleo familiar, viudas y huérfanos podrán participar en la oferta institucional y ser beneficiado en todos los programas sociales que oferte el estado colombiano y no se le exigirá como requisito la clasificación del SISBEN.</w:t>
      </w:r>
    </w:p>
    <w:p w14:paraId="41D4D0DF" w14:textId="77777777" w:rsidR="004C2B5D" w:rsidRDefault="00AD1592">
      <w:pPr>
        <w:shd w:val="clear" w:color="auto" w:fill="FFFFFF"/>
        <w:spacing w:before="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Artículo 5.</w:t>
      </w:r>
      <w:r>
        <w:rPr>
          <w:rFonts w:ascii="Times New Roman" w:eastAsia="Times New Roman" w:hAnsi="Times New Roman" w:cs="Times New Roman"/>
          <w:b/>
          <w:sz w:val="24"/>
          <w:szCs w:val="24"/>
        </w:rPr>
        <w:t xml:space="preserve"> Estampilla veteranos con discapacidad: </w:t>
      </w:r>
      <w:r>
        <w:rPr>
          <w:rFonts w:ascii="Times New Roman" w:eastAsia="Times New Roman" w:hAnsi="Times New Roman" w:cs="Times New Roman"/>
          <w:sz w:val="24"/>
          <w:szCs w:val="24"/>
        </w:rPr>
        <w:t>Créase la Estampilla denominada "Veteranos en situación de discapacidad"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 la finalidad de financiar las prerrogativas contenidas en los artículos 2 y 3 de la presente ley.</w:t>
      </w:r>
    </w:p>
    <w:p w14:paraId="1C5DD06F" w14:textId="763D8F92" w:rsidR="004C2B5D" w:rsidRDefault="00AD1592">
      <w:pPr>
        <w:shd w:val="clear" w:color="auto" w:fill="FFFFFF"/>
        <w:spacing w:before="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Artículo 6:  Hecho generador. </w:t>
      </w:r>
      <w:r>
        <w:rPr>
          <w:rFonts w:ascii="Times New Roman" w:eastAsia="Times New Roman" w:hAnsi="Times New Roman" w:cs="Times New Roman"/>
          <w:sz w:val="24"/>
          <w:szCs w:val="24"/>
          <w:highlight w:val="white"/>
        </w:rPr>
        <w:t xml:space="preserve">Establézcase el gravamen de la estampilla “Veteranos en situación de discapacidad” a los contratos estatales de obra, consultoría, y </w:t>
      </w:r>
      <w:r w:rsidR="00123613">
        <w:rPr>
          <w:rFonts w:ascii="Times New Roman" w:eastAsia="Times New Roman" w:hAnsi="Times New Roman" w:cs="Times New Roman"/>
          <w:sz w:val="24"/>
          <w:szCs w:val="24"/>
          <w:highlight w:val="white"/>
        </w:rPr>
        <w:t xml:space="preserve">suministro, </w:t>
      </w:r>
      <w:r w:rsidR="00123613">
        <w:rPr>
          <w:rFonts w:ascii="Times New Roman" w:eastAsia="Times New Roman" w:hAnsi="Times New Roman" w:cs="Times New Roman"/>
          <w:sz w:val="24"/>
          <w:szCs w:val="24"/>
        </w:rPr>
        <w:t>venta</w:t>
      </w:r>
      <w:r>
        <w:rPr>
          <w:rFonts w:ascii="Times New Roman" w:eastAsia="Times New Roman" w:hAnsi="Times New Roman" w:cs="Times New Roman"/>
          <w:sz w:val="24"/>
          <w:szCs w:val="24"/>
        </w:rPr>
        <w:t xml:space="preserve"> de armas y cualquier trámite que se desarrollen en el </w:t>
      </w:r>
      <w:r>
        <w:rPr>
          <w:rFonts w:ascii="Times New Roman" w:eastAsia="Times New Roman" w:hAnsi="Times New Roman" w:cs="Times New Roman"/>
          <w:sz w:val="24"/>
          <w:szCs w:val="24"/>
          <w:highlight w:val="white"/>
        </w:rPr>
        <w:t>Departamento de Control Comercio de Armas, Municiones y Explosivos DCCA en Colombia. Este recurso será destinado para el financiar los beneficios que contiene esta ley y será del 0,5% del valor bruto de cualquier contrato.</w:t>
      </w:r>
    </w:p>
    <w:p w14:paraId="5611E87F" w14:textId="0B825AD9" w:rsidR="004C2B5D" w:rsidRDefault="00AD1592">
      <w:pPr>
        <w:shd w:val="clear" w:color="auto" w:fill="FFFFFF"/>
        <w:spacing w:before="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Artículo 7. Contribución a expedición de libreta </w:t>
      </w:r>
      <w:r w:rsidR="00123613">
        <w:rPr>
          <w:rFonts w:ascii="Times New Roman" w:eastAsia="Times New Roman" w:hAnsi="Times New Roman" w:cs="Times New Roman"/>
          <w:b/>
          <w:sz w:val="24"/>
          <w:szCs w:val="24"/>
          <w:highlight w:val="white"/>
        </w:rPr>
        <w:t>de Servicio</w:t>
      </w:r>
      <w:r>
        <w:rPr>
          <w:rFonts w:ascii="Times New Roman" w:eastAsia="Times New Roman" w:hAnsi="Times New Roman" w:cs="Times New Roman"/>
          <w:b/>
          <w:sz w:val="24"/>
          <w:szCs w:val="24"/>
          <w:highlight w:val="white"/>
        </w:rPr>
        <w:t xml:space="preserve"> Militar de segunda clase. </w:t>
      </w:r>
      <w:r>
        <w:rPr>
          <w:rFonts w:ascii="Times New Roman" w:eastAsia="Times New Roman" w:hAnsi="Times New Roman" w:cs="Times New Roman"/>
          <w:b/>
          <w:sz w:val="24"/>
          <w:szCs w:val="24"/>
        </w:rPr>
        <w:t xml:space="preserve"> Adiciónese un parágrafo al artículo 27 de la </w:t>
      </w:r>
      <w:r>
        <w:rPr>
          <w:rFonts w:ascii="Times New Roman" w:eastAsia="Times New Roman" w:hAnsi="Times New Roman" w:cs="Times New Roman"/>
          <w:b/>
          <w:sz w:val="24"/>
          <w:szCs w:val="24"/>
          <w:highlight w:val="white"/>
        </w:rPr>
        <w:t>ley 1861 de 2017:</w:t>
      </w:r>
      <w:r>
        <w:rPr>
          <w:rFonts w:ascii="Times New Roman" w:eastAsia="Times New Roman" w:hAnsi="Times New Roman" w:cs="Times New Roman"/>
          <w:sz w:val="24"/>
          <w:szCs w:val="24"/>
        </w:rPr>
        <w:t xml:space="preserve"> Toda persona </w:t>
      </w:r>
      <w:r w:rsidR="00123613">
        <w:rPr>
          <w:rFonts w:ascii="Times New Roman" w:eastAsia="Times New Roman" w:hAnsi="Times New Roman" w:cs="Times New Roman"/>
          <w:sz w:val="24"/>
          <w:szCs w:val="24"/>
        </w:rPr>
        <w:t>que solicite</w:t>
      </w:r>
      <w:r>
        <w:rPr>
          <w:rFonts w:ascii="Times New Roman" w:eastAsia="Times New Roman" w:hAnsi="Times New Roman" w:cs="Times New Roman"/>
          <w:sz w:val="24"/>
          <w:szCs w:val="24"/>
        </w:rPr>
        <w:t xml:space="preserve"> su libreta militar se segunda clase</w:t>
      </w:r>
      <w:r>
        <w:rPr>
          <w:i/>
          <w:sz w:val="24"/>
          <w:szCs w:val="24"/>
          <w:highlight w:val="white"/>
        </w:rPr>
        <w:t xml:space="preserve">, tendrá que hacer una </w:t>
      </w:r>
      <w:r>
        <w:rPr>
          <w:rFonts w:ascii="Times New Roman" w:eastAsia="Times New Roman" w:hAnsi="Times New Roman" w:cs="Times New Roman"/>
          <w:sz w:val="24"/>
          <w:szCs w:val="24"/>
        </w:rPr>
        <w:t>por un valor del 5</w:t>
      </w:r>
      <w:r w:rsidR="00123613">
        <w:rPr>
          <w:rFonts w:ascii="Times New Roman" w:eastAsia="Times New Roman" w:hAnsi="Times New Roman" w:cs="Times New Roman"/>
          <w:sz w:val="24"/>
          <w:szCs w:val="24"/>
        </w:rPr>
        <w:t>% al</w:t>
      </w:r>
      <w:r>
        <w:rPr>
          <w:rFonts w:ascii="Times New Roman" w:eastAsia="Times New Roman" w:hAnsi="Times New Roman" w:cs="Times New Roman"/>
          <w:sz w:val="24"/>
          <w:szCs w:val="24"/>
        </w:rPr>
        <w:t xml:space="preserve"> 10% del valor del trámite, como requisito para adquirir la libreta militar.</w:t>
      </w:r>
    </w:p>
    <w:p w14:paraId="0811367E" w14:textId="026E7896" w:rsidR="004C2B5D" w:rsidRDefault="00AD1592">
      <w:pPr>
        <w:shd w:val="clear" w:color="auto" w:fill="FFFFFF"/>
        <w:spacing w:before="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La destinación de esos recursos </w:t>
      </w:r>
      <w:r w:rsidR="00123613">
        <w:rPr>
          <w:rFonts w:ascii="Times New Roman" w:eastAsia="Times New Roman" w:hAnsi="Times New Roman" w:cs="Times New Roman"/>
          <w:sz w:val="24"/>
          <w:szCs w:val="24"/>
          <w:highlight w:val="white"/>
        </w:rPr>
        <w:t>se hará</w:t>
      </w:r>
      <w:r>
        <w:rPr>
          <w:rFonts w:ascii="Times New Roman" w:eastAsia="Times New Roman" w:hAnsi="Times New Roman" w:cs="Times New Roman"/>
          <w:sz w:val="24"/>
          <w:szCs w:val="24"/>
          <w:highlight w:val="white"/>
        </w:rPr>
        <w:t xml:space="preserve"> para las políticas a favor de los veteranos y </w:t>
      </w:r>
      <w:r w:rsidR="00123613">
        <w:rPr>
          <w:rFonts w:ascii="Times New Roman" w:eastAsia="Times New Roman" w:hAnsi="Times New Roman" w:cs="Times New Roman"/>
          <w:sz w:val="24"/>
          <w:szCs w:val="24"/>
          <w:highlight w:val="white"/>
        </w:rPr>
        <w:t>familiares en</w:t>
      </w:r>
      <w:r>
        <w:rPr>
          <w:rFonts w:ascii="Times New Roman" w:eastAsia="Times New Roman" w:hAnsi="Times New Roman" w:cs="Times New Roman"/>
          <w:sz w:val="24"/>
          <w:szCs w:val="24"/>
          <w:highlight w:val="white"/>
        </w:rPr>
        <w:t xml:space="preserve"> condición de discapacidad, viudas y huérfanos de las fuerzas militares y de policía nacional, beneficiados por el artículo 23 de la ley 1979.</w:t>
      </w:r>
      <w:r>
        <w:rPr>
          <w:i/>
          <w:sz w:val="24"/>
          <w:szCs w:val="24"/>
          <w:highlight w:val="white"/>
        </w:rPr>
        <w:t xml:space="preserve">  </w:t>
      </w:r>
    </w:p>
    <w:p w14:paraId="176437E6" w14:textId="77777777" w:rsidR="004C2B5D" w:rsidRDefault="00AD1592">
      <w:pPr>
        <w:shd w:val="clear" w:color="auto" w:fill="FFFFFF"/>
        <w:spacing w:before="280" w:line="276"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Parágrafo:</w:t>
      </w:r>
      <w:r>
        <w:rPr>
          <w:rFonts w:ascii="Times New Roman" w:eastAsia="Times New Roman" w:hAnsi="Times New Roman" w:cs="Times New Roman"/>
          <w:sz w:val="24"/>
          <w:szCs w:val="24"/>
          <w:highlight w:val="white"/>
        </w:rPr>
        <w:t xml:space="preserve"> Las personas pertenecientes a los estratos 1 y 2 quedan exentos de pagar la contribución de la que consta este artículo.</w:t>
      </w:r>
    </w:p>
    <w:p w14:paraId="7AC127E6" w14:textId="2D7A5E19" w:rsidR="004C2B5D" w:rsidRDefault="00AD1592">
      <w:pPr>
        <w:shd w:val="clear" w:color="auto" w:fill="FFFFFF"/>
        <w:spacing w:before="280" w:line="276"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Parágrafo 2:</w:t>
      </w:r>
      <w:r>
        <w:rPr>
          <w:rFonts w:ascii="Times New Roman" w:eastAsia="Times New Roman" w:hAnsi="Times New Roman" w:cs="Times New Roman"/>
          <w:sz w:val="24"/>
          <w:szCs w:val="24"/>
          <w:highlight w:val="white"/>
        </w:rPr>
        <w:t xml:space="preserve"> El ministerio de defensa, determina en los seis meses siguientes a la promulgación de esta </w:t>
      </w:r>
      <w:r w:rsidR="00123613">
        <w:rPr>
          <w:rFonts w:ascii="Times New Roman" w:eastAsia="Times New Roman" w:hAnsi="Times New Roman" w:cs="Times New Roman"/>
          <w:sz w:val="24"/>
          <w:szCs w:val="24"/>
          <w:highlight w:val="white"/>
        </w:rPr>
        <w:t>ley, el</w:t>
      </w:r>
      <w:r>
        <w:rPr>
          <w:rFonts w:ascii="Times New Roman" w:eastAsia="Times New Roman" w:hAnsi="Times New Roman" w:cs="Times New Roman"/>
          <w:sz w:val="24"/>
          <w:szCs w:val="24"/>
          <w:highlight w:val="white"/>
        </w:rPr>
        <w:t xml:space="preserve"> porcentaje que deberán pagar los estratos del 3 al 6.</w:t>
      </w:r>
    </w:p>
    <w:p w14:paraId="5F24AF58" w14:textId="77777777" w:rsidR="004C2B5D" w:rsidRDefault="00AD1592">
      <w:pPr>
        <w:shd w:val="clear" w:color="auto" w:fill="FFFFFF"/>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8.</w:t>
      </w:r>
      <w:r>
        <w:rPr>
          <w:rFonts w:ascii="Times New Roman" w:eastAsia="Times New Roman" w:hAnsi="Times New Roman" w:cs="Times New Roman"/>
          <w:b/>
          <w:sz w:val="24"/>
          <w:szCs w:val="24"/>
        </w:rPr>
        <w:t xml:space="preserve"> Reconocimiento en el registro único de veteranos:</w:t>
      </w:r>
      <w:r>
        <w:rPr>
          <w:rFonts w:ascii="Times New Roman" w:eastAsia="Times New Roman" w:hAnsi="Times New Roman" w:cs="Times New Roman"/>
          <w:sz w:val="24"/>
          <w:szCs w:val="24"/>
        </w:rPr>
        <w:t xml:space="preserve"> Las viudas, huérfanos, padres, madres, personal civil del ministerio de defensa perteneciente al decreto 1214 con pensión, podrá acceder a todos los beneficios otorgados como veteranos previa inscripción en el registro único de veterano. Este reconocimiento se realizará ante la dirección de veteranos y rehabilitación inclusiva.</w:t>
      </w:r>
      <w:r>
        <w:rPr>
          <w:rFonts w:ascii="Times New Roman" w:eastAsia="Times New Roman" w:hAnsi="Times New Roman" w:cs="Times New Roman"/>
          <w:b/>
          <w:sz w:val="24"/>
          <w:szCs w:val="24"/>
        </w:rPr>
        <w:t xml:space="preserve">  </w:t>
      </w:r>
    </w:p>
    <w:p w14:paraId="1D67A880" w14:textId="77777777" w:rsidR="004C2B5D" w:rsidRDefault="00AD1592">
      <w:pPr>
        <w:shd w:val="clear" w:color="auto" w:fill="FFFFFF"/>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9.  Participación en mesa de concertación: </w:t>
      </w:r>
      <w:r>
        <w:rPr>
          <w:rFonts w:ascii="Times New Roman" w:eastAsia="Times New Roman" w:hAnsi="Times New Roman" w:cs="Times New Roman"/>
          <w:sz w:val="24"/>
          <w:szCs w:val="24"/>
        </w:rPr>
        <w:t>Adiciónese un parágrafo al artículo 5 de la ley 278 de 1996.</w:t>
      </w:r>
    </w:p>
    <w:p w14:paraId="2CB7EEB3" w14:textId="77777777" w:rsidR="004C2B5D" w:rsidRDefault="00AD1592">
      <w:pPr>
        <w:shd w:val="clear" w:color="auto" w:fill="FFFFFF"/>
        <w:spacing w:before="280"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3:  Participación en la mesa de concertación de políticas salariales y laborales: </w:t>
      </w:r>
      <w:r>
        <w:rPr>
          <w:rFonts w:ascii="Times New Roman" w:eastAsia="Times New Roman" w:hAnsi="Times New Roman" w:cs="Times New Roman"/>
          <w:sz w:val="24"/>
          <w:szCs w:val="24"/>
        </w:rPr>
        <w:t xml:space="preserve">El personal con asignación de retiro o pensionado de las Fuerzas Militares, Policía Nacional o Ministerio de Defensa tendrá un representante con su respectivo suplente designado por el consejo de veteranos para participar en la mesa de concertación de políticas salariales y laborales con voto. </w:t>
      </w:r>
    </w:p>
    <w:p w14:paraId="274D0559" w14:textId="77777777" w:rsidR="004C2B5D" w:rsidRDefault="00AD1592">
      <w:pPr>
        <w:shd w:val="clear" w:color="auto" w:fill="FFFFFF"/>
        <w:spacing w:before="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Artículo 10. </w:t>
      </w:r>
      <w:r>
        <w:rPr>
          <w:rFonts w:ascii="Times New Roman" w:eastAsia="Times New Roman" w:hAnsi="Times New Roman" w:cs="Times New Roman"/>
          <w:b/>
          <w:i/>
          <w:sz w:val="24"/>
          <w:szCs w:val="24"/>
        </w:rPr>
        <w:t>Vigencia.</w:t>
      </w:r>
      <w:r>
        <w:rPr>
          <w:rFonts w:ascii="Times New Roman" w:eastAsia="Times New Roman" w:hAnsi="Times New Roman" w:cs="Times New Roman"/>
          <w:color w:val="000000"/>
          <w:sz w:val="24"/>
          <w:szCs w:val="24"/>
        </w:rPr>
        <w:t xml:space="preserve"> La presente ley rige a partir de la fecha de su promulgación y deroga todas las disposiciones que le sean contrarias.</w:t>
      </w:r>
    </w:p>
    <w:p w14:paraId="50D2E346" w14:textId="77777777" w:rsidR="004C2B5D" w:rsidRDefault="004C2B5D">
      <w:pPr>
        <w:rPr>
          <w:rFonts w:ascii="Times New Roman" w:eastAsia="Times New Roman" w:hAnsi="Times New Roman" w:cs="Times New Roman"/>
          <w:sz w:val="24"/>
          <w:szCs w:val="24"/>
        </w:rPr>
      </w:pPr>
    </w:p>
    <w:p w14:paraId="4565DA42" w14:textId="77777777" w:rsidR="004C2B5D" w:rsidRDefault="004C2B5D">
      <w:pPr>
        <w:rPr>
          <w:rFonts w:ascii="Times New Roman" w:eastAsia="Times New Roman" w:hAnsi="Times New Roman" w:cs="Times New Roman"/>
          <w:sz w:val="24"/>
          <w:szCs w:val="24"/>
        </w:rPr>
      </w:pPr>
    </w:p>
    <w:p w14:paraId="6F72EA0B" w14:textId="77777777" w:rsidR="004C2B5D" w:rsidRDefault="00AD159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2689A08F" w14:textId="77777777" w:rsidR="004C2B5D" w:rsidRDefault="00AD15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Hernando González</w:t>
      </w:r>
    </w:p>
    <w:p w14:paraId="08E14B78" w14:textId="77777777" w:rsidR="004C2B5D" w:rsidRDefault="00AD15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 del Valle del Cauca</w:t>
      </w:r>
    </w:p>
    <w:p w14:paraId="4618F2F1" w14:textId="77777777" w:rsidR="004C2B5D" w:rsidRDefault="00AD15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Cambio Radical</w:t>
      </w:r>
    </w:p>
    <w:p w14:paraId="462CD1CE" w14:textId="77777777" w:rsidR="004C2B5D" w:rsidRDefault="004C2B5D">
      <w:pPr>
        <w:shd w:val="clear" w:color="auto" w:fill="FFFFFF"/>
        <w:spacing w:before="280" w:line="276" w:lineRule="auto"/>
        <w:rPr>
          <w:rFonts w:ascii="Times New Roman" w:eastAsia="Times New Roman" w:hAnsi="Times New Roman" w:cs="Times New Roman"/>
          <w:sz w:val="24"/>
          <w:szCs w:val="24"/>
        </w:rPr>
      </w:pPr>
    </w:p>
    <w:p w14:paraId="4079A5E6" w14:textId="77777777" w:rsidR="004C2B5D" w:rsidRDefault="004C2B5D">
      <w:pPr>
        <w:shd w:val="clear" w:color="auto" w:fill="FFFFFF"/>
        <w:spacing w:before="280" w:line="276" w:lineRule="auto"/>
        <w:rPr>
          <w:rFonts w:ascii="Times New Roman" w:eastAsia="Times New Roman" w:hAnsi="Times New Roman" w:cs="Times New Roman"/>
          <w:sz w:val="24"/>
          <w:szCs w:val="24"/>
        </w:rPr>
      </w:pPr>
    </w:p>
    <w:p w14:paraId="0C8E9862" w14:textId="0010F296" w:rsidR="004C2B5D" w:rsidRPr="00357E25" w:rsidRDefault="00AD1592" w:rsidP="00357E25">
      <w:pPr>
        <w:shd w:val="clear" w:color="auto" w:fill="FFFFFF"/>
        <w:spacing w:before="28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EXPOSICIÓN DE MOTIVOS</w:t>
      </w:r>
    </w:p>
    <w:p w14:paraId="55789096" w14:textId="77777777" w:rsidR="004C2B5D" w:rsidRDefault="00AD1592">
      <w:pPr>
        <w:shd w:val="clear" w:color="auto" w:fill="FFFFFF"/>
        <w:spacing w:before="280" w:line="276" w:lineRule="auto"/>
        <w:jc w:val="both"/>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Antecedentes:</w:t>
      </w:r>
    </w:p>
    <w:p w14:paraId="0D4FB20C" w14:textId="2130F728" w:rsidR="004C2B5D" w:rsidRDefault="00AD1592">
      <w:pPr>
        <w:shd w:val="clear" w:color="auto" w:fill="FFFFFF"/>
        <w:spacing w:before="280" w:line="276" w:lineRule="auto"/>
        <w:jc w:val="both"/>
      </w:pPr>
      <w:r>
        <w:rPr>
          <w:rFonts w:ascii="Times New Roman" w:eastAsia="Times New Roman" w:hAnsi="Times New Roman" w:cs="Times New Roman"/>
          <w:color w:val="000000"/>
          <w:sz w:val="24"/>
          <w:szCs w:val="24"/>
          <w:highlight w:val="white"/>
        </w:rPr>
        <w:t xml:space="preserve">La ley 1979 de 2019, es la normatividad actual en </w:t>
      </w:r>
      <w:r w:rsidR="00123613">
        <w:rPr>
          <w:rFonts w:ascii="Times New Roman" w:eastAsia="Times New Roman" w:hAnsi="Times New Roman" w:cs="Times New Roman"/>
          <w:color w:val="000000"/>
          <w:sz w:val="24"/>
          <w:szCs w:val="24"/>
          <w:highlight w:val="white"/>
        </w:rPr>
        <w:t>materia</w:t>
      </w:r>
      <w:r w:rsidR="00123613">
        <w:rPr>
          <w:rFonts w:ascii="Times New Roman" w:eastAsia="Times New Roman" w:hAnsi="Times New Roman" w:cs="Times New Roman"/>
          <w:color w:val="000000"/>
          <w:sz w:val="24"/>
          <w:szCs w:val="24"/>
        </w:rPr>
        <w:t xml:space="preserve"> de</w:t>
      </w:r>
      <w:r>
        <w:rPr>
          <w:rFonts w:ascii="Times New Roman" w:eastAsia="Times New Roman" w:hAnsi="Times New Roman" w:cs="Times New Roman"/>
          <w:color w:val="000000"/>
          <w:sz w:val="24"/>
          <w:szCs w:val="24"/>
        </w:rPr>
        <w:t xml:space="preserve"> reconocimiento y creación de beneficios de veteranos en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xml:space="preserve">. Esta norma tiene como objeto </w:t>
      </w:r>
      <w:r>
        <w:rPr>
          <w:rFonts w:ascii="Times New Roman" w:eastAsia="Times New Roman" w:hAnsi="Times New Roman" w:cs="Times New Roman"/>
          <w:color w:val="000000"/>
          <w:sz w:val="24"/>
          <w:szCs w:val="24"/>
          <w:highlight w:val="white"/>
        </w:rPr>
        <w:t>conceder beneficios y proporcionar políticas de bienestar, además, de reconocer, rendir homenaje y enaltecer la labor realizada por los veteranos Esto, dada la misión constitucional y carga pública inusual de este grupo poblacional, que han realizado sacrificios que van desde el enfrentamiento constante a peligros, daños físicos irreparables, hasta numerosas muertes, las cuales durante años han sido enfrentadas por las familias de estos héroes, lo que también las convierte en un actor relevante en el proceso de defensa del país.</w:t>
      </w:r>
    </w:p>
    <w:p w14:paraId="456E2AE2" w14:textId="77777777" w:rsidR="004C2B5D" w:rsidRDefault="00AD1592">
      <w:pPr>
        <w:shd w:val="clear" w:color="auto" w:fill="FFFFFF"/>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La misma norma estableció que los veteranos son </w:t>
      </w:r>
      <w:r>
        <w:rPr>
          <w:rFonts w:ascii="Times New Roman" w:eastAsia="Times New Roman" w:hAnsi="Times New Roman" w:cs="Times New Roman"/>
          <w:color w:val="000000"/>
          <w:sz w:val="24"/>
          <w:szCs w:val="24"/>
        </w:rPr>
        <w:t>todos los miembros de la Fuerza Pública con asignación de retiro, pensionados por invalidez y quienes ostenten la distinción de reservista de honor. También son veteranos todos aquellos que hayan participado en nombre de la República de Colombia en conflictos internacionales. Así como, aquellos miembros de la Fuerza Pública que sean víctimas, en los términos del artículo 3º de la Ley 1448 de 2011, por hechos ocurridos en servicio activo y en razón en ocasión del mismo.</w:t>
      </w:r>
    </w:p>
    <w:p w14:paraId="2E70069B" w14:textId="77777777" w:rsidR="004C2B5D" w:rsidRDefault="00AD1592">
      <w:pPr>
        <w:shd w:val="clear" w:color="auto" w:fill="FFFFFF"/>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Así mismo,  la norma estableció que el núcleo familiar de los veteranos, era el compuesto por él (la) cónyuge o compañero(a) permanente y los hijos hasta los veinticinco (25) años de edad o, a falta de estos, los padres de los miembros de la Fuerza Pública que hayan fallecido o desaparecido en servicio activo, únicamente por acción directa del enemigo o en combate o en tareas de mantenimiento o restablecimiento del orden público o en conflicto internacional y respecto de estos existirían algunos beneficios.</w:t>
      </w:r>
    </w:p>
    <w:p w14:paraId="1ABA2E5F" w14:textId="77777777" w:rsidR="004C2B5D" w:rsidRDefault="00AD1592">
      <w:pPr>
        <w:shd w:val="clear" w:color="auto" w:fill="FFFFFF"/>
        <w:spacing w:before="280" w:after="280" w:line="276" w:lineRule="auto"/>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color w:val="000000"/>
          <w:sz w:val="24"/>
          <w:szCs w:val="24"/>
          <w:highlight w:val="white"/>
        </w:rPr>
        <w:t>La normatividad estableció el Beneficio en la liquidación de la Pensión de Invalidez soldado e infantes de marina profesionales, que hayan sido pensionados por invalidez, originada en el servicio como consecuencia de actos meritorios del mismo, en combate o en accidente relacionado con el mismo, o por acción directa del enemigo, en tareas de mantenimiento o restablecimiento del orden público o en conflicto internacional, tendrán derecho a partir de la vigencia de la presente ley, a que el valor de la pensión de invalidez se incremente al último salario devengado por el uniformado estando en servicio activo.</w:t>
      </w:r>
    </w:p>
    <w:p w14:paraId="73919F9E" w14:textId="77777777" w:rsidR="004C2B5D" w:rsidRDefault="00AD1592">
      <w:pPr>
        <w:shd w:val="clear" w:color="auto" w:fill="FFFFFF"/>
        <w:spacing w:before="280" w:line="276" w:lineRule="auto"/>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lastRenderedPageBreak/>
        <w:t>Justificación:</w:t>
      </w:r>
    </w:p>
    <w:p w14:paraId="34A55793" w14:textId="77777777" w:rsidR="004C2B5D" w:rsidRDefault="00AD1592">
      <w:pPr>
        <w:shd w:val="clear" w:color="auto" w:fill="FFFFFF"/>
        <w:spacing w:before="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Colombia ha vivido uno de los conflictos internos más prolongados de la historia moderna, dejando profundas cicatrices en la sociedad y en quienes fueron directamente partícipes en la defensa del país. Los veteranos, compuestos principalmente por ex militares y ex miembros de la policía, representan un grupo de personas que entregaron años de su vida al servicio de la nación. Sin embargo, a pesar de su innegable contribución a la estabilidad y seguridad nacional, los veteranos colombianos enfrentan obstáculos significativos en su reintegración a la vida civil, especialmente en áreas como acceso a salud, educación, empleo y bienestar social. </w:t>
      </w:r>
    </w:p>
    <w:p w14:paraId="461D80E3" w14:textId="77777777" w:rsidR="004C2B5D" w:rsidRDefault="00AD1592">
      <w:pPr>
        <w:shd w:val="clear" w:color="auto" w:fill="FFFFFF"/>
        <w:spacing w:before="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fortalecimiento de los beneficios para los veteranos no solo es una cuestión de justicia social, sino que también tiene implicaciones directas para la estabilidad social, la economía y la construcción de paz en el país. Este ensayo explora las razones por las cuales el Estado colombiano debe priorizar y mejorar los beneficios para sus veteranos, destacando la relevancia de apoyar a quienes han sacrificado su bienestar personal en defensa de la nación.</w:t>
      </w:r>
    </w:p>
    <w:p w14:paraId="74E6602D" w14:textId="77777777" w:rsidR="004C2B5D" w:rsidRDefault="00AD1592">
      <w:pPr>
        <w:numPr>
          <w:ilvl w:val="0"/>
          <w:numId w:val="3"/>
        </w:numPr>
        <w:pBdr>
          <w:top w:val="nil"/>
          <w:left w:val="nil"/>
          <w:bottom w:val="nil"/>
          <w:right w:val="nil"/>
          <w:between w:val="nil"/>
        </w:pBdr>
        <w:shd w:val="clear" w:color="auto" w:fill="FFFFFF"/>
        <w:spacing w:before="280" w:line="276" w:lineRule="auto"/>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Reconocimiento y justicia social: Reivindicación de los derechos de los veteranos:</w:t>
      </w:r>
    </w:p>
    <w:p w14:paraId="450484C6" w14:textId="77777777" w:rsidR="004C2B5D" w:rsidRDefault="00AD1592">
      <w:pPr>
        <w:shd w:val="clear" w:color="auto" w:fill="FFFFFF"/>
        <w:spacing w:before="280" w:line="276"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veteranos son, en su mayoría, hombres y mujeres que han puesto su vida en riesgo para proteger al país. El fortalecimiento de sus beneficios representa un acto de justicia y reconocimiento hacia su labor. Mejorar las prestaciones para los veteranos no solo es una compensación justa, sino que refuerza el mensaje de que el Estado valora y respeta el sacrificio de quienes han servido.</w:t>
      </w:r>
    </w:p>
    <w:p w14:paraId="59668575" w14:textId="77777777" w:rsidR="004C2B5D" w:rsidRDefault="00AD1592">
      <w:pPr>
        <w:numPr>
          <w:ilvl w:val="0"/>
          <w:numId w:val="3"/>
        </w:numPr>
        <w:pBdr>
          <w:top w:val="nil"/>
          <w:left w:val="nil"/>
          <w:bottom w:val="nil"/>
          <w:right w:val="nil"/>
          <w:between w:val="nil"/>
        </w:pBdr>
        <w:shd w:val="clear" w:color="auto" w:fill="FFFFFF"/>
        <w:spacing w:before="280" w:line="276" w:lineRule="auto"/>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Apoyo en salud física y mental: Necesidad de atención integral.</w:t>
      </w:r>
    </w:p>
    <w:p w14:paraId="4D1AB810" w14:textId="77777777" w:rsidR="004C2B5D" w:rsidRDefault="00AD1592">
      <w:pPr>
        <w:shd w:val="clear" w:color="auto" w:fill="FFFFFF"/>
        <w:spacing w:before="280" w:line="276"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Las secuelas físicas y psicológicas del servicio militar en zonas de conflicto son muchas veces devastadoras. En este contexto, los veteranos colombianos enfrentan desafíos importantes relacionados con traumas, heridas de combate, y estrés postraumático. A través de beneficios en salud especializados, el Estado no solo asegura su rehabilitación, sino que contribuye a que estas personas puedan retomar una vida plena y productiva.</w:t>
      </w:r>
    </w:p>
    <w:p w14:paraId="1514207F" w14:textId="77777777" w:rsidR="004C2B5D" w:rsidRDefault="00AD1592">
      <w:pPr>
        <w:numPr>
          <w:ilvl w:val="0"/>
          <w:numId w:val="3"/>
        </w:numPr>
        <w:pBdr>
          <w:top w:val="nil"/>
          <w:left w:val="nil"/>
          <w:bottom w:val="nil"/>
          <w:right w:val="nil"/>
          <w:between w:val="nil"/>
        </w:pBdr>
        <w:shd w:val="clear" w:color="auto" w:fill="FFFFFF"/>
        <w:spacing w:before="280" w:line="276" w:lineRule="auto"/>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Reintegración y capacitación laboral: Mejorar la inclusión laboral para veteranos.</w:t>
      </w:r>
    </w:p>
    <w:p w14:paraId="402F6414" w14:textId="77777777" w:rsidR="004C2B5D" w:rsidRDefault="00AD1592">
      <w:pPr>
        <w:shd w:val="clear" w:color="auto" w:fill="FFFFFF"/>
        <w:spacing w:before="280" w:line="276"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Muchos veteranos enfrentan problemas para encontrar empleo tras finalizar su servicio. Esto se debe en parte a la falta de habilidades transferibles y en parte a la estigmatización que existe hacia los excombatientes. Crear programas de capacitación y reintegración laboral permitiría a los veteranos integrarse a la economía, contribuyendo de manera positiva a la sociedad.</w:t>
      </w:r>
    </w:p>
    <w:p w14:paraId="751F3917" w14:textId="77777777" w:rsidR="004C2B5D" w:rsidRDefault="00AD1592">
      <w:pPr>
        <w:numPr>
          <w:ilvl w:val="0"/>
          <w:numId w:val="3"/>
        </w:numPr>
        <w:pBdr>
          <w:top w:val="nil"/>
          <w:left w:val="nil"/>
          <w:bottom w:val="nil"/>
          <w:right w:val="nil"/>
          <w:between w:val="nil"/>
        </w:pBdr>
        <w:shd w:val="clear" w:color="auto" w:fill="FFFFFF"/>
        <w:spacing w:before="280" w:line="276" w:lineRule="auto"/>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Aporte al fortalecimiento de la paz y la reconciliación nacional.</w:t>
      </w:r>
    </w:p>
    <w:p w14:paraId="49DE21CA" w14:textId="77777777" w:rsidR="004C2B5D" w:rsidRDefault="00AD1592">
      <w:pPr>
        <w:shd w:val="clear" w:color="auto" w:fill="FFFFFF"/>
        <w:spacing w:before="280" w:line="276"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veteranos tienen un rol fundamental en la construcción de paz en el país. Al proveerles beneficios, el Estado fortalece un compromiso con ellos y fomenta la reconciliación. Además, muchos veteranos pueden desempeñar un papel clave como líderes en las comunidades, siendo promotores de paz y de convivencia pacífica.</w:t>
      </w:r>
    </w:p>
    <w:p w14:paraId="69C314BA" w14:textId="77777777" w:rsidR="004C2B5D" w:rsidRDefault="00AD1592">
      <w:pPr>
        <w:numPr>
          <w:ilvl w:val="0"/>
          <w:numId w:val="3"/>
        </w:numPr>
        <w:pBdr>
          <w:top w:val="nil"/>
          <w:left w:val="nil"/>
          <w:bottom w:val="nil"/>
          <w:right w:val="nil"/>
          <w:between w:val="nil"/>
        </w:pBdr>
        <w:shd w:val="clear" w:color="auto" w:fill="FFFFFF"/>
        <w:spacing w:before="280" w:after="0" w:line="276" w:lineRule="auto"/>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Fortalecimiento del tejido social y apoyo a las familias de los veteranos</w:t>
      </w:r>
    </w:p>
    <w:p w14:paraId="7BFF154F" w14:textId="77777777" w:rsidR="004C2B5D" w:rsidRDefault="004C2B5D">
      <w:pPr>
        <w:pBdr>
          <w:top w:val="nil"/>
          <w:left w:val="nil"/>
          <w:bottom w:val="nil"/>
          <w:right w:val="nil"/>
          <w:between w:val="nil"/>
        </w:pBdr>
        <w:shd w:val="clear" w:color="auto" w:fill="FFFFFF"/>
        <w:spacing w:after="0" w:line="276" w:lineRule="auto"/>
        <w:ind w:left="720"/>
        <w:jc w:val="both"/>
        <w:rPr>
          <w:rFonts w:ascii="Times New Roman" w:eastAsia="Times New Roman" w:hAnsi="Times New Roman" w:cs="Times New Roman"/>
          <w:color w:val="000000"/>
          <w:sz w:val="24"/>
          <w:szCs w:val="24"/>
          <w:highlight w:val="white"/>
          <w:u w:val="single"/>
        </w:rPr>
      </w:pPr>
    </w:p>
    <w:p w14:paraId="03E16D91" w14:textId="77777777" w:rsidR="004C2B5D" w:rsidRDefault="00AD1592">
      <w:pPr>
        <w:pBdr>
          <w:top w:val="nil"/>
          <w:left w:val="nil"/>
          <w:bottom w:val="nil"/>
          <w:right w:val="nil"/>
          <w:between w:val="nil"/>
        </w:pBdr>
        <w:shd w:val="clear" w:color="auto" w:fill="FFFFFF"/>
        <w:spacing w:after="0" w:line="276" w:lineRule="auto"/>
        <w:ind w:left="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El impacto del servicio militar afecta no solo al veterano, sino también a su familia. Proveer beneficios adecuados ayuda a que las familias tengan una mejor calidad de vida y garantiza un ambiente de apoyo y estabilidad emocional. Esto es crucial para que el veterano pueda integrarse de forma saludable a la vida civil.</w:t>
      </w:r>
    </w:p>
    <w:p w14:paraId="7A34FC82" w14:textId="77777777" w:rsidR="004C2B5D" w:rsidRDefault="004C2B5D">
      <w:pPr>
        <w:pBdr>
          <w:top w:val="nil"/>
          <w:left w:val="nil"/>
          <w:bottom w:val="nil"/>
          <w:right w:val="nil"/>
          <w:between w:val="nil"/>
        </w:pBdr>
        <w:shd w:val="clear" w:color="auto" w:fill="FFFFFF"/>
        <w:spacing w:after="0" w:line="276" w:lineRule="auto"/>
        <w:ind w:left="720"/>
        <w:jc w:val="both"/>
        <w:rPr>
          <w:rFonts w:ascii="Times New Roman" w:eastAsia="Times New Roman" w:hAnsi="Times New Roman" w:cs="Times New Roman"/>
          <w:color w:val="000000"/>
          <w:sz w:val="24"/>
          <w:szCs w:val="24"/>
          <w:highlight w:val="white"/>
          <w:u w:val="single"/>
        </w:rPr>
      </w:pPr>
    </w:p>
    <w:p w14:paraId="5DC80734" w14:textId="77777777" w:rsidR="004C2B5D" w:rsidRDefault="00AD1592">
      <w:pPr>
        <w:numPr>
          <w:ilvl w:val="0"/>
          <w:numId w:val="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Mejora de la imagen y la confianza pública en las instituciones de seguridad.</w:t>
      </w:r>
    </w:p>
    <w:p w14:paraId="5DC93905" w14:textId="77777777" w:rsidR="004C2B5D" w:rsidRDefault="004C2B5D">
      <w:pPr>
        <w:pBdr>
          <w:top w:val="nil"/>
          <w:left w:val="nil"/>
          <w:bottom w:val="nil"/>
          <w:right w:val="nil"/>
          <w:between w:val="nil"/>
        </w:pBdr>
        <w:shd w:val="clear" w:color="auto" w:fill="FFFFFF"/>
        <w:spacing w:after="0" w:line="276" w:lineRule="auto"/>
        <w:ind w:left="720"/>
        <w:jc w:val="both"/>
        <w:rPr>
          <w:rFonts w:ascii="Times New Roman" w:eastAsia="Times New Roman" w:hAnsi="Times New Roman" w:cs="Times New Roman"/>
          <w:color w:val="000000"/>
          <w:sz w:val="24"/>
          <w:szCs w:val="24"/>
          <w:highlight w:val="white"/>
          <w:u w:val="single"/>
        </w:rPr>
      </w:pPr>
    </w:p>
    <w:p w14:paraId="0B9D5A93" w14:textId="77777777" w:rsidR="004C2B5D" w:rsidRDefault="00AD1592">
      <w:pPr>
        <w:pBdr>
          <w:top w:val="nil"/>
          <w:left w:val="nil"/>
          <w:bottom w:val="nil"/>
          <w:right w:val="nil"/>
          <w:between w:val="nil"/>
        </w:pBdr>
        <w:shd w:val="clear" w:color="auto" w:fill="FFFFFF"/>
        <w:spacing w:line="276" w:lineRule="auto"/>
        <w:ind w:left="720"/>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rPr>
        <w:t>Cuando el Estado cumple su compromiso con los veteranos, genera una percepción positiva en la sociedad, lo que refuerza la confianza en las instituciones. Un trato digno a los veteranos muestra que Colombia es un país comprometido con su gente, lo cual es crucial para la cohesión social y la legitimidad de las fuerzas de seguridad.</w:t>
      </w:r>
    </w:p>
    <w:p w14:paraId="2EA86024" w14:textId="79A46BA4" w:rsidR="004C2B5D" w:rsidRDefault="00AD1592">
      <w:pPr>
        <w:shd w:val="clear" w:color="auto" w:fill="FFFFFF"/>
        <w:spacing w:before="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ese sentido si bien la ley 1979 de 2019, estableció beneficio para los veteranos y sus núcleos familiares; sin embargo, después de 5 años de su promulgación los veteranos siguen encontrando asimetrías en la participación en mesas de concertación, en la liquidación de pensión y también en los mecanismos de participación y de inclusión social por lo </w:t>
      </w:r>
      <w:r w:rsidR="00123613">
        <w:rPr>
          <w:rFonts w:ascii="Times New Roman" w:eastAsia="Times New Roman" w:hAnsi="Times New Roman" w:cs="Times New Roman"/>
          <w:sz w:val="24"/>
          <w:szCs w:val="24"/>
          <w:highlight w:val="white"/>
        </w:rPr>
        <w:t>cual esta</w:t>
      </w:r>
      <w:r>
        <w:rPr>
          <w:rFonts w:ascii="Times New Roman" w:eastAsia="Times New Roman" w:hAnsi="Times New Roman" w:cs="Times New Roman"/>
          <w:sz w:val="24"/>
          <w:szCs w:val="24"/>
          <w:highlight w:val="white"/>
        </w:rPr>
        <w:t xml:space="preserve"> iniciativa intenta </w:t>
      </w:r>
      <w:r w:rsidR="00123613">
        <w:rPr>
          <w:rFonts w:ascii="Times New Roman" w:eastAsia="Times New Roman" w:hAnsi="Times New Roman" w:cs="Times New Roman"/>
          <w:sz w:val="24"/>
          <w:szCs w:val="24"/>
          <w:highlight w:val="white"/>
        </w:rPr>
        <w:t>corregir esas</w:t>
      </w:r>
      <w:r>
        <w:rPr>
          <w:rFonts w:ascii="Times New Roman" w:eastAsia="Times New Roman" w:hAnsi="Times New Roman" w:cs="Times New Roman"/>
          <w:sz w:val="24"/>
          <w:szCs w:val="24"/>
          <w:highlight w:val="white"/>
        </w:rPr>
        <w:t xml:space="preserve"> pequeñas fallas.</w:t>
      </w:r>
    </w:p>
    <w:p w14:paraId="0C7D1B66" w14:textId="77777777" w:rsidR="004C2B5D" w:rsidRDefault="00AD1592">
      <w:pPr>
        <w:shd w:val="clear" w:color="auto" w:fill="FFFFFF"/>
        <w:spacing w:before="280" w:line="276"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Mecanismos de financiación de la iniciativa.</w:t>
      </w:r>
    </w:p>
    <w:p w14:paraId="3690D51F" w14:textId="77777777" w:rsidR="004C2B5D" w:rsidRDefault="00AD1592">
      <w:pPr>
        <w:shd w:val="clear" w:color="auto" w:fill="FFFFFF"/>
        <w:spacing w:before="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Entendiendo que el aumento de beneficios para la población genera un impacto fiscal, esta iniciativa trae dos mecanismos para financiar los beneficios adicionales para la población veterana y sus núcleos familiares.</w:t>
      </w:r>
    </w:p>
    <w:p w14:paraId="6D4CE186" w14:textId="77777777" w:rsidR="004C2B5D" w:rsidRDefault="004C2B5D">
      <w:pPr>
        <w:shd w:val="clear" w:color="auto" w:fill="FFFFFF"/>
        <w:spacing w:before="280" w:line="276" w:lineRule="auto"/>
        <w:jc w:val="both"/>
        <w:rPr>
          <w:rFonts w:ascii="Times New Roman" w:eastAsia="Times New Roman" w:hAnsi="Times New Roman" w:cs="Times New Roman"/>
          <w:sz w:val="24"/>
          <w:szCs w:val="24"/>
          <w:highlight w:val="white"/>
        </w:rPr>
      </w:pPr>
    </w:p>
    <w:tbl>
      <w:tblPr>
        <w:tblStyle w:val="a"/>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3994"/>
        <w:gridCol w:w="4608"/>
      </w:tblGrid>
      <w:tr w:rsidR="004C2B5D" w14:paraId="36B81FD4" w14:textId="77777777">
        <w:tc>
          <w:tcPr>
            <w:tcW w:w="6" w:type="dxa"/>
          </w:tcPr>
          <w:p w14:paraId="3974B4A9" w14:textId="77777777" w:rsidR="004C2B5D" w:rsidRDefault="004C2B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p>
        </w:tc>
        <w:tc>
          <w:tcPr>
            <w:tcW w:w="4100" w:type="dxa"/>
          </w:tcPr>
          <w:p w14:paraId="4D438F49" w14:textId="44728325" w:rsidR="004C2B5D" w:rsidRDefault="00AD1592">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Contribución a expedición de libreta </w:t>
            </w:r>
            <w:r w:rsidR="00123613">
              <w:rPr>
                <w:rFonts w:ascii="Times New Roman" w:eastAsia="Times New Roman" w:hAnsi="Times New Roman" w:cs="Times New Roman"/>
                <w:b/>
                <w:sz w:val="24"/>
                <w:szCs w:val="24"/>
                <w:highlight w:val="white"/>
              </w:rPr>
              <w:t>de Servicio</w:t>
            </w:r>
            <w:r>
              <w:rPr>
                <w:rFonts w:ascii="Times New Roman" w:eastAsia="Times New Roman" w:hAnsi="Times New Roman" w:cs="Times New Roman"/>
                <w:b/>
                <w:sz w:val="24"/>
                <w:szCs w:val="24"/>
                <w:highlight w:val="white"/>
              </w:rPr>
              <w:t xml:space="preserve"> Militar de segunda clase. </w:t>
            </w:r>
            <w:r>
              <w:rPr>
                <w:rFonts w:ascii="Times New Roman" w:eastAsia="Times New Roman" w:hAnsi="Times New Roman" w:cs="Times New Roman"/>
                <w:b/>
                <w:sz w:val="24"/>
                <w:szCs w:val="24"/>
              </w:rPr>
              <w:t xml:space="preserve"> Adiciónese un parágrafo al artículo 27 de la </w:t>
            </w:r>
            <w:r>
              <w:rPr>
                <w:rFonts w:ascii="Times New Roman" w:eastAsia="Times New Roman" w:hAnsi="Times New Roman" w:cs="Times New Roman"/>
                <w:b/>
                <w:sz w:val="24"/>
                <w:szCs w:val="24"/>
                <w:highlight w:val="white"/>
              </w:rPr>
              <w:t>ley 1861 de 2017:</w:t>
            </w:r>
          </w:p>
        </w:tc>
        <w:tc>
          <w:tcPr>
            <w:tcW w:w="4732" w:type="dxa"/>
          </w:tcPr>
          <w:p w14:paraId="33DCBFD5" w14:textId="77777777" w:rsidR="004C2B5D" w:rsidRDefault="00AD1592">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Estampilla veteranos con discapacidad</w:t>
            </w:r>
          </w:p>
        </w:tc>
      </w:tr>
      <w:tr w:rsidR="004C2B5D" w14:paraId="617D7316" w14:textId="77777777">
        <w:tc>
          <w:tcPr>
            <w:tcW w:w="4106" w:type="dxa"/>
            <w:gridSpan w:val="2"/>
          </w:tcPr>
          <w:p w14:paraId="50A9CC80" w14:textId="29B50411" w:rsidR="004C2B5D" w:rsidRDefault="00AD1592">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 establece que aquellos a quien se le </w:t>
            </w:r>
            <w:r w:rsidR="00123613">
              <w:rPr>
                <w:rFonts w:ascii="Times New Roman" w:eastAsia="Times New Roman" w:hAnsi="Times New Roman" w:cs="Times New Roman"/>
                <w:sz w:val="24"/>
                <w:szCs w:val="24"/>
                <w:highlight w:val="white"/>
              </w:rPr>
              <w:t>expida libreta</w:t>
            </w:r>
            <w:r>
              <w:rPr>
                <w:rFonts w:ascii="Times New Roman" w:eastAsia="Times New Roman" w:hAnsi="Times New Roman" w:cs="Times New Roman"/>
                <w:sz w:val="24"/>
                <w:szCs w:val="24"/>
                <w:highlight w:val="white"/>
              </w:rPr>
              <w:t xml:space="preserve"> militar de segunda clase, deberá hacer una </w:t>
            </w:r>
            <w:r w:rsidR="00123613">
              <w:rPr>
                <w:rFonts w:ascii="Times New Roman" w:eastAsia="Times New Roman" w:hAnsi="Times New Roman" w:cs="Times New Roman"/>
                <w:sz w:val="24"/>
                <w:szCs w:val="24"/>
                <w:highlight w:val="white"/>
              </w:rPr>
              <w:t>contribución entre</w:t>
            </w:r>
            <w:r>
              <w:rPr>
                <w:rFonts w:ascii="Times New Roman" w:eastAsia="Times New Roman" w:hAnsi="Times New Roman" w:cs="Times New Roman"/>
                <w:sz w:val="24"/>
                <w:szCs w:val="24"/>
                <w:highlight w:val="white"/>
              </w:rPr>
              <w:t xml:space="preserve"> el 5 y 10% del valor de la libreta. Los cuales esos recursos irán a financiar esta iniciativa.</w:t>
            </w:r>
          </w:p>
        </w:tc>
        <w:tc>
          <w:tcPr>
            <w:tcW w:w="4732" w:type="dxa"/>
          </w:tcPr>
          <w:p w14:paraId="1D172517" w14:textId="77777777" w:rsidR="004C2B5D" w:rsidRDefault="00AD1592">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Se establece una estampilla para todos los contratos que se realicen </w:t>
            </w:r>
            <w:r>
              <w:rPr>
                <w:rFonts w:ascii="Times New Roman" w:eastAsia="Times New Roman" w:hAnsi="Times New Roman" w:cs="Times New Roman"/>
                <w:sz w:val="24"/>
                <w:szCs w:val="24"/>
              </w:rPr>
              <w:t xml:space="preserve">en el </w:t>
            </w:r>
            <w:r>
              <w:rPr>
                <w:rFonts w:ascii="Times New Roman" w:eastAsia="Times New Roman" w:hAnsi="Times New Roman" w:cs="Times New Roman"/>
                <w:sz w:val="24"/>
                <w:szCs w:val="24"/>
                <w:highlight w:val="white"/>
              </w:rPr>
              <w:t>Departamento de Control Comercio de Armas, Municiones y Explosivos DCCA en Colombia. Este recurso será destinado para el financiar los beneficios que contiene esta ley y será del 0,5% del valor bruto de cualquier contrato.</w:t>
            </w:r>
          </w:p>
          <w:p w14:paraId="1BF6ADFD" w14:textId="77777777" w:rsidR="004C2B5D" w:rsidRDefault="004C2B5D">
            <w:pPr>
              <w:spacing w:before="280" w:line="276" w:lineRule="auto"/>
              <w:jc w:val="both"/>
              <w:rPr>
                <w:rFonts w:ascii="Times New Roman" w:eastAsia="Times New Roman" w:hAnsi="Times New Roman" w:cs="Times New Roman"/>
                <w:sz w:val="24"/>
                <w:szCs w:val="24"/>
                <w:highlight w:val="white"/>
              </w:rPr>
            </w:pPr>
          </w:p>
        </w:tc>
      </w:tr>
    </w:tbl>
    <w:p w14:paraId="24B50B54" w14:textId="77777777" w:rsidR="004C2B5D" w:rsidRDefault="004C2B5D">
      <w:pPr>
        <w:shd w:val="clear" w:color="auto" w:fill="FFFFFF"/>
        <w:spacing w:before="280" w:line="276" w:lineRule="auto"/>
        <w:jc w:val="both"/>
        <w:rPr>
          <w:rFonts w:ascii="Times New Roman" w:eastAsia="Times New Roman" w:hAnsi="Times New Roman" w:cs="Times New Roman"/>
          <w:sz w:val="24"/>
          <w:szCs w:val="24"/>
          <w:highlight w:val="white"/>
        </w:rPr>
      </w:pPr>
    </w:p>
    <w:p w14:paraId="5080646A" w14:textId="17B55EF0" w:rsidR="004C2B5D" w:rsidRDefault="00AD1592">
      <w:pPr>
        <w:shd w:val="clear" w:color="auto" w:fill="FFFFFF"/>
        <w:spacing w:before="280" w:line="276" w:lineRule="auto"/>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Marco </w:t>
      </w:r>
      <w:r w:rsidR="00123613">
        <w:rPr>
          <w:rFonts w:ascii="Times New Roman" w:eastAsia="Times New Roman" w:hAnsi="Times New Roman" w:cs="Times New Roman"/>
          <w:b/>
          <w:sz w:val="24"/>
          <w:szCs w:val="24"/>
          <w:highlight w:val="white"/>
          <w:u w:val="single"/>
        </w:rPr>
        <w:t>Jurídico</w:t>
      </w:r>
      <w:r>
        <w:rPr>
          <w:rFonts w:ascii="Times New Roman" w:eastAsia="Times New Roman" w:hAnsi="Times New Roman" w:cs="Times New Roman"/>
          <w:b/>
          <w:sz w:val="24"/>
          <w:szCs w:val="24"/>
          <w:highlight w:val="white"/>
          <w:u w:val="single"/>
        </w:rPr>
        <w:t>:</w:t>
      </w:r>
    </w:p>
    <w:p w14:paraId="68991A9C" w14:textId="5DB13AD7" w:rsidR="004C2B5D" w:rsidRDefault="00123613">
      <w:pPr>
        <w:pBdr>
          <w:top w:val="nil"/>
          <w:left w:val="nil"/>
          <w:bottom w:val="nil"/>
          <w:right w:val="nil"/>
          <w:between w:val="nil"/>
        </w:pBdr>
        <w:spacing w:before="280" w:after="280"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highlight w:val="white"/>
          <w:u w:val="single"/>
        </w:rPr>
        <w:t>Constitución</w:t>
      </w:r>
      <w:r w:rsidR="00AD1592">
        <w:rPr>
          <w:rFonts w:ascii="Times New Roman" w:eastAsia="Times New Roman" w:hAnsi="Times New Roman" w:cs="Times New Roman"/>
          <w:color w:val="000000"/>
          <w:sz w:val="24"/>
          <w:szCs w:val="24"/>
          <w:highlight w:val="white"/>
          <w:u w:val="single"/>
        </w:rPr>
        <w:t>:</w:t>
      </w:r>
      <w:bookmarkStart w:id="1" w:name="bookmark=id.30j0zll" w:colFirst="0" w:colLast="0"/>
      <w:bookmarkEnd w:id="1"/>
      <w:r w:rsidR="00AD1592">
        <w:rPr>
          <w:rFonts w:ascii="Times New Roman" w:eastAsia="Times New Roman" w:hAnsi="Times New Roman" w:cs="Times New Roman"/>
          <w:b/>
          <w:color w:val="000000"/>
          <w:sz w:val="24"/>
          <w:szCs w:val="24"/>
          <w:u w:val="single"/>
        </w:rPr>
        <w:t xml:space="preserve"> </w:t>
      </w:r>
      <w:r w:rsidR="00AD1592">
        <w:rPr>
          <w:rFonts w:ascii="Times New Roman" w:eastAsia="Times New Roman" w:hAnsi="Times New Roman" w:cs="Times New Roman"/>
          <w:b/>
          <w:color w:val="000000"/>
          <w:sz w:val="24"/>
          <w:szCs w:val="24"/>
          <w:u w:val="single"/>
        </w:rPr>
        <w:br/>
      </w:r>
    </w:p>
    <w:p w14:paraId="549EC649" w14:textId="77777777" w:rsidR="004C2B5D" w:rsidRDefault="00AD1592">
      <w:pPr>
        <w:numPr>
          <w:ilvl w:val="0"/>
          <w:numId w:val="2"/>
        </w:num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Artículo</w:t>
      </w:r>
      <w:r>
        <w:rPr>
          <w:rFonts w:ascii="Times New Roman" w:eastAsia="Times New Roman" w:hAnsi="Times New Roman" w:cs="Times New Roman"/>
          <w:color w:val="000000"/>
          <w:sz w:val="24"/>
          <w:szCs w:val="24"/>
          <w:u w:val="single"/>
        </w:rPr>
        <w:t xml:space="preserve"> 216.</w:t>
      </w:r>
      <w:r>
        <w:rPr>
          <w:rFonts w:ascii="Times New Roman" w:eastAsia="Times New Roman" w:hAnsi="Times New Roman" w:cs="Times New Roman"/>
          <w:b/>
          <w:color w:val="000000"/>
          <w:sz w:val="24"/>
          <w:szCs w:val="24"/>
          <w:u w:val="single"/>
        </w:rPr>
        <w:t> </w:t>
      </w:r>
      <w:r>
        <w:rPr>
          <w:rFonts w:ascii="Times New Roman" w:eastAsia="Times New Roman" w:hAnsi="Times New Roman" w:cs="Times New Roman"/>
          <w:color w:val="000000"/>
          <w:sz w:val="24"/>
          <w:szCs w:val="24"/>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6A29C2C5" w14:textId="77777777" w:rsidR="004C2B5D" w:rsidRDefault="004C2B5D">
      <w:pPr>
        <w:pBdr>
          <w:top w:val="nil"/>
          <w:left w:val="nil"/>
          <w:bottom w:val="nil"/>
          <w:right w:val="nil"/>
          <w:between w:val="nil"/>
        </w:pBdr>
        <w:spacing w:before="280" w:after="280" w:line="276" w:lineRule="auto"/>
        <w:ind w:left="720"/>
        <w:jc w:val="both"/>
        <w:rPr>
          <w:rFonts w:ascii="Times New Roman" w:eastAsia="Times New Roman" w:hAnsi="Times New Roman" w:cs="Times New Roman"/>
          <w:color w:val="000000"/>
          <w:sz w:val="24"/>
          <w:szCs w:val="24"/>
        </w:rPr>
      </w:pPr>
    </w:p>
    <w:p w14:paraId="5F22011E" w14:textId="77777777" w:rsidR="004C2B5D" w:rsidRDefault="00AD1592">
      <w:pPr>
        <w:numPr>
          <w:ilvl w:val="0"/>
          <w:numId w:val="2"/>
        </w:numPr>
        <w:pBdr>
          <w:top w:val="nil"/>
          <w:left w:val="nil"/>
          <w:bottom w:val="nil"/>
          <w:right w:val="nil"/>
          <w:between w:val="nil"/>
        </w:pBdr>
        <w:spacing w:before="2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Artículo</w:t>
      </w:r>
      <w:r>
        <w:rPr>
          <w:rFonts w:ascii="Times New Roman" w:eastAsia="Times New Roman" w:hAnsi="Times New Roman" w:cs="Times New Roman"/>
          <w:b/>
          <w:color w:val="000000"/>
          <w:sz w:val="24"/>
          <w:szCs w:val="24"/>
          <w:u w:val="single"/>
        </w:rPr>
        <w:t xml:space="preserve"> 222. </w:t>
      </w:r>
      <w:r>
        <w:rPr>
          <w:rFonts w:ascii="Times New Roman" w:eastAsia="Times New Roman" w:hAnsi="Times New Roman" w:cs="Times New Roman"/>
          <w:color w:val="000000"/>
          <w:sz w:val="24"/>
          <w:szCs w:val="24"/>
        </w:rPr>
        <w:t xml:space="preserve">La ley determinará los sistemas de promoción profesional, cultural y social de los miembros de la Fuerza Pública. En las etapas de su formación, se les </w:t>
      </w:r>
      <w:r>
        <w:rPr>
          <w:rFonts w:ascii="Times New Roman" w:eastAsia="Times New Roman" w:hAnsi="Times New Roman" w:cs="Times New Roman"/>
          <w:color w:val="000000"/>
          <w:sz w:val="24"/>
          <w:szCs w:val="24"/>
        </w:rPr>
        <w:lastRenderedPageBreak/>
        <w:t>impartirá la enseñanza de los fundamentos de la democracia y de los derechos humanos.</w:t>
      </w:r>
    </w:p>
    <w:p w14:paraId="3691B7E9" w14:textId="77777777" w:rsidR="004C2B5D" w:rsidRDefault="004C2B5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0F494196" w14:textId="77777777" w:rsidR="004C2B5D" w:rsidRDefault="00AD159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Artículo</w:t>
      </w:r>
      <w:r>
        <w:rPr>
          <w:rFonts w:ascii="Times New Roman" w:eastAsia="Times New Roman" w:hAnsi="Times New Roman" w:cs="Times New Roman"/>
          <w:b/>
          <w:color w:val="000000"/>
          <w:sz w:val="24"/>
          <w:szCs w:val="24"/>
          <w:u w:val="single"/>
        </w:rPr>
        <w:t xml:space="preserve"> 223</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 presenciarlas.</w:t>
      </w:r>
    </w:p>
    <w:p w14:paraId="0865C61A" w14:textId="77777777" w:rsidR="004C2B5D" w:rsidRDefault="00AD1592">
      <w:pPr>
        <w:pBdr>
          <w:top w:val="nil"/>
          <w:left w:val="nil"/>
          <w:bottom w:val="nil"/>
          <w:right w:val="nil"/>
          <w:between w:val="nil"/>
        </w:pBdr>
        <w:spacing w:after="28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miembros de los organismos nacionales de seguridad y otros cuerpos oficiales armados, de carácter permanente, creados o autorizados por la ley, podrán portar armas bajo el control del Gobierno, de conformidad con los principios y procedimientos que aquella señale.</w:t>
      </w:r>
    </w:p>
    <w:p w14:paraId="436D862C" w14:textId="77777777" w:rsidR="004C2B5D" w:rsidRDefault="00AD1592">
      <w:pPr>
        <w:shd w:val="clear" w:color="auto" w:fill="FFFFFF"/>
        <w:spacing w:before="280" w:line="276" w:lineRule="auto"/>
        <w:jc w:val="both"/>
        <w:rPr>
          <w:rFonts w:ascii="Times New Roman" w:eastAsia="Times New Roman" w:hAnsi="Times New Roman" w:cs="Times New Roman"/>
          <w:i/>
          <w:sz w:val="24"/>
          <w:szCs w:val="24"/>
          <w:highlight w:val="white"/>
          <w:u w:val="single"/>
        </w:rPr>
      </w:pPr>
      <w:r>
        <w:rPr>
          <w:rFonts w:ascii="Times New Roman" w:eastAsia="Times New Roman" w:hAnsi="Times New Roman" w:cs="Times New Roman"/>
          <w:i/>
          <w:sz w:val="24"/>
          <w:szCs w:val="24"/>
          <w:highlight w:val="white"/>
          <w:u w:val="single"/>
        </w:rPr>
        <w:t>Leyes.</w:t>
      </w:r>
    </w:p>
    <w:p w14:paraId="5BC11EB3" w14:textId="77777777" w:rsidR="004C2B5D" w:rsidRDefault="00AD159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Ley 1979 de 2019, “Por medio de la cual se reconoce, rinde homenaje y se otorgan beneficios a los veteranos de la Fuerza Pública y se dictan otras disposiciones”. Esta ley fue creada para reconocer a todos los miembros de la fuerza pública que ostenten la calidad de veteranos como reconocimiento por su sacrificio por el país.</w:t>
      </w:r>
    </w:p>
    <w:p w14:paraId="1AC39544" w14:textId="77777777" w:rsidR="004C2B5D" w:rsidRDefault="00AD1592">
      <w:pPr>
        <w:shd w:val="clear" w:color="auto" w:fill="FFFFFF"/>
        <w:spacing w:before="28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 Ley 278 DE 1996 </w:t>
      </w:r>
      <w:r>
        <w:rPr>
          <w:rFonts w:ascii="Times New Roman" w:eastAsia="Times New Roman" w:hAnsi="Times New Roman" w:cs="Times New Roman"/>
          <w:color w:val="333333"/>
          <w:sz w:val="24"/>
          <w:szCs w:val="24"/>
        </w:rPr>
        <w:t>"Comisión permanente de concertación de políticas salariales y laborales creada por el artículo 56 de la Constitución Política".</w:t>
      </w:r>
    </w:p>
    <w:p w14:paraId="5C421C2E" w14:textId="77777777" w:rsidR="004C2B5D" w:rsidRDefault="00AD1592">
      <w:pPr>
        <w:shd w:val="clear" w:color="auto" w:fill="FFFFFF"/>
        <w:spacing w:before="280" w:line="276" w:lineRule="auto"/>
        <w:rPr>
          <w:rFonts w:ascii="Times New Roman" w:eastAsia="Times New Roman" w:hAnsi="Times New Roman" w:cs="Times New Roman"/>
          <w:i/>
          <w:color w:val="333333"/>
          <w:sz w:val="24"/>
          <w:szCs w:val="24"/>
          <w:u w:val="single"/>
        </w:rPr>
      </w:pPr>
      <w:r>
        <w:rPr>
          <w:rFonts w:ascii="Times New Roman" w:eastAsia="Times New Roman" w:hAnsi="Times New Roman" w:cs="Times New Roman"/>
          <w:i/>
          <w:color w:val="333333"/>
          <w:sz w:val="24"/>
          <w:szCs w:val="24"/>
          <w:u w:val="single"/>
        </w:rPr>
        <w:t>Contenidos jurisprudenciales.</w:t>
      </w:r>
    </w:p>
    <w:p w14:paraId="6F3FFFAD" w14:textId="77777777" w:rsidR="004C2B5D" w:rsidRDefault="00AD1592">
      <w:pPr>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000000"/>
          <w:sz w:val="24"/>
          <w:szCs w:val="24"/>
        </w:rPr>
        <w:t xml:space="preserve">C271/22: </w:t>
      </w:r>
      <w:r>
        <w:rPr>
          <w:rFonts w:ascii="Times New Roman" w:eastAsia="Times New Roman" w:hAnsi="Times New Roman" w:cs="Times New Roman"/>
          <w:i/>
          <w:color w:val="2D2D2D"/>
          <w:sz w:val="24"/>
          <w:szCs w:val="24"/>
        </w:rPr>
        <w:t xml:space="preserve"> La Sala Plena concluye que el otorgamiento del beneficio previsto en el primer párrafo del artículo veintitrés de la Ley 1979 de 2019 encuentra pleno asidero en la Constitución. Esta conclusión se funda en las siguientes premisas, que coinciden con las etapas del escrutinio estricto de igualdad: i) la medida persigue un fin constitucionalmente imperioso, consistente en mejorar las condiciones económicas de los integrantes de las Fuerzas Armadas que sufran daños en su capacidad laboral como consecuencia de los actos meritorios que se refieren en la norma demandada, lo cual coincide con el mandato constitucional de brindar prestaciones de seguridad social de carácter particular a quienes se encuentren en estado de discapacidad debido a actividades relacionadas con el cumplimiento de fines del  Estado; ii) la medida es efectivamente conducente y necesaria, pues, por las razones anotadas, satisface eficazmente el fin que persigue y, por otra parte, no existen otros medios menos lesivos que conlleven el cumplimiento del aludido fin; y </w:t>
      </w:r>
      <w:r>
        <w:rPr>
          <w:rFonts w:ascii="Times New Roman" w:eastAsia="Times New Roman" w:hAnsi="Times New Roman" w:cs="Times New Roman"/>
          <w:i/>
          <w:color w:val="2D2D2D"/>
          <w:sz w:val="24"/>
          <w:szCs w:val="24"/>
        </w:rPr>
        <w:lastRenderedPageBreak/>
        <w:t>iii) los beneficios que procura la medida excedan las restricciones que aquella produce respecto de otros valores o principios constitucionales.</w:t>
      </w:r>
    </w:p>
    <w:p w14:paraId="0540906E" w14:textId="77777777" w:rsidR="004C2B5D" w:rsidRDefault="004C2B5D">
      <w:pPr>
        <w:pBdr>
          <w:top w:val="nil"/>
          <w:left w:val="nil"/>
          <w:bottom w:val="nil"/>
          <w:right w:val="nil"/>
          <w:between w:val="nil"/>
        </w:pBdr>
        <w:shd w:val="clear" w:color="auto" w:fill="FFFFFF"/>
        <w:spacing w:line="276" w:lineRule="auto"/>
        <w:ind w:left="720"/>
        <w:jc w:val="both"/>
        <w:rPr>
          <w:rFonts w:ascii="Times New Roman" w:eastAsia="Times New Roman" w:hAnsi="Times New Roman" w:cs="Times New Roman"/>
          <w:color w:val="2D2D2D"/>
          <w:sz w:val="24"/>
          <w:szCs w:val="24"/>
        </w:rPr>
      </w:pPr>
    </w:p>
    <w:p w14:paraId="18F173C0" w14:textId="77777777" w:rsidR="004C2B5D" w:rsidRDefault="004C2B5D">
      <w:pPr>
        <w:spacing w:after="0" w:line="276" w:lineRule="auto"/>
        <w:rPr>
          <w:rFonts w:ascii="Times New Roman" w:eastAsia="Times New Roman" w:hAnsi="Times New Roman" w:cs="Times New Roman"/>
          <w:sz w:val="24"/>
          <w:szCs w:val="24"/>
        </w:rPr>
      </w:pPr>
    </w:p>
    <w:p w14:paraId="01F2518A" w14:textId="77777777" w:rsidR="004C2B5D" w:rsidRDefault="00AD1592">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2D2D2D"/>
          <w:sz w:val="24"/>
          <w:szCs w:val="24"/>
          <w:highlight w:val="white"/>
        </w:rPr>
        <w:t>La Sala Plena ha establecido que la «existencia de prestaciones especiales a favor de los miembros de la Fuerza Pública, lejos de ser inconstitucionales, pretenden hacer efectivos los principios de igualdad material y equidad». Esto es así en la medida en que, en lugar de otorgar privilegios injustificados, contrarios al principio constitucional de igualdad, procuran compensar a los integrantes de la Fuerza Pública por «el desgaste físico y emocional sufrido durante un largo período de tiempo [y] por la prestación ininterrumpida de una función pública que envuelve un peligro inminente»</w:t>
      </w:r>
    </w:p>
    <w:p w14:paraId="482EC4DE" w14:textId="77777777" w:rsidR="004C2B5D" w:rsidRDefault="004C2B5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45435929" w14:textId="77777777" w:rsidR="004C2B5D" w:rsidRDefault="00AD1592">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2D2D2D"/>
          <w:sz w:val="24"/>
          <w:szCs w:val="24"/>
          <w:highlight w:val="white"/>
        </w:rPr>
        <w:t> Los soldados e infantes de marina que obtuvieron la pensión de invalidez por enfermedad o accidente de origen común o por accidente de trabajo o enfermedad laboral son personas vulnerables. Acogiendo el mismo criterio expuesto en la Sentencia C-116 de 2021, observa que no lo son por su condición de retirados de las Fuerzas Militares, sino por el hecho de que padecen una pérdida apreciable de su capacidad psicofísica. Teniendo en cuenta dicha circunstancia, se encuentran legitimados para reclamar del Estado una protección de carácter reforzado. El deber correlativo que recae sobre esta corporación, en su calidad de institución integrante del Estado colombiano, exige emplear un juicio estricto de igualdad para evaluar la constitucionalidad de la norma demandada. Dicho rasero plantea el mejor escenario para asegurar la protección de sus derechos fundamentales. </w:t>
      </w:r>
    </w:p>
    <w:p w14:paraId="43C04293" w14:textId="77777777" w:rsidR="004C2B5D" w:rsidRDefault="004C2B5D">
      <w:pPr>
        <w:spacing w:line="276" w:lineRule="auto"/>
        <w:jc w:val="both"/>
        <w:rPr>
          <w:rFonts w:ascii="Times New Roman" w:eastAsia="Times New Roman" w:hAnsi="Times New Roman" w:cs="Times New Roman"/>
          <w:sz w:val="24"/>
          <w:szCs w:val="24"/>
        </w:rPr>
      </w:pPr>
    </w:p>
    <w:p w14:paraId="41C6E296" w14:textId="77777777" w:rsidR="004C2B5D" w:rsidRDefault="004C2B5D">
      <w:pPr>
        <w:rPr>
          <w:rFonts w:ascii="Times New Roman" w:eastAsia="Times New Roman" w:hAnsi="Times New Roman" w:cs="Times New Roman"/>
          <w:sz w:val="24"/>
          <w:szCs w:val="24"/>
        </w:rPr>
      </w:pPr>
    </w:p>
    <w:p w14:paraId="05EF5E86" w14:textId="77777777" w:rsidR="004C2B5D" w:rsidRDefault="004C2B5D">
      <w:pPr>
        <w:rPr>
          <w:rFonts w:ascii="Times New Roman" w:eastAsia="Times New Roman" w:hAnsi="Times New Roman" w:cs="Times New Roman"/>
          <w:sz w:val="24"/>
          <w:szCs w:val="24"/>
        </w:rPr>
      </w:pPr>
    </w:p>
    <w:p w14:paraId="4B09FFD7" w14:textId="77777777" w:rsidR="004C2B5D" w:rsidRDefault="00AD159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59A8A7AE" w14:textId="77777777" w:rsidR="004C2B5D" w:rsidRDefault="00AD15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Hernando González</w:t>
      </w:r>
    </w:p>
    <w:p w14:paraId="3635B07A" w14:textId="77777777" w:rsidR="004C2B5D" w:rsidRDefault="00AD15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 del Valle del Cauca</w:t>
      </w:r>
    </w:p>
    <w:p w14:paraId="44C0123C" w14:textId="77777777" w:rsidR="004C2B5D" w:rsidRDefault="00AD15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Cambio Radical</w:t>
      </w:r>
    </w:p>
    <w:p w14:paraId="17886071" w14:textId="77777777" w:rsidR="004C2B5D" w:rsidRDefault="004C2B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E87DF4" w14:textId="77777777" w:rsidR="004C2B5D" w:rsidRDefault="004C2B5D">
      <w:pPr>
        <w:shd w:val="clear" w:color="auto" w:fill="FFFFFF"/>
        <w:spacing w:before="280"/>
        <w:jc w:val="both"/>
        <w:rPr>
          <w:rFonts w:ascii="Times New Roman" w:eastAsia="Times New Roman" w:hAnsi="Times New Roman" w:cs="Times New Roman"/>
          <w:b/>
          <w:sz w:val="24"/>
          <w:szCs w:val="24"/>
          <w:highlight w:val="white"/>
          <w:u w:val="single"/>
        </w:rPr>
      </w:pPr>
    </w:p>
    <w:sectPr w:rsidR="004C2B5D">
      <w:headerReference w:type="default" r:id="rId8"/>
      <w:footerReference w:type="default" r:id="rId9"/>
      <w:pgSz w:w="12240" w:h="15840"/>
      <w:pgMar w:top="1417" w:right="1701" w:bottom="1417" w:left="1701" w:header="2268" w:footer="141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FA21" w14:textId="77777777" w:rsidR="00A83733" w:rsidRDefault="00A83733">
      <w:pPr>
        <w:spacing w:after="0" w:line="240" w:lineRule="auto"/>
      </w:pPr>
      <w:r>
        <w:separator/>
      </w:r>
    </w:p>
  </w:endnote>
  <w:endnote w:type="continuationSeparator" w:id="0">
    <w:p w14:paraId="3D2FDECD" w14:textId="77777777" w:rsidR="00A83733" w:rsidRDefault="00A8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794B" w14:textId="77777777" w:rsidR="004C2B5D" w:rsidRDefault="00AD159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B34E440" wp14:editId="27253581">
          <wp:simplePos x="0" y="0"/>
          <wp:positionH relativeFrom="column">
            <wp:posOffset>-1080134</wp:posOffset>
          </wp:positionH>
          <wp:positionV relativeFrom="paragraph">
            <wp:posOffset>371475</wp:posOffset>
          </wp:positionV>
          <wp:extent cx="7804800" cy="1224000"/>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04800" cy="1224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22781" w14:textId="77777777" w:rsidR="00A83733" w:rsidRDefault="00A83733">
      <w:pPr>
        <w:spacing w:after="0" w:line="240" w:lineRule="auto"/>
      </w:pPr>
      <w:r>
        <w:separator/>
      </w:r>
    </w:p>
  </w:footnote>
  <w:footnote w:type="continuationSeparator" w:id="0">
    <w:p w14:paraId="32318CEC" w14:textId="77777777" w:rsidR="00A83733" w:rsidRDefault="00A8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7FBF" w14:textId="77777777" w:rsidR="004C2B5D" w:rsidRDefault="00AD159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E3982E6" wp14:editId="62B40433">
          <wp:simplePos x="0" y="0"/>
          <wp:positionH relativeFrom="page">
            <wp:posOffset>695326</wp:posOffset>
          </wp:positionH>
          <wp:positionV relativeFrom="paragraph">
            <wp:posOffset>-1525905</wp:posOffset>
          </wp:positionV>
          <wp:extent cx="6496050" cy="1609725"/>
          <wp:effectExtent l="0" t="0" r="0" b="9525"/>
          <wp:wrapNone/>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96050" cy="16097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30B7"/>
    <w:multiLevelType w:val="multilevel"/>
    <w:tmpl w:val="4DF2A130"/>
    <w:lvl w:ilvl="0">
      <w:start w:val="6"/>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AE4BC4"/>
    <w:multiLevelType w:val="multilevel"/>
    <w:tmpl w:val="DBA00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D6F78"/>
    <w:multiLevelType w:val="multilevel"/>
    <w:tmpl w:val="2AF68490"/>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5D"/>
    <w:rsid w:val="00123613"/>
    <w:rsid w:val="002E1345"/>
    <w:rsid w:val="00357E25"/>
    <w:rsid w:val="004C2B5D"/>
    <w:rsid w:val="00564397"/>
    <w:rsid w:val="00682F0B"/>
    <w:rsid w:val="00A83733"/>
    <w:rsid w:val="00AD1592"/>
    <w:rsid w:val="00DA1D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BDAC"/>
  <w15:docId w15:val="{FA475672-99AC-4026-A343-B4702520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FC17C2"/>
  </w:style>
  <w:style w:type="character" w:styleId="nfasis">
    <w:name w:val="Emphasis"/>
    <w:basedOn w:val="Fuentedeprrafopredeter"/>
    <w:uiPriority w:val="20"/>
    <w:qFormat/>
    <w:rsid w:val="00FC17C2"/>
    <w:rPr>
      <w:i/>
      <w:iCs/>
    </w:rPr>
  </w:style>
  <w:style w:type="paragraph" w:styleId="Textoindependiente">
    <w:name w:val="Body Text"/>
    <w:basedOn w:val="Normal"/>
    <w:link w:val="TextoindependienteCar"/>
    <w:uiPriority w:val="99"/>
    <w:unhideWhenUsed/>
    <w:rsid w:val="00736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736FEE"/>
    <w:rPr>
      <w:rFonts w:ascii="Times New Roman" w:eastAsia="Times New Roman" w:hAnsi="Times New Roman" w:cs="Times New Roman"/>
      <w:kern w:val="0"/>
      <w:lang w:eastAsia="es-CO"/>
    </w:rPr>
  </w:style>
  <w:style w:type="paragraph" w:styleId="NormalWeb">
    <w:name w:val="Normal (Web)"/>
    <w:basedOn w:val="Normal"/>
    <w:uiPriority w:val="99"/>
    <w:unhideWhenUsed/>
    <w:rsid w:val="00736FEE"/>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36FEE"/>
    <w:pPr>
      <w:ind w:left="720"/>
      <w:contextualSpacing/>
    </w:pPr>
  </w:style>
  <w:style w:type="table" w:styleId="Tablaconcuadrcula">
    <w:name w:val="Table Grid"/>
    <w:basedOn w:val="Tablanormal"/>
    <w:uiPriority w:val="39"/>
    <w:rsid w:val="0073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36FEE"/>
    <w:rPr>
      <w:color w:val="0000FF"/>
      <w:u w:val="single"/>
    </w:rPr>
  </w:style>
  <w:style w:type="paragraph" w:styleId="Encabezado">
    <w:name w:val="header"/>
    <w:basedOn w:val="Normal"/>
    <w:link w:val="EncabezadoCar"/>
    <w:uiPriority w:val="99"/>
    <w:unhideWhenUsed/>
    <w:rsid w:val="003248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834"/>
    <w:rPr>
      <w:kern w:val="0"/>
      <w:sz w:val="22"/>
      <w:szCs w:val="22"/>
    </w:rPr>
  </w:style>
  <w:style w:type="paragraph" w:styleId="Piedepgina">
    <w:name w:val="footer"/>
    <w:basedOn w:val="Normal"/>
    <w:link w:val="PiedepginaCar"/>
    <w:uiPriority w:val="99"/>
    <w:unhideWhenUsed/>
    <w:rsid w:val="003248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834"/>
    <w:rPr>
      <w:kern w:val="0"/>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otWKk5cg2nfZuRwW/TyKAkPDg==">CgMxLjAyCmlkLjMwajB6bGw4AHIhMV82VC1yS2hpTXdSbXpOMVNIN1lHRGJ1WGl6S0dZZ0Ez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2816</Words>
  <Characters>15490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Camilo Acuña Moreno</dc:creator>
  <cp:lastModifiedBy>Jeimy Milena Mora Cristancho</cp:lastModifiedBy>
  <cp:revision>2</cp:revision>
  <cp:lastPrinted>2024-11-06T13:35:00Z</cp:lastPrinted>
  <dcterms:created xsi:type="dcterms:W3CDTF">2024-11-06T17:24:00Z</dcterms:created>
  <dcterms:modified xsi:type="dcterms:W3CDTF">2024-11-06T17:24:00Z</dcterms:modified>
</cp:coreProperties>
</file>