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31D" w:rsidRDefault="00F564A6">
      <w:pPr>
        <w:jc w:val="both"/>
        <w:rPr>
          <w:rFonts w:ascii="Calibri" w:eastAsia="Calibri" w:hAnsi="Calibri" w:cs="Calibri"/>
        </w:rPr>
      </w:pPr>
      <w:r>
        <w:rPr>
          <w:rFonts w:ascii="Calibri" w:eastAsia="Calibri" w:hAnsi="Calibri" w:cs="Calibri"/>
        </w:rPr>
        <w:t>Bogotá, D.C., 27 de agosto de 2024</w:t>
      </w:r>
    </w:p>
    <w:p w:rsidR="00E7531D" w:rsidRDefault="00E7531D">
      <w:pPr>
        <w:jc w:val="both"/>
        <w:rPr>
          <w:rFonts w:ascii="Calibri" w:eastAsia="Calibri" w:hAnsi="Calibri" w:cs="Calibri"/>
        </w:rPr>
      </w:pP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Señor </w:t>
      </w:r>
    </w:p>
    <w:p w:rsidR="00E7531D" w:rsidRDefault="00F564A6">
      <w:pPr>
        <w:jc w:val="both"/>
        <w:rPr>
          <w:rFonts w:ascii="Calibri" w:eastAsia="Calibri" w:hAnsi="Calibri" w:cs="Calibri"/>
          <w:b/>
        </w:rPr>
      </w:pPr>
      <w:r>
        <w:rPr>
          <w:rFonts w:ascii="Calibri" w:eastAsia="Calibri" w:hAnsi="Calibri" w:cs="Calibri"/>
          <w:b/>
        </w:rPr>
        <w:t xml:space="preserve">Jaime Luis Lacouture Peñaloza </w:t>
      </w:r>
    </w:p>
    <w:p w:rsidR="00E7531D" w:rsidRDefault="00F564A6">
      <w:pPr>
        <w:jc w:val="both"/>
        <w:rPr>
          <w:rFonts w:ascii="Calibri" w:eastAsia="Calibri" w:hAnsi="Calibri" w:cs="Calibri"/>
        </w:rPr>
      </w:pPr>
      <w:r>
        <w:rPr>
          <w:rFonts w:ascii="Calibri" w:eastAsia="Calibri" w:hAnsi="Calibri" w:cs="Calibri"/>
        </w:rPr>
        <w:t xml:space="preserve">Secretario General </w:t>
      </w:r>
    </w:p>
    <w:p w:rsidR="00E7531D" w:rsidRDefault="00F564A6">
      <w:pPr>
        <w:jc w:val="both"/>
        <w:rPr>
          <w:rFonts w:ascii="Calibri" w:eastAsia="Calibri" w:hAnsi="Calibri" w:cs="Calibri"/>
        </w:rPr>
      </w:pPr>
      <w:r>
        <w:rPr>
          <w:rFonts w:ascii="Calibri" w:eastAsia="Calibri" w:hAnsi="Calibri" w:cs="Calibri"/>
        </w:rPr>
        <w:t>Cámara de Representantes</w:t>
      </w:r>
    </w:p>
    <w:p w:rsidR="00E7531D" w:rsidRDefault="00F564A6">
      <w:pPr>
        <w:jc w:val="both"/>
        <w:rPr>
          <w:rFonts w:ascii="Calibri" w:eastAsia="Calibri" w:hAnsi="Calibri" w:cs="Calibri"/>
        </w:rPr>
      </w:pPr>
      <w:r>
        <w:rPr>
          <w:rFonts w:ascii="Calibri" w:eastAsia="Calibri" w:hAnsi="Calibri" w:cs="Calibri"/>
        </w:rPr>
        <w:t>Ciudad</w:t>
      </w:r>
    </w:p>
    <w:p w:rsidR="00E7531D" w:rsidRDefault="00E7531D">
      <w:pPr>
        <w:jc w:val="both"/>
        <w:rPr>
          <w:rFonts w:ascii="Calibri" w:eastAsia="Calibri" w:hAnsi="Calibri" w:cs="Calibri"/>
        </w:rPr>
      </w:pPr>
    </w:p>
    <w:p w:rsidR="00E7531D" w:rsidRDefault="00E7531D">
      <w:pPr>
        <w:jc w:val="right"/>
        <w:rPr>
          <w:rFonts w:ascii="Calibri" w:eastAsia="Calibri" w:hAnsi="Calibri" w:cs="Calibri"/>
          <w:b/>
        </w:rPr>
      </w:pPr>
    </w:p>
    <w:p w:rsidR="00E7531D" w:rsidRDefault="00F564A6">
      <w:pPr>
        <w:ind w:left="720"/>
        <w:jc w:val="both"/>
        <w:rPr>
          <w:rFonts w:ascii="Calibri" w:eastAsia="Calibri" w:hAnsi="Calibri" w:cs="Calibri"/>
        </w:rPr>
      </w:pPr>
      <w:r>
        <w:rPr>
          <w:rFonts w:ascii="Calibri" w:eastAsia="Calibri" w:hAnsi="Calibri" w:cs="Calibri"/>
          <w:b/>
        </w:rPr>
        <w:t>Asunto:</w:t>
      </w:r>
      <w:r>
        <w:rPr>
          <w:rFonts w:ascii="Calibri" w:eastAsia="Calibri" w:hAnsi="Calibri" w:cs="Calibri"/>
        </w:rPr>
        <w:t xml:space="preserve"> Radicación de proyecto de ley </w:t>
      </w:r>
      <w:r>
        <w:rPr>
          <w:rFonts w:ascii="Calibri" w:eastAsia="Calibri" w:hAnsi="Calibri" w:cs="Calibri"/>
          <w:i/>
        </w:rPr>
        <w:t>“Por medio del cual se crea la Política de Austeridad Pública, se establece la obligatoriedad de los Planes de Austeridad del Gasto para los órganos que hacen parte del Presupuesto General de la Nación y se definen lineamientos para promover y priorizar la transparencia del gasto público”.</w:t>
      </w:r>
    </w:p>
    <w:p w:rsidR="00E7531D" w:rsidRDefault="00E7531D">
      <w:pPr>
        <w:jc w:val="right"/>
        <w:rPr>
          <w:rFonts w:ascii="Calibri" w:eastAsia="Calibri" w:hAnsi="Calibri" w:cs="Calibri"/>
        </w:rPr>
      </w:pPr>
    </w:p>
    <w:p w:rsidR="00E7531D" w:rsidRDefault="00E7531D">
      <w:pPr>
        <w:jc w:val="right"/>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Respetado Sr. Secretario: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De conformidad con el procedimiento establecido en la Constitución y la Ley 5 de 1992, radico ante su despacho un Proyecto de Ley de mi autoría, con el objetivo de que pueda iniciar el trámite legislativo.</w:t>
      </w:r>
    </w:p>
    <w:p w:rsidR="00E7531D" w:rsidRDefault="00E7531D">
      <w:pPr>
        <w:jc w:val="both"/>
        <w:rPr>
          <w:rFonts w:ascii="Calibri" w:eastAsia="Calibri" w:hAnsi="Calibri" w:cs="Calibri"/>
        </w:rPr>
      </w:pP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Cordialmente, </w:t>
      </w:r>
    </w:p>
    <w:p w:rsidR="00E7531D" w:rsidRDefault="00E7531D">
      <w:pPr>
        <w:jc w:val="both"/>
        <w:rPr>
          <w:rFonts w:ascii="Calibri" w:eastAsia="Calibri" w:hAnsi="Calibri" w:cs="Calibri"/>
          <w:b/>
        </w:rPr>
      </w:pPr>
    </w:p>
    <w:p w:rsidR="00E7531D" w:rsidRDefault="00E7531D">
      <w:pPr>
        <w:jc w:val="center"/>
        <w:rPr>
          <w:rFonts w:ascii="Calibri" w:eastAsia="Calibri" w:hAnsi="Calibri" w:cs="Calibri"/>
          <w:b/>
        </w:rPr>
      </w:pPr>
    </w:p>
    <w:p w:rsidR="00E7531D" w:rsidRDefault="00E7531D">
      <w:pPr>
        <w:jc w:val="center"/>
        <w:rPr>
          <w:rFonts w:ascii="Calibri" w:eastAsia="Calibri" w:hAnsi="Calibri" w:cs="Calibri"/>
          <w:b/>
        </w:rPr>
      </w:pPr>
    </w:p>
    <w:p w:rsidR="00E7531D" w:rsidRDefault="00E7531D">
      <w:pPr>
        <w:jc w:val="center"/>
        <w:rPr>
          <w:rFonts w:ascii="Calibri" w:eastAsia="Calibri" w:hAnsi="Calibri" w:cs="Calibri"/>
          <w:b/>
        </w:rPr>
      </w:pPr>
    </w:p>
    <w:p w:rsidR="00E7531D" w:rsidRDefault="00E7531D">
      <w:pPr>
        <w:jc w:val="center"/>
        <w:rPr>
          <w:rFonts w:ascii="Calibri" w:eastAsia="Calibri" w:hAnsi="Calibri" w:cs="Calibri"/>
          <w:b/>
        </w:rPr>
      </w:pPr>
    </w:p>
    <w:p w:rsidR="00E7531D" w:rsidRDefault="00F564A6">
      <w:pPr>
        <w:jc w:val="center"/>
        <w:rPr>
          <w:rFonts w:ascii="Calibri" w:eastAsia="Calibri" w:hAnsi="Calibri" w:cs="Calibri"/>
          <w:b/>
        </w:rPr>
      </w:pPr>
      <w:r>
        <w:rPr>
          <w:rFonts w:ascii="Calibri" w:eastAsia="Calibri" w:hAnsi="Calibri" w:cs="Calibri"/>
          <w:b/>
        </w:rPr>
        <w:t>David Racero Mayorca</w:t>
      </w:r>
    </w:p>
    <w:p w:rsidR="00E7531D" w:rsidRDefault="00F564A6">
      <w:pPr>
        <w:jc w:val="center"/>
        <w:rPr>
          <w:rFonts w:ascii="Calibri" w:eastAsia="Calibri" w:hAnsi="Calibri" w:cs="Calibri"/>
          <w:b/>
        </w:rPr>
      </w:pPr>
      <w:r>
        <w:rPr>
          <w:rFonts w:ascii="Calibri" w:eastAsia="Calibri" w:hAnsi="Calibri" w:cs="Calibri"/>
          <w:b/>
        </w:rPr>
        <w:t>Representante a la Cámara por Bogotá</w:t>
      </w:r>
    </w:p>
    <w:p w:rsidR="00E7531D" w:rsidRDefault="00F564A6">
      <w:pPr>
        <w:jc w:val="center"/>
        <w:rPr>
          <w:rFonts w:ascii="Calibri" w:eastAsia="Calibri" w:hAnsi="Calibri" w:cs="Calibri"/>
          <w:b/>
        </w:rPr>
      </w:pPr>
      <w:r>
        <w:rPr>
          <w:rFonts w:ascii="Calibri" w:eastAsia="Calibri" w:hAnsi="Calibri" w:cs="Calibri"/>
          <w:b/>
        </w:rPr>
        <w:t>Coalición Pacto Histórico</w:t>
      </w:r>
    </w:p>
    <w:p w:rsidR="00E7531D" w:rsidRDefault="00E7531D">
      <w:pPr>
        <w:jc w:val="both"/>
        <w:rPr>
          <w:rFonts w:ascii="Calibri" w:eastAsia="Calibri" w:hAnsi="Calibri" w:cs="Calibri"/>
        </w:rPr>
      </w:pPr>
    </w:p>
    <w:p w:rsidR="00E7531D" w:rsidRDefault="00E7531D">
      <w:pPr>
        <w:jc w:val="both"/>
        <w:rPr>
          <w:rFonts w:ascii="Calibri" w:eastAsia="Calibri" w:hAnsi="Calibri" w:cs="Calibri"/>
        </w:rPr>
      </w:pPr>
    </w:p>
    <w:p w:rsidR="00E7531D" w:rsidRDefault="00E7531D">
      <w:pPr>
        <w:jc w:val="both"/>
        <w:rPr>
          <w:rFonts w:ascii="Calibri" w:eastAsia="Calibri" w:hAnsi="Calibri" w:cs="Calibri"/>
        </w:rPr>
      </w:pPr>
    </w:p>
    <w:p w:rsidR="00E7531D" w:rsidRDefault="00E7531D">
      <w:pPr>
        <w:jc w:val="both"/>
        <w:rPr>
          <w:rFonts w:ascii="Calibri" w:eastAsia="Calibri" w:hAnsi="Calibri" w:cs="Calibri"/>
        </w:rPr>
      </w:pPr>
    </w:p>
    <w:p w:rsidR="00E7531D" w:rsidRDefault="00E7531D">
      <w:pPr>
        <w:jc w:val="both"/>
        <w:rPr>
          <w:rFonts w:ascii="Calibri" w:eastAsia="Calibri" w:hAnsi="Calibri" w:cs="Calibri"/>
        </w:rPr>
      </w:pPr>
    </w:p>
    <w:p w:rsidR="00E7531D" w:rsidRDefault="00E7531D">
      <w:pPr>
        <w:jc w:val="both"/>
        <w:rPr>
          <w:rFonts w:ascii="Calibri" w:eastAsia="Calibri" w:hAnsi="Calibri" w:cs="Calibri"/>
          <w:color w:val="000000"/>
        </w:rPr>
      </w:pPr>
    </w:p>
    <w:p w:rsidR="00E7531D" w:rsidRDefault="00E7531D">
      <w:pPr>
        <w:jc w:val="both"/>
        <w:rPr>
          <w:rFonts w:ascii="Calibri" w:eastAsia="Calibri" w:hAnsi="Calibri" w:cs="Calibri"/>
          <w:b/>
          <w:color w:val="000000"/>
        </w:rPr>
      </w:pPr>
    </w:p>
    <w:p w:rsidR="00E7531D" w:rsidRDefault="00E7531D">
      <w:pPr>
        <w:jc w:val="both"/>
        <w:rPr>
          <w:rFonts w:ascii="Calibri" w:eastAsia="Calibri" w:hAnsi="Calibri" w:cs="Calibri"/>
          <w:b/>
          <w:color w:val="000000"/>
        </w:rPr>
      </w:pPr>
    </w:p>
    <w:p w:rsidR="00E7531D" w:rsidRDefault="00F564A6">
      <w:pPr>
        <w:pBdr>
          <w:top w:val="nil"/>
          <w:left w:val="nil"/>
          <w:bottom w:val="nil"/>
          <w:right w:val="nil"/>
          <w:between w:val="nil"/>
        </w:pBdr>
        <w:spacing w:line="259" w:lineRule="auto"/>
        <w:ind w:left="720"/>
        <w:jc w:val="center"/>
        <w:rPr>
          <w:rFonts w:ascii="Calibri" w:eastAsia="Calibri" w:hAnsi="Calibri" w:cs="Calibri"/>
          <w:b/>
          <w:i/>
          <w:color w:val="000000"/>
        </w:rPr>
      </w:pPr>
      <w:r>
        <w:rPr>
          <w:rFonts w:ascii="Calibri" w:eastAsia="Calibri" w:hAnsi="Calibri" w:cs="Calibri"/>
          <w:b/>
          <w:color w:val="000000"/>
        </w:rPr>
        <w:lastRenderedPageBreak/>
        <w:t>PROYECTO DE LE</w:t>
      </w:r>
      <w:r>
        <w:rPr>
          <w:rFonts w:ascii="Calibri" w:eastAsia="Calibri" w:hAnsi="Calibri" w:cs="Calibri"/>
          <w:b/>
        </w:rPr>
        <w:t xml:space="preserve">Y </w:t>
      </w:r>
      <w:r>
        <w:rPr>
          <w:rFonts w:ascii="Calibri" w:eastAsia="Calibri" w:hAnsi="Calibri" w:cs="Calibri"/>
          <w:b/>
          <w:i/>
        </w:rPr>
        <w:t>POLÍTICA DE AUSTERIDAD PÚBLICA</w:t>
      </w:r>
    </w:p>
    <w:p w:rsidR="00E7531D" w:rsidRDefault="00E7531D">
      <w:pPr>
        <w:pBdr>
          <w:top w:val="nil"/>
          <w:left w:val="nil"/>
          <w:bottom w:val="nil"/>
          <w:right w:val="nil"/>
          <w:between w:val="nil"/>
        </w:pBdr>
        <w:spacing w:line="259" w:lineRule="auto"/>
        <w:ind w:left="720"/>
        <w:jc w:val="both"/>
        <w:rPr>
          <w:rFonts w:ascii="Calibri" w:eastAsia="Calibri" w:hAnsi="Calibri" w:cs="Calibri"/>
          <w:b/>
          <w:color w:val="000000"/>
        </w:rPr>
      </w:pPr>
    </w:p>
    <w:p w:rsidR="00E7531D" w:rsidRDefault="00F564A6">
      <w:pPr>
        <w:numPr>
          <w:ilvl w:val="0"/>
          <w:numId w:val="4"/>
        </w:numPr>
        <w:pBdr>
          <w:top w:val="nil"/>
          <w:left w:val="nil"/>
          <w:bottom w:val="nil"/>
          <w:right w:val="nil"/>
          <w:between w:val="nil"/>
        </w:pBdr>
        <w:spacing w:after="160" w:line="259" w:lineRule="auto"/>
        <w:jc w:val="both"/>
        <w:rPr>
          <w:rFonts w:ascii="Calibri" w:eastAsia="Calibri" w:hAnsi="Calibri" w:cs="Calibri"/>
          <w:b/>
          <w:color w:val="000000"/>
        </w:rPr>
      </w:pPr>
      <w:r>
        <w:rPr>
          <w:rFonts w:ascii="Calibri" w:eastAsia="Calibri" w:hAnsi="Calibri" w:cs="Calibri"/>
          <w:b/>
        </w:rPr>
        <w:t>OBJETO DEL PROYECTO DE LEY</w:t>
      </w:r>
    </w:p>
    <w:p w:rsidR="00E7531D" w:rsidRDefault="00F564A6">
      <w:pPr>
        <w:jc w:val="both"/>
        <w:rPr>
          <w:rFonts w:ascii="Calibri" w:eastAsia="Calibri" w:hAnsi="Calibri" w:cs="Calibri"/>
        </w:rPr>
      </w:pPr>
      <w:r>
        <w:rPr>
          <w:rFonts w:ascii="Calibri" w:eastAsia="Calibri" w:hAnsi="Calibri" w:cs="Calibri"/>
        </w:rPr>
        <w:t xml:space="preserve">Este proyecto de ley tiene por objeto crear la Política de Austeridad Pública y establecer la obligatoriedad de los Planes de Austeridad del Gasto que trata el artículo 19 de la Ley 2155 de 2021, </w:t>
      </w:r>
      <w:r>
        <w:rPr>
          <w:rFonts w:ascii="Calibri" w:eastAsia="Calibri" w:hAnsi="Calibri" w:cs="Calibri"/>
          <w:i/>
          <w:highlight w:val="white"/>
        </w:rPr>
        <w:t xml:space="preserve">para todos los órganos que hacen parte del Presupuesto General de la Nación y definir lineamientos para promover y priorizar la transparencia respecto de los gastos de funcionamiento del Estado. </w:t>
      </w:r>
      <w:r>
        <w:rPr>
          <w:rFonts w:ascii="Calibri" w:eastAsia="Calibri" w:hAnsi="Calibri" w:cs="Calibri"/>
        </w:rPr>
        <w:t>El propósito global es elevar a política de Estado la permanente reducción de costos asociados a tiquetes, viáticos, realización de eventos, esquemas de seguridad, vehículos oficiales, publicidad, papelería, telefonía, suscripción a publicaciones, adquisición de regalos corporativos, condecoraciones, entre otros, y  generar un mecanismo para que la ciudadanía pueda realizar periódicamente seguimiento a la destinación de recursos en el rubro correspondiente a gastos de funcionamiento del Estado.</w:t>
      </w:r>
    </w:p>
    <w:p w:rsidR="00E7531D" w:rsidRDefault="00E7531D">
      <w:pPr>
        <w:pBdr>
          <w:top w:val="nil"/>
          <w:left w:val="nil"/>
          <w:bottom w:val="nil"/>
          <w:right w:val="nil"/>
          <w:between w:val="nil"/>
        </w:pBdr>
        <w:spacing w:after="160" w:line="259" w:lineRule="auto"/>
        <w:jc w:val="both"/>
        <w:rPr>
          <w:rFonts w:ascii="Calibri" w:eastAsia="Calibri" w:hAnsi="Calibri" w:cs="Calibri"/>
          <w:b/>
        </w:rPr>
      </w:pPr>
    </w:p>
    <w:p w:rsidR="00E7531D" w:rsidRDefault="00F564A6">
      <w:pPr>
        <w:numPr>
          <w:ilvl w:val="0"/>
          <w:numId w:val="4"/>
        </w:numPr>
        <w:pBdr>
          <w:top w:val="nil"/>
          <w:left w:val="nil"/>
          <w:bottom w:val="nil"/>
          <w:right w:val="nil"/>
          <w:between w:val="nil"/>
        </w:pBdr>
        <w:spacing w:after="160" w:line="259" w:lineRule="auto"/>
        <w:jc w:val="both"/>
        <w:rPr>
          <w:rFonts w:ascii="Calibri" w:eastAsia="Calibri" w:hAnsi="Calibri" w:cs="Calibri"/>
          <w:b/>
          <w:color w:val="000000"/>
        </w:rPr>
      </w:pPr>
      <w:r>
        <w:rPr>
          <w:rFonts w:ascii="Calibri" w:eastAsia="Calibri" w:hAnsi="Calibri" w:cs="Calibri"/>
          <w:b/>
        </w:rPr>
        <w:t>CONTENIDO DEL PROYECTO DE LEY</w:t>
      </w:r>
    </w:p>
    <w:p w:rsidR="00E7531D" w:rsidRDefault="00F564A6">
      <w:pPr>
        <w:pBdr>
          <w:top w:val="nil"/>
          <w:left w:val="nil"/>
          <w:bottom w:val="nil"/>
          <w:right w:val="nil"/>
          <w:between w:val="nil"/>
        </w:pBdr>
        <w:spacing w:after="160" w:line="259" w:lineRule="auto"/>
        <w:jc w:val="both"/>
        <w:rPr>
          <w:rFonts w:ascii="Calibri" w:eastAsia="Calibri" w:hAnsi="Calibri" w:cs="Calibri"/>
        </w:rPr>
      </w:pPr>
      <w:r>
        <w:rPr>
          <w:rFonts w:ascii="Calibri" w:eastAsia="Calibri" w:hAnsi="Calibri" w:cs="Calibri"/>
        </w:rPr>
        <w:t>El proyecto de ley “Por medio del cual se crea la Política de Austeridad Pública, se establece la obligatoriedad de los Planes de Austeridad del Gasto para los órganos que hacen parte del Presupuesto General de la Nación y se definen lineamientos para promover y priorizar la transparencia del gasto públi</w:t>
      </w:r>
      <w:r w:rsidR="00311D79">
        <w:rPr>
          <w:rFonts w:ascii="Calibri" w:eastAsia="Calibri" w:hAnsi="Calibri" w:cs="Calibri"/>
        </w:rPr>
        <w:t>co” se estructura a partir de 37</w:t>
      </w:r>
      <w:r>
        <w:rPr>
          <w:rFonts w:ascii="Calibri" w:eastAsia="Calibri" w:hAnsi="Calibri" w:cs="Calibri"/>
        </w:rPr>
        <w:t xml:space="preserve"> artículos distribuidos en tres títulos, los cuales se presentan a continuación.</w:t>
      </w:r>
    </w:p>
    <w:tbl>
      <w:tblPr>
        <w:tblW w:w="0" w:type="dxa"/>
        <w:tblCellMar>
          <w:left w:w="0" w:type="dxa"/>
          <w:right w:w="0" w:type="dxa"/>
        </w:tblCellMar>
        <w:tblLook w:val="04A0" w:firstRow="1" w:lastRow="0" w:firstColumn="1" w:lastColumn="0" w:noHBand="0" w:noVBand="1"/>
      </w:tblPr>
      <w:tblGrid>
        <w:gridCol w:w="3992"/>
        <w:gridCol w:w="4832"/>
      </w:tblGrid>
      <w:tr w:rsidR="00311D79" w:rsidTr="00311D79">
        <w:trPr>
          <w:trHeight w:val="300"/>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311D79" w:rsidRDefault="00311D79" w:rsidP="00311D79">
            <w:pPr>
              <w:jc w:val="center"/>
              <w:rPr>
                <w:rFonts w:ascii="Calibri" w:hAnsi="Calibri" w:cs="Calibri"/>
                <w:b/>
                <w:bCs/>
                <w:sz w:val="22"/>
                <w:szCs w:val="22"/>
                <w:lang w:eastAsia="es-CO"/>
              </w:rPr>
            </w:pPr>
            <w:r>
              <w:rPr>
                <w:rFonts w:ascii="Calibri" w:hAnsi="Calibri" w:cs="Calibri"/>
                <w:b/>
                <w:bCs/>
                <w:sz w:val="22"/>
                <w:szCs w:val="22"/>
              </w:rPr>
              <w:t>Disposiciones generales</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1. Objeto y ámbito de aplicación.</w:t>
            </w:r>
          </w:p>
        </w:tc>
      </w:tr>
      <w:tr w:rsidR="00311D79" w:rsidTr="00311D79">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11D79" w:rsidRDefault="00311D79">
            <w:pPr>
              <w:rPr>
                <w:rFonts w:ascii="Calibri" w:hAnsi="Calibri" w:cs="Calibri"/>
              </w:rPr>
            </w:pPr>
            <w:r>
              <w:rPr>
                <w:rFonts w:ascii="Calibri" w:hAnsi="Calibri" w:cs="Calibri"/>
              </w:rPr>
              <w:t>ARTÍCULO 2. Principios.</w:t>
            </w:r>
          </w:p>
        </w:tc>
      </w:tr>
      <w:tr w:rsidR="00311D79" w:rsidTr="00311D79">
        <w:trPr>
          <w:trHeight w:val="300"/>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EF2CB"/>
            <w:tcMar>
              <w:top w:w="0" w:type="dxa"/>
              <w:left w:w="45" w:type="dxa"/>
              <w:bottom w:w="0" w:type="dxa"/>
              <w:right w:w="45" w:type="dxa"/>
            </w:tcMar>
            <w:vAlign w:val="center"/>
            <w:hideMark/>
          </w:tcPr>
          <w:p w:rsidR="00311D79" w:rsidRDefault="00311D79" w:rsidP="00311D79">
            <w:pPr>
              <w:jc w:val="center"/>
              <w:rPr>
                <w:rFonts w:ascii="Calibri" w:hAnsi="Calibri" w:cs="Calibri"/>
                <w:b/>
                <w:bCs/>
                <w:sz w:val="22"/>
                <w:szCs w:val="22"/>
              </w:rPr>
            </w:pPr>
            <w:r>
              <w:rPr>
                <w:rFonts w:ascii="Calibri" w:hAnsi="Calibri" w:cs="Calibri"/>
                <w:b/>
                <w:bCs/>
                <w:sz w:val="22"/>
                <w:szCs w:val="22"/>
              </w:rPr>
              <w:t>Título I. Austeridad Pública como Política de Estado.</w:t>
            </w:r>
          </w:p>
        </w:tc>
        <w:tc>
          <w:tcPr>
            <w:tcW w:w="0" w:type="auto"/>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hideMark/>
          </w:tcPr>
          <w:p w:rsidR="00311D79" w:rsidRDefault="00311D79">
            <w:pPr>
              <w:rPr>
                <w:rFonts w:ascii="Calibri" w:hAnsi="Calibri" w:cs="Calibri"/>
              </w:rPr>
            </w:pPr>
            <w:r>
              <w:rPr>
                <w:rFonts w:ascii="Calibri" w:hAnsi="Calibri" w:cs="Calibri"/>
              </w:rPr>
              <w:t>ARTÍCULO 3. Política de Austeridad Pública.</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4. Planes Anuales de Austeridad del Gasto</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5. Categorías de funcionamiento sobre las que recaen las medidas de austeridad. </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6. Meta Nacional de Austeridad.</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7. Reporte semestral. </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EF2CB"/>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8. Seguimiento y evaluación.</w:t>
            </w:r>
          </w:p>
        </w:tc>
      </w:tr>
      <w:tr w:rsidR="00311D79" w:rsidTr="00311D79">
        <w:trPr>
          <w:trHeight w:val="300"/>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ECECEC"/>
            <w:tcMar>
              <w:top w:w="0" w:type="dxa"/>
              <w:left w:w="45" w:type="dxa"/>
              <w:bottom w:w="0" w:type="dxa"/>
              <w:right w:w="45" w:type="dxa"/>
            </w:tcMar>
            <w:vAlign w:val="center"/>
            <w:hideMark/>
          </w:tcPr>
          <w:p w:rsidR="00311D79" w:rsidRDefault="00311D79" w:rsidP="00311D79">
            <w:pPr>
              <w:jc w:val="center"/>
              <w:rPr>
                <w:rFonts w:ascii="Calibri" w:hAnsi="Calibri" w:cs="Calibri"/>
                <w:b/>
                <w:bCs/>
                <w:sz w:val="22"/>
                <w:szCs w:val="22"/>
              </w:rPr>
            </w:pPr>
            <w:r>
              <w:rPr>
                <w:rFonts w:ascii="Calibri" w:hAnsi="Calibri" w:cs="Calibri"/>
                <w:b/>
                <w:bCs/>
                <w:sz w:val="22"/>
                <w:szCs w:val="22"/>
              </w:rPr>
              <w:t>Título II. Medidas de austeridad en los Planes Anuales de Austeridad del Gasto</w:t>
            </w: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9. Salarios y remuneraciones.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10. Mantenimiento de bienes inmuebles, cambio de sedes y adquisición de bienes muebles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11. Prelación de encuentros virtuales para reuniones y encuentros de carácter organizacional</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12. Suministro de Tiquetes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13. Fijación de la escala de viáticos. </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14. Delegaciones oficiales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15. Prohibición de pago de viáticos y delegaciones oficiales a particulares.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16. Eventos.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17. Esquemas de seguridad. </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18. Vehículos oficiales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19. Ahorro en publicidad estatal.</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20. Papelería y telefonía.</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21. Suscripción a periódicos y revistas, publicaciones y bases de datos.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22. Prohibición de regalos, recordatorios y </w:t>
            </w:r>
            <w:proofErr w:type="spellStart"/>
            <w:r>
              <w:rPr>
                <w:rFonts w:ascii="Calibri" w:hAnsi="Calibri" w:cs="Calibri"/>
                <w:sz w:val="22"/>
                <w:szCs w:val="22"/>
              </w:rPr>
              <w:t>souvenirs</w:t>
            </w:r>
            <w:proofErr w:type="spellEnd"/>
            <w:r>
              <w:rPr>
                <w:rFonts w:ascii="Calibri" w:hAnsi="Calibri" w:cs="Calibri"/>
                <w:sz w:val="22"/>
                <w:szCs w:val="22"/>
              </w:rPr>
              <w:t xml:space="preserve"> a cargo del tesoro.</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23. Sostenibilidad ambiental. </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24. No pensiones para expresidentes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ECECEC"/>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25. Prohibición de duplicidad de estudios. </w:t>
            </w:r>
          </w:p>
        </w:tc>
      </w:tr>
      <w:tr w:rsidR="00311D79" w:rsidTr="00311D79">
        <w:trPr>
          <w:trHeight w:val="300"/>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center"/>
            <w:hideMark/>
          </w:tcPr>
          <w:p w:rsidR="00311D79" w:rsidRDefault="00311D79" w:rsidP="00311D79">
            <w:pPr>
              <w:jc w:val="center"/>
              <w:rPr>
                <w:rFonts w:ascii="Calibri" w:hAnsi="Calibri" w:cs="Calibri"/>
                <w:b/>
                <w:bCs/>
                <w:sz w:val="22"/>
                <w:szCs w:val="22"/>
              </w:rPr>
            </w:pPr>
            <w:r>
              <w:rPr>
                <w:rFonts w:ascii="Calibri" w:hAnsi="Calibri" w:cs="Calibri"/>
                <w:b/>
                <w:bCs/>
                <w:sz w:val="22"/>
                <w:szCs w:val="22"/>
              </w:rPr>
              <w:t>Título III. Lineamientos para promover y priorizar la transparencia del gasto público</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26. Publicación de informes de comisión realizados por los servidores públicos.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27. Plan de manejo y disposición de activos inútiles.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28. No uso de personal pago por la entidad pública para fines personales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29. Cajas menores.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30. Fondos y fideicomisos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31. Sistema de información sobre Fondos y Fideicomisos. </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32. Programa Global de revisión de programas de gastos. </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33. Reportes de empresas privadas que reciban recursos públicos</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34. Destinación del ahorro producto de la Política de Austeridad Pública.</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35. Gastos acordes a gasto fiscal de mediano plazo. </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ARTÍCULO 36. Vigilancia y control</w:t>
            </w:r>
          </w:p>
        </w:tc>
      </w:tr>
      <w:tr w:rsidR="00311D79" w:rsidTr="00311D79">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11D79" w:rsidRDefault="00311D79">
            <w:pP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hideMark/>
          </w:tcPr>
          <w:p w:rsidR="00311D79" w:rsidRDefault="00311D79">
            <w:pPr>
              <w:rPr>
                <w:rFonts w:ascii="Calibri" w:hAnsi="Calibri" w:cs="Calibri"/>
                <w:sz w:val="22"/>
                <w:szCs w:val="22"/>
              </w:rPr>
            </w:pPr>
            <w:r>
              <w:rPr>
                <w:rFonts w:ascii="Calibri" w:hAnsi="Calibri" w:cs="Calibri"/>
                <w:sz w:val="22"/>
                <w:szCs w:val="22"/>
              </w:rPr>
              <w:t xml:space="preserve">ARTÍCULO 37. Vigencia. </w:t>
            </w:r>
          </w:p>
        </w:tc>
      </w:tr>
    </w:tbl>
    <w:p w:rsidR="00E7531D" w:rsidRDefault="00E7531D">
      <w:pPr>
        <w:pBdr>
          <w:top w:val="nil"/>
          <w:left w:val="nil"/>
          <w:bottom w:val="nil"/>
          <w:right w:val="nil"/>
          <w:between w:val="nil"/>
        </w:pBdr>
        <w:spacing w:after="160" w:line="259" w:lineRule="auto"/>
        <w:jc w:val="center"/>
        <w:rPr>
          <w:rFonts w:ascii="Calibri" w:eastAsia="Calibri" w:hAnsi="Calibri" w:cs="Calibri"/>
        </w:rPr>
      </w:pPr>
    </w:p>
    <w:p w:rsidR="00E7531D" w:rsidRDefault="00F564A6">
      <w:pPr>
        <w:numPr>
          <w:ilvl w:val="0"/>
          <w:numId w:val="4"/>
        </w:numPr>
        <w:pBdr>
          <w:top w:val="nil"/>
          <w:left w:val="nil"/>
          <w:bottom w:val="nil"/>
          <w:right w:val="nil"/>
          <w:between w:val="nil"/>
        </w:pBdr>
        <w:spacing w:after="160" w:line="259" w:lineRule="auto"/>
        <w:jc w:val="both"/>
        <w:rPr>
          <w:rFonts w:ascii="Calibri" w:eastAsia="Calibri" w:hAnsi="Calibri" w:cs="Calibri"/>
          <w:b/>
          <w:color w:val="000000"/>
        </w:rPr>
      </w:pPr>
      <w:r>
        <w:rPr>
          <w:rFonts w:ascii="Calibri" w:eastAsia="Calibri" w:hAnsi="Calibri" w:cs="Calibri"/>
          <w:b/>
          <w:color w:val="000000"/>
        </w:rPr>
        <w:t xml:space="preserve">EXPOSICIÓN DE MOTIVOS </w:t>
      </w:r>
    </w:p>
    <w:p w:rsidR="00F564A6" w:rsidRDefault="00F564A6" w:rsidP="00F564A6">
      <w:pPr>
        <w:ind w:left="720" w:hanging="720"/>
        <w:jc w:val="both"/>
        <w:rPr>
          <w:rFonts w:ascii="Calibri" w:eastAsia="Calibri" w:hAnsi="Calibri" w:cs="Calibri"/>
        </w:rPr>
      </w:pPr>
      <w:r>
        <w:rPr>
          <w:rFonts w:ascii="Calibri" w:eastAsia="Calibri" w:hAnsi="Calibri" w:cs="Calibri"/>
        </w:rPr>
        <w:t>L</w:t>
      </w:r>
      <w:r>
        <w:rPr>
          <w:rFonts w:ascii="Calibri" w:eastAsia="Calibri" w:hAnsi="Calibri" w:cs="Calibri"/>
          <w:color w:val="000000"/>
        </w:rPr>
        <w:t xml:space="preserve">a pandemia del COVID-19 empeoró la realidad económica </w:t>
      </w:r>
      <w:r>
        <w:rPr>
          <w:rFonts w:ascii="Calibri" w:eastAsia="Calibri" w:hAnsi="Calibri" w:cs="Calibri"/>
        </w:rPr>
        <w:t>colombiana, especialmente en</w:t>
      </w:r>
    </w:p>
    <w:p w:rsidR="00F564A6" w:rsidRDefault="00F564A6" w:rsidP="00F564A6">
      <w:pPr>
        <w:ind w:left="720" w:hanging="720"/>
        <w:jc w:val="both"/>
        <w:rPr>
          <w:rFonts w:ascii="Calibri" w:eastAsia="Calibri" w:hAnsi="Calibri" w:cs="Calibri"/>
        </w:rPr>
      </w:pPr>
      <w:r>
        <w:rPr>
          <w:rFonts w:ascii="Calibri" w:eastAsia="Calibri" w:hAnsi="Calibri" w:cs="Calibri"/>
        </w:rPr>
        <w:t>la vigencia</w:t>
      </w:r>
      <w:r>
        <w:rPr>
          <w:rFonts w:ascii="Calibri" w:eastAsia="Calibri" w:hAnsi="Calibri" w:cs="Calibri"/>
          <w:color w:val="000000"/>
        </w:rPr>
        <w:t xml:space="preserve"> 2020. El desempleo pasó de un promedio de 10 % en 2019 a</w:t>
      </w:r>
      <w:r>
        <w:rPr>
          <w:rFonts w:ascii="Calibri" w:eastAsia="Calibri" w:hAnsi="Calibri" w:cs="Calibri"/>
        </w:rPr>
        <w:t xml:space="preserve"> cifras históricas de </w:t>
      </w:r>
    </w:p>
    <w:p w:rsidR="00F564A6" w:rsidRDefault="00F564A6" w:rsidP="00F564A6">
      <w:pPr>
        <w:ind w:left="720" w:hanging="720"/>
        <w:jc w:val="both"/>
        <w:rPr>
          <w:rFonts w:ascii="Calibri" w:eastAsia="Calibri" w:hAnsi="Calibri" w:cs="Calibri"/>
          <w:color w:val="000000"/>
        </w:rPr>
      </w:pPr>
      <w:r>
        <w:rPr>
          <w:rFonts w:ascii="Calibri" w:eastAsia="Calibri" w:hAnsi="Calibri" w:cs="Calibri"/>
        </w:rPr>
        <w:t xml:space="preserve">22 % en mayo de 2020 (DANE, 2024), </w:t>
      </w:r>
      <w:r>
        <w:rPr>
          <w:rFonts w:ascii="Calibri" w:eastAsia="Calibri" w:hAnsi="Calibri" w:cs="Calibri"/>
          <w:color w:val="000000"/>
        </w:rPr>
        <w:t xml:space="preserve">y, por su parte, la pobreza monetaria creció en 6,8 </w:t>
      </w:r>
    </w:p>
    <w:p w:rsidR="00F564A6" w:rsidRDefault="00F564A6" w:rsidP="00F564A6">
      <w:pPr>
        <w:ind w:left="720" w:hanging="720"/>
        <w:jc w:val="both"/>
        <w:rPr>
          <w:rFonts w:ascii="Calibri" w:eastAsia="Calibri" w:hAnsi="Calibri" w:cs="Calibri"/>
          <w:color w:val="000000"/>
        </w:rPr>
      </w:pPr>
      <w:r>
        <w:rPr>
          <w:rFonts w:ascii="Calibri" w:eastAsia="Calibri" w:hAnsi="Calibri" w:cs="Calibri"/>
          <w:color w:val="000000"/>
        </w:rPr>
        <w:lastRenderedPageBreak/>
        <w:t xml:space="preserve">puntos porcentuales (pp) entre 2019 y 2020, llegando a </w:t>
      </w:r>
      <w:proofErr w:type="gramStart"/>
      <w:r>
        <w:rPr>
          <w:rFonts w:ascii="Calibri" w:eastAsia="Calibri" w:hAnsi="Calibri" w:cs="Calibri"/>
          <w:color w:val="000000"/>
        </w:rPr>
        <w:t>un  42</w:t>
      </w:r>
      <w:proofErr w:type="gramEnd"/>
      <w:r>
        <w:rPr>
          <w:rFonts w:ascii="Calibri" w:eastAsia="Calibri" w:hAnsi="Calibri" w:cs="Calibri"/>
        </w:rPr>
        <w:t>,5</w:t>
      </w:r>
      <w:r>
        <w:rPr>
          <w:rFonts w:ascii="Calibri" w:eastAsia="Calibri" w:hAnsi="Calibri" w:cs="Calibri"/>
          <w:color w:val="000000"/>
        </w:rPr>
        <w:t xml:space="preserve">% </w:t>
      </w:r>
      <w:r>
        <w:rPr>
          <w:rFonts w:ascii="Calibri" w:eastAsia="Calibri" w:hAnsi="Calibri" w:cs="Calibri"/>
        </w:rPr>
        <w:t>(DANE, 2022)</w:t>
      </w:r>
      <w:r>
        <w:rPr>
          <w:rFonts w:ascii="Calibri" w:eastAsia="Calibri" w:hAnsi="Calibri" w:cs="Calibri"/>
          <w:color w:val="000000"/>
        </w:rPr>
        <w:t>. Para 202</w:t>
      </w:r>
      <w:r>
        <w:rPr>
          <w:rFonts w:ascii="Calibri" w:eastAsia="Calibri" w:hAnsi="Calibri" w:cs="Calibri"/>
        </w:rPr>
        <w:t>0</w:t>
      </w:r>
      <w:r>
        <w:rPr>
          <w:rFonts w:ascii="Calibri" w:eastAsia="Calibri" w:hAnsi="Calibri" w:cs="Calibri"/>
          <w:color w:val="000000"/>
        </w:rPr>
        <w:t>,</w:t>
      </w:r>
    </w:p>
    <w:p w:rsidR="00F564A6" w:rsidRDefault="00F564A6" w:rsidP="00F564A6">
      <w:pPr>
        <w:ind w:left="720" w:hanging="720"/>
        <w:jc w:val="both"/>
        <w:rPr>
          <w:rFonts w:ascii="Calibri" w:eastAsia="Calibri" w:hAnsi="Calibri" w:cs="Calibri"/>
          <w:color w:val="000000"/>
        </w:rPr>
      </w:pPr>
      <w:r>
        <w:rPr>
          <w:rFonts w:ascii="Calibri" w:eastAsia="Calibri" w:hAnsi="Calibri" w:cs="Calibri"/>
          <w:color w:val="000000"/>
        </w:rPr>
        <w:t>alrededor de 21 millones de colombian</w:t>
      </w:r>
      <w:r>
        <w:rPr>
          <w:rFonts w:ascii="Calibri" w:eastAsia="Calibri" w:hAnsi="Calibri" w:cs="Calibri"/>
        </w:rPr>
        <w:t>o</w:t>
      </w:r>
      <w:r>
        <w:rPr>
          <w:rFonts w:ascii="Calibri" w:eastAsia="Calibri" w:hAnsi="Calibri" w:cs="Calibri"/>
          <w:color w:val="000000"/>
        </w:rPr>
        <w:t>s (</w:t>
      </w:r>
      <w:r>
        <w:rPr>
          <w:rFonts w:ascii="Calibri" w:eastAsia="Calibri" w:hAnsi="Calibri" w:cs="Calibri"/>
        </w:rPr>
        <w:t>a</w:t>
      </w:r>
      <w:r>
        <w:rPr>
          <w:rFonts w:ascii="Calibri" w:eastAsia="Calibri" w:hAnsi="Calibri" w:cs="Calibri"/>
          <w:color w:val="000000"/>
        </w:rPr>
        <w:t>s) se situaron en condición de pobreza</w:t>
      </w:r>
      <w:r>
        <w:rPr>
          <w:rFonts w:ascii="Calibri" w:eastAsia="Calibri" w:hAnsi="Calibri" w:cs="Calibri"/>
        </w:rPr>
        <w:t>, de ellos</w:t>
      </w:r>
    </w:p>
    <w:p w:rsidR="00F564A6" w:rsidRDefault="00F564A6" w:rsidP="00F564A6">
      <w:pPr>
        <w:ind w:left="720" w:hanging="720"/>
        <w:jc w:val="both"/>
        <w:rPr>
          <w:rFonts w:ascii="Calibri" w:eastAsia="Calibri" w:hAnsi="Calibri" w:cs="Calibri"/>
        </w:rPr>
      </w:pPr>
      <w:r>
        <w:rPr>
          <w:rFonts w:ascii="Calibri" w:eastAsia="Calibri" w:hAnsi="Calibri" w:cs="Calibri"/>
          <w:color w:val="000000"/>
        </w:rPr>
        <w:t>7,4 millones de colombian</w:t>
      </w:r>
      <w:r>
        <w:rPr>
          <w:rFonts w:ascii="Calibri" w:eastAsia="Calibri" w:hAnsi="Calibri" w:cs="Calibri"/>
        </w:rPr>
        <w:t>o</w:t>
      </w:r>
      <w:r>
        <w:rPr>
          <w:rFonts w:ascii="Calibri" w:eastAsia="Calibri" w:hAnsi="Calibri" w:cs="Calibri"/>
          <w:color w:val="000000"/>
        </w:rPr>
        <w:t>s (</w:t>
      </w:r>
      <w:r>
        <w:rPr>
          <w:rFonts w:ascii="Calibri" w:eastAsia="Calibri" w:hAnsi="Calibri" w:cs="Calibri"/>
        </w:rPr>
        <w:t>a</w:t>
      </w:r>
      <w:r>
        <w:rPr>
          <w:rFonts w:ascii="Calibri" w:eastAsia="Calibri" w:hAnsi="Calibri" w:cs="Calibri"/>
          <w:color w:val="000000"/>
        </w:rPr>
        <w:t>s) experimentaron la pobreza monetaria extrema</w:t>
      </w:r>
      <w:r>
        <w:rPr>
          <w:rFonts w:ascii="Calibri" w:eastAsia="Calibri" w:hAnsi="Calibri" w:cs="Calibri"/>
        </w:rPr>
        <w:t xml:space="preserve"> (DANE,</w:t>
      </w:r>
    </w:p>
    <w:p w:rsidR="00E7531D" w:rsidRDefault="00F564A6" w:rsidP="00F564A6">
      <w:pPr>
        <w:ind w:left="720" w:hanging="720"/>
        <w:jc w:val="both"/>
        <w:rPr>
          <w:rFonts w:ascii="Calibri" w:eastAsia="Calibri" w:hAnsi="Calibri" w:cs="Calibri"/>
          <w:color w:val="000000"/>
        </w:rPr>
      </w:pPr>
      <w:r>
        <w:rPr>
          <w:rFonts w:ascii="Calibri" w:eastAsia="Calibri" w:hAnsi="Calibri" w:cs="Calibri"/>
        </w:rPr>
        <w:t>2022).</w:t>
      </w:r>
    </w:p>
    <w:p w:rsidR="00E7531D" w:rsidRDefault="00E7531D">
      <w:pPr>
        <w:jc w:val="both"/>
        <w:rPr>
          <w:rFonts w:ascii="Calibri" w:eastAsia="Calibri" w:hAnsi="Calibri" w:cs="Calibri"/>
        </w:rPr>
      </w:pPr>
    </w:p>
    <w:p w:rsidR="00E7531D" w:rsidRDefault="00F564A6">
      <w:pPr>
        <w:jc w:val="both"/>
        <w:rPr>
          <w:rFonts w:ascii="Calibri" w:eastAsia="Calibri" w:hAnsi="Calibri" w:cs="Calibri"/>
          <w:color w:val="000000"/>
        </w:rPr>
      </w:pPr>
      <w:r>
        <w:rPr>
          <w:rFonts w:ascii="Calibri" w:eastAsia="Calibri" w:hAnsi="Calibri" w:cs="Calibri"/>
          <w:color w:val="000000"/>
        </w:rPr>
        <w:t xml:space="preserve">Ante esta situación, y amparados en </w:t>
      </w:r>
      <w:r>
        <w:rPr>
          <w:rFonts w:ascii="Calibri" w:eastAsia="Calibri" w:hAnsi="Calibri" w:cs="Calibri"/>
        </w:rPr>
        <w:t>las posibilidades normativas derivadas de la declaratoria de emergencia,</w:t>
      </w:r>
      <w:r>
        <w:rPr>
          <w:rFonts w:ascii="Calibri" w:eastAsia="Calibri" w:hAnsi="Calibri" w:cs="Calibri"/>
          <w:color w:val="000000"/>
        </w:rPr>
        <w:t xml:space="preserve"> los gobiernos nacionales y locales pusieron en marcha diferentes programas sociales</w:t>
      </w:r>
      <w:r>
        <w:rPr>
          <w:rFonts w:ascii="Calibri" w:eastAsia="Calibri" w:hAnsi="Calibri" w:cs="Calibri"/>
        </w:rPr>
        <w:t xml:space="preserve"> de enfoque eminentemente asistencialista, que, si bien lograron paliar síntomas precisos de la crisis, demostraron su insuficiencia estructural al no llegar a convertirse en políticas públicas sostenidas en el tiempo</w:t>
      </w:r>
      <w:r>
        <w:rPr>
          <w:rFonts w:ascii="Calibri" w:eastAsia="Calibri" w:hAnsi="Calibri" w:cs="Calibri"/>
          <w:color w:val="000000"/>
        </w:rPr>
        <w:t xml:space="preserve">. </w:t>
      </w:r>
    </w:p>
    <w:p w:rsidR="00E7531D" w:rsidRDefault="00E7531D">
      <w:pPr>
        <w:jc w:val="both"/>
        <w:rPr>
          <w:rFonts w:ascii="Calibri" w:eastAsia="Calibri" w:hAnsi="Calibri" w:cs="Calibri"/>
          <w:color w:val="000000"/>
        </w:rPr>
      </w:pPr>
    </w:p>
    <w:p w:rsidR="00E7531D" w:rsidRDefault="00F564A6">
      <w:pPr>
        <w:jc w:val="both"/>
        <w:rPr>
          <w:rFonts w:ascii="Calibri" w:eastAsia="Calibri" w:hAnsi="Calibri" w:cs="Calibri"/>
        </w:rPr>
      </w:pPr>
      <w:r>
        <w:rPr>
          <w:rFonts w:ascii="Calibri" w:eastAsia="Calibri" w:hAnsi="Calibri" w:cs="Calibri"/>
          <w:color w:val="000000"/>
        </w:rPr>
        <w:t xml:space="preserve">Sumado a lo anterior, el ingreso tributario cayó en el país, con lo que la herramienta de financiación usada fue el endeudamiento público. Por su parte, </w:t>
      </w:r>
      <w:r>
        <w:rPr>
          <w:rFonts w:ascii="Calibri" w:eastAsia="Calibri" w:hAnsi="Calibri" w:cs="Calibri"/>
        </w:rPr>
        <w:t>la deuda neta del Gobierno Nacional Central pasó de 48.4 % en 2019 a 60.7 % en 2020 y a 60,1 % en 2021 (MinHacienda, 2024b). De forma detallada tanto del nivel nacional como territorial, la deuda interna del Sector Público No Financiero (SPNF) en 2021 ascendió $393.412 mil millones de pesos representando el 33 % del PIB y la deuda externa del SPNF a $384.005 miles de millones de pesos representando 32,2% del PIB (Ver cuadro 1) (BanRep, 2024).</w:t>
      </w:r>
    </w:p>
    <w:p w:rsidR="00E7531D" w:rsidRDefault="00E7531D">
      <w:pPr>
        <w:jc w:val="both"/>
        <w:rPr>
          <w:rFonts w:ascii="Calibri" w:eastAsia="Calibri" w:hAnsi="Calibri" w:cs="Calibri"/>
        </w:rPr>
      </w:pPr>
    </w:p>
    <w:p w:rsidR="00E7531D" w:rsidRDefault="00F564A6">
      <w:pPr>
        <w:jc w:val="center"/>
        <w:rPr>
          <w:rFonts w:ascii="Calibri" w:eastAsia="Calibri" w:hAnsi="Calibri" w:cs="Calibri"/>
          <w:b/>
        </w:rPr>
      </w:pPr>
      <w:r>
        <w:rPr>
          <w:rFonts w:ascii="Calibri" w:eastAsia="Calibri" w:hAnsi="Calibri" w:cs="Calibri"/>
          <w:b/>
        </w:rPr>
        <w:t>Cuadro 1. Deuda neta del Sector Público No Financiero (SPNF)</w:t>
      </w:r>
    </w:p>
    <w:p w:rsidR="00E7531D" w:rsidRDefault="00F564A6">
      <w:pPr>
        <w:jc w:val="both"/>
        <w:rPr>
          <w:rFonts w:ascii="Calibri" w:eastAsia="Calibri" w:hAnsi="Calibri" w:cs="Calibri"/>
        </w:rPr>
      </w:pPr>
      <w:r>
        <w:rPr>
          <w:rFonts w:ascii="Calibri" w:eastAsia="Calibri" w:hAnsi="Calibri" w:cs="Calibri"/>
          <w:noProof/>
          <w:lang w:eastAsia="es-CO"/>
        </w:rPr>
        <w:drawing>
          <wp:inline distT="114300" distB="114300" distL="114300" distR="114300">
            <wp:extent cx="5612400" cy="2032000"/>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2400" cy="2032000"/>
                    </a:xfrm>
                    <a:prstGeom prst="rect">
                      <a:avLst/>
                    </a:prstGeom>
                    <a:ln/>
                  </pic:spPr>
                </pic:pic>
              </a:graphicData>
            </a:graphic>
          </wp:inline>
        </w:drawing>
      </w:r>
    </w:p>
    <w:p w:rsidR="00E7531D" w:rsidRDefault="00F564A6">
      <w:pPr>
        <w:jc w:val="both"/>
        <w:rPr>
          <w:rFonts w:ascii="Calibri" w:eastAsia="Calibri" w:hAnsi="Calibri" w:cs="Calibri"/>
          <w:i/>
          <w:sz w:val="16"/>
          <w:szCs w:val="16"/>
        </w:rPr>
      </w:pPr>
      <w:r>
        <w:rPr>
          <w:rFonts w:ascii="Calibri" w:eastAsia="Calibri" w:hAnsi="Calibri" w:cs="Calibri"/>
          <w:i/>
          <w:sz w:val="16"/>
          <w:szCs w:val="16"/>
        </w:rPr>
        <w:t>Fuente: BanRep (2024). Boletín N° 90. Estadísticas sobre deuda pública. Subgerencia de Política Monetaria e Información Económica Departamento Técnico y de Información Económica-DTIE</w:t>
      </w:r>
      <w:proofErr w:type="gramStart"/>
      <w:r>
        <w:rPr>
          <w:rFonts w:ascii="Calibri" w:eastAsia="Calibri" w:hAnsi="Calibri" w:cs="Calibri"/>
          <w:i/>
          <w:sz w:val="16"/>
          <w:szCs w:val="16"/>
        </w:rPr>
        <w:t>- .</w:t>
      </w:r>
      <w:proofErr w:type="gramEnd"/>
      <w:r>
        <w:rPr>
          <w:rFonts w:ascii="Calibri" w:eastAsia="Calibri" w:hAnsi="Calibri" w:cs="Calibri"/>
          <w:i/>
          <w:sz w:val="16"/>
          <w:szCs w:val="16"/>
        </w:rPr>
        <w:t xml:space="preserve"> Sección sector público.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Evaluando la relación deuda pública respecto de los impuestos en ALC, la OCDE, la Comisión Europea y el Banco de Desarrollo de América Latina y el Caribe -CAF- (2022), en Colombia pasó de 338 % en 2019 a 456 % en 2020, relaciones por encima de las de ALC la cual pasó de 325 % en 2019 a 433 % en 2020 (Ver gráfica 1). Aquí se detalla la relevancia tanto de incrementar los ingresos tributarios del país partiendo de cumplir los principios de equidad y progresividad, así como de establecer un mecanismo de reducción del endeudamiento causado para la atención de la pandemia del Covid-19.</w:t>
      </w:r>
    </w:p>
    <w:p w:rsidR="00E7531D" w:rsidRDefault="00E7531D">
      <w:pPr>
        <w:jc w:val="both"/>
        <w:rPr>
          <w:rFonts w:ascii="Calibri" w:eastAsia="Calibri" w:hAnsi="Calibri" w:cs="Calibri"/>
        </w:rPr>
      </w:pPr>
    </w:p>
    <w:p w:rsidR="00E7531D" w:rsidRDefault="00F564A6">
      <w:pPr>
        <w:jc w:val="center"/>
        <w:rPr>
          <w:rFonts w:ascii="Calibri" w:eastAsia="Calibri" w:hAnsi="Calibri" w:cs="Calibri"/>
          <w:b/>
        </w:rPr>
      </w:pPr>
      <w:r>
        <w:rPr>
          <w:rFonts w:ascii="Calibri" w:eastAsia="Calibri" w:hAnsi="Calibri" w:cs="Calibri"/>
          <w:b/>
        </w:rPr>
        <w:t>Gráfica 1. Ratio deuda pública bruta/impuestos en algunos países de América Latina</w:t>
      </w:r>
    </w:p>
    <w:p w:rsidR="00E7531D" w:rsidRDefault="00F564A6">
      <w:pPr>
        <w:jc w:val="both"/>
        <w:rPr>
          <w:rFonts w:ascii="Calibri" w:eastAsia="Calibri" w:hAnsi="Calibri" w:cs="Calibri"/>
        </w:rPr>
      </w:pPr>
      <w:r>
        <w:rPr>
          <w:rFonts w:ascii="Calibri" w:eastAsia="Calibri" w:hAnsi="Calibri" w:cs="Calibri"/>
          <w:noProof/>
          <w:lang w:eastAsia="es-CO"/>
        </w:rPr>
        <w:drawing>
          <wp:inline distT="114300" distB="114300" distL="114300" distR="114300">
            <wp:extent cx="5612400" cy="279400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612400" cy="2794000"/>
                    </a:xfrm>
                    <a:prstGeom prst="rect">
                      <a:avLst/>
                    </a:prstGeom>
                    <a:ln/>
                  </pic:spPr>
                </pic:pic>
              </a:graphicData>
            </a:graphic>
          </wp:inline>
        </w:drawing>
      </w:r>
    </w:p>
    <w:p w:rsidR="00E7531D" w:rsidRDefault="00F564A6">
      <w:pPr>
        <w:jc w:val="both"/>
        <w:rPr>
          <w:rFonts w:ascii="Calibri" w:eastAsia="Calibri" w:hAnsi="Calibri" w:cs="Calibri"/>
        </w:rPr>
      </w:pPr>
      <w:r>
        <w:rPr>
          <w:rFonts w:ascii="Calibri" w:eastAsia="Calibri" w:hAnsi="Calibri" w:cs="Calibri"/>
          <w:i/>
          <w:sz w:val="16"/>
          <w:szCs w:val="16"/>
        </w:rPr>
        <w:t xml:space="preserve">Fuente: Tomado de </w:t>
      </w:r>
      <w:r>
        <w:rPr>
          <w:rFonts w:ascii="Calibri" w:eastAsia="Calibri" w:hAnsi="Calibri" w:cs="Calibri"/>
          <w:sz w:val="16"/>
          <w:szCs w:val="16"/>
        </w:rPr>
        <w:t xml:space="preserve">OECD et al. (2022, </w:t>
      </w:r>
      <w:r>
        <w:rPr>
          <w:rFonts w:ascii="Calibri" w:eastAsia="Calibri" w:hAnsi="Calibri" w:cs="Calibri"/>
          <w:i/>
          <w:sz w:val="16"/>
          <w:szCs w:val="16"/>
        </w:rPr>
        <w:t>pág. 54</w:t>
      </w:r>
      <w:r>
        <w:rPr>
          <w:rFonts w:ascii="Calibri" w:eastAsia="Calibri" w:hAnsi="Calibri" w:cs="Calibri"/>
          <w:sz w:val="16"/>
          <w:szCs w:val="16"/>
        </w:rPr>
        <w:t>)</w:t>
      </w:r>
      <w:r>
        <w:rPr>
          <w:rFonts w:ascii="Calibri" w:eastAsia="Calibri" w:hAnsi="Calibri" w:cs="Calibri"/>
          <w:i/>
          <w:sz w:val="16"/>
          <w:szCs w:val="16"/>
        </w:rPr>
        <w:t>.</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Los países de América Latina y el Caribe -ALC- alcanzaron, conjuntamente, un máximo histórico de 13,6 % del PIB en 2020 a nivel de las Administraciones Centrales en el gasto público, un aumento de 2,3 pp en comparación con 2019. Entre los países con mayor incremento está Brasil y El Salvador con un crecimiento de 5,3 pp del PIB, y por su parte menores incrementos los presentaron Argentina, Barbados y República Dominicana con incrementos entre 4,6 pp y 4,2 pp del PIB (OECD et al., 2022, pág. 54). La respuesta de Colombia constituyó un incremento de 4.6 % del PIB de 2019 a 2020 (OECD, 2022, pág. 32).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Ante el adverso escenario socioeconómico anteriormente descrito, y los evidentes rezagos de la crisis que se evidenciaron con posterioridad a la pandemia, el Gobierno Nacional emprendió la búsqueda de nuevas fuentes de financiación, bajo la guía de principios como la progresividad y la equidad. En esta lógica, el Gobierno Nacional en 2021 intentó, sin éxito, llevar a cabo una reforma tributaria enfocada en la modificación del cálculo al impuesto de renta y el gravamen de algunos productos básicos. Tras el cambio de Gobierno en agosto de 2022, se llevó a cabo el proceso legislativo que dio como resultado la reforma tributaria contenida en la Ley 2277 de 2022, cuyo énfasis impositivo estuvo enfocado en el gravamen de dividendos y las tasas de tributación de personas naturales con ingresos de mayor capacidad adquisitiva, así como acciones en línea de la lucha contra la elusión, evasión y acciones de política pública en función de la salud pública y medio ambiente.</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lastRenderedPageBreak/>
        <w:t xml:space="preserve">Sin embargo, tras la experiencia global del confinamiento, el desarrollo de nuevos esquemas laborales, marcados por la apropiación productiva de las tecnologías de la información y las comunicaciones, y la forzosa generalización del teletrabajo, generaron una nueva conciencia pública en relación a diversos gastos administrativos de funcionamiento que se venían asumiendo como invariables pero que, a la luz de la coyuntura, se demostraron completamente prescindibles. Se hizo patente, entonces, que un elemento sustancial de la consecución de nuevos fondos también se encuentra en el </w:t>
      </w:r>
      <w:proofErr w:type="spellStart"/>
      <w:r>
        <w:rPr>
          <w:rFonts w:ascii="Calibri" w:eastAsia="Calibri" w:hAnsi="Calibri" w:cs="Calibri"/>
        </w:rPr>
        <w:t>redireccionamiento</w:t>
      </w:r>
      <w:proofErr w:type="spellEnd"/>
      <w:r>
        <w:rPr>
          <w:rFonts w:ascii="Calibri" w:eastAsia="Calibri" w:hAnsi="Calibri" w:cs="Calibri"/>
        </w:rPr>
        <w:t xml:space="preserve"> de los gastos innecesarios en los que incurre el Estado, especialmente cuando muchos de estos constituyen privilegios injustificables que reciben algunos (as) de sus servidores (as) y empleados (as).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Como lo señala el Observatorio Fiscal de la Universidad Javeriana “</w:t>
      </w:r>
      <w:r>
        <w:rPr>
          <w:rFonts w:ascii="Calibri" w:eastAsia="Calibri" w:hAnsi="Calibri" w:cs="Calibri"/>
          <w:i/>
        </w:rPr>
        <w:t>el Presupuesto General de la Nación tiene una estructura relativamente constante. Año tras año, cerca del 60 % del presupuesto se destina a gastos de funcionamiento, el 20 % al pago de la deuda nacional y el porcentaje restante a inversión</w:t>
      </w:r>
      <w:r>
        <w:rPr>
          <w:rFonts w:ascii="Calibri" w:eastAsia="Calibri" w:hAnsi="Calibri" w:cs="Calibri"/>
        </w:rPr>
        <w:t>” (Observatorio Fiscal de la Pontificia Universidad Javeriana, 2023, p. 14).  Esto sugiere la necesidad de revisar con detenimiento los recursos que están siendo destinados a este primer rubro, con la intención de eliminar aquellos gastos injustificados o que no tienen incidencia alguna para el correcto funcionamiento de las entidades públicas y el desarrollo de la función pública en concreto.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Las consecuciones de nuevos fondos se deben establecer en el marco de la eficiencia y eficacia en la planeación y ejecución del presupuesto público, sin que esto signifique el recorte a las políticas sociales encaminadas en la reducción de la pobreza y la desigualdad. La política de Austeridad Pública, entonces, debe enmarcarse en un criterio de “social”, que significa prudencia en términos fiscales y que no tenga implicaciones negativas en lo social y económico de las poblaciones populares y empobrecidas. El presidente Gustavo Petro lideró en el año 2022 una reforma tributaria que demostró que se pueden hacer reformas tributarias no sólo con el objetivo de incrementar recaudo, también con objetivos sociales como la reducción de la desigualdad, y con ello, parte de los focos de acción fue la eliminación de privilegios que tiene unos pocos en la sociedad.</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De esta forma, el presente proyecto de ley plantea la creación de una Política de Austeridad Pública como forma complementaria a políticas de orden tributario enfocadas en la eliminación de privilegios y el ordenamiento de las finanzas públicas desde los principios de justicia y equidad. No sólo se trata de ampliar la base fiscal del país para el cumplimiento de los mandatos constitucionales, también se debe hacer un ejercicio de eficiencia y eficacia en la planeación y ejecución de los recursos públicos, y esto significa, la creación y consolidación de una cultura de austeridad.</w:t>
      </w:r>
    </w:p>
    <w:p w:rsidR="00311D79" w:rsidRDefault="00311D79">
      <w:pPr>
        <w:jc w:val="both"/>
        <w:rPr>
          <w:rFonts w:ascii="Calibri" w:eastAsia="Calibri" w:hAnsi="Calibri" w:cs="Calibri"/>
        </w:rPr>
      </w:pPr>
    </w:p>
    <w:p w:rsidR="00E7531D" w:rsidRDefault="00E7531D">
      <w:pPr>
        <w:jc w:val="both"/>
        <w:rPr>
          <w:rFonts w:ascii="Calibri" w:eastAsia="Calibri" w:hAnsi="Calibri" w:cs="Calibri"/>
        </w:rPr>
      </w:pPr>
    </w:p>
    <w:p w:rsidR="00E7531D" w:rsidRDefault="00F564A6">
      <w:pPr>
        <w:numPr>
          <w:ilvl w:val="0"/>
          <w:numId w:val="17"/>
        </w:numPr>
        <w:jc w:val="both"/>
        <w:rPr>
          <w:rFonts w:ascii="Calibri" w:eastAsia="Calibri" w:hAnsi="Calibri" w:cs="Calibri"/>
          <w:b/>
        </w:rPr>
      </w:pPr>
      <w:r>
        <w:rPr>
          <w:rFonts w:ascii="Calibri" w:eastAsia="Calibri" w:hAnsi="Calibri" w:cs="Calibri"/>
          <w:b/>
        </w:rPr>
        <w:lastRenderedPageBreak/>
        <w:t>Referentes internacionales</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La necesidad de avanzar en relación con la eficiencia administrativa y con la austeridad del gasto público desde una perspectiva social y no neoliberal, es decir, sin realizar recortes en las políticas sociales tiene un importante referente: México durante el gobierno del presidente López Obrador.</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El gobierno de la “cuarta transformación” en México, en aras de priorizar el gasto social como instrumento de lucha contra la pobreza, sin recurrir al endeudamiento público, prioriza una política de Austeridad Republicana que buscó reducir costos del gobierno a través de recortes presupuestales, implementados a partir de tres leyes: Ley de Remuneraciones de los Servidores Públicos, La Ley de Austeridad Republicana y el cambio en la distribución del Presupuesto de Egresos de la Federación. Esta política estableció los lineamientos de ordenación del gasto público ajustado a las necesidades reales de ejecución del presupuesto nacional y la eliminación progresiva de los privilegios personales a funcionarios públicos a cargo del erario. Algunas de las prácticas de austeridad adoptadas en dicho decreto, han sido fuente comparativa del presente documento.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Investigadores del Centro Estratégico Latinoamericano de Geopolítica -CELAG- analizaron los resultados de la Política de Austeridad Republicana encontrando que han ahorrado alrededor de 200 mil millones de pesos (mexicanos) del erario público, es decir, un 3,2 % del Presupuestos de Egresos de la Federación -PEF- del 2018 (en valores constantes). A modo de detalle, este ahorro se agrupa en 9 tipos de gasto: “el 30 % del ahorro se concentra en gastos asociados a uso de combustibles, 24 % beneficios laborales extraordinarios altamente concentrados en los funcionarios de alto rango (ej. aguinaldos, pagas extras, etc.) y un 14 % del ahorro proviene de menos contratación de servicios que no afectan al funcionamiento eficiente de la administración pública. También se ha identificado que el 9 % del ahorro se dio en gastos administrativos, por exceso de burocracia” (Ver gráfica 2).  (Oliva &amp; Serrano, 2023)</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Entre las acciones de austeridad que ocurrieron en México, se encuentran:</w:t>
      </w:r>
    </w:p>
    <w:p w:rsidR="00E7531D" w:rsidRDefault="00F564A6">
      <w:pPr>
        <w:numPr>
          <w:ilvl w:val="0"/>
          <w:numId w:val="14"/>
        </w:numPr>
        <w:jc w:val="both"/>
        <w:rPr>
          <w:rFonts w:ascii="Calibri" w:eastAsia="Calibri" w:hAnsi="Calibri" w:cs="Calibri"/>
        </w:rPr>
      </w:pPr>
      <w:r>
        <w:rPr>
          <w:rFonts w:ascii="Calibri" w:eastAsia="Calibri" w:hAnsi="Calibri" w:cs="Calibri"/>
        </w:rPr>
        <w:t>53 % menos en viáticos a servidores públicos por funciones oficiales.</w:t>
      </w:r>
    </w:p>
    <w:p w:rsidR="00E7531D" w:rsidRDefault="00F564A6">
      <w:pPr>
        <w:numPr>
          <w:ilvl w:val="0"/>
          <w:numId w:val="14"/>
        </w:numPr>
        <w:jc w:val="both"/>
        <w:rPr>
          <w:rFonts w:ascii="Calibri" w:eastAsia="Calibri" w:hAnsi="Calibri" w:cs="Calibri"/>
        </w:rPr>
      </w:pPr>
      <w:r>
        <w:rPr>
          <w:rFonts w:ascii="Calibri" w:eastAsia="Calibri" w:hAnsi="Calibri" w:cs="Calibri"/>
        </w:rPr>
        <w:t>100 % en algunos tipos de dietas.</w:t>
      </w:r>
    </w:p>
    <w:p w:rsidR="00E7531D" w:rsidRDefault="00F564A6">
      <w:pPr>
        <w:numPr>
          <w:ilvl w:val="0"/>
          <w:numId w:val="14"/>
        </w:numPr>
        <w:jc w:val="both"/>
        <w:rPr>
          <w:rFonts w:ascii="Calibri" w:eastAsia="Calibri" w:hAnsi="Calibri" w:cs="Calibri"/>
        </w:rPr>
      </w:pPr>
      <w:r>
        <w:rPr>
          <w:rFonts w:ascii="Calibri" w:eastAsia="Calibri" w:hAnsi="Calibri" w:cs="Calibri"/>
        </w:rPr>
        <w:t>60 % en servicios integrales en el extranjero para servidores públicos por funciones oficiales.</w:t>
      </w:r>
    </w:p>
    <w:p w:rsidR="00E7531D" w:rsidRDefault="00F564A6">
      <w:pPr>
        <w:numPr>
          <w:ilvl w:val="0"/>
          <w:numId w:val="14"/>
        </w:numPr>
        <w:jc w:val="both"/>
        <w:rPr>
          <w:rFonts w:ascii="Calibri" w:eastAsia="Calibri" w:hAnsi="Calibri" w:cs="Calibri"/>
        </w:rPr>
      </w:pPr>
      <w:r>
        <w:rPr>
          <w:rFonts w:ascii="Calibri" w:eastAsia="Calibri" w:hAnsi="Calibri" w:cs="Calibri"/>
        </w:rPr>
        <w:t>50 % en pasajes aéreos.</w:t>
      </w:r>
    </w:p>
    <w:p w:rsidR="00E7531D" w:rsidRDefault="00F564A6">
      <w:pPr>
        <w:numPr>
          <w:ilvl w:val="0"/>
          <w:numId w:val="14"/>
        </w:numPr>
        <w:jc w:val="both"/>
        <w:rPr>
          <w:rFonts w:ascii="Calibri" w:eastAsia="Calibri" w:hAnsi="Calibri" w:cs="Calibri"/>
        </w:rPr>
      </w:pPr>
      <w:r>
        <w:rPr>
          <w:rFonts w:ascii="Calibri" w:eastAsia="Calibri" w:hAnsi="Calibri" w:cs="Calibri"/>
        </w:rPr>
        <w:t>88 % en vehículos y equipo terrestres, destinados a servidores públicos.</w:t>
      </w:r>
    </w:p>
    <w:p w:rsidR="00E7531D" w:rsidRDefault="00F564A6">
      <w:pPr>
        <w:numPr>
          <w:ilvl w:val="0"/>
          <w:numId w:val="14"/>
        </w:numPr>
        <w:jc w:val="both"/>
        <w:rPr>
          <w:rFonts w:ascii="Calibri" w:eastAsia="Calibri" w:hAnsi="Calibri" w:cs="Calibri"/>
        </w:rPr>
      </w:pPr>
      <w:r>
        <w:rPr>
          <w:rFonts w:ascii="Calibri" w:eastAsia="Calibri" w:hAnsi="Calibri" w:cs="Calibri"/>
        </w:rPr>
        <w:t>84 % de reducción en congresos y convenciones.</w:t>
      </w:r>
    </w:p>
    <w:p w:rsidR="00E7531D" w:rsidRDefault="00F564A6">
      <w:pPr>
        <w:numPr>
          <w:ilvl w:val="0"/>
          <w:numId w:val="14"/>
        </w:numPr>
        <w:jc w:val="both"/>
        <w:rPr>
          <w:rFonts w:ascii="Calibri" w:eastAsia="Calibri" w:hAnsi="Calibri" w:cs="Calibri"/>
        </w:rPr>
      </w:pPr>
      <w:r>
        <w:rPr>
          <w:rFonts w:ascii="Calibri" w:eastAsia="Calibri" w:hAnsi="Calibri" w:cs="Calibri"/>
        </w:rPr>
        <w:t>55 % en servicios de telefonía celular.</w:t>
      </w:r>
    </w:p>
    <w:p w:rsidR="00E7531D" w:rsidRDefault="00F564A6">
      <w:pPr>
        <w:numPr>
          <w:ilvl w:val="0"/>
          <w:numId w:val="14"/>
        </w:numPr>
        <w:jc w:val="both"/>
        <w:rPr>
          <w:rFonts w:ascii="Calibri" w:eastAsia="Calibri" w:hAnsi="Calibri" w:cs="Calibri"/>
        </w:rPr>
      </w:pPr>
      <w:r>
        <w:rPr>
          <w:rFonts w:ascii="Calibri" w:eastAsia="Calibri" w:hAnsi="Calibri" w:cs="Calibri"/>
        </w:rPr>
        <w:t>76 % en la difusión de mensajes sobre programas y actividades gubernamentales.</w:t>
      </w:r>
    </w:p>
    <w:p w:rsidR="00E7531D" w:rsidRDefault="00F564A6">
      <w:pPr>
        <w:numPr>
          <w:ilvl w:val="0"/>
          <w:numId w:val="14"/>
        </w:numPr>
        <w:jc w:val="both"/>
        <w:rPr>
          <w:rFonts w:ascii="Calibri" w:eastAsia="Calibri" w:hAnsi="Calibri" w:cs="Calibri"/>
        </w:rPr>
      </w:pPr>
      <w:r>
        <w:rPr>
          <w:rFonts w:ascii="Calibri" w:eastAsia="Calibri" w:hAnsi="Calibri" w:cs="Calibri"/>
        </w:rPr>
        <w:lastRenderedPageBreak/>
        <w:t>36 % de reducción del gasto en información en medios masivos derivada de operaciones de las instituciones.</w:t>
      </w:r>
    </w:p>
    <w:p w:rsidR="00E7531D" w:rsidRDefault="00E7531D">
      <w:pPr>
        <w:ind w:left="720"/>
        <w:jc w:val="both"/>
        <w:rPr>
          <w:rFonts w:ascii="Calibri" w:eastAsia="Calibri" w:hAnsi="Calibri" w:cs="Calibri"/>
        </w:rPr>
      </w:pPr>
    </w:p>
    <w:p w:rsidR="00E7531D" w:rsidRDefault="00F564A6">
      <w:pPr>
        <w:spacing w:after="160" w:line="259" w:lineRule="auto"/>
        <w:jc w:val="center"/>
        <w:rPr>
          <w:rFonts w:ascii="Calibri" w:eastAsia="Calibri" w:hAnsi="Calibri" w:cs="Calibri"/>
        </w:rPr>
      </w:pPr>
      <w:r>
        <w:rPr>
          <w:rFonts w:ascii="Calibri" w:eastAsia="Calibri" w:hAnsi="Calibri" w:cs="Calibri"/>
          <w:b/>
          <w:sz w:val="22"/>
          <w:szCs w:val="22"/>
        </w:rPr>
        <w:t>Gráfica 2. Resultados en 4 años de la Política de Austeridad Republicana en México</w:t>
      </w:r>
    </w:p>
    <w:p w:rsidR="00E7531D" w:rsidRDefault="00F564A6">
      <w:pPr>
        <w:jc w:val="center"/>
        <w:rPr>
          <w:rFonts w:ascii="Calibri" w:eastAsia="Calibri" w:hAnsi="Calibri" w:cs="Calibri"/>
        </w:rPr>
      </w:pPr>
      <w:r>
        <w:rPr>
          <w:rFonts w:ascii="Calibri" w:eastAsia="Calibri" w:hAnsi="Calibri" w:cs="Calibri"/>
          <w:noProof/>
          <w:lang w:eastAsia="es-CO"/>
        </w:rPr>
        <w:drawing>
          <wp:inline distT="114300" distB="114300" distL="114300" distR="114300">
            <wp:extent cx="3676650" cy="3648075"/>
            <wp:effectExtent l="0" t="0" r="0" b="9525"/>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677069" cy="3648491"/>
                    </a:xfrm>
                    <a:prstGeom prst="rect">
                      <a:avLst/>
                    </a:prstGeom>
                    <a:ln/>
                  </pic:spPr>
                </pic:pic>
              </a:graphicData>
            </a:graphic>
          </wp:inline>
        </w:drawing>
      </w:r>
    </w:p>
    <w:p w:rsidR="00E7531D" w:rsidRDefault="00F564A6">
      <w:pPr>
        <w:jc w:val="both"/>
        <w:rPr>
          <w:rFonts w:ascii="Calibri" w:eastAsia="Calibri" w:hAnsi="Calibri" w:cs="Calibri"/>
        </w:rPr>
      </w:pPr>
      <w:r>
        <w:rPr>
          <w:rFonts w:ascii="Calibri" w:eastAsia="Calibri" w:hAnsi="Calibri" w:cs="Calibri"/>
          <w:i/>
          <w:sz w:val="16"/>
          <w:szCs w:val="16"/>
        </w:rPr>
        <w:t xml:space="preserve">Fuente: Tomado de </w:t>
      </w:r>
      <w:r>
        <w:rPr>
          <w:rFonts w:ascii="Calibri" w:eastAsia="Calibri" w:hAnsi="Calibri" w:cs="Calibri"/>
          <w:sz w:val="16"/>
          <w:szCs w:val="16"/>
        </w:rPr>
        <w:t>Oliva &amp; Serrano (2023).</w:t>
      </w:r>
    </w:p>
    <w:p w:rsidR="00E7531D" w:rsidRDefault="00F564A6">
      <w:pPr>
        <w:jc w:val="both"/>
        <w:rPr>
          <w:rFonts w:ascii="Calibri" w:eastAsia="Calibri" w:hAnsi="Calibri" w:cs="Calibri"/>
        </w:rPr>
      </w:pPr>
      <w:r>
        <w:rPr>
          <w:rFonts w:ascii="Calibri" w:eastAsia="Calibri" w:hAnsi="Calibri" w:cs="Calibri"/>
        </w:rPr>
        <w:t xml:space="preserve">Entre otros referentes, en Suecia los diputados del Parlamento no cuentan con ayudas o beneficios económicos, como la contratación de asesores particulares o la cobertura de sus gastos médicos. Además, la mayoría de los altos funcionarios públicos no tienen dotación de vehículos oficiales para su transporte, no obstante, cuentan con un subsidio para el uso del transporte público. </w:t>
      </w:r>
    </w:p>
    <w:p w:rsidR="00E7531D" w:rsidRDefault="00E7531D">
      <w:pPr>
        <w:jc w:val="both"/>
        <w:rPr>
          <w:rFonts w:ascii="Calibri" w:eastAsia="Calibri" w:hAnsi="Calibri" w:cs="Calibri"/>
        </w:rPr>
      </w:pPr>
    </w:p>
    <w:p w:rsidR="00E7531D" w:rsidRDefault="00F564A6">
      <w:pPr>
        <w:numPr>
          <w:ilvl w:val="0"/>
          <w:numId w:val="1"/>
        </w:numPr>
        <w:jc w:val="both"/>
        <w:rPr>
          <w:rFonts w:ascii="Calibri" w:eastAsia="Calibri" w:hAnsi="Calibri" w:cs="Calibri"/>
          <w:b/>
        </w:rPr>
      </w:pPr>
      <w:r>
        <w:rPr>
          <w:rFonts w:ascii="Calibri" w:eastAsia="Calibri" w:hAnsi="Calibri" w:cs="Calibri"/>
          <w:b/>
        </w:rPr>
        <w:t>Desigualdad en ingresos en Colombia y privilegios personales a funcionarios públicos a cargo del erario.</w:t>
      </w:r>
    </w:p>
    <w:p w:rsidR="00E7531D" w:rsidRDefault="00E7531D">
      <w:pPr>
        <w:ind w:left="720"/>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highlight w:val="white"/>
        </w:rPr>
        <w:t xml:space="preserve">Los anteriores ejemplos contrastan con la situación de Colombia, en donde </w:t>
      </w:r>
      <w:r>
        <w:rPr>
          <w:rFonts w:ascii="Calibri" w:eastAsia="Calibri" w:hAnsi="Calibri" w:cs="Calibri"/>
        </w:rPr>
        <w:t xml:space="preserve">los (as) servidores (as) públicos del nivel directivo en las tres ramas del poder público, gozan de prerrogativas en las que el país destina importantes recursos y que, lejos de redundar en un mejor funcionamiento de las entidades de las que éstos hacen parte, minan la confianza ciudadana y generan brechas artificiales internas entre los servidores y servidoras de mayor y menor jerarquía dentro de las entidades públicas, así como brechas externas entre los </w:t>
      </w:r>
      <w:r>
        <w:rPr>
          <w:rFonts w:ascii="Calibri" w:eastAsia="Calibri" w:hAnsi="Calibri" w:cs="Calibri"/>
        </w:rPr>
        <w:lastRenderedPageBreak/>
        <w:t>servidores públicos de alto nivel y el común de la sociedad. Por ejemplo, los (as) congresistas, magistrados y magistradas de Altas Cortes y, en general, directivos de entidades y empresas del Estado, reciben, además de sus salarios, gastos de representación, teléfonos celulares con cargo a las entidades, pólizas de salud, viáticos - la mayoría de ocasiones con montos muy superiores al costo de vida de los lugares en los que adelantan sus actividades en terreno-, y vehículos para su movilidad, entre otros.</w:t>
      </w:r>
    </w:p>
    <w:p w:rsidR="00E7531D" w:rsidRDefault="00E7531D">
      <w:pPr>
        <w:jc w:val="both"/>
        <w:rPr>
          <w:rFonts w:ascii="Calibri" w:eastAsia="Calibri" w:hAnsi="Calibri" w:cs="Calibri"/>
        </w:rPr>
      </w:pPr>
    </w:p>
    <w:p w:rsidR="00E7531D" w:rsidRDefault="00F564A6">
      <w:pPr>
        <w:jc w:val="both"/>
        <w:rPr>
          <w:rFonts w:ascii="Calibri" w:eastAsia="Calibri" w:hAnsi="Calibri" w:cs="Calibri"/>
          <w:highlight w:val="green"/>
        </w:rPr>
      </w:pPr>
      <w:r>
        <w:rPr>
          <w:rFonts w:ascii="Calibri" w:eastAsia="Calibri" w:hAnsi="Calibri" w:cs="Calibri"/>
        </w:rPr>
        <w:t xml:space="preserve">En este punto, resulta relevante detenerse a revisar si estas prerrogativas son necesarias para el adecuado funcionamiento de las entidades públicas o si, por el contrario, únicamente se traducen en beneficios suntuarios concretos para quienes, de por sí, ya devengan entre 20 y 40 veces más que un colombiano promedio. </w:t>
      </w:r>
    </w:p>
    <w:p w:rsidR="00E7531D" w:rsidRDefault="00E7531D">
      <w:pPr>
        <w:jc w:val="both"/>
        <w:rPr>
          <w:rFonts w:ascii="Calibri" w:eastAsia="Calibri" w:hAnsi="Calibri" w:cs="Calibri"/>
          <w:highlight w:val="green"/>
        </w:rPr>
      </w:pPr>
    </w:p>
    <w:p w:rsidR="00E7531D" w:rsidRDefault="00F564A6">
      <w:pPr>
        <w:jc w:val="both"/>
        <w:rPr>
          <w:rFonts w:ascii="Calibri" w:eastAsia="Calibri" w:hAnsi="Calibri" w:cs="Calibri"/>
        </w:rPr>
      </w:pPr>
      <w:r>
        <w:rPr>
          <w:rFonts w:ascii="Calibri" w:eastAsia="Calibri" w:hAnsi="Calibri" w:cs="Calibri"/>
        </w:rPr>
        <w:t xml:space="preserve">Según Decreto </w:t>
      </w:r>
      <w:hyperlink r:id="rId12">
        <w:r>
          <w:rPr>
            <w:rFonts w:ascii="Calibri" w:eastAsia="Calibri" w:hAnsi="Calibri" w:cs="Calibri"/>
            <w:color w:val="1155CC"/>
            <w:u w:val="single"/>
          </w:rPr>
          <w:t>0550</w:t>
        </w:r>
      </w:hyperlink>
      <w:r>
        <w:rPr>
          <w:rFonts w:ascii="Calibri" w:eastAsia="Calibri" w:hAnsi="Calibri" w:cs="Calibri"/>
        </w:rPr>
        <w:t xml:space="preserve"> de 2024 del Departamento Administrativo de Función Pública -DAFP-, en cumplimiento del artículo 187 de la Constitución Política de Colombia, realizó un aumento del 10,88 % en los salarios mensuales de los congresistas pasando a recibir $48′142.046 mensuales en el año 2024, mientras que el salario mínimo mensual para 2024 se ubica en $1.300.000 más el subsidio de transporte de $162.000 (aunque para el empleador puede estar alrededor de </w:t>
      </w:r>
      <w:hyperlink r:id="rId13">
        <w:r>
          <w:rPr>
            <w:rFonts w:ascii="Calibri" w:eastAsia="Calibri" w:hAnsi="Calibri" w:cs="Calibri"/>
            <w:color w:val="1155CC"/>
            <w:u w:val="single"/>
          </w:rPr>
          <w:t xml:space="preserve">$1'989.000 </w:t>
        </w:r>
      </w:hyperlink>
      <w:r>
        <w:rPr>
          <w:rFonts w:ascii="Calibri" w:eastAsia="Calibri" w:hAnsi="Calibri" w:cs="Calibri"/>
        </w:rPr>
        <w:t>por las contribuciones parafiscales). Es decir, un congresista en Colombia devenga más de 24 veces lo que un trabajador (a) formal de ingreso laboral correspondiente a un (1) salario mínimo. Sin embargo, la realidad colombiana es que existe un importante grupo de la población que recibe ingresos por debajo del salario mínimo mensual, ya sea por encontrarse en la informalidad o en actividades de la economía popular. Según el DANE (2022), a septiembre de 2021 el 46 % de la población ocupada tiene ingresos por debajo del salario mínimo (Ver cuadro 2), por lo cual la brecha entre los ingresos de esta población y los congresistas es mucho más amplia. Por su parte, el Observatorio Fiscal de la Universidad Pontificia Javeriana a partir de sus informes ha planteado que, con este aumento, aunque está consagrado en la constitución, representa que para el 2024 “los Congresistas ganan más que 99,4 % de los hogares colombianos” (Méndez, 2024).</w:t>
      </w:r>
    </w:p>
    <w:p w:rsidR="00E7531D" w:rsidRDefault="00E7531D">
      <w:pPr>
        <w:jc w:val="both"/>
        <w:rPr>
          <w:rFonts w:ascii="Calibri" w:eastAsia="Calibri" w:hAnsi="Calibri" w:cs="Calibri"/>
        </w:rPr>
      </w:pPr>
    </w:p>
    <w:p w:rsidR="00791487" w:rsidRDefault="00791487">
      <w:pPr>
        <w:jc w:val="both"/>
        <w:rPr>
          <w:rFonts w:ascii="Calibri" w:eastAsia="Calibri" w:hAnsi="Calibri" w:cs="Calibri"/>
        </w:rPr>
      </w:pPr>
    </w:p>
    <w:p w:rsidR="00791487" w:rsidRDefault="00791487">
      <w:pPr>
        <w:jc w:val="both"/>
        <w:rPr>
          <w:rFonts w:ascii="Calibri" w:eastAsia="Calibri" w:hAnsi="Calibri" w:cs="Calibri"/>
        </w:rPr>
      </w:pPr>
    </w:p>
    <w:p w:rsidR="00791487" w:rsidRDefault="00791487">
      <w:pPr>
        <w:jc w:val="both"/>
        <w:rPr>
          <w:rFonts w:ascii="Calibri" w:eastAsia="Calibri" w:hAnsi="Calibri" w:cs="Calibri"/>
        </w:rPr>
      </w:pPr>
    </w:p>
    <w:p w:rsidR="00791487" w:rsidRDefault="00791487">
      <w:pPr>
        <w:jc w:val="both"/>
        <w:rPr>
          <w:rFonts w:ascii="Calibri" w:eastAsia="Calibri" w:hAnsi="Calibri" w:cs="Calibri"/>
        </w:rPr>
      </w:pPr>
    </w:p>
    <w:p w:rsidR="00791487" w:rsidRDefault="00791487">
      <w:pPr>
        <w:jc w:val="both"/>
        <w:rPr>
          <w:rFonts w:ascii="Calibri" w:eastAsia="Calibri" w:hAnsi="Calibri" w:cs="Calibri"/>
        </w:rPr>
      </w:pPr>
    </w:p>
    <w:p w:rsidR="00791487" w:rsidRDefault="00791487">
      <w:pPr>
        <w:jc w:val="both"/>
        <w:rPr>
          <w:rFonts w:ascii="Calibri" w:eastAsia="Calibri" w:hAnsi="Calibri" w:cs="Calibri"/>
        </w:rPr>
      </w:pPr>
    </w:p>
    <w:p w:rsidR="00791487" w:rsidRDefault="00791487">
      <w:pPr>
        <w:jc w:val="both"/>
        <w:rPr>
          <w:rFonts w:ascii="Calibri" w:eastAsia="Calibri" w:hAnsi="Calibri" w:cs="Calibri"/>
        </w:rPr>
      </w:pPr>
    </w:p>
    <w:p w:rsidR="00791487" w:rsidRDefault="00791487">
      <w:pPr>
        <w:jc w:val="both"/>
        <w:rPr>
          <w:rFonts w:ascii="Calibri" w:eastAsia="Calibri" w:hAnsi="Calibri" w:cs="Calibri"/>
        </w:rPr>
      </w:pPr>
    </w:p>
    <w:p w:rsidR="00791487" w:rsidRDefault="00791487">
      <w:pPr>
        <w:jc w:val="both"/>
        <w:rPr>
          <w:rFonts w:ascii="Calibri" w:eastAsia="Calibri" w:hAnsi="Calibri" w:cs="Calibri"/>
        </w:rPr>
      </w:pPr>
    </w:p>
    <w:p w:rsidR="00E7531D" w:rsidRDefault="00F564A6">
      <w:pPr>
        <w:jc w:val="center"/>
        <w:rPr>
          <w:rFonts w:ascii="Calibri" w:eastAsia="Calibri" w:hAnsi="Calibri" w:cs="Calibri"/>
          <w:b/>
        </w:rPr>
      </w:pPr>
      <w:r>
        <w:rPr>
          <w:rFonts w:ascii="Calibri" w:eastAsia="Calibri" w:hAnsi="Calibri" w:cs="Calibri"/>
          <w:b/>
        </w:rPr>
        <w:lastRenderedPageBreak/>
        <w:t>Cuadro 2. Distribución porcentual de los ocupados por dominio geográfico según rangos de ingresos por ganancias y salarios laborales</w:t>
      </w:r>
    </w:p>
    <w:p w:rsidR="00E7531D" w:rsidRDefault="00F564A6">
      <w:pPr>
        <w:jc w:val="center"/>
        <w:rPr>
          <w:rFonts w:ascii="Calibri" w:eastAsia="Calibri" w:hAnsi="Calibri" w:cs="Calibri"/>
          <w:b/>
        </w:rPr>
      </w:pPr>
      <w:r>
        <w:rPr>
          <w:rFonts w:ascii="Calibri" w:eastAsia="Calibri" w:hAnsi="Calibri" w:cs="Calibri"/>
          <w:b/>
        </w:rPr>
        <w:t>Enero - septiembre (2019-2021)</w:t>
      </w:r>
    </w:p>
    <w:p w:rsidR="00E7531D" w:rsidRDefault="00F564A6">
      <w:pPr>
        <w:jc w:val="both"/>
        <w:rPr>
          <w:rFonts w:ascii="Calibri" w:eastAsia="Calibri" w:hAnsi="Calibri" w:cs="Calibri"/>
        </w:rPr>
      </w:pPr>
      <w:r>
        <w:rPr>
          <w:rFonts w:ascii="Calibri" w:eastAsia="Calibri" w:hAnsi="Calibri" w:cs="Calibri"/>
          <w:noProof/>
          <w:lang w:eastAsia="es-CO"/>
        </w:rPr>
        <w:drawing>
          <wp:inline distT="114300" distB="114300" distL="114300" distR="114300">
            <wp:extent cx="5612400" cy="160020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12400" cy="1600200"/>
                    </a:xfrm>
                    <a:prstGeom prst="rect">
                      <a:avLst/>
                    </a:prstGeom>
                    <a:ln/>
                  </pic:spPr>
                </pic:pic>
              </a:graphicData>
            </a:graphic>
          </wp:inline>
        </w:drawing>
      </w:r>
    </w:p>
    <w:p w:rsidR="00E7531D" w:rsidRDefault="00F564A6">
      <w:pPr>
        <w:jc w:val="both"/>
        <w:rPr>
          <w:rFonts w:ascii="Calibri" w:eastAsia="Calibri" w:hAnsi="Calibri" w:cs="Calibri"/>
          <w:i/>
          <w:sz w:val="16"/>
          <w:szCs w:val="16"/>
        </w:rPr>
      </w:pPr>
      <w:r>
        <w:rPr>
          <w:rFonts w:ascii="Calibri" w:eastAsia="Calibri" w:hAnsi="Calibri" w:cs="Calibri"/>
          <w:i/>
          <w:sz w:val="16"/>
          <w:szCs w:val="16"/>
        </w:rPr>
        <w:t>Fuente: Tomado de DANE (2022).</w:t>
      </w:r>
    </w:p>
    <w:p w:rsidR="00E7531D" w:rsidRDefault="00E7531D">
      <w:pPr>
        <w:jc w:val="both"/>
        <w:rPr>
          <w:rFonts w:ascii="Calibri" w:eastAsia="Calibri" w:hAnsi="Calibri" w:cs="Calibri"/>
          <w:b/>
          <w:highlight w:val="yellow"/>
        </w:rPr>
      </w:pPr>
    </w:p>
    <w:p w:rsidR="00E7531D" w:rsidRDefault="00F564A6">
      <w:pPr>
        <w:jc w:val="both"/>
        <w:rPr>
          <w:rFonts w:ascii="Calibri" w:eastAsia="Calibri" w:hAnsi="Calibri" w:cs="Calibri"/>
        </w:rPr>
      </w:pPr>
      <w:r>
        <w:rPr>
          <w:rFonts w:ascii="Calibri" w:eastAsia="Calibri" w:hAnsi="Calibri" w:cs="Calibri"/>
        </w:rPr>
        <w:t>Así mismo, se han presentado denuncias de la ciudadanía y de los medios de comunicación que altos funcionarios del Estado utilizan su cargo para designar a trabajadores de la entidad gubernamental para beneficio propio o individual, por fuera de las responsabilidades o funciones por la que fue contratado. En septiembre de 2022, por ejemplo, fue evidenciado en medios de comunicación nacional que funcionarios de la Fiscalía General de la Nación fueron asignados a desplazar a las mascotas (perros) del Jefe de la entidad en los carros oficiales, y además a pasear o acompañaban a los animales para hacer las necesidades fisiológicas durante la jornada laboral (Akerman, 2022). Así mismo, Silvia Charry, periodista de la Revista Cambio, reveló cómo el entonces Fiscal General tenía como empleadas del servicio doméstico a funcionarias de una empresa contratista de la Fiscalía (Charry, 2022).</w:t>
      </w:r>
    </w:p>
    <w:p w:rsidR="00E7531D" w:rsidRDefault="00E7531D">
      <w:pPr>
        <w:jc w:val="both"/>
        <w:rPr>
          <w:rFonts w:ascii="Calibri" w:eastAsia="Calibri" w:hAnsi="Calibri" w:cs="Calibri"/>
          <w:b/>
        </w:rPr>
      </w:pPr>
    </w:p>
    <w:p w:rsidR="00E7531D" w:rsidRDefault="00F564A6">
      <w:pPr>
        <w:numPr>
          <w:ilvl w:val="0"/>
          <w:numId w:val="11"/>
        </w:numPr>
        <w:jc w:val="both"/>
        <w:rPr>
          <w:rFonts w:ascii="Calibri" w:eastAsia="Calibri" w:hAnsi="Calibri" w:cs="Calibri"/>
          <w:b/>
        </w:rPr>
      </w:pPr>
      <w:r>
        <w:rPr>
          <w:rFonts w:ascii="Calibri" w:eastAsia="Calibri" w:hAnsi="Calibri" w:cs="Calibri"/>
          <w:b/>
        </w:rPr>
        <w:t>Lineamientos para promover y priorizar la transparencia del gasto público</w:t>
      </w:r>
    </w:p>
    <w:p w:rsidR="00E7531D" w:rsidRDefault="00E7531D">
      <w:pPr>
        <w:jc w:val="both"/>
        <w:rPr>
          <w:rFonts w:ascii="Calibri" w:eastAsia="Calibri" w:hAnsi="Calibri" w:cs="Calibri"/>
          <w:b/>
          <w:highlight w:val="yellow"/>
        </w:rPr>
      </w:pPr>
    </w:p>
    <w:p w:rsidR="00E7531D" w:rsidRDefault="00F564A6">
      <w:pPr>
        <w:jc w:val="both"/>
        <w:rPr>
          <w:rFonts w:ascii="Calibri" w:eastAsia="Calibri" w:hAnsi="Calibri" w:cs="Calibri"/>
          <w:highlight w:val="white"/>
        </w:rPr>
      </w:pPr>
      <w:r>
        <w:rPr>
          <w:rFonts w:ascii="Calibri" w:eastAsia="Calibri" w:hAnsi="Calibri" w:cs="Calibri"/>
          <w:highlight w:val="white"/>
        </w:rPr>
        <w:t>La transparencia y la rendición de cuentas constituyen una obligación dentro de la gestión pública (Ley 1712 de 2014, Ley de Transparencia y del Derecho de Acceso a la Información Pública Nacional). En términos del presupuesto y el ahorro en el gasto público, Colombia cuenta con el Portal de Transparencia Económica</w:t>
      </w:r>
      <w:r>
        <w:rPr>
          <w:rFonts w:ascii="Calibri" w:eastAsia="Calibri" w:hAnsi="Calibri" w:cs="Calibri"/>
          <w:highlight w:val="white"/>
          <w:vertAlign w:val="superscript"/>
        </w:rPr>
        <w:footnoteReference w:id="1"/>
      </w:r>
      <w:r>
        <w:rPr>
          <w:rFonts w:ascii="Calibri" w:eastAsia="Calibri" w:hAnsi="Calibri" w:cs="Calibri"/>
          <w:highlight w:val="white"/>
        </w:rPr>
        <w:t xml:space="preserve">, sin embargo, el lenguaje y los puntos de acceso no son de carácter comprensible, interactivo y periódico que permita realizar seguimiento de manera detallada y desagregada a los rubros del presupuesto nacional destinados a cubrir gastos de funcionamiento, es decir, aquellos gastos necesarios para el </w:t>
      </w:r>
      <w:r>
        <w:rPr>
          <w:rFonts w:ascii="Calibri" w:eastAsia="Calibri" w:hAnsi="Calibri" w:cs="Calibri"/>
          <w:highlight w:val="white"/>
        </w:rPr>
        <w:lastRenderedPageBreak/>
        <w:t>normal ejercicio de las funciones de las entidades, de los que hacen parte servicios personales</w:t>
      </w:r>
      <w:r>
        <w:rPr>
          <w:rFonts w:ascii="Calibri" w:eastAsia="Calibri" w:hAnsi="Calibri" w:cs="Calibri"/>
          <w:highlight w:val="white"/>
          <w:vertAlign w:val="superscript"/>
        </w:rPr>
        <w:footnoteReference w:id="2"/>
      </w:r>
      <w:r>
        <w:rPr>
          <w:rFonts w:ascii="Calibri" w:eastAsia="Calibri" w:hAnsi="Calibri" w:cs="Calibri"/>
          <w:highlight w:val="white"/>
        </w:rPr>
        <w:t>, gastos generales</w:t>
      </w:r>
      <w:r>
        <w:rPr>
          <w:rFonts w:ascii="Calibri" w:eastAsia="Calibri" w:hAnsi="Calibri" w:cs="Calibri"/>
          <w:highlight w:val="white"/>
          <w:vertAlign w:val="superscript"/>
        </w:rPr>
        <w:footnoteReference w:id="3"/>
      </w:r>
      <w:r>
        <w:rPr>
          <w:rFonts w:ascii="Calibri" w:eastAsia="Calibri" w:hAnsi="Calibri" w:cs="Calibri"/>
          <w:highlight w:val="white"/>
        </w:rPr>
        <w:t xml:space="preserve"> y transferencias</w:t>
      </w:r>
      <w:r>
        <w:rPr>
          <w:rFonts w:ascii="Calibri" w:eastAsia="Calibri" w:hAnsi="Calibri" w:cs="Calibri"/>
          <w:highlight w:val="white"/>
          <w:vertAlign w:val="superscript"/>
        </w:rPr>
        <w:footnoteReference w:id="4"/>
      </w:r>
      <w:r>
        <w:rPr>
          <w:rFonts w:ascii="Calibri" w:eastAsia="Calibri" w:hAnsi="Calibri" w:cs="Calibri"/>
          <w:highlight w:val="white"/>
        </w:rPr>
        <w:t>.</w:t>
      </w:r>
    </w:p>
    <w:p w:rsidR="00E7531D" w:rsidRDefault="00E7531D">
      <w:pPr>
        <w:jc w:val="both"/>
        <w:rPr>
          <w:rFonts w:ascii="Calibri" w:eastAsia="Calibri" w:hAnsi="Calibri" w:cs="Calibri"/>
          <w:highlight w:val="white"/>
        </w:rPr>
      </w:pPr>
    </w:p>
    <w:p w:rsidR="00E7531D" w:rsidRDefault="00F564A6">
      <w:pPr>
        <w:jc w:val="both"/>
        <w:rPr>
          <w:rFonts w:ascii="Calibri" w:eastAsia="Calibri" w:hAnsi="Calibri" w:cs="Calibri"/>
          <w:color w:val="9900FF"/>
          <w:highlight w:val="white"/>
        </w:rPr>
      </w:pPr>
      <w:r>
        <w:rPr>
          <w:rFonts w:ascii="Calibri" w:eastAsia="Calibri" w:hAnsi="Calibri" w:cs="Calibri"/>
          <w:highlight w:val="white"/>
        </w:rPr>
        <w:t>Es decir, el país cuenta con un portal de información económica que no recolecta la información de ejecución presupuestaria ni de ahorro del gasto público de cada una de las entidades ni del agregado nacional, de forma clara, agrupada y a la vez que permita el detalle de la información de forma desagregada, según el interés de los grupos sociales o sociedad civil veedora. La falta de acceso de una forma sencilla a este tipo de información, proveniente de las fuentes oficiales, no solo profundiza en la transparencia, sino que permite hacer frente a la desinformación, o fake news, que diariamente circula en la opinión pública.</w:t>
      </w:r>
    </w:p>
    <w:p w:rsidR="00E7531D" w:rsidRDefault="00E7531D">
      <w:pPr>
        <w:jc w:val="both"/>
        <w:rPr>
          <w:rFonts w:ascii="Calibri" w:eastAsia="Calibri" w:hAnsi="Calibri" w:cs="Calibri"/>
          <w:highlight w:val="white"/>
        </w:rPr>
      </w:pPr>
    </w:p>
    <w:p w:rsidR="00E7531D" w:rsidRDefault="00F564A6">
      <w:pPr>
        <w:jc w:val="both"/>
        <w:rPr>
          <w:rFonts w:ascii="Calibri" w:eastAsia="Calibri" w:hAnsi="Calibri" w:cs="Calibri"/>
          <w:highlight w:val="white"/>
        </w:rPr>
      </w:pPr>
      <w:r>
        <w:rPr>
          <w:rFonts w:ascii="Calibri" w:eastAsia="Calibri" w:hAnsi="Calibri" w:cs="Calibri"/>
          <w:highlight w:val="white"/>
        </w:rPr>
        <w:t>En el marco de las posiciones teóricas alrededor de la transparencia presupuestal, por un lado, hay posturas de su relevancia para las decisiones macro o de la alta gerencia pública, y por el otro, de la relevancia para la ciudadanía con miras a hacer control, incidencia de modificación y evaluación de los impactos (Bautista &amp; Sepúlveda Reyes, 2017, pág. 42). Para cumplir con el criterio mismo de la transparencia presupuestaria como “la divulgación completa de la información fiscal relevante de manera oportuna y sistemática” (OECD, 2014), la Organización para la Cooperación y el Desarrollo -OCDE y en inglés OECD- postula tres dimensiones: los tipos de reportes, el contenido de los mismos, y, las prácticas que se desarrollan para integrar con calidad e integridad los diferentes tipos de reportes (OECD, 2010).</w:t>
      </w:r>
    </w:p>
    <w:p w:rsidR="00E7531D" w:rsidRDefault="00E7531D">
      <w:pPr>
        <w:jc w:val="both"/>
        <w:rPr>
          <w:rFonts w:ascii="Calibri" w:eastAsia="Calibri" w:hAnsi="Calibri" w:cs="Calibri"/>
          <w:highlight w:val="white"/>
        </w:rPr>
      </w:pPr>
    </w:p>
    <w:p w:rsidR="00E7531D" w:rsidRDefault="00F564A6">
      <w:pPr>
        <w:jc w:val="both"/>
        <w:rPr>
          <w:rFonts w:ascii="Calibri" w:eastAsia="Calibri" w:hAnsi="Calibri" w:cs="Calibri"/>
          <w:highlight w:val="white"/>
        </w:rPr>
      </w:pPr>
      <w:r>
        <w:rPr>
          <w:rFonts w:ascii="Calibri" w:eastAsia="Calibri" w:hAnsi="Calibri" w:cs="Calibri"/>
          <w:highlight w:val="white"/>
        </w:rPr>
        <w:t xml:space="preserve">En el marco de los postulados anteriores, prima que la información del ahorro del gasto público o cumplimiento de la meta de austeridad fijado sea de seguimiento y control por parte de la ciudadanía, quienes en su ejercicio político exigen respuestas en la gestión del ejecutivo. En materia de la integralidad de los diferentes reportes, tanto de ejecución </w:t>
      </w:r>
      <w:r>
        <w:rPr>
          <w:rFonts w:ascii="Calibri" w:eastAsia="Calibri" w:hAnsi="Calibri" w:cs="Calibri"/>
          <w:highlight w:val="white"/>
        </w:rPr>
        <w:lastRenderedPageBreak/>
        <w:t xml:space="preserve">presupuestal como de ahorro del gasto público, sea integrado en un sólo instrumento o mecanismo de rendición de cuentas periódico y sistemático. </w:t>
      </w:r>
    </w:p>
    <w:p w:rsidR="00E7531D" w:rsidRDefault="00E7531D">
      <w:pPr>
        <w:jc w:val="both"/>
        <w:rPr>
          <w:rFonts w:ascii="Calibri" w:eastAsia="Calibri" w:hAnsi="Calibri" w:cs="Calibri"/>
          <w:highlight w:val="white"/>
        </w:rPr>
      </w:pPr>
    </w:p>
    <w:p w:rsidR="00E7531D" w:rsidRDefault="00F564A6">
      <w:pPr>
        <w:jc w:val="both"/>
        <w:rPr>
          <w:rFonts w:ascii="Calibri" w:eastAsia="Calibri" w:hAnsi="Calibri" w:cs="Calibri"/>
          <w:highlight w:val="white"/>
        </w:rPr>
      </w:pPr>
      <w:r>
        <w:rPr>
          <w:rFonts w:ascii="Calibri" w:eastAsia="Calibri" w:hAnsi="Calibri" w:cs="Calibri"/>
          <w:highlight w:val="white"/>
        </w:rPr>
        <w:t>En el marco del presente proyecto de ley, se establece que el informe de ejecución presupuestal que reporta el Ministerio de Hacienda y Crédito Público trimestralmente tenga incluido, como un ítem adicional, el ahorro a la fecha en materia del cumplimiento del artículo 19 de la Ley 2155 del 2021, el Decreto de Plan de Austeridad anual vigente y de la implementación del presente proyecto cuando sea sancionado como Ley de la República. Así mismo, de forma complementaria al reporte de las entidades públicas, el proyecto de ley enmarca que las entidades privadas o mixtas que reciban recursos del Presupuesto General de la Nación deberán hacer públicos sus reportes financieros en los tiempos adecuados y definidos en la ley en materia de hacer seguimiento y veeduría ciudadana, desde el Congreso de la República y desde los respectivos entes de control.</w:t>
      </w:r>
    </w:p>
    <w:p w:rsidR="00E7531D" w:rsidRDefault="00E7531D">
      <w:pPr>
        <w:jc w:val="both"/>
        <w:rPr>
          <w:rFonts w:ascii="Calibri" w:eastAsia="Calibri" w:hAnsi="Calibri" w:cs="Calibri"/>
          <w:highlight w:val="white"/>
        </w:rPr>
      </w:pPr>
    </w:p>
    <w:p w:rsidR="00E7531D" w:rsidRDefault="00F564A6">
      <w:pPr>
        <w:jc w:val="both"/>
        <w:rPr>
          <w:rFonts w:ascii="Calibri" w:eastAsia="Calibri" w:hAnsi="Calibri" w:cs="Calibri"/>
          <w:highlight w:val="white"/>
        </w:rPr>
      </w:pPr>
      <w:r>
        <w:rPr>
          <w:rFonts w:ascii="Calibri" w:eastAsia="Calibri" w:hAnsi="Calibri" w:cs="Calibri"/>
          <w:highlight w:val="white"/>
        </w:rPr>
        <w:t>Un plan robusto de austeridad o ahorro del gasto público en las categorías posibles de ahorro implica plantear una meta de cumplimiento que permita abrir paso, de forma robusta, a direccionar dicho ahorro en gasto social o Inversión, con el fin de cumplir los objetivos macroeconómicos de reducción de la desigualdad y de acelerar el crecimiento económico. La meta anual de ahorro o austeridad del Gobierno Nacional deberá ir incrementando de forma progresiva, resultado de las acciones de eficiencia y eficacia en la implementación de medidas planteadas en el presente proyecto de ley.</w:t>
      </w:r>
    </w:p>
    <w:p w:rsidR="00E7531D" w:rsidRDefault="00E7531D">
      <w:pPr>
        <w:jc w:val="both"/>
        <w:rPr>
          <w:rFonts w:ascii="Calibri" w:eastAsia="Calibri" w:hAnsi="Calibri" w:cs="Calibri"/>
          <w:highlight w:val="white"/>
        </w:rPr>
      </w:pPr>
    </w:p>
    <w:p w:rsidR="00E7531D" w:rsidRDefault="00F564A6">
      <w:pPr>
        <w:jc w:val="both"/>
        <w:rPr>
          <w:rFonts w:ascii="Calibri" w:eastAsia="Calibri" w:hAnsi="Calibri" w:cs="Calibri"/>
          <w:highlight w:val="white"/>
        </w:rPr>
      </w:pPr>
      <w:r>
        <w:rPr>
          <w:rFonts w:ascii="Calibri" w:eastAsia="Calibri" w:hAnsi="Calibri" w:cs="Calibri"/>
          <w:highlight w:val="white"/>
        </w:rPr>
        <w:t>En el marco del debate de la Ley 2155 de 2019, en su momento Proyecto de Ley 027/2021C - 046/2020S, las medidas de austeridad representan las siguientes proyecciones de ahorro:</w:t>
      </w:r>
    </w:p>
    <w:p w:rsidR="00E7531D" w:rsidRDefault="00E7531D">
      <w:pPr>
        <w:jc w:val="both"/>
        <w:rPr>
          <w:rFonts w:ascii="Calibri" w:eastAsia="Calibri" w:hAnsi="Calibri" w:cs="Calibri"/>
          <w:highlight w:val="white"/>
        </w:rPr>
      </w:pPr>
    </w:p>
    <w:p w:rsidR="00E7531D" w:rsidRDefault="00F564A6">
      <w:pPr>
        <w:jc w:val="center"/>
        <w:rPr>
          <w:rFonts w:ascii="Calibri" w:eastAsia="Calibri" w:hAnsi="Calibri" w:cs="Calibri"/>
          <w:b/>
        </w:rPr>
      </w:pPr>
      <w:r>
        <w:rPr>
          <w:rFonts w:ascii="Calibri" w:eastAsia="Calibri" w:hAnsi="Calibri" w:cs="Calibri"/>
          <w:b/>
        </w:rPr>
        <w:t>Cuadro 3. Proyecciones de ahorro Exposición de Motivos Ley 2155 de 2021</w:t>
      </w:r>
    </w:p>
    <w:p w:rsidR="00E7531D" w:rsidRDefault="00E7531D">
      <w:pPr>
        <w:jc w:val="both"/>
        <w:rPr>
          <w:rFonts w:ascii="Calibri" w:eastAsia="Calibri" w:hAnsi="Calibri" w:cs="Calibri"/>
          <w:highlight w:val="white"/>
        </w:rPr>
      </w:pPr>
    </w:p>
    <w:sdt>
      <w:sdtPr>
        <w:tag w:val="goog_rdk_73"/>
        <w:id w:val="504637735"/>
        <w:lock w:val="contentLocked"/>
      </w:sdtPr>
      <w:sdtContent>
        <w:tbl>
          <w:tblPr>
            <w:tblStyle w:val="a0"/>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5"/>
            <w:gridCol w:w="6635"/>
          </w:tblGrid>
          <w:tr w:rsidR="00E7531D">
            <w:tc>
              <w:tcPr>
                <w:tcW w:w="215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jc w:val="center"/>
                  <w:rPr>
                    <w:rFonts w:ascii="Calibri" w:eastAsia="Calibri" w:hAnsi="Calibri" w:cs="Calibri"/>
                    <w:b/>
                    <w:highlight w:val="white"/>
                  </w:rPr>
                </w:pPr>
                <w:r>
                  <w:rPr>
                    <w:rFonts w:ascii="Calibri" w:eastAsia="Calibri" w:hAnsi="Calibri" w:cs="Calibri"/>
                    <w:b/>
                    <w:highlight w:val="white"/>
                  </w:rPr>
                  <w:t>Rubro</w:t>
                </w:r>
              </w:p>
            </w:tc>
            <w:tc>
              <w:tcPr>
                <w:tcW w:w="663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jc w:val="center"/>
                  <w:rPr>
                    <w:rFonts w:ascii="Calibri" w:eastAsia="Calibri" w:hAnsi="Calibri" w:cs="Calibri"/>
                    <w:b/>
                    <w:highlight w:val="white"/>
                  </w:rPr>
                </w:pPr>
                <w:r>
                  <w:rPr>
                    <w:rFonts w:ascii="Calibri" w:eastAsia="Calibri" w:hAnsi="Calibri" w:cs="Calibri"/>
                    <w:b/>
                    <w:highlight w:val="white"/>
                  </w:rPr>
                  <w:t>Impacto</w:t>
                </w:r>
              </w:p>
            </w:tc>
          </w:tr>
          <w:tr w:rsidR="00E7531D">
            <w:tc>
              <w:tcPr>
                <w:tcW w:w="215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Gastos de personal</w:t>
                </w:r>
              </w:p>
            </w:tc>
            <w:tc>
              <w:tcPr>
                <w:tcW w:w="663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“Con esta medida, se generarán ahorros crecientes, que ascenderán en promedio para el periodo 2022-2032 a 0,1% del PIB, equivalente a $1,4 billones de pesos a precios de 2022”</w:t>
                </w:r>
              </w:p>
            </w:tc>
          </w:tr>
          <w:tr w:rsidR="00E7531D">
            <w:tc>
              <w:tcPr>
                <w:tcW w:w="215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Adquisición de bienes y servicios</w:t>
                </w:r>
              </w:p>
            </w:tc>
            <w:tc>
              <w:tcPr>
                <w:tcW w:w="663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se generaría un promedio anual de $85 mil millones a precios de 2022, en promedio para el periodo 2022-2032”.</w:t>
                </w:r>
              </w:p>
            </w:tc>
          </w:tr>
          <w:tr w:rsidR="00E7531D">
            <w:tc>
              <w:tcPr>
                <w:tcW w:w="215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Congelamiento de las transferencias</w:t>
                </w:r>
              </w:p>
            </w:tc>
            <w:tc>
              <w:tcPr>
                <w:tcW w:w="663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“Por medio de estas disposiciones se generarán ahorros de $339 mil millones en promedio por año, a precios de 2022, en el periodo 2022-2032”.</w:t>
                </w:r>
              </w:p>
            </w:tc>
          </w:tr>
          <w:tr w:rsidR="00E7531D">
            <w:tc>
              <w:tcPr>
                <w:tcW w:w="215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lastRenderedPageBreak/>
                  <w:t>Disminución del valor de contratos de prestación de servicios</w:t>
                </w:r>
              </w:p>
            </w:tc>
            <w:tc>
              <w:tcPr>
                <w:tcW w:w="663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“se proyecta que se generarán ahorros anuales que ascienden a $127 mil millones en promedio, a precios de 2022, para el periodo 2022-2032”.</w:t>
                </w:r>
              </w:p>
            </w:tc>
          </w:tr>
          <w:tr w:rsidR="00E7531D">
            <w:tc>
              <w:tcPr>
                <w:tcW w:w="215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b/>
                    <w:highlight w:val="white"/>
                  </w:rPr>
                </w:pPr>
                <w:r>
                  <w:rPr>
                    <w:rFonts w:ascii="Calibri" w:eastAsia="Calibri" w:hAnsi="Calibri" w:cs="Calibri"/>
                    <w:b/>
                    <w:highlight w:val="white"/>
                  </w:rPr>
                  <w:t>Total</w:t>
                </w:r>
              </w:p>
            </w:tc>
            <w:tc>
              <w:tcPr>
                <w:tcW w:w="6635" w:type="dxa"/>
                <w:shd w:val="clear" w:color="auto" w:fill="auto"/>
                <w:tcMar>
                  <w:top w:w="100" w:type="dxa"/>
                  <w:left w:w="100" w:type="dxa"/>
                  <w:bottom w:w="100" w:type="dxa"/>
                  <w:right w:w="100" w:type="dxa"/>
                </w:tcMar>
              </w:tcPr>
              <w:p w:rsidR="00E7531D" w:rsidRDefault="00F564A6">
                <w:pPr>
                  <w:widowControl w:val="0"/>
                  <w:pBdr>
                    <w:top w:val="nil"/>
                    <w:left w:val="nil"/>
                    <w:bottom w:val="nil"/>
                    <w:right w:val="nil"/>
                    <w:between w:val="nil"/>
                  </w:pBdr>
                  <w:rPr>
                    <w:rFonts w:ascii="Calibri" w:eastAsia="Calibri" w:hAnsi="Calibri" w:cs="Calibri"/>
                    <w:b/>
                    <w:highlight w:val="white"/>
                  </w:rPr>
                </w:pPr>
                <w:r>
                  <w:rPr>
                    <w:rFonts w:ascii="Calibri" w:eastAsia="Calibri" w:hAnsi="Calibri" w:cs="Calibri"/>
                    <w:b/>
                    <w:highlight w:val="white"/>
                  </w:rPr>
                  <w:t>$1,95 billones de pesos, a precios de 2022.</w:t>
                </w:r>
              </w:p>
            </w:tc>
          </w:tr>
        </w:tbl>
      </w:sdtContent>
    </w:sdt>
    <w:p w:rsidR="00E7531D" w:rsidRDefault="00F564A6">
      <w:pPr>
        <w:jc w:val="both"/>
        <w:rPr>
          <w:rFonts w:ascii="Calibri" w:eastAsia="Calibri" w:hAnsi="Calibri" w:cs="Calibri"/>
          <w:highlight w:val="white"/>
        </w:rPr>
      </w:pPr>
      <w:r>
        <w:rPr>
          <w:rFonts w:ascii="Calibri" w:eastAsia="Calibri" w:hAnsi="Calibri" w:cs="Calibri"/>
          <w:i/>
          <w:sz w:val="16"/>
          <w:szCs w:val="16"/>
        </w:rPr>
        <w:t>Fuente: Cálculos propios con información de (Cámara de Representantes, n.d.)</w:t>
      </w:r>
    </w:p>
    <w:p w:rsidR="00E7531D" w:rsidRDefault="00E7531D">
      <w:pPr>
        <w:jc w:val="both"/>
        <w:rPr>
          <w:rFonts w:ascii="Calibri" w:eastAsia="Calibri" w:hAnsi="Calibri" w:cs="Calibri"/>
          <w:highlight w:val="white"/>
        </w:rPr>
      </w:pPr>
    </w:p>
    <w:p w:rsidR="00E7531D" w:rsidRDefault="00F564A6">
      <w:pPr>
        <w:jc w:val="both"/>
        <w:rPr>
          <w:rFonts w:ascii="Calibri" w:eastAsia="Calibri" w:hAnsi="Calibri" w:cs="Calibri"/>
        </w:rPr>
      </w:pPr>
      <w:r>
        <w:rPr>
          <w:rFonts w:ascii="Calibri" w:eastAsia="Calibri" w:hAnsi="Calibri" w:cs="Calibri"/>
        </w:rPr>
        <w:t xml:space="preserve">Por lo anteriormente expuesto, la presente iniciativa busca generar un marco que permita disminuir </w:t>
      </w:r>
      <w:r>
        <w:rPr>
          <w:rFonts w:ascii="Calibri" w:eastAsia="Calibri" w:hAnsi="Calibri" w:cs="Calibri"/>
          <w:i/>
        </w:rPr>
        <w:t xml:space="preserve">los recursos destinados a gastos de funcionamiento del Estado, a través de la identificación y regulación de aquellos cuya necesidad no es manifiesta respecto de la labor misional que realizan las entidades, de manera tal que se posibilite reorientar los mismos a la línea de inversión. </w:t>
      </w:r>
      <w:r>
        <w:rPr>
          <w:rFonts w:ascii="Calibri" w:eastAsia="Calibri" w:hAnsi="Calibri" w:cs="Calibri"/>
        </w:rPr>
        <w:t xml:space="preserve">Como correlato obvio, la iniciativa pretende que la austeridad sea elevada a principio rector que guíe el desarrollo de la gestión pública en Colombia. </w:t>
      </w:r>
    </w:p>
    <w:p w:rsidR="00E7531D" w:rsidRDefault="00E7531D">
      <w:pPr>
        <w:jc w:val="both"/>
        <w:rPr>
          <w:rFonts w:ascii="Calibri" w:eastAsia="Calibri" w:hAnsi="Calibri" w:cs="Calibri"/>
          <w:b/>
        </w:rPr>
      </w:pPr>
    </w:p>
    <w:p w:rsidR="00E7531D" w:rsidRDefault="00F564A6">
      <w:pPr>
        <w:jc w:val="both"/>
        <w:rPr>
          <w:rFonts w:ascii="Calibri" w:eastAsia="Calibri" w:hAnsi="Calibri" w:cs="Calibri"/>
        </w:rPr>
      </w:pPr>
      <w:r>
        <w:rPr>
          <w:rFonts w:ascii="Calibri" w:eastAsia="Calibri" w:hAnsi="Calibri" w:cs="Calibri"/>
        </w:rPr>
        <w:t>El Estado colombiano, en el momento más álgido de la pandemia por el COVID – 19, implementó un plan de ahorro que arrojó un ahorro de $1,9 billones de pesos en el año 2020 (Cuadro 4), según informó en su momento el Ministerio de Hacienda y Crédito Público mediante respuesta de Derecho de Petición en 2021.</w:t>
      </w:r>
    </w:p>
    <w:p w:rsidR="00E7531D" w:rsidRDefault="00E7531D">
      <w:pPr>
        <w:jc w:val="both"/>
        <w:rPr>
          <w:rFonts w:ascii="Calibri" w:eastAsia="Calibri" w:hAnsi="Calibri" w:cs="Calibri"/>
          <w:b/>
          <w:i/>
        </w:rPr>
      </w:pPr>
    </w:p>
    <w:p w:rsidR="00E7531D" w:rsidRDefault="00F564A6">
      <w:pPr>
        <w:jc w:val="center"/>
        <w:rPr>
          <w:rFonts w:ascii="Calibri" w:eastAsia="Calibri" w:hAnsi="Calibri" w:cs="Calibri"/>
          <w:b/>
        </w:rPr>
      </w:pPr>
      <w:r>
        <w:rPr>
          <w:rFonts w:ascii="Calibri" w:eastAsia="Calibri" w:hAnsi="Calibri" w:cs="Calibri"/>
          <w:b/>
        </w:rPr>
        <w:t>Cuadro 4. Ahorro del gasto público producto del decreto de austeridad en el año 2020.</w:t>
      </w:r>
    </w:p>
    <w:p w:rsidR="00E7531D" w:rsidRDefault="00F564A6">
      <w:pPr>
        <w:jc w:val="center"/>
        <w:rPr>
          <w:rFonts w:ascii="Calibri" w:eastAsia="Calibri" w:hAnsi="Calibri" w:cs="Calibri"/>
          <w:i/>
        </w:rPr>
      </w:pPr>
      <w:r>
        <w:rPr>
          <w:rFonts w:ascii="Calibri" w:eastAsia="Calibri" w:hAnsi="Calibri" w:cs="Calibri"/>
          <w:i/>
          <w:noProof/>
          <w:lang w:eastAsia="es-CO"/>
        </w:rPr>
        <w:drawing>
          <wp:inline distT="114300" distB="114300" distL="114300" distR="114300">
            <wp:extent cx="3562350" cy="274320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562427" cy="2743259"/>
                    </a:xfrm>
                    <a:prstGeom prst="rect">
                      <a:avLst/>
                    </a:prstGeom>
                    <a:ln/>
                  </pic:spPr>
                </pic:pic>
              </a:graphicData>
            </a:graphic>
          </wp:inline>
        </w:drawing>
      </w:r>
    </w:p>
    <w:p w:rsidR="00E7531D" w:rsidRDefault="00F564A6">
      <w:pPr>
        <w:jc w:val="both"/>
        <w:rPr>
          <w:rFonts w:ascii="Calibri" w:eastAsia="Calibri" w:hAnsi="Calibri" w:cs="Calibri"/>
        </w:rPr>
      </w:pPr>
      <w:r>
        <w:rPr>
          <w:rFonts w:ascii="Calibri" w:eastAsia="Calibri" w:hAnsi="Calibri" w:cs="Calibri"/>
          <w:i/>
          <w:sz w:val="16"/>
          <w:szCs w:val="16"/>
        </w:rPr>
        <w:t>Fuente: Respuesta derecho de petición Ministerio de Hacienda y Crédito Público (2021)</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Por su parte, para el año 2023 según el reporte “Comparativo de datos de austeridad del gasto por unidad ejecutora y categoría” del Ministerio de Hacienda y Crédito Público se </w:t>
      </w:r>
      <w:r>
        <w:rPr>
          <w:rFonts w:ascii="Calibri" w:eastAsia="Calibri" w:hAnsi="Calibri" w:cs="Calibri"/>
        </w:rPr>
        <w:lastRenderedPageBreak/>
        <w:t>reportó un ahorro de $39,2 mil millones de pesos, teniendo presente que es un dato que no reúne el 100</w:t>
      </w:r>
      <w:r w:rsidR="00BF664B">
        <w:rPr>
          <w:rFonts w:ascii="Calibri" w:eastAsia="Calibri" w:hAnsi="Calibri" w:cs="Calibri"/>
        </w:rPr>
        <w:t xml:space="preserve"> </w:t>
      </w:r>
      <w:r>
        <w:rPr>
          <w:rFonts w:ascii="Calibri" w:eastAsia="Calibri" w:hAnsi="Calibri" w:cs="Calibri"/>
        </w:rPr>
        <w:t>% de entidades, según informa el mismo Ministerio (Cuadro 5). Ante esta situación, resulta preocupante la reducción del cumplimiento en materia de austeridad que se reflejó después de superada la pandemia del COVID-19.</w:t>
      </w:r>
    </w:p>
    <w:p w:rsidR="00E7531D" w:rsidRDefault="00E7531D">
      <w:pPr>
        <w:jc w:val="both"/>
        <w:rPr>
          <w:rFonts w:ascii="Calibri" w:eastAsia="Calibri" w:hAnsi="Calibri" w:cs="Calibri"/>
        </w:rPr>
      </w:pPr>
    </w:p>
    <w:p w:rsidR="00E7531D" w:rsidRDefault="00F564A6">
      <w:pPr>
        <w:jc w:val="center"/>
        <w:rPr>
          <w:rFonts w:ascii="Calibri" w:eastAsia="Calibri" w:hAnsi="Calibri" w:cs="Calibri"/>
          <w:b/>
        </w:rPr>
      </w:pPr>
      <w:r>
        <w:rPr>
          <w:rFonts w:ascii="Calibri" w:eastAsia="Calibri" w:hAnsi="Calibri" w:cs="Calibri"/>
          <w:b/>
        </w:rPr>
        <w:t>Cuadro 5. Ahorro del gasto público producto del decreto de austeridad en el año 2023</w:t>
      </w:r>
    </w:p>
    <w:p w:rsidR="00E7531D" w:rsidRDefault="00F564A6">
      <w:pPr>
        <w:jc w:val="both"/>
        <w:rPr>
          <w:rFonts w:ascii="Calibri" w:eastAsia="Calibri" w:hAnsi="Calibri" w:cs="Calibri"/>
          <w:i/>
        </w:rPr>
      </w:pPr>
      <w:r>
        <w:rPr>
          <w:rFonts w:ascii="Calibri" w:eastAsia="Calibri" w:hAnsi="Calibri" w:cs="Calibri"/>
          <w:i/>
          <w:noProof/>
          <w:lang w:eastAsia="es-CO"/>
        </w:rPr>
        <w:drawing>
          <wp:inline distT="114300" distB="114300" distL="114300" distR="114300">
            <wp:extent cx="5612400" cy="2235200"/>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612400" cy="2235200"/>
                    </a:xfrm>
                    <a:prstGeom prst="rect">
                      <a:avLst/>
                    </a:prstGeom>
                    <a:ln/>
                  </pic:spPr>
                </pic:pic>
              </a:graphicData>
            </a:graphic>
          </wp:inline>
        </w:drawing>
      </w:r>
    </w:p>
    <w:p w:rsidR="00E7531D" w:rsidRDefault="00F564A6">
      <w:pPr>
        <w:spacing w:after="160" w:line="259" w:lineRule="auto"/>
        <w:jc w:val="both"/>
        <w:rPr>
          <w:rFonts w:ascii="Calibri" w:eastAsia="Calibri" w:hAnsi="Calibri" w:cs="Calibri"/>
          <w:sz w:val="16"/>
          <w:szCs w:val="16"/>
        </w:rPr>
      </w:pPr>
      <w:r>
        <w:rPr>
          <w:rFonts w:ascii="Calibri" w:eastAsia="Calibri" w:hAnsi="Calibri" w:cs="Calibri"/>
          <w:i/>
          <w:sz w:val="16"/>
          <w:szCs w:val="16"/>
        </w:rPr>
        <w:t xml:space="preserve">Fuente: Elaboración propia con base en </w:t>
      </w:r>
      <w:r>
        <w:rPr>
          <w:rFonts w:ascii="Calibri" w:eastAsia="Calibri" w:hAnsi="Calibri" w:cs="Calibri"/>
          <w:sz w:val="16"/>
          <w:szCs w:val="16"/>
        </w:rPr>
        <w:t xml:space="preserve">MinHacienda (2024a). </w:t>
      </w:r>
    </w:p>
    <w:p w:rsidR="00E7531D" w:rsidRDefault="00F564A6">
      <w:pPr>
        <w:spacing w:after="160" w:line="259" w:lineRule="auto"/>
        <w:jc w:val="both"/>
        <w:rPr>
          <w:rFonts w:ascii="Calibri" w:eastAsia="Calibri" w:hAnsi="Calibri" w:cs="Calibri"/>
          <w:sz w:val="16"/>
          <w:szCs w:val="16"/>
        </w:rPr>
      </w:pPr>
      <w:r>
        <w:rPr>
          <w:rFonts w:ascii="Calibri" w:eastAsia="Calibri" w:hAnsi="Calibri" w:cs="Calibri"/>
          <w:sz w:val="16"/>
          <w:szCs w:val="16"/>
        </w:rPr>
        <w:t>Nota: El informe presentado por MinHacienda está sujeto al reporte de las entidades, en las cuales se enuncia que ocho (8) entidades no reportaron.</w:t>
      </w:r>
    </w:p>
    <w:p w:rsidR="00E7531D" w:rsidRDefault="00F564A6">
      <w:pPr>
        <w:spacing w:after="160" w:line="259" w:lineRule="auto"/>
        <w:jc w:val="both"/>
        <w:rPr>
          <w:rFonts w:ascii="Calibri" w:eastAsia="Calibri" w:hAnsi="Calibri" w:cs="Calibri"/>
        </w:rPr>
      </w:pPr>
      <w:r>
        <w:rPr>
          <w:rFonts w:ascii="Calibri" w:eastAsia="Calibri" w:hAnsi="Calibri" w:cs="Calibri"/>
        </w:rPr>
        <w:t>Por lo anterior, a partir de medidas más específicas mediante la Política de Austeridad Pública y los Planes de Austeridad del Gasto para 2025 se tendría un ahorro de $3,1 billones de pesos, y contabilizando otras medidas de Austeridad que crea el presente proyecto de ley, podría ascender a $3,4 billones de pesos. Estas proyecciones se encuentran en línea con la Meta Nacional de Austeridad Pública definida en el artículo 6, dado que el 5</w:t>
      </w:r>
      <w:r w:rsidR="00BF664B">
        <w:rPr>
          <w:rFonts w:ascii="Calibri" w:eastAsia="Calibri" w:hAnsi="Calibri" w:cs="Calibri"/>
        </w:rPr>
        <w:t xml:space="preserve"> </w:t>
      </w:r>
      <w:r>
        <w:rPr>
          <w:rFonts w:ascii="Calibri" w:eastAsia="Calibri" w:hAnsi="Calibri" w:cs="Calibri"/>
        </w:rPr>
        <w:t>% de los gastos de personal y funcionamiento del PGN 2025, actualmente en debate legislativo mediante P</w:t>
      </w:r>
      <w:r>
        <w:rPr>
          <w:rFonts w:ascii="Calibri" w:eastAsia="Calibri" w:hAnsi="Calibri" w:cs="Calibri"/>
          <w:i/>
        </w:rPr>
        <w:t xml:space="preserve">royecto de Ley N° 090 de 2024 Cámara "Por la cual se decreta el presupuesto de rentas y recursos de capital y Ley de apropiaciones para la vigencia fiscal del 1º de enero al 31 de diciembre de 2025" </w:t>
      </w:r>
      <w:r>
        <w:rPr>
          <w:rFonts w:ascii="Calibri" w:eastAsia="Calibri" w:hAnsi="Calibri" w:cs="Calibri"/>
        </w:rPr>
        <w:t>sería alrededor de $3,7 Billones, dado que lo asignado a la fecha en Gasto de Personal equivale a $60,2 Billones y a Adquisición de Bienes y Servicios a $15,5 Billones, en un total de $75,7 Billones.</w:t>
      </w:r>
    </w:p>
    <w:p w:rsidR="00791487" w:rsidRDefault="00791487">
      <w:pPr>
        <w:spacing w:after="160" w:line="259" w:lineRule="auto"/>
        <w:jc w:val="both"/>
        <w:rPr>
          <w:rFonts w:ascii="Calibri" w:eastAsia="Calibri" w:hAnsi="Calibri" w:cs="Calibri"/>
        </w:rPr>
      </w:pPr>
    </w:p>
    <w:p w:rsidR="00791487" w:rsidRDefault="00791487">
      <w:pPr>
        <w:spacing w:after="160" w:line="259" w:lineRule="auto"/>
        <w:jc w:val="both"/>
        <w:rPr>
          <w:rFonts w:ascii="Calibri" w:eastAsia="Calibri" w:hAnsi="Calibri" w:cs="Calibri"/>
        </w:rPr>
      </w:pPr>
    </w:p>
    <w:p w:rsidR="00791487" w:rsidRDefault="00791487">
      <w:pPr>
        <w:spacing w:after="160" w:line="259" w:lineRule="auto"/>
        <w:jc w:val="both"/>
        <w:rPr>
          <w:rFonts w:ascii="Calibri" w:eastAsia="Calibri" w:hAnsi="Calibri" w:cs="Calibri"/>
        </w:rPr>
      </w:pPr>
    </w:p>
    <w:p w:rsidR="00791487" w:rsidRDefault="00791487">
      <w:pPr>
        <w:spacing w:after="160" w:line="259" w:lineRule="auto"/>
        <w:jc w:val="both"/>
        <w:rPr>
          <w:rFonts w:ascii="Calibri" w:eastAsia="Calibri" w:hAnsi="Calibri" w:cs="Calibri"/>
        </w:rPr>
      </w:pPr>
    </w:p>
    <w:p w:rsidR="00E7531D" w:rsidRDefault="00F564A6">
      <w:pPr>
        <w:jc w:val="center"/>
        <w:rPr>
          <w:rFonts w:ascii="Calibri" w:eastAsia="Calibri" w:hAnsi="Calibri" w:cs="Calibri"/>
          <w:b/>
          <w:sz w:val="16"/>
          <w:szCs w:val="16"/>
        </w:rPr>
      </w:pPr>
      <w:r>
        <w:rPr>
          <w:rFonts w:ascii="Calibri" w:eastAsia="Calibri" w:hAnsi="Calibri" w:cs="Calibri"/>
          <w:b/>
        </w:rPr>
        <w:lastRenderedPageBreak/>
        <w:t>Cuadro 6. Proyección de Ahorro del gasto público para 2025</w:t>
      </w:r>
    </w:p>
    <w:p w:rsidR="00E7531D" w:rsidRDefault="00F564A6">
      <w:pPr>
        <w:jc w:val="center"/>
        <w:rPr>
          <w:rFonts w:ascii="Calibri" w:eastAsia="Calibri" w:hAnsi="Calibri" w:cs="Calibri"/>
          <w:highlight w:val="white"/>
        </w:rPr>
      </w:pPr>
      <w:r>
        <w:rPr>
          <w:rFonts w:ascii="Calibri" w:eastAsia="Calibri" w:hAnsi="Calibri" w:cs="Calibri"/>
          <w:noProof/>
          <w:highlight w:val="white"/>
          <w:lang w:eastAsia="es-CO"/>
        </w:rPr>
        <w:drawing>
          <wp:inline distT="114300" distB="114300" distL="114300" distR="114300">
            <wp:extent cx="3114675" cy="3705225"/>
            <wp:effectExtent l="0" t="0" r="9525" b="9525"/>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115223" cy="3705877"/>
                    </a:xfrm>
                    <a:prstGeom prst="rect">
                      <a:avLst/>
                    </a:prstGeom>
                    <a:ln/>
                  </pic:spPr>
                </pic:pic>
              </a:graphicData>
            </a:graphic>
          </wp:inline>
        </w:drawing>
      </w:r>
    </w:p>
    <w:p w:rsidR="00E7531D" w:rsidRDefault="00F564A6">
      <w:pPr>
        <w:spacing w:after="160" w:line="259" w:lineRule="auto"/>
        <w:jc w:val="center"/>
        <w:rPr>
          <w:rFonts w:ascii="Calibri" w:eastAsia="Calibri" w:hAnsi="Calibri" w:cs="Calibri"/>
        </w:rPr>
      </w:pPr>
      <w:r>
        <w:rPr>
          <w:rFonts w:ascii="Calibri" w:eastAsia="Calibri" w:hAnsi="Calibri" w:cs="Calibri"/>
          <w:i/>
          <w:sz w:val="16"/>
          <w:szCs w:val="16"/>
        </w:rPr>
        <w:t>Fuente: Elaboración propia</w:t>
      </w:r>
    </w:p>
    <w:p w:rsidR="00E7531D" w:rsidRDefault="00F564A6">
      <w:pPr>
        <w:jc w:val="both"/>
        <w:rPr>
          <w:rFonts w:ascii="Calibri" w:eastAsia="Calibri" w:hAnsi="Calibri" w:cs="Calibri"/>
        </w:rPr>
      </w:pPr>
      <w:r>
        <w:rPr>
          <w:rFonts w:ascii="Calibri" w:eastAsia="Calibri" w:hAnsi="Calibri" w:cs="Calibri"/>
        </w:rPr>
        <w:t>De ahí que se haga necesario propender porque esta política se mantenga en el tiempo y los recursos dejados de invertir en rubros innecesarios, sean re direccionados hacia la inversión del Estado, con el objeto de reducir la pobreza, la desigualdad, el desempleo y otros asuntos relacionados con el Goce Efectivo de Derechos de los y las colombianas.</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Finalmente, entre otros </w:t>
      </w:r>
      <w:r>
        <w:rPr>
          <w:rFonts w:ascii="Calibri" w:eastAsia="Calibri" w:hAnsi="Calibri" w:cs="Calibri"/>
          <w:i/>
        </w:rPr>
        <w:t>Lineamientos para promover y priorizar la transparencia del gasto público</w:t>
      </w:r>
      <w:r>
        <w:rPr>
          <w:rFonts w:ascii="Calibri" w:eastAsia="Calibri" w:hAnsi="Calibri" w:cs="Calibri"/>
        </w:rPr>
        <w:t xml:space="preserve"> se encuentra mejores condiciones para la veeduría ciudadana por parte de los recursos administrados en Fondos y Fideicomisos. Según el “Anexo Mensaje Presidencial PGN 2025” existen 45 fondos especiales, y junto con 2 contribuciones parafiscales de la nación se programan $22,2 billones para el año 2025, y su ejecución está en 8 entidades (p. 525 y 526). Estos recursos deben ser objeto de transparencia en su ejecución, por lo cual sobre los fondos y fideicomisos también se determinan lineamientos en procura la eficiencia y eficacia en la ejecución de sus recursos.</w:t>
      </w:r>
    </w:p>
    <w:p w:rsidR="00E7531D" w:rsidRDefault="00E7531D">
      <w:pPr>
        <w:jc w:val="both"/>
        <w:rPr>
          <w:rFonts w:ascii="Calibri" w:eastAsia="Calibri" w:hAnsi="Calibri" w:cs="Calibri"/>
          <w:highlight w:val="white"/>
        </w:rPr>
      </w:pPr>
    </w:p>
    <w:p w:rsidR="00E7531D" w:rsidRDefault="00F564A6">
      <w:pPr>
        <w:numPr>
          <w:ilvl w:val="0"/>
          <w:numId w:val="11"/>
        </w:numPr>
        <w:jc w:val="both"/>
        <w:rPr>
          <w:rFonts w:ascii="Calibri" w:eastAsia="Calibri" w:hAnsi="Calibri" w:cs="Calibri"/>
          <w:b/>
        </w:rPr>
      </w:pPr>
      <w:r>
        <w:rPr>
          <w:rFonts w:ascii="Calibri" w:eastAsia="Calibri" w:hAnsi="Calibri" w:cs="Calibri"/>
          <w:b/>
        </w:rPr>
        <w:t>Identificación de medidas de Austeridad Pública</w:t>
      </w:r>
    </w:p>
    <w:p w:rsidR="00E7531D" w:rsidRDefault="00E7531D">
      <w:pPr>
        <w:ind w:left="720"/>
        <w:jc w:val="both"/>
        <w:rPr>
          <w:rFonts w:ascii="Calibri" w:eastAsia="Calibri" w:hAnsi="Calibri" w:cs="Calibri"/>
          <w:b/>
        </w:rPr>
      </w:pPr>
    </w:p>
    <w:p w:rsidR="00E7531D" w:rsidRDefault="00F564A6">
      <w:pPr>
        <w:pBdr>
          <w:top w:val="nil"/>
          <w:left w:val="nil"/>
          <w:bottom w:val="nil"/>
          <w:right w:val="nil"/>
          <w:between w:val="nil"/>
        </w:pBdr>
        <w:spacing w:after="160" w:line="259" w:lineRule="auto"/>
        <w:jc w:val="both"/>
        <w:rPr>
          <w:rFonts w:ascii="Calibri" w:eastAsia="Calibri" w:hAnsi="Calibri" w:cs="Calibri"/>
        </w:rPr>
      </w:pPr>
      <w:r>
        <w:rPr>
          <w:rFonts w:ascii="Calibri" w:eastAsia="Calibri" w:hAnsi="Calibri" w:cs="Calibri"/>
        </w:rPr>
        <w:t>La principal fuente de los recursos del Estado en el Presupuesto de Rentas y Recursos de Capital son los ingresos corrientes que en promedio representan el 63</w:t>
      </w:r>
      <w:r w:rsidR="00BF664B">
        <w:rPr>
          <w:rFonts w:ascii="Calibri" w:eastAsia="Calibri" w:hAnsi="Calibri" w:cs="Calibri"/>
        </w:rPr>
        <w:t xml:space="preserve"> </w:t>
      </w:r>
      <w:r>
        <w:rPr>
          <w:rFonts w:ascii="Calibri" w:eastAsia="Calibri" w:hAnsi="Calibri" w:cs="Calibri"/>
        </w:rPr>
        <w:t>% a 65</w:t>
      </w:r>
      <w:r w:rsidR="00BF664B">
        <w:rPr>
          <w:rFonts w:ascii="Calibri" w:eastAsia="Calibri" w:hAnsi="Calibri" w:cs="Calibri"/>
        </w:rPr>
        <w:t xml:space="preserve"> </w:t>
      </w:r>
      <w:r>
        <w:rPr>
          <w:rFonts w:ascii="Calibri" w:eastAsia="Calibri" w:hAnsi="Calibri" w:cs="Calibri"/>
        </w:rPr>
        <w:t xml:space="preserve">%, los cuales </w:t>
      </w:r>
      <w:r>
        <w:rPr>
          <w:rFonts w:ascii="Calibri" w:eastAsia="Calibri" w:hAnsi="Calibri" w:cs="Calibri"/>
        </w:rPr>
        <w:lastRenderedPageBreak/>
        <w:t>contemplan ingresos tributarios (internos y externos como IVA, Renta, arancel, entre otros; y no tributarios como multas y sanciones, entre otros</w:t>
      </w:r>
      <w:r>
        <w:rPr>
          <w:rFonts w:ascii="Calibri" w:eastAsia="Calibri" w:hAnsi="Calibri" w:cs="Calibri"/>
          <w:vertAlign w:val="superscript"/>
        </w:rPr>
        <w:footnoteReference w:id="5"/>
      </w:r>
      <w:r>
        <w:rPr>
          <w:rFonts w:ascii="Calibri" w:eastAsia="Calibri" w:hAnsi="Calibri" w:cs="Calibri"/>
        </w:rPr>
        <w:t>). Adicional a ello, el Estado tiene ingresos producto de los Recursos de Capital que representan alrededor del 28</w:t>
      </w:r>
      <w:r w:rsidR="00BF664B">
        <w:rPr>
          <w:rFonts w:ascii="Calibri" w:eastAsia="Calibri" w:hAnsi="Calibri" w:cs="Calibri"/>
        </w:rPr>
        <w:t xml:space="preserve"> </w:t>
      </w:r>
      <w:r>
        <w:rPr>
          <w:rFonts w:ascii="Calibri" w:eastAsia="Calibri" w:hAnsi="Calibri" w:cs="Calibri"/>
        </w:rPr>
        <w:t>%, los cuales son producto de operaciones como dividendos y utilidades de entidades como el Banco de la República, así como de Empresas Industriales y Comerciales del Estado societarias, entre otro tipo de operaciones contables.</w:t>
      </w:r>
    </w:p>
    <w:p w:rsidR="00E7531D" w:rsidRDefault="00F564A6">
      <w:pPr>
        <w:pBdr>
          <w:top w:val="nil"/>
          <w:left w:val="nil"/>
          <w:bottom w:val="nil"/>
          <w:right w:val="nil"/>
          <w:between w:val="nil"/>
        </w:pBdr>
        <w:spacing w:after="160" w:line="259" w:lineRule="auto"/>
        <w:jc w:val="both"/>
        <w:rPr>
          <w:rFonts w:ascii="Calibri" w:eastAsia="Calibri" w:hAnsi="Calibri" w:cs="Calibri"/>
        </w:rPr>
      </w:pPr>
      <w:r>
        <w:rPr>
          <w:rFonts w:ascii="Calibri" w:eastAsia="Calibri" w:hAnsi="Calibri" w:cs="Calibri"/>
        </w:rPr>
        <w:t>Los gastos de funcionamiento dentro de los recursos del PGN se distribuyen a través de las siguientes líneas: a) gastos para adquisición de bienes y servicios, a través de la cual se destinan recursos para la adquisición de activos no financieros y de diferentes activos como materiales y suministros, servicios, gastos imprevistos y gastos reservados; b) gastos de personal, a través de la cual se financia lo correspondiente a salarios, contribuciones relacionadas con nómina c) transferencias corrientes d) transferencias de capital e) faros de comercialización y producción; f) adquisición de activos financieros g) disminución de pasivos h) gastos por tributos. Para 2024 el presupuesto de Funcionamiento se ubicó en $308,2 billones correspondiente al 61,3</w:t>
      </w:r>
      <w:r w:rsidR="00BF664B">
        <w:rPr>
          <w:rFonts w:ascii="Calibri" w:eastAsia="Calibri" w:hAnsi="Calibri" w:cs="Calibri"/>
        </w:rPr>
        <w:t xml:space="preserve"> </w:t>
      </w:r>
      <w:r>
        <w:rPr>
          <w:rFonts w:ascii="Calibri" w:eastAsia="Calibri" w:hAnsi="Calibri" w:cs="Calibri"/>
        </w:rPr>
        <w:t>% del PGN 2024, donde Gastos de Personal se estima en $55 billones y Adquisición de Bienes y Servicios en $13,7 billones (Ver Cuadro 7).</w:t>
      </w:r>
    </w:p>
    <w:p w:rsidR="00F564A6" w:rsidRDefault="00F564A6">
      <w:pPr>
        <w:pBdr>
          <w:top w:val="nil"/>
          <w:left w:val="nil"/>
          <w:bottom w:val="nil"/>
          <w:right w:val="nil"/>
          <w:between w:val="nil"/>
        </w:pBdr>
        <w:spacing w:after="160" w:line="259" w:lineRule="auto"/>
        <w:rPr>
          <w:rFonts w:ascii="Calibri" w:eastAsia="Calibri" w:hAnsi="Calibri" w:cs="Calibri"/>
          <w:b/>
        </w:rPr>
      </w:pPr>
      <w:r>
        <w:rPr>
          <w:rFonts w:ascii="Calibri" w:eastAsia="Calibri" w:hAnsi="Calibri" w:cs="Calibri"/>
          <w:b/>
        </w:rPr>
        <w:t>Cuadro 7. PGN 2024 Principales cuentas del gasto (Datos en miles de millones de pesos)</w:t>
      </w:r>
      <w:r>
        <w:rPr>
          <w:rFonts w:ascii="Calibri" w:eastAsia="Calibri" w:hAnsi="Calibri" w:cs="Calibri"/>
          <w:noProof/>
          <w:lang w:eastAsia="es-CO"/>
        </w:rPr>
        <w:drawing>
          <wp:inline distT="114300" distB="114300" distL="114300" distR="114300">
            <wp:extent cx="5676900" cy="3114675"/>
            <wp:effectExtent l="0" t="0" r="0" b="9525"/>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677199" cy="3114839"/>
                    </a:xfrm>
                    <a:prstGeom prst="rect">
                      <a:avLst/>
                    </a:prstGeom>
                    <a:ln/>
                  </pic:spPr>
                </pic:pic>
              </a:graphicData>
            </a:graphic>
          </wp:inline>
        </w:drawing>
      </w:r>
    </w:p>
    <w:p w:rsidR="00E7531D" w:rsidRDefault="00F564A6" w:rsidP="00F564A6">
      <w:pPr>
        <w:pBdr>
          <w:top w:val="nil"/>
          <w:left w:val="nil"/>
          <w:bottom w:val="nil"/>
          <w:right w:val="nil"/>
          <w:between w:val="nil"/>
        </w:pBdr>
        <w:spacing w:after="160" w:line="259" w:lineRule="auto"/>
        <w:rPr>
          <w:rFonts w:ascii="Calibri" w:eastAsia="Calibri" w:hAnsi="Calibri" w:cs="Calibri"/>
        </w:rPr>
      </w:pPr>
      <w:r>
        <w:rPr>
          <w:rFonts w:ascii="Calibri" w:eastAsia="Calibri" w:hAnsi="Calibri" w:cs="Calibri"/>
          <w:i/>
          <w:sz w:val="16"/>
          <w:szCs w:val="16"/>
        </w:rPr>
        <w:lastRenderedPageBreak/>
        <w:t xml:space="preserve">Fuente: Tomado de Presentación de Ricardo Bonilla, Ministro de Hacienda, en el trámite legislativo del PGN 2024. </w:t>
      </w:r>
    </w:p>
    <w:p w:rsidR="00E7531D" w:rsidRDefault="00F564A6">
      <w:pPr>
        <w:spacing w:after="160" w:line="259" w:lineRule="auto"/>
        <w:jc w:val="both"/>
        <w:rPr>
          <w:rFonts w:ascii="Calibri" w:eastAsia="Calibri" w:hAnsi="Calibri" w:cs="Calibri"/>
        </w:rPr>
      </w:pPr>
      <w:r>
        <w:rPr>
          <w:rFonts w:ascii="Calibri" w:eastAsia="Calibri" w:hAnsi="Calibri" w:cs="Calibri"/>
        </w:rPr>
        <w:t>Los gastos de funcionamiento desde el 2017 han representado alrededor del 60</w:t>
      </w:r>
      <w:r w:rsidR="00BF664B">
        <w:rPr>
          <w:rFonts w:ascii="Calibri" w:eastAsia="Calibri" w:hAnsi="Calibri" w:cs="Calibri"/>
        </w:rPr>
        <w:t xml:space="preserve"> </w:t>
      </w:r>
      <w:r>
        <w:rPr>
          <w:rFonts w:ascii="Calibri" w:eastAsia="Calibri" w:hAnsi="Calibri" w:cs="Calibri"/>
        </w:rPr>
        <w:t>% del presupuesto, sin embargo, las desagregaciones ampliadas de los gastos de funcionamiento se tienen desde el 2019. En una perspectiva temporal, la mayoría de rubros han tenido una reducción, por ejemplo, de Adquisición de bienes y servicios pasó de representar el 6,2</w:t>
      </w:r>
      <w:r w:rsidR="00BF664B">
        <w:rPr>
          <w:rFonts w:ascii="Calibri" w:eastAsia="Calibri" w:hAnsi="Calibri" w:cs="Calibri"/>
        </w:rPr>
        <w:t xml:space="preserve"> </w:t>
      </w:r>
      <w:r>
        <w:rPr>
          <w:rFonts w:ascii="Calibri" w:eastAsia="Calibri" w:hAnsi="Calibri" w:cs="Calibri"/>
        </w:rPr>
        <w:t>% en 2019 a representar 4,6</w:t>
      </w:r>
      <w:r w:rsidR="00BF664B">
        <w:rPr>
          <w:rFonts w:ascii="Calibri" w:eastAsia="Calibri" w:hAnsi="Calibri" w:cs="Calibri"/>
        </w:rPr>
        <w:t xml:space="preserve"> </w:t>
      </w:r>
      <w:r>
        <w:rPr>
          <w:rFonts w:ascii="Calibri" w:eastAsia="Calibri" w:hAnsi="Calibri" w:cs="Calibri"/>
        </w:rPr>
        <w:t>% en 2024; a excepción del rubro Transferencias, el cual ha tenido un crecimiento del 72,2</w:t>
      </w:r>
      <w:r w:rsidR="00BF664B">
        <w:rPr>
          <w:rFonts w:ascii="Calibri" w:eastAsia="Calibri" w:hAnsi="Calibri" w:cs="Calibri"/>
        </w:rPr>
        <w:t xml:space="preserve"> </w:t>
      </w:r>
      <w:r>
        <w:rPr>
          <w:rFonts w:ascii="Calibri" w:eastAsia="Calibri" w:hAnsi="Calibri" w:cs="Calibri"/>
        </w:rPr>
        <w:t>% en 2019 al 76,2</w:t>
      </w:r>
      <w:r w:rsidR="00BF664B">
        <w:rPr>
          <w:rFonts w:ascii="Calibri" w:eastAsia="Calibri" w:hAnsi="Calibri" w:cs="Calibri"/>
        </w:rPr>
        <w:t xml:space="preserve"> </w:t>
      </w:r>
      <w:r>
        <w:rPr>
          <w:rFonts w:ascii="Calibri" w:eastAsia="Calibri" w:hAnsi="Calibri" w:cs="Calibri"/>
        </w:rPr>
        <w:t>% en 2024.</w:t>
      </w:r>
    </w:p>
    <w:p w:rsidR="00E7531D" w:rsidRDefault="00F564A6">
      <w:pPr>
        <w:spacing w:after="160" w:line="259" w:lineRule="auto"/>
        <w:jc w:val="center"/>
        <w:rPr>
          <w:rFonts w:ascii="Calibri" w:eastAsia="Calibri" w:hAnsi="Calibri" w:cs="Calibri"/>
        </w:rPr>
      </w:pPr>
      <w:r>
        <w:rPr>
          <w:rFonts w:ascii="Calibri" w:eastAsia="Calibri" w:hAnsi="Calibri" w:cs="Calibri"/>
          <w:b/>
        </w:rPr>
        <w:t xml:space="preserve">Cuadro 8. Apropiaciones Presupuesto General de la Nación-PGN- 2000 - 2018 discriminado por concepto </w:t>
      </w:r>
    </w:p>
    <w:p w:rsidR="00E7531D" w:rsidRDefault="00F564A6">
      <w:pPr>
        <w:ind w:hanging="637"/>
        <w:jc w:val="both"/>
        <w:rPr>
          <w:rFonts w:ascii="Calibri" w:eastAsia="Calibri" w:hAnsi="Calibri" w:cs="Calibri"/>
        </w:rPr>
      </w:pPr>
      <w:r>
        <w:rPr>
          <w:rFonts w:ascii="Calibri" w:eastAsia="Calibri" w:hAnsi="Calibri" w:cs="Calibri"/>
          <w:noProof/>
          <w:lang w:eastAsia="es-CO"/>
        </w:rPr>
        <w:drawing>
          <wp:inline distT="114300" distB="114300" distL="114300" distR="114300">
            <wp:extent cx="6724650" cy="1362075"/>
            <wp:effectExtent l="0" t="0" r="0" b="9525"/>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725445" cy="1362236"/>
                    </a:xfrm>
                    <a:prstGeom prst="rect">
                      <a:avLst/>
                    </a:prstGeom>
                    <a:ln/>
                  </pic:spPr>
                </pic:pic>
              </a:graphicData>
            </a:graphic>
          </wp:inline>
        </w:drawing>
      </w:r>
    </w:p>
    <w:p w:rsidR="00E7531D" w:rsidRDefault="00F564A6">
      <w:pPr>
        <w:jc w:val="both"/>
        <w:rPr>
          <w:rFonts w:ascii="Calibri" w:eastAsia="Calibri" w:hAnsi="Calibri" w:cs="Calibri"/>
        </w:rPr>
      </w:pPr>
      <w:r>
        <w:rPr>
          <w:rFonts w:ascii="Calibri" w:eastAsia="Calibri" w:hAnsi="Calibri" w:cs="Calibri"/>
          <w:i/>
          <w:sz w:val="16"/>
          <w:szCs w:val="16"/>
        </w:rPr>
        <w:t xml:space="preserve">Fuente: Elaboración propia, tomado de Dirección General del Presupuesto Público Nacional - Subdirección de Análisis y Consolidación Presupuestal </w:t>
      </w:r>
      <w:r>
        <w:rPr>
          <w:rFonts w:ascii="Calibri" w:eastAsia="Calibri" w:hAnsi="Calibri" w:cs="Calibri"/>
          <w:sz w:val="16"/>
          <w:szCs w:val="16"/>
        </w:rPr>
        <w:t xml:space="preserve">(MinHacienda, 2024c)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Los gastos de personal en las últimas dos décadas han representado en promedio el 20</w:t>
      </w:r>
      <w:r w:rsidR="00BF664B">
        <w:rPr>
          <w:rFonts w:ascii="Calibri" w:eastAsia="Calibri" w:hAnsi="Calibri" w:cs="Calibri"/>
        </w:rPr>
        <w:t xml:space="preserve"> </w:t>
      </w:r>
      <w:r>
        <w:rPr>
          <w:rFonts w:ascii="Calibri" w:eastAsia="Calibri" w:hAnsi="Calibri" w:cs="Calibri"/>
        </w:rPr>
        <w:t>% del PGN, donde se han tenido variaciones, por ejemplo, la menor participación fue en 2020 con 15,6</w:t>
      </w:r>
      <w:r w:rsidR="00BF664B">
        <w:rPr>
          <w:rFonts w:ascii="Calibri" w:eastAsia="Calibri" w:hAnsi="Calibri" w:cs="Calibri"/>
        </w:rPr>
        <w:t xml:space="preserve"> </w:t>
      </w:r>
      <w:r>
        <w:rPr>
          <w:rFonts w:ascii="Calibri" w:eastAsia="Calibri" w:hAnsi="Calibri" w:cs="Calibri"/>
        </w:rPr>
        <w:t>% y la mayor participación fue en el año 2000 con 24</w:t>
      </w:r>
      <w:r w:rsidR="00BF664B">
        <w:rPr>
          <w:rFonts w:ascii="Calibri" w:eastAsia="Calibri" w:hAnsi="Calibri" w:cs="Calibri"/>
        </w:rPr>
        <w:t xml:space="preserve"> </w:t>
      </w:r>
      <w:r>
        <w:rPr>
          <w:rFonts w:ascii="Calibri" w:eastAsia="Calibri" w:hAnsi="Calibri" w:cs="Calibri"/>
        </w:rPr>
        <w:t>%. El Observatorio Fiscal de la Pontificia Universidad Javeriana (2023) presentó el top de las 10 entidades del Estado con mayores salarios para sus directivos en 2023, dentro de las que se encuentra el Fondo de Adaptación, cuya gerencia tiene una remuneración mensua</w:t>
      </w:r>
      <w:r w:rsidR="00311D79">
        <w:rPr>
          <w:rFonts w:ascii="Calibri" w:eastAsia="Calibri" w:hAnsi="Calibri" w:cs="Calibri"/>
        </w:rPr>
        <w:t>l cercana a los $79.202.150;</w:t>
      </w:r>
      <w:r>
        <w:rPr>
          <w:rFonts w:ascii="Calibri" w:eastAsia="Calibri" w:hAnsi="Calibri" w:cs="Calibri"/>
        </w:rPr>
        <w:t xml:space="preserve"> Agencia Nacional de Hidrocarburos - ANH, cuya presidencia tiene una asignación mensual de $ 76.656.591; la Agencia Nacional Inmobiliaria Virgilio Barco Vargas, cuya dirección tiene una remuneración mensual de $ 76.156.223; el Consejo de Estado, la Corte Suprema de Justicia y la Corte Constitucional, en donde los y las magistradas tienen una asignación mensual de $ 61.924.444; la Jurisdicción Especial para la Paz, con una remuneración mensual de $ 61.737.805 para sus magistrados y magistradas; la Superintendencia de Sociedades, cuyo Superintendente devenga mensualmente $ 55.946.665 y, la Dirección Nacional del Derecho de Autor, cuya dirección tiene una remuneración mensual de $ 49.323.108.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El cálculo de estos valores, realizado por el Observatorio Fiscal, incluyó todos los ingresos recibidos por conceptos asociados a la nómina, como primas, salud y pensión, gastos de representación en los casos que aplica, etc.; sin embargo, estos valores no incluyen por </w:t>
      </w:r>
      <w:r>
        <w:rPr>
          <w:rFonts w:ascii="Calibri" w:eastAsia="Calibri" w:hAnsi="Calibri" w:cs="Calibri"/>
        </w:rPr>
        <w:lastRenderedPageBreak/>
        <w:t>supuesto rubros adicionales que reciben estos funcionarios a través del pago de viáticos por comisiones de servicios, pago de transporte oficial, planes de telefonía celular, tiquetes aéreos, muchas veces en clase ejecutiva, entre otros que, al ser sumados, elevarían significativamente el monto del Presupuesto Nacional que se destina mensualmente para los mismos.</w:t>
      </w:r>
      <w:r w:rsidR="00311D79">
        <w:rPr>
          <w:rFonts w:ascii="Calibri" w:eastAsia="Calibri" w:hAnsi="Calibri" w:cs="Calibri"/>
        </w:rPr>
        <w:t xml:space="preserve"> </w:t>
      </w:r>
      <w:r>
        <w:rPr>
          <w:rFonts w:ascii="Calibri" w:eastAsia="Calibri" w:hAnsi="Calibri" w:cs="Calibri"/>
        </w:rPr>
        <w:t xml:space="preserve">En el caso de las y los congresistas en Colombia se tiene que su salario es en la actualidad uno de los más elevados del mundo, comparado en moneda internacional dólar, tal y como se observa en la gráfica 3. </w:t>
      </w:r>
    </w:p>
    <w:p w:rsidR="00311D79" w:rsidRDefault="00311D79">
      <w:pPr>
        <w:jc w:val="both"/>
        <w:rPr>
          <w:rFonts w:ascii="Calibri" w:eastAsia="Calibri" w:hAnsi="Calibri" w:cs="Calibri"/>
        </w:rPr>
      </w:pPr>
    </w:p>
    <w:p w:rsidR="00E7531D" w:rsidRDefault="00F564A6">
      <w:pPr>
        <w:jc w:val="center"/>
        <w:rPr>
          <w:rFonts w:ascii="Calibri" w:eastAsia="Calibri" w:hAnsi="Calibri" w:cs="Calibri"/>
        </w:rPr>
      </w:pPr>
      <w:r>
        <w:rPr>
          <w:rFonts w:ascii="Calibri" w:eastAsia="Calibri" w:hAnsi="Calibri" w:cs="Calibri"/>
          <w:b/>
        </w:rPr>
        <w:t>Gráfica 3. Salario mensual de congresistas en dólares para el año 2024</w:t>
      </w:r>
    </w:p>
    <w:p w:rsidR="00E7531D" w:rsidRDefault="00F564A6">
      <w:pPr>
        <w:jc w:val="center"/>
        <w:rPr>
          <w:rFonts w:ascii="Calibri" w:eastAsia="Calibri" w:hAnsi="Calibri" w:cs="Calibri"/>
        </w:rPr>
      </w:pPr>
      <w:r>
        <w:rPr>
          <w:rFonts w:ascii="Calibri" w:eastAsia="Calibri" w:hAnsi="Calibri" w:cs="Calibri"/>
          <w:noProof/>
          <w:lang w:eastAsia="es-CO"/>
        </w:rPr>
        <w:drawing>
          <wp:inline distT="114300" distB="114300" distL="114300" distR="114300">
            <wp:extent cx="5724525" cy="2943225"/>
            <wp:effectExtent l="0" t="0" r="9525" b="9525"/>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724860" cy="2943397"/>
                    </a:xfrm>
                    <a:prstGeom prst="rect">
                      <a:avLst/>
                    </a:prstGeom>
                    <a:ln/>
                  </pic:spPr>
                </pic:pic>
              </a:graphicData>
            </a:graphic>
          </wp:inline>
        </w:drawing>
      </w:r>
    </w:p>
    <w:p w:rsidR="00E7531D" w:rsidRDefault="00F564A6">
      <w:pPr>
        <w:jc w:val="both"/>
        <w:rPr>
          <w:rFonts w:ascii="Calibri" w:eastAsia="Calibri" w:hAnsi="Calibri" w:cs="Calibri"/>
          <w:color w:val="FF0000"/>
          <w:highlight w:val="yellow"/>
        </w:rPr>
      </w:pPr>
      <w:r>
        <w:rPr>
          <w:rFonts w:ascii="Calibri" w:eastAsia="Calibri" w:hAnsi="Calibri" w:cs="Calibri"/>
          <w:i/>
          <w:sz w:val="16"/>
          <w:szCs w:val="16"/>
        </w:rPr>
        <w:t>Fuente: Elaboración propia con base en los salarios de congresistas para el año 2024 y con tasa de cambio de referencia el día 22 de julio de 2024</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Además de los altos salarios, existe un conjunto de gastos de funcionamiento de las entidades públicas, en los que precisamente sus directivos son los principales destinatarios de los mismos. Estos recursos aumentan significativamente el monto destinado a gastos de funcionamiento del Estado, sin que ello tenga un impacto directo en el cumplimiento de la misionalidad de la entidad, lo que significa que es posible realizar un ajuste a los mismos sin que ello redunde en el desmejoramiento de condiciones dignas de trabajo ni en afectaciones en el componente misional a cargo de la entidad. A continuación, se presentan un conjunto de gastos identificados:</w:t>
      </w:r>
    </w:p>
    <w:p w:rsidR="00E7531D" w:rsidRDefault="00E7531D">
      <w:pPr>
        <w:jc w:val="both"/>
        <w:rPr>
          <w:rFonts w:ascii="Calibri" w:eastAsia="Calibri" w:hAnsi="Calibri" w:cs="Calibri"/>
        </w:rPr>
      </w:pPr>
    </w:p>
    <w:p w:rsidR="00E7531D" w:rsidRDefault="00F564A6">
      <w:pPr>
        <w:numPr>
          <w:ilvl w:val="0"/>
          <w:numId w:val="12"/>
        </w:numPr>
        <w:jc w:val="both"/>
        <w:rPr>
          <w:rFonts w:ascii="Calibri" w:eastAsia="Calibri" w:hAnsi="Calibri" w:cs="Calibri"/>
        </w:rPr>
      </w:pPr>
      <w:r>
        <w:rPr>
          <w:rFonts w:ascii="Calibri" w:eastAsia="Calibri" w:hAnsi="Calibri" w:cs="Calibri"/>
          <w:b/>
        </w:rPr>
        <w:t>Cálculo de viáticos: “</w:t>
      </w:r>
      <w:r>
        <w:rPr>
          <w:rFonts w:ascii="Calibri" w:eastAsia="Calibri" w:hAnsi="Calibri" w:cs="Calibri"/>
          <w:i/>
          <w:color w:val="333333"/>
          <w:highlight w:val="white"/>
        </w:rPr>
        <w:t xml:space="preserve">El reconocimiento y pago de viáticos es un derecho de los servidores que prestan sus servicios en un lugar diferente a su sede habitual de trabajo, cuya razón de ser es solventar los gastos adicionales en que incurre el </w:t>
      </w:r>
      <w:r>
        <w:rPr>
          <w:rFonts w:ascii="Calibri" w:eastAsia="Calibri" w:hAnsi="Calibri" w:cs="Calibri"/>
          <w:i/>
          <w:color w:val="333333"/>
          <w:highlight w:val="white"/>
        </w:rPr>
        <w:lastRenderedPageBreak/>
        <w:t>comisionado por concepto de alojamiento, alimentación y transporte, y que no debe asumir de su propio peculio”</w:t>
      </w:r>
      <w:r>
        <w:rPr>
          <w:rFonts w:ascii="Calibri" w:eastAsia="Calibri" w:hAnsi="Calibri" w:cs="Calibri"/>
          <w:b/>
          <w:color w:val="333333"/>
          <w:highlight w:val="white"/>
          <w:vertAlign w:val="superscript"/>
        </w:rPr>
        <w:footnoteReference w:id="6"/>
      </w:r>
      <w:r>
        <w:rPr>
          <w:rFonts w:ascii="Calibri" w:eastAsia="Calibri" w:hAnsi="Calibri" w:cs="Calibri"/>
          <w:b/>
          <w:color w:val="333333"/>
          <w:highlight w:val="white"/>
        </w:rPr>
        <w:t>.</w:t>
      </w:r>
    </w:p>
    <w:p w:rsidR="00E7531D" w:rsidRDefault="00E7531D">
      <w:pPr>
        <w:ind w:left="720"/>
        <w:jc w:val="both"/>
        <w:rPr>
          <w:rFonts w:ascii="Calibri" w:eastAsia="Calibri" w:hAnsi="Calibri" w:cs="Calibri"/>
          <w:b/>
          <w:color w:val="333333"/>
          <w:highlight w:val="white"/>
        </w:rPr>
      </w:pPr>
    </w:p>
    <w:p w:rsidR="00E7531D" w:rsidRDefault="00F564A6">
      <w:pPr>
        <w:ind w:left="720"/>
        <w:jc w:val="both"/>
        <w:rPr>
          <w:rFonts w:ascii="Calibri" w:eastAsia="Calibri" w:hAnsi="Calibri" w:cs="Calibri"/>
          <w:color w:val="333333"/>
          <w:highlight w:val="white"/>
        </w:rPr>
      </w:pPr>
      <w:r>
        <w:rPr>
          <w:rFonts w:ascii="Calibri" w:eastAsia="Calibri" w:hAnsi="Calibri" w:cs="Calibri"/>
          <w:color w:val="333333"/>
          <w:highlight w:val="white"/>
        </w:rPr>
        <w:t>La Ley 4 de 1992, “</w:t>
      </w:r>
      <w:r>
        <w:rPr>
          <w:rFonts w:ascii="Calibri" w:eastAsia="Calibri" w:hAnsi="Calibri" w:cs="Calibri"/>
          <w:i/>
          <w:color w:val="333333"/>
          <w:highlight w:val="white"/>
        </w:rPr>
        <w:t>Mediante la cual se señalan las normas, objetivos y criterios que debe observar el Gobierno Nacional para la fijación del régimen salarial y prestacional de los empleados públicos, de los miembros del Congreso Nacional y de la Fuerza Pública y para la fijación de las prestaciones sociales de los Trabajadores Oficiales y se dictan otras disposiciones, de conformidad con lo establecido en el artículo 150, numeral 19, literales e) y f) de la Constitución Política</w:t>
      </w:r>
      <w:r>
        <w:rPr>
          <w:rFonts w:ascii="Calibri" w:eastAsia="Calibri" w:hAnsi="Calibri" w:cs="Calibri"/>
          <w:color w:val="333333"/>
          <w:highlight w:val="white"/>
        </w:rPr>
        <w:t>”, definió:</w:t>
      </w:r>
    </w:p>
    <w:p w:rsidR="00E7531D" w:rsidRDefault="00E7531D">
      <w:pPr>
        <w:ind w:left="720"/>
        <w:jc w:val="both"/>
        <w:rPr>
          <w:rFonts w:ascii="Calibri" w:eastAsia="Calibri" w:hAnsi="Calibri" w:cs="Calibri"/>
          <w:b/>
          <w:i/>
          <w:color w:val="333333"/>
          <w:highlight w:val="white"/>
        </w:rPr>
      </w:pPr>
    </w:p>
    <w:p w:rsidR="00E7531D" w:rsidRDefault="00F564A6">
      <w:pPr>
        <w:shd w:val="clear" w:color="auto" w:fill="FFFFFF"/>
        <w:spacing w:before="240" w:after="240"/>
        <w:ind w:left="1440"/>
        <w:jc w:val="both"/>
        <w:rPr>
          <w:rFonts w:ascii="Calibri" w:eastAsia="Calibri" w:hAnsi="Calibri" w:cs="Calibri"/>
          <w:i/>
          <w:color w:val="333333"/>
          <w:sz w:val="22"/>
          <w:szCs w:val="22"/>
          <w:highlight w:val="white"/>
        </w:rPr>
      </w:pPr>
      <w:r>
        <w:rPr>
          <w:rFonts w:ascii="Calibri" w:eastAsia="Calibri" w:hAnsi="Calibri" w:cs="Calibri"/>
          <w:i/>
          <w:color w:val="333333"/>
          <w:sz w:val="22"/>
          <w:szCs w:val="22"/>
          <w:highlight w:val="white"/>
        </w:rPr>
        <w:t xml:space="preserve">“ARTÍCULO 4. Con base en los criterios y objetivos contenidos en el artículo 2 el Gobierno Nacional, </w:t>
      </w:r>
      <w:r>
        <w:rPr>
          <w:rFonts w:ascii="Calibri" w:eastAsia="Calibri" w:hAnsi="Calibri" w:cs="Calibri"/>
          <w:i/>
          <w:color w:val="333333"/>
          <w:sz w:val="22"/>
          <w:szCs w:val="22"/>
          <w:highlight w:val="white"/>
          <w:u w:val="single"/>
        </w:rPr>
        <w:t>dentro de los primeros diez días del mes de enero</w:t>
      </w:r>
      <w:r>
        <w:rPr>
          <w:rFonts w:ascii="Calibri" w:eastAsia="Calibri" w:hAnsi="Calibri" w:cs="Calibri"/>
          <w:i/>
          <w:color w:val="333333"/>
          <w:sz w:val="22"/>
          <w:szCs w:val="22"/>
          <w:highlight w:val="white"/>
        </w:rPr>
        <w:t xml:space="preserve"> de cada año, modificará el sistema salarial correspondiente a los empleados enumerados en el artículo 1 literal a), b) y d), aumentando sus remuneraciones.</w:t>
      </w:r>
    </w:p>
    <w:p w:rsidR="00E7531D" w:rsidRDefault="00F564A6">
      <w:pPr>
        <w:shd w:val="clear" w:color="auto" w:fill="FFFFFF"/>
        <w:spacing w:before="240" w:after="240"/>
        <w:ind w:left="1440"/>
        <w:jc w:val="both"/>
        <w:rPr>
          <w:rFonts w:ascii="Calibri" w:eastAsia="Calibri" w:hAnsi="Calibri" w:cs="Calibri"/>
          <w:i/>
          <w:color w:val="333333"/>
          <w:sz w:val="22"/>
          <w:szCs w:val="22"/>
          <w:highlight w:val="white"/>
        </w:rPr>
      </w:pPr>
      <w:r>
        <w:rPr>
          <w:rFonts w:ascii="Calibri" w:eastAsia="Calibri" w:hAnsi="Calibri" w:cs="Calibri"/>
          <w:i/>
          <w:color w:val="333333"/>
          <w:sz w:val="22"/>
          <w:szCs w:val="22"/>
          <w:highlight w:val="white"/>
        </w:rPr>
        <w:t>Igualmente, el Gobierno Nacional podrá modificar el régimen de viáticos, gastos de representación y comisiones de los mismos empleados.</w:t>
      </w:r>
    </w:p>
    <w:p w:rsidR="00E7531D" w:rsidRDefault="00F564A6">
      <w:pPr>
        <w:shd w:val="clear" w:color="auto" w:fill="FFFFFF"/>
        <w:spacing w:before="240" w:after="240"/>
        <w:ind w:left="1440"/>
        <w:jc w:val="both"/>
        <w:rPr>
          <w:rFonts w:ascii="Calibri" w:eastAsia="Calibri" w:hAnsi="Calibri" w:cs="Calibri"/>
          <w:i/>
          <w:color w:val="333333"/>
          <w:sz w:val="22"/>
          <w:szCs w:val="22"/>
          <w:highlight w:val="white"/>
          <w:u w:val="single"/>
        </w:rPr>
      </w:pPr>
      <w:r>
        <w:rPr>
          <w:rFonts w:ascii="Calibri" w:eastAsia="Calibri" w:hAnsi="Calibri" w:cs="Calibri"/>
          <w:i/>
          <w:color w:val="333333"/>
          <w:sz w:val="22"/>
          <w:szCs w:val="22"/>
          <w:highlight w:val="white"/>
          <w:u w:val="single"/>
        </w:rPr>
        <w:t xml:space="preserve">Los aumentos que decrete el Gobierno Nacional conforme a este artículo, producirán efectos fiscales a partir del primero de enero del año respectivo”. </w:t>
      </w:r>
    </w:p>
    <w:p w:rsidR="00E7531D" w:rsidRDefault="00F564A6">
      <w:pPr>
        <w:shd w:val="clear" w:color="auto" w:fill="FFFFFF"/>
        <w:spacing w:before="240" w:after="240"/>
        <w:ind w:left="720"/>
        <w:jc w:val="both"/>
        <w:rPr>
          <w:rFonts w:ascii="Calibri" w:eastAsia="Calibri" w:hAnsi="Calibri" w:cs="Calibri"/>
          <w:color w:val="333333"/>
          <w:highlight w:val="white"/>
        </w:rPr>
      </w:pPr>
      <w:r>
        <w:rPr>
          <w:rFonts w:ascii="Calibri" w:eastAsia="Calibri" w:hAnsi="Calibri" w:cs="Calibri"/>
          <w:color w:val="333333"/>
          <w:highlight w:val="white"/>
        </w:rPr>
        <w:t>De acuerdo con lo establecido, ello aplica para:</w:t>
      </w:r>
    </w:p>
    <w:p w:rsidR="00E7531D" w:rsidRDefault="00F564A6">
      <w:pPr>
        <w:shd w:val="clear" w:color="auto" w:fill="FFFFFF"/>
        <w:spacing w:before="240" w:after="240"/>
        <w:ind w:left="720"/>
        <w:jc w:val="both"/>
        <w:rPr>
          <w:rFonts w:ascii="Calibri" w:eastAsia="Calibri" w:hAnsi="Calibri" w:cs="Calibri"/>
          <w:color w:val="333333"/>
          <w:highlight w:val="white"/>
        </w:rPr>
      </w:pPr>
      <w:r>
        <w:rPr>
          <w:rFonts w:ascii="Calibri" w:eastAsia="Calibri" w:hAnsi="Calibri" w:cs="Calibri"/>
          <w:color w:val="333333"/>
          <w:highlight w:val="white"/>
        </w:rPr>
        <w:t>a. Los empleados públicos de la Rama Ejecutiva Nacional, cualquiera que sea su sector, denominación o régimen jurídico;</w:t>
      </w:r>
    </w:p>
    <w:p w:rsidR="00E7531D" w:rsidRDefault="00F564A6">
      <w:pPr>
        <w:shd w:val="clear" w:color="auto" w:fill="FFFFFF"/>
        <w:spacing w:before="240" w:after="240"/>
        <w:ind w:left="720"/>
        <w:jc w:val="both"/>
        <w:rPr>
          <w:rFonts w:ascii="Calibri" w:eastAsia="Calibri" w:hAnsi="Calibri" w:cs="Calibri"/>
          <w:color w:val="333333"/>
          <w:highlight w:val="white"/>
        </w:rPr>
      </w:pPr>
      <w:r>
        <w:rPr>
          <w:rFonts w:ascii="Calibri" w:eastAsia="Calibri" w:hAnsi="Calibri" w:cs="Calibri"/>
          <w:color w:val="333333"/>
          <w:highlight w:val="white"/>
        </w:rPr>
        <w:t xml:space="preserve">b. Los empleados del Congreso de la República, la Rama Judicial, </w:t>
      </w:r>
      <w:r>
        <w:rPr>
          <w:rFonts w:ascii="Calibri" w:eastAsia="Calibri" w:hAnsi="Calibri" w:cs="Calibri"/>
          <w:color w:val="333333"/>
          <w:highlight w:val="white"/>
          <w:u w:val="single"/>
        </w:rPr>
        <w:t>el Ministerio Público, la Fiscalía General de la Nación</w:t>
      </w:r>
      <w:r>
        <w:rPr>
          <w:rFonts w:ascii="Calibri" w:eastAsia="Calibri" w:hAnsi="Calibri" w:cs="Calibri"/>
          <w:color w:val="333333"/>
          <w:highlight w:val="white"/>
        </w:rPr>
        <w:t>, la Organización Electoral y la Contraloría General de la República;</w:t>
      </w:r>
    </w:p>
    <w:p w:rsidR="00E7531D" w:rsidRDefault="00F564A6">
      <w:pPr>
        <w:shd w:val="clear" w:color="auto" w:fill="FFFFFF"/>
        <w:spacing w:before="240" w:after="240"/>
        <w:ind w:left="720"/>
        <w:jc w:val="both"/>
        <w:rPr>
          <w:rFonts w:ascii="Calibri" w:eastAsia="Calibri" w:hAnsi="Calibri" w:cs="Calibri"/>
        </w:rPr>
      </w:pPr>
      <w:r>
        <w:rPr>
          <w:rFonts w:ascii="Calibri" w:eastAsia="Calibri" w:hAnsi="Calibri" w:cs="Calibri"/>
          <w:color w:val="333333"/>
          <w:highlight w:val="white"/>
        </w:rPr>
        <w:t>​​d.  Los miembros de la Fuerza Pública.</w:t>
      </w:r>
    </w:p>
    <w:p w:rsidR="00E7531D" w:rsidRDefault="00E7531D">
      <w:pPr>
        <w:ind w:left="720"/>
        <w:jc w:val="both"/>
        <w:rPr>
          <w:rFonts w:ascii="Calibri" w:eastAsia="Calibri" w:hAnsi="Calibri" w:cs="Calibri"/>
        </w:rPr>
      </w:pPr>
    </w:p>
    <w:p w:rsidR="00E7531D" w:rsidRDefault="00F564A6">
      <w:pPr>
        <w:ind w:left="720"/>
        <w:jc w:val="both"/>
        <w:rPr>
          <w:rFonts w:ascii="Calibri" w:eastAsia="Calibri" w:hAnsi="Calibri" w:cs="Calibri"/>
          <w:color w:val="333333"/>
          <w:highlight w:val="white"/>
        </w:rPr>
      </w:pPr>
      <w:r>
        <w:rPr>
          <w:rFonts w:ascii="Calibri" w:eastAsia="Calibri" w:hAnsi="Calibri" w:cs="Calibri"/>
        </w:rPr>
        <w:t xml:space="preserve">Por su parte, el </w:t>
      </w:r>
      <w:r>
        <w:rPr>
          <w:rFonts w:ascii="Calibri" w:eastAsia="Calibri" w:hAnsi="Calibri" w:cs="Calibri"/>
          <w:color w:val="333333"/>
          <w:highlight w:val="white"/>
        </w:rPr>
        <w:t>Decreto 1083 de 2015 “</w:t>
      </w:r>
      <w:r>
        <w:rPr>
          <w:rFonts w:ascii="Calibri" w:eastAsia="Calibri" w:hAnsi="Calibri" w:cs="Calibri"/>
          <w:i/>
          <w:color w:val="333333"/>
          <w:highlight w:val="white"/>
        </w:rPr>
        <w:t>Por medio del cual se expide el Decreto Único Reglamentario del Sector de Función Pública</w:t>
      </w:r>
      <w:r>
        <w:rPr>
          <w:rFonts w:ascii="Calibri" w:eastAsia="Calibri" w:hAnsi="Calibri" w:cs="Calibri"/>
          <w:color w:val="333333"/>
          <w:highlight w:val="white"/>
        </w:rPr>
        <w:t>”, definió en su artículo 2.2.5.5.27:</w:t>
      </w:r>
    </w:p>
    <w:p w:rsidR="00E7531D" w:rsidRDefault="00E7531D">
      <w:pPr>
        <w:ind w:left="720"/>
        <w:jc w:val="both"/>
        <w:rPr>
          <w:rFonts w:ascii="Calibri" w:eastAsia="Calibri" w:hAnsi="Calibri" w:cs="Calibri"/>
          <w:i/>
          <w:color w:val="333333"/>
          <w:highlight w:val="white"/>
        </w:rPr>
      </w:pPr>
    </w:p>
    <w:p w:rsidR="00E7531D" w:rsidRDefault="00F564A6">
      <w:pPr>
        <w:ind w:left="1440"/>
        <w:jc w:val="both"/>
        <w:rPr>
          <w:rFonts w:ascii="Calibri" w:eastAsia="Calibri" w:hAnsi="Calibri" w:cs="Calibri"/>
          <w:i/>
          <w:color w:val="333333"/>
          <w:highlight w:val="white"/>
        </w:rPr>
      </w:pPr>
      <w:r>
        <w:rPr>
          <w:rFonts w:ascii="Calibri" w:eastAsia="Calibri" w:hAnsi="Calibri" w:cs="Calibri"/>
          <w:i/>
          <w:color w:val="333333"/>
          <w:highlight w:val="white"/>
        </w:rPr>
        <w:lastRenderedPageBreak/>
        <w:t>“Derechos del empleado en comisión de servicios. El empleado en comisión de servicios en una sede diferente a la habitual tendrá derecho al reconocimiento de la remuneración mensual que corresponde al cargo que desempeña y al pago de viáticos y, además, a gastos de transporte, cuando estos últimos se causen fuera del perímetro urbano. El valor de los viáticos se establecerá de conformidad con los lineamientos y topes señalados en el decreto anual expedido por el Gobierno Nacional.</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Cuando la totalidad de los gastos que genere la comisión de servicios sean asumidos por otro organismo o entidad no habrá lugar al pago de viáticos y gastos de transporte. Tampoco habrá lugar a su pago cuando la comisión de servicios se confiera dentro de la misma ciudad.</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 xml:space="preserve">Si los gastos que genera la comisión son asumidos de forma parcial por otro organismo o entidad, únicamente se reconocerá la diferencia”. </w:t>
      </w:r>
    </w:p>
    <w:p w:rsidR="00E7531D" w:rsidRDefault="00F564A6">
      <w:pPr>
        <w:ind w:left="720"/>
        <w:jc w:val="both"/>
        <w:rPr>
          <w:rFonts w:ascii="Calibri" w:eastAsia="Calibri" w:hAnsi="Calibri" w:cs="Calibri"/>
          <w:color w:val="333333"/>
          <w:highlight w:val="white"/>
        </w:rPr>
      </w:pPr>
      <w:r>
        <w:rPr>
          <w:rFonts w:ascii="Calibri" w:eastAsia="Calibri" w:hAnsi="Calibri" w:cs="Calibri"/>
        </w:rPr>
        <w:t>Así las cosas, anualmente el Gobierno Nacional expide un Decreto en el que se fijan las escalas de viáticos. Actualmente, los Decretos 908 de 2023 (junio 2) y 303 de 2024 (marzo 5) “</w:t>
      </w:r>
      <w:r>
        <w:rPr>
          <w:rFonts w:ascii="Calibri" w:eastAsia="Calibri" w:hAnsi="Calibri" w:cs="Calibri"/>
          <w:i/>
          <w:color w:val="333333"/>
          <w:highlight w:val="white"/>
        </w:rPr>
        <w:t>Por el cual se fijan las escalas de viáticos</w:t>
      </w:r>
      <w:r>
        <w:rPr>
          <w:rFonts w:ascii="Calibri" w:eastAsia="Calibri" w:hAnsi="Calibri" w:cs="Calibri"/>
          <w:color w:val="333333"/>
          <w:highlight w:val="white"/>
        </w:rPr>
        <w:t>”, definió el rango de viáticos que deberá aplicarse a las comisiones que se adelanten dentro y fuera del país, siendo el monto mínimo diario de $136.975 para aquellos servidores que adelanten comisiones dentro del país y que devenguen hasta $1.510.229, mientras que el tope diario fue fijado en $1.039.425, para servidores con ingresos de más de $18.085.359.</w:t>
      </w:r>
    </w:p>
    <w:p w:rsidR="00E7531D" w:rsidRDefault="00E7531D">
      <w:pPr>
        <w:ind w:left="720"/>
        <w:jc w:val="both"/>
        <w:rPr>
          <w:rFonts w:ascii="Calibri" w:eastAsia="Calibri" w:hAnsi="Calibri" w:cs="Calibri"/>
          <w:color w:val="333333"/>
          <w:highlight w:val="white"/>
        </w:rPr>
      </w:pPr>
    </w:p>
    <w:p w:rsidR="00E7531D" w:rsidRDefault="00F564A6">
      <w:pPr>
        <w:ind w:left="720"/>
        <w:jc w:val="both"/>
        <w:rPr>
          <w:rFonts w:ascii="Calibri" w:eastAsia="Calibri" w:hAnsi="Calibri" w:cs="Calibri"/>
          <w:color w:val="333333"/>
          <w:highlight w:val="white"/>
        </w:rPr>
      </w:pPr>
      <w:r>
        <w:rPr>
          <w:rFonts w:ascii="Calibri" w:eastAsia="Calibri" w:hAnsi="Calibri" w:cs="Calibri"/>
          <w:color w:val="333333"/>
          <w:highlight w:val="white"/>
        </w:rPr>
        <w:t xml:space="preserve">Por su parte, el Decreto fijó el monto hasta 80 dólares americanos (en adelante, USD) diarios para servidores que adelanten comisiones de servicios hacia el exterior, en países de Centroamérica, el Caribe y Suramérica, excepto Brasil, Chile, Argentina y Puerto Rico, siempre que sus ingresos sean menores a $1.510.229; un monto de hasta 100 USD diarios, si los desplazamientos son hacia Estados Unidos, Canadá, Chile, Brasil, África y Puerto Rico, y un valor de hasta 140 USD diarios, si los desplazamientos son hacia Europa, Asia, Oceanía, México y Argentina. </w:t>
      </w:r>
    </w:p>
    <w:p w:rsidR="00E7531D" w:rsidRDefault="00E7531D">
      <w:pPr>
        <w:ind w:left="720"/>
        <w:jc w:val="both"/>
        <w:rPr>
          <w:rFonts w:ascii="Calibri" w:eastAsia="Calibri" w:hAnsi="Calibri" w:cs="Calibri"/>
          <w:color w:val="333333"/>
          <w:highlight w:val="white"/>
        </w:rPr>
      </w:pPr>
    </w:p>
    <w:p w:rsidR="00E7531D" w:rsidRDefault="00F564A6">
      <w:pPr>
        <w:ind w:left="720"/>
        <w:jc w:val="both"/>
        <w:rPr>
          <w:rFonts w:ascii="Calibri" w:eastAsia="Calibri" w:hAnsi="Calibri" w:cs="Calibri"/>
          <w:color w:val="333333"/>
          <w:highlight w:val="white"/>
        </w:rPr>
      </w:pPr>
      <w:r>
        <w:rPr>
          <w:rFonts w:ascii="Calibri" w:eastAsia="Calibri" w:hAnsi="Calibri" w:cs="Calibri"/>
          <w:color w:val="333333"/>
          <w:highlight w:val="white"/>
        </w:rPr>
        <w:t xml:space="preserve">En el mismo sentido, el tope fijado para este tipo de desplazamientos al exterior, respecto de aquellos servidores que devengan más de $18.085.359, se estableció en 440 USD diarios -si la comisión de servicios se adelanta en países de Centroamérica, el Caribe y Suramérica, excepto Brasil, Chile, Argentina y Puerto Rico-; y hasta 500 USD diarios, si los desplazamientos son hacia Estados Unidos, Canadá, Chile, Brasil, África y Puerto Rico, y un valor de hasta 640 USD diarios, si la comisión se adelanta en Europa, Asia, Oceanía, México y Argentina. </w:t>
      </w:r>
    </w:p>
    <w:p w:rsidR="00E7531D" w:rsidRDefault="00E7531D">
      <w:pPr>
        <w:ind w:left="720"/>
        <w:jc w:val="both"/>
        <w:rPr>
          <w:rFonts w:ascii="Calibri" w:eastAsia="Calibri" w:hAnsi="Calibri" w:cs="Calibri"/>
          <w:color w:val="333333"/>
          <w:highlight w:val="white"/>
        </w:rPr>
      </w:pPr>
    </w:p>
    <w:p w:rsidR="00E7531D" w:rsidRDefault="00F564A6">
      <w:pPr>
        <w:ind w:left="720"/>
        <w:jc w:val="both"/>
        <w:rPr>
          <w:rFonts w:ascii="Calibri" w:eastAsia="Calibri" w:hAnsi="Calibri" w:cs="Calibri"/>
        </w:rPr>
      </w:pPr>
      <w:r>
        <w:rPr>
          <w:rFonts w:ascii="Calibri" w:eastAsia="Calibri" w:hAnsi="Calibri" w:cs="Calibri"/>
          <w:color w:val="333333"/>
          <w:highlight w:val="white"/>
        </w:rPr>
        <w:lastRenderedPageBreak/>
        <w:t xml:space="preserve">No obstante, estos mínimos y topes fijados anualmente por el Gobierno Nacional, los organismos y entidades deben definir lo correspondiente para sus funcionarios, a través de Actos Administrativos, tal y como reza en el artículo 2 del precitado </w:t>
      </w:r>
      <w:r>
        <w:rPr>
          <w:rFonts w:ascii="Calibri" w:eastAsia="Calibri" w:hAnsi="Calibri" w:cs="Calibri"/>
        </w:rPr>
        <w:t>Decreto 908 de 2023:</w:t>
      </w:r>
    </w:p>
    <w:p w:rsidR="00E7531D" w:rsidRDefault="00E7531D">
      <w:pPr>
        <w:ind w:left="720"/>
        <w:jc w:val="both"/>
        <w:rPr>
          <w:rFonts w:ascii="Calibri" w:eastAsia="Calibri" w:hAnsi="Calibri" w:cs="Calibri"/>
        </w:rPr>
      </w:pPr>
    </w:p>
    <w:p w:rsidR="00E7531D" w:rsidRDefault="00F564A6">
      <w:pPr>
        <w:shd w:val="clear" w:color="auto" w:fill="FFFFFF"/>
        <w:spacing w:before="240" w:after="240"/>
        <w:ind w:left="1440"/>
        <w:jc w:val="both"/>
        <w:rPr>
          <w:rFonts w:ascii="Calibri" w:eastAsia="Calibri" w:hAnsi="Calibri" w:cs="Calibri"/>
          <w:i/>
          <w:color w:val="333333"/>
        </w:rPr>
      </w:pPr>
      <w:r>
        <w:rPr>
          <w:rFonts w:ascii="Calibri" w:eastAsia="Calibri" w:hAnsi="Calibri" w:cs="Calibri"/>
          <w:i/>
          <w:color w:val="333333"/>
        </w:rPr>
        <w:t>ARTÍCULO 2. Determinación del valor de viáticos. Los organismos y entidades fijarán el valor de los viáticos según la remuneración mensual del empleado comisionado, la naturaleza de los asuntos que le sean confiados y las condiciones de la comisión, teniendo en cuenta el costo de vida del lugar o sitio donde deba llevarse a cabo la labor, hasta por el valor máximo de las cantidades señaladas en el artículo anterior.</w:t>
      </w:r>
    </w:p>
    <w:p w:rsidR="00E7531D" w:rsidRDefault="00F564A6">
      <w:pPr>
        <w:shd w:val="clear" w:color="auto" w:fill="FFFFFF"/>
        <w:spacing w:before="240" w:after="240"/>
        <w:ind w:left="1440"/>
        <w:jc w:val="both"/>
        <w:rPr>
          <w:rFonts w:ascii="Calibri" w:eastAsia="Calibri" w:hAnsi="Calibri" w:cs="Calibri"/>
          <w:i/>
          <w:color w:val="333333"/>
        </w:rPr>
      </w:pPr>
      <w:r>
        <w:rPr>
          <w:rFonts w:ascii="Calibri" w:eastAsia="Calibri" w:hAnsi="Calibri" w:cs="Calibri"/>
          <w:i/>
          <w:color w:val="333333"/>
        </w:rPr>
        <w:t>Para determinar el valor de los viáticos se tendrá en cuenta la asignación básica mensual, los gastos de representación y los incrementos de salario por antigüedad.</w:t>
      </w:r>
    </w:p>
    <w:p w:rsidR="00E7531D" w:rsidRDefault="00F564A6">
      <w:pPr>
        <w:shd w:val="clear" w:color="auto" w:fill="FFFFFF"/>
        <w:spacing w:before="240" w:after="240"/>
        <w:ind w:left="1440"/>
        <w:jc w:val="both"/>
        <w:rPr>
          <w:rFonts w:ascii="Calibri" w:eastAsia="Calibri" w:hAnsi="Calibri" w:cs="Calibri"/>
          <w:i/>
          <w:color w:val="333333"/>
        </w:rPr>
      </w:pPr>
      <w:r>
        <w:rPr>
          <w:rFonts w:ascii="Calibri" w:eastAsia="Calibri" w:hAnsi="Calibri" w:cs="Calibri"/>
          <w:i/>
          <w:color w:val="333333"/>
        </w:rPr>
        <w:t>Cuando para el cumplimiento de las tareas asignadas no se requiera pernoctar en el lugar de la comisión, sólo se reconocerá hasta el cincuenta por ciento (50</w:t>
      </w:r>
      <w:r w:rsidR="00BF664B">
        <w:rPr>
          <w:rFonts w:ascii="Calibri" w:eastAsia="Calibri" w:hAnsi="Calibri" w:cs="Calibri"/>
          <w:i/>
          <w:color w:val="333333"/>
        </w:rPr>
        <w:t xml:space="preserve"> </w:t>
      </w:r>
      <w:r>
        <w:rPr>
          <w:rFonts w:ascii="Calibri" w:eastAsia="Calibri" w:hAnsi="Calibri" w:cs="Calibri"/>
          <w:i/>
          <w:color w:val="333333"/>
        </w:rPr>
        <w:t>%) del valor fijado.</w:t>
      </w:r>
    </w:p>
    <w:p w:rsidR="00E7531D" w:rsidRDefault="00E7531D">
      <w:pPr>
        <w:shd w:val="clear" w:color="auto" w:fill="FFFFFF"/>
        <w:spacing w:before="240" w:after="240"/>
        <w:ind w:left="1440"/>
        <w:jc w:val="both"/>
        <w:rPr>
          <w:rFonts w:ascii="Calibri" w:eastAsia="Calibri" w:hAnsi="Calibri" w:cs="Calibri"/>
          <w:i/>
          <w:color w:val="333333"/>
        </w:rPr>
      </w:pPr>
    </w:p>
    <w:p w:rsidR="00E7531D" w:rsidRDefault="00F564A6">
      <w:pPr>
        <w:shd w:val="clear" w:color="auto" w:fill="FFFFFF"/>
        <w:spacing w:before="240" w:after="240"/>
        <w:ind w:left="720"/>
        <w:jc w:val="both"/>
        <w:rPr>
          <w:rFonts w:ascii="Calibri" w:eastAsia="Calibri" w:hAnsi="Calibri" w:cs="Calibri"/>
          <w:i/>
          <w:color w:val="333333"/>
        </w:rPr>
      </w:pPr>
      <w:r>
        <w:rPr>
          <w:rFonts w:ascii="Calibri" w:eastAsia="Calibri" w:hAnsi="Calibri" w:cs="Calibri"/>
          <w:color w:val="333333"/>
        </w:rPr>
        <w:t>Ahora bien, el Decreto 199 de 2024</w:t>
      </w:r>
      <w:r>
        <w:rPr>
          <w:rFonts w:ascii="Calibri" w:eastAsia="Calibri" w:hAnsi="Calibri" w:cs="Calibri"/>
          <w:i/>
          <w:color w:val="333333"/>
        </w:rPr>
        <w:t xml:space="preserve"> “</w:t>
      </w:r>
      <w:r>
        <w:rPr>
          <w:rFonts w:ascii="Calibri" w:eastAsia="Calibri" w:hAnsi="Calibri" w:cs="Calibri"/>
          <w:i/>
          <w:color w:val="333333"/>
          <w:highlight w:val="white"/>
        </w:rPr>
        <w:t>Por el cual se establece el Plan de Austeridad del Gasto 2023 para los órganos que hacen parte del Presupuesto General de la Nación, estableció respecto a este asunto:</w:t>
      </w:r>
    </w:p>
    <w:p w:rsidR="00E7531D" w:rsidRDefault="00F564A6">
      <w:pPr>
        <w:shd w:val="clear" w:color="auto" w:fill="FFFFFF"/>
        <w:spacing w:before="240" w:after="240"/>
        <w:ind w:left="1440"/>
        <w:jc w:val="both"/>
        <w:rPr>
          <w:rFonts w:ascii="Calibri" w:eastAsia="Calibri" w:hAnsi="Calibri" w:cs="Calibri"/>
          <w:i/>
          <w:color w:val="333333"/>
        </w:rPr>
      </w:pPr>
      <w:r>
        <w:rPr>
          <w:rFonts w:ascii="Calibri" w:eastAsia="Calibri" w:hAnsi="Calibri" w:cs="Calibri"/>
          <w:b/>
          <w:i/>
          <w:color w:val="333333"/>
        </w:rPr>
        <w:t xml:space="preserve">Artículo 8. </w:t>
      </w:r>
      <w:r>
        <w:rPr>
          <w:rFonts w:ascii="Calibri" w:eastAsia="Calibri" w:hAnsi="Calibri" w:cs="Calibri"/>
          <w:i/>
          <w:color w:val="333333"/>
        </w:rPr>
        <w:t>Reconocimiento de viáticos. Las entidades que hacen parte del Presupuesto General de la Nación deberán aplicar las siguientes medidas para el reconocimiento de los viáticos:</w:t>
      </w:r>
    </w:p>
    <w:p w:rsidR="00E7531D" w:rsidRDefault="00F564A6">
      <w:pPr>
        <w:shd w:val="clear" w:color="auto" w:fill="FFFFFF"/>
        <w:spacing w:before="240" w:after="240"/>
        <w:ind w:left="1440"/>
        <w:jc w:val="both"/>
        <w:rPr>
          <w:rFonts w:ascii="Calibri" w:eastAsia="Calibri" w:hAnsi="Calibri" w:cs="Calibri"/>
          <w:i/>
          <w:color w:val="333333"/>
        </w:rPr>
      </w:pPr>
      <w:r>
        <w:rPr>
          <w:rFonts w:ascii="Calibri" w:eastAsia="Calibri" w:hAnsi="Calibri" w:cs="Calibri"/>
          <w:i/>
          <w:color w:val="333333"/>
        </w:rPr>
        <w:t>a) Cuando la totalidad de los gastos para manutención y alojamiento que genere la comisión de servicios sean asumidos por otro organismo o entidad, no habrá lugar al pago de viáticos.</w:t>
      </w:r>
    </w:p>
    <w:p w:rsidR="00E7531D" w:rsidRDefault="00F564A6">
      <w:pPr>
        <w:shd w:val="clear" w:color="auto" w:fill="FFFFFF"/>
        <w:spacing w:before="240" w:after="240"/>
        <w:ind w:left="1440"/>
        <w:jc w:val="both"/>
        <w:rPr>
          <w:rFonts w:ascii="Calibri" w:eastAsia="Calibri" w:hAnsi="Calibri" w:cs="Calibri"/>
          <w:i/>
          <w:color w:val="333333"/>
        </w:rPr>
      </w:pPr>
      <w:r>
        <w:rPr>
          <w:rFonts w:ascii="Calibri" w:eastAsia="Calibri" w:hAnsi="Calibri" w:cs="Calibri"/>
          <w:i/>
          <w:color w:val="333333"/>
        </w:rPr>
        <w:t>b) Cuando los gastos por concepto de viáticos que genera la comisión son asumidos de forma parcial por otro organismo o entidad, únicamente se podrá reconocer la diferencia en forma proporcional a criterio de la entidad, y con fundamento en la normativa aplicable a la materia.</w:t>
      </w:r>
    </w:p>
    <w:p w:rsidR="00E7531D" w:rsidRDefault="00F564A6">
      <w:pPr>
        <w:shd w:val="clear" w:color="auto" w:fill="FFFFFF"/>
        <w:spacing w:before="240" w:after="240"/>
        <w:ind w:left="1440"/>
        <w:jc w:val="both"/>
        <w:rPr>
          <w:rFonts w:ascii="Calibri" w:eastAsia="Calibri" w:hAnsi="Calibri" w:cs="Calibri"/>
          <w:i/>
          <w:color w:val="333333"/>
        </w:rPr>
      </w:pPr>
      <w:r>
        <w:rPr>
          <w:rFonts w:ascii="Calibri" w:eastAsia="Calibri" w:hAnsi="Calibri" w:cs="Calibri"/>
          <w:i/>
          <w:color w:val="333333"/>
        </w:rPr>
        <w:t xml:space="preserve">c) Cuando la comisión de servicios no requiera que el servidor público pernocte en el lugar de la comisión, la administración podrá reconocer un </w:t>
      </w:r>
      <w:r>
        <w:rPr>
          <w:rFonts w:ascii="Calibri" w:eastAsia="Calibri" w:hAnsi="Calibri" w:cs="Calibri"/>
          <w:i/>
          <w:color w:val="333333"/>
        </w:rPr>
        <w:lastRenderedPageBreak/>
        <w:t>valor menor al cincuenta por ciento (50</w:t>
      </w:r>
      <w:r w:rsidR="00BF664B">
        <w:rPr>
          <w:rFonts w:ascii="Calibri" w:eastAsia="Calibri" w:hAnsi="Calibri" w:cs="Calibri"/>
          <w:i/>
          <w:color w:val="333333"/>
        </w:rPr>
        <w:t xml:space="preserve"> </w:t>
      </w:r>
      <w:r>
        <w:rPr>
          <w:rFonts w:ascii="Calibri" w:eastAsia="Calibri" w:hAnsi="Calibri" w:cs="Calibri"/>
          <w:i/>
          <w:color w:val="333333"/>
        </w:rPr>
        <w:t>%) a que hacen referencia los decretos salariales para lo cual tendrán en cuenta los costos del lugar al que se desplaza el servidor.</w:t>
      </w:r>
    </w:p>
    <w:p w:rsidR="00E7531D" w:rsidRDefault="00E7531D">
      <w:pPr>
        <w:ind w:left="720"/>
        <w:jc w:val="both"/>
        <w:rPr>
          <w:rFonts w:ascii="Calibri" w:eastAsia="Calibri" w:hAnsi="Calibri" w:cs="Calibri"/>
        </w:rPr>
      </w:pPr>
    </w:p>
    <w:p w:rsidR="00E7531D" w:rsidRDefault="00F564A6">
      <w:pPr>
        <w:ind w:left="720"/>
        <w:jc w:val="both"/>
        <w:rPr>
          <w:rFonts w:ascii="Calibri" w:eastAsia="Calibri" w:hAnsi="Calibri" w:cs="Calibri"/>
        </w:rPr>
      </w:pPr>
      <w:r>
        <w:rPr>
          <w:rFonts w:ascii="Calibri" w:eastAsia="Calibri" w:hAnsi="Calibri" w:cs="Calibri"/>
        </w:rPr>
        <w:t>Con base en lo anteriormente expuesto se tiene que, por ejemplo,  en la Defensoría del Pueblo, tal y como lo dispuso la Resolución No. 1159 de 09 de junio de 2023 ”</w:t>
      </w:r>
      <w:r>
        <w:rPr>
          <w:rFonts w:ascii="Calibri" w:eastAsia="Calibri" w:hAnsi="Calibri" w:cs="Calibri"/>
          <w:i/>
        </w:rPr>
        <w:t>Por la cual se establece la escala para el reconocimiento y pago de viáticos de los servidores públicos y gastos de desplazamiento de los contratistas de la Defensoría del Pueblo</w:t>
      </w:r>
      <w:r>
        <w:rPr>
          <w:rFonts w:ascii="Calibri" w:eastAsia="Calibri" w:hAnsi="Calibri" w:cs="Calibri"/>
        </w:rPr>
        <w:t xml:space="preserve">”, un funcionario que devenga menos de $1.510.229, tiene actualmente un monto diario asignado de $136.975, mientras que un funcionario que devenga mensualmente más de $18.085.359, recibirá diariamente $ 893.906.  </w:t>
      </w:r>
    </w:p>
    <w:p w:rsidR="00E7531D" w:rsidRDefault="00E7531D">
      <w:pPr>
        <w:ind w:left="720"/>
        <w:jc w:val="both"/>
        <w:rPr>
          <w:rFonts w:ascii="Calibri" w:eastAsia="Calibri" w:hAnsi="Calibri" w:cs="Calibri"/>
        </w:rPr>
      </w:pPr>
    </w:p>
    <w:p w:rsidR="00E7531D" w:rsidRDefault="00F564A6">
      <w:pPr>
        <w:ind w:left="720"/>
        <w:jc w:val="both"/>
        <w:rPr>
          <w:rFonts w:ascii="Calibri" w:eastAsia="Calibri" w:hAnsi="Calibri" w:cs="Calibri"/>
        </w:rPr>
      </w:pPr>
      <w:r>
        <w:rPr>
          <w:rFonts w:ascii="Calibri" w:eastAsia="Calibri" w:hAnsi="Calibri" w:cs="Calibri"/>
        </w:rPr>
        <w:t>En el caso de la Gobernación departamental de Antioquia, a través del Decreto de 20 de noviembre de 2023, "</w:t>
      </w:r>
      <w:r>
        <w:rPr>
          <w:rFonts w:ascii="Calibri" w:eastAsia="Calibri" w:hAnsi="Calibri" w:cs="Calibri"/>
          <w:i/>
        </w:rPr>
        <w:t>Por el cual se fija las escalas de viáticos y se establecen otras disposiciones para los empleados públicos y trabajadores oficiales del Departamento de Antioquia y sus entidades descentralizadas”</w:t>
      </w:r>
      <w:r>
        <w:rPr>
          <w:rFonts w:ascii="Calibri" w:eastAsia="Calibri" w:hAnsi="Calibri" w:cs="Calibri"/>
        </w:rPr>
        <w:t xml:space="preserve">, se establecieron los mínimos y máximos definidos por el Gobierno Nacional en el Decreto 908 de 2023, esto es, un funcionario que  devenga menos de $1.510.229, tiene actualmente un monto diario asignado de $136.975, mientras que a un funcionario que tiene una remuneración mensual de más de $18.085.359,  se le asigna un monto diario de </w:t>
      </w:r>
      <w:r>
        <w:rPr>
          <w:rFonts w:ascii="Calibri" w:eastAsia="Calibri" w:hAnsi="Calibri" w:cs="Calibri"/>
          <w:color w:val="333333"/>
          <w:highlight w:val="white"/>
        </w:rPr>
        <w:t xml:space="preserve">$1.039.425. </w:t>
      </w:r>
    </w:p>
    <w:p w:rsidR="00E7531D" w:rsidRDefault="00E7531D">
      <w:pPr>
        <w:ind w:left="720"/>
        <w:jc w:val="both"/>
        <w:rPr>
          <w:rFonts w:ascii="Calibri" w:eastAsia="Calibri" w:hAnsi="Calibri" w:cs="Calibri"/>
        </w:rPr>
      </w:pPr>
    </w:p>
    <w:p w:rsidR="00E7531D" w:rsidRDefault="00F564A6">
      <w:pPr>
        <w:ind w:left="720"/>
        <w:jc w:val="both"/>
        <w:rPr>
          <w:rFonts w:ascii="Calibri" w:eastAsia="Calibri" w:hAnsi="Calibri" w:cs="Calibri"/>
          <w:highlight w:val="white"/>
        </w:rPr>
      </w:pPr>
      <w:r>
        <w:rPr>
          <w:rFonts w:ascii="Calibri" w:eastAsia="Calibri" w:hAnsi="Calibri" w:cs="Calibri"/>
        </w:rPr>
        <w:t>Para el caso funcionarios y empleados de las Altas Cortes, Comisión Nacional de Disciplina Judicial, Unidades del Consejo Superior de la Judicatura y Dirección Ejecutiva de Administración Judicial, la Resolución No. 0736 de 17 de mayo de 2022</w:t>
      </w:r>
      <w:r>
        <w:rPr>
          <w:rFonts w:ascii="Calibri" w:eastAsia="Calibri" w:hAnsi="Calibri" w:cs="Calibri"/>
          <w:vertAlign w:val="superscript"/>
        </w:rPr>
        <w:footnoteReference w:id="7"/>
      </w:r>
      <w:r>
        <w:rPr>
          <w:rFonts w:ascii="Calibri" w:eastAsia="Calibri" w:hAnsi="Calibri" w:cs="Calibri"/>
        </w:rPr>
        <w:t xml:space="preserve">, </w:t>
      </w:r>
      <w:r>
        <w:rPr>
          <w:rFonts w:ascii="Calibri" w:eastAsia="Calibri" w:hAnsi="Calibri" w:cs="Calibri"/>
          <w:highlight w:val="white"/>
        </w:rPr>
        <w:t>estableció que aquellos desplazamientos desde la ciudad de Bogotá hacia municipios de Cundinamarca a una distancia inferior a 100 Km., no causarán viáticos, pero se reconocerán los gastos de viaje cuando el acto administrativo que confiere la comisión lo autorice.</w:t>
      </w:r>
    </w:p>
    <w:p w:rsidR="00E7531D" w:rsidRDefault="00E7531D">
      <w:pPr>
        <w:ind w:left="720"/>
        <w:jc w:val="both"/>
        <w:rPr>
          <w:rFonts w:ascii="Calibri" w:eastAsia="Calibri" w:hAnsi="Calibri" w:cs="Calibri"/>
          <w:highlight w:val="white"/>
        </w:rPr>
      </w:pPr>
    </w:p>
    <w:p w:rsidR="00E7531D" w:rsidRDefault="00F564A6">
      <w:pPr>
        <w:ind w:left="720"/>
        <w:jc w:val="both"/>
        <w:rPr>
          <w:rFonts w:ascii="Calibri" w:eastAsia="Calibri" w:hAnsi="Calibri" w:cs="Calibri"/>
          <w:highlight w:val="white"/>
        </w:rPr>
      </w:pPr>
      <w:r>
        <w:rPr>
          <w:rFonts w:ascii="Calibri" w:eastAsia="Calibri" w:hAnsi="Calibri" w:cs="Calibri"/>
          <w:highlight w:val="white"/>
        </w:rPr>
        <w:lastRenderedPageBreak/>
        <w:t>Por su parte, definió que, respecto a los desplazamientos hacia municipios del departamento de Cundinamarca con distancia superior a 100 km desde la ciudad de Bogotá, se pagará por día pernoctado el 50</w:t>
      </w:r>
      <w:r w:rsidR="00BF664B">
        <w:rPr>
          <w:rFonts w:ascii="Calibri" w:eastAsia="Calibri" w:hAnsi="Calibri" w:cs="Calibri"/>
          <w:highlight w:val="white"/>
        </w:rPr>
        <w:t xml:space="preserve"> </w:t>
      </w:r>
      <w:r>
        <w:rPr>
          <w:rFonts w:ascii="Calibri" w:eastAsia="Calibri" w:hAnsi="Calibri" w:cs="Calibri"/>
          <w:highlight w:val="white"/>
        </w:rPr>
        <w:t>% del valor fijado por el Gobierno Nacional y, para desplazamientos desde la ciudad de Bogotá hacia ciudades y municipios del resto del país y el exterior, se pagará el 90</w:t>
      </w:r>
      <w:r w:rsidR="00BF664B">
        <w:rPr>
          <w:rFonts w:ascii="Calibri" w:eastAsia="Calibri" w:hAnsi="Calibri" w:cs="Calibri"/>
          <w:highlight w:val="white"/>
        </w:rPr>
        <w:t xml:space="preserve"> </w:t>
      </w:r>
      <w:r>
        <w:rPr>
          <w:rFonts w:ascii="Calibri" w:eastAsia="Calibri" w:hAnsi="Calibri" w:cs="Calibri"/>
          <w:highlight w:val="white"/>
        </w:rPr>
        <w:t>% del valor fijado por el Gobierno Nacional, al tiempo que se reconocerán los gastos de viaje (pasajes terrestres, fluviales y/o aéreos, y/o peajes y gasolina para vehículos oficiales).</w:t>
      </w:r>
    </w:p>
    <w:p w:rsidR="00E7531D" w:rsidRDefault="00E7531D">
      <w:pPr>
        <w:ind w:left="720"/>
        <w:jc w:val="both"/>
        <w:rPr>
          <w:rFonts w:ascii="Calibri" w:eastAsia="Calibri" w:hAnsi="Calibri" w:cs="Calibri"/>
          <w:highlight w:val="white"/>
        </w:rPr>
      </w:pPr>
    </w:p>
    <w:p w:rsidR="00E7531D" w:rsidRDefault="00F564A6">
      <w:pPr>
        <w:ind w:left="720"/>
        <w:jc w:val="both"/>
        <w:rPr>
          <w:rFonts w:ascii="Calibri" w:eastAsia="Calibri" w:hAnsi="Calibri" w:cs="Calibri"/>
        </w:rPr>
      </w:pPr>
      <w:r>
        <w:rPr>
          <w:rFonts w:ascii="Calibri" w:eastAsia="Calibri" w:hAnsi="Calibri" w:cs="Calibri"/>
        </w:rPr>
        <w:t xml:space="preserve">Como se observa, el cálculo del valor de los viáticos a pagar en función de la remuneración mensual del empleado comisionado, desvirtúa la función de este rubro, que es la de cubrir los gastos de alojamiento, alimentación y transporte, cuando los empleados públicas deben desempeñar sus funciones en un lugar diferente a su sede habitual de trabajo, máxime si se tienen en cuenta la diferencia que puede resultar de los montos asignados a 2 empleados comisionados para realizar un desplazamiento al mismo lugar, y el hecho de que los montos diarios que derivan de ellos, algunas veces pueden ser insuficientes y en otros casos excesivos, teniendo en cuenta el costo de vida del municipio hacia el cual se realiza el desplazamiento. </w:t>
      </w:r>
    </w:p>
    <w:p w:rsidR="00E7531D" w:rsidRDefault="00E7531D">
      <w:pPr>
        <w:ind w:left="720"/>
        <w:jc w:val="both"/>
        <w:rPr>
          <w:rFonts w:ascii="Calibri" w:eastAsia="Calibri" w:hAnsi="Calibri" w:cs="Calibri"/>
        </w:rPr>
      </w:pPr>
    </w:p>
    <w:p w:rsidR="00E7531D" w:rsidRDefault="00F564A6">
      <w:pPr>
        <w:ind w:left="720"/>
        <w:jc w:val="both"/>
        <w:rPr>
          <w:rFonts w:ascii="Calibri" w:eastAsia="Calibri" w:hAnsi="Calibri" w:cs="Calibri"/>
          <w:highlight w:val="cyan"/>
        </w:rPr>
      </w:pPr>
      <w:r>
        <w:rPr>
          <w:rFonts w:ascii="Calibri" w:eastAsia="Calibri" w:hAnsi="Calibri" w:cs="Calibri"/>
        </w:rPr>
        <w:t>Por ejemplo, si a una misma comisión al municipio de Apartadó (Antioquia), en donde el valor promedio de la noche en un hotel estándar es de $90.000 y el valor de la alimentación diaria (desayuno, almuerzo y cena) en un restaurante básico es de alrededor de $50.000, se asigna una comisión a 2 funcionarios con idénticos desplazamientos, uno que devenga  $1.510.229 mensuales, y otro que devenga más de $18.085.359, se tendrá que el monto mínimo diario asignado al primero ($136.975) resultará probablemente insuficiente para cubrir sus gastos de alojamiento, alimentación y transporte al interior del municipio, mientras que el monto asignado al segundo será excesivo (</w:t>
      </w:r>
      <w:r>
        <w:rPr>
          <w:rFonts w:ascii="Calibri" w:eastAsia="Calibri" w:hAnsi="Calibri" w:cs="Calibri"/>
          <w:color w:val="333333"/>
          <w:highlight w:val="white"/>
        </w:rPr>
        <w:t>$1.039.425)</w:t>
      </w:r>
      <w:r>
        <w:rPr>
          <w:rFonts w:ascii="Calibri" w:eastAsia="Calibri" w:hAnsi="Calibri" w:cs="Calibri"/>
        </w:rPr>
        <w:t xml:space="preserve">, y se estaría pagando al funcionario un valor muy superior al requerido para cubrir esos gastos, situación que por demás podría estar constituyendo un ingreso adicional del funcionario, con los efectos tributarios que ello debería </w:t>
      </w:r>
      <w:r w:rsidRPr="00791487">
        <w:rPr>
          <w:rFonts w:ascii="Calibri" w:eastAsia="Calibri" w:hAnsi="Calibri" w:cs="Calibri"/>
        </w:rPr>
        <w:t>tener</w:t>
      </w:r>
      <w:r w:rsidRPr="00791487">
        <w:rPr>
          <w:rFonts w:ascii="Calibri" w:eastAsia="Calibri" w:hAnsi="Calibri" w:cs="Calibri"/>
          <w:vertAlign w:val="superscript"/>
        </w:rPr>
        <w:footnoteReference w:id="8"/>
      </w:r>
      <w:r w:rsidRPr="00791487">
        <w:rPr>
          <w:rFonts w:ascii="Calibri" w:eastAsia="Calibri" w:hAnsi="Calibri" w:cs="Calibri"/>
        </w:rPr>
        <w:t>.</w:t>
      </w:r>
    </w:p>
    <w:p w:rsidR="00E7531D" w:rsidRDefault="00E7531D">
      <w:pPr>
        <w:ind w:left="720"/>
        <w:jc w:val="both"/>
        <w:rPr>
          <w:rFonts w:ascii="Calibri" w:eastAsia="Calibri" w:hAnsi="Calibri" w:cs="Calibri"/>
        </w:rPr>
      </w:pPr>
    </w:p>
    <w:p w:rsidR="00E7531D" w:rsidRDefault="00F564A6">
      <w:pPr>
        <w:ind w:left="720"/>
        <w:jc w:val="both"/>
        <w:rPr>
          <w:rFonts w:ascii="Calibri" w:eastAsia="Calibri" w:hAnsi="Calibri" w:cs="Calibri"/>
        </w:rPr>
      </w:pPr>
      <w:r>
        <w:rPr>
          <w:rFonts w:ascii="Calibri" w:eastAsia="Calibri" w:hAnsi="Calibri" w:cs="Calibri"/>
        </w:rPr>
        <w:t>Como lo señaló la Sección Segunda del Consejo de Estado en Sentencia de abril 2 de 2009 radicado 11001032400020050032800 (1048-06) MP Bertha Lucía Ramírez de Páez, “l</w:t>
      </w:r>
      <w:r>
        <w:rPr>
          <w:rFonts w:ascii="Calibri" w:eastAsia="Calibri" w:hAnsi="Calibri" w:cs="Calibri"/>
          <w:i/>
        </w:rPr>
        <w:t>os viáticos son en estricto sentido, el reconocimiento que recibe un servidor público que se encuentra en comisión de servicios, con el único fin de cubrir los gastos de manutención y alojamiento en que incurra durante el término que perdure la situación administrativa en que se encuentra (...) Es bien sabido que los viáticos de una comisión no constituyen retribución del servicio prestado por el funcionario, sino el pago que debe recibir para cubrir los gastos de manutención y alojamiento</w:t>
      </w:r>
      <w:r>
        <w:rPr>
          <w:rFonts w:ascii="Calibri" w:eastAsia="Calibri" w:hAnsi="Calibri" w:cs="Calibri"/>
        </w:rPr>
        <w:t xml:space="preserve">”. </w:t>
      </w:r>
    </w:p>
    <w:p w:rsidR="00E7531D" w:rsidRDefault="00E7531D">
      <w:pPr>
        <w:ind w:left="720"/>
        <w:jc w:val="both"/>
        <w:rPr>
          <w:rFonts w:ascii="Calibri" w:eastAsia="Calibri" w:hAnsi="Calibri" w:cs="Calibri"/>
        </w:rPr>
      </w:pPr>
    </w:p>
    <w:p w:rsidR="00E7531D" w:rsidRDefault="00F564A6">
      <w:pPr>
        <w:ind w:left="720"/>
        <w:jc w:val="both"/>
        <w:rPr>
          <w:rFonts w:ascii="Calibri" w:eastAsia="Calibri" w:hAnsi="Calibri" w:cs="Calibri"/>
        </w:rPr>
      </w:pPr>
      <w:r>
        <w:rPr>
          <w:rFonts w:ascii="Calibri" w:eastAsia="Calibri" w:hAnsi="Calibri" w:cs="Calibri"/>
        </w:rPr>
        <w:t>En consecuencia, y en aras de la consecución de los fines que tiene el pago de los viáticos a servidores públicos, y con el fin de generar unas condiciones de equidad y de bienestar en la totalidad de servidores públicos que realizan comisiones de servicios, al tiempo que ello redunde en una política de austeridad que redunde en la disminución de gastos innecesarios de funcionamiento del Estado, se estima que el cálculo de la escala de viáticos que fije anualmente el gobierno nacional, deberá dejar de ser realizado en función de los ingresos de los servidores públicos y, en cambio, deberá pasar a fijarse con base en el promedio diario del costo de vida de los lugares hacia los que se adelantan los desplazamientos (incluyendo la media en el costo de hoteles, alimentación en restaurantes y transporte interno), cálculo que anualmente deberá realizar el DANE.</w:t>
      </w:r>
    </w:p>
    <w:p w:rsidR="00E7531D" w:rsidRDefault="00E7531D">
      <w:pPr>
        <w:jc w:val="both"/>
        <w:rPr>
          <w:rFonts w:ascii="Calibri" w:eastAsia="Calibri" w:hAnsi="Calibri" w:cs="Calibri"/>
        </w:rPr>
      </w:pPr>
    </w:p>
    <w:p w:rsidR="00E7531D" w:rsidRDefault="00F564A6">
      <w:pPr>
        <w:numPr>
          <w:ilvl w:val="0"/>
          <w:numId w:val="12"/>
        </w:numPr>
        <w:jc w:val="both"/>
        <w:rPr>
          <w:rFonts w:ascii="Calibri" w:eastAsia="Calibri" w:hAnsi="Calibri" w:cs="Calibri"/>
        </w:rPr>
      </w:pPr>
      <w:r>
        <w:rPr>
          <w:rFonts w:ascii="Calibri" w:eastAsia="Calibri" w:hAnsi="Calibri" w:cs="Calibri"/>
          <w:b/>
        </w:rPr>
        <w:t xml:space="preserve">Suministro de tiquetes aéreos: </w:t>
      </w:r>
      <w:r>
        <w:rPr>
          <w:rFonts w:ascii="Calibri" w:eastAsia="Calibri" w:hAnsi="Calibri" w:cs="Calibri"/>
        </w:rPr>
        <w:t>El Decreto 648 de 2017 “</w:t>
      </w:r>
      <w:r>
        <w:rPr>
          <w:rFonts w:ascii="Calibri" w:eastAsia="Calibri" w:hAnsi="Calibri" w:cs="Calibri"/>
          <w:i/>
          <w:color w:val="333333"/>
          <w:highlight w:val="white"/>
        </w:rPr>
        <w:t xml:space="preserve">Por el cual se modifica y adiciona el Decreto </w:t>
      </w:r>
      <w:hyperlink r:id="rId21" w:anchor="1083">
        <w:r>
          <w:rPr>
            <w:rFonts w:ascii="Calibri" w:eastAsia="Calibri" w:hAnsi="Calibri" w:cs="Calibri"/>
            <w:i/>
            <w:color w:val="007BFF"/>
            <w:highlight w:val="white"/>
          </w:rPr>
          <w:t>1083</w:t>
        </w:r>
      </w:hyperlink>
      <w:r>
        <w:rPr>
          <w:rFonts w:ascii="Calibri" w:eastAsia="Calibri" w:hAnsi="Calibri" w:cs="Calibri"/>
          <w:i/>
          <w:color w:val="333333"/>
          <w:highlight w:val="white"/>
        </w:rPr>
        <w:t xml:space="preserve"> de 2015, Reglamentario Único del Sector de la Función Pública”, </w:t>
      </w:r>
      <w:r>
        <w:rPr>
          <w:rFonts w:ascii="Calibri" w:eastAsia="Calibri" w:hAnsi="Calibri" w:cs="Calibri"/>
        </w:rPr>
        <w:t>definió:</w:t>
      </w:r>
    </w:p>
    <w:p w:rsidR="00E7531D" w:rsidRDefault="00E7531D">
      <w:pPr>
        <w:jc w:val="both"/>
        <w:rPr>
          <w:rFonts w:ascii="Calibri" w:eastAsia="Calibri" w:hAnsi="Calibri" w:cs="Calibri"/>
          <w:color w:val="333333"/>
        </w:rPr>
      </w:pPr>
    </w:p>
    <w:p w:rsidR="00E7531D" w:rsidRDefault="00F564A6">
      <w:pPr>
        <w:ind w:left="1440"/>
        <w:jc w:val="both"/>
        <w:rPr>
          <w:rFonts w:ascii="Calibri" w:eastAsia="Calibri" w:hAnsi="Calibri" w:cs="Calibri"/>
          <w:color w:val="333333"/>
        </w:rPr>
      </w:pPr>
      <w:r>
        <w:rPr>
          <w:rFonts w:ascii="Calibri" w:eastAsia="Calibri" w:hAnsi="Calibri" w:cs="Calibri"/>
          <w:color w:val="333333"/>
        </w:rPr>
        <w:t>“</w:t>
      </w:r>
      <w:proofErr w:type="gramStart"/>
      <w:r>
        <w:rPr>
          <w:rFonts w:ascii="Calibri" w:eastAsia="Calibri" w:hAnsi="Calibri" w:cs="Calibri"/>
          <w:b/>
          <w:color w:val="333333"/>
        </w:rPr>
        <w:t>ARTÍCULO  2.2.5.5.28</w:t>
      </w:r>
      <w:proofErr w:type="gramEnd"/>
      <w:r>
        <w:rPr>
          <w:rFonts w:ascii="Calibri" w:eastAsia="Calibri" w:hAnsi="Calibri" w:cs="Calibri"/>
          <w:b/>
          <w:color w:val="333333"/>
        </w:rPr>
        <w:t xml:space="preserve"> </w:t>
      </w:r>
      <w:r>
        <w:rPr>
          <w:rFonts w:ascii="Calibri" w:eastAsia="Calibri" w:hAnsi="Calibri" w:cs="Calibri"/>
          <w:i/>
          <w:color w:val="333333"/>
        </w:rPr>
        <w:t>Suministro de pasajes</w:t>
      </w:r>
      <w:r>
        <w:rPr>
          <w:rFonts w:ascii="Calibri" w:eastAsia="Calibri" w:hAnsi="Calibri" w:cs="Calibri"/>
          <w:color w:val="333333"/>
        </w:rPr>
        <w:t>. A los comisionados al exterior se les podrá suministrar pasajes, aéreos, marítimos o terrestres solo en clase económica.</w:t>
      </w:r>
    </w:p>
    <w:p w:rsidR="00E7531D" w:rsidRDefault="00F564A6">
      <w:pPr>
        <w:shd w:val="clear" w:color="auto" w:fill="FFFFFF"/>
        <w:spacing w:before="240" w:after="240"/>
        <w:ind w:left="1440"/>
        <w:jc w:val="both"/>
        <w:rPr>
          <w:rFonts w:ascii="Calibri" w:eastAsia="Calibri" w:hAnsi="Calibri" w:cs="Calibri"/>
          <w:color w:val="333333"/>
        </w:rPr>
      </w:pPr>
      <w:r>
        <w:rPr>
          <w:rFonts w:ascii="Calibri" w:eastAsia="Calibri" w:hAnsi="Calibri" w:cs="Calibri"/>
          <w:color w:val="333333"/>
        </w:rPr>
        <w:t>El Presidente de la República, el Vicepresidente de la República, los Ministros del Despacho, el Presidente del Senado de la República, el Presidente de la Cámara de Representantes, el Contralor General de la República, el Procurador General de la Nación, el Fiscal General de la Nación, los Presidentes de las Altas Cortes, el Registrador Nacional del Estado Civil, el Defensor del Pueblo, podrán viajar en primera clase.</w:t>
      </w:r>
    </w:p>
    <w:p w:rsidR="00E7531D" w:rsidRDefault="00F564A6">
      <w:pPr>
        <w:shd w:val="clear" w:color="auto" w:fill="FFFFFF"/>
        <w:spacing w:before="240" w:after="240"/>
        <w:ind w:left="1440"/>
        <w:jc w:val="both"/>
        <w:rPr>
          <w:rFonts w:ascii="Calibri" w:eastAsia="Calibri" w:hAnsi="Calibri" w:cs="Calibri"/>
          <w:color w:val="333333"/>
        </w:rPr>
      </w:pPr>
      <w:r>
        <w:rPr>
          <w:rFonts w:ascii="Calibri" w:eastAsia="Calibri" w:hAnsi="Calibri" w:cs="Calibri"/>
          <w:color w:val="333333"/>
        </w:rPr>
        <w:lastRenderedPageBreak/>
        <w:t>Los Viceministros del Despacho, los Directores y Subdirectores de los Departamentos Administrativos, los miembros del Congreso, los Embajadores, los Magistrados de las Altas Cortes, los Superintendentes, los Ministros Consejeros, los Secretarios y los Consejeros Presidenciales de la Presidencia de la República, el Presidente de Ecopetrol S.A., el Alto Comisionado para la Paz, el Director General de la Agencia Colombiana para la Reintegración de Personas y Grupos Alzados en Armas podrán viajar en clase ejecutiva.</w:t>
      </w:r>
    </w:p>
    <w:p w:rsidR="00E7531D" w:rsidRDefault="00F564A6">
      <w:pPr>
        <w:shd w:val="clear" w:color="auto" w:fill="FFFFFF"/>
        <w:spacing w:before="240" w:after="240"/>
        <w:ind w:left="1440"/>
        <w:jc w:val="both"/>
        <w:rPr>
          <w:rFonts w:ascii="Calibri" w:eastAsia="Calibri" w:hAnsi="Calibri" w:cs="Calibri"/>
          <w:b/>
        </w:rPr>
      </w:pPr>
      <w:r>
        <w:rPr>
          <w:rFonts w:ascii="Calibri" w:eastAsia="Calibri" w:hAnsi="Calibri" w:cs="Calibri"/>
          <w:color w:val="333333"/>
        </w:rPr>
        <w:t xml:space="preserve">PARÁGRAFO. Los Embajadores y Embajadores en Misiones Especiales podrán viajar en primera clase, previa autorización del Ministro de Relaciones Exteriores”. </w:t>
      </w:r>
    </w:p>
    <w:p w:rsidR="00E7531D" w:rsidRDefault="00F564A6">
      <w:pPr>
        <w:ind w:left="720"/>
        <w:jc w:val="both"/>
        <w:rPr>
          <w:rFonts w:ascii="Calibri" w:eastAsia="Calibri" w:hAnsi="Calibri" w:cs="Calibri"/>
          <w:color w:val="333333"/>
          <w:highlight w:val="white"/>
        </w:rPr>
      </w:pPr>
      <w:r>
        <w:rPr>
          <w:rFonts w:ascii="Calibri" w:eastAsia="Calibri" w:hAnsi="Calibri" w:cs="Calibri"/>
          <w:color w:val="333333"/>
        </w:rPr>
        <w:t>Por su parte, el Decreto 444 de 2023</w:t>
      </w:r>
      <w:r>
        <w:rPr>
          <w:rFonts w:ascii="Calibri" w:eastAsia="Calibri" w:hAnsi="Calibri" w:cs="Calibri"/>
          <w:i/>
          <w:color w:val="333333"/>
        </w:rPr>
        <w:t xml:space="preserve"> “</w:t>
      </w:r>
      <w:r>
        <w:rPr>
          <w:rFonts w:ascii="Calibri" w:eastAsia="Calibri" w:hAnsi="Calibri" w:cs="Calibri"/>
          <w:i/>
          <w:color w:val="333333"/>
          <w:highlight w:val="white"/>
        </w:rPr>
        <w:t xml:space="preserve">Por el cual se establece el Plan de Austeridad del Gasto 2023 para los órganos que hacen parte del Presupuesto General de la Nación”, </w:t>
      </w:r>
      <w:r>
        <w:rPr>
          <w:rFonts w:ascii="Calibri" w:eastAsia="Calibri" w:hAnsi="Calibri" w:cs="Calibri"/>
          <w:color w:val="333333"/>
          <w:highlight w:val="white"/>
        </w:rPr>
        <w:t>estableció respecto a este asunto:</w:t>
      </w:r>
    </w:p>
    <w:p w:rsidR="00E7531D" w:rsidRDefault="00E7531D">
      <w:pPr>
        <w:jc w:val="both"/>
        <w:rPr>
          <w:rFonts w:ascii="Calibri" w:eastAsia="Calibri" w:hAnsi="Calibri" w:cs="Calibri"/>
          <w:i/>
          <w:color w:val="333333"/>
          <w:highlight w:val="white"/>
        </w:rPr>
      </w:pPr>
    </w:p>
    <w:p w:rsidR="00E7531D" w:rsidRDefault="00F564A6">
      <w:pPr>
        <w:shd w:val="clear" w:color="auto" w:fill="FFFFFF"/>
        <w:spacing w:before="240" w:after="240"/>
        <w:ind w:left="2160"/>
        <w:jc w:val="both"/>
        <w:rPr>
          <w:rFonts w:ascii="Calibri" w:eastAsia="Calibri" w:hAnsi="Calibri" w:cs="Calibri"/>
          <w:i/>
          <w:color w:val="333333"/>
          <w:highlight w:val="white"/>
        </w:rPr>
      </w:pPr>
      <w:r>
        <w:rPr>
          <w:rFonts w:ascii="Calibri" w:eastAsia="Calibri" w:hAnsi="Calibri" w:cs="Calibri"/>
          <w:b/>
          <w:i/>
          <w:color w:val="333333"/>
          <w:highlight w:val="white"/>
        </w:rPr>
        <w:t>ARTÍCULO 7.</w:t>
      </w:r>
      <w:r>
        <w:rPr>
          <w:rFonts w:ascii="Calibri" w:eastAsia="Calibri" w:hAnsi="Calibri" w:cs="Calibri"/>
          <w:i/>
          <w:color w:val="333333"/>
          <w:highlight w:val="white"/>
        </w:rPr>
        <w:t xml:space="preserve"> </w:t>
      </w:r>
      <w:r>
        <w:rPr>
          <w:rFonts w:ascii="Calibri" w:eastAsia="Calibri" w:hAnsi="Calibri" w:cs="Calibri"/>
          <w:b/>
          <w:i/>
          <w:color w:val="333333"/>
          <w:highlight w:val="white"/>
        </w:rPr>
        <w:t>Suministro de tiquetes.</w:t>
      </w:r>
      <w:r>
        <w:rPr>
          <w:rFonts w:ascii="Calibri" w:eastAsia="Calibri" w:hAnsi="Calibri" w:cs="Calibri"/>
          <w:i/>
          <w:color w:val="333333"/>
          <w:highlight w:val="white"/>
        </w:rPr>
        <w:t xml:space="preserve"> Los viajes aéreos nacionales e internacionales de servidores de todos los órganos que pertenecen al Presupuesto General de la Nación, deberán hacerse en clase económica o en la tarifa que no supere el costo de esta, salvo los debidamente justificados, y en aquellos casos en los cuales los Ministros de Despacho tengan por objeto promover y gestionar el financiamiento de la Nación, o que el vuelo tenga una duración de más de ocho (8) horas. Para el caso de las entidades de la rama ejecutiva del orden nacional, estos deberán justificarse ante el Departamento Administrativo de la Presidencia de la República.</w:t>
      </w:r>
    </w:p>
    <w:p w:rsidR="00E7531D" w:rsidRDefault="00F564A6">
      <w:pPr>
        <w:shd w:val="clear" w:color="auto" w:fill="FFFFFF"/>
        <w:spacing w:before="240" w:after="240"/>
        <w:ind w:left="2160"/>
        <w:jc w:val="both"/>
        <w:rPr>
          <w:rFonts w:ascii="Calibri" w:eastAsia="Calibri" w:hAnsi="Calibri" w:cs="Calibri"/>
          <w:i/>
          <w:color w:val="333333"/>
          <w:highlight w:val="white"/>
        </w:rPr>
      </w:pPr>
      <w:r>
        <w:rPr>
          <w:rFonts w:ascii="Calibri" w:eastAsia="Calibri" w:hAnsi="Calibri" w:cs="Calibri"/>
          <w:i/>
          <w:color w:val="333333"/>
          <w:highlight w:val="white"/>
        </w:rPr>
        <w:t>Cuando el servidor haga parte de la comitiva que acompañe al Presidente de la República o Vicepresidenta de la República y se transporte en el avión presidencial o en el medio de transporte que se designe para transportar al Presidente de la República o Vicepresidenta de la República, no habrá lugar al pago de gastos de transporte.</w:t>
      </w:r>
    </w:p>
    <w:p w:rsidR="00E7531D" w:rsidRDefault="00F564A6">
      <w:pPr>
        <w:shd w:val="clear" w:color="auto" w:fill="FFFFFF"/>
        <w:spacing w:before="240" w:after="240"/>
        <w:ind w:left="2160"/>
        <w:jc w:val="both"/>
        <w:rPr>
          <w:rFonts w:ascii="Calibri" w:eastAsia="Calibri" w:hAnsi="Calibri" w:cs="Calibri"/>
          <w:i/>
          <w:color w:val="333333"/>
          <w:highlight w:val="white"/>
        </w:rPr>
      </w:pPr>
      <w:r>
        <w:rPr>
          <w:rFonts w:ascii="Calibri" w:eastAsia="Calibri" w:hAnsi="Calibri" w:cs="Calibri"/>
          <w:i/>
          <w:color w:val="333333"/>
          <w:highlight w:val="white"/>
        </w:rPr>
        <w:t>Los gastos de viaje se autorizarán únicamente si no están cubiertos por la entidad o por las entidades que organizan los eventos.</w:t>
      </w:r>
    </w:p>
    <w:p w:rsidR="00E7531D" w:rsidRDefault="00F564A6">
      <w:pPr>
        <w:shd w:val="clear" w:color="auto" w:fill="FFFFFF"/>
        <w:spacing w:before="240" w:after="240"/>
        <w:jc w:val="both"/>
        <w:rPr>
          <w:rFonts w:ascii="Calibri" w:eastAsia="Calibri" w:hAnsi="Calibri" w:cs="Calibri"/>
          <w:color w:val="333333"/>
          <w:highlight w:val="white"/>
        </w:rPr>
      </w:pPr>
      <w:r>
        <w:rPr>
          <w:rFonts w:ascii="Calibri" w:eastAsia="Calibri" w:hAnsi="Calibri" w:cs="Calibri"/>
          <w:color w:val="333333"/>
          <w:highlight w:val="white"/>
        </w:rPr>
        <w:t xml:space="preserve">En este marco, resulta conveniente que el suministro de tiquetes en clase ejecutiva de los funcionarios de alto nivel del Estado, parta de la evaluación de su conveniencia para las </w:t>
      </w:r>
      <w:r>
        <w:rPr>
          <w:rFonts w:ascii="Calibri" w:eastAsia="Calibri" w:hAnsi="Calibri" w:cs="Calibri"/>
          <w:color w:val="333333"/>
          <w:highlight w:val="white"/>
        </w:rPr>
        <w:lastRenderedPageBreak/>
        <w:t xml:space="preserve">labores y la agenda de estos funcionarios en el marco de la comisión que se adelanta, independientemente del cargo que ostenta, con excepción del Presidente (a) y Vicepresidenta (e) de la República. </w:t>
      </w:r>
    </w:p>
    <w:p w:rsidR="00E7531D" w:rsidRDefault="00F564A6">
      <w:pPr>
        <w:shd w:val="clear" w:color="auto" w:fill="FFFFFF"/>
        <w:spacing w:before="240" w:after="240"/>
        <w:jc w:val="both"/>
        <w:rPr>
          <w:rFonts w:ascii="Calibri" w:eastAsia="Calibri" w:hAnsi="Calibri" w:cs="Calibri"/>
          <w:color w:val="333333"/>
          <w:highlight w:val="white"/>
        </w:rPr>
      </w:pPr>
      <w:r>
        <w:rPr>
          <w:rFonts w:ascii="Calibri" w:eastAsia="Calibri" w:hAnsi="Calibri" w:cs="Calibri"/>
          <w:color w:val="333333"/>
          <w:highlight w:val="white"/>
        </w:rPr>
        <w:t xml:space="preserve">Dicho esto, se considera conveniente prohibir expresamente la asignación de este tipo de tiquetes en clase ejecutiva para viajes nacionales, y que ello únicamente proceda respecto a viajes internacionales de </w:t>
      </w:r>
      <w:r>
        <w:rPr>
          <w:rFonts w:ascii="Calibri" w:eastAsia="Calibri" w:hAnsi="Calibri" w:cs="Calibri"/>
          <w:color w:val="333333"/>
        </w:rPr>
        <w:t>los Ministros del Despacho, el Presidente del Senado de la República, el Presidente de la Cámara de Representantes, el Contralor General de la República, el Procurador General de la Nación, el Fiscal General de la Nación, los Presidentes de las Altas Cortes, el Registrador Nacional del Estado Civil, el Defensor del Pueblo</w:t>
      </w:r>
      <w:r>
        <w:rPr>
          <w:rFonts w:ascii="Calibri" w:eastAsia="Calibri" w:hAnsi="Calibri" w:cs="Calibri"/>
          <w:color w:val="333333"/>
          <w:highlight w:val="white"/>
        </w:rPr>
        <w:t xml:space="preserve"> y, eventualmente de </w:t>
      </w:r>
      <w:r>
        <w:rPr>
          <w:rFonts w:ascii="Calibri" w:eastAsia="Calibri" w:hAnsi="Calibri" w:cs="Calibri"/>
          <w:color w:val="333333"/>
        </w:rPr>
        <w:t xml:space="preserve">los Viceministros del Despacho, los Directores y Subdirectores de los Departamentos Administrativos, los miembros del Congreso, los Embajadores, los Magistrados de las Altas Cortes, los Superintendentes, los Ministros Consejeros, los Secretarios y los Consejeros Presidenciales de la Presidencia de la República, el Presidente de Ecopetrol S.A., el Alto Comisionado para la Paz, el Director General de la Agencia para la Reincorporación y la Normalización (antes Agencia Colombiana para la Reintegración de Personas y Grupos Alzados en Armas), y los Embajadores y Embajadores en Misiones Especiales, </w:t>
      </w:r>
      <w:r>
        <w:rPr>
          <w:rFonts w:ascii="Calibri" w:eastAsia="Calibri" w:hAnsi="Calibri" w:cs="Calibri"/>
          <w:color w:val="333333"/>
          <w:highlight w:val="white"/>
        </w:rPr>
        <w:t xml:space="preserve">en el evento en el que respecto a países con más de 8 horas de distancia en vuelo, la primera actividad programada en la agenda de éstos tenga una diferencia menor a 12 horas respecto a la hora prevista de llegada o, cuando esta situación ocurra una vez se retorne al país.  </w:t>
      </w:r>
    </w:p>
    <w:p w:rsidR="00E7531D" w:rsidRDefault="00F564A6">
      <w:pPr>
        <w:shd w:val="clear" w:color="auto" w:fill="FFFFFF"/>
        <w:spacing w:before="240" w:after="240"/>
        <w:jc w:val="both"/>
        <w:rPr>
          <w:rFonts w:ascii="Calibri" w:eastAsia="Calibri" w:hAnsi="Calibri" w:cs="Calibri"/>
          <w:color w:val="333333"/>
          <w:highlight w:val="white"/>
        </w:rPr>
      </w:pPr>
      <w:r>
        <w:rPr>
          <w:rFonts w:ascii="Calibri" w:eastAsia="Calibri" w:hAnsi="Calibri" w:cs="Calibri"/>
          <w:color w:val="333333"/>
          <w:highlight w:val="white"/>
        </w:rPr>
        <w:t xml:space="preserve">Así, si un funcionario de alto nivel que realiza un desplazamiento de más de 8 horas a un destino internacional, pero en el que la diferencia entre la hora prevista de llegada y la hora pactada para el cumplimiento del primer punto de su agenda, es superior a 12 horas, no será posible la asignación de tiquetes aéreos en clase ejecutiva, independientemente del cargo que ostente, con excepción del Presidente (a) y Vicepresidenta (e) de la República. </w:t>
      </w:r>
    </w:p>
    <w:p w:rsidR="00E7531D" w:rsidRDefault="00F564A6">
      <w:pPr>
        <w:shd w:val="clear" w:color="auto" w:fill="FFFFFF"/>
        <w:spacing w:before="240" w:after="240"/>
        <w:jc w:val="both"/>
        <w:rPr>
          <w:rFonts w:ascii="Calibri" w:eastAsia="Calibri" w:hAnsi="Calibri" w:cs="Calibri"/>
          <w:color w:val="333333"/>
          <w:highlight w:val="white"/>
        </w:rPr>
      </w:pPr>
      <w:r>
        <w:rPr>
          <w:rFonts w:ascii="Calibri" w:eastAsia="Calibri" w:hAnsi="Calibri" w:cs="Calibri"/>
          <w:color w:val="333333"/>
          <w:highlight w:val="white"/>
        </w:rPr>
        <w:t xml:space="preserve">De igual manera, si al momento del retorno al país, ese mismo funcionario realiza el mismo desplazamiento de más de 8 horas, pero la diferencia entre la hora de llegada a Colombia y la primera actividad que tiene en su agenda luego de esto, es superior a 12 horas, no será posible la asignación de tiquetes aéreos en clase ejecutiva, independientemente del cargo que ostente, con excepción del Presidente (a) y Vicepresidenta (e) de la República. </w:t>
      </w:r>
    </w:p>
    <w:p w:rsidR="00E7531D" w:rsidRDefault="00F564A6">
      <w:pPr>
        <w:shd w:val="clear" w:color="auto" w:fill="FFFFFF"/>
        <w:spacing w:before="240" w:after="240"/>
        <w:jc w:val="both"/>
        <w:rPr>
          <w:rFonts w:ascii="Calibri" w:eastAsia="Calibri" w:hAnsi="Calibri" w:cs="Calibri"/>
          <w:b/>
        </w:rPr>
      </w:pPr>
      <w:r>
        <w:rPr>
          <w:rFonts w:ascii="Calibri" w:eastAsia="Calibri" w:hAnsi="Calibri" w:cs="Calibri"/>
          <w:color w:val="333333"/>
          <w:highlight w:val="white"/>
        </w:rPr>
        <w:t xml:space="preserve">No obstante, lo anterior, se deberá privilegiar en cualquier caso la asignación de tiquetes en clase turista. </w:t>
      </w:r>
    </w:p>
    <w:p w:rsidR="00E7531D" w:rsidRDefault="00F564A6">
      <w:pPr>
        <w:numPr>
          <w:ilvl w:val="0"/>
          <w:numId w:val="12"/>
        </w:numPr>
        <w:jc w:val="both"/>
        <w:rPr>
          <w:rFonts w:ascii="Calibri" w:eastAsia="Calibri" w:hAnsi="Calibri" w:cs="Calibri"/>
          <w:b/>
        </w:rPr>
      </w:pPr>
      <w:r>
        <w:rPr>
          <w:rFonts w:ascii="Calibri" w:eastAsia="Calibri" w:hAnsi="Calibri" w:cs="Calibri"/>
          <w:b/>
        </w:rPr>
        <w:t xml:space="preserve">Asignación de vehículos oficiales: </w:t>
      </w:r>
      <w:r>
        <w:rPr>
          <w:rFonts w:ascii="Calibri" w:eastAsia="Calibri" w:hAnsi="Calibri" w:cs="Calibri"/>
        </w:rPr>
        <w:t>El Decreto 1068 de 2015 “</w:t>
      </w:r>
      <w:r>
        <w:rPr>
          <w:rFonts w:ascii="Calibri" w:eastAsia="Calibri" w:hAnsi="Calibri" w:cs="Calibri"/>
          <w:i/>
          <w:color w:val="333333"/>
          <w:highlight w:val="white"/>
        </w:rPr>
        <w:t>Por medio del cual se expide el Decreto Único Reglamentario del Sector</w:t>
      </w:r>
      <w:r>
        <w:rPr>
          <w:rFonts w:ascii="Calibri" w:eastAsia="Calibri" w:hAnsi="Calibri" w:cs="Calibri"/>
          <w:color w:val="333333"/>
          <w:highlight w:val="white"/>
        </w:rPr>
        <w:t xml:space="preserve"> </w:t>
      </w:r>
      <w:r>
        <w:rPr>
          <w:rFonts w:ascii="Calibri" w:eastAsia="Calibri" w:hAnsi="Calibri" w:cs="Calibri"/>
          <w:i/>
          <w:color w:val="333333"/>
          <w:highlight w:val="white"/>
        </w:rPr>
        <w:t>Hacienda y Crédito Público”</w:t>
      </w:r>
      <w:r>
        <w:rPr>
          <w:rFonts w:ascii="Calibri" w:eastAsia="Calibri" w:hAnsi="Calibri" w:cs="Calibri"/>
          <w:color w:val="333333"/>
          <w:highlight w:val="white"/>
        </w:rPr>
        <w:t xml:space="preserve"> definió una serie de medidas de austeridad en el gasto público. Respecto a la asignación de vehículos oficiales, estableció:</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b/>
          <w:i/>
          <w:color w:val="333333"/>
          <w:highlight w:val="white"/>
        </w:rPr>
        <w:lastRenderedPageBreak/>
        <w:t xml:space="preserve">ARTÍCULO 2.8.4.6.6. Asignación de vehículos. </w:t>
      </w:r>
      <w:r>
        <w:rPr>
          <w:rFonts w:ascii="Calibri" w:eastAsia="Calibri" w:hAnsi="Calibri" w:cs="Calibri"/>
          <w:i/>
          <w:color w:val="333333"/>
          <w:highlight w:val="white"/>
        </w:rPr>
        <w:t>Se podrán asignar vehículos de uso oficial con cargo a los recursos del Tesoro Público exclusivamente a los siguientes servidores: Presidente de la República, Altos Comisionados, Ministros Consejeros Presidenciales, secretarios y consejeros del Departamento Administrativo de la Presidencia de la República, ministros del despacho, viceministros, secretarios generales y directores de ministerios; directores, subdirectores, secretarios generales y jefes de unidad de departamentos administrativos y funcionarios que en estos últimos, de acuerdo con sus normas orgánicas, tengan rango de directores de ministerio; embajadores y cónsules generales de Colombia con rango de embajador; superintendentes, superintendentes delegados, y secretarios generales de superintendencias; directores y subdirectores, presidentes y vicepresidentes de establecimientos públicos, unidades administrativas especiales y empresas industriales y comerciales del Estado, así como a los secretarios generales de dichas entidades; rectores, vicerrectores y secretarios generales de entes universitarios autónomos del nivel nacional; senadores de la República y representantes a la Cámara, y secretarios generales de estas corporaciones; magistrados de las altas cortes (Corte Constitucional, Corte Suprema de Justicia, Consejo de Estado, Consejo Superior de la Judicatura, Consejo Nacional Electoral); Contralor General de la República, Vicecontralor y Secretario General de la Contraloría General de la República; Procurador General de la Nación, Viceprocurador, Secretario General de la Procuraduría General de la Nación; Defensor del Pueblo y Secretario General de la Defensoría del Pueblo; Registrador Nacional del Estado Civil y secretario general de la Registraduría Nacional del Estado Civil; Fiscal General de la Nación, Vicefiscal y Secretario General de la Fiscalía General de la Nación y generales de la República; al Defensor del Contribuyente y Usuario Aduanero de la Unidad Administrativa Especial Dirección de Impuestos y Aduanas Nacionales.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En las altas cortes, el Congreso de la República, los organismos de investigación, los organismos de fiscalización y control y la organización electoral, se podrá asignar vehículo a quienes ocupen cargos del nivel directivo equivalente a los aquí señalados para los Ministerios.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En caso de existir regionales de los organismos señalados en este artículo, podrá asignarse vehículo al servidor que tenga a su cargo la dirección de la respectiva regional.</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 xml:space="preserve">En las Fuerzas Armadas, la Policía Nacional, la Fiscalía General de la Nación, y el Departamento Administrativo de Seguridad -DAS-, la asignación de </w:t>
      </w:r>
      <w:r>
        <w:rPr>
          <w:rFonts w:ascii="Calibri" w:eastAsia="Calibri" w:hAnsi="Calibri" w:cs="Calibri"/>
          <w:i/>
          <w:color w:val="333333"/>
          <w:highlight w:val="white"/>
        </w:rPr>
        <w:lastRenderedPageBreak/>
        <w:t>vehículos se hará de conformidad con sus necesidades operativas y con las normas vigentes.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PARÁGRAFO 1. En el evento de existir primas o préstamos económicos para adquisición de vehículo en los organismos antes señalados, la asignación de vehículos se sujetará a las normas vigentes que regulan tales primas o préstamos.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PARÁGRAFO 2. Se exceptúa de lo dispuesto en el presente artículo al Departamento Administrativo de la Presidencia de la República, entidad que asignará, por intermedio de su Director, los vehículos de uso oficial a sus funcionarios teniendo en cuenta únicamente las necesidades del servicio y las condiciones para el ejercicio de la función 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proofErr w:type="spellStart"/>
      <w:r>
        <w:rPr>
          <w:rFonts w:ascii="Calibri" w:eastAsia="Calibri" w:hAnsi="Calibri" w:cs="Calibri"/>
          <w:i/>
          <w:color w:val="333333"/>
          <w:highlight w:val="white"/>
        </w:rPr>
        <w:t>Exceptúase</w:t>
      </w:r>
      <w:proofErr w:type="spellEnd"/>
      <w:r>
        <w:rPr>
          <w:rFonts w:ascii="Calibri" w:eastAsia="Calibri" w:hAnsi="Calibri" w:cs="Calibri"/>
          <w:i/>
          <w:color w:val="333333"/>
          <w:highlight w:val="white"/>
        </w:rPr>
        <w:t xml:space="preserve"> de la aplicación del presente artículo teniendo en cuenta las funciones de carácter diplomático y protocolario que ejerce, al Ministerio de Relaciones Exteriores.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El secretario general del Ministerio de Relaciones Exteriores podrá asignar vehículos de uso oficial con cargo a los recursos del tesoro público a las personas que por sus funciones ya sean de carácter diplomático o protocolarios así lo requieran, teniendo en cuenta las necesidades del servicio y las condiciones para el ejercicio de la función 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 xml:space="preserve">(Art. </w:t>
      </w:r>
      <w:hyperlink r:id="rId22" w:anchor="17">
        <w:r>
          <w:rPr>
            <w:rFonts w:ascii="Calibri" w:eastAsia="Calibri" w:hAnsi="Calibri" w:cs="Calibri"/>
            <w:i/>
            <w:color w:val="007BFF"/>
            <w:highlight w:val="white"/>
          </w:rPr>
          <w:t>17</w:t>
        </w:r>
      </w:hyperlink>
      <w:r>
        <w:rPr>
          <w:rFonts w:ascii="Calibri" w:eastAsia="Calibri" w:hAnsi="Calibri" w:cs="Calibri"/>
          <w:i/>
          <w:color w:val="333333"/>
          <w:highlight w:val="white"/>
        </w:rPr>
        <w:t xml:space="preserve"> Decreto 1737 de 1998, modificado por el art. </w:t>
      </w:r>
      <w:hyperlink r:id="rId23" w:anchor="8">
        <w:r>
          <w:rPr>
            <w:rFonts w:ascii="Calibri" w:eastAsia="Calibri" w:hAnsi="Calibri" w:cs="Calibri"/>
            <w:i/>
            <w:color w:val="007BFF"/>
            <w:highlight w:val="white"/>
          </w:rPr>
          <w:t xml:space="preserve">8 </w:t>
        </w:r>
      </w:hyperlink>
      <w:r>
        <w:rPr>
          <w:rFonts w:ascii="Calibri" w:eastAsia="Calibri" w:hAnsi="Calibri" w:cs="Calibri"/>
          <w:i/>
          <w:color w:val="333333"/>
          <w:highlight w:val="white"/>
        </w:rPr>
        <w:t xml:space="preserve">del Decreto 2209 de 1998, adicionado por el art 2 del Decreto 2316 de 1998, modificado por el art. </w:t>
      </w:r>
      <w:hyperlink r:id="rId24" w:anchor="4">
        <w:r>
          <w:rPr>
            <w:rFonts w:ascii="Calibri" w:eastAsia="Calibri" w:hAnsi="Calibri" w:cs="Calibri"/>
            <w:i/>
            <w:color w:val="007BFF"/>
            <w:highlight w:val="white"/>
          </w:rPr>
          <w:t>4,</w:t>
        </w:r>
      </w:hyperlink>
      <w:r>
        <w:rPr>
          <w:rFonts w:ascii="Calibri" w:eastAsia="Calibri" w:hAnsi="Calibri" w:cs="Calibri"/>
          <w:i/>
          <w:color w:val="333333"/>
          <w:highlight w:val="white"/>
        </w:rPr>
        <w:t xml:space="preserve"> Decreto 2445 de 2000, adicionado por art. </w:t>
      </w:r>
      <w:hyperlink r:id="rId25" w:anchor="2">
        <w:r>
          <w:rPr>
            <w:rFonts w:ascii="Calibri" w:eastAsia="Calibri" w:hAnsi="Calibri" w:cs="Calibri"/>
            <w:i/>
            <w:color w:val="007BFF"/>
            <w:highlight w:val="white"/>
          </w:rPr>
          <w:t>2</w:t>
        </w:r>
      </w:hyperlink>
      <w:r>
        <w:rPr>
          <w:rFonts w:ascii="Calibri" w:eastAsia="Calibri" w:hAnsi="Calibri" w:cs="Calibri"/>
          <w:i/>
          <w:color w:val="333333"/>
          <w:highlight w:val="white"/>
        </w:rPr>
        <w:t xml:space="preserve"> Decreto 134 de 2001 y modificado por el art 1 del decreto 644 de 2002)</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b/>
          <w:i/>
          <w:color w:val="333333"/>
          <w:highlight w:val="white"/>
        </w:rPr>
        <w:t>ARTÍCULO 2.8.4.6.7.</w:t>
      </w:r>
      <w:r>
        <w:rPr>
          <w:rFonts w:ascii="Calibri" w:eastAsia="Calibri" w:hAnsi="Calibri" w:cs="Calibri"/>
          <w:i/>
          <w:color w:val="333333"/>
          <w:highlight w:val="white"/>
        </w:rPr>
        <w:t xml:space="preserve"> Vehículos operativos. En los órganos, organismos, entes y entidades enumeradas en el artículo anterior se constituirá un grupo de vehículos operativos administrados directamente por la dependencia administrativa que tenga a su cargo las actividades en materia de transportes. Su utilización se hará de manera exclusiva y precisa para atender necesidades ocasionales e indispensables propias de las funciones de cada órgano y en ningún caso se podrá destinar uno o más vehículos al uso habitual y permanente de un servidor público distinto de los mencionados en el artículo anterior.</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 xml:space="preserve">Será responsabilidad de los secretarios generales, o quienes hagan sus veces, observar el cabal cumplimiento de esta disposición. De igual modo, será </w:t>
      </w:r>
      <w:r>
        <w:rPr>
          <w:rFonts w:ascii="Calibri" w:eastAsia="Calibri" w:hAnsi="Calibri" w:cs="Calibri"/>
          <w:i/>
          <w:color w:val="333333"/>
          <w:highlight w:val="white"/>
        </w:rPr>
        <w:lastRenderedPageBreak/>
        <w:t>responsabilidad de cada conductor de vehículo, de acuerdo con las obligaciones de todo servidor público, poner en conocimiento de aquél la utilización de vehículos operativos no ajustada a estos parámetros.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 xml:space="preserve">(Art. </w:t>
      </w:r>
      <w:hyperlink r:id="rId26" w:anchor="18">
        <w:r>
          <w:rPr>
            <w:rFonts w:ascii="Calibri" w:eastAsia="Calibri" w:hAnsi="Calibri" w:cs="Calibri"/>
            <w:i/>
            <w:color w:val="007BFF"/>
            <w:highlight w:val="white"/>
          </w:rPr>
          <w:t>18</w:t>
        </w:r>
      </w:hyperlink>
      <w:r>
        <w:rPr>
          <w:rFonts w:ascii="Calibri" w:eastAsia="Calibri" w:hAnsi="Calibri" w:cs="Calibri"/>
          <w:i/>
          <w:color w:val="333333"/>
          <w:highlight w:val="white"/>
        </w:rPr>
        <w:t xml:space="preserve"> Decreto 1737 de 1998, inciso 1 derogado por el Decreto 2710 de 2014, artículo 41, literal A, numeral 2.1)</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b/>
          <w:i/>
          <w:color w:val="333333"/>
          <w:highlight w:val="white"/>
        </w:rPr>
        <w:t xml:space="preserve">ARTÍCULO 2.8.4.6.8. </w:t>
      </w:r>
      <w:r>
        <w:rPr>
          <w:rFonts w:ascii="Calibri" w:eastAsia="Calibri" w:hAnsi="Calibri" w:cs="Calibri"/>
          <w:i/>
          <w:color w:val="333333"/>
          <w:highlight w:val="white"/>
        </w:rPr>
        <w:t>Traslado de servidores públicos fuera de la sede. Los servidores públicos que por razón de las labores de su cargo deban trasladarse fuera de su sede no podrán hacerlo con vehículos de ésta, salvo cuando se trate de localidades cercanas y resulte económico.</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No habrá lugar a la prohibición anterior cuando el desplazamiento tenga por objeto visitar obras para cuya inspección se requiera el uso continuo del vehículo.</w:t>
      </w:r>
    </w:p>
    <w:p w:rsidR="00E7531D" w:rsidRDefault="00F564A6">
      <w:pPr>
        <w:shd w:val="clear" w:color="auto" w:fill="FFFFFF"/>
        <w:spacing w:before="240" w:after="240"/>
        <w:jc w:val="both"/>
        <w:rPr>
          <w:rFonts w:ascii="Calibri" w:eastAsia="Calibri" w:hAnsi="Calibri" w:cs="Calibri"/>
          <w:color w:val="333333"/>
          <w:highlight w:val="white"/>
        </w:rPr>
      </w:pPr>
      <w:r>
        <w:rPr>
          <w:rFonts w:ascii="Calibri" w:eastAsia="Calibri" w:hAnsi="Calibri" w:cs="Calibri"/>
          <w:color w:val="333333"/>
          <w:highlight w:val="white"/>
        </w:rPr>
        <w:t>Aun así, lo definido en el precitado Decreto no sólo genera importantes gastos a las entidades con ocasión de la asignación de vehículos oficiales en función del cargo que ostentan las personas, independientemente de las necesidades del servicio de la entidad y las condiciones para el ejercicio de la función pública; sino  que además profundiza las brechas internas en las entidades y no redunda en una mejora en la prestación del servicio a cargo, pues permanente se evidencian situaciones en las que, ante la insuficiencia de vehículos operativos en las entidades, en detrimento de un número importante de vehículos disponibles en los parqueaderos -en el mejor de los casos- esperando el desplazamiento de funcionarios de Alto nivel-,  funcionarios de menor rango que adelantan de manera permanente desplazamientos en territorio y hacia comunidades, carecen de vehículos para lo correspondiente, con las consecuencias que esto muchas veces genera en términos de seguridad, eficiencia en el uso del tiempo, traslado de insumos y materiales de trabajo, entre otras.</w:t>
      </w:r>
    </w:p>
    <w:p w:rsidR="00E7531D" w:rsidRDefault="00F564A6">
      <w:pPr>
        <w:shd w:val="clear" w:color="auto" w:fill="FFFFFF"/>
        <w:spacing w:before="240" w:after="240"/>
        <w:jc w:val="both"/>
        <w:rPr>
          <w:rFonts w:ascii="Calibri" w:eastAsia="Calibri" w:hAnsi="Calibri" w:cs="Calibri"/>
          <w:color w:val="333333"/>
          <w:highlight w:val="white"/>
        </w:rPr>
      </w:pPr>
      <w:r>
        <w:rPr>
          <w:rFonts w:ascii="Calibri" w:eastAsia="Calibri" w:hAnsi="Calibri" w:cs="Calibri"/>
          <w:color w:val="333333"/>
          <w:highlight w:val="white"/>
        </w:rPr>
        <w:t xml:space="preserve">Por lo anterior, se estima necesario que los vehículos oficiales tengan únicamente destinación para el funcionario(a) responsable de cada entidad y el segundo a cargo, es decir, en el caso de Ministerios, Ministros y Viceministros; en el caso de entidades, Director y Subdirector; Presidente y Vicepresidente de entidad; Defensor y Vicedefensor del Pueblo, etc.; en el caso de las Altas Cortes, los y las magistradas, en el entendido de que éstos deben cumplir permanentemente con una agenda que implica desplazamientos fuera de su lugar de trabajo y traslados casi que simultáneos entre diferentes lugares. En caso de que estos funcionarios tengan asignados vehículos que hagan parte de esquemas de protección, no procederá esta asignación. </w:t>
      </w:r>
    </w:p>
    <w:p w:rsidR="00E7531D" w:rsidRDefault="00F564A6">
      <w:pPr>
        <w:shd w:val="clear" w:color="auto" w:fill="FFFFFF"/>
        <w:spacing w:before="240" w:after="240"/>
        <w:jc w:val="both"/>
        <w:rPr>
          <w:rFonts w:ascii="Calibri" w:eastAsia="Calibri" w:hAnsi="Calibri" w:cs="Calibri"/>
          <w:b/>
          <w:i/>
          <w:color w:val="333333"/>
          <w:highlight w:val="white"/>
        </w:rPr>
      </w:pPr>
      <w:r>
        <w:rPr>
          <w:rFonts w:ascii="Calibri" w:eastAsia="Calibri" w:hAnsi="Calibri" w:cs="Calibri"/>
          <w:color w:val="333333"/>
          <w:highlight w:val="white"/>
        </w:rPr>
        <w:lastRenderedPageBreak/>
        <w:t xml:space="preserve">Respecto a los demás funcionarios, incluyendo Directores Administrativos, Secretarios Generales de las entidades, y demás funcionarios, se estima necesario que éstos hagan uso de los vehículos operativos con los que cuente la entidad, previa programación de los mismos de acuerdo con la agenda que deban desarrollar fuera de las instalaciones de la misma. Adicional a ello, se considera prudente que ningún vehículo oficial se destine para el traslado de estos servidores desde y hacia sus lugares de residencia, excepto </w:t>
      </w:r>
      <w:r>
        <w:rPr>
          <w:rFonts w:ascii="Calibri" w:eastAsia="Calibri" w:hAnsi="Calibri" w:cs="Calibri"/>
        </w:rPr>
        <w:t>en los casos en los que dentro de la agenda laboral de un funcionario distinto al responsable y su segundo a cargo, se requieran desplazamientos antes de las 6:30 a.m. y después de las 8:00 p.m. y/o fuera de la ciudad/municipio en que desarrollan sus actividades laborales.</w:t>
      </w:r>
    </w:p>
    <w:p w:rsidR="00E7531D" w:rsidRDefault="00F564A6">
      <w:pPr>
        <w:numPr>
          <w:ilvl w:val="0"/>
          <w:numId w:val="12"/>
        </w:numPr>
        <w:jc w:val="both"/>
        <w:rPr>
          <w:rFonts w:ascii="Arial" w:eastAsia="Arial" w:hAnsi="Arial" w:cs="Arial"/>
          <w:b/>
          <w:i/>
          <w:color w:val="333333"/>
          <w:highlight w:val="white"/>
        </w:rPr>
      </w:pPr>
      <w:r>
        <w:rPr>
          <w:rFonts w:ascii="Calibri" w:eastAsia="Calibri" w:hAnsi="Calibri" w:cs="Calibri"/>
          <w:b/>
          <w:color w:val="333333"/>
          <w:highlight w:val="white"/>
        </w:rPr>
        <w:t xml:space="preserve">Asignación de telefonía celular: </w:t>
      </w:r>
      <w:r>
        <w:rPr>
          <w:rFonts w:ascii="Calibri" w:eastAsia="Calibri" w:hAnsi="Calibri" w:cs="Calibri"/>
        </w:rPr>
        <w:t xml:space="preserve">El precitado Decreto 1068 de 2015 </w:t>
      </w:r>
      <w:r>
        <w:rPr>
          <w:rFonts w:ascii="Calibri" w:eastAsia="Calibri" w:hAnsi="Calibri" w:cs="Calibri"/>
          <w:i/>
        </w:rPr>
        <w:t>“</w:t>
      </w:r>
      <w:r>
        <w:rPr>
          <w:rFonts w:ascii="Calibri" w:eastAsia="Calibri" w:hAnsi="Calibri" w:cs="Calibri"/>
          <w:i/>
          <w:color w:val="333333"/>
          <w:highlight w:val="white"/>
        </w:rPr>
        <w:t xml:space="preserve">Por medio del cual se expide el Decreto Único Reglamentario del Sector Hacienda y Crédito Público” </w:t>
      </w:r>
      <w:r>
        <w:rPr>
          <w:rFonts w:ascii="Calibri" w:eastAsia="Calibri" w:hAnsi="Calibri" w:cs="Calibri"/>
          <w:color w:val="333333"/>
          <w:highlight w:val="white"/>
        </w:rPr>
        <w:t>estableció con relación a la asignación de teléfonos celulares:</w:t>
      </w:r>
    </w:p>
    <w:p w:rsidR="00E7531D" w:rsidRDefault="00E7531D">
      <w:pPr>
        <w:jc w:val="both"/>
        <w:rPr>
          <w:rFonts w:ascii="Calibri" w:eastAsia="Calibri" w:hAnsi="Calibri" w:cs="Calibri"/>
          <w:i/>
          <w:color w:val="333333"/>
          <w:highlight w:val="white"/>
        </w:rPr>
      </w:pP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b/>
          <w:i/>
          <w:color w:val="333333"/>
          <w:highlight w:val="white"/>
        </w:rPr>
        <w:t>ARTÍCULO 2.8.4.6.5.</w:t>
      </w:r>
      <w:r>
        <w:rPr>
          <w:rFonts w:ascii="Calibri" w:eastAsia="Calibri" w:hAnsi="Calibri" w:cs="Calibri"/>
          <w:i/>
          <w:color w:val="333333"/>
          <w:highlight w:val="white"/>
        </w:rPr>
        <w:t xml:space="preserve"> Asignación de Teléfonos celulares. Se podrán asignar teléfonos celulares con cargo a los recursos del Tesoro Público exclusivamente a los siguientes servidores: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 Presidente y Vicepresidente de la República.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2. Altos Comisionados.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3. Ministros Consejeros Presidenciales.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4. Secretarios y Consejeros del Departamento Administrativo de la Presidencia de la República.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5. Ministros del Despacho.</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6. Viceministros.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7. Secretarios Generales y Directores de Ministerios.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 xml:space="preserve">8. Directores, Subdirectores, Secretarios Generales y Jefes de Unidad de Departamentos Administrativos y funcionarios </w:t>
      </w:r>
      <w:proofErr w:type="gramStart"/>
      <w:r>
        <w:rPr>
          <w:rFonts w:ascii="Calibri" w:eastAsia="Calibri" w:hAnsi="Calibri" w:cs="Calibri"/>
          <w:i/>
          <w:color w:val="333333"/>
          <w:highlight w:val="white"/>
        </w:rPr>
        <w:t>que</w:t>
      </w:r>
      <w:proofErr w:type="gramEnd"/>
      <w:r>
        <w:rPr>
          <w:rFonts w:ascii="Calibri" w:eastAsia="Calibri" w:hAnsi="Calibri" w:cs="Calibri"/>
          <w:i/>
          <w:color w:val="333333"/>
          <w:highlight w:val="white"/>
        </w:rPr>
        <w:t xml:space="preserve"> en estos últimos, de acuerdo con sus normas orgánicas, tengan rango de directores de Ministerio.</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9. Embajadores y Cónsules Generales de Colombia con rango de Embajador.</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10. Superintendentes, Superintendentes Delegados y Secretarios Generales de Superintendencias.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lastRenderedPageBreak/>
        <w:t>11. Directores y Subdirectores, Presidentes y Vicepresidentes de establecimientos públicos, Unidades Administrativas Especiales y Empresas Industriales y Comerciales del Estado, así como los Secretarios Generales de dichas entidades.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12. Rectores, Vicerrectores y Secretarios Generales de entes universitarios autónomos del nivel nacional.</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13. Senadores de la República y Representantes a la Cámara, Secretarios Generales de estas Corporaciones, Secretarios de Comisiones, Subsecretarios del Senado y de la Cámara de Representantes.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14. Magistrados de la Corte Constitucional, Corte Suprema de Justicia, Consejo de Estado, Consejo Superior de la Judicatura, Consejo Nacional Electoral.</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15. Contralor General de la República, Vicecontralor y Secretario General de la Contraloría General de la República.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16. Procurador General de la Nación, Viceprocurador y Secretario General de la Procuraduría General de la Nación.</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17. Defensor del Pueblo y Secretario General de la Defensoría del Pueblo.</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18. Registrador Nacional del Estado Civil y Secretario General de la Registraduría Nacional del Estado Civil.</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19. Fiscal General de la Nación, Vicefiscal y Secretario General de la Fiscalía General de la Nación.</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20. Generales de la República.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21. Director General del Senado de la República.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22. Auditor General de la República, Auditor Auxiliar y Secretario General de la Auditoría General de la República.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En caso de existir regionales de los organismos antes señalados, podrá asignarse un teléfono celular al servidor que tenga a su cargo la dirección de la respectiva regional.</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PARÁGRAFO 1. Se exceptúa de la aplicación del presente artículo:</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lastRenderedPageBreak/>
        <w:t>a) Al Departamento Administrativo de la Presidencia de la República y al Departamento Administrativo de la Prosperidad Social, entidades que asignarán, por intermedio de su Director, los teléfonos celulares a sus funcionarios teniendo en cuenta únicamente las necesidades del servicio y las condiciones para el ejercicio de la función 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b) Al Ministerio de Relaciones Exteriores y se autoriza al Secretario General de dicho Ministerio para asignar teléfonos celulares, con cargo a los recursos del Tesoro Público, a las personas que por sus funciones de carácter diplomático o protocolario así lo requieran, teniendo en cuenta únicamente las necesidades del servicio y las condiciones para el ejercicio de la función 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c) A los organismos de investigación y fiscalización, entendidos por estos, la Fiscalía General de la Nación, la Procuraduría General de la Nación, la Defensoría del Pueblo, y la Contraloría General de la República, así como los de la Policía Nacional y de las Fuerzas Armadas, y se autoriza a los secretarios generales de los mismos, para asignar teléfonos celulares a otros servidores de manera exclusiva, para el desarrollo de actividades especiales de investigación y custodia, sin que dicha asignación pueda tener carácter permanente. Así mismo, los secretarios generales de las entidades mencionadas en el artículo siguiente, o quienes hagan sus veces, podrán asignar teléfonos celulares para la custodia de los funcionarios públicos de la respectiva entidad, cuando así lo recomienden los estudios de seguridad aprobados en cada caso por la autoridad competente;</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d) A Radio Televisión Nacional de Colombia, RTVC y al Instituto Geográfico Agustín Codazzi, y se autoriza a los secretarios generales de los mismos o a quienes hagan sus veces para asignar, bajo su responsabilidad, teléfonos celulares para uso del personal técnico en actividades específicas;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 xml:space="preserve">e) A la Unidad Administrativa Especial Dirección de Impuestos y Aduanas Nacionales, DIAN, y se autoriza a su Secretario General para asignar teléfonos celulares con cargo a recursos del Tesoro Público a los empleados públicos de la entidad, para el desarrollo de labores de investigación control, fiscalización y de ejecución de operativos tendientes a optimizar la gestión en la administración y en el control al debido cumplimiento de las obligaciones tributarias, aduaneras y cambiarias, y para garantizar la prestación eficiente del servicio público tributario, aduanero y cambiario de carácter esencial a cargo de la institución, de conformidad con lo establecido en el parágrafo del artículo 53 de la Ley 633 de 2000. Así mismo, se podrá asignar un teléfono </w:t>
      </w:r>
      <w:r>
        <w:rPr>
          <w:rFonts w:ascii="Calibri" w:eastAsia="Calibri" w:hAnsi="Calibri" w:cs="Calibri"/>
          <w:i/>
          <w:color w:val="333333"/>
          <w:highlight w:val="white"/>
        </w:rPr>
        <w:lastRenderedPageBreak/>
        <w:t>celular al Defensor del Contribuyente y Usuario Aduanero de la Unidad Administrativa Especial Dirección de Impuestos y Aduanas Nacionales, así como a los servidores públicos del Ministerio de Transporte, que estén a cargo de una Inspección Fluvial permanente a nivel regional y cuyos costos y tarifa resulten menores a los consumos de líneas fijas debidamente demostrados en forma comparativa;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f) Al Servicio Nacional de Aprendizaje - Sena, y se autoriza al Director Administrativo y Financiero del mismo para asignar teléfono celular, con cargo a los recursos de la entidad, a los Subdirectores de los Centros de Formación y a los Jefes de Oficina del Sena, previa expedición del acto administrativo mediante el cual señale el monto máximo de uso de los mismos;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g) A los Ministerios y Departamentos Administrativos, en cuanto sus competencias y funciones tengan relación con las actividades de prevención y atención de desastres, en particular el Ministerio del Interior y de Justicia, el Ministerio de Defensa Nacional, el Ministerio de Salud y Protección Social, Ministerio de Trabajo, el Ministerio de Transporte, el Ministerio de Educación Nacional, el Ministerio de Agricultura y Desarrollo Rural, el Ministerio de Tecnologías de la Información y las Comunicaciones y el Departamento Nacional de Planeación, en su calidad de integrantes del Sistema Nacional para la Prevención y Atención de Desastres. Tales entidades asignarán, por intermedio de su representante legal, los teléfonos celulares a sus funcionarios teniendo en cuenta únicamente las necesidades del servicio en la atención y prevención de desastres, y las condiciones para el ejercicio de la función pública.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h) A la Unidad Administrativa Especial de Aeronáutica Civil (</w:t>
      </w:r>
      <w:proofErr w:type="spellStart"/>
      <w:r>
        <w:rPr>
          <w:rFonts w:ascii="Calibri" w:eastAsia="Calibri" w:hAnsi="Calibri" w:cs="Calibri"/>
          <w:i/>
          <w:color w:val="333333"/>
          <w:highlight w:val="white"/>
        </w:rPr>
        <w:t>Aerocivil</w:t>
      </w:r>
      <w:proofErr w:type="spellEnd"/>
      <w:r>
        <w:rPr>
          <w:rFonts w:ascii="Calibri" w:eastAsia="Calibri" w:hAnsi="Calibri" w:cs="Calibri"/>
          <w:i/>
          <w:color w:val="333333"/>
          <w:highlight w:val="white"/>
        </w:rPr>
        <w:t>) y se autoriza a su Secretario General para asignar teléfonos celulares con cargo a recursos del Tesoro Público, a los empleados públicos de las dependencias misionales, directiva y de coordinación de la entidad, como son: los administradores aeroportuarios; los jefes y supervisores de torres de control y de centros de control; personal de soporte técnico, meteorología, AIS/COM/MET, planes de vuelo, seguridad aérea, seguridad aeroportuaria, bomberos aeronáuticos, búsqueda y rescate y atención al usuario.</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PARÁGRAFO 2. Las entidades a que se refiere el parágrafo anterior, velarán por que exista una efectiva compensación en los gastos de adquisición de servicios, con la reducción de los costos en el servicio de telefonía básica conmutada de larga distancia.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lastRenderedPageBreak/>
        <w:t>PARÁGRAFO 3. La limitación del presente artículo comprende únicamente el suministro de los equipos terminales y el pago del servicio por concepto de comunicaciones de voz móvil, denominado en el presente título indistintamente como celulares.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Las entidades a las que se encuentran vinculados los servidores públicos a quienes les aplica el presente título podrán, con cargo a su presupuesto de servicios, asignar a sus empleados planes de datos o de acceso a internet móvil, para lo cual al interior de la entidad se deberán definir las condiciones para la asignación. Los planes asumidos por la entidad deberán ser de aquellos que no permitan consumos superiores a los contratados por la entidad, denominados comúnmente como planes controlados o cerrados.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En todo caso, los destinatarios del servicio, salvo las personas que pueden ser beneficiarias de un servicio celular en los términos del presente artículo, deberán tener contratado por su cuenta el servicio móvil de voz y asumir integralmente su costo. De igual manera, deberán proporcionar el equipo terminal que permita el uso del servicio de datos.</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El director de la entidad responsable deberá adoptar las medidas necesarias para: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(i) Verificar que los planes autorizados a sus funcionarios no sean cedidos o transferidos por estos a personal ajeno a la misma.</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(ii) Verificar cuando menos semestralmente el uso que se está dando al servicio.</w:t>
      </w:r>
    </w:p>
    <w:p w:rsidR="00E7531D" w:rsidRDefault="00F564A6">
      <w:pPr>
        <w:shd w:val="clear" w:color="auto" w:fill="FFFFFF"/>
        <w:spacing w:before="240" w:after="240"/>
        <w:ind w:left="1440"/>
        <w:jc w:val="both"/>
        <w:rPr>
          <w:rFonts w:ascii="Calibri" w:eastAsia="Calibri" w:hAnsi="Calibri" w:cs="Calibri"/>
          <w:i/>
          <w:color w:val="333333"/>
          <w:highlight w:val="white"/>
        </w:rPr>
      </w:pPr>
      <w:r>
        <w:rPr>
          <w:rFonts w:ascii="Calibri" w:eastAsia="Calibri" w:hAnsi="Calibri" w:cs="Calibri"/>
          <w:i/>
          <w:color w:val="333333"/>
          <w:highlight w:val="white"/>
        </w:rPr>
        <w:t>(iii) Verificar que una vez finalizada la relación laboral, el proveedor del servicio de comunicaciones con el cual tiene contratado el servicio, suspenda su prestación.</w:t>
      </w:r>
    </w:p>
    <w:p w:rsidR="00E7531D" w:rsidRDefault="00F564A6">
      <w:pPr>
        <w:shd w:val="clear" w:color="auto" w:fill="FFFFFF"/>
        <w:spacing w:before="240" w:after="240"/>
        <w:jc w:val="both"/>
        <w:rPr>
          <w:rFonts w:ascii="Calibri" w:eastAsia="Calibri" w:hAnsi="Calibri" w:cs="Calibri"/>
          <w:color w:val="333333"/>
          <w:highlight w:val="white"/>
        </w:rPr>
      </w:pPr>
      <w:r>
        <w:rPr>
          <w:rFonts w:ascii="Calibri" w:eastAsia="Calibri" w:hAnsi="Calibri" w:cs="Calibri"/>
          <w:color w:val="333333"/>
          <w:highlight w:val="white"/>
        </w:rPr>
        <w:t xml:space="preserve">Aun tratándose de una medida que, de acuerdo con el Decreto propende por la austeridad, se observa que, la asignación de teléfonos celulares y de planes de telefonía celular se dispone, respecto a algunos funcionarios, con ocasión de su cargo y, respecto a otros, habilita la posibilidad de que ello se realice en atención únicamente las necesidades del servicio y las condiciones para el ejercicio de la función pública. </w:t>
      </w:r>
    </w:p>
    <w:p w:rsidR="00E7531D" w:rsidRDefault="00F564A6">
      <w:pPr>
        <w:shd w:val="clear" w:color="auto" w:fill="FFFFFF"/>
        <w:spacing w:before="240" w:after="240"/>
        <w:jc w:val="both"/>
        <w:rPr>
          <w:rFonts w:ascii="Calibri" w:eastAsia="Calibri" w:hAnsi="Calibri" w:cs="Calibri"/>
        </w:rPr>
      </w:pPr>
      <w:r>
        <w:rPr>
          <w:rFonts w:ascii="Calibri" w:eastAsia="Calibri" w:hAnsi="Calibri" w:cs="Calibri"/>
          <w:color w:val="333333"/>
          <w:highlight w:val="white"/>
        </w:rPr>
        <w:t xml:space="preserve">Así, y teniendo en cuenta que la asignación de teléfonos celulares y  planes de telefonía a los funcionarios referidos en el precitado artículo 2.8.4.6.5., ocurre muchas veces en un escenario de limitados recursos de comunicación asignados a las áreas de servicio a la </w:t>
      </w:r>
      <w:r>
        <w:rPr>
          <w:rFonts w:ascii="Calibri" w:eastAsia="Calibri" w:hAnsi="Calibri" w:cs="Calibri"/>
          <w:color w:val="333333"/>
          <w:highlight w:val="white"/>
        </w:rPr>
        <w:lastRenderedPageBreak/>
        <w:t xml:space="preserve">ciudadanía, o en aquellas a cargo de la atención permanente de emergencias, y que esta asignación conlleva la adquisición permanente de equipos de última gama, se considera necesario limitar el valor de los equipos a adquirir por con cargo al Presupuesto Nacional y evitar su asignación en función del cargo que ostenta la persona, privilegiando en cambio la asignación de equipos y planes de telefonía únicamente bajo el criterio de necesidades del servicio y de garantía de condiciones para el adecuado ejercicio de la misionalidad de la entidad, al tiempo que se establezcan unos topes respecto al costo de estos teléfonos. </w:t>
      </w:r>
    </w:p>
    <w:p w:rsidR="00E7531D" w:rsidRDefault="00E7531D">
      <w:pPr>
        <w:jc w:val="both"/>
        <w:rPr>
          <w:rFonts w:ascii="Calibri" w:eastAsia="Calibri" w:hAnsi="Calibri" w:cs="Calibri"/>
        </w:rPr>
      </w:pPr>
    </w:p>
    <w:p w:rsidR="00E7531D" w:rsidRDefault="00F564A6">
      <w:pPr>
        <w:widowControl w:val="0"/>
        <w:numPr>
          <w:ilvl w:val="0"/>
          <w:numId w:val="4"/>
        </w:numPr>
        <w:pBdr>
          <w:top w:val="nil"/>
          <w:left w:val="nil"/>
          <w:bottom w:val="nil"/>
          <w:right w:val="nil"/>
          <w:between w:val="nil"/>
        </w:pBdr>
        <w:spacing w:after="160" w:line="259" w:lineRule="auto"/>
        <w:rPr>
          <w:rFonts w:ascii="Calibri" w:eastAsia="Calibri" w:hAnsi="Calibri" w:cs="Calibri"/>
          <w:b/>
          <w:color w:val="000000"/>
        </w:rPr>
      </w:pPr>
      <w:r>
        <w:rPr>
          <w:rFonts w:ascii="Calibri" w:eastAsia="Calibri" w:hAnsi="Calibri" w:cs="Calibri"/>
          <w:b/>
        </w:rPr>
        <w:t>MARCO NORMATIVO</w:t>
      </w:r>
    </w:p>
    <w:p w:rsidR="00E7531D" w:rsidRDefault="00F564A6">
      <w:pPr>
        <w:widowControl w:val="0"/>
        <w:pBdr>
          <w:top w:val="nil"/>
          <w:left w:val="nil"/>
          <w:bottom w:val="nil"/>
          <w:right w:val="nil"/>
          <w:between w:val="nil"/>
        </w:pBdr>
        <w:spacing w:after="160" w:line="259" w:lineRule="auto"/>
        <w:rPr>
          <w:rFonts w:ascii="Calibri" w:eastAsia="Calibri" w:hAnsi="Calibri" w:cs="Calibri"/>
          <w:b/>
        </w:rPr>
      </w:pPr>
      <w:r>
        <w:rPr>
          <w:rFonts w:ascii="Calibri" w:eastAsia="Calibri" w:hAnsi="Calibri" w:cs="Calibri"/>
          <w:b/>
        </w:rPr>
        <w:t>Marco constitucional</w:t>
      </w:r>
    </w:p>
    <w:p w:rsidR="00E7531D" w:rsidRPr="00311D79" w:rsidRDefault="00F564A6">
      <w:pPr>
        <w:widowControl w:val="0"/>
        <w:pBdr>
          <w:top w:val="nil"/>
          <w:left w:val="nil"/>
          <w:bottom w:val="nil"/>
          <w:right w:val="nil"/>
          <w:between w:val="nil"/>
        </w:pBdr>
        <w:spacing w:after="160" w:line="259" w:lineRule="auto"/>
        <w:jc w:val="both"/>
        <w:rPr>
          <w:rFonts w:ascii="Calibri" w:eastAsia="Calibri" w:hAnsi="Calibri" w:cs="Calibri"/>
        </w:rPr>
      </w:pPr>
      <w:r>
        <w:rPr>
          <w:rFonts w:ascii="Calibri" w:eastAsia="Calibri" w:hAnsi="Calibri" w:cs="Calibri"/>
        </w:rPr>
        <w:t>Artículo 209: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rsidR="00E7531D" w:rsidRPr="00311D79" w:rsidRDefault="00F564A6">
      <w:pPr>
        <w:widowControl w:val="0"/>
        <w:pBdr>
          <w:top w:val="nil"/>
          <w:left w:val="nil"/>
          <w:bottom w:val="nil"/>
          <w:right w:val="nil"/>
          <w:between w:val="nil"/>
        </w:pBdr>
        <w:spacing w:after="160" w:line="259" w:lineRule="auto"/>
        <w:jc w:val="both"/>
        <w:rPr>
          <w:rFonts w:ascii="Calibri" w:eastAsia="Calibri" w:hAnsi="Calibri" w:cs="Calibri"/>
        </w:rPr>
      </w:pPr>
      <w:r w:rsidRPr="00311D79">
        <w:rPr>
          <w:rFonts w:ascii="Calibri" w:eastAsia="Calibri" w:hAnsi="Calibri" w:cs="Calibri"/>
        </w:rPr>
        <w:t xml:space="preserve">Artículo 334: La dirección general de la economía estará a cargo del Estado. Este intervendrá, por mandato de la ley, en la explotación de los recursos naturales, en el uso del suelo, en la producción, distribución, utilización y consumo de los bienes, y en los servicios públicos y privados, para racionalizar la economía con el fin de conseguir en el plano nacional y territorial, en un marco de sostenibilidad fiscal, el mejoramiento de la calidad de vida de los habitantes, la distribución equitativa de las oportunidades y los beneficios del desarrollo y la preservación de un ambiente sano. Dicho marco de sostenibilidad fiscal deberá fungir como instrumento para alcanzar de manera progresiva los objetivos del Estado Social de Derecho. </w:t>
      </w:r>
      <w:r w:rsidRPr="00311D79">
        <w:rPr>
          <w:rFonts w:ascii="Calibri" w:eastAsia="Calibri" w:hAnsi="Calibri" w:cs="Calibri"/>
          <w:u w:val="single"/>
        </w:rPr>
        <w:t>En cualquier caso, el gasto público social será prioritario</w:t>
      </w:r>
      <w:r w:rsidRPr="00311D79">
        <w:rPr>
          <w:rFonts w:ascii="Calibri" w:eastAsia="Calibri" w:hAnsi="Calibri" w:cs="Calibri"/>
        </w:rPr>
        <w:t>. (...)</w:t>
      </w:r>
      <w:r w:rsidRPr="00311D79">
        <w:rPr>
          <w:rFonts w:ascii="Calibri" w:eastAsia="Calibri" w:hAnsi="Calibri" w:cs="Calibri"/>
          <w:u w:val="single"/>
        </w:rPr>
        <w:t xml:space="preserve"> La sostenibilidad fiscal debe orientar a las Ramas y Órganos del Poder Público, dentro de sus competencias, en un marco de colaboración armónica. </w:t>
      </w:r>
      <w:r w:rsidRPr="00311D79">
        <w:rPr>
          <w:rFonts w:ascii="Calibri" w:eastAsia="Calibri" w:hAnsi="Calibri" w:cs="Calibri"/>
        </w:rPr>
        <w:t>(Subrayado para enmarcar la idea)</w:t>
      </w:r>
    </w:p>
    <w:p w:rsidR="00E7531D" w:rsidRPr="00311D79" w:rsidRDefault="00F564A6">
      <w:pPr>
        <w:widowControl w:val="0"/>
        <w:pBdr>
          <w:top w:val="nil"/>
          <w:left w:val="nil"/>
          <w:bottom w:val="nil"/>
          <w:right w:val="nil"/>
          <w:between w:val="nil"/>
        </w:pBdr>
        <w:spacing w:after="160" w:line="259" w:lineRule="auto"/>
        <w:rPr>
          <w:rFonts w:ascii="Calibri" w:eastAsia="Calibri" w:hAnsi="Calibri" w:cs="Calibri"/>
          <w:b/>
        </w:rPr>
      </w:pPr>
      <w:r w:rsidRPr="00311D79">
        <w:rPr>
          <w:rFonts w:ascii="Calibri" w:eastAsia="Calibri" w:hAnsi="Calibri" w:cs="Calibri"/>
          <w:b/>
        </w:rPr>
        <w:t>Marco normativo</w:t>
      </w:r>
    </w:p>
    <w:p w:rsidR="00E7531D" w:rsidRPr="00311D79" w:rsidRDefault="00F564A6">
      <w:pPr>
        <w:widowControl w:val="0"/>
        <w:pBdr>
          <w:top w:val="nil"/>
          <w:left w:val="nil"/>
          <w:bottom w:val="nil"/>
          <w:right w:val="nil"/>
          <w:between w:val="nil"/>
        </w:pBdr>
        <w:spacing w:after="160" w:line="259" w:lineRule="auto"/>
        <w:rPr>
          <w:rFonts w:ascii="Calibri" w:eastAsia="Calibri" w:hAnsi="Calibri" w:cs="Calibri"/>
        </w:rPr>
      </w:pPr>
      <w:r w:rsidRPr="00311D79">
        <w:rPr>
          <w:rFonts w:ascii="Calibri" w:eastAsia="Calibri" w:hAnsi="Calibri" w:cs="Calibri"/>
        </w:rPr>
        <w:t>Artículo 19 de la Ley 2155 de 2019:</w:t>
      </w:r>
    </w:p>
    <w:p w:rsidR="00E7531D" w:rsidRDefault="00F564A6">
      <w:pPr>
        <w:widowControl w:val="0"/>
        <w:pBdr>
          <w:top w:val="nil"/>
          <w:left w:val="nil"/>
          <w:bottom w:val="nil"/>
          <w:right w:val="nil"/>
          <w:between w:val="nil"/>
        </w:pBdr>
        <w:spacing w:after="160" w:line="259" w:lineRule="auto"/>
        <w:ind w:left="720"/>
        <w:jc w:val="both"/>
        <w:rPr>
          <w:rFonts w:ascii="Calibri" w:eastAsia="Calibri" w:hAnsi="Calibri" w:cs="Calibri"/>
        </w:rPr>
      </w:pPr>
      <w:r w:rsidRPr="00311D79">
        <w:rPr>
          <w:rFonts w:ascii="Calibri" w:eastAsia="Calibri" w:hAnsi="Calibri" w:cs="Calibri"/>
        </w:rPr>
        <w:t xml:space="preserve">ARTÍCULO 19°. PLAN DE AUSTERIDAD Y EFICIENCIA EN EL GASTO PÚBLICO. En desarrollo del mandato del artículo 209 de la Constitución Política y con el compromiso de reducir el Gasto Público, en el marco de una política de austeridad, </w:t>
      </w:r>
      <w:r w:rsidRPr="00311D79">
        <w:rPr>
          <w:rFonts w:ascii="Calibri" w:eastAsia="Calibri" w:hAnsi="Calibri" w:cs="Calibri"/>
        </w:rPr>
        <w:lastRenderedPageBreak/>
        <w:t>eficiencia y efectividad en el uso de los recursos públicos, durante los siguientes 10 años contados a partir de la entrada en vigencia de la presente ley, el Gobierno nacional anualmente reglamentará mediante decreto un Plan de Austeridad del gasto para cada vigencia fiscal aplicable a los órganos que hacen parte del Presupuesto General de la Nación (...).</w:t>
      </w:r>
    </w:p>
    <w:p w:rsidR="00CC5D4F" w:rsidRPr="00311D79" w:rsidRDefault="00CC5D4F">
      <w:pPr>
        <w:widowControl w:val="0"/>
        <w:pBdr>
          <w:top w:val="nil"/>
          <w:left w:val="nil"/>
          <w:bottom w:val="nil"/>
          <w:right w:val="nil"/>
          <w:between w:val="nil"/>
        </w:pBdr>
        <w:spacing w:after="160" w:line="259" w:lineRule="auto"/>
        <w:ind w:left="720"/>
        <w:jc w:val="both"/>
        <w:rPr>
          <w:rFonts w:ascii="Calibri" w:eastAsia="Calibri" w:hAnsi="Calibri" w:cs="Calibri"/>
        </w:rPr>
      </w:pPr>
    </w:p>
    <w:p w:rsidR="00725840" w:rsidRPr="00311D79" w:rsidRDefault="00725840" w:rsidP="00725840">
      <w:pPr>
        <w:pStyle w:val="Prrafodelista"/>
        <w:widowControl w:val="0"/>
        <w:numPr>
          <w:ilvl w:val="0"/>
          <w:numId w:val="4"/>
        </w:numPr>
        <w:pBdr>
          <w:top w:val="nil"/>
          <w:left w:val="nil"/>
          <w:bottom w:val="nil"/>
          <w:right w:val="nil"/>
          <w:between w:val="nil"/>
        </w:pBdr>
        <w:jc w:val="both"/>
        <w:rPr>
          <w:b/>
          <w:sz w:val="24"/>
          <w:szCs w:val="24"/>
        </w:rPr>
      </w:pPr>
      <w:r w:rsidRPr="00311D79">
        <w:rPr>
          <w:b/>
          <w:sz w:val="24"/>
          <w:szCs w:val="24"/>
        </w:rPr>
        <w:t>RELACIÓN DE POSIBLES CONFLICTOS DE INTERÉS</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b/>
        </w:rPr>
      </w:pP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rPr>
      </w:pPr>
      <w:r w:rsidRPr="00311D79">
        <w:rPr>
          <w:rFonts w:ascii="Calibri" w:eastAsia="Calibri" w:hAnsi="Calibri" w:cs="Calibri"/>
        </w:rPr>
        <w:t>Según lo establecido en el artículo 3 de la Ley 2003 del 19 de noviembre de 2019, por la cual se modifica el artículo 291 de la Ley 5ª de 1992, “</w:t>
      </w:r>
      <w:r w:rsidRPr="00311D79">
        <w:rPr>
          <w:rFonts w:ascii="Calibri" w:eastAsia="Calibri" w:hAnsi="Calibri" w:cs="Calibri"/>
          <w:i/>
        </w:rPr>
        <w:t>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w:t>
      </w:r>
      <w:r w:rsidRPr="00311D79">
        <w:rPr>
          <w:rFonts w:ascii="Calibri" w:eastAsia="Calibri" w:hAnsi="Calibri" w:cs="Calibri"/>
        </w:rPr>
        <w:t xml:space="preserve">r”.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rPr>
      </w:pPr>
      <w:r w:rsidRPr="00311D79">
        <w:rPr>
          <w:rFonts w:ascii="Calibri" w:eastAsia="Calibri" w:hAnsi="Calibri" w:cs="Calibri"/>
        </w:rPr>
        <w:t>Por otra parte, el artículo 286 de la Ley 5 de 1992 expresa lo siguiente:</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Artículo 286. Régimen de conflicto de interés de los congresistas.</w:t>
      </w:r>
      <w:r w:rsidRPr="00311D79">
        <w:rPr>
          <w:rFonts w:ascii="Calibri" w:eastAsia="Calibri" w:hAnsi="Calibri" w:cs="Calibri"/>
          <w:i/>
        </w:rPr>
        <w:t xml:space="preserve"> Todos los congresistas deberán declarar los conflictos de intereses que pudieran surgir en ejercicio de sus funciones.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i/>
        </w:rPr>
        <w:t xml:space="preserve">Se entiende como conflicto de interés una situación donde la discusión o votación de un proyecto de ley o acto legislativo o artículo, pueda resultar en un beneficio particular, actual y directo a favor del congresista.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 xml:space="preserve">a) </w:t>
      </w:r>
      <w:r w:rsidRPr="00311D79">
        <w:rPr>
          <w:rFonts w:ascii="Calibri" w:eastAsia="Calibri" w:hAnsi="Calibri" w:cs="Calibri"/>
          <w:i/>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b)</w:t>
      </w:r>
      <w:r w:rsidRPr="00311D79">
        <w:rPr>
          <w:rFonts w:ascii="Calibri" w:eastAsia="Calibri" w:hAnsi="Calibri" w:cs="Calibri"/>
          <w:i/>
        </w:rPr>
        <w:t xml:space="preserve"> Beneficio actual: aquel que efectivamente se configura en las circuns­tancias presentes y existentes al momento en el que el congresista participa de la decisión.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 xml:space="preserve">c) </w:t>
      </w:r>
      <w:r w:rsidRPr="00311D79">
        <w:rPr>
          <w:rFonts w:ascii="Calibri" w:eastAsia="Calibri" w:hAnsi="Calibri" w:cs="Calibri"/>
          <w:i/>
        </w:rPr>
        <w:t xml:space="preserve">Beneficio directo: aquel que se produzca de forma específica respecto del congresista, de su cónyuge, compañero o compañera permanente, o parientes dentro del segundo grado de consanguinidad, segundo de afinidad o primero civil.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i/>
        </w:rPr>
        <w:t xml:space="preserve">Para todos los efectos se entiende que no hay conflicto de interés en las siguientes circunstancias: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lastRenderedPageBreak/>
        <w:t>a)</w:t>
      </w:r>
      <w:r w:rsidRPr="00311D79">
        <w:rPr>
          <w:rFonts w:ascii="Calibri" w:eastAsia="Calibri" w:hAnsi="Calibri" w:cs="Calibri"/>
          <w:i/>
        </w:rPr>
        <w:t xml:space="preserve"> Cuando el congresista participe, discuta, vote un proyecto de ley o de acto legislativo que otorgue beneficios o cargos de carácter general, es decir cuando el interés del congresista coincide o se fusione con los intereses de los electores.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b)</w:t>
      </w:r>
      <w:r w:rsidRPr="00311D79">
        <w:rPr>
          <w:rFonts w:ascii="Calibri" w:eastAsia="Calibri" w:hAnsi="Calibri" w:cs="Calibri"/>
          <w:i/>
        </w:rPr>
        <w:t xml:space="preserve"> Cuando el beneficio podría o no configurarse para el congresista en el futuro.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 xml:space="preserve">c) </w:t>
      </w:r>
      <w:r w:rsidRPr="00311D79">
        <w:rPr>
          <w:rFonts w:ascii="Calibri" w:eastAsia="Calibri" w:hAnsi="Calibri" w:cs="Calibri"/>
          <w:i/>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d)</w:t>
      </w:r>
      <w:r w:rsidRPr="00311D79">
        <w:rPr>
          <w:rFonts w:ascii="Calibri" w:eastAsia="Calibri" w:hAnsi="Calibri" w:cs="Calibri"/>
          <w:i/>
        </w:rPr>
        <w:t xml:space="preserve">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f)</w:t>
      </w:r>
      <w:r w:rsidRPr="00311D79">
        <w:rPr>
          <w:rFonts w:ascii="Calibri" w:eastAsia="Calibri" w:hAnsi="Calibri" w:cs="Calibri"/>
          <w:i/>
        </w:rPr>
        <w:t xml:space="preserve"> Cuando el congresista participa en la elección de otros servidores pú­blicos mediante el voto secreto. Se exceptúan los casos en que se presenten inhabilidades referidas al parentesco con los candidatos.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 xml:space="preserve">Parágrafo 1°. </w:t>
      </w:r>
      <w:r w:rsidRPr="00311D79">
        <w:rPr>
          <w:rFonts w:ascii="Calibri" w:eastAsia="Calibri" w:hAnsi="Calibri" w:cs="Calibri"/>
          <w:i/>
        </w:rPr>
        <w:t xml:space="preserve">Entiéndase por conflicto de interés moral aquel que presentan los congresistas cuando por razones de conciencia se quieran apartar de la discusión y votación del proyecto.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Parágrafo 2°.</w:t>
      </w:r>
      <w:r w:rsidRPr="00311D79">
        <w:rPr>
          <w:rFonts w:ascii="Calibri" w:eastAsia="Calibri" w:hAnsi="Calibri" w:cs="Calibri"/>
          <w:i/>
        </w:rPr>
        <w:t xml:space="preserve"> Cuando se trate de funciones judiciales, disciplinarias o fiscales de los congresistas, sobre conflicto de interés se aplicará la norma especial que rige ese tipo de investigación. </w:t>
      </w:r>
    </w:p>
    <w:p w:rsidR="00725840" w:rsidRPr="00311D79" w:rsidRDefault="00725840" w:rsidP="00725840">
      <w:pPr>
        <w:widowControl w:val="0"/>
        <w:pBdr>
          <w:top w:val="nil"/>
          <w:left w:val="nil"/>
          <w:bottom w:val="nil"/>
          <w:right w:val="nil"/>
          <w:between w:val="nil"/>
        </w:pBdr>
        <w:spacing w:after="160" w:line="259" w:lineRule="auto"/>
        <w:jc w:val="both"/>
        <w:rPr>
          <w:rFonts w:ascii="Calibri" w:eastAsia="Calibri" w:hAnsi="Calibri" w:cs="Calibri"/>
          <w:i/>
        </w:rPr>
      </w:pPr>
      <w:r w:rsidRPr="00311D79">
        <w:rPr>
          <w:rFonts w:ascii="Calibri" w:eastAsia="Calibri" w:hAnsi="Calibri" w:cs="Calibri"/>
          <w:b/>
          <w:i/>
        </w:rPr>
        <w:t xml:space="preserve">Parágrafo 3°. </w:t>
      </w:r>
      <w:r w:rsidRPr="00311D79">
        <w:rPr>
          <w:rFonts w:ascii="Calibri" w:eastAsia="Calibri" w:hAnsi="Calibri" w:cs="Calibri"/>
          <w:i/>
        </w:rPr>
        <w:t>Igualmente se aplicará el régimen de conflicto de intereses para todos y cada uno de los actores que presenten, discutan o participen de cualquier iniciativa legislativa, conforme al artículo 140 de la Ley 5a de 1992.</w:t>
      </w:r>
    </w:p>
    <w:p w:rsidR="00725840" w:rsidRPr="00311D79" w:rsidRDefault="00725840" w:rsidP="00F564A6">
      <w:pPr>
        <w:widowControl w:val="0"/>
        <w:pBdr>
          <w:top w:val="nil"/>
          <w:left w:val="nil"/>
          <w:bottom w:val="nil"/>
          <w:right w:val="nil"/>
          <w:between w:val="nil"/>
        </w:pBdr>
        <w:spacing w:after="160" w:line="259" w:lineRule="auto"/>
        <w:jc w:val="both"/>
        <w:rPr>
          <w:rFonts w:ascii="Calibri" w:eastAsia="Calibri" w:hAnsi="Calibri" w:cs="Calibri"/>
        </w:rPr>
      </w:pPr>
      <w:r w:rsidRPr="00311D79">
        <w:rPr>
          <w:rFonts w:ascii="Calibri" w:eastAsia="Calibri" w:hAnsi="Calibri" w:cs="Calibri"/>
        </w:rPr>
        <w:t xml:space="preserve">En tal sentido, no se evidencian circunstancias o eventos que podrían generar un conflicto de interés para la discusión y votación del presente proyecto de Ley por parte de los congresistas, dada la delimitación de su objeto al ámbito ejecutivo y administrativo de las entidades señaladas.  </w:t>
      </w:r>
    </w:p>
    <w:p w:rsidR="00311D79" w:rsidRDefault="00311D79" w:rsidP="00F564A6">
      <w:pPr>
        <w:widowControl w:val="0"/>
        <w:pBdr>
          <w:top w:val="nil"/>
          <w:left w:val="nil"/>
          <w:bottom w:val="nil"/>
          <w:right w:val="nil"/>
          <w:between w:val="nil"/>
        </w:pBdr>
        <w:spacing w:after="160" w:line="259" w:lineRule="auto"/>
        <w:jc w:val="both"/>
        <w:rPr>
          <w:rFonts w:ascii="Calibri" w:eastAsia="Calibri" w:hAnsi="Calibri" w:cs="Calibri"/>
        </w:rPr>
      </w:pPr>
    </w:p>
    <w:p w:rsidR="00E7531D" w:rsidRPr="00725840" w:rsidRDefault="00F564A6" w:rsidP="00725840">
      <w:pPr>
        <w:pStyle w:val="Prrafodelista"/>
        <w:widowControl w:val="0"/>
        <w:numPr>
          <w:ilvl w:val="0"/>
          <w:numId w:val="20"/>
        </w:numPr>
        <w:pBdr>
          <w:top w:val="nil"/>
          <w:left w:val="nil"/>
          <w:bottom w:val="nil"/>
          <w:right w:val="nil"/>
          <w:between w:val="nil"/>
        </w:pBdr>
        <w:rPr>
          <w:rFonts w:asciiTheme="minorHAnsi" w:hAnsiTheme="minorHAnsi" w:cstheme="minorHAnsi"/>
          <w:b/>
          <w:color w:val="000000"/>
          <w:sz w:val="24"/>
          <w:szCs w:val="24"/>
        </w:rPr>
      </w:pPr>
      <w:r w:rsidRPr="00725840">
        <w:rPr>
          <w:rFonts w:asciiTheme="minorHAnsi" w:hAnsiTheme="minorHAnsi" w:cstheme="minorHAnsi"/>
          <w:b/>
          <w:sz w:val="24"/>
          <w:szCs w:val="24"/>
        </w:rPr>
        <w:t>IMPACTO FISCAL</w:t>
      </w:r>
    </w:p>
    <w:p w:rsidR="00E7531D" w:rsidRPr="00725840" w:rsidRDefault="00F564A6">
      <w:pPr>
        <w:widowControl w:val="0"/>
        <w:spacing w:before="240" w:after="240" w:line="276" w:lineRule="auto"/>
        <w:jc w:val="both"/>
        <w:rPr>
          <w:rFonts w:asciiTheme="minorHAnsi" w:eastAsia="Arial" w:hAnsiTheme="minorHAnsi" w:cstheme="minorHAnsi"/>
          <w:highlight w:val="white"/>
        </w:rPr>
      </w:pPr>
      <w:r w:rsidRPr="00725840">
        <w:rPr>
          <w:rFonts w:asciiTheme="minorHAnsi" w:eastAsia="Arial" w:hAnsiTheme="minorHAnsi" w:cstheme="minorHAnsi"/>
          <w:highlight w:val="white"/>
        </w:rPr>
        <w:t xml:space="preserve">De conformidad al artículo 7 de la Ley 819 de 2003 </w:t>
      </w:r>
      <w:r w:rsidRPr="00725840">
        <w:rPr>
          <w:rFonts w:asciiTheme="minorHAnsi" w:eastAsia="Arial" w:hAnsiTheme="minorHAnsi" w:cstheme="minorHAnsi"/>
        </w:rPr>
        <w:t>“</w:t>
      </w:r>
      <w:r w:rsidRPr="00725840">
        <w:rPr>
          <w:rFonts w:asciiTheme="minorHAnsi" w:eastAsia="Arial" w:hAnsiTheme="minorHAnsi" w:cstheme="minorHAnsi"/>
          <w:i/>
        </w:rPr>
        <w:t xml:space="preserve">Análisis del impacto fiscal de las </w:t>
      </w:r>
      <w:r w:rsidRPr="00725840">
        <w:rPr>
          <w:rFonts w:asciiTheme="minorHAnsi" w:eastAsia="Arial" w:hAnsiTheme="minorHAnsi" w:cstheme="minorHAnsi"/>
          <w:i/>
        </w:rPr>
        <w:lastRenderedPageBreak/>
        <w:t>normas”</w:t>
      </w:r>
      <w:r w:rsidRPr="00725840">
        <w:rPr>
          <w:rFonts w:asciiTheme="minorHAnsi" w:eastAsia="Arial" w:hAnsiTheme="minorHAnsi" w:cstheme="minorHAnsi"/>
          <w:highlight w:val="white"/>
        </w:rPr>
        <w:t xml:space="preserve"> las iniciativas normativas que ordenen gasto u otorguen beneficios tributarios deben hacer explícito dicho gasto y la compatibilidad con el Marco Fiscal de Mediano Plazo. </w:t>
      </w:r>
    </w:p>
    <w:p w:rsidR="00E7531D" w:rsidRPr="00725840" w:rsidRDefault="00F564A6">
      <w:pPr>
        <w:widowControl w:val="0"/>
        <w:spacing w:before="240" w:after="240" w:line="276" w:lineRule="auto"/>
        <w:jc w:val="both"/>
        <w:rPr>
          <w:rFonts w:asciiTheme="minorHAnsi" w:eastAsia="Arial" w:hAnsiTheme="minorHAnsi" w:cstheme="minorHAnsi"/>
          <w:highlight w:val="white"/>
        </w:rPr>
      </w:pPr>
      <w:r w:rsidRPr="00725840">
        <w:rPr>
          <w:rFonts w:asciiTheme="minorHAnsi" w:eastAsia="Arial" w:hAnsiTheme="minorHAnsi" w:cstheme="minorHAnsi"/>
          <w:highlight w:val="white"/>
        </w:rPr>
        <w:t>No obstante, la Corte Constitucional ha precisado en su jurisprudencia –a manera de ejemplo se aprecia la Sentencia C-502 de 2007- que el Análisis del Impacto Fiscal de las Normas se trata de un criterio de racionalización de la actividad legislativa lo cual no puede suponer un veto sobre la misma.</w:t>
      </w:r>
    </w:p>
    <w:p w:rsidR="00E7531D" w:rsidRPr="00725840" w:rsidRDefault="00F564A6">
      <w:pPr>
        <w:widowControl w:val="0"/>
        <w:spacing w:before="240" w:after="240" w:line="276" w:lineRule="auto"/>
        <w:jc w:val="both"/>
        <w:rPr>
          <w:rFonts w:asciiTheme="minorHAnsi" w:eastAsia="Arial" w:hAnsiTheme="minorHAnsi" w:cstheme="minorHAnsi"/>
          <w:highlight w:val="white"/>
        </w:rPr>
      </w:pPr>
      <w:r w:rsidRPr="00725840">
        <w:rPr>
          <w:rFonts w:asciiTheme="minorHAnsi" w:eastAsia="Arial" w:hAnsiTheme="minorHAnsi" w:cstheme="minorHAnsi"/>
          <w:highlight w:val="white"/>
        </w:rPr>
        <w:t>De igual manera, debemos señalar que los gastos que se generen de la presente iniciativa legislativa se deben entender como incluidos en los presupuestos y en el Plan Operativo Anual de Inversión al cual haya lugar.</w:t>
      </w:r>
    </w:p>
    <w:p w:rsidR="00E7531D" w:rsidRPr="00725840" w:rsidRDefault="00F564A6">
      <w:pPr>
        <w:widowControl w:val="0"/>
        <w:spacing w:before="240" w:after="240" w:line="276" w:lineRule="auto"/>
        <w:ind w:right="80"/>
        <w:jc w:val="both"/>
        <w:rPr>
          <w:rFonts w:asciiTheme="minorHAnsi" w:eastAsia="Arial" w:hAnsiTheme="minorHAnsi" w:cstheme="minorHAnsi"/>
        </w:rPr>
      </w:pPr>
      <w:r w:rsidRPr="00725840">
        <w:rPr>
          <w:rFonts w:asciiTheme="minorHAnsi" w:eastAsia="Arial" w:hAnsiTheme="minorHAnsi" w:cstheme="minorHAnsi"/>
        </w:rPr>
        <w:t>Así las cosas, posterior a la promulgación del presente proyecto de Ley, el Gobierno Nacional deberá promover y realizar acciones tendientes a su ejercicio y cumplimiento, lo anterior con observancia de la regla y el marco fiscales de mediano plazo, como lo plasmó la Corte Constitucional, en la Sentencia C- 490 del año 2011, en la cual señala a renglón seguido:</w:t>
      </w:r>
    </w:p>
    <w:p w:rsidR="00E7531D" w:rsidRPr="00725840" w:rsidRDefault="00F564A6">
      <w:pPr>
        <w:widowControl w:val="0"/>
        <w:spacing w:before="100" w:after="160" w:line="276" w:lineRule="auto"/>
        <w:ind w:left="760" w:right="780"/>
        <w:jc w:val="both"/>
        <w:rPr>
          <w:rFonts w:asciiTheme="minorHAnsi" w:eastAsia="Arial" w:hAnsiTheme="minorHAnsi" w:cstheme="minorHAnsi"/>
        </w:rPr>
      </w:pPr>
      <w:r w:rsidRPr="00725840">
        <w:rPr>
          <w:rFonts w:asciiTheme="minorHAnsi" w:eastAsia="Arial" w:hAnsiTheme="minorHAnsi" w:cstheme="minorHAnsi"/>
          <w:i/>
        </w:rPr>
        <w:t xml:space="preserve">“El mandato de adecuación entre la justificación de los proyectos de ley y la planeación de la política económica, </w:t>
      </w:r>
      <w:r w:rsidRPr="00725840">
        <w:rPr>
          <w:rFonts w:asciiTheme="minorHAnsi" w:eastAsia="Arial" w:hAnsiTheme="minorHAnsi" w:cstheme="minorHAnsi"/>
          <w:i/>
          <w:u w:val="single"/>
        </w:rPr>
        <w:t>empero, no puede comprenderse como un requisito de trámite para la aprobación de las iniciativas legislativas, cuyo cumplimiento recaiga exclusivamente en el Congreso.</w:t>
      </w:r>
      <w:r w:rsidRPr="00725840">
        <w:rPr>
          <w:rFonts w:asciiTheme="minorHAnsi" w:eastAsia="Arial" w:hAnsiTheme="minorHAnsi" w:cstheme="minorHAnsi"/>
          <w:i/>
        </w:rPr>
        <w:t xml:space="preserve">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sidRPr="00725840">
        <w:rPr>
          <w:rFonts w:asciiTheme="minorHAnsi" w:eastAsia="Arial" w:hAnsiTheme="minorHAnsi" w:cstheme="minorHAnsi"/>
        </w:rPr>
        <w:t xml:space="preserve"> (Subrayado fuera del texto, para resaltar idea)</w:t>
      </w:r>
    </w:p>
    <w:p w:rsidR="00E7531D" w:rsidRPr="00725840" w:rsidRDefault="00F564A6">
      <w:pPr>
        <w:widowControl w:val="0"/>
        <w:spacing w:before="240" w:after="240" w:line="276" w:lineRule="auto"/>
        <w:jc w:val="both"/>
        <w:rPr>
          <w:rFonts w:asciiTheme="minorHAnsi" w:eastAsia="Arial" w:hAnsiTheme="minorHAnsi" w:cstheme="minorHAnsi"/>
          <w:highlight w:val="white"/>
        </w:rPr>
      </w:pPr>
      <w:r w:rsidRPr="00725840">
        <w:rPr>
          <w:rFonts w:asciiTheme="minorHAnsi" w:eastAsia="Arial" w:hAnsiTheme="minorHAnsi" w:cstheme="minorHAnsi"/>
          <w:highlight w:val="white"/>
        </w:rPr>
        <w:t xml:space="preserve">De conformidad con lo anterior, y como lo ha resaltado la Corte Constitucional, el análisis del impacto fiscal de las iniciativas parlamentarias que se presenten no puede ser una </w:t>
      </w:r>
      <w:r w:rsidRPr="00725840">
        <w:rPr>
          <w:rFonts w:asciiTheme="minorHAnsi" w:eastAsia="Arial" w:hAnsiTheme="minorHAnsi" w:cstheme="minorHAnsi"/>
          <w:highlight w:val="white"/>
        </w:rPr>
        <w:lastRenderedPageBreak/>
        <w:t>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w:t>
      </w:r>
    </w:p>
    <w:p w:rsidR="00E7531D" w:rsidRPr="00725840" w:rsidRDefault="00F564A6">
      <w:pPr>
        <w:widowControl w:val="0"/>
        <w:spacing w:before="240" w:after="240" w:line="276" w:lineRule="auto"/>
        <w:jc w:val="both"/>
        <w:rPr>
          <w:rFonts w:asciiTheme="minorHAnsi" w:eastAsia="Arial" w:hAnsiTheme="minorHAnsi" w:cstheme="minorHAnsi"/>
          <w:highlight w:val="white"/>
        </w:rPr>
      </w:pPr>
      <w:r w:rsidRPr="00725840">
        <w:rPr>
          <w:rFonts w:asciiTheme="minorHAnsi" w:eastAsia="Arial" w:hAnsiTheme="minorHAnsi" w:cstheme="minorHAnsi"/>
          <w:highlight w:val="white"/>
        </w:rPr>
        <w:t>Es por ello que, el autor de esta iniciativa acompañará a ponentes a elevar la solicitud al Ministerio de Hacienda y Crédito Público sobre el posible impacto fiscal en el que pueda acarrear el presente Proyecto de Ley.</w:t>
      </w:r>
    </w:p>
    <w:p w:rsidR="00E7531D" w:rsidRPr="00725840" w:rsidRDefault="00F564A6">
      <w:pPr>
        <w:widowControl w:val="0"/>
        <w:spacing w:before="240" w:after="240" w:line="276" w:lineRule="auto"/>
        <w:jc w:val="both"/>
        <w:rPr>
          <w:rFonts w:asciiTheme="minorHAnsi" w:eastAsia="Calibri" w:hAnsiTheme="minorHAnsi" w:cstheme="minorHAnsi"/>
          <w:b/>
        </w:rPr>
      </w:pPr>
      <w:r w:rsidRPr="00725840">
        <w:rPr>
          <w:rFonts w:asciiTheme="minorHAnsi" w:eastAsia="Arial" w:hAnsiTheme="minorHAnsi" w:cstheme="minorHAnsi"/>
          <w:highlight w:val="white"/>
        </w:rPr>
        <w:t>Por lo anterior, pongo a disposición del Honorable Congreso de la República, la discusión y aprobación del presente Proyecto de Ley.</w:t>
      </w:r>
    </w:p>
    <w:p w:rsidR="00E7531D" w:rsidRDefault="00F564A6" w:rsidP="00725840">
      <w:pPr>
        <w:widowControl w:val="0"/>
        <w:numPr>
          <w:ilvl w:val="0"/>
          <w:numId w:val="20"/>
        </w:numPr>
        <w:pBdr>
          <w:top w:val="nil"/>
          <w:left w:val="nil"/>
          <w:bottom w:val="nil"/>
          <w:right w:val="nil"/>
          <w:between w:val="nil"/>
        </w:pBdr>
        <w:spacing w:after="160" w:line="259" w:lineRule="auto"/>
        <w:rPr>
          <w:rFonts w:ascii="Calibri" w:eastAsia="Calibri" w:hAnsi="Calibri" w:cs="Calibri"/>
          <w:b/>
          <w:color w:val="000000"/>
        </w:rPr>
      </w:pPr>
      <w:r>
        <w:rPr>
          <w:rFonts w:ascii="Calibri" w:eastAsia="Calibri" w:hAnsi="Calibri" w:cs="Calibri"/>
          <w:b/>
          <w:color w:val="000000"/>
        </w:rPr>
        <w:t>REFERENCIAS BIBLIOGRÁFICAS</w:t>
      </w:r>
    </w:p>
    <w:p w:rsidR="00E7531D" w:rsidRDefault="00E7531D">
      <w:pPr>
        <w:widowControl w:val="0"/>
        <w:ind w:left="480" w:hanging="480"/>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Akerman, Y. (2022, septiembre 26). </w:t>
      </w:r>
      <w:r>
        <w:rPr>
          <w:rFonts w:ascii="Calibri" w:eastAsia="Calibri" w:hAnsi="Calibri" w:cs="Calibri"/>
          <w:i/>
        </w:rPr>
        <w:t>Los perritos del fiscal Francisco Barbosa tienen escoltas y carro oficial</w:t>
      </w:r>
      <w:r>
        <w:rPr>
          <w:rFonts w:ascii="Calibri" w:eastAsia="Calibri" w:hAnsi="Calibri" w:cs="Calibri"/>
        </w:rPr>
        <w:t>. W Radio. Recuperado agosto 23, 2024, de https://www.wradio.com.co/2022/09/26/los-perritos-del-fiscal-francisco-barbosa-tienen-escoltas-y-carro-oficial/</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BanRep. (2024, marzo). </w:t>
      </w:r>
      <w:r>
        <w:rPr>
          <w:rFonts w:ascii="Calibri" w:eastAsia="Calibri" w:hAnsi="Calibri" w:cs="Calibri"/>
          <w:i/>
        </w:rPr>
        <w:t>Boletín sobre deuda pública</w:t>
      </w:r>
      <w:r>
        <w:rPr>
          <w:rFonts w:ascii="Calibri" w:eastAsia="Calibri" w:hAnsi="Calibri" w:cs="Calibri"/>
        </w:rPr>
        <w:t>. Recuperado Julio 17, 2024, de https://www.banrep.gov.co/es/boletin-deuda-publica</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Bautista, J. A., &amp; Sepúlveda Reyes, D. A. (2017, enero). Transparencia del Gasto Fiscal en Colombia. </w:t>
      </w:r>
      <w:proofErr w:type="spellStart"/>
      <w:r>
        <w:rPr>
          <w:rFonts w:ascii="Calibri" w:eastAsia="Calibri" w:hAnsi="Calibri" w:cs="Calibri"/>
          <w:i/>
        </w:rPr>
        <w:t>Science</w:t>
      </w:r>
      <w:proofErr w:type="spellEnd"/>
      <w:r>
        <w:rPr>
          <w:rFonts w:ascii="Calibri" w:eastAsia="Calibri" w:hAnsi="Calibri" w:cs="Calibri"/>
          <w:i/>
        </w:rPr>
        <w:t xml:space="preserve"> of Human </w:t>
      </w:r>
      <w:proofErr w:type="spellStart"/>
      <w:r>
        <w:rPr>
          <w:rFonts w:ascii="Calibri" w:eastAsia="Calibri" w:hAnsi="Calibri" w:cs="Calibri"/>
          <w:i/>
        </w:rPr>
        <w:t>Action</w:t>
      </w:r>
      <w:proofErr w:type="spellEnd"/>
      <w:r>
        <w:rPr>
          <w:rFonts w:ascii="Calibri" w:eastAsia="Calibri" w:hAnsi="Calibri" w:cs="Calibri"/>
        </w:rPr>
        <w:t xml:space="preserve">, </w:t>
      </w:r>
      <w:r>
        <w:rPr>
          <w:rFonts w:ascii="Calibri" w:eastAsia="Calibri" w:hAnsi="Calibri" w:cs="Calibri"/>
          <w:i/>
        </w:rPr>
        <w:t>2</w:t>
      </w:r>
      <w:r>
        <w:rPr>
          <w:rFonts w:ascii="Calibri" w:eastAsia="Calibri" w:hAnsi="Calibri" w:cs="Calibri"/>
        </w:rPr>
        <w:t>(1), 38 - 54. 10.21501/2500-669X.2321</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Cámara de Representantes. (n.d.). </w:t>
      </w:r>
      <w:r>
        <w:rPr>
          <w:rFonts w:ascii="Calibri" w:eastAsia="Calibri" w:hAnsi="Calibri" w:cs="Calibri"/>
          <w:i/>
        </w:rPr>
        <w:t>Proyecto de Ley 027/2021C - 046/2020S - Por medio de la cual se expide la Ley de Inversión Social y se dictan otras disposiciones</w:t>
      </w:r>
      <w:r>
        <w:rPr>
          <w:rFonts w:ascii="Calibri" w:eastAsia="Calibri" w:hAnsi="Calibri" w:cs="Calibri"/>
        </w:rPr>
        <w:t>. Cámara de Representantes. https://www.camara.gov.co/inversion-social</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Charry, S. (2022, noviembre 25). </w:t>
      </w:r>
      <w:r>
        <w:rPr>
          <w:rFonts w:ascii="Calibri" w:eastAsia="Calibri" w:hAnsi="Calibri" w:cs="Calibri"/>
          <w:i/>
        </w:rPr>
        <w:t>Francisco Barbosa pagó las empleadas del servicio de su casa con recursos públicos</w:t>
      </w:r>
      <w:r>
        <w:rPr>
          <w:rFonts w:ascii="Calibri" w:eastAsia="Calibri" w:hAnsi="Calibri" w:cs="Calibri"/>
        </w:rPr>
        <w:t>. Cambio. Recuperado agosto 23, 2024, de https://cambiocolombia.com/articulo/poder/francisco-barbosa-pago-las-empleadas-del-servicio-de-su-casa-con-recursos-publicos</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lastRenderedPageBreak/>
        <w:t xml:space="preserve">DANE. (2022). </w:t>
      </w:r>
      <w:r>
        <w:rPr>
          <w:rFonts w:ascii="Calibri" w:eastAsia="Calibri" w:hAnsi="Calibri" w:cs="Calibri"/>
          <w:i/>
        </w:rPr>
        <w:t>Ganancias y salarios laborales de la población ocupada. Enero – septiembre 2021-2019</w:t>
      </w:r>
      <w:r>
        <w:rPr>
          <w:rFonts w:ascii="Calibri" w:eastAsia="Calibri" w:hAnsi="Calibri" w:cs="Calibri"/>
        </w:rPr>
        <w:t>. Recuperado Julio 17, 2024, de https://www.dane.gov.co/files/investigaciones/boletines/ech/ech/presentacion-ganancias-salarios-laborales-poblacion-ocupada-enero-septiembre-2021-2019.pdf</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DANE. (2022, abril 26). </w:t>
      </w:r>
      <w:r>
        <w:rPr>
          <w:rFonts w:ascii="Calibri" w:eastAsia="Calibri" w:hAnsi="Calibri" w:cs="Calibri"/>
          <w:i/>
        </w:rPr>
        <w:t>Pobreza monetaria. Resultados 2021</w:t>
      </w:r>
      <w:r>
        <w:rPr>
          <w:rFonts w:ascii="Calibri" w:eastAsia="Calibri" w:hAnsi="Calibri" w:cs="Calibri"/>
        </w:rPr>
        <w:t>. Recuperado Julio 17, 2024, de https://www.dane.gov.co/files/investigaciones/condiciones_vida/pobreza/2021/Presentacion-pobreza-monetaria_2021.pdf</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DANE. (2024, junio 28). </w:t>
      </w:r>
      <w:r>
        <w:rPr>
          <w:rFonts w:ascii="Calibri" w:eastAsia="Calibri" w:hAnsi="Calibri" w:cs="Calibri"/>
          <w:i/>
        </w:rPr>
        <w:t>Mercado laboral. Estadísticas oficiales</w:t>
      </w:r>
      <w:r>
        <w:rPr>
          <w:rFonts w:ascii="Calibri" w:eastAsia="Calibri" w:hAnsi="Calibri" w:cs="Calibri"/>
        </w:rPr>
        <w:t>. Empleo y desocupación. Recuperado Julio 17, 2024, de https://www.dane.gov.co/index.php/estadisticas-por-tema/mercado-laboral/empleo-y-desempleo</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Méndez, M. (2024, mayo 4). Con aumento salarial, congresistas ganan más que promedio de los altos ejecutivos. </w:t>
      </w:r>
      <w:r>
        <w:rPr>
          <w:rFonts w:ascii="Calibri" w:eastAsia="Calibri" w:hAnsi="Calibri" w:cs="Calibri"/>
          <w:i/>
        </w:rPr>
        <w:t>LaRepublica.co</w:t>
      </w:r>
      <w:r>
        <w:rPr>
          <w:rFonts w:ascii="Calibri" w:eastAsia="Calibri" w:hAnsi="Calibri" w:cs="Calibri"/>
        </w:rPr>
        <w:t>. https://www.larepublica.co/economia/con-aumento-salarial-congresistas-ganan-mas-que-el-promedio-de-gerentes-de-empresas-3853716</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MinHacienda. (2024a, marzo). </w:t>
      </w:r>
      <w:r>
        <w:rPr>
          <w:rFonts w:ascii="Calibri" w:eastAsia="Calibri" w:hAnsi="Calibri" w:cs="Calibri"/>
          <w:i/>
        </w:rPr>
        <w:t>Comparativo de datos de austeridad del gasto por unidad ejecutora y categoría. Datos comparados (acumulados a 31 de diciembre) de las vigencias 2022 y 2023</w:t>
      </w:r>
      <w:r>
        <w:rPr>
          <w:rFonts w:ascii="Calibri" w:eastAsia="Calibri" w:hAnsi="Calibri" w:cs="Calibri"/>
        </w:rPr>
        <w:t>. Presupuesto Público Nacional. Recuperado Julio 22, 2024, de https://www.minhacienda.gov.co/webcenter/portal/EntOrdenNacional/pages_pgn</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MinHacienda. (2024b, mayo 28). </w:t>
      </w:r>
      <w:r>
        <w:rPr>
          <w:rFonts w:ascii="Calibri" w:eastAsia="Calibri" w:hAnsi="Calibri" w:cs="Calibri"/>
          <w:i/>
        </w:rPr>
        <w:t>Deuda Gobierno Nacional Central</w:t>
      </w:r>
      <w:r>
        <w:rPr>
          <w:rFonts w:ascii="Calibri" w:eastAsia="Calibri" w:hAnsi="Calibri" w:cs="Calibri"/>
        </w:rPr>
        <w:t>. Recuperado Julio 17, 2024, de https://www.minhacienda.gov.co/webcenter/portal/EntidadesFinancieras/pages_EntidadesFinancieras/PoliticaFiscal/dgg/deudagobiernonacionalcentral</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MinHacienda. (2024c, junio 30). </w:t>
      </w:r>
      <w:r>
        <w:rPr>
          <w:rFonts w:ascii="Calibri" w:eastAsia="Calibri" w:hAnsi="Calibri" w:cs="Calibri"/>
          <w:i/>
        </w:rPr>
        <w:t>Presupuesto General de la Nación - PGN - 2000-2024</w:t>
      </w:r>
      <w:r>
        <w:rPr>
          <w:rFonts w:ascii="Calibri" w:eastAsia="Calibri" w:hAnsi="Calibri" w:cs="Calibri"/>
        </w:rPr>
        <w:t>. Cifras Presupuestales Históricas. Recuperado Julio 23, 2024, de https://www.minhacienda.gov.co/webcenter/portal/EntOrdenNacional/pages_presupuestogralnacion/bitcoraeconmica?_afrLoop=1264723440464730&amp;_afrWindowMode=0&amp;Adf-Window-Id=w10prwnrbyx&amp;_afrPage=1&amp;_afrFS=16&amp;_afrMT=screen&amp;_afrMFW=1920&amp;_afrMFH=945&amp;_afrMFDW=1920&amp;_afr</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Observatorio Fiscal de la Pontificia Universidad Javeriana. (2023). </w:t>
      </w:r>
      <w:r>
        <w:rPr>
          <w:rFonts w:ascii="Calibri" w:eastAsia="Calibri" w:hAnsi="Calibri" w:cs="Calibri"/>
          <w:i/>
        </w:rPr>
        <w:t xml:space="preserve">Informe #46 </w:t>
      </w:r>
      <w:proofErr w:type="gramStart"/>
      <w:r>
        <w:rPr>
          <w:rFonts w:ascii="Calibri" w:eastAsia="Calibri" w:hAnsi="Calibri" w:cs="Calibri"/>
          <w:i/>
        </w:rPr>
        <w:t>Noviembre</w:t>
      </w:r>
      <w:proofErr w:type="gramEnd"/>
      <w:r>
        <w:rPr>
          <w:rFonts w:ascii="Calibri" w:eastAsia="Calibri" w:hAnsi="Calibri" w:cs="Calibri"/>
          <w:i/>
        </w:rPr>
        <w:t xml:space="preserve"> de 2023. ¿Cuánto devengan los funcionarios públicos de la Nación?</w:t>
      </w:r>
      <w:r>
        <w:rPr>
          <w:rFonts w:ascii="Calibri" w:eastAsia="Calibri" w:hAnsi="Calibri" w:cs="Calibri"/>
        </w:rPr>
        <w:t xml:space="preserve"> https://www.ofiscal.org/_files/ugd/d0c5ee_cf84ce9477f943e4b4a15b1e80a3c093.pdf</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lastRenderedPageBreak/>
        <w:t xml:space="preserve">Observatorio Fiscal de la Pontificia Universidad Javeriana. (2024). </w:t>
      </w:r>
      <w:r>
        <w:rPr>
          <w:rFonts w:ascii="Calibri" w:eastAsia="Calibri" w:hAnsi="Calibri" w:cs="Calibri"/>
          <w:i/>
        </w:rPr>
        <w:t xml:space="preserve">Informe #51 </w:t>
      </w:r>
      <w:proofErr w:type="gramStart"/>
      <w:r>
        <w:rPr>
          <w:rFonts w:ascii="Calibri" w:eastAsia="Calibri" w:hAnsi="Calibri" w:cs="Calibri"/>
          <w:i/>
        </w:rPr>
        <w:t>Mayo</w:t>
      </w:r>
      <w:proofErr w:type="gramEnd"/>
      <w:r>
        <w:rPr>
          <w:rFonts w:ascii="Calibri" w:eastAsia="Calibri" w:hAnsi="Calibri" w:cs="Calibri"/>
          <w:i/>
        </w:rPr>
        <w:t xml:space="preserve"> de 2024. Informe sobre la remuneración del empleo público en Colombia</w:t>
      </w:r>
      <w:r>
        <w:rPr>
          <w:rFonts w:ascii="Calibri" w:eastAsia="Calibri" w:hAnsi="Calibri" w:cs="Calibri"/>
        </w:rPr>
        <w:t>. Recuperado Julio 22, 2024, de https://www.ofiscal.org/_files/ugd/d0c5ee_f35d84b9b06348179efc6e495c58bcbf.pdf</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OECD. (2010). </w:t>
      </w:r>
      <w:r>
        <w:rPr>
          <w:rFonts w:ascii="Calibri" w:eastAsia="Calibri" w:hAnsi="Calibri" w:cs="Calibri"/>
          <w:i/>
        </w:rPr>
        <w:t>Mejores prácticas para la transparencia presupuestaria</w:t>
      </w:r>
      <w:r>
        <w:rPr>
          <w:rFonts w:ascii="Calibri" w:eastAsia="Calibri" w:hAnsi="Calibri" w:cs="Calibri"/>
        </w:rPr>
        <w:t>. https://www.oecd.org/gov/budgeting/best-practices-budget-transparency.htm</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OECD. (2014). La transparencia presupuestaria. In </w:t>
      </w:r>
      <w:r>
        <w:rPr>
          <w:rFonts w:ascii="Calibri" w:eastAsia="Calibri" w:hAnsi="Calibri" w:cs="Calibri"/>
          <w:i/>
        </w:rPr>
        <w:t>Panorama de las Administraciones Públicas: América Latina y el Caribe 2014: Innovación en la gestión financiera pública</w:t>
      </w:r>
      <w:r>
        <w:rPr>
          <w:rFonts w:ascii="Calibri" w:eastAsia="Calibri" w:hAnsi="Calibri" w:cs="Calibri"/>
        </w:rPr>
        <w:t xml:space="preserve"> (pp. 84 - 85). OECD Publishing. https://doi.org/10.1787/9789264211636-26-es.</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OECD. (2022). </w:t>
      </w:r>
      <w:r>
        <w:rPr>
          <w:rFonts w:ascii="Calibri" w:eastAsia="Calibri" w:hAnsi="Calibri" w:cs="Calibri"/>
          <w:i/>
        </w:rPr>
        <w:t>Estudios Económicos de la OCDE: Colombia 2022</w:t>
      </w:r>
      <w:r>
        <w:rPr>
          <w:rFonts w:ascii="Calibri" w:eastAsia="Calibri" w:hAnsi="Calibri" w:cs="Calibri"/>
        </w:rPr>
        <w:t>. OECD Publishing. https://doi.org/10.1787/04bf9377-en</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OECD, </w:t>
      </w:r>
      <w:proofErr w:type="spellStart"/>
      <w:r>
        <w:rPr>
          <w:rFonts w:ascii="Calibri" w:eastAsia="Calibri" w:hAnsi="Calibri" w:cs="Calibri"/>
        </w:rPr>
        <w:t>European</w:t>
      </w:r>
      <w:proofErr w:type="spellEnd"/>
      <w:r>
        <w:rPr>
          <w:rFonts w:ascii="Calibri" w:eastAsia="Calibri" w:hAnsi="Calibri" w:cs="Calibri"/>
        </w:rPr>
        <w:t xml:space="preserve"> </w:t>
      </w:r>
      <w:proofErr w:type="spellStart"/>
      <w:r>
        <w:rPr>
          <w:rFonts w:ascii="Calibri" w:eastAsia="Calibri" w:hAnsi="Calibri" w:cs="Calibri"/>
        </w:rPr>
        <w:t>Commission</w:t>
      </w:r>
      <w:proofErr w:type="spellEnd"/>
      <w:r>
        <w:rPr>
          <w:rFonts w:ascii="Calibri" w:eastAsia="Calibri" w:hAnsi="Calibri" w:cs="Calibri"/>
        </w:rPr>
        <w:t xml:space="preserve">, &amp; CAF </w:t>
      </w:r>
      <w:proofErr w:type="spellStart"/>
      <w:r>
        <w:rPr>
          <w:rFonts w:ascii="Calibri" w:eastAsia="Calibri" w:hAnsi="Calibri" w:cs="Calibri"/>
        </w:rPr>
        <w:t>Development</w:t>
      </w:r>
      <w:proofErr w:type="spellEnd"/>
      <w:r>
        <w:rPr>
          <w:rFonts w:ascii="Calibri" w:eastAsia="Calibri" w:hAnsi="Calibri" w:cs="Calibri"/>
        </w:rPr>
        <w:t xml:space="preserve"> Bank of </w:t>
      </w:r>
      <w:proofErr w:type="spellStart"/>
      <w:r>
        <w:rPr>
          <w:rFonts w:ascii="Calibri" w:eastAsia="Calibri" w:hAnsi="Calibri" w:cs="Calibri"/>
        </w:rPr>
        <w:t>Latin</w:t>
      </w:r>
      <w:proofErr w:type="spellEnd"/>
      <w:r>
        <w:rPr>
          <w:rFonts w:ascii="Calibri" w:eastAsia="Calibri" w:hAnsi="Calibri" w:cs="Calibri"/>
        </w:rPr>
        <w:t xml:space="preserve"> </w:t>
      </w:r>
      <w:proofErr w:type="spellStart"/>
      <w:r>
        <w:rPr>
          <w:rFonts w:ascii="Calibri" w:eastAsia="Calibri" w:hAnsi="Calibri" w:cs="Calibri"/>
        </w:rPr>
        <w:t>America</w:t>
      </w:r>
      <w:proofErr w:type="spellEnd"/>
      <w:r>
        <w:rPr>
          <w:rFonts w:ascii="Calibri" w:eastAsia="Calibri" w:hAnsi="Calibri" w:cs="Calibri"/>
        </w:rPr>
        <w:t xml:space="preserve"> and </w:t>
      </w:r>
      <w:proofErr w:type="spellStart"/>
      <w:r>
        <w:rPr>
          <w:rFonts w:ascii="Calibri" w:eastAsia="Calibri" w:hAnsi="Calibri" w:cs="Calibri"/>
        </w:rPr>
        <w:t>Economic</w:t>
      </w:r>
      <w:proofErr w:type="spellEnd"/>
      <w:r>
        <w:rPr>
          <w:rFonts w:ascii="Calibri" w:eastAsia="Calibri" w:hAnsi="Calibri" w:cs="Calibri"/>
        </w:rPr>
        <w:t xml:space="preserve"> </w:t>
      </w:r>
      <w:proofErr w:type="spellStart"/>
      <w:r>
        <w:rPr>
          <w:rFonts w:ascii="Calibri" w:eastAsia="Calibri" w:hAnsi="Calibri" w:cs="Calibri"/>
        </w:rPr>
        <w:t>Commission</w:t>
      </w:r>
      <w:proofErr w:type="spellEnd"/>
      <w:r>
        <w:rPr>
          <w:rFonts w:ascii="Calibri" w:eastAsia="Calibri" w:hAnsi="Calibri" w:cs="Calibri"/>
        </w:rPr>
        <w:t xml:space="preserve"> </w:t>
      </w:r>
      <w:proofErr w:type="spellStart"/>
      <w:r>
        <w:rPr>
          <w:rFonts w:ascii="Calibri" w:eastAsia="Calibri" w:hAnsi="Calibri" w:cs="Calibri"/>
        </w:rPr>
        <w:t>for</w:t>
      </w:r>
      <w:proofErr w:type="spellEnd"/>
      <w:r>
        <w:rPr>
          <w:rFonts w:ascii="Calibri" w:eastAsia="Calibri" w:hAnsi="Calibri" w:cs="Calibri"/>
        </w:rPr>
        <w:t xml:space="preserve"> </w:t>
      </w:r>
      <w:proofErr w:type="spellStart"/>
      <w:r>
        <w:rPr>
          <w:rFonts w:ascii="Calibri" w:eastAsia="Calibri" w:hAnsi="Calibri" w:cs="Calibri"/>
        </w:rPr>
        <w:t>Latin</w:t>
      </w:r>
      <w:proofErr w:type="spellEnd"/>
      <w:r>
        <w:rPr>
          <w:rFonts w:ascii="Calibri" w:eastAsia="Calibri" w:hAnsi="Calibri" w:cs="Calibri"/>
        </w:rPr>
        <w:t xml:space="preserve"> </w:t>
      </w:r>
      <w:proofErr w:type="spellStart"/>
      <w:r>
        <w:rPr>
          <w:rFonts w:ascii="Calibri" w:eastAsia="Calibri" w:hAnsi="Calibri" w:cs="Calibri"/>
        </w:rPr>
        <w:t>America</w:t>
      </w:r>
      <w:proofErr w:type="spellEnd"/>
      <w:r>
        <w:rPr>
          <w:rFonts w:ascii="Calibri" w:eastAsia="Calibri" w:hAnsi="Calibri" w:cs="Calibri"/>
        </w:rPr>
        <w:t xml:space="preserve"> and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Caribbean</w:t>
      </w:r>
      <w:proofErr w:type="spellEnd"/>
      <w:r>
        <w:rPr>
          <w:rFonts w:ascii="Calibri" w:eastAsia="Calibri" w:hAnsi="Calibri" w:cs="Calibri"/>
        </w:rPr>
        <w:t xml:space="preserve">. (2022). </w:t>
      </w:r>
      <w:r>
        <w:rPr>
          <w:rFonts w:ascii="Calibri" w:eastAsia="Calibri" w:hAnsi="Calibri" w:cs="Calibri"/>
          <w:i/>
        </w:rPr>
        <w:t>Perspectivas económicas de América Latina 2022. Hacia una transición verde y justa</w:t>
      </w:r>
      <w:r>
        <w:rPr>
          <w:rFonts w:ascii="Calibri" w:eastAsia="Calibri" w:hAnsi="Calibri" w:cs="Calibri"/>
        </w:rPr>
        <w:t>. OECD Publishing. https://doi.org/10.1787/f2f0c189-es.</w:t>
      </w:r>
    </w:p>
    <w:p w:rsidR="00F564A6" w:rsidRDefault="00F564A6" w:rsidP="00F564A6">
      <w:pPr>
        <w:widowControl w:val="0"/>
        <w:jc w:val="both"/>
        <w:rPr>
          <w:rFonts w:ascii="Calibri" w:eastAsia="Calibri" w:hAnsi="Calibri" w:cs="Calibri"/>
        </w:rPr>
      </w:pPr>
    </w:p>
    <w:p w:rsidR="00E7531D" w:rsidRDefault="00F564A6" w:rsidP="00F564A6">
      <w:pPr>
        <w:widowControl w:val="0"/>
        <w:jc w:val="both"/>
        <w:rPr>
          <w:rFonts w:ascii="Calibri" w:eastAsia="Calibri" w:hAnsi="Calibri" w:cs="Calibri"/>
        </w:rPr>
      </w:pPr>
      <w:r>
        <w:rPr>
          <w:rFonts w:ascii="Calibri" w:eastAsia="Calibri" w:hAnsi="Calibri" w:cs="Calibri"/>
        </w:rPr>
        <w:t xml:space="preserve">Oliva, N., &amp; Serrano, A. (2023, abril 11). </w:t>
      </w:r>
      <w:r>
        <w:rPr>
          <w:rFonts w:ascii="Calibri" w:eastAsia="Calibri" w:hAnsi="Calibri" w:cs="Calibri"/>
          <w:i/>
        </w:rPr>
        <w:t>Austeridad Republicana y ampliación de políticas sociales en México. (Análisis presupuestario a 4 años de AMLO). — CELAG</w:t>
      </w:r>
      <w:r>
        <w:rPr>
          <w:rFonts w:ascii="Calibri" w:eastAsia="Calibri" w:hAnsi="Calibri" w:cs="Calibri"/>
        </w:rPr>
        <w:t>. CELAG. Recuperado agosto 23, 2024, de https://www.celag.org/austeridad-republicana-y-ampliacion-de-politicas-sociales-en-mexico-analisis-presupuestario-a-4-anos-de-amlo/</w:t>
      </w:r>
    </w:p>
    <w:p w:rsidR="00E7531D" w:rsidRDefault="00E7531D">
      <w:pPr>
        <w:jc w:val="both"/>
        <w:rPr>
          <w:rFonts w:ascii="Calibri" w:eastAsia="Calibri" w:hAnsi="Calibri" w:cs="Calibri"/>
        </w:rPr>
      </w:pPr>
    </w:p>
    <w:p w:rsidR="00E7531D" w:rsidRPr="00F564A6" w:rsidRDefault="00F564A6">
      <w:pPr>
        <w:jc w:val="both"/>
        <w:rPr>
          <w:rFonts w:asciiTheme="minorHAnsi" w:eastAsia="Calibri" w:hAnsiTheme="minorHAnsi" w:cstheme="minorHAnsi"/>
        </w:rPr>
      </w:pPr>
      <w:r w:rsidRPr="00F564A6">
        <w:rPr>
          <w:rFonts w:asciiTheme="minorHAnsi" w:eastAsia="Calibri" w:hAnsiTheme="minorHAnsi" w:cstheme="minorHAnsi"/>
          <w:b/>
        </w:rPr>
        <w:t>Leyes y marcos normativos referenciados</w:t>
      </w:r>
    </w:p>
    <w:p w:rsidR="00E7531D" w:rsidRPr="00F564A6" w:rsidRDefault="00F564A6">
      <w:pPr>
        <w:numPr>
          <w:ilvl w:val="0"/>
          <w:numId w:val="18"/>
        </w:numPr>
        <w:spacing w:before="240"/>
        <w:jc w:val="both"/>
        <w:rPr>
          <w:rFonts w:asciiTheme="minorHAnsi" w:eastAsia="Calibri" w:hAnsiTheme="minorHAnsi" w:cstheme="minorHAnsi"/>
        </w:rPr>
      </w:pPr>
      <w:r w:rsidRPr="00F564A6">
        <w:rPr>
          <w:rFonts w:asciiTheme="minorHAnsi" w:eastAsia="Calibri" w:hAnsiTheme="minorHAnsi" w:cstheme="minorHAnsi"/>
        </w:rPr>
        <w:t>Ley 2155 de 2021. Por medio de la cual se expide la ley de inversión social y se dictan otras disposiciones. Diario oficial no. 51.797 de 14 de septiembre de 2021. Consultado en</w:t>
      </w:r>
      <w:hyperlink r:id="rId27">
        <w:r w:rsidRPr="00F564A6">
          <w:rPr>
            <w:rFonts w:asciiTheme="minorHAnsi" w:eastAsia="Calibri" w:hAnsiTheme="minorHAnsi" w:cstheme="minorHAnsi"/>
          </w:rPr>
          <w:t xml:space="preserve"> </w:t>
        </w:r>
      </w:hyperlink>
      <w:hyperlink r:id="rId28">
        <w:r w:rsidRPr="00F564A6">
          <w:rPr>
            <w:rFonts w:asciiTheme="minorHAnsi" w:eastAsia="Calibri" w:hAnsiTheme="minorHAnsi" w:cstheme="minorHAnsi"/>
            <w:color w:val="1155CC"/>
          </w:rPr>
          <w:t>http://www.secretariasenado.gov.co/senado/basedoc/ley_2155_2021.html</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Ley 2277 de 2022. Por medio de la cual se adopta una reforma tributaria para la igualdad y la justicia social y se dictan otras disposiciones. Diario oficial no. 52.247 de 13 de diciembre de 2022. Consultado en</w:t>
      </w:r>
      <w:hyperlink r:id="rId29">
        <w:r w:rsidRPr="00F564A6">
          <w:rPr>
            <w:rFonts w:asciiTheme="minorHAnsi" w:eastAsia="Calibri" w:hAnsiTheme="minorHAnsi" w:cstheme="minorHAnsi"/>
          </w:rPr>
          <w:t xml:space="preserve"> </w:t>
        </w:r>
      </w:hyperlink>
      <w:hyperlink r:id="rId30">
        <w:r w:rsidRPr="00F564A6">
          <w:rPr>
            <w:rFonts w:asciiTheme="minorHAnsi" w:eastAsia="Calibri" w:hAnsiTheme="minorHAnsi" w:cstheme="minorHAnsi"/>
            <w:color w:val="1155CC"/>
          </w:rPr>
          <w:t>http://www.secretariasenado.gov.co/senado/basedoc/ley_2277_2022.html</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Ley 1712 de 2014. Por medio de la cual se crea la Ley de Transparencia y del Derecho de Acceso a la Información Pública Nacional y se dictan otras disposiciones. Diario Oficial No. 49.084 de 6 de marzo de 2014.</w:t>
      </w:r>
      <w:hyperlink r:id="rId31">
        <w:r w:rsidRPr="00F564A6">
          <w:rPr>
            <w:rFonts w:asciiTheme="minorHAnsi" w:eastAsia="Calibri" w:hAnsiTheme="minorHAnsi" w:cstheme="minorHAnsi"/>
          </w:rPr>
          <w:t xml:space="preserve"> </w:t>
        </w:r>
      </w:hyperlink>
      <w:hyperlink r:id="rId32">
        <w:r w:rsidRPr="00F564A6">
          <w:rPr>
            <w:rFonts w:asciiTheme="minorHAnsi" w:eastAsia="Calibri" w:hAnsiTheme="minorHAnsi" w:cstheme="minorHAnsi"/>
            <w:color w:val="1155CC"/>
          </w:rPr>
          <w:t>http://www.secretariasenado.gov.co/senado/basedoc/ley_1712_2014.html</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lastRenderedPageBreak/>
        <w:t xml:space="preserve">Ley 4 de 1992. Mediante la cual se señalan las normas, objetivos y criterios que debe observar el Gobierno Nacional para la fijación del régimen salarial y prestacional de los empleados públicos, de los miembros del Congreso Nacional y de la Fuerza Pública y para la fijación de las prestaciones sociales de los Trabajadores Oficiales y se dictan otras disposiciones, de conformidad con lo establecido en el artículo </w:t>
      </w:r>
      <w:hyperlink r:id="rId33" w:anchor="150">
        <w:r w:rsidRPr="00F564A6">
          <w:rPr>
            <w:rFonts w:asciiTheme="minorHAnsi" w:eastAsia="Calibri" w:hAnsiTheme="minorHAnsi" w:cstheme="minorHAnsi"/>
            <w:color w:val="1155CC"/>
          </w:rPr>
          <w:t>150</w:t>
        </w:r>
      </w:hyperlink>
      <w:r w:rsidRPr="00F564A6">
        <w:rPr>
          <w:rFonts w:asciiTheme="minorHAnsi" w:eastAsia="Calibri" w:hAnsiTheme="minorHAnsi" w:cstheme="minorHAnsi"/>
        </w:rPr>
        <w:t>, numeral 19, literales e) y f) de la Constitución Política. Diario Oficial No. 40.451, de 18 de mayo de 1992. Consultado en</w:t>
      </w:r>
      <w:hyperlink r:id="rId34">
        <w:r w:rsidRPr="00F564A6">
          <w:rPr>
            <w:rFonts w:asciiTheme="minorHAnsi" w:eastAsia="Calibri" w:hAnsiTheme="minorHAnsi" w:cstheme="minorHAnsi"/>
          </w:rPr>
          <w:t xml:space="preserve"> </w:t>
        </w:r>
      </w:hyperlink>
      <w:hyperlink r:id="rId35">
        <w:r w:rsidRPr="00F564A6">
          <w:rPr>
            <w:rFonts w:asciiTheme="minorHAnsi" w:eastAsia="Calibri" w:hAnsiTheme="minorHAnsi" w:cstheme="minorHAnsi"/>
            <w:color w:val="1155CC"/>
          </w:rPr>
          <w:t>http://www.secretariasenado.gov.co/senado/basedoc/ley_0004_1992.html</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Decreto 1068 de 2015 Sector Hacienda y Crédito Público. “Por medio del cual se expide el Decreto Único Reglamentario del Sector Hacienda y Crédito Público”. Consultado en</w:t>
      </w:r>
      <w:hyperlink r:id="rId36">
        <w:r w:rsidRPr="00F564A6">
          <w:rPr>
            <w:rFonts w:asciiTheme="minorHAnsi" w:eastAsia="Calibri" w:hAnsiTheme="minorHAnsi" w:cstheme="minorHAnsi"/>
          </w:rPr>
          <w:t xml:space="preserve"> </w:t>
        </w:r>
      </w:hyperlink>
      <w:hyperlink r:id="rId37">
        <w:r w:rsidRPr="00F564A6">
          <w:rPr>
            <w:rFonts w:asciiTheme="minorHAnsi" w:eastAsia="Calibri" w:hAnsiTheme="minorHAnsi" w:cstheme="minorHAnsi"/>
            <w:color w:val="1155CC"/>
          </w:rPr>
          <w:t>https://www.funcionpublica.gov.co/eva/gestornormativo/norma.php?i=72893</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Decreto 1083 de 2015 Sector de Función Pública. Por medio del cual se expide el Decreto Único Reglamentario del Sector de Función Pública. Consultado en</w:t>
      </w:r>
      <w:hyperlink r:id="rId38">
        <w:r w:rsidRPr="00F564A6">
          <w:rPr>
            <w:rFonts w:asciiTheme="minorHAnsi" w:eastAsia="Calibri" w:hAnsiTheme="minorHAnsi" w:cstheme="minorHAnsi"/>
          </w:rPr>
          <w:t xml:space="preserve"> </w:t>
        </w:r>
      </w:hyperlink>
      <w:hyperlink r:id="rId39">
        <w:r w:rsidRPr="00F564A6">
          <w:rPr>
            <w:rFonts w:asciiTheme="minorHAnsi" w:eastAsia="Calibri" w:hAnsiTheme="minorHAnsi" w:cstheme="minorHAnsi"/>
            <w:color w:val="1155CC"/>
          </w:rPr>
          <w:t>https://www.funcionpublica.gov.co/eva/gestornormativo/norma.php?i=62866</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Decreto 648 de 2017. Por el cual se modifica y adiciona el Decreto 1083 de 2015, Reglamentario Único del Sector de la Función Pública. Consultado en</w:t>
      </w:r>
      <w:hyperlink r:id="rId40">
        <w:r w:rsidRPr="00F564A6">
          <w:rPr>
            <w:rFonts w:asciiTheme="minorHAnsi" w:eastAsia="Calibri" w:hAnsiTheme="minorHAnsi" w:cstheme="minorHAnsi"/>
          </w:rPr>
          <w:t xml:space="preserve"> </w:t>
        </w:r>
      </w:hyperlink>
      <w:hyperlink r:id="rId41">
        <w:r w:rsidRPr="00F564A6">
          <w:rPr>
            <w:rFonts w:asciiTheme="minorHAnsi" w:eastAsia="Calibri" w:hAnsiTheme="minorHAnsi" w:cstheme="minorHAnsi"/>
            <w:color w:val="1155CC"/>
          </w:rPr>
          <w:t>https://www.funcionpublica.gov.co/eva/gestornormativo/norma.php?i=80915</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Decreto Salariales 303 de 2024. Por el cual se fijan las escalas de viáticos. Consultado en</w:t>
      </w:r>
      <w:hyperlink r:id="rId42">
        <w:r w:rsidRPr="00F564A6">
          <w:rPr>
            <w:rFonts w:asciiTheme="minorHAnsi" w:eastAsia="Calibri" w:hAnsiTheme="minorHAnsi" w:cstheme="minorHAnsi"/>
          </w:rPr>
          <w:t xml:space="preserve"> </w:t>
        </w:r>
      </w:hyperlink>
      <w:hyperlink r:id="rId43">
        <w:r w:rsidRPr="00F564A6">
          <w:rPr>
            <w:rFonts w:asciiTheme="minorHAnsi" w:eastAsia="Calibri" w:hAnsiTheme="minorHAnsi" w:cstheme="minorHAnsi"/>
            <w:color w:val="1155CC"/>
          </w:rPr>
          <w:t>https://www.funcionpublica.gov.co/eva/gestornormativo/norma_pdf.php?i=234551</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Decreto 199 de 2024. Por el cual se establece el Plan de Austeridad del Gasto 2024 para los órganos que hacen parte del Presupuesto General de la Nación. Consultado en</w:t>
      </w:r>
      <w:hyperlink r:id="rId44" w:anchor=":~:text=El%20presente%20decreto%20tiene%20por,la%20vigencia%20fiscal%20del%202024">
        <w:r w:rsidRPr="00F564A6">
          <w:rPr>
            <w:rFonts w:asciiTheme="minorHAnsi" w:eastAsia="Calibri" w:hAnsiTheme="minorHAnsi" w:cstheme="minorHAnsi"/>
          </w:rPr>
          <w:t xml:space="preserve"> </w:t>
        </w:r>
      </w:hyperlink>
      <w:hyperlink r:id="rId45" w:anchor=":~:text=El%20presente%20decreto%20tiene%20por,la%20vigencia%20fiscal%20del%202024">
        <w:r w:rsidRPr="00F564A6">
          <w:rPr>
            <w:rFonts w:asciiTheme="minorHAnsi" w:eastAsia="Calibri" w:hAnsiTheme="minorHAnsi" w:cstheme="minorHAnsi"/>
            <w:color w:val="1155CC"/>
          </w:rPr>
          <w:t>https://www.funcionpublica.gov.co/eva/gestornormativo/norma.php?i=232990#:~:text=El%20presente%20decreto%20tiene%20por,la%20vigencia%20fiscal%20del%202024</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Decreto número 0550 de 2024. Por el cual se reajusta la asignación mensual para los miembros del congreso de la república para el año 2024. Consultado en</w:t>
      </w:r>
      <w:hyperlink r:id="rId46">
        <w:r w:rsidRPr="00F564A6">
          <w:rPr>
            <w:rFonts w:asciiTheme="minorHAnsi" w:eastAsia="Calibri" w:hAnsiTheme="minorHAnsi" w:cstheme="minorHAnsi"/>
          </w:rPr>
          <w:t xml:space="preserve"> </w:t>
        </w:r>
      </w:hyperlink>
      <w:hyperlink r:id="rId47">
        <w:r w:rsidRPr="00F564A6">
          <w:rPr>
            <w:rFonts w:asciiTheme="minorHAnsi" w:eastAsia="Calibri" w:hAnsiTheme="minorHAnsi" w:cstheme="minorHAnsi"/>
            <w:color w:val="1155CC"/>
          </w:rPr>
          <w:t>https://img.lalr.co/cms/2024/05/03085542/decreto-0550-de-2-de-mayo-de-2024.pdf</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 xml:space="preserve">Defensoría del Pueblo. Resolución No. 1159 de 09 de junio de </w:t>
      </w:r>
      <w:r>
        <w:rPr>
          <w:rFonts w:asciiTheme="minorHAnsi" w:eastAsia="Calibri" w:hAnsiTheme="minorHAnsi" w:cstheme="minorHAnsi"/>
        </w:rPr>
        <w:t>2023 “</w:t>
      </w:r>
      <w:r w:rsidRPr="00F564A6">
        <w:rPr>
          <w:rFonts w:asciiTheme="minorHAnsi" w:eastAsia="Calibri" w:hAnsiTheme="minorHAnsi" w:cstheme="minorHAnsi"/>
        </w:rPr>
        <w:t>Por la cual se establece la escala para el reconocimiento y pago de viáticos de los servidores públicos y gastos de desplazamiento de los contratistas de la Defensoría del Pueblo”. Disponible en</w:t>
      </w:r>
      <w:hyperlink r:id="rId48">
        <w:r w:rsidRPr="00F564A6">
          <w:rPr>
            <w:rFonts w:asciiTheme="minorHAnsi" w:eastAsia="Calibri" w:hAnsiTheme="minorHAnsi" w:cstheme="minorHAnsi"/>
          </w:rPr>
          <w:t xml:space="preserve"> </w:t>
        </w:r>
      </w:hyperlink>
      <w:hyperlink r:id="rId49">
        <w:r w:rsidRPr="00F564A6">
          <w:rPr>
            <w:rFonts w:asciiTheme="minorHAnsi" w:eastAsia="Calibri" w:hAnsiTheme="minorHAnsi" w:cstheme="minorHAnsi"/>
            <w:color w:val="1155CC"/>
          </w:rPr>
          <w:t>https://www.defensoria.gov.co/resoluciones</w:t>
        </w:r>
      </w:hyperlink>
    </w:p>
    <w:p w:rsidR="00E7531D" w:rsidRPr="00F564A6" w:rsidRDefault="00F564A6">
      <w:pPr>
        <w:numPr>
          <w:ilvl w:val="0"/>
          <w:numId w:val="18"/>
        </w:numPr>
        <w:jc w:val="both"/>
        <w:rPr>
          <w:rFonts w:asciiTheme="minorHAnsi" w:eastAsia="Calibri" w:hAnsiTheme="minorHAnsi" w:cstheme="minorHAnsi"/>
        </w:rPr>
      </w:pPr>
      <w:r w:rsidRPr="00F564A6">
        <w:rPr>
          <w:rFonts w:asciiTheme="minorHAnsi" w:eastAsia="Calibri" w:hAnsiTheme="minorHAnsi" w:cstheme="minorHAnsi"/>
        </w:rPr>
        <w:t xml:space="preserve">Gobernación departamental de Antioquia, a través del Decreto de 20 de noviembre de 2023 “Por el cual se fija las escalas de viáticos y se establecen otras disposiciones para los empleados públicos y trabajadores oficiales del Departamento de Antioquia y sus entidades descentralizadas”. Consultado en </w:t>
      </w:r>
      <w:hyperlink r:id="rId50">
        <w:r w:rsidRPr="00F564A6">
          <w:rPr>
            <w:rFonts w:asciiTheme="minorHAnsi" w:eastAsia="Calibri" w:hAnsiTheme="minorHAnsi" w:cstheme="minorHAnsi"/>
            <w:color w:val="1155CC"/>
          </w:rPr>
          <w:t>https://compilacionjuridica.antioquia.gov.co/compilacion/compilacion/docs/d_gobant_2023070005126_2023.htm</w:t>
        </w:r>
      </w:hyperlink>
    </w:p>
    <w:p w:rsidR="00E7531D" w:rsidRPr="00F564A6" w:rsidRDefault="00E7531D">
      <w:pPr>
        <w:jc w:val="both"/>
        <w:rPr>
          <w:rFonts w:asciiTheme="minorHAnsi" w:eastAsia="Calibri" w:hAnsiTheme="minorHAnsi" w:cstheme="minorHAnsi"/>
          <w:color w:val="1155CC"/>
        </w:rPr>
      </w:pPr>
    </w:p>
    <w:p w:rsidR="00E7531D" w:rsidRPr="00F564A6" w:rsidRDefault="00F564A6">
      <w:pPr>
        <w:jc w:val="both"/>
        <w:rPr>
          <w:rFonts w:asciiTheme="minorHAnsi" w:eastAsia="Calibri" w:hAnsiTheme="minorHAnsi" w:cstheme="minorHAnsi"/>
          <w:b/>
        </w:rPr>
      </w:pPr>
      <w:r w:rsidRPr="00F564A6">
        <w:rPr>
          <w:rFonts w:asciiTheme="minorHAnsi" w:eastAsia="Calibri" w:hAnsiTheme="minorHAnsi" w:cstheme="minorHAnsi"/>
          <w:b/>
        </w:rPr>
        <w:t>Cuadros y gráficas</w:t>
      </w:r>
    </w:p>
    <w:p w:rsidR="00E7531D" w:rsidRPr="00F564A6" w:rsidRDefault="00E7531D">
      <w:pPr>
        <w:rPr>
          <w:rFonts w:asciiTheme="minorHAnsi" w:eastAsia="Calibri" w:hAnsiTheme="minorHAnsi" w:cstheme="minorHAnsi"/>
        </w:rPr>
      </w:pP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Cuadro 1. Deuda neta del Sector Público No Financiero (SPNF)</w:t>
      </w: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Cuadro 2. Distribución porcentual de los ocupados por dominio geográfico según rangos de ingresos por ganancias y salarios laborales</w:t>
      </w: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Enero - septiembre (2019-2021)</w:t>
      </w: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Cuadro 3. Proyecciones de ahorro Exposición de Motivos Ley 2155 de 2021</w:t>
      </w: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Cuadro 4. Ahorro del gasto público producto del decreto de austeridad en el año 2020.</w:t>
      </w: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Cuadro 5. Ahorro del gasto público producto del decreto de austeridad en el año 2023</w:t>
      </w: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Cuadro 6. Proyección de Ahorro del gasto público para 2025</w:t>
      </w: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Cuadro 7. PGN 2024 Principales cuentas del gasto (Datos en miles de millones de pesos)</w:t>
      </w: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Cuadro 8. Apropiaciones Presupuesto General de la Nación-PGN- 2000 - 2018 discriminado por concepto</w:t>
      </w:r>
    </w:p>
    <w:p w:rsidR="00E7531D" w:rsidRPr="00F564A6" w:rsidRDefault="00E7531D">
      <w:pPr>
        <w:rPr>
          <w:rFonts w:asciiTheme="minorHAnsi" w:eastAsia="Calibri" w:hAnsiTheme="minorHAnsi" w:cstheme="minorHAnsi"/>
        </w:rPr>
      </w:pPr>
    </w:p>
    <w:p w:rsidR="00E7531D" w:rsidRPr="00F564A6" w:rsidRDefault="00F564A6">
      <w:pPr>
        <w:rPr>
          <w:rFonts w:asciiTheme="minorHAnsi" w:eastAsia="Calibri" w:hAnsiTheme="minorHAnsi" w:cstheme="minorHAnsi"/>
        </w:rPr>
      </w:pPr>
      <w:r w:rsidRPr="00F564A6">
        <w:rPr>
          <w:rFonts w:asciiTheme="minorHAnsi" w:eastAsia="Calibri" w:hAnsiTheme="minorHAnsi" w:cstheme="minorHAnsi"/>
        </w:rPr>
        <w:t>Gráfica 1. Ratio deuda pública bruta/impuestos en algunos países de América Latina</w:t>
      </w:r>
    </w:p>
    <w:p w:rsidR="00E7531D" w:rsidRPr="00F564A6" w:rsidRDefault="00F564A6">
      <w:pPr>
        <w:spacing w:after="160" w:line="259" w:lineRule="auto"/>
        <w:rPr>
          <w:rFonts w:asciiTheme="minorHAnsi" w:eastAsia="Calibri" w:hAnsiTheme="minorHAnsi" w:cstheme="minorHAnsi"/>
        </w:rPr>
      </w:pPr>
      <w:r w:rsidRPr="00F564A6">
        <w:rPr>
          <w:rFonts w:asciiTheme="minorHAnsi" w:eastAsia="Calibri" w:hAnsiTheme="minorHAnsi" w:cstheme="minorHAnsi"/>
        </w:rPr>
        <w:t>Gráfica 2. Resultados en 4 años de la Política de Austeridad Republicana en México.</w:t>
      </w:r>
    </w:p>
    <w:p w:rsidR="00E7531D" w:rsidRPr="00F564A6" w:rsidRDefault="00F564A6">
      <w:pPr>
        <w:spacing w:after="160" w:line="259" w:lineRule="auto"/>
        <w:rPr>
          <w:rFonts w:asciiTheme="minorHAnsi" w:eastAsia="Calibri" w:hAnsiTheme="minorHAnsi" w:cstheme="minorHAnsi"/>
        </w:rPr>
      </w:pPr>
      <w:r w:rsidRPr="00F564A6">
        <w:rPr>
          <w:rFonts w:asciiTheme="minorHAnsi" w:eastAsia="Calibri" w:hAnsiTheme="minorHAnsi" w:cstheme="minorHAnsi"/>
        </w:rPr>
        <w:t>Gráfica 3. Salario mensual de congresistas en dólares para el año 2024</w:t>
      </w:r>
    </w:p>
    <w:p w:rsidR="00E7531D" w:rsidRDefault="00E7531D">
      <w:pPr>
        <w:spacing w:after="160" w:line="259" w:lineRule="auto"/>
        <w:rPr>
          <w:rFonts w:ascii="Calibri" w:eastAsia="Calibri" w:hAnsi="Calibri" w:cs="Calibri"/>
        </w:rPr>
      </w:pPr>
    </w:p>
    <w:p w:rsidR="00F564A6" w:rsidRDefault="00F564A6">
      <w:pPr>
        <w:spacing w:after="160" w:line="259" w:lineRule="auto"/>
        <w:rPr>
          <w:rFonts w:ascii="Calibri" w:eastAsia="Calibri" w:hAnsi="Calibri" w:cs="Calibri"/>
        </w:rPr>
      </w:pPr>
    </w:p>
    <w:p w:rsidR="004A4AF3" w:rsidRDefault="004A4AF3">
      <w:pPr>
        <w:spacing w:after="160" w:line="259" w:lineRule="auto"/>
        <w:rPr>
          <w:rFonts w:ascii="Calibri" w:eastAsia="Calibri" w:hAnsi="Calibri" w:cs="Calibri"/>
        </w:rPr>
      </w:pPr>
    </w:p>
    <w:p w:rsidR="00F564A6" w:rsidRDefault="00F564A6">
      <w:pPr>
        <w:spacing w:after="160" w:line="259" w:lineRule="auto"/>
        <w:rPr>
          <w:rFonts w:ascii="Calibri" w:eastAsia="Calibri" w:hAnsi="Calibri" w:cs="Calibri"/>
        </w:rPr>
      </w:pPr>
    </w:p>
    <w:p w:rsidR="00CC5D4F" w:rsidRDefault="00CC5D4F">
      <w:pPr>
        <w:spacing w:after="160" w:line="259" w:lineRule="auto"/>
        <w:rPr>
          <w:rFonts w:ascii="Calibri" w:eastAsia="Calibri" w:hAnsi="Calibri" w:cs="Calibri"/>
        </w:rPr>
      </w:pPr>
    </w:p>
    <w:p w:rsidR="00CC5D4F" w:rsidRDefault="00CC5D4F">
      <w:pPr>
        <w:spacing w:after="160" w:line="259" w:lineRule="auto"/>
        <w:rPr>
          <w:rFonts w:ascii="Calibri" w:eastAsia="Calibri" w:hAnsi="Calibri" w:cs="Calibri"/>
        </w:rPr>
      </w:pPr>
    </w:p>
    <w:p w:rsidR="00CC5D4F" w:rsidRDefault="00CC5D4F">
      <w:pPr>
        <w:spacing w:after="160" w:line="259" w:lineRule="auto"/>
        <w:rPr>
          <w:rFonts w:ascii="Calibri" w:eastAsia="Calibri" w:hAnsi="Calibri" w:cs="Calibri"/>
        </w:rPr>
      </w:pPr>
    </w:p>
    <w:p w:rsidR="00CC5D4F" w:rsidRDefault="00CC5D4F">
      <w:pPr>
        <w:spacing w:after="160" w:line="259" w:lineRule="auto"/>
        <w:rPr>
          <w:rFonts w:ascii="Calibri" w:eastAsia="Calibri" w:hAnsi="Calibri" w:cs="Calibri"/>
        </w:rPr>
      </w:pPr>
    </w:p>
    <w:p w:rsidR="00CC5D4F" w:rsidRDefault="00CC5D4F">
      <w:pPr>
        <w:spacing w:after="160" w:line="259" w:lineRule="auto"/>
        <w:rPr>
          <w:rFonts w:ascii="Calibri" w:eastAsia="Calibri" w:hAnsi="Calibri" w:cs="Calibri"/>
        </w:rPr>
      </w:pPr>
    </w:p>
    <w:p w:rsidR="00CC5D4F" w:rsidRDefault="00CC5D4F">
      <w:pPr>
        <w:spacing w:after="160" w:line="259" w:lineRule="auto"/>
        <w:rPr>
          <w:rFonts w:ascii="Calibri" w:eastAsia="Calibri" w:hAnsi="Calibri" w:cs="Calibri"/>
        </w:rPr>
      </w:pPr>
    </w:p>
    <w:p w:rsidR="00CC5D4F" w:rsidRDefault="00CC5D4F">
      <w:pPr>
        <w:spacing w:after="160" w:line="259" w:lineRule="auto"/>
        <w:rPr>
          <w:rFonts w:ascii="Calibri" w:eastAsia="Calibri" w:hAnsi="Calibri" w:cs="Calibri"/>
        </w:rPr>
      </w:pPr>
    </w:p>
    <w:p w:rsidR="00E7531D" w:rsidRDefault="00E7531D">
      <w:pPr>
        <w:jc w:val="both"/>
        <w:rPr>
          <w:rFonts w:ascii="Calibri" w:eastAsia="Calibri" w:hAnsi="Calibri" w:cs="Calibri"/>
        </w:rPr>
      </w:pPr>
    </w:p>
    <w:p w:rsidR="00E7531D" w:rsidRDefault="00F564A6" w:rsidP="00725840">
      <w:pPr>
        <w:numPr>
          <w:ilvl w:val="0"/>
          <w:numId w:val="20"/>
        </w:numPr>
        <w:pBdr>
          <w:top w:val="nil"/>
          <w:left w:val="nil"/>
          <w:bottom w:val="nil"/>
          <w:right w:val="nil"/>
          <w:between w:val="nil"/>
        </w:pBdr>
        <w:spacing w:after="160" w:line="259" w:lineRule="auto"/>
        <w:jc w:val="both"/>
        <w:rPr>
          <w:rFonts w:ascii="Calibri" w:eastAsia="Calibri" w:hAnsi="Calibri" w:cs="Calibri"/>
          <w:b/>
        </w:rPr>
      </w:pPr>
      <w:r>
        <w:rPr>
          <w:rFonts w:ascii="Calibri" w:eastAsia="Calibri" w:hAnsi="Calibri" w:cs="Calibri"/>
          <w:b/>
        </w:rPr>
        <w:lastRenderedPageBreak/>
        <w:t>PROYECTO DE LEY</w:t>
      </w:r>
    </w:p>
    <w:p w:rsidR="00E7531D" w:rsidRDefault="00E7531D">
      <w:pPr>
        <w:jc w:val="center"/>
        <w:rPr>
          <w:rFonts w:ascii="Calibri" w:eastAsia="Calibri" w:hAnsi="Calibri" w:cs="Calibri"/>
          <w:b/>
        </w:rPr>
      </w:pPr>
    </w:p>
    <w:p w:rsidR="00E7531D" w:rsidRDefault="00F564A6">
      <w:pPr>
        <w:jc w:val="right"/>
        <w:rPr>
          <w:rFonts w:ascii="Calibri" w:eastAsia="Calibri" w:hAnsi="Calibri" w:cs="Calibri"/>
        </w:rPr>
      </w:pPr>
      <w:r>
        <w:rPr>
          <w:rFonts w:ascii="Calibri" w:eastAsia="Calibri" w:hAnsi="Calibri" w:cs="Calibri"/>
          <w:i/>
        </w:rPr>
        <w:t xml:space="preserve">“Por medio del cual se crea la Política de Austeridad Pública, se establece la obligatoriedad de los Planes de Austeridad del Gasto </w:t>
      </w:r>
      <w:r>
        <w:rPr>
          <w:rFonts w:ascii="Calibri" w:eastAsia="Calibri" w:hAnsi="Calibri" w:cs="Calibri"/>
          <w:i/>
          <w:highlight w:val="white"/>
        </w:rPr>
        <w:t>para los órganos que hacen parte del Presupuesto General de la Nación y se definen lineamientos para promover y priorizar la transparencia del gasto público</w:t>
      </w:r>
      <w:r>
        <w:rPr>
          <w:rFonts w:ascii="Calibri" w:eastAsia="Calibri" w:hAnsi="Calibri" w:cs="Calibri"/>
        </w:rPr>
        <w:t>”.</w:t>
      </w:r>
    </w:p>
    <w:p w:rsidR="00E7531D" w:rsidRDefault="00E7531D">
      <w:pPr>
        <w:jc w:val="center"/>
        <w:rPr>
          <w:rFonts w:ascii="Calibri" w:eastAsia="Calibri" w:hAnsi="Calibri" w:cs="Calibri"/>
          <w:b/>
        </w:rPr>
      </w:pPr>
    </w:p>
    <w:p w:rsidR="00E7531D" w:rsidRDefault="00E7531D">
      <w:pPr>
        <w:jc w:val="center"/>
        <w:rPr>
          <w:rFonts w:ascii="Calibri" w:eastAsia="Calibri" w:hAnsi="Calibri" w:cs="Calibri"/>
          <w:b/>
        </w:rPr>
      </w:pPr>
    </w:p>
    <w:p w:rsidR="00E7531D" w:rsidRDefault="00F564A6">
      <w:pPr>
        <w:jc w:val="center"/>
        <w:rPr>
          <w:rFonts w:ascii="Calibri" w:eastAsia="Calibri" w:hAnsi="Calibri" w:cs="Calibri"/>
        </w:rPr>
      </w:pPr>
      <w:r>
        <w:rPr>
          <w:rFonts w:ascii="Calibri" w:eastAsia="Calibri" w:hAnsi="Calibri" w:cs="Calibri"/>
        </w:rPr>
        <w:t>El Congreso de la República decreta</w:t>
      </w:r>
    </w:p>
    <w:p w:rsidR="00E7531D" w:rsidRDefault="00E7531D">
      <w:pPr>
        <w:jc w:val="both"/>
        <w:rPr>
          <w:rFonts w:ascii="Calibri" w:eastAsia="Calibri" w:hAnsi="Calibri" w:cs="Calibri"/>
        </w:rPr>
      </w:pPr>
    </w:p>
    <w:p w:rsidR="00E7531D" w:rsidRDefault="00F564A6">
      <w:pPr>
        <w:jc w:val="both"/>
        <w:rPr>
          <w:rFonts w:ascii="Calibri" w:eastAsia="Calibri" w:hAnsi="Calibri" w:cs="Calibri"/>
          <w:highlight w:val="white"/>
        </w:rPr>
      </w:pPr>
      <w:r>
        <w:rPr>
          <w:rFonts w:ascii="Calibri" w:eastAsia="Calibri" w:hAnsi="Calibri" w:cs="Calibri"/>
          <w:b/>
        </w:rPr>
        <w:t>ARTÍCULO 1. Objeto y ámbito de aplicación</w:t>
      </w:r>
      <w:r>
        <w:rPr>
          <w:rFonts w:ascii="Calibri" w:eastAsia="Calibri" w:hAnsi="Calibri" w:cs="Calibri"/>
        </w:rPr>
        <w:t xml:space="preserve">. La presente ley tiene por objeto crear la Política de Austeridad Pública y establecer la obligatoriedad de los </w:t>
      </w:r>
      <w:r>
        <w:rPr>
          <w:rFonts w:ascii="Calibri" w:eastAsia="Calibri" w:hAnsi="Calibri" w:cs="Calibri"/>
          <w:i/>
        </w:rPr>
        <w:t xml:space="preserve">Planes Anuales de Austeridad </w:t>
      </w:r>
      <w:r>
        <w:rPr>
          <w:rFonts w:ascii="Calibri" w:eastAsia="Calibri" w:hAnsi="Calibri" w:cs="Calibri"/>
        </w:rPr>
        <w:t xml:space="preserve">del Gasto que trata el artículo 19 de la Ley 2155 de 2021, elevando sus disposiciones a rango de ley, con el fin de determinar los lineamientos y prohibiciones relativas a los gastos de funcionamiento del Estado; así mismo, genera unos lineamientos en materia de transparencia y publicidad de las actuaciones, respecto a estos gastos de funcionamiento. La presente ley regirá para todos </w:t>
      </w:r>
      <w:r>
        <w:rPr>
          <w:rFonts w:ascii="Calibri" w:eastAsia="Calibri" w:hAnsi="Calibri" w:cs="Calibri"/>
          <w:highlight w:val="white"/>
        </w:rPr>
        <w:t>los órganos que hacen parte del Presupuesto General de la Nación.</w:t>
      </w:r>
    </w:p>
    <w:p w:rsidR="00E7531D" w:rsidRDefault="00E7531D">
      <w:pPr>
        <w:jc w:val="both"/>
        <w:rPr>
          <w:rFonts w:ascii="Calibri" w:eastAsia="Calibri" w:hAnsi="Calibri" w:cs="Calibri"/>
          <w:color w:val="FF00FF"/>
          <w:highlight w:val="white"/>
        </w:rPr>
      </w:pPr>
    </w:p>
    <w:p w:rsidR="00E7531D" w:rsidRDefault="00F564A6">
      <w:pPr>
        <w:jc w:val="both"/>
        <w:rPr>
          <w:rFonts w:ascii="Calibri" w:eastAsia="Calibri" w:hAnsi="Calibri" w:cs="Calibri"/>
          <w:highlight w:val="white"/>
        </w:rPr>
      </w:pPr>
      <w:r>
        <w:rPr>
          <w:rFonts w:ascii="Calibri" w:eastAsia="Calibri" w:hAnsi="Calibri" w:cs="Calibri"/>
          <w:b/>
          <w:highlight w:val="white"/>
        </w:rPr>
        <w:t xml:space="preserve">ARTÍCULO 2. Principios. </w:t>
      </w:r>
      <w:r>
        <w:rPr>
          <w:rFonts w:ascii="Calibri" w:eastAsia="Calibri" w:hAnsi="Calibri" w:cs="Calibri"/>
          <w:highlight w:val="white"/>
        </w:rPr>
        <w:t>Además de los definidos en la Constitución Política, el desarrollo, interpretación y aplicación de la presente ley se sustenta en los siguientes principios:</w:t>
      </w:r>
    </w:p>
    <w:p w:rsidR="00E7531D" w:rsidRDefault="00E7531D">
      <w:pPr>
        <w:jc w:val="both"/>
        <w:rPr>
          <w:rFonts w:ascii="Calibri" w:eastAsia="Calibri" w:hAnsi="Calibri" w:cs="Calibri"/>
          <w:highlight w:val="white"/>
        </w:rPr>
      </w:pPr>
    </w:p>
    <w:p w:rsidR="00E7531D" w:rsidRDefault="00F564A6">
      <w:pPr>
        <w:numPr>
          <w:ilvl w:val="0"/>
          <w:numId w:val="16"/>
        </w:numPr>
        <w:jc w:val="both"/>
        <w:rPr>
          <w:rFonts w:ascii="Calibri" w:eastAsia="Calibri" w:hAnsi="Calibri" w:cs="Calibri"/>
          <w:highlight w:val="white"/>
        </w:rPr>
      </w:pPr>
      <w:r>
        <w:rPr>
          <w:rFonts w:ascii="Calibri" w:eastAsia="Calibri" w:hAnsi="Calibri" w:cs="Calibri"/>
          <w:highlight w:val="white"/>
        </w:rPr>
        <w:t>Austeridad: Todos los órganos que hacen parte del Presupuesto General de la Nación enmarcados en lo establecido en la Constitución Política de Colombia tendrán un comportamiento de racionalidad, eficiencia y eficacia del gasto público, a partir de la transparencia están comprometidos con combatir la corrupción, el despilfarro y malgastar los recursos económicos del Estado.</w:t>
      </w:r>
    </w:p>
    <w:p w:rsidR="00E7531D" w:rsidRDefault="00E7531D">
      <w:pPr>
        <w:ind w:left="720"/>
        <w:jc w:val="both"/>
        <w:rPr>
          <w:rFonts w:ascii="Calibri" w:eastAsia="Calibri" w:hAnsi="Calibri" w:cs="Calibri"/>
          <w:highlight w:val="white"/>
        </w:rPr>
      </w:pPr>
    </w:p>
    <w:p w:rsidR="00E7531D" w:rsidRDefault="00F564A6">
      <w:pPr>
        <w:numPr>
          <w:ilvl w:val="0"/>
          <w:numId w:val="13"/>
        </w:numPr>
        <w:jc w:val="both"/>
        <w:rPr>
          <w:rFonts w:ascii="Calibri" w:eastAsia="Calibri" w:hAnsi="Calibri" w:cs="Calibri"/>
          <w:highlight w:val="white"/>
        </w:rPr>
      </w:pPr>
      <w:r>
        <w:rPr>
          <w:rFonts w:ascii="Calibri" w:eastAsia="Calibri" w:hAnsi="Calibri" w:cs="Calibri"/>
          <w:highlight w:val="white"/>
        </w:rPr>
        <w:t>Racionalidad: Actuación por parte de las y los servidores públicos, funcionarios públicos y trabajadores del Estado acorde a una cultura de ahorro y en línea con los objetivos sociales de la política de Austeridad Pública.</w:t>
      </w:r>
    </w:p>
    <w:p w:rsidR="00E7531D" w:rsidRDefault="00E7531D">
      <w:pPr>
        <w:ind w:left="720"/>
        <w:jc w:val="both"/>
        <w:rPr>
          <w:rFonts w:ascii="Calibri" w:eastAsia="Calibri" w:hAnsi="Calibri" w:cs="Calibri"/>
          <w:highlight w:val="white"/>
        </w:rPr>
      </w:pPr>
    </w:p>
    <w:p w:rsidR="00E7531D" w:rsidRDefault="00F564A6">
      <w:pPr>
        <w:numPr>
          <w:ilvl w:val="0"/>
          <w:numId w:val="16"/>
        </w:numPr>
        <w:jc w:val="both"/>
        <w:rPr>
          <w:rFonts w:ascii="Calibri" w:eastAsia="Calibri" w:hAnsi="Calibri" w:cs="Calibri"/>
          <w:highlight w:val="white"/>
        </w:rPr>
      </w:pPr>
      <w:r>
        <w:rPr>
          <w:rFonts w:ascii="Calibri" w:eastAsia="Calibri" w:hAnsi="Calibri" w:cs="Calibri"/>
          <w:highlight w:val="white"/>
        </w:rPr>
        <w:t>Eficacia y Eficiencia: La asignación de metas de ahorro y/o austeridad en el gasto público serán objeto a partir de optimizar el uso de los recursos asignados en el Presupuesto General de la Nación garantizando el cumplimiento de los bienes y/o servicios con la misma o mejora de la calidad y oportunidad.</w:t>
      </w:r>
    </w:p>
    <w:p w:rsidR="00E7531D" w:rsidRDefault="00E7531D">
      <w:pPr>
        <w:ind w:left="720"/>
        <w:jc w:val="both"/>
        <w:rPr>
          <w:rFonts w:ascii="Calibri" w:eastAsia="Calibri" w:hAnsi="Calibri" w:cs="Calibri"/>
          <w:highlight w:val="white"/>
        </w:rPr>
      </w:pPr>
    </w:p>
    <w:p w:rsidR="00E7531D" w:rsidRDefault="00F564A6">
      <w:pPr>
        <w:numPr>
          <w:ilvl w:val="0"/>
          <w:numId w:val="16"/>
        </w:numPr>
        <w:jc w:val="both"/>
        <w:rPr>
          <w:rFonts w:ascii="Calibri" w:eastAsia="Calibri" w:hAnsi="Calibri" w:cs="Calibri"/>
          <w:highlight w:val="white"/>
        </w:rPr>
      </w:pPr>
      <w:r>
        <w:rPr>
          <w:rFonts w:ascii="Calibri" w:eastAsia="Calibri" w:hAnsi="Calibri" w:cs="Calibri"/>
          <w:highlight w:val="white"/>
        </w:rPr>
        <w:t xml:space="preserve">Anualidad: El reporte del cumplimiento de la meta de la Política de Estado de Austeridad será de forma anual, pero tendrá seguimiento de forma semestral por </w:t>
      </w:r>
      <w:r>
        <w:rPr>
          <w:rFonts w:ascii="Calibri" w:eastAsia="Calibri" w:hAnsi="Calibri" w:cs="Calibri"/>
          <w:highlight w:val="white"/>
        </w:rPr>
        <w:lastRenderedPageBreak/>
        <w:t>parte del Ministerio de Hacienda y Crédito Público, o quien haga sus veces determinado por el Gobierno Nacional.</w:t>
      </w:r>
    </w:p>
    <w:p w:rsidR="00E7531D" w:rsidRDefault="00E7531D">
      <w:pPr>
        <w:jc w:val="both"/>
        <w:rPr>
          <w:rFonts w:ascii="Calibri" w:eastAsia="Calibri" w:hAnsi="Calibri" w:cs="Calibri"/>
          <w:highlight w:val="white"/>
        </w:rPr>
      </w:pPr>
    </w:p>
    <w:p w:rsidR="00E7531D" w:rsidRDefault="00F564A6">
      <w:pPr>
        <w:numPr>
          <w:ilvl w:val="0"/>
          <w:numId w:val="8"/>
        </w:numPr>
        <w:jc w:val="both"/>
        <w:rPr>
          <w:rFonts w:ascii="Calibri" w:eastAsia="Calibri" w:hAnsi="Calibri" w:cs="Calibri"/>
          <w:highlight w:val="white"/>
        </w:rPr>
      </w:pPr>
      <w:r>
        <w:rPr>
          <w:rFonts w:ascii="Calibri" w:eastAsia="Calibri" w:hAnsi="Calibri" w:cs="Calibri"/>
          <w:highlight w:val="white"/>
        </w:rPr>
        <w:t>Desarrollo sostenible e inclusivo. La Política de Austeridad integrará acciones y estrategias orientadas en la austeridad del gasto en funcionamiento garantizando la sostenibilidad ambiental, económica, cultural y social a nivel local, regional y nacional.</w:t>
      </w:r>
    </w:p>
    <w:p w:rsidR="00E7531D" w:rsidRDefault="00E7531D">
      <w:pPr>
        <w:ind w:left="720"/>
        <w:jc w:val="both"/>
        <w:rPr>
          <w:rFonts w:ascii="Calibri" w:eastAsia="Calibri" w:hAnsi="Calibri" w:cs="Calibri"/>
          <w:highlight w:val="white"/>
        </w:rPr>
      </w:pPr>
    </w:p>
    <w:p w:rsidR="00E7531D" w:rsidRDefault="00F564A6">
      <w:pPr>
        <w:numPr>
          <w:ilvl w:val="0"/>
          <w:numId w:val="2"/>
        </w:numPr>
        <w:jc w:val="both"/>
        <w:rPr>
          <w:rFonts w:ascii="Calibri" w:eastAsia="Calibri" w:hAnsi="Calibri" w:cs="Calibri"/>
          <w:highlight w:val="white"/>
        </w:rPr>
      </w:pPr>
      <w:r>
        <w:rPr>
          <w:rFonts w:ascii="Calibri" w:eastAsia="Calibri" w:hAnsi="Calibri" w:cs="Calibri"/>
          <w:highlight w:val="white"/>
        </w:rPr>
        <w:t xml:space="preserve">Interés social: La </w:t>
      </w:r>
      <w:r>
        <w:rPr>
          <w:rFonts w:ascii="Calibri" w:eastAsia="Calibri" w:hAnsi="Calibri" w:cs="Calibri"/>
        </w:rPr>
        <w:t>Política de Austeridad Pública y los Planes de Austeridad del Gasto representan un interés común de la sociedad con el fin de priorizar, optimizar y ahorrar recursos económicos para orientarlos hacía el mejoramiento de la calidad de vida de la población, el cierre de brechas regionales y la reducción de la desigualdad económica y social.</w:t>
      </w:r>
    </w:p>
    <w:p w:rsidR="00E7531D" w:rsidRDefault="00E7531D">
      <w:pPr>
        <w:jc w:val="both"/>
        <w:rPr>
          <w:rFonts w:ascii="Calibri" w:eastAsia="Calibri" w:hAnsi="Calibri" w:cs="Calibri"/>
          <w:highlight w:val="white"/>
        </w:rPr>
      </w:pPr>
    </w:p>
    <w:p w:rsidR="00E7531D" w:rsidRDefault="00F564A6">
      <w:pPr>
        <w:numPr>
          <w:ilvl w:val="0"/>
          <w:numId w:val="15"/>
        </w:numPr>
        <w:jc w:val="both"/>
        <w:rPr>
          <w:rFonts w:ascii="Calibri" w:eastAsia="Calibri" w:hAnsi="Calibri" w:cs="Calibri"/>
          <w:highlight w:val="white"/>
        </w:rPr>
      </w:pPr>
      <w:r>
        <w:rPr>
          <w:rFonts w:ascii="Calibri" w:eastAsia="Calibri" w:hAnsi="Calibri" w:cs="Calibri"/>
          <w:highlight w:val="white"/>
        </w:rPr>
        <w:t xml:space="preserve">Enfoque de derechos: La </w:t>
      </w:r>
      <w:r>
        <w:rPr>
          <w:rFonts w:ascii="Calibri" w:eastAsia="Calibri" w:hAnsi="Calibri" w:cs="Calibri"/>
        </w:rPr>
        <w:t>Política de Austeridad Pública y los Planes de Austeridad del Gasto no afectarán de forma negativa los derechos fundamentales ni los derechos Económicos, Sociales y Culturales de la población colombiana.</w:t>
      </w:r>
    </w:p>
    <w:p w:rsidR="00E7531D" w:rsidRDefault="00E7531D">
      <w:pPr>
        <w:jc w:val="both"/>
        <w:rPr>
          <w:rFonts w:ascii="Calibri" w:eastAsia="Calibri" w:hAnsi="Calibri" w:cs="Calibri"/>
          <w:highlight w:val="white"/>
        </w:rPr>
      </w:pPr>
    </w:p>
    <w:p w:rsidR="00E7531D" w:rsidRDefault="00F564A6">
      <w:pPr>
        <w:numPr>
          <w:ilvl w:val="0"/>
          <w:numId w:val="16"/>
        </w:numPr>
        <w:jc w:val="both"/>
        <w:rPr>
          <w:rFonts w:ascii="Calibri" w:eastAsia="Calibri" w:hAnsi="Calibri" w:cs="Calibri"/>
          <w:highlight w:val="white"/>
        </w:rPr>
      </w:pPr>
      <w:r>
        <w:rPr>
          <w:rFonts w:ascii="Calibri" w:eastAsia="Calibri" w:hAnsi="Calibri" w:cs="Calibri"/>
          <w:highlight w:val="white"/>
        </w:rPr>
        <w:t xml:space="preserve">Responsabilidad social: La Política de Austeridad Pública y la eficiencia en el gasto público versará sobre categorías relacionadas con Gastos de Funcionamiento que no generen afectaciones negativas a las condiciones de trabajo de servidores y funcionarios públicos. Así mismo, contarán con programas institucionales de cada entidad para la transición, en los casos que aplique, las nuevas acciones que se implementen para la austeridad del gasto público y cumplimiento de la presente ley. </w:t>
      </w:r>
    </w:p>
    <w:p w:rsidR="00E7531D" w:rsidRDefault="00E7531D">
      <w:pPr>
        <w:jc w:val="both"/>
        <w:rPr>
          <w:rFonts w:ascii="Calibri" w:eastAsia="Calibri" w:hAnsi="Calibri" w:cs="Calibri"/>
          <w:highlight w:val="white"/>
        </w:rPr>
      </w:pPr>
    </w:p>
    <w:p w:rsidR="00E7531D" w:rsidRDefault="00E7531D">
      <w:pPr>
        <w:jc w:val="both"/>
        <w:rPr>
          <w:rFonts w:ascii="Calibri" w:eastAsia="Calibri" w:hAnsi="Calibri" w:cs="Calibri"/>
        </w:rPr>
      </w:pPr>
    </w:p>
    <w:p w:rsidR="00E7531D" w:rsidRDefault="00F564A6">
      <w:pPr>
        <w:jc w:val="center"/>
        <w:rPr>
          <w:rFonts w:ascii="Calibri" w:eastAsia="Calibri" w:hAnsi="Calibri" w:cs="Calibri"/>
          <w:b/>
        </w:rPr>
      </w:pPr>
      <w:r>
        <w:rPr>
          <w:rFonts w:ascii="Calibri" w:eastAsia="Calibri" w:hAnsi="Calibri" w:cs="Calibri"/>
          <w:b/>
        </w:rPr>
        <w:t>Título I. Austeridad Pública como Política de Estado.</w:t>
      </w:r>
    </w:p>
    <w:p w:rsidR="00E7531D" w:rsidRDefault="00E7531D">
      <w:pPr>
        <w:jc w:val="both"/>
        <w:rPr>
          <w:rFonts w:ascii="Calibri" w:eastAsia="Calibri" w:hAnsi="Calibri" w:cs="Calibri"/>
        </w:rPr>
      </w:pPr>
    </w:p>
    <w:p w:rsidR="00E7531D" w:rsidRDefault="00E7531D">
      <w:pPr>
        <w:jc w:val="both"/>
        <w:rPr>
          <w:rFonts w:ascii="Calibri" w:eastAsia="Calibri" w:hAnsi="Calibri" w:cs="Calibri"/>
          <w:b/>
        </w:rPr>
      </w:pPr>
    </w:p>
    <w:p w:rsidR="00E7531D" w:rsidRDefault="00F564A6">
      <w:pPr>
        <w:jc w:val="both"/>
        <w:rPr>
          <w:rFonts w:ascii="Calibri" w:eastAsia="Calibri" w:hAnsi="Calibri" w:cs="Calibri"/>
        </w:rPr>
      </w:pPr>
      <w:r>
        <w:rPr>
          <w:rFonts w:ascii="Calibri" w:eastAsia="Calibri" w:hAnsi="Calibri" w:cs="Calibri"/>
          <w:b/>
        </w:rPr>
        <w:t xml:space="preserve">ARTÍCULO 3. Política de Austeridad Pública. </w:t>
      </w:r>
      <w:r>
        <w:rPr>
          <w:rFonts w:ascii="Calibri" w:eastAsia="Calibri" w:hAnsi="Calibri" w:cs="Calibri"/>
        </w:rPr>
        <w:t>Crease la Política de Austeridad Pública con el objeto de establecer acciones, estrategias y mecanismos para el desarrollo de medidas de austeridad en la planeación y ejecución del gasto público, así como de lineamientos para promover y priorizar la transparencia respecto de los gastos de funcionamiento del Estado. Esta política es aplicable a todos los órganos que hacen parte del Presupuesto General de la Nación.</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El Gobierno Nacional en cabeza del Ministerio de Hacienda y Crédito Público en un término no superior de seis (6) meses a partir de la expedición de la presente Ley, reglamentará lo previsto en el presente artículo.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lastRenderedPageBreak/>
        <w:t xml:space="preserve">ARTÍCULO 4. Planes Anuales de Austeridad del Gasto. </w:t>
      </w:r>
      <w:r>
        <w:rPr>
          <w:rFonts w:ascii="Calibri" w:eastAsia="Calibri" w:hAnsi="Calibri" w:cs="Calibri"/>
        </w:rPr>
        <w:t>Todos los órganos que hacen parte del Presupuesto General de la Nación presentarán ante el Ministerio de Hacienda y Crédito Público su Plan Anual de Austeridad del Gasto en el último trimestre del año para la vigencia fiscal del siguiente año, cumpliendo los lineamientos definidos en la Política de Austeridad Pública.</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La entidad cabeza de sector liderará la realización y presentación de los Planes Anuales de Austeridad del Gasto con el propósito de presentar, de forma global como sector, un ahorro de al menos el 5</w:t>
      </w:r>
      <w:r w:rsidR="00BF664B">
        <w:rPr>
          <w:rFonts w:ascii="Calibri" w:eastAsia="Calibri" w:hAnsi="Calibri" w:cs="Calibri"/>
        </w:rPr>
        <w:t xml:space="preserve"> </w:t>
      </w:r>
      <w:r>
        <w:rPr>
          <w:rFonts w:ascii="Calibri" w:eastAsia="Calibri" w:hAnsi="Calibri" w:cs="Calibri"/>
        </w:rPr>
        <w:t>% del gasto en funcionamiento, tanto en gasto de personal como adquisición de bienes y servicios en las categorías descritas en el artículo 5, o aquellas en que la entidad prevea que puede optimizar, siempre y cuando no represente un incumplimiento a los principios del artículo 2 de la presente ley.</w:t>
      </w:r>
    </w:p>
    <w:p w:rsidR="00E7531D" w:rsidRDefault="00E7531D">
      <w:pPr>
        <w:jc w:val="both"/>
        <w:rPr>
          <w:rFonts w:ascii="Calibri" w:eastAsia="Calibri" w:hAnsi="Calibri" w:cs="Calibri"/>
        </w:rPr>
      </w:pPr>
    </w:p>
    <w:p w:rsidR="00E7531D" w:rsidRDefault="00F564A6">
      <w:pPr>
        <w:jc w:val="both"/>
        <w:rPr>
          <w:rFonts w:ascii="Calibri" w:eastAsia="Calibri" w:hAnsi="Calibri" w:cs="Calibri"/>
          <w:highlight w:val="white"/>
        </w:rPr>
      </w:pPr>
      <w:r>
        <w:rPr>
          <w:rFonts w:ascii="Calibri" w:eastAsia="Calibri" w:hAnsi="Calibri" w:cs="Calibri"/>
          <w:b/>
        </w:rPr>
        <w:t xml:space="preserve">ARTÍCULO 5. Categorías de funcionamiento sobre las que recaen las medidas de austeridad. </w:t>
      </w:r>
      <w:r>
        <w:rPr>
          <w:rFonts w:ascii="Calibri" w:eastAsia="Calibri" w:hAnsi="Calibri" w:cs="Calibri"/>
          <w:highlight w:val="white"/>
        </w:rPr>
        <w:t>Las categorías de funcionamiento sobre las que versará el ahorro serán las siguientes: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Mantenimiento de bienes inmuebles, cambio de sede y adquisición de bienes muebles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Arrendamiento de bienes inmuebles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Consumo de energía</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Consumo de agua</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Papelería y telefonía</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Contratación de personal para la prestación de servicios y apoyo a la gestión</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Comisiones de estudio y servicios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Horas extras y vacaciones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Suministro de tiquetes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Reconocimiento de viáticos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Esquemas de seguridad</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Servicio de seguridad y vigilancia</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Vehículos oficiales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Ahorro en publicidad estatal</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Regalos corporativos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Eventos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Condecoraciones</w:t>
      </w:r>
    </w:p>
    <w:p w:rsidR="00E7531D" w:rsidRDefault="00F564A6">
      <w:pPr>
        <w:numPr>
          <w:ilvl w:val="0"/>
          <w:numId w:val="5"/>
        </w:numPr>
        <w:jc w:val="both"/>
        <w:rPr>
          <w:rFonts w:ascii="Calibri" w:eastAsia="Calibri" w:hAnsi="Calibri" w:cs="Calibri"/>
          <w:highlight w:val="white"/>
        </w:rPr>
      </w:pPr>
      <w:r>
        <w:rPr>
          <w:rFonts w:ascii="Calibri" w:eastAsia="Calibri" w:hAnsi="Calibri" w:cs="Calibri"/>
          <w:highlight w:val="white"/>
        </w:rPr>
        <w:t>Suscripción a periódicos y revistas, publicaciones y bases de datos</w:t>
      </w:r>
    </w:p>
    <w:p w:rsidR="00E7531D" w:rsidRDefault="00E7531D">
      <w:pPr>
        <w:jc w:val="both"/>
        <w:rPr>
          <w:rFonts w:ascii="Calibri" w:eastAsia="Calibri" w:hAnsi="Calibri" w:cs="Calibri"/>
        </w:rPr>
      </w:pPr>
    </w:p>
    <w:p w:rsidR="00E7531D" w:rsidRDefault="00E7531D">
      <w:pPr>
        <w:jc w:val="both"/>
        <w:rPr>
          <w:rFonts w:ascii="Calibri" w:eastAsia="Calibri" w:hAnsi="Calibri" w:cs="Calibri"/>
          <w:b/>
        </w:rPr>
      </w:pPr>
    </w:p>
    <w:p w:rsidR="00E7531D" w:rsidRDefault="00F564A6">
      <w:pPr>
        <w:jc w:val="both"/>
        <w:rPr>
          <w:rFonts w:ascii="Calibri" w:eastAsia="Calibri" w:hAnsi="Calibri" w:cs="Calibri"/>
        </w:rPr>
      </w:pPr>
      <w:r>
        <w:rPr>
          <w:rFonts w:ascii="Calibri" w:eastAsia="Calibri" w:hAnsi="Calibri" w:cs="Calibri"/>
          <w:b/>
        </w:rPr>
        <w:t>ARTÍCULO 6. Meta Nacional de Austeridad</w:t>
      </w:r>
      <w:r>
        <w:rPr>
          <w:rFonts w:ascii="Calibri" w:eastAsia="Calibri" w:hAnsi="Calibri" w:cs="Calibri"/>
        </w:rPr>
        <w:t xml:space="preserve">. El Gobierno Nacional deberá reflejar en el Proyecto de Presupuesto General de la Nación radicado ante el Congreso de la República </w:t>
      </w:r>
      <w:r>
        <w:rPr>
          <w:rFonts w:ascii="Calibri" w:eastAsia="Calibri" w:hAnsi="Calibri" w:cs="Calibri"/>
        </w:rPr>
        <w:lastRenderedPageBreak/>
        <w:t>una reducción del gasto público en las categorías de austeridad de los Gastos de Funcionamiento enunciadas en el artículo 2 de la presente ley, o según actualización que realice el Gobierno Nacional, en un porcentaje no inferior al cinco por ciento (5</w:t>
      </w:r>
      <w:r w:rsidR="00BF664B">
        <w:rPr>
          <w:rFonts w:ascii="Calibri" w:eastAsia="Calibri" w:hAnsi="Calibri" w:cs="Calibri"/>
        </w:rPr>
        <w:t xml:space="preserve"> </w:t>
      </w:r>
      <w:r>
        <w:rPr>
          <w:rFonts w:ascii="Calibri" w:eastAsia="Calibri" w:hAnsi="Calibri" w:cs="Calibri"/>
        </w:rPr>
        <w:t>%) anual.</w:t>
      </w:r>
    </w:p>
    <w:p w:rsidR="00E7531D" w:rsidRDefault="00E7531D">
      <w:pPr>
        <w:jc w:val="both"/>
        <w:rPr>
          <w:rFonts w:ascii="Arial" w:eastAsia="Arial" w:hAnsi="Arial" w:cs="Arial"/>
          <w:color w:val="333333"/>
          <w:sz w:val="25"/>
          <w:szCs w:val="25"/>
          <w:highlight w:val="white"/>
        </w:rPr>
      </w:pPr>
    </w:p>
    <w:p w:rsidR="00E7531D" w:rsidRDefault="00F564A6">
      <w:pPr>
        <w:jc w:val="both"/>
        <w:rPr>
          <w:rFonts w:ascii="Calibri" w:eastAsia="Calibri" w:hAnsi="Calibri" w:cs="Calibri"/>
        </w:rPr>
      </w:pPr>
      <w:r>
        <w:rPr>
          <w:rFonts w:ascii="Calibri" w:eastAsia="Calibri" w:hAnsi="Calibri" w:cs="Calibri"/>
        </w:rPr>
        <w:t>Durante el debate congresional del Presupuesto General de la Nación se podrán modificar estos valores sujetos a una justificación acorde a Metas del Plan Nacional de Desarrollo, del Marco Fiscal de Mediano Plazo y del Marco de Gasto de Mediano Plazo.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7. Reporte semestral.</w:t>
      </w:r>
      <w:r>
        <w:rPr>
          <w:rFonts w:ascii="Calibri" w:eastAsia="Calibri" w:hAnsi="Calibri" w:cs="Calibri"/>
        </w:rPr>
        <w:t xml:space="preserve"> De conformidad con lo dispuesto en el art. 19 de la Ley 2155, el reporte sobre el ahorro generado por los Planes Anuales de Austeridad del Gasto será presentado al Ministerio de Hacienda y Crédito Público, que será el encargado de su compilación y publicación, así como de la fijación anual de las metas de austeridad para la siguiente vigencia y del seguimiento para su cumplimiento efectivo.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El Ministerio de Hacienda y Crédito Público presentará, junto al informe de ejecución presupuestal, el informe de cumplimiento de la meta de austeridad de la vigencia fiscal correspondiente.</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Parágrafo 1: </w:t>
      </w:r>
      <w:r>
        <w:rPr>
          <w:rFonts w:ascii="Calibri" w:eastAsia="Calibri" w:hAnsi="Calibri" w:cs="Calibri"/>
          <w:highlight w:val="white"/>
        </w:rPr>
        <w:t>El reporte del ahorro del gasto público o austeridad de cada una de las entidades será público, de libre acceso y en los formatos adecuados de lectura y análisis para la ciudadanía, tanto a nivel de cada entidad del orden nacional en sus respectivas páginas institucionales, como de forma compilada en el portal institucional que designe el Ministerio de Hacienda y Crédito Público.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 xml:space="preserve">ARTÍCULO 8. Seguimiento y evaluación. </w:t>
      </w:r>
      <w:r>
        <w:rPr>
          <w:rFonts w:ascii="Calibri" w:eastAsia="Calibri" w:hAnsi="Calibri" w:cs="Calibri"/>
        </w:rPr>
        <w:t xml:space="preserve">El reporte global sobre el ahorro generado por las medidas de austeridad será presentado por el Ministerio de Hacienda y Crédito Público a una comisión accidental con un integrante de cada comisión constitucional de cada una de las respectivas cámaras, la cual deberá estudiar y aprobar una semana antes de la aprobación del monto del Presupuesto General de la Nación.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En dado caso que el reporte nacional de austeridad no sea aprobado, </w:t>
      </w:r>
      <w:r w:rsidR="00646B2C">
        <w:rPr>
          <w:rFonts w:ascii="Calibri" w:eastAsia="Calibri" w:hAnsi="Calibri" w:cs="Calibri"/>
        </w:rPr>
        <w:t>la comisión accidental devolverá</w:t>
      </w:r>
      <w:r>
        <w:rPr>
          <w:rFonts w:ascii="Calibri" w:eastAsia="Calibri" w:hAnsi="Calibri" w:cs="Calibri"/>
        </w:rPr>
        <w:t xml:space="preserve"> el reporte indicando los aspectos por los cuales no es aprobado, y podrán designar una sesión posterior, la cual no podrá exceder la fecha de aprobación del Presupuesto General de la Nación en las plenarias de las respectivas cámaras.</w:t>
      </w:r>
    </w:p>
    <w:p w:rsidR="00311D79" w:rsidRDefault="00311D79">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Parágrafo 1: La comisión accidental deberá estar conformada por el 50</w:t>
      </w:r>
      <w:r w:rsidR="00BF664B">
        <w:rPr>
          <w:rFonts w:ascii="Calibri" w:eastAsia="Calibri" w:hAnsi="Calibri" w:cs="Calibri"/>
        </w:rPr>
        <w:t xml:space="preserve"> </w:t>
      </w:r>
      <w:r>
        <w:rPr>
          <w:rFonts w:ascii="Calibri" w:eastAsia="Calibri" w:hAnsi="Calibri" w:cs="Calibri"/>
        </w:rPr>
        <w:t>% de mujeres, y por al menos un</w:t>
      </w:r>
      <w:r w:rsidR="00646B2C">
        <w:rPr>
          <w:rFonts w:ascii="Calibri" w:eastAsia="Calibri" w:hAnsi="Calibri" w:cs="Calibri"/>
        </w:rPr>
        <w:t>o</w:t>
      </w:r>
      <w:r>
        <w:rPr>
          <w:rFonts w:ascii="Calibri" w:eastAsia="Calibri" w:hAnsi="Calibri" w:cs="Calibri"/>
        </w:rPr>
        <w:t xml:space="preserve"> o una congresista en representación de pueblos étnicos.</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Parágrafo 2: La comisión accidental podrá emitir recomendaciones de medidas de austeridad para los órganos que hacen parte del Presupuesto General de la Nación, los </w:t>
      </w:r>
      <w:r>
        <w:rPr>
          <w:rFonts w:ascii="Calibri" w:eastAsia="Calibri" w:hAnsi="Calibri" w:cs="Calibri"/>
        </w:rPr>
        <w:lastRenderedPageBreak/>
        <w:t>cuales no son de carácter obligatorio para las entidades, pero en caso de no ser acogidas, deberán devolver a la comisión accidental la razón por la cual las medidas recomendadas no fueron acogidas. Las recomendaciones que emita la comisión accidental deben cumplir con los principios definidos en el artículo 2 de la presente ley.</w:t>
      </w:r>
    </w:p>
    <w:p w:rsidR="00E7531D" w:rsidRDefault="00E7531D">
      <w:pPr>
        <w:jc w:val="both"/>
        <w:rPr>
          <w:rFonts w:ascii="Calibri" w:eastAsia="Calibri" w:hAnsi="Calibri" w:cs="Calibri"/>
        </w:rPr>
      </w:pPr>
    </w:p>
    <w:p w:rsidR="00E7531D" w:rsidRDefault="00F564A6">
      <w:pPr>
        <w:jc w:val="center"/>
        <w:rPr>
          <w:rFonts w:ascii="Calibri" w:eastAsia="Calibri" w:hAnsi="Calibri" w:cs="Calibri"/>
        </w:rPr>
      </w:pPr>
      <w:r>
        <w:rPr>
          <w:rFonts w:ascii="Calibri" w:eastAsia="Calibri" w:hAnsi="Calibri" w:cs="Calibri"/>
          <w:b/>
        </w:rPr>
        <w:t>Título II. Medidas de austeridad en los Planes Anuales de Austeridad del Gasto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 xml:space="preserve">ARTÍCULO 9. Salarios y remuneraciones. </w:t>
      </w:r>
      <w:r>
        <w:rPr>
          <w:rFonts w:ascii="Calibri" w:eastAsia="Calibri" w:hAnsi="Calibri" w:cs="Calibri"/>
        </w:rPr>
        <w:t>Ningún funcionario de la rama ejecutiva nombrado por el o la presidenta de la República de Colombia devengará un ingreso mensual global entre el salario oficial, comisiones, juntas, viáticos u otro tipo de ingreso, superior al salario oficial del o la Presidenta de la República de Colombia.</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Los servidores y funcionarios públicos devengarán una remuneración adecuada y proporcional a sus funciones y responsabilidades, y queda prohibida la recepción de algún tipo de privilegio económico o de otro tipo adicional a lo que establece la reglamentación del Ministerio Público.</w:t>
      </w:r>
    </w:p>
    <w:p w:rsidR="00E7531D" w:rsidRDefault="00E7531D">
      <w:pPr>
        <w:jc w:val="both"/>
        <w:rPr>
          <w:rFonts w:ascii="Calibri" w:eastAsia="Calibri" w:hAnsi="Calibri" w:cs="Calibri"/>
          <w:b/>
        </w:rPr>
      </w:pPr>
    </w:p>
    <w:p w:rsidR="00E7531D" w:rsidRDefault="00F564A6">
      <w:pPr>
        <w:jc w:val="both"/>
        <w:rPr>
          <w:rFonts w:ascii="Calibri" w:eastAsia="Calibri" w:hAnsi="Calibri" w:cs="Calibri"/>
        </w:rPr>
      </w:pPr>
      <w:r>
        <w:rPr>
          <w:rFonts w:ascii="Calibri" w:eastAsia="Calibri" w:hAnsi="Calibri" w:cs="Calibri"/>
          <w:b/>
        </w:rPr>
        <w:t>ARTÍCULO 10. Mantenimiento de bienes inmuebles, cambio de sedes y adquisición de bienes muebles.</w:t>
      </w:r>
      <w:r>
        <w:rPr>
          <w:rFonts w:ascii="Calibri" w:eastAsia="Calibri" w:hAnsi="Calibri" w:cs="Calibri"/>
        </w:rPr>
        <w:t xml:space="preserve"> Todos </w:t>
      </w:r>
      <w:r>
        <w:rPr>
          <w:rFonts w:ascii="Calibri" w:eastAsia="Calibri" w:hAnsi="Calibri" w:cs="Calibri"/>
          <w:highlight w:val="white"/>
        </w:rPr>
        <w:t>los órganos que hacen parte del Presupuesto General de la Nación,</w:t>
      </w:r>
      <w:r>
        <w:rPr>
          <w:rFonts w:ascii="Calibri" w:eastAsia="Calibri" w:hAnsi="Calibri" w:cs="Calibri"/>
        </w:rPr>
        <w:t xml:space="preserve"> deberán acatar las siguientes directrices para el mantenimiento de bienes inmuebles, cambio de sedes o adquisición de bienes muebles:</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a. El mantenimiento de bienes inmuebles, de propiedad de las entidades del Estado, sólo procederá cuando se realice de manera preventiva y para garantizar su correcto funcionamiento, a fin de no generar un impacto presupuestal a largo plazo.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La necesidad del mantenimiento y las reparaciones se entienden cuándo -de no realizarse- el funcionamiento de los bienes inmuebles pongan en riesgo la seguridad y/o se afecten las condiciones de salud ocupacional de las personas. En estos casos, deben quedar, expresas, la constancia y la justificación de la situación que motiva los arreglos.</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b. El cambio de sede únicamente procederá en uno de los siguientes eventos:</w:t>
      </w:r>
    </w:p>
    <w:p w:rsidR="00E7531D" w:rsidRDefault="00E7531D">
      <w:pPr>
        <w:jc w:val="both"/>
        <w:rPr>
          <w:rFonts w:ascii="Calibri" w:eastAsia="Calibri" w:hAnsi="Calibri" w:cs="Calibri"/>
        </w:rPr>
      </w:pPr>
    </w:p>
    <w:p w:rsidR="00E7531D" w:rsidRDefault="00F564A6">
      <w:pPr>
        <w:ind w:left="720"/>
        <w:jc w:val="both"/>
        <w:rPr>
          <w:rFonts w:ascii="Calibri" w:eastAsia="Calibri" w:hAnsi="Calibri" w:cs="Calibri"/>
        </w:rPr>
      </w:pPr>
      <w:r>
        <w:rPr>
          <w:rFonts w:ascii="Calibri" w:eastAsia="Calibri" w:hAnsi="Calibri" w:cs="Calibri"/>
        </w:rPr>
        <w:t>i) Cuando exista necesidad inaplazable de construcción o adquisición de la sede, por condiciones de la infraestructura.</w:t>
      </w:r>
    </w:p>
    <w:p w:rsidR="00E7531D" w:rsidRDefault="00E7531D">
      <w:pPr>
        <w:ind w:left="720"/>
        <w:jc w:val="both"/>
        <w:rPr>
          <w:rFonts w:ascii="Calibri" w:eastAsia="Calibri" w:hAnsi="Calibri" w:cs="Calibri"/>
        </w:rPr>
      </w:pPr>
    </w:p>
    <w:p w:rsidR="00E7531D" w:rsidRDefault="00F564A6">
      <w:pPr>
        <w:ind w:left="720"/>
        <w:jc w:val="both"/>
        <w:rPr>
          <w:rFonts w:ascii="Calibri" w:eastAsia="Calibri" w:hAnsi="Calibri" w:cs="Calibri"/>
        </w:rPr>
      </w:pPr>
      <w:r>
        <w:rPr>
          <w:rFonts w:ascii="Calibri" w:eastAsia="Calibri" w:hAnsi="Calibri" w:cs="Calibri"/>
        </w:rPr>
        <w:t>ii) Cuando el inmueble en el que funcione la entidad tenga un contrato de arrendamiento, y exista la posibilidad de operar en otro inmueble de propiedad del Estado o bajo la figura de comodato.</w:t>
      </w:r>
    </w:p>
    <w:p w:rsidR="00E7531D" w:rsidRDefault="00E7531D">
      <w:pPr>
        <w:ind w:left="720"/>
        <w:jc w:val="both"/>
        <w:rPr>
          <w:rFonts w:ascii="Calibri" w:eastAsia="Calibri" w:hAnsi="Calibri" w:cs="Calibri"/>
        </w:rPr>
      </w:pPr>
    </w:p>
    <w:p w:rsidR="00E7531D" w:rsidRDefault="00F564A6">
      <w:pPr>
        <w:ind w:left="720"/>
        <w:jc w:val="both"/>
        <w:rPr>
          <w:rFonts w:ascii="Calibri" w:eastAsia="Calibri" w:hAnsi="Calibri" w:cs="Calibri"/>
        </w:rPr>
      </w:pPr>
      <w:r>
        <w:rPr>
          <w:rFonts w:ascii="Calibri" w:eastAsia="Calibri" w:hAnsi="Calibri" w:cs="Calibri"/>
        </w:rPr>
        <w:lastRenderedPageBreak/>
        <w:t>iii) Cuando el edificio donde funciona la entidad, ponga en riesgo la seguridad del personal o no brinde las condiciones laborales adecuadas, de conformidad con las normas establecidas en el Sistema de Gestión de Seguridad y Salud en el Trabajo - SGSST.</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c. La adquisición de nuevos bienes muebles para la operación y/o uso de las entidades públicas, sólo se podrá efectuar cuando sean necesarios para el cumplimiento del objeto misional de las entidades, previa justificación.</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PARÁGRAFO</w:t>
      </w:r>
      <w:r>
        <w:rPr>
          <w:rFonts w:ascii="Calibri" w:eastAsia="Calibri" w:hAnsi="Calibri" w:cs="Calibri"/>
        </w:rPr>
        <w:t xml:space="preserve">. Las entidades deberán abstenerse de iniciar cualquier tipo de contratación que implique mejoras suntuarias u ostentosas, tales como el embellecimiento, el ornato o la instalación o adecuación de acabados estéticos de bienes inmuebles, o para efectos de la decoración de los mismos.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11. Prelación de encuentros virtuales para reuniones y encuentros de carácter organizacional.</w:t>
      </w:r>
      <w:r>
        <w:rPr>
          <w:rFonts w:ascii="Calibri" w:eastAsia="Calibri" w:hAnsi="Calibri" w:cs="Calibri"/>
        </w:rPr>
        <w:t xml:space="preserve"> Las entidades deberán promover y priorizar los encuentros virtuales entre funcionarios ubicados en distintos municipios/departamentos del país, sobre los presenciales, cuando las actividades correspondan a reuniones de planeación, coordinación institucional y otras de carácter interno.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12. Suministro de Tiquetes</w:t>
      </w:r>
      <w:r>
        <w:rPr>
          <w:rFonts w:ascii="Calibri" w:eastAsia="Calibri" w:hAnsi="Calibri" w:cs="Calibri"/>
        </w:rPr>
        <w:t xml:space="preserve">. Los viajes aéreos nacionales de todos los servidores públicos de </w:t>
      </w:r>
      <w:r>
        <w:rPr>
          <w:rFonts w:ascii="Calibri" w:eastAsia="Calibri" w:hAnsi="Calibri" w:cs="Calibri"/>
          <w:highlight w:val="white"/>
        </w:rPr>
        <w:t>los órganos que hacen parte del Presupuesto General de la Nación,</w:t>
      </w:r>
      <w:r>
        <w:rPr>
          <w:rFonts w:ascii="Calibri" w:eastAsia="Calibri" w:hAnsi="Calibri" w:cs="Calibri"/>
        </w:rPr>
        <w:t xml:space="preserve"> independientemente de su nivel jerárquico,</w:t>
      </w:r>
      <w:r>
        <w:rPr>
          <w:rFonts w:ascii="Calibri" w:eastAsia="Calibri" w:hAnsi="Calibri" w:cs="Calibri"/>
          <w:color w:val="FF00FF"/>
        </w:rPr>
        <w:t xml:space="preserve"> </w:t>
      </w:r>
      <w:r>
        <w:rPr>
          <w:rFonts w:ascii="Calibri" w:eastAsia="Calibri" w:hAnsi="Calibri" w:cs="Calibri"/>
        </w:rPr>
        <w:t xml:space="preserve">deberán hacerse en clase económica o en la tarifa que no supere el costo de ésta, y tendrá prevalencia la aerolínea pública del país, en caso de existir y/o tener rutas para el destino. Se prohíbe expresamente el uso de tiquetes en clase ejecutiva para desplazamientos aéreos dentro del país. </w:t>
      </w:r>
    </w:p>
    <w:p w:rsidR="00E7531D" w:rsidRDefault="00F564A6">
      <w:pPr>
        <w:shd w:val="clear" w:color="auto" w:fill="FFFFFF"/>
        <w:spacing w:before="240" w:after="240"/>
        <w:jc w:val="both"/>
        <w:rPr>
          <w:rFonts w:ascii="Calibri" w:eastAsia="Calibri" w:hAnsi="Calibri" w:cs="Calibri"/>
        </w:rPr>
      </w:pPr>
      <w:r>
        <w:rPr>
          <w:rFonts w:ascii="Calibri" w:eastAsia="Calibri" w:hAnsi="Calibri" w:cs="Calibri"/>
          <w:highlight w:val="white"/>
        </w:rPr>
        <w:t xml:space="preserve">Los </w:t>
      </w:r>
      <w:r>
        <w:rPr>
          <w:rFonts w:ascii="Calibri" w:eastAsia="Calibri" w:hAnsi="Calibri" w:cs="Calibri"/>
        </w:rPr>
        <w:t>Ministros del Despacho, el Presidente del Senado de la República, el Presidente de la Cámara de Representantes, el Contralor General de la República, el Procurador General de la Nación, el Fiscal General de la Nación, los Presidentes de las Altas Cortes, el Registrador Nacional del Estado Civil, el Defensor del Pueblo</w:t>
      </w:r>
      <w:r>
        <w:rPr>
          <w:rFonts w:ascii="Calibri" w:eastAsia="Calibri" w:hAnsi="Calibri" w:cs="Calibri"/>
          <w:highlight w:val="white"/>
        </w:rPr>
        <w:t xml:space="preserve"> y, eventualmente </w:t>
      </w:r>
      <w:r>
        <w:rPr>
          <w:rFonts w:ascii="Calibri" w:eastAsia="Calibri" w:hAnsi="Calibri" w:cs="Calibri"/>
        </w:rPr>
        <w:t xml:space="preserve">los Viceministros del Despacho, los Directores y Subdirectores de los Departamentos Administrativos, los miembros del Congreso, los Embajadores, los Magistrados de las Altas Cortes, los Superintendentes, los Ministros Consejeros, los Secretarios y los Consejeros Presidenciales de la Presidencia de la República, el Presidente de Ecopetrol S.A., el Alto Comisionado para la Paz, el Director General de la Agencia para la Reincorporación y la Normalización (antes Agencia Colombiana para la Reintegración de Personas y Grupos Alzados en Armas), y los Embajadores y Embajadores en Misiones Especiales, únicamente podrán realizar desplazamientos en clase ejecutiva en vuelos internacionales, </w:t>
      </w:r>
      <w:r>
        <w:rPr>
          <w:rFonts w:ascii="Calibri" w:eastAsia="Calibri" w:hAnsi="Calibri" w:cs="Calibri"/>
          <w:highlight w:val="white"/>
        </w:rPr>
        <w:t xml:space="preserve">en el evento en el que, respecto a países con más de 8 horas de distancia de vuelo, la primera actividad programada </w:t>
      </w:r>
      <w:r>
        <w:rPr>
          <w:rFonts w:ascii="Calibri" w:eastAsia="Calibri" w:hAnsi="Calibri" w:cs="Calibri"/>
          <w:highlight w:val="white"/>
        </w:rPr>
        <w:lastRenderedPageBreak/>
        <w:t xml:space="preserve">en su agenda tenga una diferencia menor a 12 horas con relación a la hora prevista de llegada.  </w:t>
      </w:r>
    </w:p>
    <w:p w:rsidR="00E7531D" w:rsidRDefault="00F564A6">
      <w:pPr>
        <w:jc w:val="both"/>
        <w:rPr>
          <w:rFonts w:ascii="Calibri" w:eastAsia="Calibri" w:hAnsi="Calibri" w:cs="Calibri"/>
        </w:rPr>
      </w:pPr>
      <w:r>
        <w:rPr>
          <w:rFonts w:ascii="Calibri" w:eastAsia="Calibri" w:hAnsi="Calibri" w:cs="Calibri"/>
          <w:b/>
        </w:rPr>
        <w:t>ARTÍCULO 13. Fijación de la escala de viáticos.</w:t>
      </w:r>
      <w:r>
        <w:rPr>
          <w:rFonts w:ascii="Calibri" w:eastAsia="Calibri" w:hAnsi="Calibri" w:cs="Calibri"/>
        </w:rPr>
        <w:t xml:space="preserve"> El Gobierno Nacional deberá aplicar </w:t>
      </w:r>
      <w:r w:rsidR="00CC5D4F">
        <w:rPr>
          <w:rFonts w:ascii="Calibri" w:eastAsia="Calibri" w:hAnsi="Calibri" w:cs="Calibri"/>
        </w:rPr>
        <w:t xml:space="preserve">el siguiente parámetro </w:t>
      </w:r>
      <w:bookmarkStart w:id="0" w:name="_GoBack"/>
      <w:bookmarkEnd w:id="0"/>
      <w:r>
        <w:rPr>
          <w:rFonts w:ascii="Calibri" w:eastAsia="Calibri" w:hAnsi="Calibri" w:cs="Calibri"/>
        </w:rPr>
        <w:t>para la fijación de los topes de viáticos correspondientes a comisiones de servicio realizadas por funcionarios públicos al interior y exterior del país:</w:t>
      </w:r>
    </w:p>
    <w:p w:rsidR="00E7531D" w:rsidRDefault="00E7531D">
      <w:pPr>
        <w:jc w:val="both"/>
        <w:rPr>
          <w:rFonts w:ascii="Calibri" w:eastAsia="Calibri" w:hAnsi="Calibri" w:cs="Calibri"/>
        </w:rPr>
      </w:pPr>
    </w:p>
    <w:p w:rsidR="00E7531D" w:rsidRDefault="00F564A6" w:rsidP="00CC5D4F">
      <w:pPr>
        <w:pBdr>
          <w:top w:val="nil"/>
          <w:left w:val="nil"/>
          <w:bottom w:val="nil"/>
          <w:right w:val="nil"/>
          <w:between w:val="nil"/>
        </w:pBdr>
        <w:jc w:val="both"/>
        <w:rPr>
          <w:rFonts w:ascii="Calibri" w:eastAsia="Calibri" w:hAnsi="Calibri" w:cs="Calibri"/>
        </w:rPr>
      </w:pPr>
      <w:r>
        <w:rPr>
          <w:rFonts w:ascii="Calibri" w:eastAsia="Calibri" w:hAnsi="Calibri" w:cs="Calibri"/>
        </w:rPr>
        <w:t>El Departamento Administrativo Nacional de Estadísticas remitirá al Gobierno Nacional dentro de los 15 primeros días de cada año un informe en el que agrupe ciudades y regiones, a nivel nacional e internacional, y presentará al Departamento Administrativo de la Presidencia de la República y al Departamento Administrativo de la Función Pública una tabla única de referencias de la estimación de los valores que cubran con suficiencia los gastos en los que incurran los servidores públicos que se desplazan a los mismos.</w:t>
      </w:r>
    </w:p>
    <w:p w:rsidR="00E7531D" w:rsidRDefault="00E7531D">
      <w:pPr>
        <w:jc w:val="both"/>
        <w:rPr>
          <w:rFonts w:ascii="Calibri" w:eastAsia="Calibri" w:hAnsi="Calibri" w:cs="Calibri"/>
          <w:b/>
        </w:rPr>
      </w:pPr>
    </w:p>
    <w:p w:rsidR="00E7531D" w:rsidRDefault="00E7531D">
      <w:pPr>
        <w:pBdr>
          <w:top w:val="nil"/>
          <w:left w:val="nil"/>
          <w:bottom w:val="nil"/>
          <w:right w:val="nil"/>
          <w:between w:val="nil"/>
        </w:pBdr>
        <w:ind w:left="720"/>
        <w:jc w:val="both"/>
        <w:rPr>
          <w:rFonts w:ascii="Calibri" w:eastAsia="Calibri" w:hAnsi="Calibri" w:cs="Calibri"/>
          <w:b/>
        </w:rPr>
      </w:pPr>
    </w:p>
    <w:p w:rsidR="00E7531D" w:rsidRDefault="00F564A6">
      <w:pPr>
        <w:jc w:val="both"/>
        <w:rPr>
          <w:rFonts w:ascii="Calibri" w:eastAsia="Calibri" w:hAnsi="Calibri" w:cs="Calibri"/>
        </w:rPr>
      </w:pPr>
      <w:r>
        <w:rPr>
          <w:rFonts w:ascii="Calibri" w:eastAsia="Calibri" w:hAnsi="Calibri" w:cs="Calibri"/>
          <w:b/>
        </w:rPr>
        <w:t>ARTÍCULO 14. Delegaciones oficiales.</w:t>
      </w:r>
      <w:r>
        <w:rPr>
          <w:rFonts w:ascii="Calibri" w:eastAsia="Calibri" w:hAnsi="Calibri" w:cs="Calibri"/>
        </w:rPr>
        <w:t xml:space="preserve"> En los casos de delegaciones oficiales, las entidades de orden nacional, territorial, descentralizadas y centralizadas deberán conferir comisión de servicios a una (1) persona por cada entidad, salvo que se acredite la necesidad de contar con un mayor número de servidores para integrar la misma, lo que deberá soportarse en debida forma y de manera oportuna, proporcionando, entre otras, dentro de la respectiva justificación, la relación de las funciones del empleo que desempeña cada delegado, con el objeto de la delegación.</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Toda comisión de servicios otorgada a servidores públicos de todas las entidades públicas nacionales, territoriales, descentralizadas y centralizadas, para cumplir compromisos en representación del Gobierno colombiano con organismos o entidades internacionales de las cuales Colombia haga parte, deberá comunicarse previamente al Ministerio de Relaciones Exteriores, en aras de descartar que la misma no pueda ser asumida por el servicio exterior presente en el país.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 xml:space="preserve">ARTÍCULO 15. Prohibición de pago de viáticos y delegaciones oficiales a particulares. </w:t>
      </w:r>
      <w:r>
        <w:rPr>
          <w:rFonts w:ascii="Calibri" w:eastAsia="Calibri" w:hAnsi="Calibri" w:cs="Calibri"/>
        </w:rPr>
        <w:t>Se prohíbe a las entidades públicas contempladas en el objeto de la presente ley, asignar recursos propios o incluir en delegaciones oficiales a particulares. Sólo serán objeto de pago de viáticos y susceptibles de delegaciones oficiales los servidores públicos, contratistas y particulares en funciones administrativas de que trata el artículo 210 de la Constitución Política de Colombia.</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16. Eventos.</w:t>
      </w:r>
      <w:r>
        <w:rPr>
          <w:rFonts w:ascii="Calibri" w:eastAsia="Calibri" w:hAnsi="Calibri" w:cs="Calibri"/>
        </w:rPr>
        <w:t xml:space="preserve"> En los eventos oficiales de las entidades públicas nacionales, territoriales, descentralizadas y centralizadas, se deberá</w:t>
      </w:r>
    </w:p>
    <w:p w:rsidR="00E7531D" w:rsidRDefault="00F564A6">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Privilegiar la virtualidad en la organización y desarrollo.</w:t>
      </w:r>
    </w:p>
    <w:p w:rsidR="00E7531D" w:rsidRDefault="00F564A6">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Cuando, excepcionalmente, el evento sea presencial, se deberá dar prioridad al uso de espacios institucionales.</w:t>
      </w:r>
    </w:p>
    <w:p w:rsidR="00E7531D" w:rsidRDefault="00F564A6">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Coordinar su realización y logística, en la medida de lo posible, con otras entidades del Estado que tengan necesidades de capacitación análogas o similares.</w:t>
      </w:r>
    </w:p>
    <w:p w:rsidR="00E7531D" w:rsidRDefault="00F564A6">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Priorizar el uso de las tecnologías de información y las comunicaciones de manera que se racionalice la papelería y demás elementos de apoyo de las capacitaciones.</w:t>
      </w:r>
    </w:p>
    <w:p w:rsidR="00E7531D" w:rsidRDefault="00F564A6">
      <w:pPr>
        <w:numPr>
          <w:ilvl w:val="0"/>
          <w:numId w:val="9"/>
        </w:numPr>
        <w:pBdr>
          <w:top w:val="nil"/>
          <w:left w:val="nil"/>
          <w:bottom w:val="nil"/>
          <w:right w:val="nil"/>
          <w:between w:val="nil"/>
        </w:pBdr>
        <w:jc w:val="both"/>
        <w:rPr>
          <w:rFonts w:ascii="Calibri" w:eastAsia="Calibri" w:hAnsi="Calibri" w:cs="Calibri"/>
        </w:rPr>
      </w:pPr>
      <w:r>
        <w:rPr>
          <w:rFonts w:ascii="Calibri" w:eastAsia="Calibri" w:hAnsi="Calibri" w:cs="Calibri"/>
        </w:rPr>
        <w:t>Se prohíbe que, con cargo al presupuesto de la Entidad Pública, se realicen fiestas, conmemoraciones, condecoraciones o recepciones en las que se incluya el servicio o suministro de alimentos distintos a los establecidos en los servicios de cafetería.</w:t>
      </w:r>
    </w:p>
    <w:p w:rsidR="00E7531D" w:rsidRDefault="00E7531D">
      <w:pPr>
        <w:pBdr>
          <w:top w:val="nil"/>
          <w:left w:val="nil"/>
          <w:bottom w:val="nil"/>
          <w:right w:val="nil"/>
          <w:between w:val="nil"/>
        </w:pBdr>
        <w:jc w:val="both"/>
        <w:rPr>
          <w:rFonts w:ascii="Calibri" w:eastAsia="Calibri" w:hAnsi="Calibri" w:cs="Calibri"/>
          <w:highlight w:val="yellow"/>
        </w:rPr>
      </w:pPr>
    </w:p>
    <w:p w:rsidR="00E7531D" w:rsidRDefault="00F564A6">
      <w:pPr>
        <w:jc w:val="both"/>
        <w:rPr>
          <w:rFonts w:ascii="Calibri" w:eastAsia="Calibri" w:hAnsi="Calibri" w:cs="Calibri"/>
        </w:rPr>
      </w:pPr>
      <w:r>
        <w:rPr>
          <w:rFonts w:ascii="Calibri" w:eastAsia="Calibri" w:hAnsi="Calibri" w:cs="Calibri"/>
          <w:b/>
        </w:rPr>
        <w:t>ARTÍCULO 17. Esquemas de seguridad.</w:t>
      </w:r>
      <w:r>
        <w:rPr>
          <w:rFonts w:ascii="Calibri" w:eastAsia="Calibri" w:hAnsi="Calibri" w:cs="Calibri"/>
        </w:rPr>
        <w:t xml:space="preserve"> La Unidad Nacional de Protección y la Dirección de Protección de la Policía Nacional, con acatamiento al marco legal y reglamentario, deberán efectuar una revisión de las evaluaciones de riesgo de los servidores públicos de todas las entidades públicas nacionales, territoriales, descentralizadas y centralizadas, y garantizar que su asignación y conformación responda siempre su nivel riesgo efectivo y no al cargo que ostenta.</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18. Vehículos oficiales.</w:t>
      </w:r>
      <w:r>
        <w:rPr>
          <w:rFonts w:ascii="Calibri" w:eastAsia="Calibri" w:hAnsi="Calibri" w:cs="Calibri"/>
        </w:rPr>
        <w:t xml:space="preserve"> Todas las entidades públicas nacionales, territoriales, descentralizadas y centralizadas, podrán adquirir vehículos automotores, cuando el parque automotor presente una obsolescencia mayor a diez (10) años, contados a partir de la matrícula del vehículo, y solamente cuando su necesidad esté debidamente justificada y sustentada en estudios que demuestren la conveniencia y el ahorro para la entidad.</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Los vehículos oficiales o los contratados mediante convenios suscritos con empresas autorizadas, tendrán como destinación específica el desarrollo de actividades misionales, quedando prohibida su destinación para el uso privado de sus asignatarios o de sus relacionados.</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19. Ahorro en publicidad estatal.</w:t>
      </w:r>
      <w:r>
        <w:rPr>
          <w:rFonts w:ascii="Calibri" w:eastAsia="Calibri" w:hAnsi="Calibri" w:cs="Calibri"/>
        </w:rPr>
        <w:t xml:space="preserve"> En concordancia con lo dispuesto en la Ley 2345 de 2023, el gasto total en publicidad oficial de los entes públicos no podrá ser superior al efectivamente ejecutado en la vigencia inmediatamente anterior a la promulgación de la presente ley, una vez actualizados sus valores.</w:t>
      </w:r>
    </w:p>
    <w:p w:rsidR="00E7531D" w:rsidRDefault="00E7531D">
      <w:pPr>
        <w:jc w:val="both"/>
        <w:rPr>
          <w:rFonts w:ascii="Calibri" w:eastAsia="Calibri" w:hAnsi="Calibri" w:cs="Calibri"/>
        </w:rPr>
      </w:pPr>
    </w:p>
    <w:p w:rsidR="00E7531D" w:rsidRDefault="00F564A6">
      <w:pPr>
        <w:jc w:val="both"/>
        <w:rPr>
          <w:rFonts w:ascii="Calibri" w:eastAsia="Calibri" w:hAnsi="Calibri" w:cs="Calibri"/>
          <w:highlight w:val="green"/>
        </w:rPr>
      </w:pPr>
      <w:r>
        <w:rPr>
          <w:rFonts w:ascii="Calibri" w:eastAsia="Calibri" w:hAnsi="Calibri" w:cs="Calibri"/>
          <w:b/>
        </w:rPr>
        <w:t>PARÁGRAFO</w:t>
      </w:r>
      <w:r>
        <w:rPr>
          <w:rFonts w:ascii="Calibri" w:eastAsia="Calibri" w:hAnsi="Calibri" w:cs="Calibri"/>
        </w:rPr>
        <w:t xml:space="preserve">: Se exceptúan de esta disposición los gastos relacionados con campañas de difusión masiva de información relacionada con el orden público y la seguridad nacional, o cualquier escenario de emergencia o calamidad manifiesta.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20. Papelería y telefonía.</w:t>
      </w:r>
      <w:r>
        <w:rPr>
          <w:rFonts w:ascii="Calibri" w:eastAsia="Calibri" w:hAnsi="Calibri" w:cs="Calibri"/>
        </w:rPr>
        <w:t xml:space="preserve"> Para el uso adecuado de papelería y telefonía, todas las entidades públicas nacionales, territoriales, descentralizadas y centralizadas deberán:</w:t>
      </w:r>
    </w:p>
    <w:p w:rsidR="00E7531D" w:rsidRDefault="00E7531D">
      <w:pPr>
        <w:jc w:val="both"/>
        <w:rPr>
          <w:rFonts w:ascii="Calibri" w:eastAsia="Calibri" w:hAnsi="Calibri" w:cs="Calibri"/>
        </w:rPr>
      </w:pPr>
    </w:p>
    <w:p w:rsidR="00E7531D" w:rsidRDefault="00F564A6">
      <w:pPr>
        <w:numPr>
          <w:ilvl w:val="0"/>
          <w:numId w:val="1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Utilizar medios digitales, de manera preferente, y evitar impresiones</w:t>
      </w:r>
      <w:r>
        <w:rPr>
          <w:rFonts w:ascii="Calibri" w:eastAsia="Calibri" w:hAnsi="Calibri" w:cs="Calibri"/>
        </w:rPr>
        <w:t xml:space="preserve"> en papel.</w:t>
      </w:r>
    </w:p>
    <w:p w:rsidR="00E7531D" w:rsidRDefault="00F564A6">
      <w:pPr>
        <w:numPr>
          <w:ilvl w:val="0"/>
          <w:numId w:val="1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Las publicaciones de toda entidad deberán hacerse de manera preferente en su espacio web.</w:t>
      </w:r>
    </w:p>
    <w:p w:rsidR="00E7531D" w:rsidRDefault="00F564A6">
      <w:pPr>
        <w:numPr>
          <w:ilvl w:val="0"/>
          <w:numId w:val="1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Reducir el consumo, reutilizar y reciclar implementos de oficina.</w:t>
      </w:r>
    </w:p>
    <w:p w:rsidR="00E7531D" w:rsidRDefault="00F564A6">
      <w:pPr>
        <w:numPr>
          <w:ilvl w:val="0"/>
          <w:numId w:val="1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Racionalizar llamadas telefónicas internacionales, nacionales y a celulares y privilegiar sistemas basados en protocolo de internet.</w:t>
      </w:r>
    </w:p>
    <w:p w:rsidR="00E7531D" w:rsidRDefault="00F564A6">
      <w:pPr>
        <w:numPr>
          <w:ilvl w:val="0"/>
          <w:numId w:val="10"/>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t xml:space="preserve">Los planes de telefonía celular que adquieran las entidades, tendrán destinación exclusiva para su uso por parte de las áreas de servicio al ciudadano y/o aquellas en las que se requiera comunicación permanente con la ciudadanía y con agentes externos a la entidad. Los altos cargos de las entidades (Congresistas, Magistrados y directivos de entidades públicas) no recibirán equipos de telefonía celular ni recursos para el pago de planes de telefonía celular para uso personal o asignados a sus despachos. </w:t>
      </w:r>
    </w:p>
    <w:p w:rsidR="00E7531D" w:rsidRDefault="00F564A6">
      <w:pPr>
        <w:numPr>
          <w:ilvl w:val="0"/>
          <w:numId w:val="1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Los nuevos equipos de teléfono celular que adquieran las entidades no podrán superar el valor de compra de </w:t>
      </w:r>
      <w:r>
        <w:rPr>
          <w:rFonts w:ascii="Calibri" w:eastAsia="Calibri" w:hAnsi="Calibri" w:cs="Calibri"/>
        </w:rPr>
        <w:t>50</w:t>
      </w:r>
      <w:r>
        <w:rPr>
          <w:rFonts w:ascii="Calibri" w:eastAsia="Calibri" w:hAnsi="Calibri" w:cs="Calibri"/>
          <w:color w:val="000000"/>
        </w:rPr>
        <w:t xml:space="preserve"> Unidades de Valor Tributario.</w:t>
      </w:r>
    </w:p>
    <w:p w:rsidR="00E7531D" w:rsidRDefault="00E7531D">
      <w:pPr>
        <w:pBdr>
          <w:top w:val="nil"/>
          <w:left w:val="nil"/>
          <w:bottom w:val="nil"/>
          <w:right w:val="nil"/>
          <w:between w:val="nil"/>
        </w:pBdr>
        <w:jc w:val="both"/>
        <w:rPr>
          <w:rFonts w:ascii="Calibri" w:eastAsia="Calibri" w:hAnsi="Calibri" w:cs="Calibri"/>
        </w:rPr>
      </w:pPr>
    </w:p>
    <w:p w:rsidR="00E7531D" w:rsidRDefault="00F564A6">
      <w:pPr>
        <w:pBdr>
          <w:top w:val="nil"/>
          <w:left w:val="nil"/>
          <w:bottom w:val="nil"/>
          <w:right w:val="nil"/>
          <w:between w:val="nil"/>
        </w:pBdr>
        <w:jc w:val="both"/>
        <w:rPr>
          <w:rFonts w:ascii="Calibri" w:eastAsia="Calibri" w:hAnsi="Calibri" w:cs="Calibri"/>
        </w:rPr>
      </w:pPr>
      <w:r>
        <w:rPr>
          <w:rFonts w:ascii="Calibri" w:eastAsia="Calibri" w:hAnsi="Calibri" w:cs="Calibri"/>
          <w:b/>
        </w:rPr>
        <w:t>PARÁGRAFO:</w:t>
      </w:r>
      <w:r>
        <w:rPr>
          <w:rFonts w:ascii="Calibri" w:eastAsia="Calibri" w:hAnsi="Calibri" w:cs="Calibri"/>
        </w:rPr>
        <w:t xml:space="preserve"> Se exceptúan de este precepto los servicios de telefonía destinados a servicios de atención al ciudadano, seguridad y actividades funcionales de inteligencia y contrainteligencia.</w:t>
      </w:r>
    </w:p>
    <w:p w:rsidR="00E7531D" w:rsidRDefault="00E7531D">
      <w:pPr>
        <w:pBdr>
          <w:top w:val="nil"/>
          <w:left w:val="nil"/>
          <w:bottom w:val="nil"/>
          <w:right w:val="nil"/>
          <w:between w:val="nil"/>
        </w:pBdr>
        <w:ind w:left="720"/>
        <w:jc w:val="both"/>
        <w:rPr>
          <w:rFonts w:ascii="Calibri" w:eastAsia="Calibri" w:hAnsi="Calibri" w:cs="Calibri"/>
          <w:color w:val="000000"/>
        </w:rPr>
      </w:pPr>
    </w:p>
    <w:p w:rsidR="00E7531D" w:rsidRDefault="00F564A6">
      <w:pPr>
        <w:jc w:val="both"/>
        <w:rPr>
          <w:rFonts w:ascii="Calibri" w:eastAsia="Calibri" w:hAnsi="Calibri" w:cs="Calibri"/>
        </w:rPr>
      </w:pPr>
      <w:r>
        <w:rPr>
          <w:rFonts w:ascii="Calibri" w:eastAsia="Calibri" w:hAnsi="Calibri" w:cs="Calibri"/>
          <w:b/>
        </w:rPr>
        <w:t>ARTÍCULO 21. Suscripción a periódicos y revistas, publicaciones y bases de datos</w:t>
      </w:r>
      <w:r>
        <w:rPr>
          <w:rFonts w:ascii="Calibri" w:eastAsia="Calibri" w:hAnsi="Calibri" w:cs="Calibri"/>
        </w:rPr>
        <w:t>. Las suscripciones a bases de datos electrónicas, periódicos o revistas especializadas se efectuarán solamente cuando sea necesario para el cumplimiento del objeto misional de las entidades. Las licencias se adquirirán en las cantidades suficientes para suplir las necesidades del servicio.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22.</w:t>
      </w:r>
      <w:r>
        <w:rPr>
          <w:rFonts w:ascii="Calibri" w:eastAsia="Calibri" w:hAnsi="Calibri" w:cs="Calibri"/>
        </w:rPr>
        <w:t xml:space="preserve"> </w:t>
      </w:r>
      <w:r>
        <w:rPr>
          <w:rFonts w:ascii="Calibri" w:eastAsia="Calibri" w:hAnsi="Calibri" w:cs="Calibri"/>
          <w:b/>
        </w:rPr>
        <w:t xml:space="preserve">Prohibición de regalos, recordatorios y </w:t>
      </w:r>
      <w:proofErr w:type="spellStart"/>
      <w:r>
        <w:rPr>
          <w:rFonts w:ascii="Calibri" w:eastAsia="Calibri" w:hAnsi="Calibri" w:cs="Calibri"/>
          <w:b/>
        </w:rPr>
        <w:t>souvenirs</w:t>
      </w:r>
      <w:proofErr w:type="spellEnd"/>
      <w:r>
        <w:rPr>
          <w:rFonts w:ascii="Calibri" w:eastAsia="Calibri" w:hAnsi="Calibri" w:cs="Calibri"/>
          <w:b/>
        </w:rPr>
        <w:t xml:space="preserve"> a cargo del tesoro</w:t>
      </w:r>
      <w:r>
        <w:rPr>
          <w:rFonts w:ascii="Calibri" w:eastAsia="Calibri" w:hAnsi="Calibri" w:cs="Calibri"/>
        </w:rPr>
        <w:t xml:space="preserve">. Se prohíbe a las entidades públicas objeto de la presente ley adquirir regalos corporativos, </w:t>
      </w:r>
      <w:proofErr w:type="spellStart"/>
      <w:r>
        <w:rPr>
          <w:rFonts w:ascii="Calibri" w:eastAsia="Calibri" w:hAnsi="Calibri" w:cs="Calibri"/>
        </w:rPr>
        <w:t>souvenirs</w:t>
      </w:r>
      <w:proofErr w:type="spellEnd"/>
      <w:r>
        <w:rPr>
          <w:rFonts w:ascii="Calibri" w:eastAsia="Calibri" w:hAnsi="Calibri" w:cs="Calibri"/>
        </w:rPr>
        <w:t>, recuerdos o artículos suntuarios relacionados. No se financiarán con recursos públicos regalos corporativos ni artículos promocionales o de mercadeo por parte de ninguna de las entidades públicas nacionales, territoriales, descentralizadas y centralizadas.</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PARÁGRAFO: Exceptúense de esta disposición las entidades públicas cuyo objeto sea, puntualmente, la promoción y difusión nacional o internacional de artículos artesanales o culturales producidos en el país. De igual manera, se exceptúa de esta disposición la adquisición de artículos destinados a la promoción de la marca país en eventos o convenciones sobre turismo, ruedas de inversión y certámenes de importancia estratégica demostrable, y entidades a cargo de actividades protocolarias y de relaciones exteriores y cooperación internacional.</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lastRenderedPageBreak/>
        <w:t xml:space="preserve">ARTÍCULO 23. Sostenibilidad ambiental. </w:t>
      </w:r>
      <w:r>
        <w:rPr>
          <w:rFonts w:ascii="Calibri" w:eastAsia="Calibri" w:hAnsi="Calibri" w:cs="Calibri"/>
        </w:rPr>
        <w:t>Todas las entidades públicas nacionales, territoriales, descentralizadas y centralizadas, propenderán por adoptar las siguientes acciones:</w:t>
      </w:r>
    </w:p>
    <w:p w:rsidR="00E7531D" w:rsidRDefault="00E7531D">
      <w:pPr>
        <w:jc w:val="both"/>
        <w:rPr>
          <w:rFonts w:ascii="Calibri" w:eastAsia="Calibri" w:hAnsi="Calibri" w:cs="Calibri"/>
        </w:rPr>
      </w:pPr>
    </w:p>
    <w:p w:rsidR="00E7531D" w:rsidRDefault="00F564A6">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Implementar sistemas de re</w:t>
      </w:r>
      <w:r>
        <w:rPr>
          <w:rFonts w:ascii="Calibri" w:eastAsia="Calibri" w:hAnsi="Calibri" w:cs="Calibri"/>
        </w:rPr>
        <w:t>utilización</w:t>
      </w:r>
      <w:r>
        <w:rPr>
          <w:rFonts w:ascii="Calibri" w:eastAsia="Calibri" w:hAnsi="Calibri" w:cs="Calibri"/>
          <w:color w:val="000000"/>
        </w:rPr>
        <w:t xml:space="preserve"> de aguas e instalación de ahorradores.</w:t>
      </w:r>
    </w:p>
    <w:p w:rsidR="00E7531D" w:rsidRDefault="00F564A6">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Fomentar una cultura de ahorro de agua y energía en cada entidad, a través del establecimiento de programas pedagógicos.</w:t>
      </w:r>
    </w:p>
    <w:p w:rsidR="00E7531D" w:rsidRDefault="00F564A6">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Instalar, en cuanto sea posible, sistemas de ahorro de energía, temporizadores, paneles solares y</w:t>
      </w:r>
      <w:r>
        <w:rPr>
          <w:rFonts w:ascii="Calibri" w:eastAsia="Calibri" w:hAnsi="Calibri" w:cs="Calibri"/>
        </w:rPr>
        <w:t>/o sistemas de autogeneración de energía</w:t>
      </w:r>
      <w:r>
        <w:rPr>
          <w:rFonts w:ascii="Calibri" w:eastAsia="Calibri" w:hAnsi="Calibri" w:cs="Calibri"/>
          <w:color w:val="000000"/>
        </w:rPr>
        <w:t xml:space="preserve"> y demás tecnologías que ayuden al ahorro de recursos.</w:t>
      </w:r>
    </w:p>
    <w:p w:rsidR="00E7531D" w:rsidRDefault="00F564A6">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Implementar políticas de reutilización y reciclaje de elementos de oficina, maximización de vida útil de herramientas de trabajo y reciclaje de tecnología.</w:t>
      </w:r>
    </w:p>
    <w:p w:rsidR="00E7531D" w:rsidRDefault="00F564A6">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Crear programas internos de </w:t>
      </w:r>
      <w:r>
        <w:rPr>
          <w:rFonts w:ascii="Calibri" w:eastAsia="Calibri" w:hAnsi="Calibri" w:cs="Calibri"/>
        </w:rPr>
        <w:t>incentivo</w:t>
      </w:r>
      <w:r>
        <w:rPr>
          <w:rFonts w:ascii="Calibri" w:eastAsia="Calibri" w:hAnsi="Calibri" w:cs="Calibri"/>
          <w:color w:val="000000"/>
        </w:rPr>
        <w:t xml:space="preserve"> al uso de vehículos y med</w:t>
      </w:r>
      <w:r>
        <w:rPr>
          <w:rFonts w:ascii="Calibri" w:eastAsia="Calibri" w:hAnsi="Calibri" w:cs="Calibri"/>
        </w:rPr>
        <w:t>i</w:t>
      </w:r>
      <w:r>
        <w:rPr>
          <w:rFonts w:ascii="Calibri" w:eastAsia="Calibri" w:hAnsi="Calibri" w:cs="Calibri"/>
          <w:color w:val="000000"/>
        </w:rPr>
        <w:t>os de transporte ambientalmente sostenibles como bicicletas, transporte público, entre otros.</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 xml:space="preserve">ARTÍCULO 24. </w:t>
      </w:r>
      <w:r>
        <w:rPr>
          <w:rFonts w:ascii="Calibri" w:eastAsia="Calibri" w:hAnsi="Calibri" w:cs="Calibri"/>
        </w:rPr>
        <w:t xml:space="preserve">Ningún servidor o funcionario público de la rama ejecutiva podrá obtener pensión ni recibir recursos públicos en objeto a jubilación sin el cumplimiento de la edad estipulada para acceder a una pensión de vejez que determine el marco normativo colombiano. </w:t>
      </w:r>
    </w:p>
    <w:p w:rsidR="00E7531D" w:rsidRDefault="00E7531D">
      <w:pPr>
        <w:jc w:val="both"/>
        <w:rPr>
          <w:rFonts w:ascii="Calibri" w:eastAsia="Calibri" w:hAnsi="Calibri" w:cs="Calibri"/>
          <w:b/>
        </w:rPr>
      </w:pPr>
    </w:p>
    <w:p w:rsidR="00E7531D" w:rsidRDefault="00F564A6">
      <w:pPr>
        <w:jc w:val="both"/>
        <w:rPr>
          <w:rFonts w:ascii="Calibri" w:eastAsia="Calibri" w:hAnsi="Calibri" w:cs="Calibri"/>
          <w:b/>
        </w:rPr>
      </w:pPr>
      <w:r>
        <w:rPr>
          <w:rFonts w:ascii="Calibri" w:eastAsia="Calibri" w:hAnsi="Calibri" w:cs="Calibri"/>
          <w:b/>
        </w:rPr>
        <w:t>ARTÍCULO 25.</w:t>
      </w:r>
      <w:r>
        <w:rPr>
          <w:rFonts w:ascii="Calibri" w:eastAsia="Calibri" w:hAnsi="Calibri" w:cs="Calibri"/>
        </w:rPr>
        <w:t xml:space="preserve"> </w:t>
      </w:r>
      <w:r>
        <w:rPr>
          <w:rFonts w:ascii="Calibri" w:eastAsia="Calibri" w:hAnsi="Calibri" w:cs="Calibri"/>
          <w:b/>
        </w:rPr>
        <w:t xml:space="preserve">Prohibición de duplicidad de estudios. </w:t>
      </w:r>
      <w:r>
        <w:rPr>
          <w:rFonts w:ascii="Calibri" w:eastAsia="Calibri" w:hAnsi="Calibri" w:cs="Calibri"/>
        </w:rPr>
        <w:t>Salvo criterio técnico, suscrito por autoridad competente, que demuestre la inconveniencia, imposibilidad de ejecución o error manifiesto en su elaboración, se prohíbe a las entidades objeto de la presente ley la contratación de estudios y/o diseños de asuntos sobre los que existan otros estudios con idéntico o similar objeto y que sus resultados y/o recomendaciones sean vigentes. En todo caso, y con el fin de racionalizar el gasto público, se dará prelación a la actualización o complementación de los estudios y/o diseños existentes sobre la materia, antes que a la contratación de nuevos.</w:t>
      </w:r>
    </w:p>
    <w:p w:rsidR="00E7531D" w:rsidRDefault="00E7531D">
      <w:pPr>
        <w:jc w:val="both"/>
        <w:rPr>
          <w:rFonts w:ascii="Calibri" w:eastAsia="Calibri" w:hAnsi="Calibri" w:cs="Calibri"/>
        </w:rPr>
      </w:pPr>
    </w:p>
    <w:p w:rsidR="00E7531D" w:rsidRDefault="00F564A6">
      <w:pPr>
        <w:jc w:val="center"/>
        <w:rPr>
          <w:rFonts w:ascii="Calibri" w:eastAsia="Calibri" w:hAnsi="Calibri" w:cs="Calibri"/>
          <w:b/>
        </w:rPr>
      </w:pPr>
      <w:r>
        <w:rPr>
          <w:rFonts w:ascii="Calibri" w:eastAsia="Calibri" w:hAnsi="Calibri" w:cs="Calibri"/>
          <w:b/>
        </w:rPr>
        <w:t>Título III. Lineamientos para promover y priorizar la transparencia del gasto público</w:t>
      </w:r>
    </w:p>
    <w:p w:rsidR="00E7531D" w:rsidRDefault="00E7531D">
      <w:pPr>
        <w:jc w:val="both"/>
        <w:rPr>
          <w:rFonts w:ascii="Calibri" w:eastAsia="Calibri" w:hAnsi="Calibri" w:cs="Calibri"/>
          <w:color w:val="FF00FF"/>
        </w:rPr>
      </w:pPr>
    </w:p>
    <w:p w:rsidR="00E7531D" w:rsidRDefault="00F564A6">
      <w:pPr>
        <w:jc w:val="both"/>
        <w:rPr>
          <w:rFonts w:ascii="Calibri" w:eastAsia="Calibri" w:hAnsi="Calibri" w:cs="Calibri"/>
        </w:rPr>
      </w:pPr>
      <w:r>
        <w:rPr>
          <w:rFonts w:ascii="Calibri" w:eastAsia="Calibri" w:hAnsi="Calibri" w:cs="Calibri"/>
          <w:b/>
        </w:rPr>
        <w:t xml:space="preserve">ARTÍCULO 25. Publicación de informes de comisión realizados por los servidores públicos. </w:t>
      </w:r>
      <w:r>
        <w:rPr>
          <w:rFonts w:ascii="Calibri" w:eastAsia="Calibri" w:hAnsi="Calibri" w:cs="Calibri"/>
        </w:rPr>
        <w:t xml:space="preserve">Los informes de comisión presentados por los servidores públicos deberán ser publicados en las páginas web de cada entidad, y los mismos deberán consistir, al menos, en una bitácora de las actividades desarrolladas durante la comisión, desde el momento en el que inicia el primer desplazamiento y hasta el momento en el que regresa a su ciudad de origen, incluyendo tiempos de traslado y objetivos de la comisión asignada.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26. Plan de manejo y disposición de activos inútiles.</w:t>
      </w:r>
      <w:r>
        <w:rPr>
          <w:rFonts w:ascii="Calibri" w:eastAsia="Calibri" w:hAnsi="Calibri" w:cs="Calibri"/>
        </w:rPr>
        <w:t xml:space="preserve"> Las entidades objeto de la presente ley, en un término máximo de 18 meses contados a partir de su entrada en </w:t>
      </w:r>
      <w:r>
        <w:rPr>
          <w:rFonts w:ascii="Calibri" w:eastAsia="Calibri" w:hAnsi="Calibri" w:cs="Calibri"/>
        </w:rPr>
        <w:lastRenderedPageBreak/>
        <w:t xml:space="preserve">vigencia, presentarán al Ministerio de Hacienda y Crédito Público y Entidad cabeza de sector, un plan de manejo y disposición de aquellos bienes, muebles o inmuebles, participaciones accionarias o activos de cualquier naturaleza, cuyo estado actual imposibilita su uso, o el mismo no corresponde a la naturaleza y misión legal de la entidad.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Dicho Plan de Manejo y Disposición deberá contar con un inventario de los activos considerados inútiles, una propuesta de destinación acorde a su naturaleza, función, estado y valor, y un plazo razonable para la concreción de tal propuesta.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Los recursos generados por el desarrollo del plan de manejo y disposición de los activos inútiles, serán administrados por la entidad a cargo de los mismos y su valor será contabilizado como ahorro en la vigencia en que se efectúe su disposición.     </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 xml:space="preserve">ARTÍCULO 28. </w:t>
      </w:r>
      <w:r>
        <w:rPr>
          <w:rFonts w:ascii="Calibri" w:eastAsia="Calibri" w:hAnsi="Calibri" w:cs="Calibri"/>
        </w:rPr>
        <w:t>Los servidores y/o funcionarios públicos de todas las ramas del poder público deberán brindar un trato respetuoso a las y los trabajadores que estén bajo su dirección. Así mismo, las funciones y responsabilidades que desempeñan las y los trabajadores que estén bajo su dirección sólo se podrán realizar dentro de las instalaciones de la entidad y/o jornadas de trabajo que designe la entidad en caso de ser realizada en espacios públicos, abiertos o por fuera de las instalaciones oficiales, en los horarios establecidos en el contrato de trabajo escrito y en ningún caso se permitirá el desarrollo de funciones remuneradas con recursos públicos para el beneficio individual, familiar o propio de su director, revisor y/</w:t>
      </w:r>
      <w:proofErr w:type="spellStart"/>
      <w:r>
        <w:rPr>
          <w:rFonts w:ascii="Calibri" w:eastAsia="Calibri" w:hAnsi="Calibri" w:cs="Calibri"/>
        </w:rPr>
        <w:t>o</w:t>
      </w:r>
      <w:proofErr w:type="spellEnd"/>
      <w:r>
        <w:rPr>
          <w:rFonts w:ascii="Calibri" w:eastAsia="Calibri" w:hAnsi="Calibri" w:cs="Calibri"/>
        </w:rPr>
        <w:t xml:space="preserve"> otro cargo superior.</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ARTÍCULO 29</w:t>
      </w:r>
      <w:r>
        <w:rPr>
          <w:rFonts w:ascii="Calibri" w:eastAsia="Calibri" w:hAnsi="Calibri" w:cs="Calibri"/>
        </w:rPr>
        <w:t xml:space="preserve">. </w:t>
      </w:r>
      <w:r>
        <w:rPr>
          <w:rFonts w:ascii="Calibri" w:eastAsia="Calibri" w:hAnsi="Calibri" w:cs="Calibri"/>
          <w:b/>
        </w:rPr>
        <w:t>Cajas menores</w:t>
      </w:r>
      <w:r>
        <w:rPr>
          <w:rFonts w:ascii="Calibri" w:eastAsia="Calibri" w:hAnsi="Calibri" w:cs="Calibri"/>
        </w:rPr>
        <w:t>. En las entidades y organismos en que esté contemplada la figura de la caja menor, su responsable deberá limitarse estrictamente a gastos imprevisibles, urgentes, imprescindibles e inaplazables. En ningún caso su destinación se podrá fraccionar a compras de un mismo elemento y/o servicio, ni a la adquisición de elementos cuya existencia esté comprobada en almacén o se encuentre contratada.</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 xml:space="preserve">ARTÍCULO 30. </w:t>
      </w:r>
      <w:r>
        <w:rPr>
          <w:rFonts w:ascii="Calibri" w:eastAsia="Calibri" w:hAnsi="Calibri" w:cs="Calibri"/>
        </w:rPr>
        <w:t>Todos los fondos y fideicomisos que reciban recursos del Presupuesto General de la Nación, sin excepción deberán:</w:t>
      </w:r>
    </w:p>
    <w:p w:rsidR="00E7531D" w:rsidRDefault="00E7531D">
      <w:pPr>
        <w:jc w:val="both"/>
        <w:rPr>
          <w:rFonts w:ascii="Calibri" w:eastAsia="Calibri" w:hAnsi="Calibri" w:cs="Calibri"/>
        </w:rPr>
      </w:pPr>
    </w:p>
    <w:p w:rsidR="00E7531D" w:rsidRDefault="00F564A6">
      <w:pPr>
        <w:numPr>
          <w:ilvl w:val="0"/>
          <w:numId w:val="6"/>
        </w:numPr>
        <w:jc w:val="both"/>
        <w:rPr>
          <w:rFonts w:ascii="Calibri" w:eastAsia="Calibri" w:hAnsi="Calibri" w:cs="Calibri"/>
        </w:rPr>
      </w:pPr>
      <w:r>
        <w:rPr>
          <w:rFonts w:ascii="Calibri" w:eastAsia="Calibri" w:hAnsi="Calibri" w:cs="Calibri"/>
        </w:rPr>
        <w:t>Ser constituidos por el Ministerio de Hacienda y Crédito Público, como único fideicomitente.</w:t>
      </w:r>
    </w:p>
    <w:p w:rsidR="00E7531D" w:rsidRDefault="00F564A6">
      <w:pPr>
        <w:numPr>
          <w:ilvl w:val="0"/>
          <w:numId w:val="6"/>
        </w:numPr>
        <w:jc w:val="both"/>
        <w:rPr>
          <w:rFonts w:ascii="Calibri" w:eastAsia="Calibri" w:hAnsi="Calibri" w:cs="Calibri"/>
        </w:rPr>
      </w:pPr>
      <w:r>
        <w:rPr>
          <w:rFonts w:ascii="Calibri" w:eastAsia="Calibri" w:hAnsi="Calibri" w:cs="Calibri"/>
        </w:rPr>
        <w:t>Ofrecer información cada trimestre en forma oportuna y veraz, con objeto de dar cumplimiento a las obligaciones de transparencia, y observar el principio de rendición de cuentas, de conformidad con la Ley 1712 de 2014 de Transparencia y del Derecho de Acceso a la Información Pública, en el marco de recursos recibidos, ejecución, cumplimiento del objeto o misión del fondo y/o fideicomiso</w:t>
      </w:r>
    </w:p>
    <w:p w:rsidR="00E7531D" w:rsidRDefault="00F564A6">
      <w:pPr>
        <w:numPr>
          <w:ilvl w:val="0"/>
          <w:numId w:val="6"/>
        </w:numPr>
        <w:jc w:val="both"/>
        <w:rPr>
          <w:rFonts w:ascii="Calibri" w:eastAsia="Calibri" w:hAnsi="Calibri" w:cs="Calibri"/>
        </w:rPr>
      </w:pPr>
      <w:r>
        <w:rPr>
          <w:rFonts w:ascii="Calibri" w:eastAsia="Calibri" w:hAnsi="Calibri" w:cs="Calibri"/>
        </w:rPr>
        <w:t>Publicar trimestralmente sus estados financieros</w:t>
      </w:r>
    </w:p>
    <w:p w:rsidR="00E7531D" w:rsidRDefault="00F564A6">
      <w:pPr>
        <w:numPr>
          <w:ilvl w:val="0"/>
          <w:numId w:val="6"/>
        </w:numPr>
        <w:jc w:val="both"/>
        <w:rPr>
          <w:rFonts w:ascii="Calibri" w:eastAsia="Calibri" w:hAnsi="Calibri" w:cs="Calibri"/>
        </w:rPr>
      </w:pPr>
      <w:r>
        <w:rPr>
          <w:rFonts w:ascii="Calibri" w:eastAsia="Calibri" w:hAnsi="Calibri" w:cs="Calibri"/>
        </w:rPr>
        <w:lastRenderedPageBreak/>
        <w:t>Reportar la información que le requiera el Ministerio de Hacienda y Crédito Público o el Congreso de la República, tanto para la realización del Reporte de Austeridad como la función congresional de control político.</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 xml:space="preserve">ARTÍCULO 31. Sistema de información sobre Fondos y Fideicomisos. </w:t>
      </w:r>
      <w:r>
        <w:rPr>
          <w:rFonts w:ascii="Calibri" w:eastAsia="Calibri" w:hAnsi="Calibri" w:cs="Calibri"/>
        </w:rPr>
        <w:t>El Ministerio de Hacienda y Crédito Público tendrá disponible un sistema de información sobre los fondos y fideicomisos de forma clara y de libre consulta en la página web institucional sobre los ítems planteados en el artículo 29 de la presente ley.</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rPr>
        <w:t xml:space="preserve">Las autoridades competentes en materia de control fiscal realizarán auditorías e inspecciones a los fondos y fideicomisos que manejen o administren recursos públicos. </w:t>
      </w:r>
    </w:p>
    <w:p w:rsidR="00E7531D" w:rsidRDefault="00E7531D">
      <w:pPr>
        <w:jc w:val="both"/>
        <w:rPr>
          <w:rFonts w:ascii="Calibri" w:eastAsia="Calibri" w:hAnsi="Calibri" w:cs="Calibri"/>
        </w:rPr>
      </w:pPr>
    </w:p>
    <w:p w:rsidR="002F6370" w:rsidRDefault="002F6370" w:rsidP="002F6370">
      <w:pPr>
        <w:jc w:val="both"/>
        <w:rPr>
          <w:rFonts w:ascii="Calibri" w:eastAsia="Calibri" w:hAnsi="Calibri" w:cs="Calibri"/>
        </w:rPr>
      </w:pPr>
      <w:r>
        <w:rPr>
          <w:rFonts w:ascii="Calibri" w:eastAsia="Calibri" w:hAnsi="Calibri" w:cs="Calibri"/>
          <w:b/>
        </w:rPr>
        <w:t xml:space="preserve">ARTÍCULO 32. </w:t>
      </w:r>
      <w:r w:rsidRPr="002F6370">
        <w:rPr>
          <w:rFonts w:ascii="Calibri" w:eastAsia="Calibri" w:hAnsi="Calibri" w:cs="Calibri"/>
          <w:b/>
        </w:rPr>
        <w:t xml:space="preserve">Programa Global de revisión de programas de gastos. </w:t>
      </w:r>
      <w:r w:rsidRPr="002F6370">
        <w:rPr>
          <w:rFonts w:ascii="Calibri" w:eastAsia="Calibri" w:hAnsi="Calibri" w:cs="Calibri"/>
        </w:rPr>
        <w:t>El M</w:t>
      </w:r>
      <w:r>
        <w:rPr>
          <w:rFonts w:ascii="Calibri" w:eastAsia="Calibri" w:hAnsi="Calibri" w:cs="Calibri"/>
        </w:rPr>
        <w:t xml:space="preserve">inisterio de </w:t>
      </w:r>
      <w:r w:rsidRPr="002F6370">
        <w:rPr>
          <w:rFonts w:ascii="Calibri" w:eastAsia="Calibri" w:hAnsi="Calibri" w:cs="Calibri"/>
        </w:rPr>
        <w:t>H</w:t>
      </w:r>
      <w:r>
        <w:rPr>
          <w:rFonts w:ascii="Calibri" w:eastAsia="Calibri" w:hAnsi="Calibri" w:cs="Calibri"/>
        </w:rPr>
        <w:t xml:space="preserve">acienda y </w:t>
      </w:r>
      <w:r w:rsidRPr="002F6370">
        <w:rPr>
          <w:rFonts w:ascii="Calibri" w:eastAsia="Calibri" w:hAnsi="Calibri" w:cs="Calibri"/>
        </w:rPr>
        <w:t>C</w:t>
      </w:r>
      <w:r>
        <w:rPr>
          <w:rFonts w:ascii="Calibri" w:eastAsia="Calibri" w:hAnsi="Calibri" w:cs="Calibri"/>
        </w:rPr>
        <w:t xml:space="preserve">rédito </w:t>
      </w:r>
      <w:r w:rsidRPr="002F6370">
        <w:rPr>
          <w:rFonts w:ascii="Calibri" w:eastAsia="Calibri" w:hAnsi="Calibri" w:cs="Calibri"/>
        </w:rPr>
        <w:t>P</w:t>
      </w:r>
      <w:r>
        <w:rPr>
          <w:rFonts w:ascii="Calibri" w:eastAsia="Calibri" w:hAnsi="Calibri" w:cs="Calibri"/>
        </w:rPr>
        <w:t>úblico</w:t>
      </w:r>
      <w:r w:rsidRPr="002F6370">
        <w:rPr>
          <w:rFonts w:ascii="Calibri" w:eastAsia="Calibri" w:hAnsi="Calibri" w:cs="Calibri"/>
        </w:rPr>
        <w:t xml:space="preserve"> y el D</w:t>
      </w:r>
      <w:r>
        <w:rPr>
          <w:rFonts w:ascii="Calibri" w:eastAsia="Calibri" w:hAnsi="Calibri" w:cs="Calibri"/>
        </w:rPr>
        <w:t xml:space="preserve">epartamento Nacional de Planeación </w:t>
      </w:r>
      <w:r w:rsidRPr="002F6370">
        <w:rPr>
          <w:rFonts w:ascii="Calibri" w:eastAsia="Calibri" w:hAnsi="Calibri" w:cs="Calibri"/>
        </w:rPr>
        <w:t>entregarán a más tarde seis meses después de la sanción de la presente ley un programa global de revisión de programas de gastos y tendrá hasta</w:t>
      </w:r>
      <w:r>
        <w:rPr>
          <w:rFonts w:ascii="Calibri" w:eastAsia="Calibri" w:hAnsi="Calibri" w:cs="Calibri"/>
        </w:rPr>
        <w:t xml:space="preserve"> 6 meses más para su ejecución.</w:t>
      </w:r>
    </w:p>
    <w:p w:rsidR="002F6370" w:rsidRPr="002F6370" w:rsidRDefault="002F6370" w:rsidP="002F6370">
      <w:pPr>
        <w:jc w:val="both"/>
        <w:rPr>
          <w:rFonts w:ascii="Calibri" w:eastAsia="Calibri" w:hAnsi="Calibri" w:cs="Calibri"/>
        </w:rPr>
      </w:pPr>
    </w:p>
    <w:p w:rsidR="002F6370" w:rsidRDefault="002F6370" w:rsidP="002F6370">
      <w:pPr>
        <w:jc w:val="both"/>
        <w:rPr>
          <w:rFonts w:ascii="Calibri" w:eastAsia="Calibri" w:hAnsi="Calibri" w:cs="Calibri"/>
        </w:rPr>
      </w:pPr>
      <w:r w:rsidRPr="002F6370">
        <w:rPr>
          <w:rFonts w:ascii="Calibri" w:eastAsia="Calibri" w:hAnsi="Calibri" w:cs="Calibri"/>
        </w:rPr>
        <w:t xml:space="preserve">El resultado de estas evaluaciones deberá ser presentado en los debates de la ley de presupuesto inmediatamente siguiente e incorporado en el </w:t>
      </w:r>
      <w:r>
        <w:rPr>
          <w:rFonts w:ascii="Calibri" w:eastAsia="Calibri" w:hAnsi="Calibri" w:cs="Calibri"/>
        </w:rPr>
        <w:t xml:space="preserve">Presupuesto </w:t>
      </w:r>
      <w:r w:rsidRPr="002F6370">
        <w:rPr>
          <w:rFonts w:ascii="Calibri" w:eastAsia="Calibri" w:hAnsi="Calibri" w:cs="Calibri"/>
        </w:rPr>
        <w:t>orientado a Resultados para la asignación de recursos a los diferentes sectores y entidades que hacen </w:t>
      </w:r>
      <w:r>
        <w:rPr>
          <w:rFonts w:ascii="Calibri" w:eastAsia="Calibri" w:hAnsi="Calibri" w:cs="Calibri"/>
        </w:rPr>
        <w:t>parte del </w:t>
      </w:r>
      <w:r w:rsidRPr="002F6370">
        <w:rPr>
          <w:rFonts w:ascii="Calibri" w:eastAsia="Calibri" w:hAnsi="Calibri" w:cs="Calibri"/>
        </w:rPr>
        <w:t>Presupuesto</w:t>
      </w:r>
      <w:r>
        <w:rPr>
          <w:rFonts w:ascii="Calibri" w:eastAsia="Calibri" w:hAnsi="Calibri" w:cs="Calibri"/>
        </w:rPr>
        <w:t xml:space="preserve"> General de la Nación</w:t>
      </w:r>
    </w:p>
    <w:p w:rsidR="002F6370" w:rsidRDefault="002F6370">
      <w:pPr>
        <w:jc w:val="both"/>
        <w:rPr>
          <w:rFonts w:ascii="Calibri" w:eastAsia="Calibri" w:hAnsi="Calibri" w:cs="Calibri"/>
          <w:b/>
        </w:rPr>
      </w:pPr>
    </w:p>
    <w:p w:rsidR="00E7531D" w:rsidRDefault="002F6370">
      <w:pPr>
        <w:jc w:val="both"/>
        <w:rPr>
          <w:rFonts w:ascii="Calibri" w:eastAsia="Calibri" w:hAnsi="Calibri" w:cs="Calibri"/>
        </w:rPr>
      </w:pPr>
      <w:r>
        <w:rPr>
          <w:rFonts w:ascii="Calibri" w:eastAsia="Calibri" w:hAnsi="Calibri" w:cs="Calibri"/>
          <w:b/>
        </w:rPr>
        <w:t>ARTÍCULO 33</w:t>
      </w:r>
      <w:r w:rsidR="00F564A6">
        <w:rPr>
          <w:rFonts w:ascii="Calibri" w:eastAsia="Calibri" w:hAnsi="Calibri" w:cs="Calibri"/>
          <w:b/>
        </w:rPr>
        <w:t xml:space="preserve">. </w:t>
      </w:r>
      <w:r w:rsidR="00F564A6">
        <w:rPr>
          <w:rFonts w:ascii="Calibri" w:eastAsia="Calibri" w:hAnsi="Calibri" w:cs="Calibri"/>
        </w:rPr>
        <w:t>Toda organización pública, privada o mixta que reciba recursos públicos aplicarán acciones de transparencia de la información y ejecución de los recursos, incluyendo el levantamiento del velo corporativo. Cada organización determinará internamente el mecanismo de presentación de informes de cumplimiento y/o ejecución, así como de sus reportes financieros, con el fin que permita al Congreso de la República y a los entes de control hacer seguimiento del uso eficiente, racional y austero de los recursos públicos.</w:t>
      </w:r>
    </w:p>
    <w:p w:rsidR="00E7531D" w:rsidRDefault="00E7531D">
      <w:pPr>
        <w:jc w:val="both"/>
        <w:rPr>
          <w:rFonts w:ascii="Calibri" w:eastAsia="Calibri" w:hAnsi="Calibri" w:cs="Calibri"/>
        </w:rPr>
      </w:pPr>
    </w:p>
    <w:p w:rsidR="00E7531D" w:rsidRDefault="00F564A6">
      <w:pPr>
        <w:jc w:val="both"/>
        <w:rPr>
          <w:rFonts w:ascii="Calibri" w:eastAsia="Calibri" w:hAnsi="Calibri" w:cs="Calibri"/>
        </w:rPr>
      </w:pPr>
      <w:r>
        <w:rPr>
          <w:rFonts w:ascii="Calibri" w:eastAsia="Calibri" w:hAnsi="Calibri" w:cs="Calibri"/>
          <w:b/>
        </w:rPr>
        <w:t>ART</w:t>
      </w:r>
      <w:r w:rsidR="002F6370">
        <w:rPr>
          <w:rFonts w:ascii="Calibri" w:eastAsia="Calibri" w:hAnsi="Calibri" w:cs="Calibri"/>
          <w:b/>
        </w:rPr>
        <w:t>ÍCULO 34</w:t>
      </w:r>
      <w:r>
        <w:rPr>
          <w:rFonts w:ascii="Calibri" w:eastAsia="Calibri" w:hAnsi="Calibri" w:cs="Calibri"/>
          <w:b/>
        </w:rPr>
        <w:t xml:space="preserve">. Destinación del ahorro producto de la Política de Austeridad Pública. </w:t>
      </w:r>
      <w:r>
        <w:rPr>
          <w:rFonts w:ascii="Calibri" w:eastAsia="Calibri" w:hAnsi="Calibri" w:cs="Calibri"/>
        </w:rPr>
        <w:t>Los recursos ahorrados producto de la Política de Austeridad Pública podrán ser orientados a funcionamiento o inversión, pero no al pago de la deuda pública. El objeto de la austeridad es la eficiencia y eficacia en la planeación y ejecución del gasto público con fines de ser redistribuidos a otros rubros para el mejoramiento de la calidad de vida de la población, el cierre de brechas regionales y la reducción de la desigualdad económica y social.</w:t>
      </w:r>
    </w:p>
    <w:p w:rsidR="00E7531D" w:rsidRDefault="00E7531D">
      <w:pPr>
        <w:jc w:val="both"/>
        <w:rPr>
          <w:rFonts w:ascii="Calibri" w:eastAsia="Calibri" w:hAnsi="Calibri" w:cs="Calibri"/>
        </w:rPr>
      </w:pPr>
    </w:p>
    <w:p w:rsidR="00E7531D" w:rsidRDefault="002F6370">
      <w:pPr>
        <w:jc w:val="both"/>
        <w:rPr>
          <w:rFonts w:ascii="Calibri" w:eastAsia="Calibri" w:hAnsi="Calibri" w:cs="Calibri"/>
        </w:rPr>
      </w:pPr>
      <w:r>
        <w:rPr>
          <w:rFonts w:ascii="Calibri" w:eastAsia="Calibri" w:hAnsi="Calibri" w:cs="Calibri"/>
          <w:b/>
        </w:rPr>
        <w:t>ARTÍCULO 35</w:t>
      </w:r>
      <w:r w:rsidR="00F564A6">
        <w:rPr>
          <w:rFonts w:ascii="Calibri" w:eastAsia="Calibri" w:hAnsi="Calibri" w:cs="Calibri"/>
          <w:b/>
        </w:rPr>
        <w:t>. Impacto fiscal.</w:t>
      </w:r>
      <w:r w:rsidR="00F564A6">
        <w:rPr>
          <w:rFonts w:ascii="Calibri" w:eastAsia="Calibri" w:hAnsi="Calibri" w:cs="Calibri"/>
        </w:rPr>
        <w:t xml:space="preserve"> Las erogaciones derivadas de la aplicación de la presente ley deben sujetarse a las disponibilidades existentes tanto en el Marco Fiscal de Mediano Plazo y en el Marco de Gasto de Mediano Plazo, de los sectores responsables de su cumplimiento.</w:t>
      </w:r>
    </w:p>
    <w:p w:rsidR="00E7531D" w:rsidRDefault="00E7531D">
      <w:pPr>
        <w:jc w:val="both"/>
        <w:rPr>
          <w:rFonts w:ascii="Calibri" w:eastAsia="Calibri" w:hAnsi="Calibri" w:cs="Calibri"/>
        </w:rPr>
      </w:pPr>
    </w:p>
    <w:p w:rsidR="00311D79" w:rsidRDefault="002F6370">
      <w:pPr>
        <w:jc w:val="both"/>
        <w:rPr>
          <w:rFonts w:ascii="Calibri" w:eastAsia="Calibri" w:hAnsi="Calibri" w:cs="Calibri"/>
        </w:rPr>
      </w:pPr>
      <w:r>
        <w:rPr>
          <w:rFonts w:ascii="Calibri" w:eastAsia="Calibri" w:hAnsi="Calibri" w:cs="Calibri"/>
          <w:b/>
        </w:rPr>
        <w:t>ARTÍCULO 36</w:t>
      </w:r>
      <w:r w:rsidR="00F564A6">
        <w:rPr>
          <w:rFonts w:ascii="Calibri" w:eastAsia="Calibri" w:hAnsi="Calibri" w:cs="Calibri"/>
          <w:b/>
        </w:rPr>
        <w:t xml:space="preserve">. Vigilancia y control. </w:t>
      </w:r>
      <w:r w:rsidR="00311D79" w:rsidRPr="00311D79">
        <w:rPr>
          <w:rFonts w:ascii="Calibri" w:eastAsia="Calibri" w:hAnsi="Calibri" w:cs="Calibri"/>
        </w:rPr>
        <w:t>Al interior de las entidades, la función de seguimiento y evaluación a los Planes de Au</w:t>
      </w:r>
      <w:r w:rsidR="00311D79">
        <w:rPr>
          <w:rFonts w:ascii="Calibri" w:eastAsia="Calibri" w:hAnsi="Calibri" w:cs="Calibri"/>
        </w:rPr>
        <w:t>s</w:t>
      </w:r>
      <w:r w:rsidR="00311D79" w:rsidRPr="00311D79">
        <w:rPr>
          <w:rFonts w:ascii="Calibri" w:eastAsia="Calibri" w:hAnsi="Calibri" w:cs="Calibri"/>
        </w:rPr>
        <w:t xml:space="preserve">teridad </w:t>
      </w:r>
      <w:r w:rsidR="00311D79">
        <w:rPr>
          <w:rFonts w:ascii="Calibri" w:eastAsia="Calibri" w:hAnsi="Calibri" w:cs="Calibri"/>
        </w:rPr>
        <w:t xml:space="preserve">del </w:t>
      </w:r>
      <w:proofErr w:type="gramStart"/>
      <w:r w:rsidR="00311D79">
        <w:rPr>
          <w:rFonts w:ascii="Calibri" w:eastAsia="Calibri" w:hAnsi="Calibri" w:cs="Calibri"/>
        </w:rPr>
        <w:t xml:space="preserve">Gasto  </w:t>
      </w:r>
      <w:r w:rsidR="00311D79" w:rsidRPr="00311D79">
        <w:rPr>
          <w:rFonts w:ascii="Calibri" w:eastAsia="Calibri" w:hAnsi="Calibri" w:cs="Calibri"/>
        </w:rPr>
        <w:t>estará</w:t>
      </w:r>
      <w:proofErr w:type="gramEnd"/>
      <w:r w:rsidR="00311D79" w:rsidRPr="00311D79">
        <w:rPr>
          <w:rFonts w:ascii="Calibri" w:eastAsia="Calibri" w:hAnsi="Calibri" w:cs="Calibri"/>
        </w:rPr>
        <w:t xml:space="preserve"> encargada a las oficinas de Control Interno en concordancia con las funciones establecidas en la Ley 87 de 1993. De igual manera, la Contraloría General de la República será competente en lo relativo al seguimiento global de los Planes de Austeridad de que trata la presente dentro del marco de las competencias asignadas en los artículos 267 y ss. de la Constitución.</w:t>
      </w:r>
    </w:p>
    <w:p w:rsidR="00E7531D" w:rsidRDefault="00E7531D">
      <w:pPr>
        <w:jc w:val="both"/>
        <w:rPr>
          <w:rFonts w:ascii="Calibri" w:eastAsia="Calibri" w:hAnsi="Calibri" w:cs="Calibri"/>
          <w:b/>
        </w:rPr>
      </w:pPr>
    </w:p>
    <w:p w:rsidR="00E7531D" w:rsidRDefault="002F6370">
      <w:pPr>
        <w:jc w:val="both"/>
        <w:rPr>
          <w:rFonts w:ascii="Calibri" w:eastAsia="Calibri" w:hAnsi="Calibri" w:cs="Calibri"/>
        </w:rPr>
      </w:pPr>
      <w:r>
        <w:rPr>
          <w:rFonts w:ascii="Calibri" w:eastAsia="Calibri" w:hAnsi="Calibri" w:cs="Calibri"/>
          <w:b/>
        </w:rPr>
        <w:t>ARTÍCULO 37</w:t>
      </w:r>
      <w:r w:rsidR="00F564A6">
        <w:rPr>
          <w:rFonts w:ascii="Calibri" w:eastAsia="Calibri" w:hAnsi="Calibri" w:cs="Calibri"/>
          <w:b/>
        </w:rPr>
        <w:t>. Vigencia.</w:t>
      </w:r>
      <w:r w:rsidR="00F564A6">
        <w:rPr>
          <w:rFonts w:ascii="Calibri" w:eastAsia="Calibri" w:hAnsi="Calibri" w:cs="Calibri"/>
        </w:rPr>
        <w:t xml:space="preserve"> La presente ley rige a partir de la fecha de su publicación y deroga todas aquellas disposiciones que le sean contrarias.</w:t>
      </w:r>
    </w:p>
    <w:p w:rsidR="00E7531D" w:rsidRDefault="00E7531D">
      <w:pPr>
        <w:rPr>
          <w:rFonts w:ascii="Calibri" w:eastAsia="Calibri" w:hAnsi="Calibri" w:cs="Calibri"/>
        </w:rPr>
      </w:pPr>
    </w:p>
    <w:p w:rsidR="00E7531D" w:rsidRDefault="00E7531D">
      <w:pPr>
        <w:rPr>
          <w:rFonts w:ascii="Calibri" w:eastAsia="Calibri" w:hAnsi="Calibri" w:cs="Calibri"/>
        </w:rPr>
      </w:pPr>
    </w:p>
    <w:p w:rsidR="00E7531D" w:rsidRDefault="00E7531D">
      <w:pPr>
        <w:rPr>
          <w:rFonts w:ascii="Calibri" w:eastAsia="Calibri" w:hAnsi="Calibri" w:cs="Calibri"/>
        </w:rPr>
      </w:pPr>
    </w:p>
    <w:p w:rsidR="00127A9E" w:rsidRDefault="00127A9E">
      <w:pPr>
        <w:rPr>
          <w:rFonts w:ascii="Calibri" w:eastAsia="Calibri" w:hAnsi="Calibri" w:cs="Calibri"/>
        </w:rPr>
      </w:pPr>
    </w:p>
    <w:p w:rsidR="00CD1348" w:rsidRDefault="00CD1348">
      <w:pPr>
        <w:rPr>
          <w:rFonts w:ascii="Calibri" w:eastAsia="Calibri" w:hAnsi="Calibri" w:cs="Calibri"/>
        </w:rPr>
      </w:pPr>
    </w:p>
    <w:p w:rsidR="00E7531D" w:rsidRDefault="00F564A6">
      <w:pPr>
        <w:rPr>
          <w:rFonts w:ascii="Calibri" w:eastAsia="Calibri" w:hAnsi="Calibri" w:cs="Calibri"/>
          <w:b/>
        </w:rPr>
      </w:pPr>
      <w:r>
        <w:rPr>
          <w:rFonts w:ascii="Calibri" w:eastAsia="Calibri" w:hAnsi="Calibri" w:cs="Calibri"/>
        </w:rPr>
        <w:t xml:space="preserve">                                                                </w:t>
      </w:r>
      <w:r>
        <w:rPr>
          <w:rFonts w:ascii="Calibri" w:eastAsia="Calibri" w:hAnsi="Calibri" w:cs="Calibri"/>
          <w:b/>
        </w:rPr>
        <w:t>David Racero Mayorca</w:t>
      </w:r>
    </w:p>
    <w:p w:rsidR="00E7531D" w:rsidRDefault="00F564A6">
      <w:pPr>
        <w:jc w:val="center"/>
        <w:rPr>
          <w:rFonts w:ascii="Calibri" w:eastAsia="Calibri" w:hAnsi="Calibri" w:cs="Calibri"/>
          <w:b/>
        </w:rPr>
      </w:pPr>
      <w:r>
        <w:rPr>
          <w:rFonts w:ascii="Calibri" w:eastAsia="Calibri" w:hAnsi="Calibri" w:cs="Calibri"/>
          <w:b/>
        </w:rPr>
        <w:t>Representante a la Cámara por Bogotá</w:t>
      </w:r>
    </w:p>
    <w:p w:rsidR="00E7531D" w:rsidRDefault="00F564A6" w:rsidP="002F6370">
      <w:pPr>
        <w:jc w:val="center"/>
        <w:rPr>
          <w:rFonts w:ascii="Calibri" w:eastAsia="Calibri" w:hAnsi="Calibri" w:cs="Calibri"/>
        </w:rPr>
      </w:pPr>
      <w:r>
        <w:rPr>
          <w:rFonts w:ascii="Calibri" w:eastAsia="Calibri" w:hAnsi="Calibri" w:cs="Calibri"/>
          <w:b/>
        </w:rPr>
        <w:t>Coalición de Pacto Histórico</w:t>
      </w:r>
    </w:p>
    <w:sectPr w:rsidR="00E7531D">
      <w:headerReference w:type="default" r:id="rId51"/>
      <w:footerReference w:type="default" r:id="rId52"/>
      <w:pgSz w:w="12240" w:h="15840"/>
      <w:pgMar w:top="2267" w:right="1700" w:bottom="1700" w:left="1700" w:header="907" w:footer="68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725" w:rsidRDefault="007F3725">
      <w:r>
        <w:separator/>
      </w:r>
    </w:p>
  </w:endnote>
  <w:endnote w:type="continuationSeparator" w:id="0">
    <w:p w:rsidR="007F3725" w:rsidRDefault="007F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79" w:rsidRDefault="00311D79">
    <w:pPr>
      <w:pBdr>
        <w:top w:val="nil"/>
        <w:left w:val="nil"/>
        <w:bottom w:val="nil"/>
        <w:right w:val="nil"/>
        <w:between w:val="nil"/>
      </w:pBdr>
      <w:tabs>
        <w:tab w:val="center" w:pos="4419"/>
        <w:tab w:val="right" w:pos="8838"/>
      </w:tabs>
      <w:rPr>
        <w:rFonts w:ascii="Calibri" w:eastAsia="Calibri" w:hAnsi="Calibri" w:cs="Calibri"/>
        <w:color w:val="000000"/>
      </w:rPr>
    </w:pPr>
    <w:r>
      <w:rPr>
        <w:noProof/>
        <w:lang w:eastAsia="es-CO"/>
      </w:rPr>
      <w:drawing>
        <wp:anchor distT="0" distB="0" distL="0" distR="0" simplePos="0" relativeHeight="251659264" behindDoc="1" locked="0" layoutInCell="1" hidden="0" allowOverlap="1">
          <wp:simplePos x="0" y="0"/>
          <wp:positionH relativeFrom="column">
            <wp:posOffset>-1051559</wp:posOffset>
          </wp:positionH>
          <wp:positionV relativeFrom="paragraph">
            <wp:posOffset>222983</wp:posOffset>
          </wp:positionV>
          <wp:extent cx="8818578" cy="384647"/>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8578" cy="38464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725" w:rsidRDefault="007F3725">
      <w:r>
        <w:separator/>
      </w:r>
    </w:p>
  </w:footnote>
  <w:footnote w:type="continuationSeparator" w:id="0">
    <w:p w:rsidR="007F3725" w:rsidRDefault="007F3725">
      <w:r>
        <w:continuationSeparator/>
      </w:r>
    </w:p>
  </w:footnote>
  <w:footnote w:id="1">
    <w:p w:rsidR="00311D79" w:rsidRDefault="00311D79">
      <w:pPr>
        <w:rPr>
          <w:sz w:val="20"/>
          <w:szCs w:val="20"/>
        </w:rPr>
      </w:pPr>
      <w:r>
        <w:rPr>
          <w:vertAlign w:val="superscript"/>
        </w:rPr>
        <w:footnoteRef/>
      </w:r>
      <w:r>
        <w:rPr>
          <w:sz w:val="20"/>
          <w:szCs w:val="20"/>
        </w:rPr>
        <w:t xml:space="preserve"> Disponible en </w:t>
      </w:r>
      <w:hyperlink r:id="rId1">
        <w:r>
          <w:rPr>
            <w:color w:val="1155CC"/>
            <w:sz w:val="20"/>
            <w:szCs w:val="20"/>
            <w:u w:val="single"/>
          </w:rPr>
          <w:t>https://www.pte.gov.co/Index</w:t>
        </w:r>
      </w:hyperlink>
      <w:r>
        <w:rPr>
          <w:sz w:val="20"/>
          <w:szCs w:val="20"/>
        </w:rPr>
        <w:t xml:space="preserve"> </w:t>
      </w:r>
    </w:p>
  </w:footnote>
  <w:footnote w:id="2">
    <w:p w:rsidR="00311D79" w:rsidRDefault="00311D79">
      <w:pPr>
        <w:jc w:val="both"/>
        <w:rPr>
          <w:sz w:val="20"/>
          <w:szCs w:val="20"/>
        </w:rPr>
      </w:pPr>
      <w:r>
        <w:rPr>
          <w:vertAlign w:val="superscript"/>
        </w:rPr>
        <w:footnoteRef/>
      </w:r>
      <w:r>
        <w:rPr>
          <w:sz w:val="20"/>
          <w:szCs w:val="20"/>
        </w:rPr>
        <w:t xml:space="preserve"> Los servicios personales son aquellos trabajos ejecutados por el personal de nómina, contratos, etc., y están integrados por los conceptos de sueldo, personal de nómina, bonificación por servicios prestados, jornales, horas extras, dominicales y festivos, recargo por trabajo nocturno, auxilio de transporte, prima técnica, de servicios, de vacaciones, supernumerarios, viáticos, honorarios, servicios técnicos y subsidio familiar. https://www.minsalud.gov.co/Normatividad_Nuevo/CONCEPTO%20JURIDICO-%20Radicado%2044169%20de%202002.pdf</w:t>
      </w:r>
    </w:p>
  </w:footnote>
  <w:footnote w:id="3">
    <w:p w:rsidR="00311D79" w:rsidRDefault="00311D79">
      <w:pPr>
        <w:jc w:val="both"/>
        <w:rPr>
          <w:sz w:val="20"/>
          <w:szCs w:val="20"/>
        </w:rPr>
      </w:pPr>
      <w:r>
        <w:rPr>
          <w:vertAlign w:val="superscript"/>
        </w:rPr>
        <w:footnoteRef/>
      </w:r>
      <w:r>
        <w:rPr>
          <w:sz w:val="20"/>
          <w:szCs w:val="20"/>
        </w:rPr>
        <w:t xml:space="preserve"> Los gastos generales son los causados por concepto de adquisición de bienes y servicios necesarios para el normal funcionamiento de la administración y hacen parte de estos conceptos, entre otros, compra de equipo, materiales y suministros, mantenimiento, arrendamientos, impresos y publicaciones, servicios de comunicación y transporte, etc. https://www.minsalud.gov.co/Normatividad_Nuevo/CONCEPTO%20JURIDICO-%20Radicado%2044169%20de%202002.pdf</w:t>
      </w:r>
    </w:p>
  </w:footnote>
  <w:footnote w:id="4">
    <w:p w:rsidR="00311D79" w:rsidRDefault="00311D79">
      <w:pPr>
        <w:jc w:val="both"/>
        <w:rPr>
          <w:sz w:val="20"/>
          <w:szCs w:val="20"/>
        </w:rPr>
      </w:pPr>
      <w:r>
        <w:rPr>
          <w:vertAlign w:val="superscript"/>
        </w:rPr>
        <w:footnoteRef/>
      </w:r>
      <w:r>
        <w:rPr>
          <w:sz w:val="20"/>
          <w:szCs w:val="20"/>
        </w:rPr>
        <w:t xml:space="preserve"> Las transferencias, son todos los egresos de presupuesto general a favor de personas naturales, jurídicas o instituciones con fines específicos. https://www.minsalud.gov.co/Normatividad_Nuevo/CONCEPTO%20JURIDICO-%20Radicado%2044169%20de%202002.pdf</w:t>
      </w:r>
    </w:p>
  </w:footnote>
  <w:footnote w:id="5">
    <w:p w:rsidR="00311D79" w:rsidRDefault="00311D79">
      <w:pPr>
        <w:rPr>
          <w:sz w:val="20"/>
          <w:szCs w:val="20"/>
        </w:rPr>
      </w:pPr>
      <w:r>
        <w:rPr>
          <w:vertAlign w:val="superscript"/>
        </w:rPr>
        <w:footnoteRef/>
      </w:r>
      <w:r>
        <w:rPr>
          <w:sz w:val="20"/>
          <w:szCs w:val="20"/>
        </w:rPr>
        <w:t xml:space="preserve"> Para ampliar información, ver Catálogo de ingresos en el Presupuesto General de la Nación disponible en </w:t>
      </w:r>
      <w:hyperlink r:id="rId2">
        <w:r>
          <w:rPr>
            <w:color w:val="1155CC"/>
            <w:sz w:val="20"/>
            <w:szCs w:val="20"/>
            <w:u w:val="single"/>
          </w:rPr>
          <w:t>https://www.minhacienda.gov.co/webcenter/ShowProperty?nodeId=/ConexionContent/WCC_CLUSTER-064819</w:t>
        </w:r>
      </w:hyperlink>
      <w:r>
        <w:rPr>
          <w:sz w:val="20"/>
          <w:szCs w:val="20"/>
        </w:rPr>
        <w:t xml:space="preserve"> </w:t>
      </w:r>
    </w:p>
  </w:footnote>
  <w:footnote w:id="6">
    <w:p w:rsidR="00311D79" w:rsidRDefault="00311D79">
      <w:pPr>
        <w:jc w:val="both"/>
        <w:rPr>
          <w:rFonts w:ascii="Calibri" w:eastAsia="Calibri" w:hAnsi="Calibri" w:cs="Calibri"/>
          <w:sz w:val="22"/>
          <w:szCs w:val="22"/>
        </w:rPr>
      </w:pPr>
      <w:r>
        <w:rPr>
          <w:vertAlign w:val="superscript"/>
        </w:rPr>
        <w:footnoteRef/>
      </w:r>
      <w:r>
        <w:t xml:space="preserve"> </w:t>
      </w:r>
      <w:r>
        <w:rPr>
          <w:rFonts w:ascii="Calibri" w:eastAsia="Calibri" w:hAnsi="Calibri" w:cs="Calibri"/>
          <w:sz w:val="22"/>
          <w:szCs w:val="22"/>
        </w:rPr>
        <w:t xml:space="preserve">Departamento Administrativo de la Función Pública. Concepto 125681 de 2017. Radicado No.: 20176000125681. 31 de mayo de 2017. Recuperado de </w:t>
      </w:r>
      <w:hyperlink r:id="rId3">
        <w:r>
          <w:rPr>
            <w:rFonts w:ascii="Calibri" w:eastAsia="Calibri" w:hAnsi="Calibri" w:cs="Calibri"/>
            <w:sz w:val="22"/>
            <w:szCs w:val="22"/>
            <w:u w:val="single"/>
          </w:rPr>
          <w:t>https://www.funcionpublica.gov.co/eva/gestornormativo/norma.php?i=82254</w:t>
        </w:r>
      </w:hyperlink>
      <w:r>
        <w:rPr>
          <w:rFonts w:ascii="Calibri" w:eastAsia="Calibri" w:hAnsi="Calibri" w:cs="Calibri"/>
          <w:sz w:val="22"/>
          <w:szCs w:val="22"/>
        </w:rPr>
        <w:t xml:space="preserve">. (Fecha de consulta: 20 de febrero de 2024). </w:t>
      </w:r>
    </w:p>
  </w:footnote>
  <w:footnote w:id="7">
    <w:p w:rsidR="00311D79" w:rsidRDefault="00311D79">
      <w:pPr>
        <w:jc w:val="both"/>
        <w:rPr>
          <w:rFonts w:ascii="Calibri" w:eastAsia="Calibri" w:hAnsi="Calibri" w:cs="Calibri"/>
          <w:color w:val="333333"/>
          <w:sz w:val="20"/>
          <w:szCs w:val="20"/>
        </w:rPr>
      </w:pPr>
      <w:r>
        <w:rPr>
          <w:vertAlign w:val="superscript"/>
        </w:rPr>
        <w:footnoteRef/>
      </w:r>
      <w:r>
        <w:rPr>
          <w:sz w:val="20"/>
          <w:szCs w:val="20"/>
        </w:rPr>
        <w:t xml:space="preserve"> </w:t>
      </w:r>
      <w:r>
        <w:rPr>
          <w:rFonts w:ascii="Calibri" w:eastAsia="Calibri" w:hAnsi="Calibri" w:cs="Calibri"/>
          <w:color w:val="333333"/>
          <w:sz w:val="20"/>
          <w:szCs w:val="20"/>
        </w:rPr>
        <w:t xml:space="preserve">Emanada en virtud de lo dispuesto en el Acuerdo No. PSAA16-10482 de marzo de 2016 “Por medio del cual se deroga el Acuerdo No. 05 de septiembre 10 de 1992 y se dictan medidas de austeridad en materia de viáticos” de la Sala Administrativa del Consejo Superior de la Judicatura, en cuyo artículo primero se estableció que “las escalas de viáticos serán establecidas por la Dirección Ejecutiva de Administración Judicial y para cada Distrito Judicial por las Direcciones Seccionales de Administración Judicial en cada vigencia, de conformidad con el decreto que expida el Gobierno Nacional para el año respectivo”. </w:t>
      </w:r>
    </w:p>
    <w:p w:rsidR="00311D79" w:rsidRDefault="00311D79">
      <w:pPr>
        <w:shd w:val="clear" w:color="auto" w:fill="FFFFFF"/>
        <w:spacing w:before="240" w:after="240"/>
        <w:jc w:val="both"/>
        <w:rPr>
          <w:sz w:val="20"/>
          <w:szCs w:val="20"/>
        </w:rPr>
      </w:pPr>
      <w:r>
        <w:rPr>
          <w:rFonts w:ascii="Calibri" w:eastAsia="Calibri" w:hAnsi="Calibri" w:cs="Calibri"/>
          <w:i/>
          <w:color w:val="333333"/>
          <w:sz w:val="20"/>
          <w:szCs w:val="20"/>
        </w:rPr>
        <w:t xml:space="preserve">En esta escala de viáticos, podrán fijarse tarifas diferenciales de conformidad con la distancia al lugar de la comisión”. </w:t>
      </w:r>
    </w:p>
  </w:footnote>
  <w:footnote w:id="8">
    <w:p w:rsidR="00311D79" w:rsidRDefault="00311D79">
      <w:pPr>
        <w:jc w:val="both"/>
        <w:rPr>
          <w:rFonts w:ascii="Calibri" w:eastAsia="Calibri" w:hAnsi="Calibri" w:cs="Calibri"/>
          <w:sz w:val="18"/>
          <w:szCs w:val="18"/>
        </w:rPr>
      </w:pPr>
      <w:r>
        <w:rPr>
          <w:vertAlign w:val="superscript"/>
        </w:rPr>
        <w:footnoteRef/>
      </w:r>
      <w:r>
        <w:rPr>
          <w:sz w:val="20"/>
          <w:szCs w:val="20"/>
        </w:rPr>
        <w:t xml:space="preserve"> </w:t>
      </w:r>
      <w:r>
        <w:rPr>
          <w:rFonts w:ascii="Calibri" w:eastAsia="Calibri" w:hAnsi="Calibri" w:cs="Calibri"/>
          <w:sz w:val="18"/>
          <w:szCs w:val="18"/>
        </w:rPr>
        <w:t xml:space="preserve">Al respecto, la DIAN en </w:t>
      </w:r>
      <w:r>
        <w:rPr>
          <w:rFonts w:ascii="Calibri" w:eastAsia="Calibri" w:hAnsi="Calibri" w:cs="Calibri"/>
          <w:sz w:val="18"/>
          <w:szCs w:val="18"/>
          <w:highlight w:val="white"/>
        </w:rPr>
        <w:t>Oficio 908123 DE 2021</w:t>
      </w:r>
      <w:r>
        <w:rPr>
          <w:rFonts w:ascii="Calibri" w:eastAsia="Calibri" w:hAnsi="Calibri" w:cs="Calibri"/>
          <w:sz w:val="18"/>
          <w:szCs w:val="18"/>
        </w:rPr>
        <w:t>, y retomando el o</w:t>
      </w:r>
      <w:r>
        <w:rPr>
          <w:rFonts w:ascii="Calibri" w:eastAsia="Calibri" w:hAnsi="Calibri" w:cs="Calibri"/>
          <w:sz w:val="18"/>
          <w:szCs w:val="18"/>
          <w:highlight w:val="white"/>
        </w:rPr>
        <w:t xml:space="preserve">ficio No. </w:t>
      </w:r>
      <w:hyperlink r:id="rId4" w:anchor="INICIO">
        <w:r>
          <w:rPr>
            <w:rFonts w:ascii="Calibri" w:eastAsia="Calibri" w:hAnsi="Calibri" w:cs="Calibri"/>
            <w:sz w:val="18"/>
            <w:szCs w:val="18"/>
            <w:highlight w:val="white"/>
            <w:u w:val="single"/>
          </w:rPr>
          <w:t>026040</w:t>
        </w:r>
      </w:hyperlink>
      <w:r>
        <w:rPr>
          <w:rFonts w:ascii="Calibri" w:eastAsia="Calibri" w:hAnsi="Calibri" w:cs="Calibri"/>
          <w:sz w:val="18"/>
          <w:szCs w:val="18"/>
          <w:highlight w:val="white"/>
        </w:rPr>
        <w:t xml:space="preserve"> de 16 de octubre 2019</w:t>
      </w:r>
      <w:r>
        <w:rPr>
          <w:rFonts w:ascii="Calibri" w:eastAsia="Calibri" w:hAnsi="Calibri" w:cs="Calibri"/>
          <w:sz w:val="18"/>
          <w:szCs w:val="18"/>
        </w:rPr>
        <w:t xml:space="preserve"> , indicó que “(...) los viáticos son uno de los ingresos recibidos dentro de </w:t>
      </w:r>
      <w:r>
        <w:rPr>
          <w:rFonts w:ascii="Calibri" w:eastAsia="Calibri" w:hAnsi="Calibri" w:cs="Calibri"/>
          <w:sz w:val="18"/>
          <w:szCs w:val="18"/>
          <w:u w:val="single"/>
        </w:rPr>
        <w:t>la relación laboral legal o reglamentaria</w:t>
      </w:r>
      <w:r>
        <w:rPr>
          <w:rFonts w:ascii="Calibri" w:eastAsia="Calibri" w:hAnsi="Calibri" w:cs="Calibri"/>
          <w:sz w:val="18"/>
          <w:szCs w:val="18"/>
        </w:rPr>
        <w:t xml:space="preserve">. Pueden ser ocasionales o permanentes. </w:t>
      </w:r>
      <w:r>
        <w:rPr>
          <w:rFonts w:ascii="Calibri" w:eastAsia="Calibri" w:hAnsi="Calibri" w:cs="Calibri"/>
          <w:sz w:val="18"/>
          <w:szCs w:val="18"/>
          <w:u w:val="single"/>
        </w:rPr>
        <w:t>Los ocasionales son los recibidos en forma esporádica o extraordinaria para cubrir gastos de alimentación, alojamiento y transporte del trabajador para desarrollar labores fuera de su sede</w:t>
      </w:r>
      <w:r>
        <w:rPr>
          <w:rFonts w:ascii="Calibri" w:eastAsia="Calibri" w:hAnsi="Calibri" w:cs="Calibri"/>
          <w:sz w:val="18"/>
          <w:szCs w:val="18"/>
        </w:rPr>
        <w:t xml:space="preserve">. Los permanentes recibidos en forma regular por los trabajadores, que prestan por sus funciones fuera de la sede en forma habitual. </w:t>
      </w:r>
      <w:r>
        <w:rPr>
          <w:rFonts w:ascii="Calibri" w:eastAsia="Calibri" w:hAnsi="Calibri" w:cs="Calibri"/>
          <w:sz w:val="18"/>
          <w:szCs w:val="18"/>
          <w:u w:val="single"/>
        </w:rPr>
        <w:t>Los ocasionales, en cuanto constituyan reembolso de gastos por concepto de manutención, alojamiento y transporte en que haya incurrido el trabajador para desempeño de sus funciones,</w:t>
      </w:r>
      <w:r>
        <w:rPr>
          <w:rFonts w:ascii="Calibri" w:eastAsia="Calibri" w:hAnsi="Calibri" w:cs="Calibri"/>
          <w:sz w:val="18"/>
          <w:szCs w:val="18"/>
        </w:rPr>
        <w:t xml:space="preserve"> </w:t>
      </w:r>
      <w:r>
        <w:rPr>
          <w:rFonts w:ascii="Calibri" w:eastAsia="Calibri" w:hAnsi="Calibri" w:cs="Calibri"/>
          <w:sz w:val="18"/>
          <w:szCs w:val="18"/>
          <w:u w:val="single"/>
        </w:rPr>
        <w:t>no constituyen ingresos</w:t>
      </w:r>
      <w:r>
        <w:rPr>
          <w:rFonts w:ascii="Calibri" w:eastAsia="Calibri" w:hAnsi="Calibri" w:cs="Calibri"/>
          <w:sz w:val="18"/>
          <w:szCs w:val="18"/>
        </w:rPr>
        <w:t xml:space="preserve"> cuando se entreguen al pagador </w:t>
      </w:r>
      <w:r>
        <w:rPr>
          <w:rFonts w:ascii="Calibri" w:eastAsia="Calibri" w:hAnsi="Calibri" w:cs="Calibri"/>
          <w:sz w:val="18"/>
          <w:szCs w:val="18"/>
          <w:u w:val="single"/>
        </w:rPr>
        <w:t>las facturas y demás pruebas documentales que sustenten el reembolso para que el pagador las pueda tomar como gastos propios de la empresa.</w:t>
      </w:r>
      <w:r>
        <w:rPr>
          <w:rFonts w:ascii="Calibri" w:eastAsia="Calibri" w:hAnsi="Calibri" w:cs="Calibri"/>
          <w:sz w:val="18"/>
          <w:szCs w:val="18"/>
        </w:rPr>
        <w:t xml:space="preserve"> En el evento en que lo recibido no corresponda a reembolso de gastos constituye ingreso. Los viáticos permanentes por constituir un ingreso regular del trabajador se considera salario". De lo anterior se puede concluir que </w:t>
      </w:r>
      <w:r>
        <w:rPr>
          <w:rFonts w:ascii="Calibri" w:eastAsia="Calibri" w:hAnsi="Calibri" w:cs="Calibri"/>
          <w:sz w:val="18"/>
          <w:szCs w:val="18"/>
          <w:u w:val="single"/>
        </w:rPr>
        <w:t>solamente se pueden exceptuar del carácter de ingresos los viáticos ocasionales cuando ellos son asumidos como gastos propios de la empresa</w:t>
      </w:r>
      <w:r>
        <w:rPr>
          <w:rFonts w:ascii="Calibri" w:eastAsia="Calibri" w:hAnsi="Calibri" w:cs="Calibri"/>
          <w:sz w:val="18"/>
          <w:szCs w:val="18"/>
        </w:rPr>
        <w:t>”.</w:t>
      </w:r>
    </w:p>
    <w:p w:rsidR="00311D79" w:rsidRDefault="00311D79">
      <w:pPr>
        <w:jc w:val="both"/>
        <w:rPr>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79" w:rsidRDefault="00311D79">
    <w:pPr>
      <w:pBdr>
        <w:top w:val="nil"/>
        <w:left w:val="nil"/>
        <w:bottom w:val="nil"/>
        <w:right w:val="nil"/>
        <w:between w:val="nil"/>
      </w:pBdr>
      <w:tabs>
        <w:tab w:val="center" w:pos="4419"/>
        <w:tab w:val="right" w:pos="8838"/>
      </w:tabs>
      <w:rPr>
        <w:rFonts w:ascii="Calibri" w:eastAsia="Calibri" w:hAnsi="Calibri" w:cs="Calibri"/>
        <w:color w:val="000000"/>
      </w:rPr>
    </w:pPr>
    <w:r>
      <w:rPr>
        <w:noProof/>
        <w:lang w:eastAsia="es-CO"/>
      </w:rPr>
      <w:drawing>
        <wp:anchor distT="0" distB="0" distL="0" distR="0" simplePos="0" relativeHeight="251658240" behindDoc="1" locked="0" layoutInCell="1" hidden="0" allowOverlap="1">
          <wp:simplePos x="0" y="0"/>
          <wp:positionH relativeFrom="column">
            <wp:posOffset>-988059</wp:posOffset>
          </wp:positionH>
          <wp:positionV relativeFrom="paragraph">
            <wp:posOffset>-463647</wp:posOffset>
          </wp:positionV>
          <wp:extent cx="7643010" cy="1044235"/>
          <wp:effectExtent l="0" t="0" r="0" b="0"/>
          <wp:wrapNone/>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43010" cy="1044235"/>
                  </a:xfrm>
                  <a:prstGeom prst="rect">
                    <a:avLst/>
                  </a:prstGeom>
                  <a:ln/>
                </pic:spPr>
              </pic:pic>
            </a:graphicData>
          </a:graphic>
        </wp:anchor>
      </w:drawing>
    </w:r>
  </w:p>
  <w:p w:rsidR="00311D79" w:rsidRDefault="00311D79">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766A"/>
    <w:multiLevelType w:val="multilevel"/>
    <w:tmpl w:val="35C42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A47D8"/>
    <w:multiLevelType w:val="multilevel"/>
    <w:tmpl w:val="C4C42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B1359"/>
    <w:multiLevelType w:val="multilevel"/>
    <w:tmpl w:val="DABC1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67636E"/>
    <w:multiLevelType w:val="multilevel"/>
    <w:tmpl w:val="90664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A9233E"/>
    <w:multiLevelType w:val="multilevel"/>
    <w:tmpl w:val="4EA69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166F18"/>
    <w:multiLevelType w:val="multilevel"/>
    <w:tmpl w:val="6EB0EFD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C41E6E"/>
    <w:multiLevelType w:val="multilevel"/>
    <w:tmpl w:val="387A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504FDA"/>
    <w:multiLevelType w:val="multilevel"/>
    <w:tmpl w:val="5D7CDF2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2BC01CF4"/>
    <w:multiLevelType w:val="multilevel"/>
    <w:tmpl w:val="C23E6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A24CC9"/>
    <w:multiLevelType w:val="multilevel"/>
    <w:tmpl w:val="F60EFF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4BB7426"/>
    <w:multiLevelType w:val="multilevel"/>
    <w:tmpl w:val="5C64CD68"/>
    <w:lvl w:ilvl="0">
      <w:start w:val="1"/>
      <w:numFmt w:val="upperRoman"/>
      <w:lvlText w:val="%1."/>
      <w:lvlJc w:val="right"/>
      <w:pPr>
        <w:ind w:left="36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24371C"/>
    <w:multiLevelType w:val="multilevel"/>
    <w:tmpl w:val="E5F47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693415"/>
    <w:multiLevelType w:val="hybridMultilevel"/>
    <w:tmpl w:val="3490E2AC"/>
    <w:lvl w:ilvl="0" w:tplc="D6E0F1C2">
      <w:start w:val="6"/>
      <w:numFmt w:val="upperRoman"/>
      <w:lvlText w:val="%1."/>
      <w:lvlJc w:val="left"/>
      <w:pPr>
        <w:ind w:left="1080" w:hanging="72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02616DE"/>
    <w:multiLevelType w:val="multilevel"/>
    <w:tmpl w:val="12E2D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3410C9"/>
    <w:multiLevelType w:val="multilevel"/>
    <w:tmpl w:val="27A0A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5D1761"/>
    <w:multiLevelType w:val="multilevel"/>
    <w:tmpl w:val="44361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C540C3"/>
    <w:multiLevelType w:val="multilevel"/>
    <w:tmpl w:val="6AF24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7756F6"/>
    <w:multiLevelType w:val="multilevel"/>
    <w:tmpl w:val="D4BCC9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7C7D4E"/>
    <w:multiLevelType w:val="multilevel"/>
    <w:tmpl w:val="C902C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5D3EAF"/>
    <w:multiLevelType w:val="multilevel"/>
    <w:tmpl w:val="1DDE5870"/>
    <w:lvl w:ilvl="0">
      <w:start w:val="1"/>
      <w:numFmt w:val="lowerLetter"/>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num w:numId="1">
    <w:abstractNumId w:val="11"/>
  </w:num>
  <w:num w:numId="2">
    <w:abstractNumId w:val="2"/>
  </w:num>
  <w:num w:numId="3">
    <w:abstractNumId w:val="19"/>
  </w:num>
  <w:num w:numId="4">
    <w:abstractNumId w:val="5"/>
  </w:num>
  <w:num w:numId="5">
    <w:abstractNumId w:val="7"/>
  </w:num>
  <w:num w:numId="6">
    <w:abstractNumId w:val="1"/>
  </w:num>
  <w:num w:numId="7">
    <w:abstractNumId w:val="17"/>
  </w:num>
  <w:num w:numId="8">
    <w:abstractNumId w:val="6"/>
  </w:num>
  <w:num w:numId="9">
    <w:abstractNumId w:val="13"/>
  </w:num>
  <w:num w:numId="10">
    <w:abstractNumId w:val="4"/>
  </w:num>
  <w:num w:numId="11">
    <w:abstractNumId w:val="16"/>
  </w:num>
  <w:num w:numId="12">
    <w:abstractNumId w:val="9"/>
  </w:num>
  <w:num w:numId="13">
    <w:abstractNumId w:val="18"/>
  </w:num>
  <w:num w:numId="14">
    <w:abstractNumId w:val="14"/>
  </w:num>
  <w:num w:numId="15">
    <w:abstractNumId w:val="0"/>
  </w:num>
  <w:num w:numId="16">
    <w:abstractNumId w:val="3"/>
  </w:num>
  <w:num w:numId="17">
    <w:abstractNumId w:val="8"/>
  </w:num>
  <w:num w:numId="18">
    <w:abstractNumId w:val="15"/>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31D"/>
    <w:rsid w:val="00127A9E"/>
    <w:rsid w:val="002F6370"/>
    <w:rsid w:val="00311D79"/>
    <w:rsid w:val="004A4AF3"/>
    <w:rsid w:val="005279CD"/>
    <w:rsid w:val="00646B2C"/>
    <w:rsid w:val="00725840"/>
    <w:rsid w:val="00791487"/>
    <w:rsid w:val="007F3725"/>
    <w:rsid w:val="008131A5"/>
    <w:rsid w:val="00BF664B"/>
    <w:rsid w:val="00CC5D4F"/>
    <w:rsid w:val="00CD1348"/>
    <w:rsid w:val="00E7531D"/>
    <w:rsid w:val="00F564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C5EA"/>
  <w15:docId w15:val="{E31123F8-2B8F-4A20-BB21-7D36B691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868"/>
    <w:rPr>
      <w:lang w:eastAsia="es-ES_tradnl"/>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94FC9"/>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494FC9"/>
  </w:style>
  <w:style w:type="paragraph" w:styleId="Piedepgina">
    <w:name w:val="footer"/>
    <w:basedOn w:val="Normal"/>
    <w:link w:val="PiedepginaCar"/>
    <w:uiPriority w:val="99"/>
    <w:unhideWhenUsed/>
    <w:rsid w:val="00494FC9"/>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494FC9"/>
  </w:style>
  <w:style w:type="paragraph" w:styleId="Prrafodelista">
    <w:name w:val="List Paragraph"/>
    <w:basedOn w:val="Normal"/>
    <w:uiPriority w:val="34"/>
    <w:qFormat/>
    <w:rsid w:val="00FC5472"/>
    <w:pPr>
      <w:spacing w:after="160" w:line="259" w:lineRule="auto"/>
      <w:ind w:left="720"/>
      <w:contextualSpacing/>
    </w:pPr>
    <w:rPr>
      <w:rFonts w:ascii="Calibri" w:eastAsia="Calibri" w:hAnsi="Calibri" w:cs="Calibri"/>
      <w:sz w:val="22"/>
      <w:szCs w:val="22"/>
      <w:lang w:eastAsia="en-US"/>
    </w:rPr>
  </w:style>
  <w:style w:type="character" w:styleId="Refdecomentario">
    <w:name w:val="annotation reference"/>
    <w:basedOn w:val="Fuentedeprrafopredeter"/>
    <w:uiPriority w:val="99"/>
    <w:semiHidden/>
    <w:unhideWhenUsed/>
    <w:rsid w:val="00331B2F"/>
    <w:rPr>
      <w:sz w:val="16"/>
      <w:szCs w:val="16"/>
    </w:rPr>
  </w:style>
  <w:style w:type="paragraph" w:styleId="Textocomentario">
    <w:name w:val="annotation text"/>
    <w:basedOn w:val="Normal"/>
    <w:link w:val="TextocomentarioCar"/>
    <w:uiPriority w:val="99"/>
    <w:unhideWhenUsed/>
    <w:rsid w:val="00331B2F"/>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331B2F"/>
    <w:rPr>
      <w:sz w:val="20"/>
      <w:szCs w:val="20"/>
    </w:rPr>
  </w:style>
  <w:style w:type="paragraph" w:styleId="Asuntodelcomentario">
    <w:name w:val="annotation subject"/>
    <w:basedOn w:val="Textocomentario"/>
    <w:next w:val="Textocomentario"/>
    <w:link w:val="AsuntodelcomentarioCar"/>
    <w:uiPriority w:val="99"/>
    <w:semiHidden/>
    <w:unhideWhenUsed/>
    <w:rsid w:val="00331B2F"/>
    <w:rPr>
      <w:b/>
      <w:bCs/>
    </w:rPr>
  </w:style>
  <w:style w:type="character" w:customStyle="1" w:styleId="AsuntodelcomentarioCar">
    <w:name w:val="Asunto del comentario Car"/>
    <w:basedOn w:val="TextocomentarioCar"/>
    <w:link w:val="Asuntodelcomentario"/>
    <w:uiPriority w:val="99"/>
    <w:semiHidden/>
    <w:rsid w:val="00331B2F"/>
    <w:rPr>
      <w:b/>
      <w:bCs/>
      <w:sz w:val="20"/>
      <w:szCs w:val="20"/>
    </w:rPr>
  </w:style>
  <w:style w:type="paragraph" w:styleId="Revisin">
    <w:name w:val="Revision"/>
    <w:hidden/>
    <w:uiPriority w:val="99"/>
    <w:semiHidden/>
    <w:rsid w:val="007134E9"/>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610609">
      <w:bodyDiv w:val="1"/>
      <w:marLeft w:val="0"/>
      <w:marRight w:val="0"/>
      <w:marTop w:val="0"/>
      <w:marBottom w:val="0"/>
      <w:divBdr>
        <w:top w:val="none" w:sz="0" w:space="0" w:color="auto"/>
        <w:left w:val="none" w:sz="0" w:space="0" w:color="auto"/>
        <w:bottom w:val="none" w:sz="0" w:space="0" w:color="auto"/>
        <w:right w:val="none" w:sz="0" w:space="0" w:color="auto"/>
      </w:divBdr>
      <w:divsChild>
        <w:div w:id="1151286093">
          <w:marLeft w:val="0"/>
          <w:marRight w:val="0"/>
          <w:marTop w:val="0"/>
          <w:marBottom w:val="0"/>
          <w:divBdr>
            <w:top w:val="none" w:sz="0" w:space="0" w:color="auto"/>
            <w:left w:val="none" w:sz="0" w:space="0" w:color="auto"/>
            <w:bottom w:val="none" w:sz="0" w:space="0" w:color="auto"/>
            <w:right w:val="none" w:sz="0" w:space="0" w:color="auto"/>
          </w:divBdr>
        </w:div>
        <w:div w:id="480391875">
          <w:marLeft w:val="0"/>
          <w:marRight w:val="0"/>
          <w:marTop w:val="0"/>
          <w:marBottom w:val="0"/>
          <w:divBdr>
            <w:top w:val="none" w:sz="0" w:space="0" w:color="auto"/>
            <w:left w:val="none" w:sz="0" w:space="0" w:color="auto"/>
            <w:bottom w:val="none" w:sz="0" w:space="0" w:color="auto"/>
            <w:right w:val="none" w:sz="0" w:space="0" w:color="auto"/>
          </w:divBdr>
        </w:div>
        <w:div w:id="1781148611">
          <w:marLeft w:val="0"/>
          <w:marRight w:val="0"/>
          <w:marTop w:val="0"/>
          <w:marBottom w:val="0"/>
          <w:divBdr>
            <w:top w:val="none" w:sz="0" w:space="0" w:color="auto"/>
            <w:left w:val="none" w:sz="0" w:space="0" w:color="auto"/>
            <w:bottom w:val="none" w:sz="0" w:space="0" w:color="auto"/>
            <w:right w:val="none" w:sz="0" w:space="0" w:color="auto"/>
          </w:divBdr>
        </w:div>
        <w:div w:id="2075154730">
          <w:marLeft w:val="0"/>
          <w:marRight w:val="0"/>
          <w:marTop w:val="0"/>
          <w:marBottom w:val="0"/>
          <w:divBdr>
            <w:top w:val="none" w:sz="0" w:space="0" w:color="auto"/>
            <w:left w:val="none" w:sz="0" w:space="0" w:color="auto"/>
            <w:bottom w:val="none" w:sz="0" w:space="0" w:color="auto"/>
            <w:right w:val="none" w:sz="0" w:space="0" w:color="auto"/>
          </w:divBdr>
        </w:div>
      </w:divsChild>
    </w:div>
    <w:div w:id="205989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ortafolio.co/economia/finanzas/salario-minimo-2024-cuanto-le-costara-a-un-empleador-contratar-a-un-trabajador-que-gane-este-sueldo-595203" TargetMode="External"/><Relationship Id="rId18" Type="http://schemas.openxmlformats.org/officeDocument/2006/relationships/image" Target="media/image8.png"/><Relationship Id="rId26" Type="http://schemas.openxmlformats.org/officeDocument/2006/relationships/hyperlink" Target="https://www.funcionpublica.gov.co/eva/gestornormativo/norma.php?i=1304" TargetMode="External"/><Relationship Id="rId39" Type="http://schemas.openxmlformats.org/officeDocument/2006/relationships/hyperlink" Target="https://www.funcionpublica.gov.co/eva/gestornormativo/norma.php?i=62866" TargetMode="External"/><Relationship Id="rId21" Type="http://schemas.openxmlformats.org/officeDocument/2006/relationships/hyperlink" Target="https://www.funcionpublica.gov.co/eva/gestornormativo/norma.php?i=62866" TargetMode="External"/><Relationship Id="rId34" Type="http://schemas.openxmlformats.org/officeDocument/2006/relationships/hyperlink" Target="http://www.secretariasenado.gov.co/senado/basedoc/ley_0004_1992.html" TargetMode="External"/><Relationship Id="rId42" Type="http://schemas.openxmlformats.org/officeDocument/2006/relationships/hyperlink" Target="https://www.funcionpublica.gov.co/eva/gestornormativo/norma_pdf.php?i=234551" TargetMode="External"/><Relationship Id="rId47" Type="http://schemas.openxmlformats.org/officeDocument/2006/relationships/hyperlink" Target="https://img.lalr.co/cms/2024/05/03085542/DECRETO-0550-DE-2-DE-MAYO-DE-2024.pdf" TargetMode="External"/><Relationship Id="rId50" Type="http://schemas.openxmlformats.org/officeDocument/2006/relationships/hyperlink" Target="https://compilacionjuridica.antioquia.gov.co/compilacion/compilacion/docs/d_gobant_2023070005126_2023.ht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secretariasenado.gov.co/senado/basedoc/ley_2277_2022.html" TargetMode="External"/><Relationship Id="rId11" Type="http://schemas.openxmlformats.org/officeDocument/2006/relationships/image" Target="media/image3.png"/><Relationship Id="rId24" Type="http://schemas.openxmlformats.org/officeDocument/2006/relationships/hyperlink" Target="https://www.funcionpublica.gov.co/eva/gestornormativo/norma.php?i=22041" TargetMode="External"/><Relationship Id="rId32" Type="http://schemas.openxmlformats.org/officeDocument/2006/relationships/hyperlink" Target="http://www.secretariasenado.gov.co/senado/basedoc/ley_1712_2014.html" TargetMode="External"/><Relationship Id="rId37" Type="http://schemas.openxmlformats.org/officeDocument/2006/relationships/hyperlink" Target="https://www.funcionpublica.gov.co/eva/gestornormativo/norma.php?i=72893" TargetMode="External"/><Relationship Id="rId40" Type="http://schemas.openxmlformats.org/officeDocument/2006/relationships/hyperlink" Target="https://www.funcionpublica.gov.co/eva/gestornormativo/norma.php?i=80915" TargetMode="External"/><Relationship Id="rId45" Type="http://schemas.openxmlformats.org/officeDocument/2006/relationships/hyperlink" Target="https://www.funcionpublica.gov.co/eva/gestornormativo/norma.php?i=232990"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secretariasenado.gov.co/senado/basedoc/ley_1712_2014.html" TargetMode="External"/><Relationship Id="rId44" Type="http://schemas.openxmlformats.org/officeDocument/2006/relationships/hyperlink" Target="https://www.funcionpublica.gov.co/eva/gestornormativo/norma.php?i=232990"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funcionpublica.gov.co/eva/gestornormativo/norma.php?i=1304" TargetMode="External"/><Relationship Id="rId27" Type="http://schemas.openxmlformats.org/officeDocument/2006/relationships/hyperlink" Target="http://www.secretariasenado.gov.co/senado/basedoc/ley_2155_2021.html" TargetMode="External"/><Relationship Id="rId30" Type="http://schemas.openxmlformats.org/officeDocument/2006/relationships/hyperlink" Target="http://www.secretariasenado.gov.co/senado/basedoc/ley_2277_2022.html" TargetMode="External"/><Relationship Id="rId35" Type="http://schemas.openxmlformats.org/officeDocument/2006/relationships/hyperlink" Target="http://www.secretariasenado.gov.co/senado/basedoc/ley_0004_1992.html" TargetMode="External"/><Relationship Id="rId43" Type="http://schemas.openxmlformats.org/officeDocument/2006/relationships/hyperlink" Target="https://www.funcionpublica.gov.co/eva/gestornormativo/norma_pdf.php?i=234551" TargetMode="External"/><Relationship Id="rId48" Type="http://schemas.openxmlformats.org/officeDocument/2006/relationships/hyperlink" Target="https://www.defensoria.gov.co/resoluciones"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img.lalr.co/cms/2024/05/03085542/DECRETO-0550-DE-2-DE-MAYO-DE-2024.pdf" TargetMode="External"/><Relationship Id="rId17" Type="http://schemas.openxmlformats.org/officeDocument/2006/relationships/image" Target="media/image7.png"/><Relationship Id="rId25" Type="http://schemas.openxmlformats.org/officeDocument/2006/relationships/hyperlink" Target="https://www.funcionpublica.gov.co/eva/gestornormativo/norma.php?i=6029" TargetMode="External"/><Relationship Id="rId33" Type="http://schemas.openxmlformats.org/officeDocument/2006/relationships/hyperlink" Target="http://www.secretariasenado.gov.co/senado/basedoc/constitucion_politica_1991_pr004.html" TargetMode="External"/><Relationship Id="rId38" Type="http://schemas.openxmlformats.org/officeDocument/2006/relationships/hyperlink" Target="https://www.funcionpublica.gov.co/eva/gestornormativo/norma.php?i=62866" TargetMode="External"/><Relationship Id="rId46" Type="http://schemas.openxmlformats.org/officeDocument/2006/relationships/hyperlink" Target="https://img.lalr.co/cms/2024/05/03085542/DECRETO-0550-DE-2-DE-MAYO-DE-2024.pdf" TargetMode="External"/><Relationship Id="rId20" Type="http://schemas.openxmlformats.org/officeDocument/2006/relationships/image" Target="media/image10.png"/><Relationship Id="rId41" Type="http://schemas.openxmlformats.org/officeDocument/2006/relationships/hyperlink" Target="https://www.funcionpublica.gov.co/eva/gestornormativo/norma.php?i=8091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uncionpublica.gov.co/eva/gestornormativo/norma.php?i=1535" TargetMode="External"/><Relationship Id="rId28" Type="http://schemas.openxmlformats.org/officeDocument/2006/relationships/hyperlink" Target="http://www.secretariasenado.gov.co/senado/basedoc/ley_2155_2021.html" TargetMode="External"/><Relationship Id="rId36" Type="http://schemas.openxmlformats.org/officeDocument/2006/relationships/hyperlink" Target="https://www.funcionpublica.gov.co/eva/gestornormativo/norma.php?i=72893" TargetMode="External"/><Relationship Id="rId49" Type="http://schemas.openxmlformats.org/officeDocument/2006/relationships/hyperlink" Target="https://www.defensoria.gov.co/resolucio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funcionpublica.gov.co/eva/gestornormativo/norma.php?i=82254" TargetMode="External"/><Relationship Id="rId2" Type="http://schemas.openxmlformats.org/officeDocument/2006/relationships/hyperlink" Target="https://www.minhacienda.gov.co/webcenter/ShowProperty?nodeId=/ConexionContent/WCC_CLUSTER-064819" TargetMode="External"/><Relationship Id="rId1" Type="http://schemas.openxmlformats.org/officeDocument/2006/relationships/hyperlink" Target="https://www.pte.gov.co/Index" TargetMode="External"/><Relationship Id="rId4" Type="http://schemas.openxmlformats.org/officeDocument/2006/relationships/hyperlink" Target="https://normograma.dian.gov.co/dian/compilacion/docs/oficio_dian_26040_2019.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k4LogZ1vBRcqBBMkQIEvVH6Gw==">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</go:docsCustomData>
</go:gDocsCustomXmlDataStorage>
</file>

<file path=customXml/item2.xml><?xml version="1.0" encoding="utf-8"?>
<b:Sources xmlns:b="http://schemas.openxmlformats.org/officeDocument/2006/bibliography" StyleName="APA" SelectedStyle="/APASixthEditionOfficeOnline.xsl" Version="6">
  <b:Source>
    <b:Tag>source1</b:Tag>
    <b:SourceType>DocumentFromInternetSite</b:SourceType>
    <b:Day>28</b:Day>
    <b:DayAccessed>17</b:DayAccessed>
    <b:Month>Junio</b:Month>
    <b:MonthAccessed>Julio</b:MonthAccessed>
    <b:Title>Mercado laboral. Estadísticas oficiales</b:Title>
    <b:URL>https://www.dane.gov.co/index.php/estadisticas-por-tema/mercado-laboral/empleo-y-desempleo</b:URL>
    <b:InternetSiteTitle>Empleo y desocupación</b:InternetSiteTitle>
    <b:Year>2024</b:Year>
    <b:YearAccessed>2024</b:YearAccessed>
    <b:Gdcea>{"AccessedType":"Website"}</b:Gdcea>
    <b:Author>
      <b:Author>
        <b:Corporate>DANE</b:Corporate>
      </b:Author>
    </b:Author>
  </b:Source>
  <b:Source>
    <b:Tag>source2</b:Tag>
    <b:SourceType>DocumentFromInternetSite</b:SourceType>
    <b:Day>26</b:Day>
    <b:DayAccessed>17</b:DayAccessed>
    <b:Month>Abril</b:Month>
    <b:MonthAccessed>Julio</b:MonthAccessed>
    <b:Title>Pobreza monetaria. Resultados 2021</b:Title>
    <b:URL>https://www.dane.gov.co/files/investigaciones/condiciones_vida/pobreza/2021/Presentacion-pobreza-monetaria_2021.pdf</b:URL>
    <b:Year>2022</b:Year>
    <b:YearAccessed>2024</b:YearAccessed>
    <b:Gdcea>{"AccessedType":"Website"}</b:Gdcea>
    <b:Author>
      <b:Author>
        <b:Corporate>DANE</b:Corporate>
      </b:Author>
    </b:Author>
  </b:Source>
  <b:Source>
    <b:Tag>source3</b:Tag>
    <b:SourceType>DocumentFromInternetSite</b:SourceType>
    <b:Day>28</b:Day>
    <b:DayAccessed>17</b:DayAccessed>
    <b:Month>Mayo</b:Month>
    <b:MonthAccessed>Julio</b:MonthAccessed>
    <b:Title>Deuda Gobierno Nacional Central</b:Title>
    <b:URL>https://www.minhacienda.gov.co/webcenter/portal/EntidadesFinancieras/pages_EntidadesFinancieras/PoliticaFiscal/dgg/deudagobiernonacionalcentral</b:URL>
    <b:Year>2024b</b:Year>
    <b:YearAccessed>2024</b:YearAccessed>
    <b:Gdcea>{"AccessedType":"Website"}</b:Gdcea>
    <b:Author>
      <b:Author>
        <b:Corporate>MinHacienda</b:Corporate>
      </b:Author>
    </b:Author>
  </b:Source>
  <b:Source>
    <b:Tag>source4</b:Tag>
    <b:SourceType>DocumentFromInternetSite</b:SourceType>
    <b:DayAccessed>17</b:DayAccessed>
    <b:Month>Marzo</b:Month>
    <b:MonthAccessed>Julio</b:MonthAccessed>
    <b:Title>Boletín sobre deuda pública</b:Title>
    <b:URL>https://www.banrep.gov.co/es/boletin-deuda-publica</b:URL>
    <b:Year>2024</b:Year>
    <b:YearAccessed>2024</b:YearAccessed>
    <b:Gdcea>{"AccessedType":"Website"}</b:Gdcea>
    <b:Author>
      <b:Author>
        <b:Corporate>BanRep</b:Corporate>
      </b:Author>
    </b:Author>
  </b:Source>
  <b:Source>
    <b:Tag>source5</b:Tag>
    <b:SourceType>DocumentFromInternetSite</b:SourceType>
    <b:DayAccessed>17</b:DayAccessed>
    <b:MonthAccessed>Julio</b:MonthAccessed>
    <b:Title>Ganancias y salarios laborales de la población ocupada. Enero – septiembre 2021-2019</b:Title>
    <b:URL>https://www.dane.gov.co/files/investigaciones/boletines/ech/ech/presentacion-ganancias-salarios-laborales-poblacion-ocupada-enero-septiembre-2021-2019.pdf</b:URL>
    <b:Year>2022</b:Year>
    <b:YearAccessed>2024</b:YearAccessed>
    <b:Gdcea>{"AccessedType":"Website"}</b:Gdcea>
    <b:Author>
      <b:Author>
        <b:Corporate>DANE</b:Corporate>
      </b:Author>
    </b:Author>
  </b:Source>
  <b:Source>
    <b:Tag>source6</b:Tag>
    <b:SourceType>Book</b:SourceType>
    <b:Publisher>OECD Publishing</b:Publisher>
    <b:StandardNumber>https://doi.org/10.1787/f2f0c189-es.</b:StandardNumber>
    <b:Title>Perspectivas económicas de América Latina 2022. Hacia una transición verde y justa</b:Title>
    <b:URL>https://www.oecd-ilibrary.org/docserver/f2f0c189-es.pdf?expires=1721674907&amp;id=id&amp;accname=guest&amp;checksum=5C7DAF1878BE2FA5C0615271A9789DCA</b:URL>
    <b:Year>2022</b:Year>
    <b:Gdcea>{"CorporateAuthors":["European Commission","CAF Development Bank of Latin America and Economic Commission for Latin America and the Caribbean"],"AccessedType":"Website"}</b:Gdcea>
    <b:Author>
      <b:Author>
        <b:Corporate>OECD</b:Corporate>
      </b:Author>
    </b:Author>
  </b:Source>
  <b:Source>
    <b:Tag>source7</b:Tag>
    <b:SourceType>Book</b:SourceType>
    <b:Publisher>OECD Publishing</b:Publisher>
    <b:StandardNumber>https://doi.org/10.1787/04bf9377-en</b:StandardNumber>
    <b:Title>Estudios Económicos de la OCDE: Colombia 2022</b:Title>
    <b:URL>https://www.oecd-ilibrary.org/docserver/991f37df-es.pdf?expires=1721674564&amp;id=id&amp;accname=guest&amp;checksum=71C897FF5550BD8EC3F0C845FCA30F12</b:URL>
    <b:Year>2022</b:Year>
    <b:Gdcea>{"AccessedType":"Website"}</b:Gdcea>
    <b:Author>
      <b:Author>
        <b:Corporate>OECD</b:Corporate>
      </b:Author>
    </b:Author>
  </b:Source>
  <b:Source>
    <b:Tag>source8</b:Tag>
    <b:SourceType>Book</b:SourceType>
    <b:DayAccessed>22</b:DayAccessed>
    <b:MonthAccessed>Julio</b:MonthAccessed>
    <b:Title>Informe #51 Mayo de 2024. Informe sobre la remuneración del empleo público en Colombia</b:Title>
    <b:URL>https://www.ofiscal.org/_files/ugd/d0c5ee_f35d84b9b06348179efc6e495c58bcbf.pdf</b:URL>
    <b:Year>2024</b:Year>
    <b:YearAccessed>2024</b:YearAccessed>
    <b:Gdcea>{"AccessedType":"Website"}</b:Gdcea>
    <b:Author>
      <b:Author>
        <b:Corporate>Observatorio Fiscal de la Pontificia Universidad Javeriana</b:Corporate>
      </b:Author>
    </b:Author>
  </b:Source>
  <b:Source>
    <b:Tag>source9</b:Tag>
    <b:SourceType>Book</b:SourceType>
    <b:Title>Informe #46 Noviembre de 2023. ¿Cuánto devengan los funcionarios públicos de la Nación?</b:Title>
    <b:URL>https://www.ofiscal.org/_files/ugd/d0c5ee_cf84ce9477f943e4b4a15b1e80a3c093.pdf</b:URL>
    <b:Year>2023</b:Year>
    <b:Gdcea>{"AccessedType":"Website"}</b:Gdcea>
    <b:Author>
      <b:Author>
        <b:Corporate>Observatorio Fiscal de la Pontificia Universidad Javeriana</b:Corporate>
      </b:Author>
    </b:Author>
  </b:Source>
  <b:Source>
    <b:Tag>source10</b:Tag>
    <b:SourceType>ArticleInAPeriodical</b:SourceType>
    <b:Day>4</b:Day>
    <b:Month>Mayo</b:Month>
    <b:PeriodicalTitle>LaRepublica.co</b:PeriodicalTitle>
    <b:Title>Con aumento salarial, congresistas ganan más que promedio de los altos ejecutivos</b:Title>
    <b:URL>https://www.larepublica.co/economia/con-aumento-salarial-congresistas-ganan-mas-que-el-promedio-de-gerentes-de-empresas-3853716</b:URL>
    <b:Year>2024</b:Year>
    <b:Gdcea>{"AccessedType":"Website"}</b:Gdcea>
    <b:Author>
      <b:Author>
        <b:NameList>
          <b:Person>
            <b:First>Menfy</b:First>
            <b:Last>Méndez</b:Last>
          </b:Person>
        </b:NameList>
      </b:Author>
    </b:Author>
  </b:Source>
  <b:Source>
    <b:Tag>source11</b:Tag>
    <b:SourceType>DocumentFromInternetSite</b:SourceType>
    <b:DayAccessed>22</b:DayAccessed>
    <b:Month>Marzo</b:Month>
    <b:MonthAccessed>Julio</b:MonthAccessed>
    <b:Title>Comparativo de datos de austeridad del gasto por unidad ejecutora y categoría. Datos comparados (acumulados a 31 de diciembre) de las vigencias 2022 y 2023</b:Title>
    <b:URL>https://www.minhacienda.gov.co/webcenter/portal/EntOrdenNacional/pages_pgn</b:URL>
    <b:InternetSiteTitle>Presupuesto Público Nacional</b:InternetSiteTitle>
    <b:Year>2024a</b:Year>
    <b:YearAccessed>2024</b:YearAccessed>
    <b:Gdcea>{"AccessedType":"Website"}</b:Gdcea>
    <b:Author>
      <b:Author>
        <b:Corporate>MinHacienda</b:Corporate>
      </b:Author>
    </b:Author>
  </b:Source>
  <b:Source>
    <b:Tag>source12</b:Tag>
    <b:SourceType>JournalArticle</b:SourceType>
    <b:Issue>1</b:Issue>
    <b:JournalName>Science of Human Action</b:JournalName>
    <b:Month>Enero</b:Month>
    <b:Pages>38 - 54</b:Pages>
    <b:StandardNumber>10.21501/2500-669X.2321</b:StandardNumber>
    <b:Title>Transparencia del Gasto Fiscal en Colombia</b:Title>
    <b:URL>https://www.researchgate.net/publication/316347707_Transparencia_del_gasto_fiscal_en_Colombia</b:URL>
    <b:Volume>2</b:Volume>
    <b:Year>2017</b:Year>
    <b:Gdcea>{"AccessedType":"Website"}</b:Gdcea>
    <b:Author>
      <b:Author>
        <b:NameList>
          <b:Person>
            <b:First>Jairo</b:First>
            <b:Middle>Alonso</b:Middle>
            <b:Last>Bautista</b:Last>
          </b:Person>
          <b:Person>
            <b:First>Didier</b:First>
            <b:Middle>Antonio</b:Middle>
            <b:Last>Sepúlveda Reyes</b:Last>
          </b:Person>
        </b:NameList>
      </b:Author>
    </b:Author>
  </b:Source>
  <b:Source>
    <b:Tag>source13</b:Tag>
    <b:SourceType>Book</b:SourceType>
    <b:Title>Mejores prácticas para la transparencia presupuestaria</b:Title>
    <b:URL>https://www.oecd.org/gov/budgeting/best-practices-budget-transparency.htm</b:URL>
    <b:Year>2010</b:Year>
    <b:Gdcea>{"AccessedType":"Website"}</b:Gdcea>
    <b:Author>
      <b:Author>
        <b:Corporate>OECD</b:Corporate>
      </b:Author>
    </b:Author>
  </b:Source>
  <b:Source>
    <b:Tag>source14</b:Tag>
    <b:SourceType>BookSection</b:SourceType>
    <b:BookTitle>Panorama de las Administraciones Públicas: América Latina y el Caribe 2014: Innovación en la gestión financiera pública</b:BookTitle>
    <b:Pages>84 - 85</b:Pages>
    <b:Publisher>OECD Publishing</b:Publisher>
    <b:StandardNumber>https://doi.org/10.1787/9789264211636-26-es.</b:StandardNumber>
    <b:Title>La transparencia presupuestaria</b:Title>
    <b:URL>https://www.oecd-ilibrary.org/governance/panorama-de-las-administraciones-publicas/la-transparencia-presupuestaria_9789264211636-26-es</b:URL>
    <b:Year>2014</b:Year>
    <b:Gdcea>{"AccessedType":"Website"}</b:Gdcea>
    <b:Author>
      <b:Author>
        <b:Corporate>OECD</b:Corporate>
      </b:Author>
    </b:Author>
  </b:Source>
  <b:Source>
    <b:Tag>source15</b:Tag>
    <b:SourceType>DocumentFromInternetSite</b:SourceType>
    <b:Day>30</b:Day>
    <b:DayAccessed>23</b:DayAccessed>
    <b:Month>Junio</b:Month>
    <b:MonthAccessed>Julio</b:MonthAccessed>
    <b:Title>Presupuesto General de la Nación - PGN - 2000-2024</b:Title>
    <b:URL>https://www.minhacienda.gov.co/webcenter/portal/EntOrdenNacional/pages_presupuestogralnacion/bitcoraeconmica?_afrLoop=1264723440464730&amp;_afrWindowMode=0&amp;Adf-Window-Id=w10prwnrbyx&amp;_afrPage=1&amp;_afrFS=16&amp;_afrMT=screen&amp;_afrMFW=1920&amp;_afrMFH=945&amp;_afrMFDW=1920&amp;_afr</b:URL>
    <b:InternetSiteTitle>Cifras Presupuestales Históricas</b:InternetSiteTitle>
    <b:Year>2024c</b:Year>
    <b:YearAccessed>2024</b:YearAccessed>
    <b:Gdcea>{"AccessedType":"Website"}</b:Gdcea>
    <b:Author>
      <b:Author>
        <b:Corporate>MinHacienda</b:Corporate>
      </b:Author>
    </b:Author>
  </b:Source>
  <b:Source>
    <b:Tag>source16</b:Tag>
    <b:SourceType>DocumentFromInternetSite</b:SourceType>
    <b:Day>11</b:Day>
    <b:DayAccessed>23</b:DayAccessed>
    <b:Month>April</b:Month>
    <b:MonthAccessed>August</b:MonthAccessed>
    <b:Title>Austeridad Republicana y ampliación de políticas sociales en México. (Análisis presupuestario a 4 años de AMLO). — CELAG</b:Title>
    <b:URL>https://www.celag.org/austeridad-republicana-y-ampliacion-de-politicas-sociales-en-mexico-analisis-presupuestario-a-4-anos-de-amlo/</b:URL>
    <b:InternetSiteTitle>CELAG</b:InternetSiteTitle>
    <b:Year>2023</b:Year>
    <b:YearAccessed>2024</b:YearAccessed>
    <b:Gdcea>{"AccessedType":"Website"}</b:Gdcea>
    <b:Author>
      <b:Author>
        <b:NameList>
          <b:Person>
            <b:First>Nicolás</b:First>
            <b:Last>Oliva</b:Last>
          </b:Person>
          <b:Person>
            <b:First>Alfredo</b:First>
            <b:Last>Serrano</b:Last>
          </b:Person>
        </b:NameList>
      </b:Author>
    </b:Author>
  </b:Source>
  <b:Source>
    <b:Tag>source17</b:Tag>
    <b:SourceType>DocumentFromInternetSite</b:SourceType>
    <b:Day>26</b:Day>
    <b:DayAccessed>23</b:DayAccessed>
    <b:Month>September</b:Month>
    <b:MonthAccessed>August</b:MonthAccessed>
    <b:Title>Los perritos del fiscal Francisco Barbosa tienen escoltas y carro oficial</b:Title>
    <b:URL>https://www.wradio.com.co/2022/09/26/los-perritos-del-fiscal-francisco-barbosa-tienen-escoltas-y-carro-oficial/</b:URL>
    <b:InternetSiteTitle>W Radio</b:InternetSiteTitle>
    <b:Year>2022</b:Year>
    <b:YearAccessed>2024</b:YearAccessed>
    <b:Gdcea>{"AccessedType":"Website"}</b:Gdcea>
    <b:Author>
      <b:Author>
        <b:NameList>
          <b:Person>
            <b:First>Yohir</b:First>
            <b:Last>Akerman</b:Last>
          </b:Person>
        </b:NameList>
      </b:Author>
    </b:Author>
  </b:Source>
  <b:Source>
    <b:Tag>source18</b:Tag>
    <b:SourceType>DocumentFromInternetSite</b:SourceType>
    <b:Day>25</b:Day>
    <b:DayAccessed>23</b:DayAccessed>
    <b:Month>November</b:Month>
    <b:MonthAccessed>August</b:MonthAccessed>
    <b:Title>Francisco Barbosa pagó las empleadas del servicio de su casa con recursos públicos</b:Title>
    <b:URL>https://cambiocolombia.com/articulo/poder/francisco-barbosa-pago-las-empleadas-del-servicio-de-su-casa-con-recursos-publicos</b:URL>
    <b:InternetSiteTitle>Cambio</b:InternetSiteTitle>
    <b:Year>2022</b:Year>
    <b:YearAccessed>2024</b:YearAccessed>
    <b:Gdcea>{"AccessedType":"Website"}</b:Gdcea>
    <b:Author>
      <b:Author>
        <b:NameList>
          <b:Person>
            <b:First>Sylvia</b:First>
            <b:Last>Charry</b:Last>
          </b:Person>
        </b:NameList>
      </b:Author>
    </b:Author>
  </b:Source>
  <b:Source>
    <b:Tag>source19</b:Tag>
    <b:SourceType>DocumentFromInternetSite</b:SourceType>
    <b:Title>Proyecto de Ley 027/2021C - 046/2020S - Por medio de la cual se expide la Ley de Inversión Social y se dictan otras disposiciones</b:Title>
    <b:URL>https://www.camara.gov.co/inversion-social</b:URL>
    <b:InternetSiteTitle>Cámara de Represetnantes</b:InternetSiteTitle>
    <b:Gdcea>{"AccessedType":"Website"}</b:Gdcea>
    <b:Author>
      <b:Author>
        <b:Corporate>Cámara de Representantes</b:Corporate>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60C8DC-BE40-431E-B836-48386E95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56</Pages>
  <Words>19008</Words>
  <Characters>104546</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Rubby Yesenia Parrado Rodriguez</cp:lastModifiedBy>
  <cp:revision>4</cp:revision>
  <cp:lastPrinted>2024-08-27T13:33:00Z</cp:lastPrinted>
  <dcterms:created xsi:type="dcterms:W3CDTF">2024-08-27T14:00:00Z</dcterms:created>
  <dcterms:modified xsi:type="dcterms:W3CDTF">2024-08-27T14:09:00Z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f6749477-3211-3fe8-a867-e7e906fdd017</vt:lpwstr>
  </property>
  <property fmtid="{D5CDD505-2E9C-101B-9397-08002B2CF9AE}" pid="24" name="Mendeley Citation Style_1">
    <vt:lpwstr>http://www.zotero.org/styles/apa</vt:lpwstr>
  </property>
</Properties>
</file>