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02C7C" w14:textId="77777777" w:rsidR="00874FAD" w:rsidRDefault="00000000">
      <w:pPr>
        <w:jc w:val="right"/>
        <w:rPr>
          <w:rFonts w:ascii="Bookman Old Style" w:eastAsia="Bookman Old Style" w:hAnsi="Bookman Old Style" w:cs="Bookman Old Style"/>
        </w:rPr>
      </w:pPr>
      <w:r>
        <w:rPr>
          <w:rFonts w:ascii="Bookman Old Style" w:eastAsia="Bookman Old Style" w:hAnsi="Bookman Old Style" w:cs="Bookman Old Style"/>
        </w:rPr>
        <w:t xml:space="preserve">Bogotá, 18 de septiembre de 2024 </w:t>
      </w:r>
    </w:p>
    <w:p w14:paraId="70477E97" w14:textId="77777777" w:rsidR="00874FAD" w:rsidRDefault="00874FAD">
      <w:pPr>
        <w:jc w:val="right"/>
        <w:rPr>
          <w:rFonts w:ascii="Bookman Old Style" w:eastAsia="Bookman Old Style" w:hAnsi="Bookman Old Style" w:cs="Bookman Old Style"/>
          <w:b/>
        </w:rPr>
      </w:pPr>
    </w:p>
    <w:p w14:paraId="01D05647" w14:textId="77777777" w:rsidR="00874FAD" w:rsidRDefault="00874FAD">
      <w:pPr>
        <w:jc w:val="right"/>
        <w:rPr>
          <w:rFonts w:ascii="Bookman Old Style" w:eastAsia="Bookman Old Style" w:hAnsi="Bookman Old Style" w:cs="Bookman Old Style"/>
          <w:b/>
        </w:rPr>
      </w:pPr>
    </w:p>
    <w:p w14:paraId="308A992B" w14:textId="77777777" w:rsidR="00874FAD" w:rsidRDefault="00874FAD">
      <w:pPr>
        <w:rPr>
          <w:rFonts w:ascii="Bookman Old Style" w:eastAsia="Bookman Old Style" w:hAnsi="Bookman Old Style" w:cs="Bookman Old Style"/>
          <w:b/>
        </w:rPr>
      </w:pPr>
    </w:p>
    <w:p w14:paraId="5022C304" w14:textId="77777777" w:rsidR="00874FAD"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Señor </w:t>
      </w:r>
      <w:r>
        <w:rPr>
          <w:rFonts w:ascii="Bookman Old Style" w:eastAsia="Bookman Old Style" w:hAnsi="Bookman Old Style" w:cs="Bookman Old Style"/>
          <w:b/>
        </w:rPr>
        <w:br/>
        <w:t>JAIME LUIS LACOUTURE PEÑALOZA</w:t>
      </w:r>
      <w:r>
        <w:rPr>
          <w:rFonts w:ascii="Bookman Old Style" w:eastAsia="Bookman Old Style" w:hAnsi="Bookman Old Style" w:cs="Bookman Old Style"/>
        </w:rPr>
        <w:br/>
      </w:r>
      <w:proofErr w:type="gramStart"/>
      <w:r>
        <w:rPr>
          <w:rFonts w:ascii="Bookman Old Style" w:eastAsia="Bookman Old Style" w:hAnsi="Bookman Old Style" w:cs="Bookman Old Style"/>
        </w:rPr>
        <w:t>Secretario General</w:t>
      </w:r>
      <w:proofErr w:type="gramEnd"/>
      <w:r>
        <w:rPr>
          <w:rFonts w:ascii="Bookman Old Style" w:eastAsia="Bookman Old Style" w:hAnsi="Bookman Old Style" w:cs="Bookman Old Style"/>
        </w:rPr>
        <w:t xml:space="preserve"> </w:t>
      </w:r>
      <w:r>
        <w:rPr>
          <w:rFonts w:ascii="Bookman Old Style" w:eastAsia="Bookman Old Style" w:hAnsi="Bookman Old Style" w:cs="Bookman Old Style"/>
        </w:rPr>
        <w:br/>
        <w:t xml:space="preserve">CÁMARA DE REPRESENTANTES </w:t>
      </w:r>
    </w:p>
    <w:p w14:paraId="60A04A5E" w14:textId="77777777" w:rsidR="00874FAD" w:rsidRDefault="00874FAD">
      <w:pPr>
        <w:rPr>
          <w:rFonts w:ascii="Bookman Old Style" w:eastAsia="Bookman Old Style" w:hAnsi="Bookman Old Style" w:cs="Bookman Old Style"/>
          <w:b/>
        </w:rPr>
      </w:pPr>
    </w:p>
    <w:p w14:paraId="0051D0CB" w14:textId="77777777" w:rsidR="00874FAD" w:rsidRDefault="00874FAD">
      <w:pPr>
        <w:rPr>
          <w:rFonts w:ascii="Bookman Old Style" w:eastAsia="Bookman Old Style" w:hAnsi="Bookman Old Style" w:cs="Bookman Old Style"/>
          <w:b/>
        </w:rPr>
      </w:pPr>
    </w:p>
    <w:p w14:paraId="5DC3AAA6" w14:textId="77777777" w:rsidR="00874FAD" w:rsidRDefault="00000000">
      <w:pPr>
        <w:ind w:left="720"/>
        <w:rPr>
          <w:rFonts w:ascii="Bookman Old Style" w:eastAsia="Bookman Old Style" w:hAnsi="Bookman Old Style" w:cs="Bookman Old Style"/>
          <w:i/>
        </w:rPr>
      </w:pPr>
      <w:r>
        <w:rPr>
          <w:rFonts w:ascii="Bookman Old Style" w:eastAsia="Bookman Old Style" w:hAnsi="Bookman Old Style" w:cs="Bookman Old Style"/>
          <w:b/>
        </w:rPr>
        <w:t>Asunto:</w:t>
      </w:r>
      <w:r>
        <w:rPr>
          <w:rFonts w:ascii="Bookman Old Style" w:eastAsia="Bookman Old Style" w:hAnsi="Bookman Old Style" w:cs="Bookman Old Style"/>
        </w:rPr>
        <w:t xml:space="preserve"> Radicación de Proyecto de Ley </w:t>
      </w:r>
      <w:r>
        <w:rPr>
          <w:rFonts w:ascii="Bookman Old Style" w:eastAsia="Bookman Old Style" w:hAnsi="Bookman Old Style" w:cs="Bookman Old Style"/>
          <w:i/>
        </w:rPr>
        <w:t>"</w:t>
      </w:r>
      <w:r>
        <w:rPr>
          <w:rFonts w:ascii="Bookman Old Style" w:eastAsia="Bookman Old Style" w:hAnsi="Bookman Old Style" w:cs="Bookman Old Style"/>
          <w:i/>
          <w:color w:val="333333"/>
          <w:highlight w:val="white"/>
        </w:rPr>
        <w:t>Por medio del cual se modifica la Ley 1229 de 2008 y se dictan otras disposiciones</w:t>
      </w:r>
      <w:r>
        <w:rPr>
          <w:rFonts w:ascii="Bookman Old Style" w:eastAsia="Bookman Old Style" w:hAnsi="Bookman Old Style" w:cs="Bookman Old Style"/>
          <w:i/>
        </w:rPr>
        <w:t>” - Ley del profesional en construcción</w:t>
      </w:r>
    </w:p>
    <w:p w14:paraId="36769745" w14:textId="77777777" w:rsidR="00874FAD" w:rsidRDefault="00874FAD">
      <w:pPr>
        <w:rPr>
          <w:rFonts w:ascii="Bookman Old Style" w:eastAsia="Bookman Old Style" w:hAnsi="Bookman Old Style" w:cs="Bookman Old Style"/>
          <w:b/>
        </w:rPr>
      </w:pPr>
    </w:p>
    <w:p w14:paraId="7E9608AE" w14:textId="77777777" w:rsidR="00874FAD" w:rsidRDefault="00874FAD">
      <w:pPr>
        <w:rPr>
          <w:rFonts w:ascii="Bookman Old Style" w:eastAsia="Bookman Old Style" w:hAnsi="Bookman Old Style" w:cs="Bookman Old Style"/>
        </w:rPr>
      </w:pPr>
    </w:p>
    <w:p w14:paraId="5CD7FA83" w14:textId="77777777" w:rsidR="00874FAD" w:rsidRDefault="00874FAD">
      <w:pPr>
        <w:rPr>
          <w:rFonts w:ascii="Bookman Old Style" w:eastAsia="Bookman Old Style" w:hAnsi="Bookman Old Style" w:cs="Bookman Old Style"/>
        </w:rPr>
      </w:pPr>
    </w:p>
    <w:p w14:paraId="64B264CE" w14:textId="77777777" w:rsidR="00874FAD" w:rsidRDefault="00000000">
      <w:pPr>
        <w:rPr>
          <w:rFonts w:ascii="Bookman Old Style" w:eastAsia="Bookman Old Style" w:hAnsi="Bookman Old Style" w:cs="Bookman Old Style"/>
        </w:rPr>
      </w:pPr>
      <w:r>
        <w:rPr>
          <w:rFonts w:ascii="Bookman Old Style" w:eastAsia="Bookman Old Style" w:hAnsi="Bookman Old Style" w:cs="Bookman Old Style"/>
        </w:rPr>
        <w:t>Respetado secretario,</w:t>
      </w:r>
    </w:p>
    <w:p w14:paraId="2AD21E49" w14:textId="77777777" w:rsidR="00874FAD" w:rsidRDefault="00874FAD">
      <w:pPr>
        <w:rPr>
          <w:rFonts w:ascii="Bookman Old Style" w:eastAsia="Bookman Old Style" w:hAnsi="Bookman Old Style" w:cs="Bookman Old Style"/>
        </w:rPr>
      </w:pPr>
    </w:p>
    <w:p w14:paraId="59E09C20" w14:textId="77777777" w:rsidR="00874FAD" w:rsidRDefault="00874FAD">
      <w:pPr>
        <w:rPr>
          <w:rFonts w:ascii="Bookman Old Style" w:eastAsia="Bookman Old Style" w:hAnsi="Bookman Old Style" w:cs="Bookman Old Style"/>
        </w:rPr>
      </w:pPr>
    </w:p>
    <w:p w14:paraId="18D26E04"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De conformidad con los artículos 139 y 140 de la Ley 5 de 1992, y demás normas concordantes, presentamos a consideración de la Honorable Cámara de Representantes el Proyecto de Ley </w:t>
      </w:r>
      <w:r>
        <w:rPr>
          <w:rFonts w:ascii="Bookman Old Style" w:eastAsia="Bookman Old Style" w:hAnsi="Bookman Old Style" w:cs="Bookman Old Style"/>
          <w:i/>
        </w:rPr>
        <w:t>"</w:t>
      </w:r>
      <w:r>
        <w:rPr>
          <w:rFonts w:ascii="Bookman Old Style" w:eastAsia="Bookman Old Style" w:hAnsi="Bookman Old Style" w:cs="Bookman Old Style"/>
          <w:i/>
          <w:color w:val="333333"/>
          <w:highlight w:val="white"/>
        </w:rPr>
        <w:t>Por medio del cual se modifica la Ley 1229 de 2008 y se dictan otras disposiciones</w:t>
      </w:r>
      <w:r>
        <w:rPr>
          <w:rFonts w:ascii="Bookman Old Style" w:eastAsia="Bookman Old Style" w:hAnsi="Bookman Old Style" w:cs="Bookman Old Style"/>
          <w:i/>
        </w:rPr>
        <w:t>” - Ley del profesional en construcción</w:t>
      </w:r>
      <w:r>
        <w:rPr>
          <w:rFonts w:ascii="Bookman Old Style" w:eastAsia="Bookman Old Style" w:hAnsi="Bookman Old Style" w:cs="Bookman Old Style"/>
        </w:rPr>
        <w:t xml:space="preserve">. </w:t>
      </w:r>
    </w:p>
    <w:p w14:paraId="5BD342A1" w14:textId="77777777" w:rsidR="00874FAD" w:rsidRDefault="00874FAD">
      <w:pPr>
        <w:rPr>
          <w:rFonts w:ascii="Bookman Old Style" w:eastAsia="Bookman Old Style" w:hAnsi="Bookman Old Style" w:cs="Bookman Old Style"/>
        </w:rPr>
      </w:pPr>
    </w:p>
    <w:p w14:paraId="52AFF6A6"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Lo anterior, con la finalidad de que se sirva ordenar a quien corresponda dar el trámite correspondiente conforme a los términos establecidos por la Constitución y la Ley. Sugerimos, respetuosamente, que el presente proyecto inicie su trámite por la Comisión Sexta Constitucional Permanente de la Cámara de Representantes que tiene a su cargo el estudio de los asuntos relacionados a los temas de Educación Superior.</w:t>
      </w:r>
    </w:p>
    <w:p w14:paraId="4396282E" w14:textId="77777777" w:rsidR="00874FAD" w:rsidRDefault="00874FAD">
      <w:pPr>
        <w:rPr>
          <w:rFonts w:ascii="Bookman Old Style" w:eastAsia="Bookman Old Style" w:hAnsi="Bookman Old Style" w:cs="Bookman Old Style"/>
        </w:rPr>
      </w:pPr>
    </w:p>
    <w:p w14:paraId="7290396F" w14:textId="77777777" w:rsidR="00874FAD" w:rsidRDefault="00874FAD">
      <w:pPr>
        <w:rPr>
          <w:rFonts w:ascii="Bookman Old Style" w:eastAsia="Bookman Old Style" w:hAnsi="Bookman Old Style" w:cs="Bookman Old Style"/>
        </w:rPr>
      </w:pPr>
    </w:p>
    <w:p w14:paraId="21F85787" w14:textId="77777777" w:rsidR="00874FAD" w:rsidRDefault="00000000">
      <w:pPr>
        <w:rPr>
          <w:rFonts w:ascii="Bookman Old Style" w:eastAsia="Bookman Old Style" w:hAnsi="Bookman Old Style" w:cs="Bookman Old Style"/>
        </w:rPr>
      </w:pPr>
      <w:r>
        <w:rPr>
          <w:rFonts w:ascii="Bookman Old Style" w:eastAsia="Bookman Old Style" w:hAnsi="Bookman Old Style" w:cs="Bookman Old Style"/>
        </w:rPr>
        <w:t>De los honorables congresistas,</w:t>
      </w:r>
    </w:p>
    <w:p w14:paraId="4F42A7CA" w14:textId="77777777" w:rsidR="00874FAD" w:rsidRDefault="00874FAD">
      <w:pPr>
        <w:rPr>
          <w:rFonts w:ascii="Bookman Old Style" w:eastAsia="Bookman Old Style" w:hAnsi="Bookman Old Style" w:cs="Bookman Old Style"/>
        </w:rPr>
      </w:pPr>
    </w:p>
    <w:p w14:paraId="4B2BD0BE" w14:textId="77777777" w:rsidR="00874FAD" w:rsidRDefault="00874FAD">
      <w:pPr>
        <w:rPr>
          <w:rFonts w:ascii="Bookman Old Style" w:eastAsia="Bookman Old Style" w:hAnsi="Bookman Old Style" w:cs="Bookman Old Style"/>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74FAD" w14:paraId="046B5997" w14:textId="77777777" w:rsidTr="002359B2">
        <w:tc>
          <w:tcPr>
            <w:tcW w:w="4514" w:type="dxa"/>
            <w:shd w:val="clear" w:color="auto" w:fill="auto"/>
            <w:tcMar>
              <w:top w:w="100" w:type="dxa"/>
              <w:left w:w="100" w:type="dxa"/>
              <w:bottom w:w="100" w:type="dxa"/>
              <w:right w:w="100" w:type="dxa"/>
            </w:tcMar>
          </w:tcPr>
          <w:p w14:paraId="6AF3D320" w14:textId="0580097E" w:rsidR="00874FAD" w:rsidRDefault="00000000">
            <w:pPr>
              <w:widowControl w:val="0"/>
              <w:pBdr>
                <w:top w:val="nil"/>
                <w:left w:val="nil"/>
                <w:bottom w:val="nil"/>
                <w:right w:val="nil"/>
                <w:between w:val="nil"/>
              </w:pBdr>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234AB243" wp14:editId="03A57B27">
                  <wp:extent cx="2724150" cy="13208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724150" cy="132080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7E722D3A" wp14:editId="7D3E14C2">
                  <wp:simplePos x="0" y="0"/>
                  <wp:positionH relativeFrom="column">
                    <wp:posOffset>2676525</wp:posOffset>
                  </wp:positionH>
                  <wp:positionV relativeFrom="paragraph">
                    <wp:posOffset>414815</wp:posOffset>
                  </wp:positionV>
                  <wp:extent cx="2301994" cy="116298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01994" cy="1162986"/>
                          </a:xfrm>
                          <a:prstGeom prst="rect">
                            <a:avLst/>
                          </a:prstGeom>
                          <a:ln/>
                        </pic:spPr>
                      </pic:pic>
                    </a:graphicData>
                  </a:graphic>
                </wp:anchor>
              </w:drawing>
            </w:r>
          </w:p>
          <w:p w14:paraId="26F7651E" w14:textId="77777777" w:rsidR="00874FAD" w:rsidRDefault="00000000">
            <w:pPr>
              <w:widowControl w:val="0"/>
              <w:pBdr>
                <w:top w:val="nil"/>
                <w:left w:val="nil"/>
                <w:bottom w:val="nil"/>
                <w:right w:val="nil"/>
                <w:between w:val="nil"/>
              </w:pBd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b/>
              </w:rPr>
              <w:t>DANIEL CARVALHO MEJÍA</w:t>
            </w:r>
            <w:r>
              <w:rPr>
                <w:rFonts w:ascii="Bookman Old Style" w:eastAsia="Bookman Old Style" w:hAnsi="Bookman Old Style" w:cs="Bookman Old Style"/>
              </w:rPr>
              <w:t xml:space="preserve"> </w:t>
            </w:r>
            <w:r>
              <w:rPr>
                <w:rFonts w:ascii="Bookman Old Style" w:eastAsia="Bookman Old Style" w:hAnsi="Bookman Old Style" w:cs="Bookman Old Style"/>
              </w:rPr>
              <w:br/>
              <w:t xml:space="preserve">Representante a la Cámara </w:t>
            </w:r>
          </w:p>
        </w:tc>
        <w:tc>
          <w:tcPr>
            <w:tcW w:w="4515" w:type="dxa"/>
            <w:shd w:val="clear" w:color="auto" w:fill="auto"/>
            <w:tcMar>
              <w:top w:w="100" w:type="dxa"/>
              <w:left w:w="100" w:type="dxa"/>
              <w:bottom w:w="100" w:type="dxa"/>
              <w:right w:w="100" w:type="dxa"/>
            </w:tcMar>
          </w:tcPr>
          <w:p w14:paraId="7BEEF85A"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19BA8757"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23E6C4C9"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671824FD"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244FF32D"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2A30C317"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2BB9169C"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76A51C8F"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37459B80" w14:textId="77777777" w:rsidR="00874FAD" w:rsidRDefault="00000000">
            <w:pPr>
              <w:widowControl w:val="0"/>
              <w:pBdr>
                <w:top w:val="nil"/>
                <w:left w:val="nil"/>
                <w:bottom w:val="nil"/>
                <w:right w:val="nil"/>
                <w:between w:val="nil"/>
              </w:pBdr>
              <w:spacing w:line="240" w:lineRule="auto"/>
              <w:rPr>
                <w:rFonts w:ascii="Bookman Old Style" w:eastAsia="Bookman Old Style" w:hAnsi="Bookman Old Style" w:cs="Bookman Old Style"/>
              </w:rPr>
            </w:pPr>
            <w:r>
              <w:rPr>
                <w:rFonts w:ascii="Bookman Old Style" w:eastAsia="Bookman Old Style" w:hAnsi="Bookman Old Style" w:cs="Bookman Old Style"/>
                <w:b/>
              </w:rPr>
              <w:t>DIEGO FERNANDO CAICEDO NAVAS</w:t>
            </w:r>
            <w:r>
              <w:rPr>
                <w:rFonts w:ascii="Bookman Old Style" w:eastAsia="Bookman Old Style" w:hAnsi="Bookman Old Style" w:cs="Bookman Old Style"/>
              </w:rPr>
              <w:t xml:space="preserve"> </w:t>
            </w:r>
            <w:r>
              <w:rPr>
                <w:rFonts w:ascii="Bookman Old Style" w:eastAsia="Bookman Old Style" w:hAnsi="Bookman Old Style" w:cs="Bookman Old Style"/>
              </w:rPr>
              <w:br/>
              <w:t>Representante a la Cámara</w:t>
            </w:r>
          </w:p>
        </w:tc>
      </w:tr>
      <w:tr w:rsidR="00874FAD" w14:paraId="7C5CA9C3" w14:textId="77777777" w:rsidTr="002359B2">
        <w:tc>
          <w:tcPr>
            <w:tcW w:w="4514" w:type="dxa"/>
            <w:shd w:val="clear" w:color="auto" w:fill="auto"/>
            <w:tcMar>
              <w:top w:w="100" w:type="dxa"/>
              <w:left w:w="100" w:type="dxa"/>
              <w:bottom w:w="100" w:type="dxa"/>
              <w:right w:w="100" w:type="dxa"/>
            </w:tcMar>
          </w:tcPr>
          <w:p w14:paraId="2558B266"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56C0C3E7"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3C284E62" w14:textId="77777777" w:rsidR="00874FAD" w:rsidRDefault="00000000">
            <w:pPr>
              <w:widowControl w:val="0"/>
              <w:pBdr>
                <w:top w:val="nil"/>
                <w:left w:val="nil"/>
                <w:bottom w:val="nil"/>
                <w:right w:val="nil"/>
                <w:between w:val="nil"/>
              </w:pBdr>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51AF5F12" wp14:editId="4FDF1479">
                  <wp:extent cx="1771650" cy="63817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71650" cy="638175"/>
                          </a:xfrm>
                          <a:prstGeom prst="rect">
                            <a:avLst/>
                          </a:prstGeom>
                          <a:ln/>
                        </pic:spPr>
                      </pic:pic>
                    </a:graphicData>
                  </a:graphic>
                </wp:inline>
              </w:drawing>
            </w:r>
          </w:p>
          <w:p w14:paraId="7153DACB" w14:textId="77777777" w:rsidR="00874FAD" w:rsidRDefault="00000000">
            <w:pPr>
              <w:widowControl w:val="0"/>
              <w:pBdr>
                <w:top w:val="nil"/>
                <w:left w:val="nil"/>
                <w:bottom w:val="nil"/>
                <w:right w:val="nil"/>
                <w:between w:val="nil"/>
              </w:pBdr>
              <w:spacing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Senador </w:t>
            </w:r>
            <w:proofErr w:type="gramStart"/>
            <w:r>
              <w:rPr>
                <w:rFonts w:ascii="Bookman Old Style" w:eastAsia="Bookman Old Style" w:hAnsi="Bookman Old Style" w:cs="Bookman Old Style"/>
                <w:b/>
              </w:rPr>
              <w:t>de  la</w:t>
            </w:r>
            <w:proofErr w:type="gramEnd"/>
            <w:r>
              <w:rPr>
                <w:rFonts w:ascii="Bookman Old Style" w:eastAsia="Bookman Old Style" w:hAnsi="Bookman Old Style" w:cs="Bookman Old Style"/>
                <w:b/>
              </w:rPr>
              <w:t xml:space="preserve"> República</w:t>
            </w:r>
          </w:p>
          <w:p w14:paraId="38FD8BBE"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b/>
              </w:rPr>
            </w:pPr>
          </w:p>
          <w:p w14:paraId="71E6C45F"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3D08743C"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0860083A"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tc>
        <w:tc>
          <w:tcPr>
            <w:tcW w:w="4515" w:type="dxa"/>
            <w:shd w:val="clear" w:color="auto" w:fill="auto"/>
            <w:tcMar>
              <w:top w:w="100" w:type="dxa"/>
              <w:left w:w="100" w:type="dxa"/>
              <w:bottom w:w="100" w:type="dxa"/>
              <w:right w:w="100" w:type="dxa"/>
            </w:tcMar>
          </w:tcPr>
          <w:p w14:paraId="67285828" w14:textId="77777777" w:rsidR="00874FAD" w:rsidRDefault="00000000">
            <w:pPr>
              <w:widowControl w:val="0"/>
              <w:pBdr>
                <w:top w:val="nil"/>
                <w:left w:val="nil"/>
                <w:bottom w:val="nil"/>
                <w:right w:val="nil"/>
                <w:between w:val="nil"/>
              </w:pBd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3C21451E" wp14:editId="63655D99">
                  <wp:extent cx="2343150" cy="16573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43150" cy="1657350"/>
                          </a:xfrm>
                          <a:prstGeom prst="rect">
                            <a:avLst/>
                          </a:prstGeom>
                          <a:ln/>
                        </pic:spPr>
                      </pic:pic>
                    </a:graphicData>
                  </a:graphic>
                </wp:inline>
              </w:drawing>
            </w:r>
          </w:p>
          <w:p w14:paraId="11CAF47D" w14:textId="77777777" w:rsidR="00874FAD" w:rsidRDefault="00000000">
            <w:pPr>
              <w:widowControl w:val="0"/>
              <w:pBdr>
                <w:top w:val="nil"/>
                <w:left w:val="nil"/>
                <w:bottom w:val="nil"/>
                <w:right w:val="nil"/>
                <w:between w:val="nil"/>
              </w:pBd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LUIS CARLO OCHOA TOBON</w:t>
            </w:r>
          </w:p>
          <w:p w14:paraId="32121FDA" w14:textId="77777777" w:rsidR="00874FAD" w:rsidRDefault="00000000">
            <w:pPr>
              <w:widowControl w:val="0"/>
              <w:pBdr>
                <w:top w:val="nil"/>
                <w:left w:val="nil"/>
                <w:bottom w:val="nil"/>
                <w:right w:val="nil"/>
                <w:between w:val="nil"/>
              </w:pBdr>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CAMARA</w:t>
            </w:r>
          </w:p>
        </w:tc>
      </w:tr>
      <w:tr w:rsidR="00874FAD" w14:paraId="12DC0413" w14:textId="77777777" w:rsidTr="002359B2">
        <w:tc>
          <w:tcPr>
            <w:tcW w:w="4514" w:type="dxa"/>
            <w:shd w:val="clear" w:color="auto" w:fill="auto"/>
            <w:tcMar>
              <w:top w:w="100" w:type="dxa"/>
              <w:left w:w="100" w:type="dxa"/>
              <w:bottom w:w="100" w:type="dxa"/>
              <w:right w:w="100" w:type="dxa"/>
            </w:tcMar>
          </w:tcPr>
          <w:p w14:paraId="09E98731"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p w14:paraId="5EF42543"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42C49E48" wp14:editId="0BF918FC">
                  <wp:extent cx="2724150" cy="8382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24150" cy="838200"/>
                          </a:xfrm>
                          <a:prstGeom prst="rect">
                            <a:avLst/>
                          </a:prstGeom>
                          <a:ln/>
                        </pic:spPr>
                      </pic:pic>
                    </a:graphicData>
                  </a:graphic>
                </wp:inline>
              </w:drawing>
            </w:r>
          </w:p>
          <w:p w14:paraId="57465999" w14:textId="77777777" w:rsidR="00874FAD" w:rsidRDefault="00000000">
            <w:pPr>
              <w:widowControl w:val="0"/>
              <w:spacing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Elkin Rodolfo Ospina </w:t>
            </w:r>
            <w:proofErr w:type="spellStart"/>
            <w:r>
              <w:rPr>
                <w:rFonts w:ascii="Bookman Old Style" w:eastAsia="Bookman Old Style" w:hAnsi="Bookman Old Style" w:cs="Bookman Old Style"/>
                <w:b/>
              </w:rPr>
              <w:t>Ospina</w:t>
            </w:r>
            <w:proofErr w:type="spellEnd"/>
          </w:p>
          <w:p w14:paraId="40E82FC1" w14:textId="77777777" w:rsidR="00874FAD" w:rsidRDefault="00000000">
            <w:pPr>
              <w:widowControl w:val="0"/>
              <w:spacing w:line="240" w:lineRule="auto"/>
              <w:rPr>
                <w:rFonts w:ascii="Bookman Old Style" w:eastAsia="Bookman Old Style" w:hAnsi="Bookman Old Style" w:cs="Bookman Old Style"/>
                <w:b/>
                <w:sz w:val="18"/>
                <w:szCs w:val="18"/>
              </w:rPr>
            </w:pPr>
            <w:proofErr w:type="spellStart"/>
            <w:r>
              <w:rPr>
                <w:rFonts w:ascii="Bookman Old Style" w:eastAsia="Bookman Old Style" w:hAnsi="Bookman Old Style" w:cs="Bookman Old Style"/>
                <w:b/>
                <w:sz w:val="18"/>
                <w:szCs w:val="18"/>
              </w:rPr>
              <w:t>Respresentante</w:t>
            </w:r>
            <w:proofErr w:type="spellEnd"/>
            <w:r>
              <w:rPr>
                <w:rFonts w:ascii="Bookman Old Style" w:eastAsia="Bookman Old Style" w:hAnsi="Bookman Old Style" w:cs="Bookman Old Style"/>
                <w:b/>
                <w:sz w:val="18"/>
                <w:szCs w:val="18"/>
              </w:rPr>
              <w:t xml:space="preserve"> a la Cámara por Antioquia</w:t>
            </w:r>
          </w:p>
          <w:p w14:paraId="267CCB8B" w14:textId="77777777" w:rsidR="00874FAD" w:rsidRDefault="00000000">
            <w:pPr>
              <w:widowControl w:val="0"/>
              <w:spacing w:line="240" w:lineRule="auto"/>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Partido Alianza Verde</w:t>
            </w:r>
          </w:p>
          <w:p w14:paraId="1C995177"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tc>
        <w:tc>
          <w:tcPr>
            <w:tcW w:w="4515" w:type="dxa"/>
            <w:shd w:val="clear" w:color="auto" w:fill="auto"/>
            <w:tcMar>
              <w:top w:w="100" w:type="dxa"/>
              <w:left w:w="100" w:type="dxa"/>
              <w:bottom w:w="100" w:type="dxa"/>
              <w:right w:w="100" w:type="dxa"/>
            </w:tcMar>
          </w:tcPr>
          <w:p w14:paraId="40D6FE06" w14:textId="77777777" w:rsidR="00874FAD" w:rsidRDefault="00874FAD">
            <w:pPr>
              <w:widowControl w:val="0"/>
              <w:pBdr>
                <w:top w:val="nil"/>
                <w:left w:val="nil"/>
                <w:bottom w:val="nil"/>
                <w:right w:val="nil"/>
                <w:between w:val="nil"/>
              </w:pBdr>
              <w:spacing w:line="240" w:lineRule="auto"/>
              <w:rPr>
                <w:rFonts w:ascii="Bookman Old Style" w:eastAsia="Bookman Old Style" w:hAnsi="Bookman Old Style" w:cs="Bookman Old Style"/>
              </w:rPr>
            </w:pPr>
          </w:p>
        </w:tc>
      </w:tr>
    </w:tbl>
    <w:p w14:paraId="7CCD5EA8" w14:textId="77777777" w:rsidR="00874FAD" w:rsidRDefault="00874FAD">
      <w:pPr>
        <w:rPr>
          <w:rFonts w:ascii="Bookman Old Style" w:eastAsia="Bookman Old Style" w:hAnsi="Bookman Old Style" w:cs="Bookman Old Style"/>
        </w:rPr>
      </w:pPr>
    </w:p>
    <w:p w14:paraId="6DB546DE" w14:textId="77777777" w:rsidR="00874FAD" w:rsidRDefault="00874FAD">
      <w:pPr>
        <w:jc w:val="center"/>
        <w:rPr>
          <w:rFonts w:ascii="Bookman Old Style" w:eastAsia="Bookman Old Style" w:hAnsi="Bookman Old Style" w:cs="Bookman Old Style"/>
          <w:b/>
        </w:rPr>
      </w:pPr>
    </w:p>
    <w:p w14:paraId="5E6CABF5" w14:textId="77777777" w:rsidR="00874FAD" w:rsidRDefault="00874FAD">
      <w:pPr>
        <w:jc w:val="center"/>
        <w:rPr>
          <w:rFonts w:ascii="Bookman Old Style" w:eastAsia="Bookman Old Style" w:hAnsi="Bookman Old Style" w:cs="Bookman Old Style"/>
          <w:b/>
        </w:rPr>
      </w:pPr>
    </w:p>
    <w:p w14:paraId="4CC6F2EE" w14:textId="5B4EAE5C" w:rsidR="00874FAD" w:rsidRDefault="002359B2" w:rsidP="002359B2">
      <w:pPr>
        <w:rPr>
          <w:rFonts w:ascii="Bookman Old Style" w:eastAsia="Bookman Old Style" w:hAnsi="Bookman Old Style" w:cs="Bookman Old Style"/>
          <w:b/>
        </w:rPr>
      </w:pPr>
      <w:r>
        <w:rPr>
          <w:rFonts w:ascii="Bookman Old Style" w:eastAsia="Bookman Old Style" w:hAnsi="Bookman Old Style" w:cs="Bookman Old Style"/>
          <w:b/>
        </w:rPr>
        <w:br w:type="page"/>
      </w:r>
    </w:p>
    <w:p w14:paraId="07626CCE" w14:textId="6822ACD2" w:rsidR="00874FAD" w:rsidRDefault="00000000">
      <w:pPr>
        <w:spacing w:after="12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PROYECTO DE LEY NO.</w:t>
      </w:r>
      <w:r w:rsidR="002359B2">
        <w:rPr>
          <w:rFonts w:ascii="Bookman Old Style" w:eastAsia="Bookman Old Style" w:hAnsi="Bookman Old Style" w:cs="Bookman Old Style"/>
          <w:b/>
          <w:sz w:val="24"/>
          <w:szCs w:val="24"/>
        </w:rPr>
        <w:t>333</w:t>
      </w:r>
      <w:r>
        <w:rPr>
          <w:rFonts w:ascii="Bookman Old Style" w:eastAsia="Bookman Old Style" w:hAnsi="Bookman Old Style" w:cs="Bookman Old Style"/>
          <w:b/>
          <w:sz w:val="24"/>
          <w:szCs w:val="24"/>
        </w:rPr>
        <w:t xml:space="preserve"> DE 2024</w:t>
      </w:r>
      <w:r w:rsidR="002359B2">
        <w:rPr>
          <w:rFonts w:ascii="Bookman Old Style" w:eastAsia="Bookman Old Style" w:hAnsi="Bookman Old Style" w:cs="Bookman Old Style"/>
          <w:b/>
          <w:sz w:val="24"/>
          <w:szCs w:val="24"/>
        </w:rPr>
        <w:t xml:space="preserve"> CÁMARA</w:t>
      </w:r>
    </w:p>
    <w:p w14:paraId="65F4D43B" w14:textId="77777777" w:rsidR="00874FAD" w:rsidRDefault="00874FAD">
      <w:pPr>
        <w:jc w:val="center"/>
        <w:rPr>
          <w:rFonts w:ascii="Bookman Old Style" w:eastAsia="Bookman Old Style" w:hAnsi="Bookman Old Style" w:cs="Bookman Old Style"/>
          <w:b/>
        </w:rPr>
      </w:pPr>
    </w:p>
    <w:p w14:paraId="7C7EBA84" w14:textId="77777777" w:rsidR="00874FAD" w:rsidRDefault="00000000">
      <w:pPr>
        <w:widowControl w:val="0"/>
        <w:spacing w:line="240" w:lineRule="auto"/>
        <w:ind w:right="37"/>
        <w:jc w:val="center"/>
        <w:rPr>
          <w:rFonts w:ascii="Bookman Old Style" w:eastAsia="Bookman Old Style" w:hAnsi="Bookman Old Style" w:cs="Bookman Old Style"/>
          <w:b/>
          <w:i/>
          <w:sz w:val="24"/>
          <w:szCs w:val="24"/>
        </w:rPr>
      </w:pPr>
      <w:r>
        <w:rPr>
          <w:rFonts w:ascii="Bookman Old Style" w:eastAsia="Bookman Old Style" w:hAnsi="Bookman Old Style" w:cs="Bookman Old Style"/>
          <w:b/>
          <w:i/>
          <w:sz w:val="24"/>
          <w:szCs w:val="24"/>
        </w:rPr>
        <w:t>"</w:t>
      </w:r>
      <w:r>
        <w:rPr>
          <w:rFonts w:ascii="Bookman Old Style" w:eastAsia="Bookman Old Style" w:hAnsi="Bookman Old Style" w:cs="Bookman Old Style"/>
          <w:b/>
          <w:i/>
          <w:color w:val="333333"/>
          <w:sz w:val="25"/>
          <w:szCs w:val="25"/>
          <w:highlight w:val="white"/>
        </w:rPr>
        <w:t>Por medio del cual se modifica la Ley 1229 de 2008 y se dictan otras disposiciones</w:t>
      </w:r>
      <w:r>
        <w:rPr>
          <w:rFonts w:ascii="Bookman Old Style" w:eastAsia="Bookman Old Style" w:hAnsi="Bookman Old Style" w:cs="Bookman Old Style"/>
          <w:b/>
          <w:i/>
          <w:sz w:val="24"/>
          <w:szCs w:val="24"/>
        </w:rPr>
        <w:t>” - Ley del profesional en construcción</w:t>
      </w:r>
    </w:p>
    <w:p w14:paraId="24C6470D" w14:textId="77777777" w:rsidR="00874FAD" w:rsidRDefault="00874FAD">
      <w:pPr>
        <w:jc w:val="center"/>
        <w:rPr>
          <w:rFonts w:ascii="Bookman Old Style" w:eastAsia="Bookman Old Style" w:hAnsi="Bookman Old Style" w:cs="Bookman Old Style"/>
          <w:b/>
        </w:rPr>
      </w:pPr>
    </w:p>
    <w:p w14:paraId="65A0832E" w14:textId="77777777" w:rsidR="00874FAD" w:rsidRDefault="00874FAD">
      <w:pPr>
        <w:spacing w:line="240" w:lineRule="auto"/>
        <w:ind w:left="720"/>
        <w:jc w:val="center"/>
        <w:rPr>
          <w:rFonts w:ascii="Bookman Old Style" w:eastAsia="Bookman Old Style" w:hAnsi="Bookman Old Style" w:cs="Bookman Old Style"/>
          <w:b/>
          <w:sz w:val="24"/>
          <w:szCs w:val="24"/>
          <w:u w:val="single"/>
        </w:rPr>
      </w:pPr>
    </w:p>
    <w:p w14:paraId="59D56429" w14:textId="77777777" w:rsidR="00874FAD" w:rsidRDefault="00000000">
      <w:pPr>
        <w:spacing w:after="16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 *</w:t>
      </w:r>
    </w:p>
    <w:p w14:paraId="6A705AAC" w14:textId="77777777" w:rsidR="00874FAD" w:rsidRDefault="00000000">
      <w:pPr>
        <w:spacing w:after="16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El Congreso de Colombia </w:t>
      </w:r>
    </w:p>
    <w:p w14:paraId="73537A42" w14:textId="77777777" w:rsidR="00874FAD" w:rsidRDefault="00000000">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4"/>
          <w:szCs w:val="24"/>
        </w:rPr>
        <w:t>DECRETA</w:t>
      </w:r>
    </w:p>
    <w:p w14:paraId="648626E4" w14:textId="77777777" w:rsidR="00874FAD" w:rsidRDefault="00874FAD">
      <w:pPr>
        <w:jc w:val="center"/>
        <w:rPr>
          <w:rFonts w:ascii="Bookman Old Style" w:eastAsia="Bookman Old Style" w:hAnsi="Bookman Old Style" w:cs="Bookman Old Style"/>
          <w:b/>
        </w:rPr>
      </w:pPr>
    </w:p>
    <w:p w14:paraId="098EEED8" w14:textId="77777777" w:rsidR="00874FAD" w:rsidRDefault="00874FAD">
      <w:pPr>
        <w:jc w:val="both"/>
        <w:rPr>
          <w:rFonts w:ascii="Bookman Old Style" w:eastAsia="Bookman Old Style" w:hAnsi="Bookman Old Style" w:cs="Bookman Old Style"/>
        </w:rPr>
      </w:pPr>
    </w:p>
    <w:p w14:paraId="4B6D8B2B" w14:textId="77777777" w:rsidR="00874FAD" w:rsidRDefault="00874FAD">
      <w:pPr>
        <w:jc w:val="both"/>
        <w:rPr>
          <w:rFonts w:ascii="Bookman Old Style" w:eastAsia="Bookman Old Style" w:hAnsi="Bookman Old Style" w:cs="Bookman Old Style"/>
        </w:rPr>
      </w:pPr>
    </w:p>
    <w:p w14:paraId="4480BB06"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1. Objeto</w:t>
      </w:r>
      <w:r>
        <w:rPr>
          <w:rFonts w:ascii="Bookman Old Style" w:eastAsia="Bookman Old Style" w:hAnsi="Bookman Old Style" w:cs="Bookman Old Style"/>
        </w:rPr>
        <w:t>: Modificar la Ley 1229 de 2008 que modificó la Ley 400 de 1997, para armonizar la legislación existente sobre el profesional en construcción y sus diferentes denominaciones en el país.</w:t>
      </w:r>
    </w:p>
    <w:p w14:paraId="1993BD2F" w14:textId="77777777" w:rsidR="00874FAD" w:rsidRDefault="00874FAD">
      <w:pPr>
        <w:jc w:val="both"/>
        <w:rPr>
          <w:rFonts w:ascii="Bookman Old Style" w:eastAsia="Bookman Old Style" w:hAnsi="Bookman Old Style" w:cs="Bookman Old Style"/>
        </w:rPr>
      </w:pPr>
    </w:p>
    <w:p w14:paraId="53CD6C0B"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Entiéndase por profesional en construcción a las carreras universitarias de nivel profesional cuya formación esté conforme con el artículo 4° de la ley 1229 de 2008. El Ministerio de Educación Nacional realizará los correspondientes registros reconociendo las diferentes denominaciones que, en el marco de la autonomía universitaria, cada institución de educación superior </w:t>
      </w:r>
      <w:proofErr w:type="gramStart"/>
      <w:r>
        <w:rPr>
          <w:rFonts w:ascii="Bookman Old Style" w:eastAsia="Bookman Old Style" w:hAnsi="Bookman Old Style" w:cs="Bookman Old Style"/>
        </w:rPr>
        <w:t>le</w:t>
      </w:r>
      <w:proofErr w:type="gramEnd"/>
      <w:r>
        <w:rPr>
          <w:rFonts w:ascii="Bookman Old Style" w:eastAsia="Bookman Old Style" w:hAnsi="Bookman Old Style" w:cs="Bookman Old Style"/>
        </w:rPr>
        <w:t xml:space="preserve"> dé a las carreras de profesional en construcción, siempre y cuando éstas cumplan con los requisitos correspondientes.</w:t>
      </w:r>
    </w:p>
    <w:p w14:paraId="0AB6D623" w14:textId="77777777" w:rsidR="00874FAD" w:rsidRDefault="00874FAD">
      <w:pPr>
        <w:jc w:val="both"/>
        <w:rPr>
          <w:rFonts w:ascii="Bookman Old Style" w:eastAsia="Bookman Old Style" w:hAnsi="Bookman Old Style" w:cs="Bookman Old Style"/>
        </w:rPr>
      </w:pPr>
    </w:p>
    <w:p w14:paraId="2341C506"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2.</w:t>
      </w:r>
      <w:r>
        <w:rPr>
          <w:rFonts w:ascii="Bookman Old Style" w:eastAsia="Bookman Old Style" w:hAnsi="Bookman Old Style" w:cs="Bookman Old Style"/>
        </w:rPr>
        <w:t xml:space="preserve"> Modifíquese el artículo 1° de la Ley 1229 de 2008 el cual quedará así: </w:t>
      </w:r>
    </w:p>
    <w:p w14:paraId="2D303586" w14:textId="77777777" w:rsidR="00874FAD" w:rsidRDefault="00874FAD">
      <w:pPr>
        <w:jc w:val="both"/>
        <w:rPr>
          <w:rFonts w:ascii="Bookman Old Style" w:eastAsia="Bookman Old Style" w:hAnsi="Bookman Old Style" w:cs="Bookman Old Style"/>
        </w:rPr>
      </w:pPr>
    </w:p>
    <w:p w14:paraId="2D820DF4" w14:textId="77777777" w:rsidR="00874FAD" w:rsidRDefault="00000000">
      <w:pPr>
        <w:ind w:left="720"/>
        <w:jc w:val="both"/>
        <w:rPr>
          <w:rFonts w:ascii="Bookman Old Style" w:eastAsia="Bookman Old Style" w:hAnsi="Bookman Old Style" w:cs="Bookman Old Style"/>
          <w:i/>
        </w:rPr>
      </w:pPr>
      <w:r>
        <w:rPr>
          <w:rFonts w:ascii="Bookman Old Style" w:eastAsia="Bookman Old Style" w:hAnsi="Bookman Old Style" w:cs="Bookman Old Style"/>
          <w:i/>
        </w:rPr>
        <w:t xml:space="preserve">Artículo 1°. El numeral 9 del artículo 4° de la Ley 400 de 1997, quedará así: </w:t>
      </w:r>
      <w:r>
        <w:rPr>
          <w:rFonts w:ascii="Bookman Old Style" w:eastAsia="Bookman Old Style" w:hAnsi="Bookman Old Style" w:cs="Bookman Old Style"/>
          <w:i/>
        </w:rPr>
        <w:br/>
      </w:r>
      <w:r>
        <w:rPr>
          <w:rFonts w:ascii="Bookman Old Style" w:eastAsia="Bookman Old Style" w:hAnsi="Bookman Old Style" w:cs="Bookman Old Style"/>
          <w:i/>
        </w:rPr>
        <w:br/>
        <w:t xml:space="preserve">CONSTRUCTOR. Es el profesional ingeniero civil, arquitecto o </w:t>
      </w:r>
      <w:r>
        <w:rPr>
          <w:rFonts w:ascii="Bookman Old Style" w:eastAsia="Bookman Old Style" w:hAnsi="Bookman Old Style" w:cs="Bookman Old Style"/>
          <w:b/>
          <w:i/>
        </w:rPr>
        <w:t>profesional en construcción</w:t>
      </w:r>
      <w:r>
        <w:rPr>
          <w:rFonts w:ascii="Bookman Old Style" w:eastAsia="Bookman Old Style" w:hAnsi="Bookman Old Style" w:cs="Bookman Old Style"/>
          <w:i/>
        </w:rPr>
        <w:t>, bajo cuya responsabilidad se adelanta la construcción de una edificación.</w:t>
      </w:r>
    </w:p>
    <w:p w14:paraId="715E0CEC" w14:textId="77777777" w:rsidR="00874FAD" w:rsidRDefault="00874FAD">
      <w:pPr>
        <w:jc w:val="both"/>
        <w:rPr>
          <w:rFonts w:ascii="Bookman Old Style" w:eastAsia="Bookman Old Style" w:hAnsi="Bookman Old Style" w:cs="Bookman Old Style"/>
        </w:rPr>
      </w:pPr>
    </w:p>
    <w:p w14:paraId="4022BE48"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3</w:t>
      </w:r>
      <w:r>
        <w:rPr>
          <w:rFonts w:ascii="Bookman Old Style" w:eastAsia="Bookman Old Style" w:hAnsi="Bookman Old Style" w:cs="Bookman Old Style"/>
        </w:rPr>
        <w:t xml:space="preserve">. Modifíquese el artículo 2° de la ley 1229 de 2008 el cual quedará así: </w:t>
      </w:r>
    </w:p>
    <w:p w14:paraId="0FEAB670" w14:textId="77777777" w:rsidR="00874FAD" w:rsidRDefault="00874FAD">
      <w:pPr>
        <w:jc w:val="both"/>
        <w:rPr>
          <w:rFonts w:ascii="Bookman Old Style" w:eastAsia="Bookman Old Style" w:hAnsi="Bookman Old Style" w:cs="Bookman Old Style"/>
        </w:rPr>
      </w:pPr>
    </w:p>
    <w:p w14:paraId="3A6597D7" w14:textId="77777777" w:rsidR="00874FAD" w:rsidRDefault="00000000">
      <w:pPr>
        <w:ind w:left="720" w:firstLine="720"/>
        <w:jc w:val="both"/>
        <w:rPr>
          <w:rFonts w:ascii="Bookman Old Style" w:eastAsia="Bookman Old Style" w:hAnsi="Bookman Old Style" w:cs="Bookman Old Style"/>
          <w:i/>
        </w:rPr>
      </w:pPr>
      <w:r>
        <w:rPr>
          <w:rFonts w:ascii="Bookman Old Style" w:eastAsia="Bookman Old Style" w:hAnsi="Bookman Old Style" w:cs="Bookman Old Style"/>
          <w:i/>
        </w:rPr>
        <w:t xml:space="preserve">Artículo 2°. El numeral 24 del artículo 4° de la Ley 400 de 1997, quedará así: </w:t>
      </w:r>
      <w:r>
        <w:rPr>
          <w:rFonts w:ascii="Bookman Old Style" w:eastAsia="Bookman Old Style" w:hAnsi="Bookman Old Style" w:cs="Bookman Old Style"/>
          <w:i/>
        </w:rPr>
        <w:br/>
      </w:r>
      <w:r>
        <w:rPr>
          <w:rFonts w:ascii="Bookman Old Style" w:eastAsia="Bookman Old Style" w:hAnsi="Bookman Old Style" w:cs="Bookman Old Style"/>
          <w:i/>
        </w:rPr>
        <w:br/>
        <w:t xml:space="preserve">INTERVENTOR. Es el profesional ingeniero civil, arquitecto o </w:t>
      </w:r>
      <w:r>
        <w:rPr>
          <w:rFonts w:ascii="Bookman Old Style" w:eastAsia="Bookman Old Style" w:hAnsi="Bookman Old Style" w:cs="Bookman Old Style"/>
          <w:b/>
          <w:i/>
        </w:rPr>
        <w:t>profesional en construcción</w:t>
      </w:r>
      <w:r>
        <w:rPr>
          <w:rFonts w:ascii="Bookman Old Style" w:eastAsia="Bookman Old Style" w:hAnsi="Bookman Old Style" w:cs="Bookman Old Style"/>
          <w:i/>
        </w:rPr>
        <w:t>, que representa al propietario durante la construcción de la edificación, bajo cuya responsabilidad se verifica que esta se adelante de acuerdo con todas las reglamentaciones correspondientes, siguiendo los planos, diseños y especificaciones realizados por los diseñadores.</w:t>
      </w:r>
    </w:p>
    <w:p w14:paraId="667EF2F0" w14:textId="77777777" w:rsidR="00874FAD" w:rsidRDefault="00874FAD">
      <w:pPr>
        <w:jc w:val="both"/>
        <w:rPr>
          <w:rFonts w:ascii="Bookman Old Style" w:eastAsia="Bookman Old Style" w:hAnsi="Bookman Old Style" w:cs="Bookman Old Style"/>
        </w:rPr>
      </w:pPr>
    </w:p>
    <w:p w14:paraId="2F3AC73E"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4</w:t>
      </w:r>
      <w:r>
        <w:rPr>
          <w:rFonts w:ascii="Bookman Old Style" w:eastAsia="Bookman Old Style" w:hAnsi="Bookman Old Style" w:cs="Bookman Old Style"/>
        </w:rPr>
        <w:t xml:space="preserve">. Modifíquese el artículo 3° de la ley 1229 de 2008 el cual quedará así: </w:t>
      </w:r>
    </w:p>
    <w:p w14:paraId="7CFA5822" w14:textId="77777777" w:rsidR="00874FAD" w:rsidRDefault="00874FAD">
      <w:pPr>
        <w:jc w:val="both"/>
        <w:rPr>
          <w:rFonts w:ascii="Bookman Old Style" w:eastAsia="Bookman Old Style" w:hAnsi="Bookman Old Style" w:cs="Bookman Old Style"/>
        </w:rPr>
      </w:pPr>
    </w:p>
    <w:p w14:paraId="2B13FC8D"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Artículo 3°. El numeral 41 del artículo 4° de la Ley 400 de 1997, quedará así: </w:t>
      </w:r>
    </w:p>
    <w:p w14:paraId="38CC6BCA"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SUPERVISOR TÉCNICO. Es el profesional, ingeniero civil, arquitecto o </w:t>
      </w:r>
      <w:r>
        <w:rPr>
          <w:rFonts w:ascii="Bookman Old Style" w:eastAsia="Bookman Old Style" w:hAnsi="Bookman Old Style" w:cs="Bookman Old Style"/>
          <w:b/>
        </w:rPr>
        <w:t>profesional en</w:t>
      </w:r>
      <w:r>
        <w:rPr>
          <w:rFonts w:ascii="Bookman Old Style" w:eastAsia="Bookman Old Style" w:hAnsi="Bookman Old Style" w:cs="Bookman Old Style"/>
        </w:rPr>
        <w:t xml:space="preserve"> </w:t>
      </w:r>
      <w:r>
        <w:rPr>
          <w:rFonts w:ascii="Bookman Old Style" w:eastAsia="Bookman Old Style" w:hAnsi="Bookman Old Style" w:cs="Bookman Old Style"/>
          <w:b/>
        </w:rPr>
        <w:t>construcción</w:t>
      </w:r>
      <w:r>
        <w:rPr>
          <w:rFonts w:ascii="Bookman Old Style" w:eastAsia="Bookman Old Style" w:hAnsi="Bookman Old Style" w:cs="Bookman Old Style"/>
        </w:rPr>
        <w:t>, bajo cuya responsabilidad se realiza la supervisión técnica. Parte de las labores de supervisión puede ser delegada por el supervisor en personal técnico auxiliar, el cual trabajará bajo su dirección y su responsabilidad. La Supervisión técnica puede ser realizada por el mismo profesional que efectúa la interventoría.</w:t>
      </w:r>
    </w:p>
    <w:p w14:paraId="154FF190" w14:textId="77777777" w:rsidR="00874FAD" w:rsidRDefault="00874FAD">
      <w:pPr>
        <w:ind w:left="720" w:firstLine="720"/>
        <w:jc w:val="both"/>
        <w:rPr>
          <w:rFonts w:ascii="Bookman Old Style" w:eastAsia="Bookman Old Style" w:hAnsi="Bookman Old Style" w:cs="Bookman Old Style"/>
        </w:rPr>
      </w:pPr>
    </w:p>
    <w:p w14:paraId="36F2D83C" w14:textId="77777777" w:rsidR="00874FAD" w:rsidRDefault="00874FAD">
      <w:pPr>
        <w:jc w:val="both"/>
        <w:rPr>
          <w:rFonts w:ascii="Bookman Old Style" w:eastAsia="Bookman Old Style" w:hAnsi="Bookman Old Style" w:cs="Bookman Old Style"/>
        </w:rPr>
      </w:pPr>
    </w:p>
    <w:p w14:paraId="1D5E551C"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5°.</w:t>
      </w:r>
      <w:r>
        <w:rPr>
          <w:rFonts w:ascii="Bookman Old Style" w:eastAsia="Bookman Old Style" w:hAnsi="Bookman Old Style" w:cs="Bookman Old Style"/>
        </w:rPr>
        <w:t xml:space="preserve"> Modifíquese el parágrafo 1° y el parágrafo 2° del artículo 4° de la ley 1229 de 2008 los cuales quedarán así: </w:t>
      </w:r>
    </w:p>
    <w:p w14:paraId="46F3C872" w14:textId="77777777" w:rsidR="00874FAD" w:rsidRDefault="00874FAD">
      <w:pPr>
        <w:jc w:val="both"/>
        <w:rPr>
          <w:rFonts w:ascii="Bookman Old Style" w:eastAsia="Bookman Old Style" w:hAnsi="Bookman Old Style" w:cs="Bookman Old Style"/>
        </w:rPr>
      </w:pPr>
    </w:p>
    <w:p w14:paraId="115D9CE0" w14:textId="77777777" w:rsidR="00874FAD" w:rsidRDefault="00000000">
      <w:pPr>
        <w:ind w:left="720" w:firstLine="720"/>
        <w:jc w:val="both"/>
        <w:rPr>
          <w:rFonts w:ascii="Bookman Old Style" w:eastAsia="Bookman Old Style" w:hAnsi="Bookman Old Style" w:cs="Bookman Old Style"/>
          <w:i/>
        </w:rPr>
      </w:pPr>
      <w:r>
        <w:rPr>
          <w:rFonts w:ascii="Bookman Old Style" w:eastAsia="Bookman Old Style" w:hAnsi="Bookman Old Style" w:cs="Bookman Old Style"/>
        </w:rPr>
        <w:t>P</w:t>
      </w:r>
      <w:r>
        <w:rPr>
          <w:rFonts w:ascii="Bookman Old Style" w:eastAsia="Bookman Old Style" w:hAnsi="Bookman Old Style" w:cs="Bookman Old Style"/>
          <w:i/>
        </w:rPr>
        <w:t xml:space="preserve">arágrafo 1°. Entiéndase por </w:t>
      </w:r>
      <w:r>
        <w:rPr>
          <w:rFonts w:ascii="Bookman Old Style" w:eastAsia="Bookman Old Style" w:hAnsi="Bookman Old Style" w:cs="Bookman Old Style"/>
          <w:b/>
          <w:i/>
        </w:rPr>
        <w:t>profesional en construcción</w:t>
      </w:r>
      <w:r>
        <w:rPr>
          <w:rFonts w:ascii="Bookman Old Style" w:eastAsia="Bookman Old Style" w:hAnsi="Bookman Old Style" w:cs="Bookman Old Style"/>
          <w:i/>
        </w:rPr>
        <w:t xml:space="preserve">, al profesional de nivel universitario </w:t>
      </w:r>
      <w:r>
        <w:rPr>
          <w:rFonts w:ascii="Bookman Old Style" w:eastAsia="Bookman Old Style" w:hAnsi="Bookman Old Style" w:cs="Bookman Old Style"/>
          <w:b/>
          <w:i/>
        </w:rPr>
        <w:t xml:space="preserve">con cualquier denominación afín </w:t>
      </w:r>
      <w:r>
        <w:rPr>
          <w:rFonts w:ascii="Bookman Old Style" w:eastAsia="Bookman Old Style" w:hAnsi="Bookman Old Style" w:cs="Bookman Old Style"/>
          <w:i/>
        </w:rPr>
        <w:t>cuya formación académica le habilita para:</w:t>
      </w:r>
    </w:p>
    <w:p w14:paraId="4F580096" w14:textId="77777777" w:rsidR="00874FAD" w:rsidRDefault="00874FAD">
      <w:pPr>
        <w:jc w:val="both"/>
        <w:rPr>
          <w:rFonts w:ascii="Bookman Old Style" w:eastAsia="Bookman Old Style" w:hAnsi="Bookman Old Style" w:cs="Bookman Old Style"/>
          <w:i/>
        </w:rPr>
      </w:pPr>
    </w:p>
    <w:p w14:paraId="7E1B51B5" w14:textId="77777777" w:rsidR="00874FAD" w:rsidRDefault="00000000">
      <w:pPr>
        <w:ind w:left="720"/>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791A7713" w14:textId="77777777" w:rsidR="00874FAD" w:rsidRDefault="00874FAD">
      <w:pPr>
        <w:jc w:val="both"/>
        <w:rPr>
          <w:rFonts w:ascii="Bookman Old Style" w:eastAsia="Bookman Old Style" w:hAnsi="Bookman Old Style" w:cs="Bookman Old Style"/>
          <w:i/>
        </w:rPr>
      </w:pPr>
    </w:p>
    <w:p w14:paraId="07570A85"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i/>
        </w:rPr>
        <w:t xml:space="preserve">Parágrafo 2°. A partir de la entrada en vigencia de la presente ley, las facultades que expidan títulos profesionales como </w:t>
      </w:r>
      <w:r>
        <w:rPr>
          <w:rFonts w:ascii="Bookman Old Style" w:eastAsia="Bookman Old Style" w:hAnsi="Bookman Old Style" w:cs="Bookman Old Style"/>
          <w:b/>
          <w:i/>
        </w:rPr>
        <w:t>profesional en construcción, o su denominación afín, deberán cumplir con las mismas competencias</w:t>
      </w:r>
      <w:r>
        <w:rPr>
          <w:rFonts w:ascii="Bookman Old Style" w:eastAsia="Bookman Old Style" w:hAnsi="Bookman Old Style" w:cs="Bookman Old Style"/>
          <w:i/>
        </w:rPr>
        <w:t xml:space="preserve"> en sismorresistencia que la establecida para la carrera profesional de Ingeniería Civil; esto con el fin de que sus egresados profesionales puedan cumplir con las actividades previstas en la Ley 400 de 1997</w:t>
      </w:r>
      <w:r>
        <w:rPr>
          <w:rFonts w:ascii="Bookman Old Style" w:eastAsia="Bookman Old Style" w:hAnsi="Bookman Old Style" w:cs="Bookman Old Style"/>
        </w:rPr>
        <w:t>.</w:t>
      </w:r>
    </w:p>
    <w:p w14:paraId="313B321C" w14:textId="77777777" w:rsidR="00874FAD" w:rsidRDefault="00874FAD">
      <w:pPr>
        <w:ind w:left="720" w:firstLine="720"/>
        <w:jc w:val="both"/>
        <w:rPr>
          <w:rFonts w:ascii="Bookman Old Style" w:eastAsia="Bookman Old Style" w:hAnsi="Bookman Old Style" w:cs="Bookman Old Style"/>
        </w:rPr>
      </w:pPr>
    </w:p>
    <w:p w14:paraId="46FE32F0" w14:textId="77777777" w:rsidR="00874FAD" w:rsidRDefault="00874FAD">
      <w:pPr>
        <w:jc w:val="both"/>
        <w:rPr>
          <w:rFonts w:ascii="Bookman Old Style" w:eastAsia="Bookman Old Style" w:hAnsi="Bookman Old Style" w:cs="Bookman Old Style"/>
        </w:rPr>
      </w:pPr>
    </w:p>
    <w:p w14:paraId="20F50811"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6°</w:t>
      </w:r>
      <w:r>
        <w:rPr>
          <w:rFonts w:ascii="Bookman Old Style" w:eastAsia="Bookman Old Style" w:hAnsi="Bookman Old Style" w:cs="Bookman Old Style"/>
        </w:rPr>
        <w:t xml:space="preserve">. Modifíquese el artículo 5° de la ley 1229 de 2008 el cual quedará así: </w:t>
      </w:r>
    </w:p>
    <w:p w14:paraId="734336B6" w14:textId="77777777" w:rsidR="00874FAD" w:rsidRDefault="00874FAD">
      <w:pPr>
        <w:jc w:val="both"/>
        <w:rPr>
          <w:rFonts w:ascii="Bookman Old Style" w:eastAsia="Bookman Old Style" w:hAnsi="Bookman Old Style" w:cs="Bookman Old Style"/>
        </w:rPr>
      </w:pPr>
    </w:p>
    <w:p w14:paraId="7496C958"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Artículo 5°. El artículo 33 de la Ley 400 de 1997, quedará así: DIRECTORES DE CONSTRUCCIÓN. El director de construcción debe ser un ingeniero civil, arquitecto, </w:t>
      </w:r>
      <w:r>
        <w:rPr>
          <w:rFonts w:ascii="Bookman Old Style" w:eastAsia="Bookman Old Style" w:hAnsi="Bookman Old Style" w:cs="Bookman Old Style"/>
          <w:b/>
        </w:rPr>
        <w:t>profesional en construcción</w:t>
      </w:r>
      <w:r>
        <w:rPr>
          <w:rFonts w:ascii="Bookman Old Style" w:eastAsia="Bookman Old Style" w:hAnsi="Bookman Old Style" w:cs="Bookman Old Style"/>
        </w:rPr>
        <w:t xml:space="preserve"> o Ingeniero mecánico en el caso de estructuras metálicas o prefabricadas, poseer matrícula profesional y acreditar ante la "Comisión Asesora Permanente para el Régimen de Construcciones Sismorresistentes" los requisitos de experiencia establecidos en el artículo 34 de la Ley 400/97.</w:t>
      </w:r>
    </w:p>
    <w:p w14:paraId="57B71E18"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rPr>
        <w:br/>
      </w:r>
    </w:p>
    <w:p w14:paraId="270A5291"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7°</w:t>
      </w:r>
      <w:r>
        <w:rPr>
          <w:rFonts w:ascii="Bookman Old Style" w:eastAsia="Bookman Old Style" w:hAnsi="Bookman Old Style" w:cs="Bookman Old Style"/>
        </w:rPr>
        <w:t xml:space="preserve"> Modifíquese el artículo 6° de la Ley 1229 de 2008 el cual quedará así: </w:t>
      </w:r>
    </w:p>
    <w:p w14:paraId="520E41F7" w14:textId="77777777" w:rsidR="00874FAD" w:rsidRDefault="00874FAD">
      <w:pPr>
        <w:jc w:val="both"/>
        <w:rPr>
          <w:rFonts w:ascii="Bookman Old Style" w:eastAsia="Bookman Old Style" w:hAnsi="Bookman Old Style" w:cs="Bookman Old Style"/>
        </w:rPr>
      </w:pPr>
    </w:p>
    <w:p w14:paraId="080590E7" w14:textId="77777777" w:rsidR="00874FAD" w:rsidRDefault="00000000">
      <w:pPr>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Artículo 6°. El artículo 35 de la Ley 400 de 1997, quedará así: SUPERVISORES TÉCNICOS. El supervisor técnico debe ser ingeniero civil, arquitecto o </w:t>
      </w:r>
      <w:r>
        <w:rPr>
          <w:rFonts w:ascii="Bookman Old Style" w:eastAsia="Bookman Old Style" w:hAnsi="Bookman Old Style" w:cs="Bookman Old Style"/>
          <w:b/>
        </w:rPr>
        <w:t>profesional en</w:t>
      </w:r>
      <w:r>
        <w:rPr>
          <w:rFonts w:ascii="Bookman Old Style" w:eastAsia="Bookman Old Style" w:hAnsi="Bookman Old Style" w:cs="Bookman Old Style"/>
        </w:rPr>
        <w:t xml:space="preserve"> </w:t>
      </w:r>
      <w:r>
        <w:rPr>
          <w:rFonts w:ascii="Bookman Old Style" w:eastAsia="Bookman Old Style" w:hAnsi="Bookman Old Style" w:cs="Bookman Old Style"/>
          <w:b/>
        </w:rPr>
        <w:t>construcción</w:t>
      </w:r>
      <w:r>
        <w:rPr>
          <w:rFonts w:ascii="Bookman Old Style" w:eastAsia="Bookman Old Style" w:hAnsi="Bookman Old Style" w:cs="Bookman Old Style"/>
        </w:rPr>
        <w:t xml:space="preserve">. Sólo para el caso de estructuras metálicas podrá ser ingeniero mecánico. Deberá poseer matrícula profesional y acreditar ante la "Comisión Asesora Permanente para el Régimen de </w:t>
      </w:r>
      <w:r>
        <w:rPr>
          <w:rFonts w:ascii="Bookman Old Style" w:eastAsia="Bookman Old Style" w:hAnsi="Bookman Old Style" w:cs="Bookman Old Style"/>
        </w:rPr>
        <w:lastRenderedPageBreak/>
        <w:t>Construcciones Sismorresistentes", los requisitos de experiencia e idoneidad establecidos en el artículo 36 de la Ley 400/97.</w:t>
      </w:r>
    </w:p>
    <w:p w14:paraId="58949E2C" w14:textId="77777777" w:rsidR="00874FAD" w:rsidRDefault="00874FAD">
      <w:pPr>
        <w:jc w:val="both"/>
        <w:rPr>
          <w:rFonts w:ascii="Bookman Old Style" w:eastAsia="Bookman Old Style" w:hAnsi="Bookman Old Style" w:cs="Bookman Old Style"/>
        </w:rPr>
      </w:pPr>
    </w:p>
    <w:p w14:paraId="5884D6EC"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 xml:space="preserve">Artículo 8. Matrícula profesional: </w:t>
      </w:r>
      <w:r>
        <w:rPr>
          <w:rFonts w:ascii="Bookman Old Style" w:eastAsia="Bookman Old Style" w:hAnsi="Bookman Old Style" w:cs="Bookman Old Style"/>
        </w:rPr>
        <w:t xml:space="preserve">ordénese al Consejo Profesional Nacional de Ingeniería - COPNIA a emitir matrícula profesional y hacer el correspondiente registro en el RUNPA a los profesionales en construcción, sea </w:t>
      </w:r>
      <w:proofErr w:type="spellStart"/>
      <w:r>
        <w:rPr>
          <w:rFonts w:ascii="Bookman Old Style" w:eastAsia="Bookman Old Style" w:hAnsi="Bookman Old Style" w:cs="Bookman Old Style"/>
        </w:rPr>
        <w:t>cuál</w:t>
      </w:r>
      <w:proofErr w:type="spellEnd"/>
      <w:r>
        <w:rPr>
          <w:rFonts w:ascii="Bookman Old Style" w:eastAsia="Bookman Old Style" w:hAnsi="Bookman Old Style" w:cs="Bookman Old Style"/>
        </w:rPr>
        <w:t xml:space="preserve"> sea su denominación particular, que acrediten formación conforme al artículo 4° de la ley 1229 de 2008. </w:t>
      </w:r>
    </w:p>
    <w:p w14:paraId="7B360CDF" w14:textId="77777777" w:rsidR="00874FAD" w:rsidRDefault="00874FAD">
      <w:pPr>
        <w:jc w:val="both"/>
        <w:rPr>
          <w:rFonts w:ascii="Bookman Old Style" w:eastAsia="Bookman Old Style" w:hAnsi="Bookman Old Style" w:cs="Bookman Old Style"/>
        </w:rPr>
      </w:pPr>
    </w:p>
    <w:p w14:paraId="6398D1DA"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Artículo 9. Vigencia y derogatorias</w:t>
      </w:r>
      <w:r>
        <w:rPr>
          <w:rFonts w:ascii="Bookman Old Style" w:eastAsia="Bookman Old Style" w:hAnsi="Bookman Old Style" w:cs="Bookman Old Style"/>
        </w:rPr>
        <w:t xml:space="preserve">. La presente ley rige a partir de su promulgación y deroga las disposiciones que le sean contrarias. </w:t>
      </w:r>
    </w:p>
    <w:p w14:paraId="78B7885C" w14:textId="77777777" w:rsidR="00874FAD" w:rsidRDefault="00874FAD">
      <w:pPr>
        <w:jc w:val="center"/>
        <w:rPr>
          <w:rFonts w:ascii="Bookman Old Style" w:eastAsia="Bookman Old Style" w:hAnsi="Bookman Old Style" w:cs="Bookman Old Style"/>
          <w:b/>
        </w:rPr>
      </w:pPr>
    </w:p>
    <w:p w14:paraId="33F72E67" w14:textId="77777777" w:rsidR="00874FAD" w:rsidRDefault="00874FAD">
      <w:pPr>
        <w:jc w:val="center"/>
        <w:rPr>
          <w:rFonts w:ascii="Bookman Old Style" w:eastAsia="Bookman Old Style" w:hAnsi="Bookman Old Style" w:cs="Bookman Old Style"/>
          <w:b/>
        </w:rPr>
      </w:pPr>
    </w:p>
    <w:p w14:paraId="2CBBFE5C" w14:textId="77777777" w:rsidR="00874FAD" w:rsidRDefault="00874FAD">
      <w:pPr>
        <w:jc w:val="center"/>
        <w:rPr>
          <w:rFonts w:ascii="Bookman Old Style" w:eastAsia="Bookman Old Style" w:hAnsi="Bookman Old Style" w:cs="Bookman Old Style"/>
          <w:b/>
        </w:rPr>
      </w:pPr>
    </w:p>
    <w:p w14:paraId="4319DA33" w14:textId="77777777" w:rsidR="00874FAD" w:rsidRDefault="00874FAD">
      <w:pPr>
        <w:rPr>
          <w:rFonts w:ascii="Bookman Old Style" w:eastAsia="Bookman Old Style" w:hAnsi="Bookman Old Style" w:cs="Bookman Old Style"/>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74FAD" w14:paraId="698C05FD" w14:textId="77777777" w:rsidTr="002359B2">
        <w:tc>
          <w:tcPr>
            <w:tcW w:w="4514" w:type="dxa"/>
            <w:shd w:val="clear" w:color="auto" w:fill="auto"/>
            <w:tcMar>
              <w:top w:w="100" w:type="dxa"/>
              <w:left w:w="100" w:type="dxa"/>
              <w:bottom w:w="100" w:type="dxa"/>
              <w:right w:w="100" w:type="dxa"/>
            </w:tcMar>
          </w:tcPr>
          <w:p w14:paraId="51D4BB01" w14:textId="440FFA29"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6E403371" wp14:editId="30026339">
                  <wp:extent cx="2724150" cy="13208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724150" cy="1320800"/>
                          </a:xfrm>
                          <a:prstGeom prst="rect">
                            <a:avLst/>
                          </a:prstGeom>
                          <a:ln/>
                        </pic:spPr>
                      </pic:pic>
                    </a:graphicData>
                  </a:graphic>
                </wp:inline>
              </w:drawing>
            </w:r>
          </w:p>
          <w:p w14:paraId="69170574"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b/>
              </w:rPr>
              <w:t>DANIEL CARVALHO MEJÍA</w:t>
            </w:r>
            <w:r>
              <w:rPr>
                <w:rFonts w:ascii="Bookman Old Style" w:eastAsia="Bookman Old Style" w:hAnsi="Bookman Old Style" w:cs="Bookman Old Style"/>
              </w:rPr>
              <w:t xml:space="preserve"> </w:t>
            </w:r>
            <w:r>
              <w:rPr>
                <w:rFonts w:ascii="Bookman Old Style" w:eastAsia="Bookman Old Style" w:hAnsi="Bookman Old Style" w:cs="Bookman Old Style"/>
              </w:rPr>
              <w:br/>
              <w:t xml:space="preserve">Representante a la Cámara </w:t>
            </w:r>
          </w:p>
        </w:tc>
        <w:tc>
          <w:tcPr>
            <w:tcW w:w="4515" w:type="dxa"/>
            <w:shd w:val="clear" w:color="auto" w:fill="auto"/>
            <w:tcMar>
              <w:top w:w="100" w:type="dxa"/>
              <w:left w:w="100" w:type="dxa"/>
              <w:bottom w:w="100" w:type="dxa"/>
              <w:right w:w="100" w:type="dxa"/>
            </w:tcMar>
          </w:tcPr>
          <w:p w14:paraId="33392927" w14:textId="77777777" w:rsidR="00874FAD" w:rsidRDefault="00874FAD">
            <w:pPr>
              <w:widowControl w:val="0"/>
              <w:spacing w:line="240" w:lineRule="auto"/>
              <w:rPr>
                <w:rFonts w:ascii="Bookman Old Style" w:eastAsia="Bookman Old Style" w:hAnsi="Bookman Old Style" w:cs="Bookman Old Style"/>
                <w:b/>
              </w:rPr>
            </w:pPr>
          </w:p>
          <w:p w14:paraId="32EC9A3B" w14:textId="77777777" w:rsidR="00874FAD" w:rsidRDefault="00874FAD">
            <w:pPr>
              <w:widowControl w:val="0"/>
              <w:spacing w:line="240" w:lineRule="auto"/>
              <w:rPr>
                <w:rFonts w:ascii="Bookman Old Style" w:eastAsia="Bookman Old Style" w:hAnsi="Bookman Old Style" w:cs="Bookman Old Style"/>
                <w:b/>
              </w:rPr>
            </w:pPr>
          </w:p>
          <w:p w14:paraId="39E593D7" w14:textId="77777777" w:rsidR="00874FAD" w:rsidRDefault="00000000">
            <w:pPr>
              <w:widowControl w:val="0"/>
              <w:spacing w:line="240" w:lineRule="auto"/>
              <w:rPr>
                <w:rFonts w:ascii="Bookman Old Style" w:eastAsia="Bookman Old Style" w:hAnsi="Bookman Old Style" w:cs="Bookman Old Style"/>
                <w:b/>
              </w:rPr>
            </w:pPr>
            <w:r>
              <w:rPr>
                <w:noProof/>
              </w:rPr>
              <w:drawing>
                <wp:anchor distT="114300" distB="114300" distL="114300" distR="114300" simplePos="0" relativeHeight="251659264" behindDoc="0" locked="0" layoutInCell="1" hidden="0" allowOverlap="1" wp14:anchorId="66A54E35" wp14:editId="6EB6328C">
                  <wp:simplePos x="0" y="0"/>
                  <wp:positionH relativeFrom="column">
                    <wp:posOffset>381000</wp:posOffset>
                  </wp:positionH>
                  <wp:positionV relativeFrom="paragraph">
                    <wp:posOffset>157807</wp:posOffset>
                  </wp:positionV>
                  <wp:extent cx="1828800" cy="92392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28800" cy="923925"/>
                          </a:xfrm>
                          <a:prstGeom prst="rect">
                            <a:avLst/>
                          </a:prstGeom>
                          <a:ln/>
                        </pic:spPr>
                      </pic:pic>
                    </a:graphicData>
                  </a:graphic>
                </wp:anchor>
              </w:drawing>
            </w:r>
          </w:p>
          <w:p w14:paraId="376560BE" w14:textId="77777777" w:rsidR="00874FAD" w:rsidRDefault="00874FAD">
            <w:pPr>
              <w:widowControl w:val="0"/>
              <w:spacing w:line="240" w:lineRule="auto"/>
              <w:rPr>
                <w:rFonts w:ascii="Bookman Old Style" w:eastAsia="Bookman Old Style" w:hAnsi="Bookman Old Style" w:cs="Bookman Old Style"/>
                <w:b/>
              </w:rPr>
            </w:pPr>
          </w:p>
          <w:p w14:paraId="473D375C" w14:textId="77777777" w:rsidR="00874FAD" w:rsidRDefault="00874FAD">
            <w:pPr>
              <w:widowControl w:val="0"/>
              <w:spacing w:line="240" w:lineRule="auto"/>
              <w:rPr>
                <w:rFonts w:ascii="Bookman Old Style" w:eastAsia="Bookman Old Style" w:hAnsi="Bookman Old Style" w:cs="Bookman Old Style"/>
                <w:b/>
              </w:rPr>
            </w:pPr>
          </w:p>
          <w:p w14:paraId="12819233" w14:textId="77777777" w:rsidR="00874FAD" w:rsidRDefault="00874FAD">
            <w:pPr>
              <w:widowControl w:val="0"/>
              <w:spacing w:line="240" w:lineRule="auto"/>
              <w:rPr>
                <w:rFonts w:ascii="Bookman Old Style" w:eastAsia="Bookman Old Style" w:hAnsi="Bookman Old Style" w:cs="Bookman Old Style"/>
                <w:b/>
              </w:rPr>
            </w:pPr>
          </w:p>
          <w:p w14:paraId="0FD276D6" w14:textId="77777777" w:rsidR="00874FAD" w:rsidRDefault="00874FAD">
            <w:pPr>
              <w:widowControl w:val="0"/>
              <w:spacing w:line="240" w:lineRule="auto"/>
              <w:rPr>
                <w:rFonts w:ascii="Bookman Old Style" w:eastAsia="Bookman Old Style" w:hAnsi="Bookman Old Style" w:cs="Bookman Old Style"/>
                <w:b/>
              </w:rPr>
            </w:pPr>
          </w:p>
          <w:p w14:paraId="1825AE16"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b/>
              </w:rPr>
              <w:t>DIEGO FERNANDO CAICEDO NAVAS</w:t>
            </w:r>
            <w:r>
              <w:rPr>
                <w:rFonts w:ascii="Bookman Old Style" w:eastAsia="Bookman Old Style" w:hAnsi="Bookman Old Style" w:cs="Bookman Old Style"/>
              </w:rPr>
              <w:t xml:space="preserve"> </w:t>
            </w:r>
            <w:r>
              <w:rPr>
                <w:rFonts w:ascii="Bookman Old Style" w:eastAsia="Bookman Old Style" w:hAnsi="Bookman Old Style" w:cs="Bookman Old Style"/>
              </w:rPr>
              <w:br/>
              <w:t>Representante a la Cámara</w:t>
            </w:r>
          </w:p>
          <w:p w14:paraId="78943A43" w14:textId="77777777" w:rsidR="00874FAD" w:rsidRDefault="00874FAD">
            <w:pPr>
              <w:widowControl w:val="0"/>
              <w:spacing w:line="240" w:lineRule="auto"/>
              <w:rPr>
                <w:rFonts w:ascii="Bookman Old Style" w:eastAsia="Bookman Old Style" w:hAnsi="Bookman Old Style" w:cs="Bookman Old Style"/>
              </w:rPr>
            </w:pPr>
          </w:p>
        </w:tc>
      </w:tr>
      <w:tr w:rsidR="00874FAD" w14:paraId="5D2BD823" w14:textId="77777777" w:rsidTr="002359B2">
        <w:tc>
          <w:tcPr>
            <w:tcW w:w="4514" w:type="dxa"/>
            <w:shd w:val="clear" w:color="auto" w:fill="auto"/>
            <w:tcMar>
              <w:top w:w="100" w:type="dxa"/>
              <w:left w:w="100" w:type="dxa"/>
              <w:bottom w:w="100" w:type="dxa"/>
              <w:right w:w="100" w:type="dxa"/>
            </w:tcMar>
          </w:tcPr>
          <w:p w14:paraId="3BCE993F" w14:textId="77777777" w:rsidR="00874FAD" w:rsidRDefault="00874FAD">
            <w:pPr>
              <w:widowControl w:val="0"/>
              <w:spacing w:line="240" w:lineRule="auto"/>
              <w:rPr>
                <w:rFonts w:ascii="Bookman Old Style" w:eastAsia="Bookman Old Style" w:hAnsi="Bookman Old Style" w:cs="Bookman Old Style"/>
              </w:rPr>
            </w:pPr>
          </w:p>
          <w:p w14:paraId="7FD9D3A9" w14:textId="77777777" w:rsidR="00874FAD" w:rsidRDefault="00874FAD">
            <w:pPr>
              <w:widowControl w:val="0"/>
              <w:spacing w:line="240" w:lineRule="auto"/>
              <w:rPr>
                <w:rFonts w:ascii="Bookman Old Style" w:eastAsia="Bookman Old Style" w:hAnsi="Bookman Old Style" w:cs="Bookman Old Style"/>
              </w:rPr>
            </w:pPr>
          </w:p>
          <w:p w14:paraId="6299E910"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     </w:t>
            </w:r>
            <w:r>
              <w:rPr>
                <w:rFonts w:ascii="Bookman Old Style" w:eastAsia="Bookman Old Style" w:hAnsi="Bookman Old Style" w:cs="Bookman Old Style"/>
                <w:noProof/>
              </w:rPr>
              <w:drawing>
                <wp:inline distT="114300" distB="114300" distL="114300" distR="114300" wp14:anchorId="5EBE2942" wp14:editId="4041A151">
                  <wp:extent cx="1771650" cy="6381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771650" cy="638175"/>
                          </a:xfrm>
                          <a:prstGeom prst="rect">
                            <a:avLst/>
                          </a:prstGeom>
                          <a:ln/>
                        </pic:spPr>
                      </pic:pic>
                    </a:graphicData>
                  </a:graphic>
                </wp:inline>
              </w:drawing>
            </w:r>
          </w:p>
          <w:p w14:paraId="458EEF97" w14:textId="77777777" w:rsidR="00874FAD" w:rsidRDefault="00000000">
            <w:pPr>
              <w:widowControl w:val="0"/>
              <w:spacing w:line="240" w:lineRule="auto"/>
              <w:rPr>
                <w:rFonts w:ascii="Bookman Old Style" w:eastAsia="Bookman Old Style" w:hAnsi="Bookman Old Style" w:cs="Bookman Old Style"/>
                <w:b/>
              </w:rPr>
            </w:pPr>
            <w:r>
              <w:rPr>
                <w:rFonts w:ascii="Bookman Old Style" w:eastAsia="Bookman Old Style" w:hAnsi="Bookman Old Style" w:cs="Bookman Old Style"/>
              </w:rPr>
              <w:t xml:space="preserve">     </w:t>
            </w:r>
            <w:r>
              <w:rPr>
                <w:rFonts w:ascii="Bookman Old Style" w:eastAsia="Bookman Old Style" w:hAnsi="Bookman Old Style" w:cs="Bookman Old Style"/>
                <w:b/>
              </w:rPr>
              <w:t>Senador de la República</w:t>
            </w:r>
          </w:p>
          <w:p w14:paraId="178A5976" w14:textId="77777777" w:rsidR="00874FAD" w:rsidRDefault="00874FAD">
            <w:pPr>
              <w:widowControl w:val="0"/>
              <w:spacing w:line="240" w:lineRule="auto"/>
              <w:rPr>
                <w:rFonts w:ascii="Bookman Old Style" w:eastAsia="Bookman Old Style" w:hAnsi="Bookman Old Style" w:cs="Bookman Old Style"/>
                <w:b/>
              </w:rPr>
            </w:pPr>
          </w:p>
          <w:p w14:paraId="3196C308" w14:textId="77777777" w:rsidR="00874FAD" w:rsidRDefault="00874FAD">
            <w:pPr>
              <w:widowControl w:val="0"/>
              <w:spacing w:line="240" w:lineRule="auto"/>
              <w:rPr>
                <w:rFonts w:ascii="Bookman Old Style" w:eastAsia="Bookman Old Style" w:hAnsi="Bookman Old Style" w:cs="Bookman Old Style"/>
              </w:rPr>
            </w:pPr>
          </w:p>
          <w:p w14:paraId="7FC4E876" w14:textId="77777777" w:rsidR="00874FAD" w:rsidRDefault="00874FAD">
            <w:pPr>
              <w:widowControl w:val="0"/>
              <w:spacing w:line="240" w:lineRule="auto"/>
              <w:rPr>
                <w:rFonts w:ascii="Bookman Old Style" w:eastAsia="Bookman Old Style" w:hAnsi="Bookman Old Style" w:cs="Bookman Old Style"/>
              </w:rPr>
            </w:pPr>
          </w:p>
          <w:p w14:paraId="4016FFE9" w14:textId="77777777" w:rsidR="00874FAD" w:rsidRDefault="00874FAD">
            <w:pPr>
              <w:widowControl w:val="0"/>
              <w:spacing w:line="240" w:lineRule="auto"/>
              <w:rPr>
                <w:rFonts w:ascii="Bookman Old Style" w:eastAsia="Bookman Old Style" w:hAnsi="Bookman Old Style" w:cs="Bookman Old Style"/>
              </w:rPr>
            </w:pPr>
          </w:p>
        </w:tc>
        <w:tc>
          <w:tcPr>
            <w:tcW w:w="4515" w:type="dxa"/>
            <w:shd w:val="clear" w:color="auto" w:fill="auto"/>
            <w:tcMar>
              <w:top w:w="100" w:type="dxa"/>
              <w:left w:w="100" w:type="dxa"/>
              <w:bottom w:w="100" w:type="dxa"/>
              <w:right w:w="100" w:type="dxa"/>
            </w:tcMar>
          </w:tcPr>
          <w:p w14:paraId="4D647006"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30D6802F" wp14:editId="30006A29">
                  <wp:extent cx="2343150" cy="16573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43150" cy="1657350"/>
                          </a:xfrm>
                          <a:prstGeom prst="rect">
                            <a:avLst/>
                          </a:prstGeom>
                          <a:ln/>
                        </pic:spPr>
                      </pic:pic>
                    </a:graphicData>
                  </a:graphic>
                </wp:inline>
              </w:drawing>
            </w:r>
          </w:p>
          <w:p w14:paraId="212A82FA"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LUIS CARLO OCHOA TOBON</w:t>
            </w:r>
          </w:p>
          <w:p w14:paraId="76EF80C4"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CAMARA</w:t>
            </w:r>
          </w:p>
        </w:tc>
      </w:tr>
      <w:tr w:rsidR="00874FAD" w14:paraId="39D99D70" w14:textId="77777777" w:rsidTr="002359B2">
        <w:tc>
          <w:tcPr>
            <w:tcW w:w="4514" w:type="dxa"/>
            <w:shd w:val="clear" w:color="auto" w:fill="auto"/>
            <w:tcMar>
              <w:top w:w="100" w:type="dxa"/>
              <w:left w:w="100" w:type="dxa"/>
              <w:bottom w:w="100" w:type="dxa"/>
              <w:right w:w="100" w:type="dxa"/>
            </w:tcMar>
          </w:tcPr>
          <w:p w14:paraId="760F9725" w14:textId="77777777" w:rsidR="00874FAD" w:rsidRDefault="00874FAD">
            <w:pPr>
              <w:widowControl w:val="0"/>
              <w:spacing w:line="240" w:lineRule="auto"/>
              <w:rPr>
                <w:rFonts w:ascii="Bookman Old Style" w:eastAsia="Bookman Old Style" w:hAnsi="Bookman Old Style" w:cs="Bookman Old Style"/>
              </w:rPr>
            </w:pPr>
          </w:p>
          <w:p w14:paraId="4F265DE0"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1AF56DA1" wp14:editId="547B7EF2">
                  <wp:extent cx="2724150" cy="8382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24150" cy="838200"/>
                          </a:xfrm>
                          <a:prstGeom prst="rect">
                            <a:avLst/>
                          </a:prstGeom>
                          <a:ln/>
                        </pic:spPr>
                      </pic:pic>
                    </a:graphicData>
                  </a:graphic>
                </wp:inline>
              </w:drawing>
            </w:r>
          </w:p>
          <w:p w14:paraId="0DEC48E6" w14:textId="77777777" w:rsidR="00874FAD" w:rsidRDefault="00000000">
            <w:pPr>
              <w:widowControl w:val="0"/>
              <w:spacing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Elkin Rodolfo Ospina </w:t>
            </w:r>
            <w:proofErr w:type="spellStart"/>
            <w:r>
              <w:rPr>
                <w:rFonts w:ascii="Bookman Old Style" w:eastAsia="Bookman Old Style" w:hAnsi="Bookman Old Style" w:cs="Bookman Old Style"/>
                <w:b/>
              </w:rPr>
              <w:t>Ospina</w:t>
            </w:r>
            <w:proofErr w:type="spellEnd"/>
          </w:p>
          <w:p w14:paraId="3CB54FF5" w14:textId="77777777" w:rsidR="00874FAD" w:rsidRDefault="00000000">
            <w:pPr>
              <w:widowControl w:val="0"/>
              <w:spacing w:line="240" w:lineRule="auto"/>
              <w:rPr>
                <w:rFonts w:ascii="Bookman Old Style" w:eastAsia="Bookman Old Style" w:hAnsi="Bookman Old Style" w:cs="Bookman Old Style"/>
                <w:b/>
                <w:sz w:val="18"/>
                <w:szCs w:val="18"/>
              </w:rPr>
            </w:pPr>
            <w:proofErr w:type="spellStart"/>
            <w:r>
              <w:rPr>
                <w:rFonts w:ascii="Bookman Old Style" w:eastAsia="Bookman Old Style" w:hAnsi="Bookman Old Style" w:cs="Bookman Old Style"/>
                <w:b/>
                <w:sz w:val="18"/>
                <w:szCs w:val="18"/>
              </w:rPr>
              <w:t>Respresentante</w:t>
            </w:r>
            <w:proofErr w:type="spellEnd"/>
            <w:r>
              <w:rPr>
                <w:rFonts w:ascii="Bookman Old Style" w:eastAsia="Bookman Old Style" w:hAnsi="Bookman Old Style" w:cs="Bookman Old Style"/>
                <w:b/>
                <w:sz w:val="18"/>
                <w:szCs w:val="18"/>
              </w:rPr>
              <w:t xml:space="preserve"> a la Cámara por Antioquia</w:t>
            </w:r>
          </w:p>
          <w:p w14:paraId="12C950E2" w14:textId="77777777" w:rsidR="00874FAD" w:rsidRDefault="00000000">
            <w:pPr>
              <w:widowControl w:val="0"/>
              <w:spacing w:line="240" w:lineRule="auto"/>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Partido Alianza Verde</w:t>
            </w:r>
          </w:p>
          <w:p w14:paraId="5030B0A3" w14:textId="77777777" w:rsidR="00874FAD" w:rsidRDefault="00874FAD">
            <w:pPr>
              <w:widowControl w:val="0"/>
              <w:spacing w:line="240" w:lineRule="auto"/>
              <w:rPr>
                <w:rFonts w:ascii="Bookman Old Style" w:eastAsia="Bookman Old Style" w:hAnsi="Bookman Old Style" w:cs="Bookman Old Style"/>
              </w:rPr>
            </w:pPr>
          </w:p>
          <w:p w14:paraId="76F54271" w14:textId="77777777" w:rsidR="00874FAD" w:rsidRDefault="00874FAD">
            <w:pPr>
              <w:widowControl w:val="0"/>
              <w:spacing w:line="240" w:lineRule="auto"/>
              <w:rPr>
                <w:rFonts w:ascii="Bookman Old Style" w:eastAsia="Bookman Old Style" w:hAnsi="Bookman Old Style" w:cs="Bookman Old Style"/>
              </w:rPr>
            </w:pPr>
          </w:p>
          <w:p w14:paraId="3A02D21A" w14:textId="77777777" w:rsidR="00874FAD" w:rsidRDefault="00874FAD">
            <w:pPr>
              <w:widowControl w:val="0"/>
              <w:spacing w:line="240" w:lineRule="auto"/>
              <w:rPr>
                <w:rFonts w:ascii="Bookman Old Style" w:eastAsia="Bookman Old Style" w:hAnsi="Bookman Old Style" w:cs="Bookman Old Style"/>
              </w:rPr>
            </w:pPr>
          </w:p>
        </w:tc>
        <w:tc>
          <w:tcPr>
            <w:tcW w:w="4515" w:type="dxa"/>
            <w:shd w:val="clear" w:color="auto" w:fill="auto"/>
            <w:tcMar>
              <w:top w:w="100" w:type="dxa"/>
              <w:left w:w="100" w:type="dxa"/>
              <w:bottom w:w="100" w:type="dxa"/>
              <w:right w:w="100" w:type="dxa"/>
            </w:tcMar>
          </w:tcPr>
          <w:p w14:paraId="1942FC66" w14:textId="77777777" w:rsidR="00874FAD" w:rsidRDefault="00874FAD">
            <w:pPr>
              <w:widowControl w:val="0"/>
              <w:spacing w:line="240" w:lineRule="auto"/>
              <w:rPr>
                <w:rFonts w:ascii="Bookman Old Style" w:eastAsia="Bookman Old Style" w:hAnsi="Bookman Old Style" w:cs="Bookman Old Style"/>
              </w:rPr>
            </w:pPr>
          </w:p>
        </w:tc>
      </w:tr>
    </w:tbl>
    <w:p w14:paraId="3E3C73F8" w14:textId="77777777" w:rsidR="00874FAD" w:rsidRDefault="00874FAD" w:rsidP="002359B2">
      <w:pPr>
        <w:rPr>
          <w:rFonts w:ascii="Bookman Old Style" w:eastAsia="Bookman Old Style" w:hAnsi="Bookman Old Style" w:cs="Bookman Old Style"/>
          <w:b/>
        </w:rPr>
      </w:pPr>
    </w:p>
    <w:p w14:paraId="3039D6FF" w14:textId="77777777" w:rsidR="00874FAD" w:rsidRDefault="00874FAD">
      <w:pPr>
        <w:jc w:val="center"/>
        <w:rPr>
          <w:rFonts w:ascii="Bookman Old Style" w:eastAsia="Bookman Old Style" w:hAnsi="Bookman Old Style" w:cs="Bookman Old Style"/>
          <w:b/>
        </w:rPr>
      </w:pPr>
    </w:p>
    <w:p w14:paraId="35F9CFAD" w14:textId="77777777" w:rsidR="00874FAD" w:rsidRDefault="00000000">
      <w:pPr>
        <w:jc w:val="center"/>
        <w:rPr>
          <w:rFonts w:ascii="Bookman Old Style" w:eastAsia="Bookman Old Style" w:hAnsi="Bookman Old Style" w:cs="Bookman Old Style"/>
          <w:b/>
        </w:rPr>
      </w:pPr>
      <w:r>
        <w:rPr>
          <w:rFonts w:ascii="Bookman Old Style" w:eastAsia="Bookman Old Style" w:hAnsi="Bookman Old Style" w:cs="Bookman Old Style"/>
          <w:b/>
        </w:rPr>
        <w:t xml:space="preserve">EXPOSICIÓN DE MOTIVOS </w:t>
      </w:r>
    </w:p>
    <w:p w14:paraId="4BA0EDEC" w14:textId="77777777" w:rsidR="00874FAD" w:rsidRDefault="00874FAD">
      <w:pPr>
        <w:jc w:val="center"/>
        <w:rPr>
          <w:rFonts w:ascii="Bookman Old Style" w:eastAsia="Bookman Old Style" w:hAnsi="Bookman Old Style" w:cs="Bookman Old Style"/>
          <w:b/>
        </w:rPr>
      </w:pPr>
    </w:p>
    <w:p w14:paraId="77D45AE9" w14:textId="77777777" w:rsidR="00874FAD" w:rsidRDefault="00874FAD">
      <w:pPr>
        <w:rPr>
          <w:rFonts w:ascii="Bookman Old Style" w:eastAsia="Bookman Old Style" w:hAnsi="Bookman Old Style" w:cs="Bookman Old Style"/>
          <w:b/>
        </w:rPr>
      </w:pPr>
    </w:p>
    <w:p w14:paraId="28B0973B" w14:textId="77777777" w:rsidR="00874FAD" w:rsidRDefault="00000000">
      <w:pPr>
        <w:rPr>
          <w:rFonts w:ascii="Bookman Old Style" w:eastAsia="Bookman Old Style" w:hAnsi="Bookman Old Style" w:cs="Bookman Old Style"/>
          <w:b/>
        </w:rPr>
      </w:pPr>
      <w:r>
        <w:rPr>
          <w:rFonts w:ascii="Bookman Old Style" w:eastAsia="Bookman Old Style" w:hAnsi="Bookman Old Style" w:cs="Bookman Old Style"/>
          <w:b/>
        </w:rPr>
        <w:t>OBJETO Y SÍNTESIS DEL PROYECTO</w:t>
      </w:r>
    </w:p>
    <w:p w14:paraId="19A66C35" w14:textId="77777777" w:rsidR="00874FAD" w:rsidRDefault="00874FAD">
      <w:pPr>
        <w:rPr>
          <w:rFonts w:ascii="Bookman Old Style" w:eastAsia="Bookman Old Style" w:hAnsi="Bookman Old Style" w:cs="Bookman Old Style"/>
          <w:b/>
        </w:rPr>
      </w:pPr>
    </w:p>
    <w:p w14:paraId="2091E275"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El objeto del presente proyecto de ley es modificar la Ley 1229 de 2008 que modificó la Ley 400 de 1997, para armonizar la legislación existente sobre el profesional en construcción o constructores y sus diferentes denominaciones en el país. </w:t>
      </w:r>
    </w:p>
    <w:p w14:paraId="17A954A2" w14:textId="77777777" w:rsidR="00874FAD" w:rsidRDefault="00874FAD">
      <w:pPr>
        <w:jc w:val="both"/>
        <w:rPr>
          <w:rFonts w:ascii="Bookman Old Style" w:eastAsia="Bookman Old Style" w:hAnsi="Bookman Old Style" w:cs="Bookman Old Style"/>
        </w:rPr>
      </w:pPr>
    </w:p>
    <w:p w14:paraId="5620922F"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El proyecto de ley tiene 9 artículos, de los cuales, los artículos 2 al 7 son modificaciones a la ley 1229 de 2008 para reemplazar la denominación “constructor en arquitectura e ingeniería” por profesional en construcción o constructor, cualquiera sea su denominación particular con el fin de armonizar la legislación existente con la realidad profesional que existe en esta área en Colombia. </w:t>
      </w:r>
    </w:p>
    <w:p w14:paraId="3A94EBEB" w14:textId="77777777" w:rsidR="00874FAD" w:rsidRDefault="00874FAD">
      <w:pPr>
        <w:jc w:val="both"/>
        <w:rPr>
          <w:rFonts w:ascii="Bookman Old Style" w:eastAsia="Bookman Old Style" w:hAnsi="Bookman Old Style" w:cs="Bookman Old Style"/>
        </w:rPr>
      </w:pPr>
    </w:p>
    <w:p w14:paraId="7E2B5DD9"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El artículo 8 busca que el Consejo Profesional Nacional de Ingeniería - COPNIA emita la respectiva matrícula profesional a quienes sean profesionales en construcción cualquiera que sea su denominación, ya que hasta el momento el COPNIA sólo emite un certificado profesional ya que la denominación de “constructor” no existe en la legislación colombiana. </w:t>
      </w:r>
    </w:p>
    <w:p w14:paraId="60BC58F9" w14:textId="77777777" w:rsidR="00874FAD" w:rsidRDefault="00874FAD">
      <w:pPr>
        <w:jc w:val="both"/>
        <w:rPr>
          <w:rFonts w:ascii="Bookman Old Style" w:eastAsia="Bookman Old Style" w:hAnsi="Bookman Old Style" w:cs="Bookman Old Style"/>
        </w:rPr>
      </w:pPr>
    </w:p>
    <w:p w14:paraId="34AE2E23"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Objeto </w:t>
      </w:r>
    </w:p>
    <w:p w14:paraId="192CBADA"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Modificación del artículo 1 de la ley 1229 de 2008 </w:t>
      </w:r>
    </w:p>
    <w:p w14:paraId="6408F145"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Modificación del artículo 2 de la ley 1229 de 2008 </w:t>
      </w:r>
    </w:p>
    <w:p w14:paraId="461CC71F"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Modificación del artículo 3 de la ley 1229 de 2008 </w:t>
      </w:r>
    </w:p>
    <w:p w14:paraId="590FCF0B"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Modificación de los parágrafos 1 y 2 del artículo 4 de la ley 1229 de 2008</w:t>
      </w:r>
    </w:p>
    <w:p w14:paraId="4E86D095"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Modificación del artículo 5 de la ley 1229 de 2008 </w:t>
      </w:r>
    </w:p>
    <w:p w14:paraId="24FCBA13"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Modificación del artículo 6 de la ley 1229 de 2008</w:t>
      </w:r>
    </w:p>
    <w:p w14:paraId="0E7B2B7E"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Matrícula profesional</w:t>
      </w:r>
    </w:p>
    <w:p w14:paraId="26404A48" w14:textId="77777777" w:rsidR="00874FAD" w:rsidRDefault="00000000">
      <w:pPr>
        <w:numPr>
          <w:ilvl w:val="0"/>
          <w:numId w:val="1"/>
        </w:numPr>
        <w:jc w:val="both"/>
        <w:rPr>
          <w:rFonts w:ascii="Bookman Old Style" w:eastAsia="Bookman Old Style" w:hAnsi="Bookman Old Style" w:cs="Bookman Old Style"/>
        </w:rPr>
      </w:pPr>
      <w:r>
        <w:rPr>
          <w:rFonts w:ascii="Bookman Old Style" w:eastAsia="Bookman Old Style" w:hAnsi="Bookman Old Style" w:cs="Bookman Old Style"/>
        </w:rPr>
        <w:t xml:space="preserve">Vigencia </w:t>
      </w:r>
    </w:p>
    <w:p w14:paraId="0B6E66E7" w14:textId="77777777" w:rsidR="00874FAD" w:rsidRDefault="00874FAD">
      <w:pPr>
        <w:jc w:val="both"/>
        <w:rPr>
          <w:rFonts w:ascii="Bookman Old Style" w:eastAsia="Bookman Old Style" w:hAnsi="Bookman Old Style" w:cs="Bookman Old Style"/>
        </w:rPr>
      </w:pPr>
    </w:p>
    <w:p w14:paraId="256E6EFB" w14:textId="77777777" w:rsidR="00874FAD" w:rsidRDefault="00874FAD">
      <w:pPr>
        <w:jc w:val="both"/>
        <w:rPr>
          <w:rFonts w:ascii="Bookman Old Style" w:eastAsia="Bookman Old Style" w:hAnsi="Bookman Old Style" w:cs="Bookman Old Style"/>
        </w:rPr>
      </w:pPr>
    </w:p>
    <w:p w14:paraId="18A45C77" w14:textId="77777777" w:rsidR="00874FAD" w:rsidRDefault="00874FAD">
      <w:pPr>
        <w:rPr>
          <w:rFonts w:ascii="Bookman Old Style" w:eastAsia="Bookman Old Style" w:hAnsi="Bookman Old Style" w:cs="Bookman Old Style"/>
          <w:b/>
        </w:rPr>
      </w:pPr>
    </w:p>
    <w:p w14:paraId="747C0D6E" w14:textId="77777777" w:rsidR="00874FAD" w:rsidRDefault="00000000">
      <w:pPr>
        <w:rPr>
          <w:rFonts w:ascii="Bookman Old Style" w:eastAsia="Bookman Old Style" w:hAnsi="Bookman Old Style" w:cs="Bookman Old Style"/>
          <w:b/>
        </w:rPr>
      </w:pPr>
      <w:r>
        <w:rPr>
          <w:rFonts w:ascii="Bookman Old Style" w:eastAsia="Bookman Old Style" w:hAnsi="Bookman Old Style" w:cs="Bookman Old Style"/>
          <w:b/>
        </w:rPr>
        <w:t xml:space="preserve">JUSTIFICACIÓN </w:t>
      </w:r>
    </w:p>
    <w:p w14:paraId="561C2ABF" w14:textId="77777777" w:rsidR="00874FAD" w:rsidRDefault="00874FAD">
      <w:pPr>
        <w:rPr>
          <w:rFonts w:ascii="Bookman Old Style" w:eastAsia="Bookman Old Style" w:hAnsi="Bookman Old Style" w:cs="Bookman Old Style"/>
          <w:b/>
        </w:rPr>
      </w:pPr>
    </w:p>
    <w:p w14:paraId="11A0CFE9"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El presente proyecto de ley se fundamenta en la necesidad que existe de modificar la Ley 1229 de 2008 ya que su redacción genera una interpretación restrictiva por parte de las autoridades públicas y las entidades de vigilancia y control, que vulnera el derecho a la igualdad, el derecho a la libre elección de una profesión, el derecho fundamental para acceder al trabajo y la Autonomía Universitaria.</w:t>
      </w:r>
    </w:p>
    <w:p w14:paraId="6154CE0C" w14:textId="77777777" w:rsidR="00874FAD" w:rsidRDefault="00874FAD">
      <w:pPr>
        <w:jc w:val="both"/>
        <w:rPr>
          <w:rFonts w:ascii="Bookman Old Style" w:eastAsia="Bookman Old Style" w:hAnsi="Bookman Old Style" w:cs="Bookman Old Style"/>
        </w:rPr>
      </w:pPr>
    </w:p>
    <w:p w14:paraId="0D71893D"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La redacción de la Ley 1229 de 2008 y la interpretación restrictiva de ésta por parte de las autoridades competentes, cuestiona la idoneidad de los programas académicos de los pregrados de construcción en sus diferentes denominaciones creados en ejercicio de la Autonomía Universitaria y que cumplen con los requisitos de registros y acreditación exigidos por el Ministerio de Educación Nacional, pero que por su </w:t>
      </w:r>
      <w:r>
        <w:rPr>
          <w:rFonts w:ascii="Bookman Old Style" w:eastAsia="Bookman Old Style" w:hAnsi="Bookman Old Style" w:cs="Bookman Old Style"/>
        </w:rPr>
        <w:lastRenderedPageBreak/>
        <w:t>denominación, no permite la obtención del requisito habilitante de matrícula profesional para desarrollar su carrera profesional.</w:t>
      </w:r>
    </w:p>
    <w:p w14:paraId="57AAABB2" w14:textId="77777777" w:rsidR="00874FAD" w:rsidRDefault="00874FAD">
      <w:pPr>
        <w:jc w:val="both"/>
        <w:rPr>
          <w:rFonts w:ascii="Bookman Old Style" w:eastAsia="Bookman Old Style" w:hAnsi="Bookman Old Style" w:cs="Bookman Old Style"/>
        </w:rPr>
      </w:pPr>
    </w:p>
    <w:p w14:paraId="4989B0E4"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Las Universidades del país han creado programas profesionales en construcción con diferentes </w:t>
      </w:r>
      <w:proofErr w:type="gramStart"/>
      <w:r>
        <w:rPr>
          <w:rFonts w:ascii="Bookman Old Style" w:eastAsia="Bookman Old Style" w:hAnsi="Bookman Old Style" w:cs="Bookman Old Style"/>
        </w:rPr>
        <w:t>denominaciones</w:t>
      </w:r>
      <w:proofErr w:type="gramEnd"/>
      <w:r>
        <w:rPr>
          <w:rFonts w:ascii="Bookman Old Style" w:eastAsia="Bookman Old Style" w:hAnsi="Bookman Old Style" w:cs="Bookman Old Style"/>
        </w:rPr>
        <w:t xml:space="preserve"> pero cumpliendo los requisitos de acreditación exigidos por el Ministerio de Educación Nacional. Estos programas son: </w:t>
      </w:r>
    </w:p>
    <w:p w14:paraId="425403E1" w14:textId="77777777" w:rsidR="00874FAD" w:rsidRDefault="00874FAD">
      <w:pPr>
        <w:ind w:left="1080"/>
        <w:rPr>
          <w:rFonts w:ascii="Bookman Old Style" w:eastAsia="Bookman Old Style" w:hAnsi="Bookman Old Style" w:cs="Bookman Old Style"/>
        </w:rPr>
      </w:pPr>
    </w:p>
    <w:p w14:paraId="2C259B8B" w14:textId="77777777" w:rsidR="00874FAD" w:rsidRDefault="00000000">
      <w:pPr>
        <w:numPr>
          <w:ilvl w:val="0"/>
          <w:numId w:val="2"/>
        </w:numPr>
        <w:jc w:val="both"/>
        <w:rPr>
          <w:rFonts w:ascii="Verdana" w:eastAsia="Verdana" w:hAnsi="Verdana" w:cs="Verdana"/>
        </w:rPr>
      </w:pPr>
      <w:r>
        <w:rPr>
          <w:rFonts w:ascii="Bookman Old Style" w:eastAsia="Bookman Old Style" w:hAnsi="Bookman Old Style" w:cs="Bookman Old Style"/>
          <w:b/>
        </w:rPr>
        <w:t>Arquitecto Constructor, Universidad Nacional de Colombia</w:t>
      </w:r>
      <w:r>
        <w:rPr>
          <w:rFonts w:ascii="Bookman Old Style" w:eastAsia="Bookman Old Style" w:hAnsi="Bookman Old Style" w:cs="Bookman Old Style"/>
        </w:rPr>
        <w:t xml:space="preserve">: la Universidad Nacional de Colombia creó el programa de Arquitecto Constructor mediante Acuerdo No. 142 de 1968 del Consejo Superior Universitario. Actualmente este programa cuenta con acreditación de alta calidad otorgada por el Consejo Nacional de Acreditación del Ministerio de Educación Nacional desde hace 12 años. Mediante la Resolución 033165 del 1 de marzo de 2021, fue acreditado por tercera vez consecutiva. </w:t>
      </w:r>
    </w:p>
    <w:p w14:paraId="39CCDDF1" w14:textId="77777777" w:rsidR="00874FAD" w:rsidRDefault="00874FAD">
      <w:pPr>
        <w:ind w:left="720"/>
        <w:jc w:val="both"/>
        <w:rPr>
          <w:rFonts w:ascii="Bookman Old Style" w:eastAsia="Bookman Old Style" w:hAnsi="Bookman Old Style" w:cs="Bookman Old Style"/>
        </w:rPr>
      </w:pPr>
    </w:p>
    <w:p w14:paraId="036B341B" w14:textId="77777777" w:rsidR="00874FAD" w:rsidRDefault="00000000">
      <w:pPr>
        <w:numPr>
          <w:ilvl w:val="0"/>
          <w:numId w:val="2"/>
        </w:numPr>
        <w:jc w:val="both"/>
        <w:rPr>
          <w:rFonts w:ascii="Verdana" w:eastAsia="Verdana" w:hAnsi="Verdana" w:cs="Verdana"/>
        </w:rPr>
      </w:pPr>
      <w:r>
        <w:rPr>
          <w:rFonts w:ascii="Bookman Old Style" w:eastAsia="Bookman Old Style" w:hAnsi="Bookman Old Style" w:cs="Bookman Old Style"/>
          <w:b/>
        </w:rPr>
        <w:t>Construcciones civiles, de la Institución Universitaria Colegio Mayor de Antioquia:</w:t>
      </w:r>
      <w:r>
        <w:rPr>
          <w:rFonts w:ascii="Bookman Old Style" w:eastAsia="Bookman Old Style" w:hAnsi="Bookman Old Style" w:cs="Bookman Old Style"/>
        </w:rPr>
        <w:t xml:space="preserve"> El Colegio Mayor de Antioquia creó mediante el (Acto administrativo) Acuerdo No. 006 del 27 de marzo de 1998 el programa de formación académica de Construcciones Civiles. Cuenta con Renovación de Registro Calificado vigente, otorgado por el Ministerio de Educación Nacional según resolución No. 011937 del 14 de noviembre de 2019. El programa recibió en el año 2023 la Acreditación en alta calidad con la resolución 006863 27 ABR 2023.</w:t>
      </w:r>
    </w:p>
    <w:p w14:paraId="42BAA336" w14:textId="77777777" w:rsidR="00874FAD" w:rsidRDefault="00874FAD">
      <w:pPr>
        <w:ind w:left="1080"/>
        <w:jc w:val="both"/>
        <w:rPr>
          <w:rFonts w:ascii="Bookman Old Style" w:eastAsia="Bookman Old Style" w:hAnsi="Bookman Old Style" w:cs="Bookman Old Style"/>
        </w:rPr>
      </w:pPr>
    </w:p>
    <w:p w14:paraId="0D141953" w14:textId="77777777" w:rsidR="00874FAD" w:rsidRDefault="00000000">
      <w:pPr>
        <w:numPr>
          <w:ilvl w:val="0"/>
          <w:numId w:val="2"/>
        </w:numPr>
        <w:jc w:val="both"/>
        <w:rPr>
          <w:rFonts w:ascii="Verdana" w:eastAsia="Verdana" w:hAnsi="Verdana" w:cs="Verdana"/>
        </w:rPr>
      </w:pPr>
      <w:r>
        <w:rPr>
          <w:rFonts w:ascii="Bookman Old Style" w:eastAsia="Bookman Old Style" w:hAnsi="Bookman Old Style" w:cs="Bookman Old Style"/>
          <w:b/>
        </w:rPr>
        <w:t>Construcción y Tecnología en Construcción de Edificaciones, Universidad del Valle</w:t>
      </w:r>
      <w:r>
        <w:rPr>
          <w:rFonts w:ascii="Bookman Old Style" w:eastAsia="Bookman Old Style" w:hAnsi="Bookman Old Style" w:cs="Bookman Old Style"/>
        </w:rPr>
        <w:t xml:space="preserve">: La Universidad del Valle creó el programa académico de Construcción y Tecnología en Construcción de edificaciones e Infraestructura Urbana por ciclos propedéuticos mediante Resolución </w:t>
      </w:r>
      <w:proofErr w:type="spellStart"/>
      <w:r>
        <w:rPr>
          <w:rFonts w:ascii="Bookman Old Style" w:eastAsia="Bookman Old Style" w:hAnsi="Bookman Old Style" w:cs="Bookman Old Style"/>
        </w:rPr>
        <w:t>N°</w:t>
      </w:r>
      <w:proofErr w:type="spellEnd"/>
      <w:r>
        <w:rPr>
          <w:rFonts w:ascii="Bookman Old Style" w:eastAsia="Bookman Old Style" w:hAnsi="Bookman Old Style" w:cs="Bookman Old Style"/>
        </w:rPr>
        <w:t xml:space="preserve"> 057 del 26 de agosto de 2020 del Consejo Superior. El Ministerio de Educación Nacional mediante las Resoluciones </w:t>
      </w:r>
      <w:proofErr w:type="spellStart"/>
      <w:r>
        <w:rPr>
          <w:rFonts w:ascii="Bookman Old Style" w:eastAsia="Bookman Old Style" w:hAnsi="Bookman Old Style" w:cs="Bookman Old Style"/>
        </w:rPr>
        <w:t>N°</w:t>
      </w:r>
      <w:proofErr w:type="spellEnd"/>
      <w:r>
        <w:rPr>
          <w:rFonts w:ascii="Bookman Old Style" w:eastAsia="Bookman Old Style" w:hAnsi="Bookman Old Style" w:cs="Bookman Old Style"/>
        </w:rPr>
        <w:t xml:space="preserve"> 2161 de 15 febrero 2021 y la </w:t>
      </w:r>
      <w:proofErr w:type="spellStart"/>
      <w:r>
        <w:rPr>
          <w:rFonts w:ascii="Bookman Old Style" w:eastAsia="Bookman Old Style" w:hAnsi="Bookman Old Style" w:cs="Bookman Old Style"/>
        </w:rPr>
        <w:t>N°</w:t>
      </w:r>
      <w:proofErr w:type="spellEnd"/>
      <w:r>
        <w:rPr>
          <w:rFonts w:ascii="Bookman Old Style" w:eastAsia="Bookman Old Style" w:hAnsi="Bookman Old Style" w:cs="Bookman Old Style"/>
        </w:rPr>
        <w:t xml:space="preserve"> 2264 de 16 de febrero </w:t>
      </w:r>
      <w:proofErr w:type="gramStart"/>
      <w:r>
        <w:rPr>
          <w:rFonts w:ascii="Bookman Old Style" w:eastAsia="Bookman Old Style" w:hAnsi="Bookman Old Style" w:cs="Bookman Old Style"/>
        </w:rPr>
        <w:t>2021,  le</w:t>
      </w:r>
      <w:proofErr w:type="gramEnd"/>
      <w:r>
        <w:rPr>
          <w:rFonts w:ascii="Bookman Old Style" w:eastAsia="Bookman Old Style" w:hAnsi="Bookman Old Style" w:cs="Bookman Old Style"/>
        </w:rPr>
        <w:t xml:space="preserve"> otorgan el registro calificado a los programas de Tecnología en Construcción de edificaciones e infraestructura urbana y al programa Construcción, los cuales son articulados por ciclos propedéuticos.</w:t>
      </w:r>
    </w:p>
    <w:p w14:paraId="571C3C4C" w14:textId="77777777" w:rsidR="00874FAD" w:rsidRDefault="00874FAD">
      <w:pPr>
        <w:ind w:left="720"/>
        <w:jc w:val="both"/>
        <w:rPr>
          <w:rFonts w:ascii="Bookman Old Style" w:eastAsia="Bookman Old Style" w:hAnsi="Bookman Old Style" w:cs="Bookman Old Style"/>
        </w:rPr>
      </w:pPr>
    </w:p>
    <w:p w14:paraId="714223D2" w14:textId="77777777" w:rsidR="00874FAD" w:rsidRDefault="00000000">
      <w:pPr>
        <w:numPr>
          <w:ilvl w:val="0"/>
          <w:numId w:val="2"/>
        </w:numPr>
        <w:jc w:val="both"/>
        <w:rPr>
          <w:rFonts w:ascii="Verdana" w:eastAsia="Verdana" w:hAnsi="Verdana" w:cs="Verdana"/>
        </w:rPr>
      </w:pPr>
      <w:r>
        <w:rPr>
          <w:rFonts w:ascii="Bookman Old Style" w:eastAsia="Bookman Old Style" w:hAnsi="Bookman Old Style" w:cs="Bookman Old Style"/>
          <w:b/>
        </w:rPr>
        <w:t>Profesional en Administración y Construcción Arquitectónica, Colegio Mayor de Cundinamarca</w:t>
      </w:r>
      <w:r>
        <w:rPr>
          <w:rFonts w:ascii="Bookman Old Style" w:eastAsia="Bookman Old Style" w:hAnsi="Bookman Old Style" w:cs="Bookman Old Style"/>
        </w:rPr>
        <w:t xml:space="preserve">: La Universidad Colegio Mayor de Cundinamarca creó el Programa Profesional Administración y Construcción Arquitectónica en ciclos propedéuticos con la Tecnología en Administración y Ejecución de Construcciones </w:t>
      </w:r>
      <w:proofErr w:type="gramStart"/>
      <w:r>
        <w:rPr>
          <w:rFonts w:ascii="Bookman Old Style" w:eastAsia="Bookman Old Style" w:hAnsi="Bookman Old Style" w:cs="Bookman Old Style"/>
        </w:rPr>
        <w:t>mediante  Acuerdo</w:t>
      </w:r>
      <w:proofErr w:type="gramEnd"/>
      <w:r>
        <w:rPr>
          <w:rFonts w:ascii="Bookman Old Style" w:eastAsia="Bookman Old Style" w:hAnsi="Bookman Old Style" w:cs="Bookman Old Style"/>
        </w:rPr>
        <w:t xml:space="preserve"> No. 32 del 18 de diciembre de 1996 del Consejo Superior Universitario.  En el año 2006 por Resolución del Ministerio de Educación Nacional No. 7300 del 20 de noviembre de 2006 cambió la denominación por Construcción y Gestión en Arquitectura, con la que funciona hasta la fecha. El programa en sus dos ciclos recibió la segunda renovación de Registro calificado con Resoluciones No. 11231 y 11232 del 26 de agosto de 2013 por ciclos propedéuticos. Por su parte, el ciclo tecnológico </w:t>
      </w:r>
      <w:r>
        <w:rPr>
          <w:rFonts w:ascii="Bookman Old Style" w:eastAsia="Bookman Old Style" w:hAnsi="Bookman Old Style" w:cs="Bookman Old Style"/>
        </w:rPr>
        <w:lastRenderedPageBreak/>
        <w:t xml:space="preserve">recibió acreditación de alta calidad por Resolución No. 15287 del 26 de julio de 2016 del Ministerio de Educación. </w:t>
      </w:r>
    </w:p>
    <w:p w14:paraId="116524EE" w14:textId="77777777" w:rsidR="00874FAD" w:rsidRDefault="00000000">
      <w:pPr>
        <w:ind w:left="720"/>
        <w:jc w:val="both"/>
        <w:rPr>
          <w:rFonts w:ascii="Bookman Old Style" w:eastAsia="Bookman Old Style" w:hAnsi="Bookman Old Style" w:cs="Bookman Old Style"/>
        </w:rPr>
      </w:pPr>
      <w:r>
        <w:rPr>
          <w:rFonts w:ascii="Bookman Old Style" w:eastAsia="Bookman Old Style" w:hAnsi="Bookman Old Style" w:cs="Bookman Old Style"/>
        </w:rPr>
        <w:t>El programa profesional de Construcción y Gestión en Arquitectura recibe acreditación en alta calidad por Resolución No. 002615 del 21 de febrero de 2023 y el programa de Tecnología en Gestión y Ejecución de Contracciones recibe acreditación en alta calidad por Resolución No. 001091 del 03 de febrero de 2023, otorgadas por el Ministerio de Educación Nacional.</w:t>
      </w:r>
    </w:p>
    <w:p w14:paraId="704678D4" w14:textId="77777777" w:rsidR="00874FAD" w:rsidRDefault="00874FAD">
      <w:pPr>
        <w:ind w:left="720"/>
        <w:jc w:val="both"/>
        <w:rPr>
          <w:rFonts w:ascii="Bookman Old Style" w:eastAsia="Bookman Old Style" w:hAnsi="Bookman Old Style" w:cs="Bookman Old Style"/>
        </w:rPr>
      </w:pPr>
    </w:p>
    <w:p w14:paraId="5A9649F6" w14:textId="77777777" w:rsidR="00874FAD" w:rsidRDefault="00000000">
      <w:pPr>
        <w:numPr>
          <w:ilvl w:val="0"/>
          <w:numId w:val="2"/>
        </w:numPr>
        <w:jc w:val="both"/>
        <w:rPr>
          <w:rFonts w:ascii="Verdana" w:eastAsia="Verdana" w:hAnsi="Verdana" w:cs="Verdana"/>
        </w:rPr>
      </w:pPr>
      <w:r>
        <w:rPr>
          <w:rFonts w:ascii="Bookman Old Style" w:eastAsia="Bookman Old Style" w:hAnsi="Bookman Old Style" w:cs="Bookman Old Style"/>
          <w:b/>
        </w:rPr>
        <w:t>Construcción en Arquitectura e Ingeniería, Universidad Santo Tomás</w:t>
      </w:r>
      <w:r>
        <w:rPr>
          <w:rFonts w:ascii="Bookman Old Style" w:eastAsia="Bookman Old Style" w:hAnsi="Bookman Old Style" w:cs="Bookman Old Style"/>
        </w:rPr>
        <w:t xml:space="preserve">: El programa Construcción en Arquitectura e Ingeniería de la Universidad Santo Tomás, obtiene el Registro Calificado con la Resolución No. 418 del 23 de enero del 2013. El programa adquirió su registro conforme con las normativas establecidas por el Ministerio de Educación Nacional (MEN) en relación con la coherencia de la titulación y el propósito de formación del programa, específicamente en el Área de Ingeniería, Arquitectura, Urbanismo y afines, se asocia con la Resolución No. 2773 de 2003 MEN, por el cual se establecen las características mínimas del Pregrado en programas asociados a las ingenierías. Igualmente, a la Resolución No. 2770 de 2003 del MEN, por el cual se vinculan las características para programas relacionados a la Arquitectura.  Así mismo, la renovación y actualización curricular se ajusta al Decreto No. 1075 de 2015 por el cual se reglamenta el registro calificado que trata dicha Ley frente a la oferta y el desarrollo de programas académicos de educación superior. </w:t>
      </w:r>
    </w:p>
    <w:p w14:paraId="52A04067" w14:textId="77777777" w:rsidR="00874FAD" w:rsidRDefault="00874FAD">
      <w:pPr>
        <w:jc w:val="both"/>
        <w:rPr>
          <w:rFonts w:ascii="Bookman Old Style" w:eastAsia="Bookman Old Style" w:hAnsi="Bookman Old Style" w:cs="Bookman Old Style"/>
        </w:rPr>
      </w:pPr>
    </w:p>
    <w:p w14:paraId="68D387AE"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Estos programas académicos de pregrados, han sido objeto del proceso de auditoría del Consejo Nacional de Acreditación del Ministerio de Educación Nacional, el resultado de este proceso, para las Instituciones, es que han obtenido registro calificado y/o la acreditación de alta calidad de parte de la máxima autoridad en materia de Educación en el país, para a continuación ofrecer sus respectivos programas académicos a la comunidad, proceso en el que, al cumplirse el curso de todas las asignaturas, los graduados obtienen el respectivo título académico y cuentan con la formación para ejercer su profesión en los cargos definidos en la Ley 400 de 1997, la cual fue modificada y adicionada por la Ley 1229 de 2008, en los roles definidos taxativamente al Constructor en Arquitectura e Ingeniería, sin que esto implique de una manera necesaria que cada programa académico deba seguir la misma denominación, pues el artículo 4 de la ley 1229 de 2008, el cual adicionó la ley 400 de 1997, formula la habilitación del  profesional en construcción en arquitectura e ingeniería, como aquel profesional que cumple con los requisitos establecidos para su habilitación, para los cuales, la totalidad de los programas nombrados anteriormente, cumplen a cabalidad con estas competencias.</w:t>
      </w:r>
    </w:p>
    <w:p w14:paraId="16091D5E"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b/>
        </w:rPr>
        <w:t>NECESIDAD DE UN PROFESIONAL “CONSTRUCTOR” EN UNA INDUSTRIA CADA VEZ MÁS COMPLEJA Y DE UNA ALTA RESPONSABILIDAD SOCIAL</w:t>
      </w:r>
    </w:p>
    <w:p w14:paraId="76B85BFD" w14:textId="77777777" w:rsidR="00874FAD" w:rsidRDefault="00874FAD">
      <w:pPr>
        <w:jc w:val="both"/>
        <w:rPr>
          <w:rFonts w:ascii="Bookman Old Style" w:eastAsia="Bookman Old Style" w:hAnsi="Bookman Old Style" w:cs="Bookman Old Style"/>
        </w:rPr>
      </w:pPr>
    </w:p>
    <w:p w14:paraId="19ADE5A2" w14:textId="77777777" w:rsidR="00874FAD" w:rsidRDefault="00000000">
      <w:pPr>
        <w:spacing w:before="240" w:after="240"/>
        <w:jc w:val="both"/>
        <w:rPr>
          <w:rFonts w:ascii="Bookman Old Style" w:eastAsia="Bookman Old Style" w:hAnsi="Bookman Old Style" w:cs="Bookman Old Style"/>
          <w:b/>
        </w:rPr>
      </w:pPr>
      <w:r>
        <w:rPr>
          <w:rFonts w:ascii="Bookman Old Style" w:eastAsia="Bookman Old Style" w:hAnsi="Bookman Old Style" w:cs="Bookman Old Style"/>
          <w:b/>
        </w:rPr>
        <w:t>Necesidad de un Profesional Constructor en una Industria Cada Vez Más Compleja y de Alta Responsabilidad Social</w:t>
      </w:r>
    </w:p>
    <w:p w14:paraId="3F4F40E8" w14:textId="77777777" w:rsidR="00874FAD" w:rsidRDefault="00000000">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lastRenderedPageBreak/>
        <w:t>La construcción, como actividad comercial, ha desempeñado históricamente un papel crucial en la sociedad colombiana. Ha sido uno de los pilares de la economía, una característica que se mantiene hasta la actualidad. Además, ha evolucionado significativamente desde los modelos de construcción del siglo pasado, adaptándose a las nuevas formas de desarrollo para satisfacer las necesidades de la población en diversos ámbitos: familiar, laboral, industrial, institucional, de obra pública, y de uso privado. Un aspecto destacado es la construcción de obras sometidas al régimen de propiedad horizontal.</w:t>
      </w:r>
    </w:p>
    <w:p w14:paraId="5E79E1F1" w14:textId="77777777" w:rsidR="00874FAD" w:rsidRDefault="00000000">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En este contexto, donde las profesiones relacionadas tienen un alto impacto social, el Estado ha intervenido a través de la Rama Legislativa y Ejecutiva. El objetivo es garantizar que el consumidor final de estos productos cuente con condiciones óptimas para su uso y destino. Este resultado sólo es posible si quienes ofrecen estos productos cumplen con las condiciones profesionales adecuadas y aseguran el cumplimiento riguroso de las normas técnicas de construcción vigentes durante la ejecución del proyecto.</w:t>
      </w:r>
    </w:p>
    <w:p w14:paraId="04DDB658" w14:textId="77777777" w:rsidR="00874FAD" w:rsidRDefault="00000000">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Precisamente por el contexto descrito es la razón por la cual se creó la Comisión Asesora Permanente de Construcción Sismo Resistente, conforme a la Ley 400 de 1997, artículo 39. Esta comisión está integrada por representantes de la Presidencia de la República y del Ministerio de Vivienda. En cuanto al Consejo Profesional Nacional de Ingeniería (COPNIA), su origen se encuentra en la Ley 94 de 1937.</w:t>
      </w:r>
    </w:p>
    <w:p w14:paraId="48A8EEA3" w14:textId="77777777" w:rsidR="00874FAD" w:rsidRDefault="00000000">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Por otro lado, las Instituciones de Educación Superior (IES) han llevado a cabo estudios internos basados en el anterior contexto. Estos estudios han tenido el objetivo de diseñar programas académicos que se ajusten a la evolución de la construcción como actividad económica. Así, los estudiantes que completen estos diseños curriculares contarán con herramientas adecuadas para enfrentar las necesidades del campo profesional. En la actualidad, las carreras de pregrado vigentes en las IES son: Arquitecto Constructor (Universidad Nacional de Colombia y Universidad del Valle), Constructor Civil (Institución Universitaria Colegio Mayor de Antioquia), Constructor y Gestor en Arquitectura (Universidad Colegio Mayor de Cundinamarca) y Constructor en Arquitectura e Ingeniería (Universidad Santo Tomás).</w:t>
      </w:r>
    </w:p>
    <w:p w14:paraId="13D7C48D" w14:textId="77777777" w:rsidR="00874FAD" w:rsidRDefault="00000000">
      <w:pPr>
        <w:spacing w:before="240" w:after="240"/>
        <w:jc w:val="both"/>
        <w:rPr>
          <w:rFonts w:ascii="Bookman Old Style" w:eastAsia="Bookman Old Style" w:hAnsi="Bookman Old Style" w:cs="Bookman Old Style"/>
        </w:rPr>
      </w:pPr>
      <w:r>
        <w:rPr>
          <w:rFonts w:ascii="Bookman Old Style" w:eastAsia="Bookman Old Style" w:hAnsi="Bookman Old Style" w:cs="Bookman Old Style"/>
        </w:rPr>
        <w:t>A raíz de sucesos de alto impacto socioeconómico en el desarrollo de la construcción, el Estado Colombiano, a través del Legislativo, expidió la Ley 1796 de 2016, cuyo artículo 12 establece lo siguiente:</w:t>
      </w:r>
    </w:p>
    <w:p w14:paraId="579C06D3" w14:textId="77777777" w:rsidR="00874FAD" w:rsidRDefault="00874FAD">
      <w:pPr>
        <w:jc w:val="both"/>
        <w:rPr>
          <w:rFonts w:ascii="Bookman Old Style" w:eastAsia="Bookman Old Style" w:hAnsi="Bookman Old Style" w:cs="Bookman Old Style"/>
          <w:b/>
          <w:i/>
          <w:highlight w:val="white"/>
        </w:rPr>
      </w:pPr>
    </w:p>
    <w:p w14:paraId="17BEAFEF" w14:textId="77777777" w:rsidR="00874FAD" w:rsidRDefault="00000000">
      <w:pPr>
        <w:ind w:left="1068"/>
        <w:jc w:val="both"/>
        <w:rPr>
          <w:rFonts w:ascii="Bookman Old Style" w:eastAsia="Bookman Old Style" w:hAnsi="Bookman Old Style" w:cs="Bookman Old Style"/>
        </w:rPr>
      </w:pPr>
      <w:r>
        <w:rPr>
          <w:rFonts w:ascii="Bookman Old Style" w:eastAsia="Bookman Old Style" w:hAnsi="Bookman Old Style" w:cs="Bookman Old Style"/>
          <w:b/>
          <w:i/>
          <w:highlight w:val="white"/>
        </w:rPr>
        <w:t>“ARTÍCULO 12. </w:t>
      </w:r>
      <w:r>
        <w:rPr>
          <w:rFonts w:ascii="Bookman Old Style" w:eastAsia="Bookman Old Style" w:hAnsi="Bookman Old Style" w:cs="Bookman Old Style"/>
          <w:i/>
          <w:highlight w:val="white"/>
        </w:rPr>
        <w:t xml:space="preserve">Registro Único Nacional de Profesionales Acreditados. Créase el Registro Único Nacional de Profesionales Acreditados para adelantar las labores de diseño, revisión y supervisión de que trata la Ley 400 de 1997, el cual será administrado por el Consejo Profesional Nacional de Ingeniería (COPNIA) y tendrá como insumo la calificación del examen de acreditación, que se realizará de acuerdo con los términos y condiciones que establezca el Reglamento Colombiano de Construcciones Sismorresistentes; y el reporte de sanciones suministrado por el Consejo Profesional Nacional </w:t>
      </w:r>
      <w:r>
        <w:rPr>
          <w:rFonts w:ascii="Bookman Old Style" w:eastAsia="Bookman Old Style" w:hAnsi="Bookman Old Style" w:cs="Bookman Old Style"/>
          <w:i/>
          <w:highlight w:val="white"/>
        </w:rPr>
        <w:lastRenderedPageBreak/>
        <w:t>de Ingeniería (</w:t>
      </w:r>
      <w:proofErr w:type="spellStart"/>
      <w:r>
        <w:rPr>
          <w:rFonts w:ascii="Bookman Old Style" w:eastAsia="Bookman Old Style" w:hAnsi="Bookman Old Style" w:cs="Bookman Old Style"/>
          <w:i/>
          <w:highlight w:val="white"/>
        </w:rPr>
        <w:t>Copnia</w:t>
      </w:r>
      <w:proofErr w:type="spellEnd"/>
      <w:r>
        <w:rPr>
          <w:rFonts w:ascii="Bookman Old Style" w:eastAsia="Bookman Old Style" w:hAnsi="Bookman Old Style" w:cs="Bookman Old Style"/>
          <w:i/>
          <w:highlight w:val="white"/>
        </w:rPr>
        <w:t>) y el Consejo Profesional Nacional de Arquitectura y sus Profesiones Auxiliares (CPNAA). El registro contará con un portal web de acceso público.”</w:t>
      </w:r>
      <w:r>
        <w:rPr>
          <w:rFonts w:ascii="Bookman Old Style" w:eastAsia="Bookman Old Style" w:hAnsi="Bookman Old Style" w:cs="Bookman Old Style"/>
          <w:highlight w:val="white"/>
        </w:rPr>
        <w:t> </w:t>
      </w:r>
    </w:p>
    <w:p w14:paraId="09703127" w14:textId="77777777" w:rsidR="00874FAD" w:rsidRDefault="00874FAD">
      <w:pPr>
        <w:jc w:val="both"/>
        <w:rPr>
          <w:rFonts w:ascii="Bookman Old Style" w:eastAsia="Bookman Old Style" w:hAnsi="Bookman Old Style" w:cs="Bookman Old Style"/>
        </w:rPr>
      </w:pPr>
    </w:p>
    <w:p w14:paraId="301A6A07"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Si bien el Artículo 12 de la Ley 1796 de 2016 habla de los roles de DISEÑO, REVISIÓN Y SUPERVISIÓN, para la aplicación del </w:t>
      </w:r>
      <w:r>
        <w:rPr>
          <w:rFonts w:ascii="Bookman Old Style" w:eastAsia="Bookman Old Style" w:hAnsi="Bookman Old Style" w:cs="Bookman Old Style"/>
          <w:i/>
        </w:rPr>
        <w:t xml:space="preserve">Registro Único Nacional de Profesionales Acreditados, </w:t>
      </w:r>
      <w:r>
        <w:rPr>
          <w:rFonts w:ascii="Bookman Old Style" w:eastAsia="Bookman Old Style" w:hAnsi="Bookman Old Style" w:cs="Bookman Old Style"/>
        </w:rPr>
        <w:t>la Ley 1229 de 2008, que se pretende modificar, considera de estos, el rol de SUPERVISOR, rol para el cual forman académicamente los programas profesionales citados en los puntos 1.1 al 1.5 de la presente exposición de motivos.</w:t>
      </w:r>
    </w:p>
    <w:p w14:paraId="0062659D" w14:textId="77777777" w:rsidR="00874FAD" w:rsidRDefault="00874FAD">
      <w:pPr>
        <w:jc w:val="both"/>
        <w:rPr>
          <w:rFonts w:ascii="Bookman Old Style" w:eastAsia="Bookman Old Style" w:hAnsi="Bookman Old Style" w:cs="Bookman Old Style"/>
        </w:rPr>
      </w:pPr>
    </w:p>
    <w:p w14:paraId="59E0EE0F"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La Ley 1796 de 2016 surge de la necesidad de generar un control a las construcciones defectuosas y no perdurables en el tiempo, que han causado grandes perjuicios a derechos fundamentales, sociales y de orden económico. Esta situación se ha originado en la oferta de proyectos ejecutados de forma inadecuada, poniendo en riesgo la vida y los demás derechos de quienes adquieren este tipo de bienes; otro aspecto determinante es la idoneidad profesional del que tiene la responsabilidad del diseño,  dirección  y supervisión de esas obras, de allí que Ley 1796 de 2016, busque prevenir nuevos hechos generadores de  fenómenos que afectan a la población, como proyectos de construcción inconclusos, defectuosos desde su estructura, e incluso generadores de riesgos en la vida en integridad de los </w:t>
      </w:r>
      <w:proofErr w:type="spellStart"/>
      <w:r>
        <w:rPr>
          <w:rFonts w:ascii="Bookman Old Style" w:eastAsia="Bookman Old Style" w:hAnsi="Bookman Old Style" w:cs="Bookman Old Style"/>
        </w:rPr>
        <w:t>co-asociados</w:t>
      </w:r>
      <w:proofErr w:type="spellEnd"/>
      <w:r>
        <w:rPr>
          <w:rFonts w:ascii="Bookman Old Style" w:eastAsia="Bookman Old Style" w:hAnsi="Bookman Old Style" w:cs="Bookman Old Style"/>
        </w:rPr>
        <w:t>.</w:t>
      </w:r>
    </w:p>
    <w:p w14:paraId="25198DDE" w14:textId="77777777" w:rsidR="00874FAD" w:rsidRDefault="00874FAD">
      <w:pPr>
        <w:jc w:val="both"/>
        <w:rPr>
          <w:rFonts w:ascii="Bookman Old Style" w:eastAsia="Bookman Old Style" w:hAnsi="Bookman Old Style" w:cs="Bookman Old Style"/>
        </w:rPr>
      </w:pPr>
    </w:p>
    <w:p w14:paraId="60644C65" w14:textId="77777777" w:rsidR="00874FAD" w:rsidRDefault="00874FAD">
      <w:pPr>
        <w:jc w:val="both"/>
        <w:rPr>
          <w:rFonts w:ascii="Bookman Old Style" w:eastAsia="Bookman Old Style" w:hAnsi="Bookman Old Style" w:cs="Bookman Old Style"/>
          <w:b/>
        </w:rPr>
      </w:pPr>
    </w:p>
    <w:p w14:paraId="02D3BB3A" w14:textId="77777777" w:rsidR="00874FAD" w:rsidRDefault="00000000">
      <w:pPr>
        <w:jc w:val="both"/>
        <w:rPr>
          <w:rFonts w:ascii="Bookman Old Style" w:eastAsia="Bookman Old Style" w:hAnsi="Bookman Old Style" w:cs="Bookman Old Style"/>
          <w:b/>
        </w:rPr>
      </w:pPr>
      <w:r>
        <w:rPr>
          <w:rFonts w:ascii="Bookman Old Style" w:eastAsia="Bookman Old Style" w:hAnsi="Bookman Old Style" w:cs="Bookman Old Style"/>
          <w:b/>
        </w:rPr>
        <w:t>PROBLEMÁTICA ACTUAL DE LA PROFESIÓN</w:t>
      </w:r>
    </w:p>
    <w:p w14:paraId="0FC24F34" w14:textId="77777777" w:rsidR="00874FAD" w:rsidRDefault="00874FAD">
      <w:pPr>
        <w:jc w:val="both"/>
        <w:rPr>
          <w:rFonts w:ascii="Bookman Old Style" w:eastAsia="Bookman Old Style" w:hAnsi="Bookman Old Style" w:cs="Bookman Old Style"/>
        </w:rPr>
      </w:pPr>
    </w:p>
    <w:p w14:paraId="2C653B09"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Como puede leerse en el artículo 12 de la Ley 1796 de 2016, el Consejo Profesional Nacional de Ingeniería (COPNIA), es el encargado de administrar el nuevo registro que acredita si un profesional está en las capacidades para ejercer cargos de diseño, dirección y supervisión en obras que impliquen altura.</w:t>
      </w:r>
    </w:p>
    <w:p w14:paraId="42969B24"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p w14:paraId="26CA89DF"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El Registro Único Nacional de Profesionales Acreditados para adelantar las labores de diseño, revisión, dirección y supervisión técnica de que trata la Ley (RUNPA), a la fecha, no ha entrado en vigencia.</w:t>
      </w:r>
    </w:p>
    <w:p w14:paraId="43180907" w14:textId="77777777" w:rsidR="00874FAD" w:rsidRDefault="00874FAD">
      <w:pPr>
        <w:jc w:val="both"/>
        <w:rPr>
          <w:rFonts w:ascii="Bookman Old Style" w:eastAsia="Bookman Old Style" w:hAnsi="Bookman Old Style" w:cs="Bookman Old Style"/>
        </w:rPr>
      </w:pPr>
    </w:p>
    <w:p w14:paraId="0C1F234B"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Según peticiones elevadas al Consejo Nacional Profesional de Ingeniería - COPNIA por parte de las Universidades y profesionales, el COPNIA manifiesta que para la administración del Registro Único Nacional de Profesionales Acreditados de que trata la Ley 400 de 1997 (RUNPA), se ceñirá a las directrices de la Comisión Asesora Permanente para Construcciones Sismo Resistentes, y la mencionada Comisión al hacer alusión a los títulos universitarios de “Arquitecto Constructor” y de “Constructor Civil” concluye que ninguno de estos títulos cumple con los requisitos para ejercer cargos de Constructor o Supervisor Técnico, justificando su decisión en que ninguno  se encuentra dentro de las profesiones señaladas en el Título VI de la Ley 400 de 1997 modificada por la Ley 1229 de 2008 en su artículo 4.</w:t>
      </w:r>
    </w:p>
    <w:p w14:paraId="2199AE3E" w14:textId="77777777" w:rsidR="00874FAD" w:rsidRDefault="00874FAD">
      <w:pPr>
        <w:spacing w:line="240" w:lineRule="auto"/>
        <w:jc w:val="both"/>
        <w:rPr>
          <w:rFonts w:ascii="Bookman Old Style" w:eastAsia="Bookman Old Style" w:hAnsi="Bookman Old Style" w:cs="Bookman Old Style"/>
        </w:rPr>
      </w:pPr>
    </w:p>
    <w:p w14:paraId="1FBE4AA1"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su respuesta, argumentaron:</w:t>
      </w:r>
    </w:p>
    <w:p w14:paraId="6241CE9D" w14:textId="77777777" w:rsidR="00874FAD" w:rsidRDefault="00874FAD">
      <w:pPr>
        <w:spacing w:line="240" w:lineRule="auto"/>
        <w:jc w:val="both"/>
        <w:rPr>
          <w:rFonts w:ascii="Bookman Old Style" w:eastAsia="Bookman Old Style" w:hAnsi="Bookman Old Style" w:cs="Bookman Old Style"/>
        </w:rPr>
      </w:pPr>
    </w:p>
    <w:p w14:paraId="11A04BDB" w14:textId="77777777" w:rsidR="00874FAD" w:rsidRDefault="00000000">
      <w:pPr>
        <w:spacing w:line="240" w:lineRule="auto"/>
        <w:ind w:left="720"/>
        <w:jc w:val="both"/>
        <w:rPr>
          <w:rFonts w:ascii="Bookman Old Style" w:eastAsia="Bookman Old Style" w:hAnsi="Bookman Old Style" w:cs="Bookman Old Style"/>
          <w:i/>
        </w:rPr>
      </w:pPr>
      <w:bookmarkStart w:id="0" w:name="_heading=h.gjdgxs" w:colFirst="0" w:colLast="0"/>
      <w:bookmarkEnd w:id="0"/>
      <w:r>
        <w:rPr>
          <w:rFonts w:ascii="Bookman Old Style" w:eastAsia="Bookman Old Style" w:hAnsi="Bookman Old Style" w:cs="Bookman Old Style"/>
          <w:i/>
        </w:rPr>
        <w:t xml:space="preserve">“Debe tenerse en cuenta que </w:t>
      </w:r>
      <w:proofErr w:type="gramStart"/>
      <w:r>
        <w:rPr>
          <w:rFonts w:ascii="Bookman Old Style" w:eastAsia="Bookman Old Style" w:hAnsi="Bookman Old Style" w:cs="Bookman Old Style"/>
          <w:i/>
        </w:rPr>
        <w:t>la profesión de Arquitecto Constructor y Constructor Civil no se encuentran</w:t>
      </w:r>
      <w:proofErr w:type="gramEnd"/>
      <w:r>
        <w:rPr>
          <w:rFonts w:ascii="Bookman Old Style" w:eastAsia="Bookman Old Style" w:hAnsi="Bookman Old Style" w:cs="Bookman Old Style"/>
          <w:i/>
        </w:rPr>
        <w:t xml:space="preserve"> dentro de las profesiones señaladas en el Título VI de la Ley 400 de 1997. Así mismo, cabe mencionar que los numerales </w:t>
      </w:r>
      <w:r>
        <w:rPr>
          <w:rFonts w:ascii="Bookman Old Style" w:eastAsia="Bookman Old Style" w:hAnsi="Bookman Old Style" w:cs="Bookman Old Style"/>
          <w:i/>
        </w:rPr>
        <w:lastRenderedPageBreak/>
        <w:t>9 y 41 del artículo 4 de la Ley 400 de 1997, modificados por la Ley 1229 de 2008, disponen lo siguiente frente al perfil profesional para realizar la labor de Constructor y Supervisor Técnico:</w:t>
      </w:r>
    </w:p>
    <w:p w14:paraId="4D8ADCD6" w14:textId="77777777" w:rsidR="00874FAD" w:rsidRDefault="00874FAD">
      <w:pPr>
        <w:spacing w:line="240" w:lineRule="auto"/>
        <w:jc w:val="both"/>
        <w:rPr>
          <w:rFonts w:ascii="Bookman Old Style" w:eastAsia="Bookman Old Style" w:hAnsi="Bookman Old Style" w:cs="Bookman Old Style"/>
          <w:i/>
        </w:rPr>
      </w:pPr>
      <w:bookmarkStart w:id="1" w:name="_heading=h.30j0zll" w:colFirst="0" w:colLast="0"/>
      <w:bookmarkEnd w:id="1"/>
    </w:p>
    <w:p w14:paraId="6346D422" w14:textId="77777777" w:rsidR="00874FAD" w:rsidRDefault="00874FAD">
      <w:pPr>
        <w:spacing w:line="240" w:lineRule="auto"/>
        <w:ind w:left="720"/>
        <w:jc w:val="both"/>
        <w:rPr>
          <w:rFonts w:ascii="Bookman Old Style" w:eastAsia="Bookman Old Style" w:hAnsi="Bookman Old Style" w:cs="Bookman Old Style"/>
          <w:i/>
        </w:rPr>
      </w:pPr>
    </w:p>
    <w:p w14:paraId="2F4506C0" w14:textId="77777777" w:rsidR="00874FAD" w:rsidRDefault="00000000">
      <w:pPr>
        <w:spacing w:line="240" w:lineRule="auto"/>
        <w:ind w:left="720"/>
        <w:jc w:val="both"/>
        <w:rPr>
          <w:rFonts w:ascii="Bookman Old Style" w:eastAsia="Bookman Old Style" w:hAnsi="Bookman Old Style" w:cs="Bookman Old Style"/>
          <w:i/>
        </w:rPr>
      </w:pPr>
      <w:bookmarkStart w:id="2" w:name="_heading=h.1fob9te" w:colFirst="0" w:colLast="0"/>
      <w:bookmarkEnd w:id="2"/>
      <w:r>
        <w:rPr>
          <w:rFonts w:ascii="Bookman Old Style" w:eastAsia="Bookman Old Style" w:hAnsi="Bookman Old Style" w:cs="Bookman Old Style"/>
          <w:i/>
        </w:rPr>
        <w:t xml:space="preserve">“9. CONSTRUCTOR. Es el profesional, ingeniero civil, arquitecto o </w:t>
      </w:r>
      <w:r>
        <w:rPr>
          <w:rFonts w:ascii="Bookman Old Style" w:eastAsia="Bookman Old Style" w:hAnsi="Bookman Old Style" w:cs="Bookman Old Style"/>
          <w:i/>
          <w:u w:val="single"/>
        </w:rPr>
        <w:t>constructor en arquitectura e ingeniería</w:t>
      </w:r>
      <w:r>
        <w:rPr>
          <w:rFonts w:ascii="Bookman Old Style" w:eastAsia="Bookman Old Style" w:hAnsi="Bookman Old Style" w:cs="Bookman Old Style"/>
          <w:i/>
        </w:rPr>
        <w:t>, bajo cuya responsabilidad se adelanta la construcción de una edificación.</w:t>
      </w:r>
    </w:p>
    <w:p w14:paraId="0620CAE5" w14:textId="77777777" w:rsidR="00874FAD" w:rsidRDefault="00000000">
      <w:pPr>
        <w:spacing w:line="240" w:lineRule="auto"/>
        <w:ind w:left="720"/>
        <w:jc w:val="both"/>
        <w:rPr>
          <w:rFonts w:ascii="Bookman Old Style" w:eastAsia="Bookman Old Style" w:hAnsi="Bookman Old Style" w:cs="Bookman Old Style"/>
          <w:i/>
        </w:rPr>
      </w:pPr>
      <w:r>
        <w:rPr>
          <w:rFonts w:ascii="Bookman Old Style" w:eastAsia="Bookman Old Style" w:hAnsi="Bookman Old Style" w:cs="Bookman Old Style"/>
          <w:i/>
        </w:rPr>
        <w:t>(…)</w:t>
      </w:r>
    </w:p>
    <w:p w14:paraId="3314702F" w14:textId="77777777" w:rsidR="00874FAD" w:rsidRDefault="00874FAD">
      <w:pPr>
        <w:spacing w:line="240" w:lineRule="auto"/>
        <w:ind w:left="720"/>
        <w:jc w:val="both"/>
        <w:rPr>
          <w:rFonts w:ascii="Bookman Old Style" w:eastAsia="Bookman Old Style" w:hAnsi="Bookman Old Style" w:cs="Bookman Old Style"/>
          <w:i/>
        </w:rPr>
      </w:pPr>
    </w:p>
    <w:p w14:paraId="32208F5F" w14:textId="77777777" w:rsidR="00874FAD" w:rsidRDefault="00000000">
      <w:pPr>
        <w:spacing w:line="240" w:lineRule="auto"/>
        <w:ind w:left="720"/>
        <w:jc w:val="both"/>
        <w:rPr>
          <w:rFonts w:ascii="Bookman Old Style" w:eastAsia="Bookman Old Style" w:hAnsi="Bookman Old Style" w:cs="Bookman Old Style"/>
          <w:i/>
        </w:rPr>
      </w:pPr>
      <w:r>
        <w:rPr>
          <w:rFonts w:ascii="Bookman Old Style" w:eastAsia="Bookman Old Style" w:hAnsi="Bookman Old Style" w:cs="Bookman Old Style"/>
          <w:i/>
        </w:rPr>
        <w:t xml:space="preserve">41. SUPERVISOR TECNICO. Es el profesional, ingeniero civil, arquitecto o </w:t>
      </w:r>
      <w:r>
        <w:rPr>
          <w:rFonts w:ascii="Bookman Old Style" w:eastAsia="Bookman Old Style" w:hAnsi="Bookman Old Style" w:cs="Bookman Old Style"/>
          <w:i/>
          <w:u w:val="single"/>
        </w:rPr>
        <w:t>constructor en arquitectura e ingeniería,</w:t>
      </w:r>
      <w:r>
        <w:rPr>
          <w:rFonts w:ascii="Bookman Old Style" w:eastAsia="Bookman Old Style" w:hAnsi="Bookman Old Style" w:cs="Bookman Old Style"/>
          <w:i/>
        </w:rPr>
        <w:t xml:space="preserve"> bajo cuya responsabilidad se realiza la supervisión técnica. Parte de las labores de supervisión puede ser delegada por el supervisor en personal técnico auxiliar, el cual trabajará bajo su dirección y su responsabilidad. La supervisión técnica puede ser realizada por el mismo profesional que efectúa la interventoría.” (Negrilla y subrayado fuera del texto original.)</w:t>
      </w:r>
    </w:p>
    <w:p w14:paraId="2628F040" w14:textId="77777777" w:rsidR="00874FAD" w:rsidRDefault="00874FAD">
      <w:pPr>
        <w:spacing w:line="240" w:lineRule="auto"/>
        <w:ind w:left="720"/>
        <w:jc w:val="both"/>
        <w:rPr>
          <w:rFonts w:ascii="Bookman Old Style" w:eastAsia="Bookman Old Style" w:hAnsi="Bookman Old Style" w:cs="Bookman Old Style"/>
          <w:i/>
        </w:rPr>
      </w:pPr>
    </w:p>
    <w:p w14:paraId="0B959EB2" w14:textId="77777777" w:rsidR="00874FAD" w:rsidRDefault="00000000">
      <w:pPr>
        <w:spacing w:line="240" w:lineRule="auto"/>
        <w:ind w:left="720"/>
        <w:jc w:val="both"/>
        <w:rPr>
          <w:rFonts w:ascii="Bookman Old Style" w:eastAsia="Bookman Old Style" w:hAnsi="Bookman Old Style" w:cs="Bookman Old Style"/>
          <w:i/>
        </w:rPr>
      </w:pPr>
      <w:r>
        <w:rPr>
          <w:rFonts w:ascii="Bookman Old Style" w:eastAsia="Bookman Old Style" w:hAnsi="Bookman Old Style" w:cs="Bookman Old Style"/>
          <w:i/>
        </w:rPr>
        <w:t xml:space="preserve">De acuerdo con lo anterior, para desarrollar las labores de Constructor y Supervisor Técnico se requiere el cumplimiento de los requisitos señalados en la norma expuesta, es decir, en lo que respecta a la formación académica </w:t>
      </w:r>
      <w:r>
        <w:rPr>
          <w:rFonts w:ascii="Bookman Old Style" w:eastAsia="Bookman Old Style" w:hAnsi="Bookman Old Style" w:cs="Bookman Old Style"/>
          <w:i/>
          <w:u w:val="single"/>
        </w:rPr>
        <w:t xml:space="preserve">deberá poseer título profesional de ingeniero civil, arquitecto o </w:t>
      </w:r>
      <w:r>
        <w:rPr>
          <w:rFonts w:ascii="Bookman Old Style" w:eastAsia="Bookman Old Style" w:hAnsi="Bookman Old Style" w:cs="Bookman Old Style"/>
          <w:b/>
          <w:i/>
          <w:u w:val="single"/>
        </w:rPr>
        <w:t>constructor en arquitectura e ingeniería</w:t>
      </w:r>
      <w:r>
        <w:rPr>
          <w:rFonts w:ascii="Bookman Old Style" w:eastAsia="Bookman Old Style" w:hAnsi="Bookman Old Style" w:cs="Bookman Old Style"/>
          <w:b/>
          <w:i/>
        </w:rPr>
        <w:t xml:space="preserve"> </w:t>
      </w:r>
      <w:r>
        <w:rPr>
          <w:rFonts w:ascii="Bookman Old Style" w:eastAsia="Bookman Old Style" w:hAnsi="Bookman Old Style" w:cs="Bookman Old Style"/>
          <w:i/>
        </w:rPr>
        <w:t>y la correspondiente matrícula o tarjeta profesional, sumado a los años de experiencia exigidos por la norma.</w:t>
      </w:r>
    </w:p>
    <w:p w14:paraId="05F5C52B" w14:textId="77777777" w:rsidR="00874FAD" w:rsidRDefault="00874FAD">
      <w:pPr>
        <w:spacing w:line="240" w:lineRule="auto"/>
        <w:jc w:val="both"/>
        <w:rPr>
          <w:rFonts w:ascii="Bookman Old Style" w:eastAsia="Bookman Old Style" w:hAnsi="Bookman Old Style" w:cs="Bookman Old Style"/>
        </w:rPr>
      </w:pPr>
    </w:p>
    <w:p w14:paraId="4099C66E"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ese sentido, la Comisión Asesora Permanente para la Construcción </w:t>
      </w:r>
      <w:proofErr w:type="spellStart"/>
      <w:r>
        <w:rPr>
          <w:rFonts w:ascii="Bookman Old Style" w:eastAsia="Bookman Old Style" w:hAnsi="Bookman Old Style" w:cs="Bookman Old Style"/>
        </w:rPr>
        <w:t>Sismoresistente</w:t>
      </w:r>
      <w:proofErr w:type="spellEnd"/>
      <w:r>
        <w:rPr>
          <w:rFonts w:ascii="Bookman Old Style" w:eastAsia="Bookman Old Style" w:hAnsi="Bookman Old Style" w:cs="Bookman Old Style"/>
        </w:rPr>
        <w:t xml:space="preserve">, con un criterio exegético y literal, considera </w:t>
      </w:r>
      <w:proofErr w:type="gramStart"/>
      <w:r>
        <w:rPr>
          <w:rFonts w:ascii="Bookman Old Style" w:eastAsia="Bookman Old Style" w:hAnsi="Bookman Old Style" w:cs="Bookman Old Style"/>
        </w:rPr>
        <w:t>que</w:t>
      </w:r>
      <w:proofErr w:type="gramEnd"/>
      <w:r>
        <w:rPr>
          <w:rFonts w:ascii="Bookman Old Style" w:eastAsia="Bookman Old Style" w:hAnsi="Bookman Old Style" w:cs="Bookman Old Style"/>
        </w:rPr>
        <w:t xml:space="preserve"> si el título no coincide con la titulación denominada “constructor en arquitectura e ingeniería”, no se encuentra cobijado por la norma.</w:t>
      </w:r>
    </w:p>
    <w:p w14:paraId="665E528F" w14:textId="77777777" w:rsidR="00874FAD" w:rsidRDefault="00874FAD">
      <w:pPr>
        <w:spacing w:line="240" w:lineRule="auto"/>
        <w:jc w:val="both"/>
        <w:rPr>
          <w:rFonts w:ascii="Bookman Old Style" w:eastAsia="Bookman Old Style" w:hAnsi="Bookman Old Style" w:cs="Bookman Old Style"/>
        </w:rPr>
      </w:pPr>
    </w:p>
    <w:p w14:paraId="4B9227AB"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No obstante, de la lectura de las normas contenidas en la Ley 1229 de 2008, la cual modificó la Ley 400 de 1997, </w:t>
      </w:r>
      <w:r>
        <w:rPr>
          <w:rFonts w:ascii="Bookman Old Style" w:eastAsia="Bookman Old Style" w:hAnsi="Bookman Old Style" w:cs="Bookman Old Style"/>
          <w:i/>
        </w:rPr>
        <w:t>mediante la cual se adoptan normas sobre construcciones sismo resistentes</w:t>
      </w:r>
      <w:r>
        <w:rPr>
          <w:rFonts w:ascii="Bookman Old Style" w:eastAsia="Bookman Old Style" w:hAnsi="Bookman Old Style" w:cs="Bookman Old Style"/>
        </w:rPr>
        <w:t>, se observa que:</w:t>
      </w:r>
    </w:p>
    <w:p w14:paraId="41089E4B" w14:textId="77777777" w:rsidR="00874FAD" w:rsidRDefault="00874FAD">
      <w:pPr>
        <w:spacing w:line="240" w:lineRule="auto"/>
        <w:jc w:val="both"/>
        <w:rPr>
          <w:rFonts w:ascii="Bookman Old Style" w:eastAsia="Bookman Old Style" w:hAnsi="Bookman Old Style" w:cs="Bookman Old Style"/>
        </w:rPr>
      </w:pPr>
    </w:p>
    <w:p w14:paraId="02AD6E8E" w14:textId="77777777" w:rsidR="00874FAD" w:rsidRDefault="00000000">
      <w:pPr>
        <w:numPr>
          <w:ilvl w:val="0"/>
          <w:numId w:val="3"/>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En el título II de la Ley 400 de 1994, denominado “Definiciones”, en el artículo 4, se establecieron las definiciones para efectos de la comprensión de la presente Ley.</w:t>
      </w:r>
    </w:p>
    <w:p w14:paraId="5276DFC1" w14:textId="77777777" w:rsidR="00874FAD" w:rsidRDefault="00874FAD">
      <w:pPr>
        <w:spacing w:line="240" w:lineRule="auto"/>
        <w:ind w:left="720"/>
        <w:jc w:val="both"/>
        <w:rPr>
          <w:rFonts w:ascii="Bookman Old Style" w:eastAsia="Bookman Old Style" w:hAnsi="Bookman Old Style" w:cs="Bookman Old Style"/>
        </w:rPr>
      </w:pPr>
    </w:p>
    <w:p w14:paraId="3572C25D" w14:textId="77777777" w:rsidR="00874FAD" w:rsidRDefault="00000000">
      <w:pPr>
        <w:numPr>
          <w:ilvl w:val="0"/>
          <w:numId w:val="3"/>
        </w:numPr>
        <w:spacing w:line="240" w:lineRule="auto"/>
        <w:jc w:val="both"/>
        <w:rPr>
          <w:rFonts w:ascii="Verdana" w:eastAsia="Verdana" w:hAnsi="Verdana" w:cs="Verdana"/>
        </w:rPr>
      </w:pPr>
      <w:r>
        <w:rPr>
          <w:rFonts w:ascii="Bookman Old Style" w:eastAsia="Bookman Old Style" w:hAnsi="Bookman Old Style" w:cs="Bookman Old Style"/>
        </w:rPr>
        <w:t xml:space="preserve">Así las cosas, en el numeral 9 de la citada norma, se define al </w:t>
      </w:r>
      <w:r>
        <w:rPr>
          <w:rFonts w:ascii="Bookman Old Style" w:eastAsia="Bookman Old Style" w:hAnsi="Bookman Old Style" w:cs="Bookman Old Style"/>
          <w:b/>
        </w:rPr>
        <w:t>Constructor</w:t>
      </w:r>
      <w:r>
        <w:rPr>
          <w:rFonts w:ascii="Bookman Old Style" w:eastAsia="Bookman Old Style" w:hAnsi="Bookman Old Style" w:cs="Bookman Old Style"/>
        </w:rPr>
        <w:t xml:space="preserve">, como </w:t>
      </w:r>
      <w:r>
        <w:rPr>
          <w:rFonts w:ascii="Bookman Old Style" w:eastAsia="Bookman Old Style" w:hAnsi="Bookman Old Style" w:cs="Bookman Old Style"/>
          <w:i/>
        </w:rPr>
        <w:t xml:space="preserve">“el profesional, ingeniero civil, arquitecto o </w:t>
      </w:r>
      <w:r>
        <w:rPr>
          <w:rFonts w:ascii="Bookman Old Style" w:eastAsia="Bookman Old Style" w:hAnsi="Bookman Old Style" w:cs="Bookman Old Style"/>
          <w:i/>
          <w:u w:val="single"/>
        </w:rPr>
        <w:t>constructor en arquitectura e ingeniería,</w:t>
      </w:r>
      <w:r>
        <w:rPr>
          <w:rFonts w:ascii="Bookman Old Style" w:eastAsia="Bookman Old Style" w:hAnsi="Bookman Old Style" w:cs="Bookman Old Style"/>
          <w:i/>
        </w:rPr>
        <w:t xml:space="preserve"> bajo cuya responsabilidad se adelanta la construcción de una edificación”</w:t>
      </w:r>
      <w:r>
        <w:rPr>
          <w:rFonts w:ascii="Bookman Old Style" w:eastAsia="Bookman Old Style" w:hAnsi="Bookman Old Style" w:cs="Bookman Old Style"/>
        </w:rPr>
        <w:t xml:space="preserve"> (numeral modificado por el artículo 1 de la Ley 1229 de 2008).</w:t>
      </w:r>
    </w:p>
    <w:p w14:paraId="0E972CB3" w14:textId="77777777" w:rsidR="00874FAD" w:rsidRDefault="00874FAD">
      <w:pPr>
        <w:spacing w:line="240" w:lineRule="auto"/>
        <w:ind w:left="720"/>
        <w:jc w:val="both"/>
        <w:rPr>
          <w:rFonts w:ascii="Bookman Old Style" w:eastAsia="Bookman Old Style" w:hAnsi="Bookman Old Style" w:cs="Bookman Old Style"/>
        </w:rPr>
      </w:pPr>
    </w:p>
    <w:p w14:paraId="589A8A5F" w14:textId="77777777" w:rsidR="00874FAD" w:rsidRDefault="00000000">
      <w:pPr>
        <w:numPr>
          <w:ilvl w:val="0"/>
          <w:numId w:val="3"/>
        </w:numPr>
        <w:spacing w:line="240" w:lineRule="auto"/>
        <w:jc w:val="both"/>
        <w:rPr>
          <w:rFonts w:ascii="Verdana" w:eastAsia="Verdana" w:hAnsi="Verdana" w:cs="Verdana"/>
        </w:rPr>
      </w:pPr>
      <w:r>
        <w:rPr>
          <w:rFonts w:ascii="Bookman Old Style" w:eastAsia="Bookman Old Style" w:hAnsi="Bookman Old Style" w:cs="Bookman Old Style"/>
        </w:rPr>
        <w:t xml:space="preserve">En el numeral 24, se define al </w:t>
      </w:r>
      <w:r>
        <w:rPr>
          <w:rFonts w:ascii="Bookman Old Style" w:eastAsia="Bookman Old Style" w:hAnsi="Bookman Old Style" w:cs="Bookman Old Style"/>
          <w:b/>
        </w:rPr>
        <w:t>Interventor,</w:t>
      </w:r>
      <w:r>
        <w:rPr>
          <w:rFonts w:ascii="Bookman Old Style" w:eastAsia="Bookman Old Style" w:hAnsi="Bookman Old Style" w:cs="Bookman Old Style"/>
        </w:rPr>
        <w:t xml:space="preserve"> como “el profesional, ingeniero civil, arquitecto o </w:t>
      </w:r>
      <w:r>
        <w:rPr>
          <w:rFonts w:ascii="Bookman Old Style" w:eastAsia="Bookman Old Style" w:hAnsi="Bookman Old Style" w:cs="Bookman Old Style"/>
          <w:u w:val="single"/>
        </w:rPr>
        <w:t>constructor en arquitectura e ingeniería</w:t>
      </w:r>
      <w:r>
        <w:rPr>
          <w:rFonts w:ascii="Bookman Old Style" w:eastAsia="Bookman Old Style" w:hAnsi="Bookman Old Style" w:cs="Bookman Old Style"/>
        </w:rPr>
        <w:t>, que representa al propietario durante la construcción de la edificación, bajo cuya responsabilidad se verifica que esta se adelante de acuerdo con todas las reglamentaciones correspondientes, siguiendo los planos, diseños y especificaciones realizados por los diseñadores” (numeral modificado por el artículo 2 de la Ley 1229 de 2008).</w:t>
      </w:r>
    </w:p>
    <w:p w14:paraId="3BBB32F5" w14:textId="77777777" w:rsidR="00874FAD" w:rsidRDefault="00874FAD">
      <w:pPr>
        <w:spacing w:line="240" w:lineRule="auto"/>
        <w:ind w:left="720"/>
        <w:jc w:val="both"/>
        <w:rPr>
          <w:rFonts w:ascii="Bookman Old Style" w:eastAsia="Bookman Old Style" w:hAnsi="Bookman Old Style" w:cs="Bookman Old Style"/>
        </w:rPr>
      </w:pPr>
    </w:p>
    <w:p w14:paraId="179EAFAE" w14:textId="77777777" w:rsidR="00874FAD" w:rsidRDefault="00000000">
      <w:pPr>
        <w:numPr>
          <w:ilvl w:val="0"/>
          <w:numId w:val="3"/>
        </w:numPr>
        <w:spacing w:line="240" w:lineRule="auto"/>
        <w:jc w:val="both"/>
        <w:rPr>
          <w:rFonts w:ascii="Verdana" w:eastAsia="Verdana" w:hAnsi="Verdana" w:cs="Verdana"/>
        </w:rPr>
      </w:pPr>
      <w:r>
        <w:rPr>
          <w:rFonts w:ascii="Bookman Old Style" w:eastAsia="Bookman Old Style" w:hAnsi="Bookman Old Style" w:cs="Bookman Old Style"/>
        </w:rPr>
        <w:t xml:space="preserve">En el numeral 41, se define al </w:t>
      </w:r>
      <w:r>
        <w:rPr>
          <w:rFonts w:ascii="Bookman Old Style" w:eastAsia="Bookman Old Style" w:hAnsi="Bookman Old Style" w:cs="Bookman Old Style"/>
          <w:b/>
        </w:rPr>
        <w:t xml:space="preserve">Supervisor técnico, </w:t>
      </w:r>
      <w:r>
        <w:rPr>
          <w:rFonts w:ascii="Bookman Old Style" w:eastAsia="Bookman Old Style" w:hAnsi="Bookman Old Style" w:cs="Bookman Old Style"/>
        </w:rPr>
        <w:t xml:space="preserve">como “el profesional, ingeniero civil, arquitecto o </w:t>
      </w:r>
      <w:r>
        <w:rPr>
          <w:rFonts w:ascii="Bookman Old Style" w:eastAsia="Bookman Old Style" w:hAnsi="Bookman Old Style" w:cs="Bookman Old Style"/>
          <w:u w:val="single"/>
        </w:rPr>
        <w:t>constructor en arquitectura e ingeniería,</w:t>
      </w:r>
      <w:r>
        <w:rPr>
          <w:rFonts w:ascii="Bookman Old Style" w:eastAsia="Bookman Old Style" w:hAnsi="Bookman Old Style" w:cs="Bookman Old Style"/>
        </w:rPr>
        <w:t xml:space="preserve"> bajo cuya </w:t>
      </w:r>
      <w:r>
        <w:rPr>
          <w:rFonts w:ascii="Bookman Old Style" w:eastAsia="Bookman Old Style" w:hAnsi="Bookman Old Style" w:cs="Bookman Old Style"/>
        </w:rPr>
        <w:lastRenderedPageBreak/>
        <w:t xml:space="preserve">responsabilidad se realiza la supervisión técnica. Parte de las labores de supervisión puede ser delegada por el supervisor en personal técnico auxiliar, el cual trabajará bajo su dirección y su responsabilidad. La supervisión técnica puede ser realizada por el mismo profesional que efectúa la interventoría” (numeral modificado por el artículo 3 de la Ley 1229 de 2008). </w:t>
      </w:r>
    </w:p>
    <w:p w14:paraId="3DC67569" w14:textId="77777777" w:rsidR="00874FAD" w:rsidRDefault="00874FAD">
      <w:pPr>
        <w:spacing w:line="240" w:lineRule="auto"/>
        <w:jc w:val="both"/>
        <w:rPr>
          <w:rFonts w:ascii="Bookman Old Style" w:eastAsia="Bookman Old Style" w:hAnsi="Bookman Old Style" w:cs="Bookman Old Style"/>
        </w:rPr>
      </w:pPr>
    </w:p>
    <w:p w14:paraId="019316C3"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suma, la modificación introducida por la Ley 1229 de 2008, en relación con las definiciones anteriormente mencionadas, consistió en abrir la posibilidad para que el profesional en Construcción en arquitectura e ingeniería, ejerciera los roles de constructor, interventor y supervisor técnico. </w:t>
      </w:r>
    </w:p>
    <w:p w14:paraId="02DCF39C" w14:textId="77777777" w:rsidR="00874FAD" w:rsidRDefault="00874FAD">
      <w:pPr>
        <w:jc w:val="both"/>
        <w:rPr>
          <w:rFonts w:ascii="Bookman Old Style" w:eastAsia="Bookman Old Style" w:hAnsi="Bookman Old Style" w:cs="Bookman Old Style"/>
        </w:rPr>
      </w:pPr>
    </w:p>
    <w:p w14:paraId="717A670F" w14:textId="77777777" w:rsidR="00874FAD" w:rsidRDefault="00000000">
      <w:pPr>
        <w:jc w:val="both"/>
        <w:rPr>
          <w:rFonts w:ascii="Bookman Old Style" w:eastAsia="Bookman Old Style" w:hAnsi="Bookman Old Style" w:cs="Bookman Old Style"/>
          <w:i/>
        </w:rPr>
      </w:pPr>
      <w:r>
        <w:rPr>
          <w:rFonts w:ascii="Bookman Old Style" w:eastAsia="Bookman Old Style" w:hAnsi="Bookman Old Style" w:cs="Bookman Old Style"/>
        </w:rPr>
        <w:t>De igual manera, la mencionada Ley, introdujo dos parágrafos al artículo 4 de definiciones, en el siguiente sentido:</w:t>
      </w:r>
    </w:p>
    <w:p w14:paraId="7FD0A969" w14:textId="77777777" w:rsidR="00874FAD" w:rsidRDefault="00000000">
      <w:pPr>
        <w:spacing w:before="280" w:after="280" w:line="240" w:lineRule="auto"/>
        <w:ind w:left="705"/>
        <w:jc w:val="both"/>
        <w:rPr>
          <w:rFonts w:ascii="Bookman Old Style" w:eastAsia="Bookman Old Style" w:hAnsi="Bookman Old Style" w:cs="Bookman Old Style"/>
          <w:b/>
          <w:i/>
        </w:rPr>
      </w:pPr>
      <w:bookmarkStart w:id="3" w:name="_heading=h.3znysh7" w:colFirst="0" w:colLast="0"/>
      <w:bookmarkEnd w:id="3"/>
      <w:r>
        <w:rPr>
          <w:rFonts w:ascii="Bookman Old Style" w:eastAsia="Bookman Old Style" w:hAnsi="Bookman Old Style" w:cs="Bookman Old Style"/>
          <w:b/>
          <w:i/>
        </w:rPr>
        <w:t>“Ley 1229 de 2008. Artículo 4. DEFINICIONES.</w:t>
      </w:r>
    </w:p>
    <w:p w14:paraId="03001583" w14:textId="77777777" w:rsidR="00874FAD" w:rsidRDefault="00000000">
      <w:pPr>
        <w:spacing w:before="280" w:after="280" w:line="240" w:lineRule="auto"/>
        <w:ind w:left="705"/>
        <w:jc w:val="both"/>
        <w:rPr>
          <w:rFonts w:ascii="Bookman Old Style" w:eastAsia="Bookman Old Style" w:hAnsi="Bookman Old Style" w:cs="Bookman Old Style"/>
          <w:i/>
          <w:u w:val="single"/>
        </w:rPr>
      </w:pPr>
      <w:bookmarkStart w:id="4" w:name="_heading=h.2et92p0" w:colFirst="0" w:colLast="0"/>
      <w:bookmarkEnd w:id="4"/>
      <w:r>
        <w:rPr>
          <w:rFonts w:ascii="Bookman Old Style" w:eastAsia="Bookman Old Style" w:hAnsi="Bookman Old Style" w:cs="Bookman Old Style"/>
          <w:b/>
          <w:i/>
        </w:rPr>
        <w:t>PARÁGRAFO 1o.</w:t>
      </w:r>
      <w:r>
        <w:rPr>
          <w:rFonts w:ascii="Bookman Old Style" w:eastAsia="Bookman Old Style" w:hAnsi="Bookman Old Style" w:cs="Bookman Old Style"/>
          <w:i/>
        </w:rPr>
        <w:t> &lt;Parágrafo adicionado por el artículo </w:t>
      </w:r>
      <w:hyperlink r:id="rId11" w:anchor="4">
        <w:r>
          <w:rPr>
            <w:rFonts w:ascii="Bookman Old Style" w:eastAsia="Bookman Old Style" w:hAnsi="Bookman Old Style" w:cs="Bookman Old Style"/>
            <w:i/>
          </w:rPr>
          <w:t>4</w:t>
        </w:r>
      </w:hyperlink>
      <w:r>
        <w:rPr>
          <w:rFonts w:ascii="Bookman Old Style" w:eastAsia="Bookman Old Style" w:hAnsi="Bookman Old Style" w:cs="Bookman Old Style"/>
          <w:i/>
        </w:rPr>
        <w:t xml:space="preserve"> de la Ley 1229 de 2008. El nuevo texto es el siguiente:&gt; </w:t>
      </w:r>
      <w:r>
        <w:rPr>
          <w:rFonts w:ascii="Bookman Old Style" w:eastAsia="Bookman Old Style" w:hAnsi="Bookman Old Style" w:cs="Bookman Old Style"/>
          <w:b/>
          <w:i/>
          <w:u w:val="single"/>
        </w:rPr>
        <w:t>Entiéndase por profesional en construcción en arquitectura e ingeniería</w:t>
      </w:r>
      <w:r>
        <w:rPr>
          <w:rFonts w:ascii="Bookman Old Style" w:eastAsia="Bookman Old Style" w:hAnsi="Bookman Old Style" w:cs="Bookman Old Style"/>
          <w:i/>
          <w:u w:val="single"/>
        </w:rPr>
        <w:t xml:space="preserve">, </w:t>
      </w:r>
      <w:r>
        <w:rPr>
          <w:rFonts w:ascii="Bookman Old Style" w:eastAsia="Bookman Old Style" w:hAnsi="Bookman Old Style" w:cs="Bookman Old Style"/>
          <w:b/>
          <w:i/>
          <w:u w:val="single"/>
        </w:rPr>
        <w:t>al profesional de nivel universitario cuya formación académica le habilita para</w:t>
      </w:r>
      <w:r>
        <w:rPr>
          <w:rFonts w:ascii="Bookman Old Style" w:eastAsia="Bookman Old Style" w:hAnsi="Bookman Old Style" w:cs="Bookman Old Style"/>
          <w:i/>
          <w:u w:val="single"/>
        </w:rPr>
        <w:t>:</w:t>
      </w:r>
    </w:p>
    <w:p w14:paraId="3545F983"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a) Construir o materializar la construcción de todo tipo de proyecto civil o arquitectónico, tales como construcción de edificaciones, viviendas, vías, pavimentos, puentes, aeropuertos, acueductos, alcantarillados, oleoductos, gasoductos, poliductos, etc., que hayan sido previamente diseñados o calculados por arquitectos o ingenieros respectivamente;</w:t>
      </w:r>
    </w:p>
    <w:p w14:paraId="5881F5E6"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b) Gestionar, planear, organizar, ejecutar, administrar y controlar (inspección, dirección de obra y/o interventoría), los diferentes procesos constructivos de los proyectos de obra civil o arquitectónica, utilizando las nuevas tecnologías y aplicando las normas constructivas vigentes, siempre y cuando el proyecto haya sido previamente calculado y diseñado por ingenieros civiles o arquitectos respectivamente;</w:t>
      </w:r>
    </w:p>
    <w:p w14:paraId="0CC36B33"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c) Producir materiales para la construcción e investigar sobre nuevos sistemas constructivos, innovar tanto las técnicas como los procesos constructivos e implementar en el proceso constructivo normas y procesos ambientales;</w:t>
      </w:r>
    </w:p>
    <w:p w14:paraId="3FF4338F"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d) Implementar, coordinar y asignar tareas derivadas de planes de mantenimiento constructivo preventivo y correctivo;</w:t>
      </w:r>
    </w:p>
    <w:p w14:paraId="166AB8FD"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e) Celebrar contratos públicos o privados cuyo, objeto sea la materialización, gestión, planeación, organización, administración o control de proyectos arquitectónicos o civiles, tales como Construcción de edificaciones, viviendas, vías, pavimentos, puentes, aeropuertos, acueductos, alcantarillados, oleoductos, gasoductos, poliductos, etc. y, en general, contratos que tengan que ver con la construcción de todo tipo de proyectos que hayan sido previamente diseñados o calculados por arquitectos o ingenieros respectivamente;</w:t>
      </w:r>
    </w:p>
    <w:p w14:paraId="174772B1"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f) Gerencia de proyectos de construcción, programación de obras y proyectos, y elaboración y control de presupuestos de construcción;</w:t>
      </w:r>
    </w:p>
    <w:p w14:paraId="2B07AD4B"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lastRenderedPageBreak/>
        <w:t>g) Asesor sobre todo lo referente a la materialización de obras civiles o arquitectónicas;</w:t>
      </w:r>
    </w:p>
    <w:p w14:paraId="608FEA8A"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h) Realizar estudios, trámites y expedición de licencias de urbanismo y construcción de proyectos que hayan sido previamente calculados y diseñados por ingenieros civiles o arquitectos respectivamente;</w:t>
      </w:r>
    </w:p>
    <w:p w14:paraId="0C25973D" w14:textId="77777777" w:rsidR="00874FAD" w:rsidRDefault="00000000">
      <w:pPr>
        <w:spacing w:before="280" w:after="280" w:line="240" w:lineRule="auto"/>
        <w:ind w:firstLine="705"/>
        <w:jc w:val="both"/>
        <w:rPr>
          <w:rFonts w:ascii="Bookman Old Style" w:eastAsia="Bookman Old Style" w:hAnsi="Bookman Old Style" w:cs="Bookman Old Style"/>
          <w:i/>
        </w:rPr>
      </w:pPr>
      <w:r>
        <w:rPr>
          <w:rFonts w:ascii="Bookman Old Style" w:eastAsia="Bookman Old Style" w:hAnsi="Bookman Old Style" w:cs="Bookman Old Style"/>
          <w:i/>
        </w:rPr>
        <w:t>i) Desempeñar la docencia en el área de la construcción;</w:t>
      </w:r>
    </w:p>
    <w:p w14:paraId="1927B03E"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i/>
        </w:rPr>
        <w:t xml:space="preserve">j) Elaboración de avalúos y </w:t>
      </w:r>
      <w:proofErr w:type="spellStart"/>
      <w:r>
        <w:rPr>
          <w:rFonts w:ascii="Bookman Old Style" w:eastAsia="Bookman Old Style" w:hAnsi="Bookman Old Style" w:cs="Bookman Old Style"/>
          <w:i/>
        </w:rPr>
        <w:t>peritazgos</w:t>
      </w:r>
      <w:proofErr w:type="spellEnd"/>
      <w:r>
        <w:rPr>
          <w:rFonts w:ascii="Bookman Old Style" w:eastAsia="Bookman Old Style" w:hAnsi="Bookman Old Style" w:cs="Bookman Old Style"/>
          <w:i/>
        </w:rPr>
        <w:t xml:space="preserve"> en materia de construcción a las edificaciones;</w:t>
      </w:r>
    </w:p>
    <w:p w14:paraId="22A0ED07" w14:textId="77777777" w:rsidR="00874FAD" w:rsidRDefault="00000000">
      <w:pPr>
        <w:spacing w:before="280" w:after="280" w:line="240" w:lineRule="auto"/>
        <w:ind w:left="705"/>
        <w:jc w:val="both"/>
        <w:rPr>
          <w:rFonts w:ascii="Bookman Old Style" w:eastAsia="Bookman Old Style" w:hAnsi="Bookman Old Style" w:cs="Bookman Old Style"/>
          <w:b/>
          <w:sz w:val="21"/>
          <w:szCs w:val="21"/>
        </w:rPr>
      </w:pPr>
      <w:r>
        <w:rPr>
          <w:rFonts w:ascii="Bookman Old Style" w:eastAsia="Bookman Old Style" w:hAnsi="Bookman Old Style" w:cs="Bookman Old Style"/>
          <w:i/>
        </w:rPr>
        <w:t>k) Las demás que se ejerzan dentro del campo de la profesión del constructor.”</w:t>
      </w:r>
    </w:p>
    <w:p w14:paraId="12B1E95B" w14:textId="77777777" w:rsidR="00874FAD" w:rsidRDefault="00000000">
      <w:pPr>
        <w:spacing w:before="280" w:after="280" w:line="240" w:lineRule="auto"/>
        <w:ind w:left="705"/>
        <w:jc w:val="both"/>
        <w:rPr>
          <w:rFonts w:ascii="Bookman Old Style" w:eastAsia="Bookman Old Style" w:hAnsi="Bookman Old Style" w:cs="Bookman Old Style"/>
          <w:i/>
        </w:rPr>
      </w:pPr>
      <w:r>
        <w:rPr>
          <w:rFonts w:ascii="Bookman Old Style" w:eastAsia="Bookman Old Style" w:hAnsi="Bookman Old Style" w:cs="Bookman Old Style"/>
          <w:b/>
          <w:i/>
        </w:rPr>
        <w:t xml:space="preserve">Parágrafo 2° </w:t>
      </w:r>
      <w:r>
        <w:rPr>
          <w:rFonts w:ascii="Bookman Old Style" w:eastAsia="Bookman Old Style" w:hAnsi="Bookman Old Style" w:cs="Bookman Old Style"/>
          <w:i/>
        </w:rPr>
        <w:t xml:space="preserve">- Adicionado por el art. 4, Ley 1299 de 2008 &lt;El texto adicionado es el siguiente&gt; A partir de la entrada en vigencia de la presente ley, </w:t>
      </w:r>
      <w:r>
        <w:rPr>
          <w:rFonts w:ascii="Bookman Old Style" w:eastAsia="Bookman Old Style" w:hAnsi="Bookman Old Style" w:cs="Bookman Old Style"/>
          <w:i/>
          <w:u w:val="single"/>
        </w:rPr>
        <w:t>las facultades en "profesionales de la construcción en arquitectura e ingeniería"</w:t>
      </w:r>
      <w:r>
        <w:rPr>
          <w:rFonts w:ascii="Bookman Old Style" w:eastAsia="Bookman Old Style" w:hAnsi="Bookman Old Style" w:cs="Bookman Old Style"/>
          <w:i/>
        </w:rPr>
        <w:t>; deberán cumplir con la misma intensidad horaria en sismo resistencia que la establecida para la carrera profesional de Ingeniería Civil; esto con el fin de que sus egresados profesionales puedan cumplir con las actividades previstas en la Ley 400 de 1997.</w:t>
      </w:r>
    </w:p>
    <w:p w14:paraId="4E520A4B" w14:textId="77777777" w:rsidR="00874FAD" w:rsidRDefault="00874FAD">
      <w:pPr>
        <w:spacing w:line="240" w:lineRule="auto"/>
        <w:jc w:val="both"/>
        <w:rPr>
          <w:rFonts w:ascii="Bookman Old Style" w:eastAsia="Bookman Old Style" w:hAnsi="Bookman Old Style" w:cs="Bookman Old Style"/>
          <w:sz w:val="21"/>
          <w:szCs w:val="21"/>
        </w:rPr>
      </w:pPr>
    </w:p>
    <w:p w14:paraId="3C61CEF7"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De la lectura de las normas descritas, en su integridad y de manera sistemática, se concluye de manera clara la intención del legislador de incluir a los profesionales en construcción -cualquiera sea la denominación del título otorgado-, con la condición de que quien ejerza la profesión cuente con la formación académica que le habilite para desempeñar las labores descritas en el parágrafo 1 del artículo 4, y, además, cumpla con la misma intensidad horaria en sismo resistencia que la establecida para la carrera profesional de Ingeniería Civil.</w:t>
      </w:r>
    </w:p>
    <w:p w14:paraId="0F4DACE7" w14:textId="77777777" w:rsidR="00874FAD" w:rsidRDefault="00874FAD">
      <w:pPr>
        <w:spacing w:line="240" w:lineRule="auto"/>
        <w:jc w:val="both"/>
        <w:rPr>
          <w:rFonts w:ascii="Bookman Old Style" w:eastAsia="Bookman Old Style" w:hAnsi="Bookman Old Style" w:cs="Bookman Old Style"/>
        </w:rPr>
      </w:pPr>
    </w:p>
    <w:p w14:paraId="31EEE539"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esa línea, la Institución Universitaria Colegio Mayor de Antioquia, la Universidad del Valle, la Universidad Nacional de Colombia y la Institución Universitaria Colegio Mayor de Cundinamarca, ante la interpretación errada que se ha hecho de la norma, propone un ejercicio de comparación entre las competencias mencionadas en la ley para la habilitación según la formación académica del Constructor en Arquitectura e Ingeniería y las asignaturas vistas en el plan de estudios actual de estos programas, con el fin de que se corrobore que dichos programas cumplen con los requisitos exigidos en la Ley para el desempeño de los roles mencionados.  </w:t>
      </w:r>
    </w:p>
    <w:p w14:paraId="34DC843D" w14:textId="77777777" w:rsidR="00874FAD" w:rsidRDefault="00874FAD">
      <w:pPr>
        <w:spacing w:line="240" w:lineRule="auto"/>
        <w:jc w:val="both"/>
        <w:rPr>
          <w:rFonts w:ascii="Bookman Old Style" w:eastAsia="Bookman Old Style" w:hAnsi="Bookman Old Style" w:cs="Bookman Old Style"/>
          <w:shd w:val="clear" w:color="auto" w:fill="FF9900"/>
        </w:rPr>
      </w:pPr>
    </w:p>
    <w:p w14:paraId="0AC9EB69" w14:textId="77777777" w:rsidR="00874FAD" w:rsidRDefault="00000000">
      <w:pPr>
        <w:spacing w:line="240" w:lineRule="auto"/>
        <w:jc w:val="both"/>
        <w:rPr>
          <w:rFonts w:ascii="Bookman Old Style" w:eastAsia="Bookman Old Style" w:hAnsi="Bookman Old Style" w:cs="Bookman Old Style"/>
          <w:shd w:val="clear" w:color="auto" w:fill="FF9900"/>
        </w:rPr>
      </w:pPr>
      <w:r>
        <w:rPr>
          <w:rFonts w:ascii="Bookman Old Style" w:eastAsia="Bookman Old Style" w:hAnsi="Bookman Old Style" w:cs="Bookman Old Style"/>
          <w:highlight w:val="white"/>
        </w:rPr>
        <w:t>Es necesario aclarar que todos los programas curriculares citados cumplen con el desarrollo de las habilidades y los requerimientos de formación en sismorresistencia de que habla la Ley 1229 de 2008 para el profesional en Arquitectura e Ingeniería.</w:t>
      </w:r>
      <w:r>
        <w:rPr>
          <w:rFonts w:ascii="Bookman Old Style" w:eastAsia="Bookman Old Style" w:hAnsi="Bookman Old Style" w:cs="Bookman Old Style"/>
          <w:shd w:val="clear" w:color="auto" w:fill="FF9900"/>
        </w:rPr>
        <w:t xml:space="preserve"> </w:t>
      </w:r>
    </w:p>
    <w:p w14:paraId="7F58C70D" w14:textId="77777777" w:rsidR="00874FAD" w:rsidRDefault="00874FAD">
      <w:pPr>
        <w:spacing w:line="240" w:lineRule="auto"/>
        <w:jc w:val="both"/>
        <w:rPr>
          <w:rFonts w:ascii="Bookman Old Style" w:eastAsia="Bookman Old Style" w:hAnsi="Bookman Old Style" w:cs="Bookman Old Style"/>
          <w:shd w:val="clear" w:color="auto" w:fill="FF9900"/>
        </w:rPr>
      </w:pPr>
    </w:p>
    <w:p w14:paraId="0BD92880" w14:textId="77777777" w:rsidR="00874FAD" w:rsidRDefault="00874FAD">
      <w:pPr>
        <w:spacing w:line="240" w:lineRule="auto"/>
        <w:jc w:val="both"/>
        <w:rPr>
          <w:rFonts w:ascii="Bookman Old Style" w:eastAsia="Bookman Old Style" w:hAnsi="Bookman Old Style" w:cs="Bookman Old Style"/>
          <w:shd w:val="clear" w:color="auto" w:fill="FF9900"/>
        </w:rPr>
      </w:pPr>
    </w:p>
    <w:p w14:paraId="24F363D5" w14:textId="77777777" w:rsidR="00874FAD" w:rsidRDefault="00000000">
      <w:pPr>
        <w:jc w:val="both"/>
        <w:rPr>
          <w:rFonts w:ascii="Bookman Old Style" w:eastAsia="Bookman Old Style" w:hAnsi="Bookman Old Style" w:cs="Bookman Old Style"/>
          <w:highlight w:val="white"/>
        </w:rPr>
      </w:pPr>
      <w:r>
        <w:rPr>
          <w:rFonts w:ascii="Bookman Old Style" w:eastAsia="Bookman Old Style" w:hAnsi="Bookman Old Style" w:cs="Bookman Old Style"/>
        </w:rPr>
        <w:t>En consecuencia, la postura actual</w:t>
      </w:r>
      <w:r>
        <w:rPr>
          <w:rFonts w:ascii="Bookman Old Style" w:eastAsia="Bookman Old Style" w:hAnsi="Bookman Old Style" w:cs="Bookman Old Style"/>
          <w:color w:val="FF0000"/>
        </w:rPr>
        <w:t xml:space="preserve"> </w:t>
      </w:r>
      <w:r>
        <w:rPr>
          <w:rFonts w:ascii="Bookman Old Style" w:eastAsia="Bookman Old Style" w:hAnsi="Bookman Old Style" w:cs="Bookman Old Style"/>
        </w:rPr>
        <w:t xml:space="preserve">de la Comisión Asesora Permanente para Construcciones Sismo Resistentes, acogida por el COPNIA, propone como posibles soluciones las siguientes: </w:t>
      </w:r>
    </w:p>
    <w:p w14:paraId="2849B819" w14:textId="77777777" w:rsidR="00874FAD" w:rsidRDefault="00874FAD">
      <w:pPr>
        <w:jc w:val="both"/>
        <w:rPr>
          <w:rFonts w:ascii="Bookman Old Style" w:eastAsia="Bookman Old Style" w:hAnsi="Bookman Old Style" w:cs="Bookman Old Style"/>
          <w:highlight w:val="white"/>
        </w:rPr>
      </w:pPr>
    </w:p>
    <w:p w14:paraId="2F286921"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Respuesta para Universidad Nacional de Colombia Oficio 1319 de 2021</w:t>
      </w:r>
    </w:p>
    <w:p w14:paraId="3C55ECDB" w14:textId="77777777" w:rsidR="00874FAD" w:rsidRDefault="00874FAD">
      <w:pPr>
        <w:jc w:val="both"/>
        <w:rPr>
          <w:rFonts w:ascii="Bookman Old Style" w:eastAsia="Bookman Old Style" w:hAnsi="Bookman Old Style" w:cs="Bookman Old Style"/>
        </w:rPr>
      </w:pPr>
    </w:p>
    <w:p w14:paraId="476C6D8B" w14:textId="77777777" w:rsidR="00874FAD" w:rsidRDefault="00000000">
      <w:pPr>
        <w:spacing w:line="240" w:lineRule="auto"/>
        <w:ind w:left="720" w:firstLine="720"/>
        <w:jc w:val="both"/>
        <w:rPr>
          <w:rFonts w:ascii="Bookman Old Style" w:eastAsia="Bookman Old Style" w:hAnsi="Bookman Old Style" w:cs="Bookman Old Style"/>
          <w:i/>
        </w:rPr>
      </w:pPr>
      <w:r>
        <w:rPr>
          <w:rFonts w:ascii="Bookman Old Style" w:eastAsia="Bookman Old Style" w:hAnsi="Bookman Old Style" w:cs="Bookman Old Style"/>
          <w:i/>
        </w:rPr>
        <w:lastRenderedPageBreak/>
        <w:t>“…Por lo anterior, para incluir a los Arquitectos constructores en la Ley 400 de 1997, se requerirá de una adecuación del programa académico incorporando las áreas de conocimiento esenciales para el desarrollo de una edificación, mediante registro calificado del Ministerio de Educación Nacional, y una modificación a la Ley 400 de 1997, la cual solo puede llevar a cabo el Congreso de la República…”</w:t>
      </w:r>
    </w:p>
    <w:p w14:paraId="25B33B20" w14:textId="77777777" w:rsidR="00874FAD" w:rsidRDefault="00874FAD">
      <w:pPr>
        <w:spacing w:line="240" w:lineRule="auto"/>
        <w:jc w:val="both"/>
        <w:rPr>
          <w:rFonts w:ascii="Bookman Old Style" w:eastAsia="Bookman Old Style" w:hAnsi="Bookman Old Style" w:cs="Bookman Old Style"/>
        </w:rPr>
      </w:pPr>
    </w:p>
    <w:p w14:paraId="67EFF4FE"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Respuesta para Institución Universitaria Colegio Mayor de Antioquia Oficio 1324 de 2021</w:t>
      </w:r>
    </w:p>
    <w:p w14:paraId="7B96A137" w14:textId="77777777" w:rsidR="00874FAD" w:rsidRDefault="00874FAD">
      <w:pPr>
        <w:spacing w:line="240" w:lineRule="auto"/>
        <w:jc w:val="both"/>
        <w:rPr>
          <w:rFonts w:ascii="Bookman Old Style" w:eastAsia="Bookman Old Style" w:hAnsi="Bookman Old Style" w:cs="Bookman Old Style"/>
        </w:rPr>
      </w:pPr>
    </w:p>
    <w:p w14:paraId="5CB3BF3A" w14:textId="77777777" w:rsidR="00874FAD" w:rsidRDefault="00000000">
      <w:pPr>
        <w:spacing w:line="240" w:lineRule="auto"/>
        <w:ind w:left="720" w:firstLine="720"/>
        <w:jc w:val="both"/>
        <w:rPr>
          <w:rFonts w:ascii="Bookman Old Style" w:eastAsia="Bookman Old Style" w:hAnsi="Bookman Old Style" w:cs="Bookman Old Style"/>
          <w:i/>
        </w:rPr>
      </w:pPr>
      <w:r>
        <w:rPr>
          <w:rFonts w:ascii="Bookman Old Style" w:eastAsia="Bookman Old Style" w:hAnsi="Bookman Old Style" w:cs="Bookman Old Style"/>
          <w:i/>
        </w:rPr>
        <w:t>“…Por lo anterior, para incluir a los Constructores Civiles en la Ley 400 de 1997, se requerirá de una adecuación del programa académico incorporando las áreas de conocimiento esenciales para el desarrollo de una edificación, mediante registro calificado del Ministerio de Educación Nacional, y una modificación a la Ley 400 de 1997, la cual solo puede llevar a cabo el Congreso de la República…” (énfasis propio).</w:t>
      </w:r>
    </w:p>
    <w:p w14:paraId="76BC04D6" w14:textId="77777777" w:rsidR="00874FAD" w:rsidRDefault="00874FAD">
      <w:pPr>
        <w:spacing w:line="240" w:lineRule="auto"/>
        <w:jc w:val="both"/>
        <w:rPr>
          <w:rFonts w:ascii="Bookman Old Style" w:eastAsia="Bookman Old Style" w:hAnsi="Bookman Old Style" w:cs="Bookman Old Style"/>
        </w:rPr>
      </w:pPr>
    </w:p>
    <w:p w14:paraId="26126DBF"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 se hace un análisis el cuadro comparativo es evidente que los programas académicos, del pregrado de Construcción de la Universidad Nacional de Colombia y de Construcciones Civiles de la Institución Universitaria Colegio Mayor de Antioquia, por supuesto incorporan las áreas de conocimiento necesarias para construir, dirigir y supervisar una edificación. Por lo que, la exclusión se fundamenta única y exclusivamente en la denominación del programa, ignorando que la Ley contempla un parágrafo con la definición del profesional de Constructor en Arquitectura e Ingeniería. </w:t>
      </w:r>
    </w:p>
    <w:p w14:paraId="2C08F05C" w14:textId="77777777" w:rsidR="00874FAD" w:rsidRDefault="00874FAD">
      <w:pPr>
        <w:spacing w:line="240" w:lineRule="auto"/>
        <w:jc w:val="both"/>
        <w:rPr>
          <w:rFonts w:ascii="Bookman Old Style" w:eastAsia="Bookman Old Style" w:hAnsi="Bookman Old Style" w:cs="Bookman Old Style"/>
        </w:rPr>
      </w:pPr>
    </w:p>
    <w:p w14:paraId="6DF9C732" w14:textId="77777777" w:rsidR="00874FAD" w:rsidRDefault="00000000">
      <w:pPr>
        <w:jc w:val="both"/>
        <w:rPr>
          <w:rFonts w:ascii="Bookman Old Style" w:eastAsia="Bookman Old Style" w:hAnsi="Bookman Old Style" w:cs="Bookman Old Style"/>
          <w:highlight w:val="white"/>
        </w:rPr>
      </w:pPr>
      <w:r>
        <w:rPr>
          <w:rFonts w:ascii="Bookman Old Style" w:eastAsia="Bookman Old Style" w:hAnsi="Bookman Old Style" w:cs="Bookman Old Style"/>
        </w:rPr>
        <w:t>Al analizar en la realidad los efectos, lo cierto es que de mantenerse esa decisión y que ésta a su vez sea la directriz que seguirá el COPNIA, como administrador del RUNPA, se está materializando de manera directa un perjuicio flagrante que limita las oportunidades laborales de los graduados de los referidos pregrados. Por consiguiente será un obstáculo inminente para los egresados Arquitectos Constructores, Constructores Civiles, Constructor y Gestor en Arquitectura y cualquier otra denominación que le otorgue una Institución de Educación Superior a una profesión homóloga y afín a la Ingeniería, al momento de inscribirse para  presentar el examen de acreditación que les permita su inclusión en</w:t>
      </w:r>
      <w:r>
        <w:rPr>
          <w:rFonts w:ascii="Bookman Old Style" w:eastAsia="Bookman Old Style" w:hAnsi="Bookman Old Style" w:cs="Bookman Old Style"/>
          <w:highlight w:val="white"/>
        </w:rPr>
        <w:t xml:space="preserve"> el </w:t>
      </w:r>
      <w:r>
        <w:rPr>
          <w:rFonts w:ascii="Bookman Old Style" w:eastAsia="Bookman Old Style" w:hAnsi="Bookman Old Style" w:cs="Bookman Old Style"/>
        </w:rPr>
        <w:t xml:space="preserve">Registro </w:t>
      </w:r>
      <w:r>
        <w:rPr>
          <w:rFonts w:ascii="Bookman Old Style" w:eastAsia="Bookman Old Style" w:hAnsi="Bookman Old Style" w:cs="Bookman Old Style"/>
          <w:highlight w:val="white"/>
        </w:rPr>
        <w:t>Único Nacional de Profesionales Acreditados para adelantar las labores propias de su profesión de que trata la Ley No. 400 de 1997. Lo cual, afecta directamente sus expectativas laborales pues ya se reportan casos en los cuales, recientemente, han sido excluidos de procesos de selección, especialmente en el sector público por esta interpretación restrictiva.</w:t>
      </w:r>
    </w:p>
    <w:p w14:paraId="225BB7D6" w14:textId="77777777" w:rsidR="00874FAD" w:rsidRDefault="00874FAD">
      <w:pPr>
        <w:jc w:val="both"/>
        <w:rPr>
          <w:rFonts w:ascii="Bookman Old Style" w:eastAsia="Bookman Old Style" w:hAnsi="Bookman Old Style" w:cs="Bookman Old Style"/>
        </w:rPr>
      </w:pPr>
    </w:p>
    <w:p w14:paraId="33A84B29"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Teniendo en cuenta lo anterior se está restringiendo a una denominación literal de profesión que aparece en la </w:t>
      </w:r>
      <w:proofErr w:type="gramStart"/>
      <w:r>
        <w:rPr>
          <w:rFonts w:ascii="Bookman Old Style" w:eastAsia="Bookman Old Style" w:hAnsi="Bookman Old Style" w:cs="Bookman Old Style"/>
        </w:rPr>
        <w:t xml:space="preserve">Ley  </w:t>
      </w:r>
      <w:r>
        <w:rPr>
          <w:rFonts w:ascii="Bookman Old Style" w:eastAsia="Bookman Old Style" w:hAnsi="Bookman Old Style" w:cs="Bookman Old Style"/>
          <w:i/>
          <w:u w:val="single"/>
        </w:rPr>
        <w:t>Constructor</w:t>
      </w:r>
      <w:proofErr w:type="gramEnd"/>
      <w:r>
        <w:rPr>
          <w:rFonts w:ascii="Bookman Old Style" w:eastAsia="Bookman Old Style" w:hAnsi="Bookman Old Style" w:cs="Bookman Old Style"/>
          <w:i/>
          <w:u w:val="single"/>
        </w:rPr>
        <w:t xml:space="preserve"> en Arquitectura e Ingeniería</w:t>
      </w:r>
      <w:r>
        <w:rPr>
          <w:rFonts w:ascii="Bookman Old Style" w:eastAsia="Bookman Old Style" w:hAnsi="Bookman Old Style" w:cs="Bookman Old Style"/>
        </w:rPr>
        <w:t xml:space="preserve"> para excluir a los demás pregrados y pretender que cada vez que una Institución de Educación Superior decida abrir un programa educativo con formación similar en su estructura pero de diferente denominación, el Congreso de la República tenga que hacer una nueva ley que adicione esa Profesión.   </w:t>
      </w:r>
    </w:p>
    <w:p w14:paraId="5A582322" w14:textId="77777777" w:rsidR="00874FAD" w:rsidRDefault="00874FAD">
      <w:pPr>
        <w:jc w:val="both"/>
        <w:rPr>
          <w:rFonts w:ascii="Bookman Old Style" w:eastAsia="Bookman Old Style" w:hAnsi="Bookman Old Style" w:cs="Bookman Old Style"/>
        </w:rPr>
      </w:pPr>
    </w:p>
    <w:p w14:paraId="0248B4E2"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Por su parte, vale la pena advertir que, en Colombia, existe un solo programa académico de pregrado bajo la denominación que cita la norma, el pregrado de </w:t>
      </w:r>
      <w:r>
        <w:rPr>
          <w:rFonts w:ascii="Bookman Old Style" w:eastAsia="Bookman Old Style" w:hAnsi="Bookman Old Style" w:cs="Bookman Old Style"/>
        </w:rPr>
        <w:lastRenderedPageBreak/>
        <w:t xml:space="preserve">Construcción en Arquitectura e Ingeniería de la Universidad Santo Tomás. Por lo cual, haciendo otro ejercicio comparativo de su pensum académico con el de los otros pregrados, se corrobora que no existen diferencias en cuanto a las habilidades, conocimientos y competencias entre los planes de estudio, sino que se insiste, se encuentran excluidos por su denominación, la cual se encuentra dada dentro de la autonomía universitaria de cada Institución de Educación Superior. </w:t>
      </w:r>
    </w:p>
    <w:p w14:paraId="3A4FFA4C" w14:textId="77777777" w:rsidR="00874FAD" w:rsidRDefault="00874FAD">
      <w:pPr>
        <w:jc w:val="both"/>
        <w:rPr>
          <w:rFonts w:ascii="Bookman Old Style" w:eastAsia="Bookman Old Style" w:hAnsi="Bookman Old Style" w:cs="Bookman Old Style"/>
        </w:rPr>
      </w:pPr>
    </w:p>
    <w:p w14:paraId="2942184B"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Es decir, bajo la interpretación que hace el COPNIA y la Comisión Asesora Permanente de la citada ley, en la inclusión de profesionales de la construcción para los roles mencionados, solo se tuvo en cuenta una de las titulaciones existentes en Colombia para este tipo de profesional, que corresponde a la otorgada por la Universidad Santo Tomás, pese a que existían otras titulaciones de Instituciones de Educación Superior con mucha más anterioridad en el país.</w:t>
      </w:r>
    </w:p>
    <w:p w14:paraId="67AAC831" w14:textId="77777777" w:rsidR="00874FAD" w:rsidRDefault="00874FAD">
      <w:pPr>
        <w:spacing w:line="240" w:lineRule="auto"/>
        <w:jc w:val="both"/>
        <w:rPr>
          <w:rFonts w:ascii="Bookman Old Style" w:eastAsia="Bookman Old Style" w:hAnsi="Bookman Old Style" w:cs="Bookman Old Style"/>
        </w:rPr>
      </w:pPr>
    </w:p>
    <w:p w14:paraId="1DCEDC90" w14:textId="77777777" w:rsidR="00874FAD" w:rsidRDefault="00874FAD">
      <w:pPr>
        <w:spacing w:line="240" w:lineRule="auto"/>
        <w:jc w:val="both"/>
        <w:rPr>
          <w:rFonts w:ascii="Bookman Old Style" w:eastAsia="Bookman Old Style" w:hAnsi="Bookman Old Style" w:cs="Bookman Old Style"/>
          <w:b/>
          <w:color w:val="FF9900"/>
          <w:highlight w:val="white"/>
        </w:rPr>
      </w:pPr>
    </w:p>
    <w:p w14:paraId="23F05535" w14:textId="77777777" w:rsidR="00874FAD" w:rsidRDefault="00000000">
      <w:pPr>
        <w:spacing w:line="240" w:lineRule="auto"/>
        <w:jc w:val="both"/>
        <w:rPr>
          <w:rFonts w:ascii="Bookman Old Style" w:eastAsia="Bookman Old Style" w:hAnsi="Bookman Old Style" w:cs="Bookman Old Style"/>
          <w:highlight w:val="white"/>
        </w:rPr>
      </w:pPr>
      <w:r>
        <w:rPr>
          <w:rFonts w:ascii="Bookman Old Style" w:eastAsia="Bookman Old Style" w:hAnsi="Bookman Old Style" w:cs="Bookman Old Style"/>
          <w:highlight w:val="white"/>
        </w:rPr>
        <w:t xml:space="preserve">Los 3801 profesionales en Construcción, que han egresado de las IES con título diferentes al otorgado por la Universidad Santo Tomás, son egresados de universidades públicas del orden nacional, de estratos socioeconómicos 1, 2 y 3, que optaron por esta profesión entre otros motivos, por su alto nivel de empleabilidad, que retribuye en alguna medida al gran esfuerzo realizado por sus familias para obtener su titulación profesional.  </w:t>
      </w:r>
    </w:p>
    <w:p w14:paraId="5601A460" w14:textId="77777777" w:rsidR="00874FAD" w:rsidRDefault="00874FAD">
      <w:pPr>
        <w:spacing w:line="240" w:lineRule="auto"/>
        <w:jc w:val="both"/>
        <w:rPr>
          <w:rFonts w:ascii="Bookman Old Style" w:eastAsia="Bookman Old Style" w:hAnsi="Bookman Old Style" w:cs="Bookman Old Style"/>
          <w:b/>
          <w:color w:val="FF9900"/>
          <w:highlight w:val="white"/>
        </w:rPr>
      </w:pPr>
    </w:p>
    <w:p w14:paraId="180BD3B7" w14:textId="77777777" w:rsidR="00874FAD" w:rsidRDefault="00000000">
      <w:pPr>
        <w:jc w:val="both"/>
        <w:rPr>
          <w:rFonts w:ascii="Bookman Old Style" w:eastAsia="Bookman Old Style" w:hAnsi="Bookman Old Style" w:cs="Bookman Old Style"/>
          <w:highlight w:val="white"/>
        </w:rPr>
      </w:pPr>
      <w:r>
        <w:rPr>
          <w:rFonts w:ascii="Bookman Old Style" w:eastAsia="Bookman Old Style" w:hAnsi="Bookman Old Style" w:cs="Bookman Old Style"/>
        </w:rPr>
        <w:t xml:space="preserve">No incluir en la ley 1229, a los egresados de Construcción de los programas de universidades </w:t>
      </w:r>
      <w:proofErr w:type="gramStart"/>
      <w:r>
        <w:rPr>
          <w:rFonts w:ascii="Bookman Old Style" w:eastAsia="Bookman Old Style" w:hAnsi="Bookman Old Style" w:cs="Bookman Old Style"/>
        </w:rPr>
        <w:t>públicas,  afecta</w:t>
      </w:r>
      <w:proofErr w:type="gramEnd"/>
      <w:r>
        <w:rPr>
          <w:rFonts w:ascii="Bookman Old Style" w:eastAsia="Bookman Old Style" w:hAnsi="Bookman Old Style" w:cs="Bookman Old Style"/>
        </w:rPr>
        <w:t xml:space="preserve"> las oportunidades de acceso al trabajo, la calidad del mismo y la protección de sus derechos fundamentales. </w:t>
      </w:r>
    </w:p>
    <w:p w14:paraId="18C5C8FB" w14:textId="77777777" w:rsidR="00874FAD" w:rsidRDefault="00874FAD">
      <w:pPr>
        <w:spacing w:line="240" w:lineRule="auto"/>
        <w:jc w:val="both"/>
        <w:rPr>
          <w:rFonts w:ascii="Bookman Old Style" w:eastAsia="Bookman Old Style" w:hAnsi="Bookman Old Style" w:cs="Bookman Old Style"/>
          <w:b/>
          <w:color w:val="FF9900"/>
          <w:highlight w:val="white"/>
        </w:rPr>
      </w:pPr>
    </w:p>
    <w:p w14:paraId="76BC132E" w14:textId="77777777" w:rsidR="00874FAD" w:rsidRDefault="00000000">
      <w:p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este sentido, es vital el reconocimiento de la construcción </w:t>
      </w:r>
      <w:proofErr w:type="gramStart"/>
      <w:r>
        <w:rPr>
          <w:rFonts w:ascii="Bookman Old Style" w:eastAsia="Bookman Old Style" w:hAnsi="Bookman Old Style" w:cs="Bookman Old Style"/>
        </w:rPr>
        <w:t>como  uno</w:t>
      </w:r>
      <w:proofErr w:type="gramEnd"/>
      <w:r>
        <w:rPr>
          <w:rFonts w:ascii="Bookman Old Style" w:eastAsia="Bookman Old Style" w:hAnsi="Bookman Old Style" w:cs="Bookman Old Style"/>
        </w:rPr>
        <w:t xml:space="preserve"> de los sectores que se caracteriza por su contribución al desarrollo socio económico del país, con importantes aportes al producto interno bruto, y la generación de más de 1.8 millones de empleos anuales en su cadena productiva, lo que conlleva una gran responsabilidad social, y la permanente búsqueda de soluciones que hagan más sostenible la actividad en todos los ámbitos.</w:t>
      </w:r>
    </w:p>
    <w:p w14:paraId="2838CF49" w14:textId="77777777" w:rsidR="00874FAD" w:rsidRDefault="00874FAD">
      <w:pPr>
        <w:spacing w:line="240" w:lineRule="auto"/>
        <w:jc w:val="both"/>
        <w:rPr>
          <w:rFonts w:ascii="Bookman Old Style" w:eastAsia="Bookman Old Style" w:hAnsi="Bookman Old Style" w:cs="Bookman Old Style"/>
          <w:b/>
          <w:color w:val="FF9900"/>
        </w:rPr>
      </w:pPr>
    </w:p>
    <w:p w14:paraId="2674FBDD" w14:textId="77777777" w:rsidR="00874FAD" w:rsidRDefault="00874FAD">
      <w:pPr>
        <w:rPr>
          <w:rFonts w:ascii="Bookman Old Style" w:eastAsia="Bookman Old Style" w:hAnsi="Bookman Old Style" w:cs="Bookman Old Style"/>
          <w:b/>
        </w:rPr>
      </w:pPr>
    </w:p>
    <w:p w14:paraId="70EF06AD" w14:textId="77777777" w:rsidR="00874FAD" w:rsidRDefault="00874FAD">
      <w:pPr>
        <w:rPr>
          <w:rFonts w:ascii="Bookman Old Style" w:eastAsia="Bookman Old Style" w:hAnsi="Bookman Old Style" w:cs="Bookman Old Style"/>
          <w:b/>
        </w:rPr>
      </w:pPr>
    </w:p>
    <w:p w14:paraId="1CE0204C" w14:textId="77777777" w:rsidR="00874FAD" w:rsidRDefault="00000000">
      <w:pPr>
        <w:rPr>
          <w:rFonts w:ascii="Bookman Old Style" w:eastAsia="Bookman Old Style" w:hAnsi="Bookman Old Style" w:cs="Bookman Old Style"/>
          <w:b/>
        </w:rPr>
      </w:pPr>
      <w:r>
        <w:rPr>
          <w:rFonts w:ascii="Bookman Old Style" w:eastAsia="Bookman Old Style" w:hAnsi="Bookman Old Style" w:cs="Bookman Old Style"/>
          <w:b/>
        </w:rPr>
        <w:t xml:space="preserve">IMPACTO FISCAL </w:t>
      </w:r>
    </w:p>
    <w:p w14:paraId="5D43CA6A" w14:textId="77777777" w:rsidR="00874FAD" w:rsidRDefault="00874FAD">
      <w:pPr>
        <w:rPr>
          <w:rFonts w:ascii="Bookman Old Style" w:eastAsia="Bookman Old Style" w:hAnsi="Bookman Old Style" w:cs="Bookman Old Style"/>
          <w:b/>
        </w:rPr>
      </w:pPr>
    </w:p>
    <w:p w14:paraId="0CB9374D"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El artículo 7° de la Ley 819 de 2003 prevé que la exposición de motivos de los proyectos de ley que ordenen gasto u otorguen beneficios tributarios deberán contener un análisis de impacto fiscal que debe ser compatible con el Marco Fiscal de Mediano Plazo. Asimismo, consagra que el Ministerio de Hacienda y Crédito Público debe rendir concepto en el que estudie el impacto fiscal de la iniciativa.</w:t>
      </w:r>
    </w:p>
    <w:p w14:paraId="388B42F0" w14:textId="77777777" w:rsidR="00874FAD" w:rsidRDefault="00874FAD">
      <w:pPr>
        <w:jc w:val="both"/>
        <w:rPr>
          <w:rFonts w:ascii="Bookman Old Style" w:eastAsia="Bookman Old Style" w:hAnsi="Bookman Old Style" w:cs="Bookman Old Style"/>
        </w:rPr>
      </w:pPr>
    </w:p>
    <w:p w14:paraId="5193D358"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En el presente caso, se considera que el proyecto de ley no ordena gastos al Ejecutivo ni tampoco otorga beneficios tributarios, de modo que no hay lugar a realizar el análisis de impacto fiscal. De cualquier modo, de llegarse a concluir que sí debe adelantarse dicho estudio, el mismo puede realizarse durante el trámite legislativo de la iniciativa y el concepto del Ministerio de Hacienda y Crédito Público puede allegarse en cualquier momento.</w:t>
      </w:r>
    </w:p>
    <w:p w14:paraId="2F1FAEDC" w14:textId="77777777" w:rsidR="00874FAD" w:rsidRDefault="00874FAD">
      <w:pPr>
        <w:jc w:val="both"/>
        <w:rPr>
          <w:rFonts w:ascii="Bookman Old Style" w:eastAsia="Bookman Old Style" w:hAnsi="Bookman Old Style" w:cs="Bookman Old Style"/>
        </w:rPr>
      </w:pPr>
    </w:p>
    <w:p w14:paraId="6D840A3B"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lastRenderedPageBreak/>
        <w:t>Por último, es importante señalar que el concepto que eventualmente emita el Ejecutivo “no obliga a las células legislativas a acoger su posición, sin embargo, sí genera una obligación en cabeza del Congreso de valorarlo y analizarlo”. De ahí que una eventual oposición gubernamental al proyecto por razones fiscales no significa que el mismo necesariamente deba ser archivado por tales motivos.</w:t>
      </w:r>
    </w:p>
    <w:p w14:paraId="7D89713E" w14:textId="77777777" w:rsidR="00874FAD" w:rsidRDefault="00874FAD">
      <w:pPr>
        <w:rPr>
          <w:rFonts w:ascii="Bookman Old Style" w:eastAsia="Bookman Old Style" w:hAnsi="Bookman Old Style" w:cs="Bookman Old Style"/>
          <w:b/>
        </w:rPr>
      </w:pPr>
    </w:p>
    <w:p w14:paraId="1CCA4273" w14:textId="77777777" w:rsidR="00874FAD" w:rsidRDefault="00874FAD">
      <w:pPr>
        <w:rPr>
          <w:rFonts w:ascii="Bookman Old Style" w:eastAsia="Bookman Old Style" w:hAnsi="Bookman Old Style" w:cs="Bookman Old Style"/>
          <w:b/>
        </w:rPr>
      </w:pPr>
    </w:p>
    <w:p w14:paraId="1663F10C" w14:textId="77777777" w:rsidR="00874FAD" w:rsidRDefault="00000000">
      <w:pPr>
        <w:rPr>
          <w:rFonts w:ascii="Bookman Old Style" w:eastAsia="Bookman Old Style" w:hAnsi="Bookman Old Style" w:cs="Bookman Old Style"/>
          <w:b/>
        </w:rPr>
      </w:pPr>
      <w:r>
        <w:rPr>
          <w:rFonts w:ascii="Bookman Old Style" w:eastAsia="Bookman Old Style" w:hAnsi="Bookman Old Style" w:cs="Bookman Old Style"/>
          <w:b/>
        </w:rPr>
        <w:t xml:space="preserve">CONFLICTO DE INTERÉS </w:t>
      </w:r>
    </w:p>
    <w:p w14:paraId="132326D7" w14:textId="77777777" w:rsidR="00874FAD" w:rsidRDefault="00874FAD">
      <w:pPr>
        <w:rPr>
          <w:rFonts w:ascii="Bookman Old Style" w:eastAsia="Bookman Old Style" w:hAnsi="Bookman Old Style" w:cs="Bookman Old Style"/>
          <w:b/>
        </w:rPr>
      </w:pPr>
    </w:p>
    <w:p w14:paraId="4695B28A" w14:textId="77777777" w:rsidR="00874FAD" w:rsidRDefault="00000000">
      <w:pPr>
        <w:jc w:val="both"/>
        <w:rPr>
          <w:rFonts w:ascii="Bookman Old Style" w:eastAsia="Bookman Old Style" w:hAnsi="Bookman Old Style" w:cs="Bookman Old Style"/>
        </w:rPr>
      </w:pPr>
      <w:r>
        <w:rPr>
          <w:rFonts w:ascii="Bookman Old Style" w:eastAsia="Bookman Old Style" w:hAnsi="Bookman Old Style" w:cs="Bookman Old Style"/>
        </w:rPr>
        <w:t xml:space="preserve">El artículo 291 de la ley 5 de 1992, modificado por la ley 2003 de 2019, establece a los autores de proyectos de ley la obligación de presentar en la exposición de motivos un acápite que describa las circunstancias o eventos que podrían generar un conflicto de interés para la discusión y votación del proyecto con el fin de ser criterios guías para que los otros congresistas  tomen una decisión en torno a si se encuentran en una causal de impedimento, no obstante, otras causales que se puedan encontrar. Así las cosas, es preciso afirmar que no se configuran los beneficios particular, actual y directo de los que trata el artículo 286 de la ley 5 de 1992, modificado por el artículo 1 de la ley 2003, según los cuales se debe confirmar que i) la decisión pueda afectar de manera positiva mediante la asignación de un beneficio económico, privilegio, ganancia económica, </w:t>
      </w:r>
      <w:proofErr w:type="spellStart"/>
      <w:r>
        <w:rPr>
          <w:rFonts w:ascii="Bookman Old Style" w:eastAsia="Bookman Old Style" w:hAnsi="Bookman Old Style" w:cs="Bookman Old Style"/>
        </w:rPr>
        <w:t>ii</w:t>
      </w:r>
      <w:proofErr w:type="spellEnd"/>
      <w:r>
        <w:rPr>
          <w:rFonts w:ascii="Bookman Old Style" w:eastAsia="Bookman Old Style" w:hAnsi="Bookman Old Style" w:cs="Bookman Old Style"/>
        </w:rPr>
        <w:t xml:space="preserve">) de manera directa al congresista de la república, su cónyuge o compañera/o permanente o sus parientes hasta segundo grado de consanguinidad y afinidad o primero civil, </w:t>
      </w:r>
      <w:proofErr w:type="spellStart"/>
      <w:r>
        <w:rPr>
          <w:rFonts w:ascii="Bookman Old Style" w:eastAsia="Bookman Old Style" w:hAnsi="Bookman Old Style" w:cs="Bookman Old Style"/>
        </w:rPr>
        <w:t>iii</w:t>
      </w:r>
      <w:proofErr w:type="spellEnd"/>
      <w:r>
        <w:rPr>
          <w:rFonts w:ascii="Bookman Old Style" w:eastAsia="Bookman Old Style" w:hAnsi="Bookman Old Style" w:cs="Bookman Old Style"/>
        </w:rPr>
        <w:t xml:space="preserve">) de manera actual y concreta al momento de la discusión y votación del proyecto, es decir, que no se trate de una ganancia futura o hipotética. De acuerdo con el panorama esbozado anteriormente, un proyecto cuyo objeto es proteger los derechos fundamentales al libre desarrollo de la personalidad, la dignidad y la salud de los colombianos conforme a la Constitución Política de Colombia y a través acciones que le permitan al Estado, a los individuos y a la sociedad promover buenas prácticas de cuidado, reducir riesgos y mitigar daños en los usos y consumos de sustancias psicoactivas lícitas e ilícitas en el territorio, lo cual genera un beneficio que redunda en un interés general y sobre el cual tiene acceso el grueso de la sociedad sin discriminación alguna. Así las cosas, y tal como lo establece el artículo 286 del reglamento del Congreso, no habrá conflicto de interés cuando el congresista participe, discuta, vote un proyecto de ley o de acto legislativo que otorgue beneficios o cargos de carácter general, es decir cuando el interés del congresista coincide o se fusione con los intereses de los electores. No </w:t>
      </w:r>
      <w:proofErr w:type="gramStart"/>
      <w:r>
        <w:rPr>
          <w:rFonts w:ascii="Bookman Old Style" w:eastAsia="Bookman Old Style" w:hAnsi="Bookman Old Style" w:cs="Bookman Old Style"/>
        </w:rPr>
        <w:t>obstante</w:t>
      </w:r>
      <w:proofErr w:type="gramEnd"/>
      <w:r>
        <w:rPr>
          <w:rFonts w:ascii="Bookman Old Style" w:eastAsia="Bookman Old Style" w:hAnsi="Bookman Old Style" w:cs="Bookman Old Style"/>
        </w:rPr>
        <w:t xml:space="preserve"> lo anterior, la decisión es meramente personal en cuanto a la consideración de hallarse inmerso en un conflicto de interés, por lo cual dejamos a criterio de los Honorables Representantes</w:t>
      </w:r>
    </w:p>
    <w:p w14:paraId="77EF26F4" w14:textId="77777777" w:rsidR="00874FAD" w:rsidRDefault="00874FAD">
      <w:pPr>
        <w:rPr>
          <w:rFonts w:ascii="Bookman Old Style" w:eastAsia="Bookman Old Style" w:hAnsi="Bookman Old Style" w:cs="Bookman Old Style"/>
          <w:b/>
        </w:rPr>
      </w:pPr>
    </w:p>
    <w:p w14:paraId="2CB66224" w14:textId="77777777" w:rsidR="00874FAD"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De los honorables congresistas, </w:t>
      </w:r>
    </w:p>
    <w:p w14:paraId="6BDFD086" w14:textId="77777777" w:rsidR="00874FAD" w:rsidRDefault="00874FAD">
      <w:pPr>
        <w:rPr>
          <w:rFonts w:ascii="Roboto Serif" w:eastAsia="Roboto Serif" w:hAnsi="Roboto Serif" w:cs="Roboto Serif"/>
          <w:b/>
        </w:rPr>
      </w:pPr>
    </w:p>
    <w:p w14:paraId="044F8F88" w14:textId="77777777" w:rsidR="00874FAD" w:rsidRDefault="00874FAD">
      <w:pPr>
        <w:rPr>
          <w:rFonts w:ascii="Bookman Old Style" w:eastAsia="Bookman Old Style" w:hAnsi="Bookman Old Style" w:cs="Bookman Old Style"/>
        </w:rPr>
      </w:pPr>
    </w:p>
    <w:sdt>
      <w:sdtPr>
        <w:tag w:val="goog_rdk_2"/>
        <w:id w:val="387538039"/>
        <w:lock w:val="contentLocked"/>
      </w:sdtPr>
      <w:sdtContent>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74FAD" w14:paraId="3F5C05C6" w14:textId="77777777">
            <w:tc>
              <w:tcPr>
                <w:tcW w:w="4514" w:type="dxa"/>
                <w:shd w:val="clear" w:color="auto" w:fill="auto"/>
                <w:tcMar>
                  <w:top w:w="100" w:type="dxa"/>
                  <w:left w:w="100" w:type="dxa"/>
                  <w:bottom w:w="100" w:type="dxa"/>
                  <w:right w:w="100" w:type="dxa"/>
                </w:tcMar>
              </w:tcPr>
              <w:p w14:paraId="7B4208C7"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20C1F25E" wp14:editId="4B7BBB91">
                      <wp:extent cx="2724150" cy="13208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724150" cy="1320800"/>
                              </a:xfrm>
                              <a:prstGeom prst="rect">
                                <a:avLst/>
                              </a:prstGeom>
                              <a:ln/>
                            </pic:spPr>
                          </pic:pic>
                        </a:graphicData>
                      </a:graphic>
                    </wp:inline>
                  </w:drawing>
                </w:r>
              </w:p>
              <w:p w14:paraId="2F57B939"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b/>
                  </w:rPr>
                  <w:t>DANIEL CARVALHO MEJÍA</w:t>
                </w:r>
                <w:r>
                  <w:rPr>
                    <w:rFonts w:ascii="Bookman Old Style" w:eastAsia="Bookman Old Style" w:hAnsi="Bookman Old Style" w:cs="Bookman Old Style"/>
                  </w:rPr>
                  <w:t xml:space="preserve"> </w:t>
                </w:r>
                <w:r>
                  <w:rPr>
                    <w:rFonts w:ascii="Bookman Old Style" w:eastAsia="Bookman Old Style" w:hAnsi="Bookman Old Style" w:cs="Bookman Old Style"/>
                  </w:rPr>
                  <w:br/>
                  <w:t xml:space="preserve">Representante a la Cámara </w:t>
                </w:r>
              </w:p>
            </w:tc>
            <w:tc>
              <w:tcPr>
                <w:tcW w:w="4514" w:type="dxa"/>
                <w:shd w:val="clear" w:color="auto" w:fill="auto"/>
                <w:tcMar>
                  <w:top w:w="100" w:type="dxa"/>
                  <w:left w:w="100" w:type="dxa"/>
                  <w:bottom w:w="100" w:type="dxa"/>
                  <w:right w:w="100" w:type="dxa"/>
                </w:tcMar>
              </w:tcPr>
              <w:p w14:paraId="53698E28" w14:textId="77777777" w:rsidR="00874FAD" w:rsidRDefault="00874FAD">
                <w:pPr>
                  <w:widowControl w:val="0"/>
                  <w:spacing w:line="240" w:lineRule="auto"/>
                  <w:rPr>
                    <w:rFonts w:ascii="Bookman Old Style" w:eastAsia="Bookman Old Style" w:hAnsi="Bookman Old Style" w:cs="Bookman Old Style"/>
                    <w:b/>
                  </w:rPr>
                </w:pPr>
              </w:p>
              <w:p w14:paraId="137F7531" w14:textId="77777777" w:rsidR="00874FAD" w:rsidRDefault="00874FAD">
                <w:pPr>
                  <w:widowControl w:val="0"/>
                  <w:spacing w:line="240" w:lineRule="auto"/>
                  <w:rPr>
                    <w:rFonts w:ascii="Bookman Old Style" w:eastAsia="Bookman Old Style" w:hAnsi="Bookman Old Style" w:cs="Bookman Old Style"/>
                    <w:b/>
                  </w:rPr>
                </w:pPr>
              </w:p>
              <w:p w14:paraId="1BBF986B" w14:textId="77777777" w:rsidR="00874FAD" w:rsidRDefault="00874FAD">
                <w:pPr>
                  <w:widowControl w:val="0"/>
                  <w:spacing w:line="240" w:lineRule="auto"/>
                  <w:rPr>
                    <w:rFonts w:ascii="Bookman Old Style" w:eastAsia="Bookman Old Style" w:hAnsi="Bookman Old Style" w:cs="Bookman Old Style"/>
                    <w:b/>
                  </w:rPr>
                </w:pPr>
              </w:p>
              <w:p w14:paraId="2046FC84" w14:textId="77777777" w:rsidR="00874FAD" w:rsidRDefault="00000000">
                <w:pPr>
                  <w:widowControl w:val="0"/>
                  <w:spacing w:line="240" w:lineRule="auto"/>
                  <w:rPr>
                    <w:rFonts w:ascii="Bookman Old Style" w:eastAsia="Bookman Old Style" w:hAnsi="Bookman Old Style" w:cs="Bookman Old Style"/>
                    <w:b/>
                  </w:rPr>
                </w:pPr>
                <w:r>
                  <w:rPr>
                    <w:noProof/>
                  </w:rPr>
                  <w:drawing>
                    <wp:anchor distT="114300" distB="114300" distL="114300" distR="114300" simplePos="0" relativeHeight="251660288" behindDoc="0" locked="0" layoutInCell="1" hidden="0" allowOverlap="1" wp14:anchorId="64D78516" wp14:editId="3B198DE9">
                      <wp:simplePos x="0" y="0"/>
                      <wp:positionH relativeFrom="column">
                        <wp:posOffset>381000</wp:posOffset>
                      </wp:positionH>
                      <wp:positionV relativeFrom="paragraph">
                        <wp:posOffset>157807</wp:posOffset>
                      </wp:positionV>
                      <wp:extent cx="1828800" cy="92392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28800" cy="923925"/>
                              </a:xfrm>
                              <a:prstGeom prst="rect">
                                <a:avLst/>
                              </a:prstGeom>
                              <a:ln/>
                            </pic:spPr>
                          </pic:pic>
                        </a:graphicData>
                      </a:graphic>
                    </wp:anchor>
                  </w:drawing>
                </w:r>
              </w:p>
              <w:p w14:paraId="5E521DE8" w14:textId="77777777" w:rsidR="00874FAD" w:rsidRDefault="00874FAD">
                <w:pPr>
                  <w:widowControl w:val="0"/>
                  <w:spacing w:line="240" w:lineRule="auto"/>
                  <w:rPr>
                    <w:rFonts w:ascii="Bookman Old Style" w:eastAsia="Bookman Old Style" w:hAnsi="Bookman Old Style" w:cs="Bookman Old Style"/>
                    <w:b/>
                  </w:rPr>
                </w:pPr>
              </w:p>
              <w:p w14:paraId="0F5231D7" w14:textId="77777777" w:rsidR="00874FAD" w:rsidRDefault="00874FAD">
                <w:pPr>
                  <w:widowControl w:val="0"/>
                  <w:spacing w:line="240" w:lineRule="auto"/>
                  <w:rPr>
                    <w:rFonts w:ascii="Bookman Old Style" w:eastAsia="Bookman Old Style" w:hAnsi="Bookman Old Style" w:cs="Bookman Old Style"/>
                    <w:b/>
                  </w:rPr>
                </w:pPr>
              </w:p>
              <w:p w14:paraId="5F4EAF70" w14:textId="77777777" w:rsidR="00874FAD" w:rsidRDefault="00874FAD">
                <w:pPr>
                  <w:widowControl w:val="0"/>
                  <w:spacing w:line="240" w:lineRule="auto"/>
                  <w:rPr>
                    <w:rFonts w:ascii="Bookman Old Style" w:eastAsia="Bookman Old Style" w:hAnsi="Bookman Old Style" w:cs="Bookman Old Style"/>
                    <w:b/>
                  </w:rPr>
                </w:pPr>
              </w:p>
              <w:p w14:paraId="68AD4D94" w14:textId="77777777" w:rsidR="00874FAD" w:rsidRDefault="00874FAD">
                <w:pPr>
                  <w:widowControl w:val="0"/>
                  <w:spacing w:line="240" w:lineRule="auto"/>
                  <w:rPr>
                    <w:rFonts w:ascii="Bookman Old Style" w:eastAsia="Bookman Old Style" w:hAnsi="Bookman Old Style" w:cs="Bookman Old Style"/>
                    <w:b/>
                  </w:rPr>
                </w:pPr>
              </w:p>
              <w:p w14:paraId="5B860433"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b/>
                  </w:rPr>
                  <w:t>DIEGO FERNANDO CAICEDO NAVAS</w:t>
                </w:r>
                <w:r>
                  <w:rPr>
                    <w:rFonts w:ascii="Bookman Old Style" w:eastAsia="Bookman Old Style" w:hAnsi="Bookman Old Style" w:cs="Bookman Old Style"/>
                  </w:rPr>
                  <w:t xml:space="preserve"> </w:t>
                </w:r>
                <w:r>
                  <w:rPr>
                    <w:rFonts w:ascii="Bookman Old Style" w:eastAsia="Bookman Old Style" w:hAnsi="Bookman Old Style" w:cs="Bookman Old Style"/>
                  </w:rPr>
                  <w:br/>
                  <w:t>Representante a la Cámara</w:t>
                </w:r>
              </w:p>
            </w:tc>
          </w:tr>
          <w:tr w:rsidR="00874FAD" w14:paraId="2921FA1C" w14:textId="77777777">
            <w:tc>
              <w:tcPr>
                <w:tcW w:w="4514" w:type="dxa"/>
                <w:shd w:val="clear" w:color="auto" w:fill="auto"/>
                <w:tcMar>
                  <w:top w:w="100" w:type="dxa"/>
                  <w:left w:w="100" w:type="dxa"/>
                  <w:bottom w:w="100" w:type="dxa"/>
                  <w:right w:w="100" w:type="dxa"/>
                </w:tcMar>
              </w:tcPr>
              <w:p w14:paraId="48565053" w14:textId="77777777" w:rsidR="00874FAD" w:rsidRDefault="00874FAD">
                <w:pPr>
                  <w:widowControl w:val="0"/>
                  <w:spacing w:line="240" w:lineRule="auto"/>
                  <w:rPr>
                    <w:rFonts w:ascii="Bookman Old Style" w:eastAsia="Bookman Old Style" w:hAnsi="Bookman Old Style" w:cs="Bookman Old Style"/>
                  </w:rPr>
                </w:pPr>
              </w:p>
              <w:p w14:paraId="3254605D" w14:textId="77777777" w:rsidR="00874FAD" w:rsidRDefault="00874FAD">
                <w:pPr>
                  <w:widowControl w:val="0"/>
                  <w:spacing w:line="240" w:lineRule="auto"/>
                  <w:rPr>
                    <w:rFonts w:ascii="Bookman Old Style" w:eastAsia="Bookman Old Style" w:hAnsi="Bookman Old Style" w:cs="Bookman Old Style"/>
                  </w:rPr>
                </w:pPr>
              </w:p>
              <w:p w14:paraId="6A018BF3"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     </w:t>
                </w:r>
                <w:r>
                  <w:rPr>
                    <w:rFonts w:ascii="Bookman Old Style" w:eastAsia="Bookman Old Style" w:hAnsi="Bookman Old Style" w:cs="Bookman Old Style"/>
                    <w:noProof/>
                  </w:rPr>
                  <w:drawing>
                    <wp:inline distT="114300" distB="114300" distL="114300" distR="114300" wp14:anchorId="5E65F338" wp14:editId="08308171">
                      <wp:extent cx="1771650" cy="6381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771650" cy="638175"/>
                              </a:xfrm>
                              <a:prstGeom prst="rect">
                                <a:avLst/>
                              </a:prstGeom>
                              <a:ln/>
                            </pic:spPr>
                          </pic:pic>
                        </a:graphicData>
                      </a:graphic>
                    </wp:inline>
                  </w:drawing>
                </w:r>
              </w:p>
              <w:p w14:paraId="5862E402" w14:textId="77777777" w:rsidR="00874FAD" w:rsidRDefault="00000000">
                <w:pPr>
                  <w:widowControl w:val="0"/>
                  <w:spacing w:line="240" w:lineRule="auto"/>
                  <w:rPr>
                    <w:rFonts w:ascii="Bookman Old Style" w:eastAsia="Bookman Old Style" w:hAnsi="Bookman Old Style" w:cs="Bookman Old Style"/>
                    <w:b/>
                  </w:rPr>
                </w:pPr>
                <w:r>
                  <w:rPr>
                    <w:rFonts w:ascii="Bookman Old Style" w:eastAsia="Bookman Old Style" w:hAnsi="Bookman Old Style" w:cs="Bookman Old Style"/>
                  </w:rPr>
                  <w:t xml:space="preserve">    </w:t>
                </w:r>
                <w:r>
                  <w:rPr>
                    <w:rFonts w:ascii="Bookman Old Style" w:eastAsia="Bookman Old Style" w:hAnsi="Bookman Old Style" w:cs="Bookman Old Style"/>
                    <w:b/>
                  </w:rPr>
                  <w:t xml:space="preserve"> Senador de la República</w:t>
                </w:r>
              </w:p>
              <w:p w14:paraId="64D20ECB" w14:textId="77777777" w:rsidR="00874FAD" w:rsidRDefault="00874FAD">
                <w:pPr>
                  <w:widowControl w:val="0"/>
                  <w:spacing w:line="240" w:lineRule="auto"/>
                  <w:rPr>
                    <w:rFonts w:ascii="Bookman Old Style" w:eastAsia="Bookman Old Style" w:hAnsi="Bookman Old Style" w:cs="Bookman Old Style"/>
                    <w:b/>
                  </w:rPr>
                </w:pPr>
              </w:p>
              <w:p w14:paraId="698E7B6D" w14:textId="77777777" w:rsidR="00874FAD" w:rsidRDefault="00874FAD">
                <w:pPr>
                  <w:widowControl w:val="0"/>
                  <w:spacing w:line="240" w:lineRule="auto"/>
                  <w:rPr>
                    <w:rFonts w:ascii="Bookman Old Style" w:eastAsia="Bookman Old Style" w:hAnsi="Bookman Old Style" w:cs="Bookman Old Style"/>
                  </w:rPr>
                </w:pPr>
              </w:p>
              <w:p w14:paraId="1A220434" w14:textId="77777777" w:rsidR="00874FAD" w:rsidRDefault="00874FAD">
                <w:pPr>
                  <w:widowControl w:val="0"/>
                  <w:spacing w:line="240" w:lineRule="auto"/>
                  <w:rPr>
                    <w:rFonts w:ascii="Bookman Old Style" w:eastAsia="Bookman Old Style" w:hAnsi="Bookman Old Style" w:cs="Bookman Old Style"/>
                  </w:rPr>
                </w:pPr>
              </w:p>
            </w:tc>
            <w:tc>
              <w:tcPr>
                <w:tcW w:w="4514" w:type="dxa"/>
                <w:shd w:val="clear" w:color="auto" w:fill="auto"/>
                <w:tcMar>
                  <w:top w:w="100" w:type="dxa"/>
                  <w:left w:w="100" w:type="dxa"/>
                  <w:bottom w:w="100" w:type="dxa"/>
                  <w:right w:w="100" w:type="dxa"/>
                </w:tcMar>
              </w:tcPr>
              <w:p w14:paraId="2607FF2E"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47E27436" wp14:editId="5591233E">
                      <wp:extent cx="2343150" cy="16573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43150" cy="1657350"/>
                              </a:xfrm>
                              <a:prstGeom prst="rect">
                                <a:avLst/>
                              </a:prstGeom>
                              <a:ln/>
                            </pic:spPr>
                          </pic:pic>
                        </a:graphicData>
                      </a:graphic>
                    </wp:inline>
                  </w:drawing>
                </w:r>
              </w:p>
              <w:p w14:paraId="1BD55BB5"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LUIS CARLO OCHOA TOBON</w:t>
                </w:r>
              </w:p>
              <w:p w14:paraId="632BF9FB" w14:textId="77777777" w:rsidR="00874FAD" w:rsidRDefault="00000000">
                <w:pPr>
                  <w:widowControl w:val="0"/>
                  <w:spacing w:line="240" w:lineRule="auto"/>
                  <w:jc w:val="center"/>
                  <w:rPr>
                    <w:rFonts w:ascii="Bookman Old Style" w:eastAsia="Bookman Old Style" w:hAnsi="Bookman Old Style" w:cs="Bookman Old Style"/>
                  </w:rPr>
                </w:pPr>
                <w:r>
                  <w:rPr>
                    <w:rFonts w:ascii="Bookman Old Style" w:eastAsia="Bookman Old Style" w:hAnsi="Bookman Old Style" w:cs="Bookman Old Style"/>
                  </w:rPr>
                  <w:t>REPRESENTANTE A LA CAMARA</w:t>
                </w:r>
              </w:p>
            </w:tc>
          </w:tr>
          <w:tr w:rsidR="00874FAD" w14:paraId="61386DD6" w14:textId="77777777">
            <w:tc>
              <w:tcPr>
                <w:tcW w:w="4514" w:type="dxa"/>
                <w:shd w:val="clear" w:color="auto" w:fill="auto"/>
                <w:tcMar>
                  <w:top w:w="100" w:type="dxa"/>
                  <w:left w:w="100" w:type="dxa"/>
                  <w:bottom w:w="100" w:type="dxa"/>
                  <w:right w:w="100" w:type="dxa"/>
                </w:tcMar>
              </w:tcPr>
              <w:p w14:paraId="1784DB8B" w14:textId="77777777" w:rsidR="00874FAD" w:rsidRDefault="00874FAD">
                <w:pPr>
                  <w:widowControl w:val="0"/>
                  <w:spacing w:line="240" w:lineRule="auto"/>
                  <w:rPr>
                    <w:rFonts w:ascii="Bookman Old Style" w:eastAsia="Bookman Old Style" w:hAnsi="Bookman Old Style" w:cs="Bookman Old Style"/>
                  </w:rPr>
                </w:pPr>
              </w:p>
            </w:tc>
            <w:tc>
              <w:tcPr>
                <w:tcW w:w="4514" w:type="dxa"/>
                <w:shd w:val="clear" w:color="auto" w:fill="auto"/>
                <w:tcMar>
                  <w:top w:w="100" w:type="dxa"/>
                  <w:left w:w="100" w:type="dxa"/>
                  <w:bottom w:w="100" w:type="dxa"/>
                  <w:right w:w="100" w:type="dxa"/>
                </w:tcMar>
              </w:tcPr>
              <w:p w14:paraId="5EE70F07" w14:textId="77777777" w:rsidR="00874FAD" w:rsidRDefault="00874FAD">
                <w:pPr>
                  <w:widowControl w:val="0"/>
                  <w:spacing w:line="240" w:lineRule="auto"/>
                  <w:jc w:val="center"/>
                  <w:rPr>
                    <w:rFonts w:ascii="Bookman Old Style" w:eastAsia="Bookman Old Style" w:hAnsi="Bookman Old Style" w:cs="Bookman Old Style"/>
                  </w:rPr>
                </w:pPr>
              </w:p>
            </w:tc>
          </w:tr>
          <w:tr w:rsidR="00874FAD" w14:paraId="10A9913D" w14:textId="77777777">
            <w:tc>
              <w:tcPr>
                <w:tcW w:w="4514" w:type="dxa"/>
                <w:shd w:val="clear" w:color="auto" w:fill="auto"/>
                <w:tcMar>
                  <w:top w:w="100" w:type="dxa"/>
                  <w:left w:w="100" w:type="dxa"/>
                  <w:bottom w:w="100" w:type="dxa"/>
                  <w:right w:w="100" w:type="dxa"/>
                </w:tcMar>
              </w:tcPr>
              <w:p w14:paraId="4CDA92F8" w14:textId="77777777" w:rsidR="00874FAD" w:rsidRDefault="00874FAD">
                <w:pPr>
                  <w:widowControl w:val="0"/>
                  <w:spacing w:line="240" w:lineRule="auto"/>
                  <w:rPr>
                    <w:rFonts w:ascii="Bookman Old Style" w:eastAsia="Bookman Old Style" w:hAnsi="Bookman Old Style" w:cs="Bookman Old Style"/>
                  </w:rPr>
                </w:pPr>
              </w:p>
              <w:p w14:paraId="784500F8" w14:textId="77777777" w:rsidR="00874FAD" w:rsidRDefault="00000000">
                <w:pPr>
                  <w:widowControl w:val="0"/>
                  <w:spacing w:line="240" w:lineRule="auto"/>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3C01E361" wp14:editId="2F7CE29F">
                      <wp:extent cx="2724150" cy="838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24150" cy="838200"/>
                              </a:xfrm>
                              <a:prstGeom prst="rect">
                                <a:avLst/>
                              </a:prstGeom>
                              <a:ln/>
                            </pic:spPr>
                          </pic:pic>
                        </a:graphicData>
                      </a:graphic>
                    </wp:inline>
                  </w:drawing>
                </w:r>
              </w:p>
              <w:p w14:paraId="0A4311DF" w14:textId="77777777" w:rsidR="00874FAD" w:rsidRDefault="00000000">
                <w:pPr>
                  <w:widowControl w:val="0"/>
                  <w:spacing w:line="240" w:lineRule="auto"/>
                  <w:rPr>
                    <w:rFonts w:ascii="Bookman Old Style" w:eastAsia="Bookman Old Style" w:hAnsi="Bookman Old Style" w:cs="Bookman Old Style"/>
                    <w:b/>
                  </w:rPr>
                </w:pPr>
                <w:r>
                  <w:rPr>
                    <w:rFonts w:ascii="Bookman Old Style" w:eastAsia="Bookman Old Style" w:hAnsi="Bookman Old Style" w:cs="Bookman Old Style"/>
                    <w:b/>
                  </w:rPr>
                  <w:t>Elkin Rodolfo Ospina Ospina</w:t>
                </w:r>
              </w:p>
              <w:p w14:paraId="4A116184" w14:textId="77777777" w:rsidR="00874FAD" w:rsidRDefault="00000000">
                <w:pPr>
                  <w:widowControl w:val="0"/>
                  <w:spacing w:line="240" w:lineRule="auto"/>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Respresentante a la Cámara por Antioquia</w:t>
                </w:r>
              </w:p>
              <w:p w14:paraId="17D6E610" w14:textId="77777777" w:rsidR="00874FAD" w:rsidRDefault="00000000">
                <w:pPr>
                  <w:widowControl w:val="0"/>
                  <w:spacing w:line="240" w:lineRule="auto"/>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Partido Alianza Verde</w:t>
                </w:r>
              </w:p>
              <w:p w14:paraId="2A44B6E0" w14:textId="77777777" w:rsidR="00874FAD" w:rsidRDefault="00874FAD">
                <w:pPr>
                  <w:widowControl w:val="0"/>
                  <w:spacing w:line="240" w:lineRule="auto"/>
                  <w:rPr>
                    <w:rFonts w:ascii="Bookman Old Style" w:eastAsia="Bookman Old Style" w:hAnsi="Bookman Old Style" w:cs="Bookman Old Style"/>
                  </w:rPr>
                </w:pPr>
              </w:p>
            </w:tc>
            <w:tc>
              <w:tcPr>
                <w:tcW w:w="4514" w:type="dxa"/>
                <w:shd w:val="clear" w:color="auto" w:fill="auto"/>
                <w:tcMar>
                  <w:top w:w="100" w:type="dxa"/>
                  <w:left w:w="100" w:type="dxa"/>
                  <w:bottom w:w="100" w:type="dxa"/>
                  <w:right w:w="100" w:type="dxa"/>
                </w:tcMar>
              </w:tcPr>
              <w:p w14:paraId="292878A8" w14:textId="77777777" w:rsidR="00874FAD" w:rsidRDefault="00874FAD">
                <w:pPr>
                  <w:widowControl w:val="0"/>
                  <w:spacing w:line="240" w:lineRule="auto"/>
                  <w:rPr>
                    <w:rFonts w:ascii="Bookman Old Style" w:eastAsia="Bookman Old Style" w:hAnsi="Bookman Old Style" w:cs="Bookman Old Style"/>
                  </w:rPr>
                </w:pPr>
              </w:p>
            </w:tc>
          </w:tr>
          <w:tr w:rsidR="00874FAD" w14:paraId="191D5AEE" w14:textId="77777777">
            <w:tc>
              <w:tcPr>
                <w:tcW w:w="4514" w:type="dxa"/>
                <w:shd w:val="clear" w:color="auto" w:fill="auto"/>
                <w:tcMar>
                  <w:top w:w="100" w:type="dxa"/>
                  <w:left w:w="100" w:type="dxa"/>
                  <w:bottom w:w="100" w:type="dxa"/>
                  <w:right w:w="100" w:type="dxa"/>
                </w:tcMar>
              </w:tcPr>
              <w:p w14:paraId="54357A38" w14:textId="77777777" w:rsidR="00874FAD" w:rsidRDefault="00874FAD">
                <w:pPr>
                  <w:widowControl w:val="0"/>
                  <w:spacing w:line="240" w:lineRule="auto"/>
                  <w:rPr>
                    <w:rFonts w:ascii="Bookman Old Style" w:eastAsia="Bookman Old Style" w:hAnsi="Bookman Old Style" w:cs="Bookman Old Style"/>
                  </w:rPr>
                </w:pPr>
              </w:p>
              <w:p w14:paraId="229EA4DD" w14:textId="77777777" w:rsidR="00874FAD" w:rsidRDefault="00874FAD">
                <w:pPr>
                  <w:widowControl w:val="0"/>
                  <w:spacing w:line="240" w:lineRule="auto"/>
                  <w:rPr>
                    <w:rFonts w:ascii="Bookman Old Style" w:eastAsia="Bookman Old Style" w:hAnsi="Bookman Old Style" w:cs="Bookman Old Style"/>
                  </w:rPr>
                </w:pPr>
              </w:p>
              <w:p w14:paraId="3B27890E" w14:textId="77777777" w:rsidR="00874FAD" w:rsidRDefault="00874FAD">
                <w:pPr>
                  <w:widowControl w:val="0"/>
                  <w:spacing w:line="240" w:lineRule="auto"/>
                  <w:rPr>
                    <w:rFonts w:ascii="Bookman Old Style" w:eastAsia="Bookman Old Style" w:hAnsi="Bookman Old Style" w:cs="Bookman Old Style"/>
                  </w:rPr>
                </w:pPr>
              </w:p>
              <w:p w14:paraId="76C19E99" w14:textId="77777777" w:rsidR="00874FAD" w:rsidRDefault="00874FAD">
                <w:pPr>
                  <w:widowControl w:val="0"/>
                  <w:spacing w:line="240" w:lineRule="auto"/>
                  <w:rPr>
                    <w:rFonts w:ascii="Bookman Old Style" w:eastAsia="Bookman Old Style" w:hAnsi="Bookman Old Style" w:cs="Bookman Old Style"/>
                  </w:rPr>
                </w:pPr>
              </w:p>
              <w:p w14:paraId="7CEE3C7A" w14:textId="77777777" w:rsidR="00874FAD" w:rsidRDefault="00874FAD">
                <w:pPr>
                  <w:widowControl w:val="0"/>
                  <w:spacing w:line="240" w:lineRule="auto"/>
                  <w:rPr>
                    <w:rFonts w:ascii="Bookman Old Style" w:eastAsia="Bookman Old Style" w:hAnsi="Bookman Old Style" w:cs="Bookman Old Style"/>
                  </w:rPr>
                </w:pPr>
              </w:p>
              <w:p w14:paraId="5A931FE9" w14:textId="77777777" w:rsidR="00874FAD" w:rsidRDefault="00874FAD">
                <w:pPr>
                  <w:widowControl w:val="0"/>
                  <w:spacing w:line="240" w:lineRule="auto"/>
                  <w:rPr>
                    <w:rFonts w:ascii="Bookman Old Style" w:eastAsia="Bookman Old Style" w:hAnsi="Bookman Old Style" w:cs="Bookman Old Style"/>
                  </w:rPr>
                </w:pPr>
              </w:p>
              <w:p w14:paraId="593C16C5" w14:textId="77777777" w:rsidR="00874FAD" w:rsidRDefault="00874FAD">
                <w:pPr>
                  <w:widowControl w:val="0"/>
                  <w:spacing w:line="240" w:lineRule="auto"/>
                  <w:rPr>
                    <w:rFonts w:ascii="Bookman Old Style" w:eastAsia="Bookman Old Style" w:hAnsi="Bookman Old Style" w:cs="Bookman Old Style"/>
                  </w:rPr>
                </w:pPr>
              </w:p>
            </w:tc>
            <w:tc>
              <w:tcPr>
                <w:tcW w:w="4514" w:type="dxa"/>
                <w:shd w:val="clear" w:color="auto" w:fill="auto"/>
                <w:tcMar>
                  <w:top w:w="100" w:type="dxa"/>
                  <w:left w:w="100" w:type="dxa"/>
                  <w:bottom w:w="100" w:type="dxa"/>
                  <w:right w:w="100" w:type="dxa"/>
                </w:tcMar>
              </w:tcPr>
              <w:p w14:paraId="71425755" w14:textId="77777777" w:rsidR="00874FAD" w:rsidRDefault="00000000">
                <w:pPr>
                  <w:widowControl w:val="0"/>
                  <w:spacing w:line="240" w:lineRule="auto"/>
                  <w:rPr>
                    <w:rFonts w:ascii="Bookman Old Style" w:eastAsia="Bookman Old Style" w:hAnsi="Bookman Old Style" w:cs="Bookman Old Style"/>
                  </w:rPr>
                </w:pPr>
              </w:p>
            </w:tc>
          </w:tr>
        </w:tbl>
      </w:sdtContent>
    </w:sdt>
    <w:p w14:paraId="16362A77" w14:textId="77777777" w:rsidR="00874FAD" w:rsidRDefault="00874FAD">
      <w:pPr>
        <w:rPr>
          <w:rFonts w:ascii="Roboto Serif" w:eastAsia="Roboto Serif" w:hAnsi="Roboto Serif" w:cs="Roboto Serif"/>
          <w:b/>
        </w:rPr>
      </w:pPr>
    </w:p>
    <w:p w14:paraId="3707CE14" w14:textId="77777777" w:rsidR="00874FAD" w:rsidRDefault="00000000">
      <w:pPr>
        <w:rPr>
          <w:rFonts w:ascii="Verdana" w:eastAsia="Verdana" w:hAnsi="Verdana" w:cs="Verdana"/>
          <w:b/>
        </w:rPr>
      </w:pPr>
      <w:r>
        <w:rPr>
          <w:rFonts w:ascii="Verdana" w:eastAsia="Verdana" w:hAnsi="Verdana" w:cs="Verdana"/>
          <w:b/>
        </w:rPr>
        <w:t xml:space="preserve"> </w:t>
      </w:r>
    </w:p>
    <w:p w14:paraId="4179AD9B" w14:textId="77777777" w:rsidR="00874FAD" w:rsidRDefault="00874FAD">
      <w:pPr>
        <w:jc w:val="center"/>
        <w:rPr>
          <w:rFonts w:ascii="Verdana" w:eastAsia="Verdana" w:hAnsi="Verdana" w:cs="Verdana"/>
          <w:b/>
        </w:rPr>
      </w:pPr>
    </w:p>
    <w:p w14:paraId="7405F310" w14:textId="77777777" w:rsidR="00874FAD" w:rsidRDefault="00874FAD">
      <w:pPr>
        <w:rPr>
          <w:rFonts w:ascii="Verdana" w:eastAsia="Verdana" w:hAnsi="Verdana" w:cs="Verdana"/>
        </w:rPr>
      </w:pPr>
    </w:p>
    <w:sectPr w:rsidR="00874FA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E76B4E35-6386-4CAF-802B-899A8D84224F}"/>
    <w:embedBold r:id="rId2" w:fontKey="{27B591B0-93B3-40E6-9C66-F3124A363ED0}"/>
    <w:embedItalic r:id="rId3" w:fontKey="{064BDA44-3923-4D32-B770-414C95687011}"/>
    <w:embedBoldItalic r:id="rId4" w:fontKey="{A5A7A9A9-D031-48A7-BBFA-CC55F7086A8A}"/>
  </w:font>
  <w:font w:name="Verdana">
    <w:panose1 w:val="020B0604030504040204"/>
    <w:charset w:val="00"/>
    <w:family w:val="swiss"/>
    <w:pitch w:val="variable"/>
    <w:sig w:usb0="A00006FF" w:usb1="4000205B" w:usb2="00000010" w:usb3="00000000" w:csb0="0000019F" w:csb1="00000000"/>
    <w:embedRegular r:id="rId5" w:fontKey="{2F99C78F-FB8E-498D-94D0-A01BFC0535EA}"/>
    <w:embedBold r:id="rId6" w:fontKey="{6E99700B-E252-4D17-9FFA-62A6EF675CF7}"/>
  </w:font>
  <w:font w:name="Roboto Serif">
    <w:charset w:val="00"/>
    <w:family w:val="auto"/>
    <w:pitch w:val="default"/>
    <w:embedRegular r:id="rId7" w:fontKey="{72357212-20A5-41EC-BA89-823A79E37FAE}"/>
    <w:embedBold r:id="rId8" w:fontKey="{1138AF94-18EB-430C-AFFA-3AAD426899D2}"/>
  </w:font>
  <w:font w:name="Calibri">
    <w:panose1 w:val="020F0502020204030204"/>
    <w:charset w:val="00"/>
    <w:family w:val="swiss"/>
    <w:pitch w:val="variable"/>
    <w:sig w:usb0="E4002EFF" w:usb1="C000247B" w:usb2="00000009" w:usb3="00000000" w:csb0="000001FF" w:csb1="00000000"/>
    <w:embedRegular r:id="rId9" w:fontKey="{9001871C-9B56-4EED-9C7B-20609B7E4C01}"/>
  </w:font>
  <w:font w:name="Cambria">
    <w:panose1 w:val="02040503050406030204"/>
    <w:charset w:val="00"/>
    <w:family w:val="roman"/>
    <w:pitch w:val="variable"/>
    <w:sig w:usb0="E00006FF" w:usb1="420024FF" w:usb2="02000000" w:usb3="00000000" w:csb0="0000019F" w:csb1="00000000"/>
    <w:embedRegular r:id="rId10" w:fontKey="{2A83EE10-74C4-4E98-B178-02DEB5C4E3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52A2C"/>
    <w:multiLevelType w:val="multilevel"/>
    <w:tmpl w:val="2B26A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C76132"/>
    <w:multiLevelType w:val="multilevel"/>
    <w:tmpl w:val="EF24B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7D4A65"/>
    <w:multiLevelType w:val="multilevel"/>
    <w:tmpl w:val="AFF03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8783739">
    <w:abstractNumId w:val="2"/>
  </w:num>
  <w:num w:numId="2" w16cid:durableId="511648346">
    <w:abstractNumId w:val="0"/>
  </w:num>
  <w:num w:numId="3" w16cid:durableId="196938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FAD"/>
    <w:rsid w:val="002359B2"/>
    <w:rsid w:val="00874FAD"/>
    <w:rsid w:val="008F6F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4D51A"/>
  <w15:docId w15:val="{6915458C-5ABF-4A6D-BB28-C7DE9B7B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ecretariasenado.gov.co/senado/basedoc/ley_1229_2008.html"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PewyjguZMvrlPcn6eQorXfe0A==">CgMxLjAaHwoBMBIaChgICVIUChJ0YWJsZS5keHdiNTB0ZXR3Z3YaHwoBMRIaChgICVIUChJ0YWJsZS5jbm5ra3BwcGgyaWEaHwoBMhIaChgICVIUChJ0YWJsZS55eml3dGhobXI4aGEi1AEKC0FBQUJUTjFFVjRZEp4BCgtBQUFCVE4xRVY0WRILQUFBQlROMUVWNFkaDQoJdGV4dC9odG1sEgAiDgoKdGV4dC9wbGFpbhIAKhsiFTExNzgzOTEwODI2ODYyNjU4NzIzMygAOAAw6fD1s6AyOOnw9bOgMloMdzZlZTZtcW55NXU5cgIgAHgAggEUc3VnZ2VzdC5zdWNscHNlcHB3MnmaAQYIABAAGACwAQC4AQAY6fD1s6AyIOnw9bOgMjAAQhRzdWdnZXN0LnN1Y2xwc2VwcHcyeSKPAgoLQUFBQlROb1cxRzQS2QEKC0FBQUJUTm9XMUc0EgtBQUFCVE5vVzFHNBoNCgl0ZXh0L2h0bWwSACIOCgp0ZXh0L3BsYWluEgAqGyIVMTExNDQyNjQ1MTU4OTIzOTg1MzUxKAA4ADClgsyvoDI4kojMr6AySjoKJGFwcGxpY2F0aW9uL3ZuZC5nb29nbGUtYXBwcy5kb2NzLm1kcxoSwtfa5AEMGgoKBgoAEAYYABABWgs3enNlZHh4ZWEwanICIAB4AIIBFHN1Z2dlc3QuYm5tZWF2b3g3NGZmmgEGCAAQABgAsAEAuAEAGKWCzK+gMiCSiMyvoDIwAEIUc3VnZ2VzdC5ibm1lYXZveDc0ZmYipwIKC0FBQUJUTm9XMU5jEvEBCgtBQUFCVE5vVzFOYxILQUFBQlROb1cxTmMaDQoJdGV4dC9odG1sEgAiDgoKdGV4dC9wbGFpbhIAKhsiFTExNjcyNzI4MzYwOTY0NzE1MzI2MygAOAAwlLWPsaAyOOzXj7GgMkpRCiRhcHBsaWNhdGlvbi92bmQuZ29vZ2xlLWFwcHMuZG9jcy5tZHMaKcLX2uQBIxohCh0KF0x1aXMgQ2FybG9zIE9DaG9hIFRPYm9uEAEYABABWgwzZTZveHphODJpb3pyAiAAeACCARRzdWdnZXN0Lnc3aXc5djg2em90epoBBggAEAAYALABALgBABiUtY+xoDIg7NePsaAyMABCFHN1Z2dlc3Qudzdpdzl2ODZ6b3R6MghoLmdqZGd4czIJaC4zMGowemxsMgloLjFmb2I5dGUyCWguM3pueXNoNzIJaC4yZXQ5MnAwOABqLwoUc3VnZ2VzdC41dzkyYzN3YXBpM20SF1V0bCBEaWVnbyBDYWljZWRvIE5hdmFzaioKFHN1Z2dlc3QuemQwOHA0czhwdm42EhJNYXRlbyBHcmlzYWxlcyBVVExqMwoUc3VnZ2VzdC5xMmg5dmg1YXlqYzYSG01BUklBIEhFTEVOQSBBUklaQSBNQVJUSU5FWmozChRzdWdnZXN0LmJsMjlydXk0dWhodhIbSm9obiBKYWlybyBSb2xkYW4gQXZlbmRhw7FvajMKFHN1Z2dlc3QubW81MnBkeGVzcWU2EhtNQVJJQSBIRUxFTkEgQVJJWkEgTUFSVElORVpqMwoUc3VnZ2VzdC5lMW5rbDdkeTNka2MSG0pvaG4gSmFpcm8gUm9sZGFuIEF2ZW5kYcOxb2oqChRzdWdnZXN0LjM0MTlya2YzdDE1ZRISTWF0ZW8gR3Jpc2FsZXMgVVRMajIKE3N1Z2dlc3QuN2F0dzNtYWNxNWgSG0pvaG4gSmFpcm8gUm9sZGFuIEF2ZW5kYcOxb2oqChRzdWdnZXN0LjQxdWgyOXdweTQxNxISTWF0ZW8gR3Jpc2FsZXMgVVRMai8KFHN1Z2dlc3QuZWhlZjlqaWJtdDB6EhdVdGwgRGllZ28gQ2FpY2VkbyBOYXZhc2odChRzdWdnZXN0LnlmdHUyOG9obHlwdxIFQWlkw6lqMwoUc3VnZ2VzdC45d2t1MTg2aTVnM3cSG0pvaG4gSmFpcm8gUm9sZGFuIEF2ZW5kYcOxb2odChRzdWdnZXN0LjNyNmU3NDZwa2tyOBIFQWlkw6lqKgoUc3VnZ2VzdC4zazQxYWI4MXhhcjASEk1hdGVvIEdyaXNhbGVzIFVUTGodChRzdWdnZXN0LjRxZXFldm45Y2IyNRIFQWlkw6lqHQoUc3VnZ2VzdC5zdWNscHNlcHB3MnkSBUFpZMOpaiUKE3N1Z2dlc3QuY3J4ZmpncTE3Y2gSDkFsZWphbmRyYSBSaWNvaioKFHN1Z2dlc3QuZHJ3dmc3N2V6eXczEhJNYXRlbyBHcmlzYWxlcyBVVExqHQoUc3VnZ2VzdC5tYXJ4YWhuN2c4bmcSBUFpZMOpaiQKFHN1Z2dlc3QuNnJrZTFjZWFkb3dpEgxSb25ueSBTdWFyZXpqJgoUc3VnZ2VzdC5xZTV4dWt3dW81MmsSDkFsZWphbmRyYSBSaWNvajMKFHN1Z2dlc3QuZ2lwZTBseDA4OGsxEhtKb2huIEphaXJvIFJvbGRhbiBBdmVuZGHDsW9qKgoUc3VnZ2VzdC55ZnA2dG45c2licW0SEk1hdGVvIEdyaXNhbGVzIFVUTGpHCjVzdWdnZXN0SWRJbXBvcnRkMDQ4ZTRjZi0wNTBlLTQ1NGItODNjOS02NmQ0MTBiOWUxOWNfNBIOQWxlamFuZHJhIFJpY29qJQoUc3VnZ2VzdC5xc2g2dGtxOWltbGISDUFuZHJlcyBGZWxpcGVqKgoUc3VnZ2VzdC45a2ZhaHJieGpha2MSEk1hdGVvIEdyaXNhbGVzIFVUTGovChRzdWdnZXN0LmY1NmJjNThuYmpydhIXVXRsIERpZWdvIENhaWNlZG8gTmF2YXNqKgoUc3VnZ2VzdC5hdW81YmoxY2xxcTYSEk1hdGVvIEdyaXNhbGVzIFVUTGozChRzdWdnZXN0LmczczQwMWloMzdiaRIbTUFSSUEgSEVMRU5BIEFSSVpBIE1BUlRJTkVaajMKFHN1Z2dlc3QucjRhOXMwZG51d3psEhtKb2huIEphaXJvIFJvbGRhbiBBdmVuZGHDsW9qRwo1c3VnZ2VzdElkSW1wb3J0ZDA0OGU0Y2YtMDUwZS00NTRiLTgzYzktNjZkNDEwYjllMTljXzMSDkFsZWphbmRyYSBSaWNvajMKFHN1Z2dlc3QuYm5tZWF2b3g3NGZmEhtKb2huIEphaXJvIFJvbGRhbiBBdmVuZGHDsW9qIgoUc3VnZ2VzdC54YW56NjExdHlkZmUSCkFsZWphIFJpY29qHQoUc3VnZ2VzdC5wbHhjbmppeHpmdWQSBUFpZMOpaioKFHN1Z2dlc3Qud2J2dWR4Ym93cjFiEhJNYXRlbyBHcmlzYWxlcyBVVExqKgoUc3VnZ2VzdC5ud2xtYzJ0Z3d4ZzcSEk1hdGVvIEdyaXNhbGVzIFVUTGovChRzdWdnZXN0LjZjYzhiYm9rdHg3ZRIXVXRsIERpZWdvIENhaWNlZG8gTmF2YXNqIwoTc3VnZ2VzdC5kMWh0ZHhtOHBodxIMUm9ubnkgU3VhcmV6ai8KFHN1Z2dlc3QubWE2OHozOHBiZXo0EhdVdGwgRGllZ28gQ2FpY2VkbyBOYXZhc2oqChRzdWdnZXN0Lm9wbnJiYmV6Y2duaBISTWF0ZW8gR3Jpc2FsZXMgVVRMaiQKFHN1Z2dlc3QuaDcybWNma3h0amFsEgxSb25ueSBTdWFyZXpqJAoUc3VnZ2VzdC53N2l3OXY4NnpvdHoSDFJvbm55IFN1YXJlemokChRzdWdnZXN0LmxreWRlNjhlenRxeBIMUm9ubnkgU3VhcmV6ajMKFHN1Z2dlc3QuOWprd2tlOW9tNDkwEhtKb2huIEphaXJvIFJvbGRhbiBBdmVuZGHDsW9qKgoUc3VnZ2VzdC4xZnZ4ZTZyam1tMTUSEk1hdGVvIEdyaXNhbGVzIFVUTGoqChRzdWdnZXN0LmQzM3MzbHpocXk3cRISTWF0ZW8gR3Jpc2FsZXMgVVRMaiQKFHN1Z2dlc3QuMnRmY2Z2ODA3b2EwEgxSb25ueSBTdWFyZXpqKgoUc3VnZ2VzdC53eDlzZG1keTcwcjgSEk1hdGVvIEdyaXNhbGVzIFVUTGovChRzdWdnZXN0LmllZzd3YWFvdmlvZxIXVXRsIERpZWdvIENhaWNlZG8gTmF2YXNqJAoUc3VnZ2VzdC52aGdoZGhnZHZnd2ESDFJvbm55IFN1YXJlenIhMTZSMFV6aVpxMzUxWDg4WmdMcFFadkFhX0RoMFRaem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5914</Words>
  <Characters>32527</Characters>
  <Application>Microsoft Office Word</Application>
  <DocSecurity>0</DocSecurity>
  <Lines>271</Lines>
  <Paragraphs>76</Paragraphs>
  <ScaleCrop>false</ScaleCrop>
  <Company/>
  <LinksUpToDate>false</LinksUpToDate>
  <CharactersWithSpaces>38365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 Grisales</dc:creator>
  <cp:lastModifiedBy>Mateo Estiven Grisales Carvajal</cp:lastModifiedBy>
  <cp:revision>2</cp:revision>
  <dcterms:created xsi:type="dcterms:W3CDTF">2024-09-19T23:17:00Z</dcterms:created>
  <dcterms:modified xsi:type="dcterms:W3CDTF">2024-09-19T23:17:00Z</dcterms:modified>
</cp:coreProperties>
</file>