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61" w:rsidRDefault="007B5D61">
      <w:pPr>
        <w:jc w:val="both"/>
        <w:rPr>
          <w:rFonts w:ascii="Arial Narrow" w:eastAsia="Arial Narrow" w:hAnsi="Arial Narrow" w:cs="Arial Narrow"/>
          <w:sz w:val="22"/>
          <w:szCs w:val="22"/>
        </w:rPr>
      </w:pPr>
      <w:bookmarkStart w:id="0" w:name="_GoBack"/>
      <w:bookmarkEnd w:id="0"/>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Bogotá, D.C., 30 de Julio de 2024</w:t>
      </w:r>
    </w:p>
    <w:p w:rsidR="007B5D61" w:rsidRDefault="007B5D61">
      <w:pPr>
        <w:jc w:val="both"/>
        <w:rPr>
          <w:rFonts w:ascii="Arial Narrow" w:eastAsia="Arial Narrow" w:hAnsi="Arial Narrow" w:cs="Arial Narrow"/>
          <w:sz w:val="22"/>
          <w:szCs w:val="22"/>
        </w:rPr>
      </w:pPr>
    </w:p>
    <w:p w:rsidR="007B5D61" w:rsidRDefault="007B5D61">
      <w:pPr>
        <w:jc w:val="both"/>
        <w:rPr>
          <w:rFonts w:ascii="Arial Narrow" w:eastAsia="Arial Narrow" w:hAnsi="Arial Narrow" w:cs="Arial Narrow"/>
          <w:b/>
          <w:sz w:val="22"/>
          <w:szCs w:val="22"/>
        </w:rPr>
      </w:pPr>
    </w:p>
    <w:p w:rsidR="007B5D61" w:rsidRDefault="007B5D61">
      <w:pPr>
        <w:jc w:val="both"/>
        <w:rPr>
          <w:rFonts w:ascii="Arial Narrow" w:eastAsia="Arial Narrow" w:hAnsi="Arial Narrow" w:cs="Arial Narrow"/>
          <w:b/>
          <w:sz w:val="22"/>
          <w:szCs w:val="22"/>
        </w:rPr>
      </w:pPr>
    </w:p>
    <w:p w:rsidR="007B5D61" w:rsidRDefault="00E062B9">
      <w:pPr>
        <w:jc w:val="both"/>
        <w:rPr>
          <w:rFonts w:ascii="Arial Narrow" w:eastAsia="Arial Narrow" w:hAnsi="Arial Narrow" w:cs="Arial Narrow"/>
        </w:rPr>
      </w:pPr>
      <w:r>
        <w:rPr>
          <w:rFonts w:ascii="Arial Narrow" w:eastAsia="Arial Narrow" w:hAnsi="Arial Narrow" w:cs="Arial Narrow"/>
        </w:rPr>
        <w:t>Presidente</w:t>
      </w:r>
    </w:p>
    <w:p w:rsidR="007B5D61" w:rsidRDefault="00E062B9">
      <w:pPr>
        <w:jc w:val="both"/>
        <w:rPr>
          <w:rFonts w:ascii="Arial Narrow" w:eastAsia="Arial Narrow" w:hAnsi="Arial Narrow" w:cs="Arial Narrow"/>
          <w:b/>
        </w:rPr>
      </w:pPr>
      <w:r>
        <w:rPr>
          <w:rFonts w:ascii="Arial Narrow" w:eastAsia="Arial Narrow" w:hAnsi="Arial Narrow" w:cs="Arial Narrow"/>
          <w:b/>
        </w:rPr>
        <w:t>JAIME RAÚL SALAMANCA TORRES</w:t>
      </w:r>
    </w:p>
    <w:p w:rsidR="007B5D61" w:rsidRDefault="00E062B9">
      <w:pPr>
        <w:jc w:val="both"/>
        <w:rPr>
          <w:rFonts w:ascii="Arial Narrow" w:eastAsia="Arial Narrow" w:hAnsi="Arial Narrow" w:cs="Arial Narrow"/>
        </w:rPr>
      </w:pPr>
      <w:r>
        <w:rPr>
          <w:rFonts w:ascii="Arial Narrow" w:eastAsia="Arial Narrow" w:hAnsi="Arial Narrow" w:cs="Arial Narrow"/>
        </w:rPr>
        <w:t>Honorable Cámara de Representantes</w:t>
      </w:r>
    </w:p>
    <w:p w:rsidR="007B5D61" w:rsidRDefault="00E062B9">
      <w:pPr>
        <w:jc w:val="both"/>
        <w:rPr>
          <w:rFonts w:ascii="Arial Narrow" w:eastAsia="Arial Narrow" w:hAnsi="Arial Narrow" w:cs="Arial Narrow"/>
        </w:rPr>
      </w:pPr>
      <w:r>
        <w:rPr>
          <w:rFonts w:ascii="Arial Narrow" w:eastAsia="Arial Narrow" w:hAnsi="Arial Narrow" w:cs="Arial Narrow"/>
        </w:rPr>
        <w:t>Congreso de la República</w:t>
      </w:r>
    </w:p>
    <w:p w:rsidR="007B5D61" w:rsidRDefault="00E062B9">
      <w:pPr>
        <w:jc w:val="both"/>
        <w:rPr>
          <w:rFonts w:ascii="Arial Narrow" w:eastAsia="Arial Narrow" w:hAnsi="Arial Narrow" w:cs="Arial Narrow"/>
        </w:rPr>
      </w:pPr>
      <w:r>
        <w:rPr>
          <w:rFonts w:ascii="Arial Narrow" w:eastAsia="Arial Narrow" w:hAnsi="Arial Narrow" w:cs="Arial Narrow"/>
        </w:rPr>
        <w:t>Ciudad</w:t>
      </w:r>
    </w:p>
    <w:p w:rsidR="007B5D61" w:rsidRDefault="007B5D61">
      <w:pPr>
        <w:jc w:val="both"/>
        <w:rPr>
          <w:rFonts w:ascii="Arial Narrow" w:eastAsia="Arial Narrow" w:hAnsi="Arial Narrow" w:cs="Arial Narrow"/>
        </w:rPr>
      </w:pPr>
    </w:p>
    <w:p w:rsidR="007B5D61" w:rsidRDefault="00E062B9">
      <w:pPr>
        <w:jc w:val="both"/>
        <w:rPr>
          <w:rFonts w:ascii="Arial Narrow" w:eastAsia="Arial Narrow" w:hAnsi="Arial Narrow" w:cs="Arial Narrow"/>
        </w:rPr>
      </w:pPr>
      <w:r>
        <w:rPr>
          <w:rFonts w:ascii="Arial Narrow" w:eastAsia="Arial Narrow" w:hAnsi="Arial Narrow" w:cs="Arial Narrow"/>
        </w:rPr>
        <w:t>Secretario</w:t>
      </w:r>
    </w:p>
    <w:p w:rsidR="007B5D61" w:rsidRDefault="00E062B9">
      <w:pPr>
        <w:jc w:val="both"/>
        <w:rPr>
          <w:rFonts w:ascii="Arial Narrow" w:eastAsia="Arial Narrow" w:hAnsi="Arial Narrow" w:cs="Arial Narrow"/>
          <w:b/>
        </w:rPr>
      </w:pPr>
      <w:r>
        <w:rPr>
          <w:rFonts w:ascii="Arial Narrow" w:eastAsia="Arial Narrow" w:hAnsi="Arial Narrow" w:cs="Arial Narrow"/>
          <w:b/>
        </w:rPr>
        <w:t>JAIME LUIS LACOUTURE PEÑALOZA</w:t>
      </w:r>
    </w:p>
    <w:p w:rsidR="007B5D61" w:rsidRDefault="00E062B9">
      <w:pPr>
        <w:jc w:val="both"/>
        <w:rPr>
          <w:rFonts w:ascii="Arial Narrow" w:eastAsia="Arial Narrow" w:hAnsi="Arial Narrow" w:cs="Arial Narrow"/>
        </w:rPr>
      </w:pPr>
      <w:r>
        <w:rPr>
          <w:rFonts w:ascii="Arial Narrow" w:eastAsia="Arial Narrow" w:hAnsi="Arial Narrow" w:cs="Arial Narrow"/>
        </w:rPr>
        <w:t>Honorable Cámara de Representantes</w:t>
      </w:r>
    </w:p>
    <w:p w:rsidR="007B5D61" w:rsidRDefault="00E062B9">
      <w:pPr>
        <w:jc w:val="both"/>
        <w:rPr>
          <w:rFonts w:ascii="Arial Narrow" w:eastAsia="Arial Narrow" w:hAnsi="Arial Narrow" w:cs="Arial Narrow"/>
        </w:rPr>
      </w:pPr>
      <w:r>
        <w:rPr>
          <w:rFonts w:ascii="Arial Narrow" w:eastAsia="Arial Narrow" w:hAnsi="Arial Narrow" w:cs="Arial Narrow"/>
        </w:rPr>
        <w:t>Congreso de la República</w:t>
      </w:r>
    </w:p>
    <w:p w:rsidR="007B5D61" w:rsidRDefault="00E062B9">
      <w:pPr>
        <w:jc w:val="both"/>
        <w:rPr>
          <w:rFonts w:ascii="Arial Narrow" w:eastAsia="Arial Narrow" w:hAnsi="Arial Narrow" w:cs="Arial Narrow"/>
        </w:rPr>
      </w:pPr>
      <w:r>
        <w:rPr>
          <w:rFonts w:ascii="Arial Narrow" w:eastAsia="Arial Narrow" w:hAnsi="Arial Narrow" w:cs="Arial Narrow"/>
        </w:rPr>
        <w:t>Ciudad</w:t>
      </w:r>
    </w:p>
    <w:p w:rsidR="007B5D61" w:rsidRDefault="007B5D61">
      <w:pPr>
        <w:jc w:val="both"/>
        <w:rPr>
          <w:rFonts w:ascii="Arial Narrow" w:eastAsia="Arial Narrow" w:hAnsi="Arial Narrow" w:cs="Arial Narrow"/>
          <w:sz w:val="22"/>
          <w:szCs w:val="22"/>
        </w:rPr>
      </w:pPr>
    </w:p>
    <w:p w:rsidR="007B5D61" w:rsidRDefault="007B5D61">
      <w:pPr>
        <w:jc w:val="both"/>
        <w:rPr>
          <w:rFonts w:ascii="Arial Narrow" w:eastAsia="Arial Narrow" w:hAnsi="Arial Narrow" w:cs="Arial Narrow"/>
          <w:b/>
          <w:sz w:val="22"/>
          <w:szCs w:val="22"/>
        </w:rPr>
      </w:pPr>
    </w:p>
    <w:p w:rsidR="007B5D61" w:rsidRDefault="007B5D61">
      <w:pPr>
        <w:jc w:val="both"/>
        <w:rPr>
          <w:rFonts w:ascii="Arial Narrow" w:eastAsia="Arial Narrow" w:hAnsi="Arial Narrow" w:cs="Arial Narrow"/>
          <w:sz w:val="22"/>
          <w:szCs w:val="22"/>
        </w:rPr>
      </w:pPr>
    </w:p>
    <w:p w:rsidR="007B5D61" w:rsidRDefault="007B5D61">
      <w:pPr>
        <w:jc w:val="both"/>
        <w:rPr>
          <w:rFonts w:ascii="Arial Narrow" w:eastAsia="Arial Narrow" w:hAnsi="Arial Narrow" w:cs="Arial Narrow"/>
          <w:sz w:val="22"/>
          <w:szCs w:val="22"/>
        </w:rPr>
      </w:pPr>
    </w:p>
    <w:p w:rsidR="007B5D61" w:rsidRDefault="00E062B9">
      <w:pPr>
        <w:spacing w:before="280" w:after="280"/>
        <w:ind w:right="4"/>
        <w:jc w:val="both"/>
        <w:rPr>
          <w:rFonts w:ascii="Arial Narrow" w:eastAsia="Arial Narrow" w:hAnsi="Arial Narrow" w:cs="Arial Narrow"/>
          <w:i/>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Presentación del Proyecto de Ley  Nro.__________: “</w:t>
      </w:r>
      <w:r>
        <w:rPr>
          <w:rFonts w:ascii="Arial Narrow" w:eastAsia="Arial Narrow" w:hAnsi="Arial Narrow" w:cs="Arial Narrow"/>
          <w:i/>
          <w:sz w:val="22"/>
          <w:szCs w:val="22"/>
        </w:rPr>
        <w:t>Por medio de la cual se modifica el estatuto tributario con el fin de excluir del pago del IVA el alimento para animales domésticos de compañía perros y gatos”.</w:t>
      </w:r>
    </w:p>
    <w:p w:rsidR="007B5D61" w:rsidRDefault="00E062B9">
      <w:pPr>
        <w:spacing w:before="280" w:after="280"/>
        <w:ind w:right="4"/>
        <w:jc w:val="both"/>
        <w:rPr>
          <w:rFonts w:ascii="Arial Narrow" w:eastAsia="Arial Narrow" w:hAnsi="Arial Narrow" w:cs="Arial Narrow"/>
          <w:sz w:val="22"/>
          <w:szCs w:val="22"/>
        </w:rPr>
      </w:pPr>
      <w:r>
        <w:rPr>
          <w:rFonts w:ascii="Arial Narrow" w:eastAsia="Arial Narrow" w:hAnsi="Arial Narrow" w:cs="Arial Narrow"/>
          <w:sz w:val="22"/>
          <w:szCs w:val="22"/>
        </w:rPr>
        <w:t>En ejercicio de la facultad previs</w:t>
      </w:r>
      <w:r>
        <w:rPr>
          <w:rFonts w:ascii="Arial Narrow" w:eastAsia="Arial Narrow" w:hAnsi="Arial Narrow" w:cs="Arial Narrow"/>
          <w:sz w:val="22"/>
          <w:szCs w:val="22"/>
        </w:rPr>
        <w:t>ta en el artículo 140 numeral 1º de la Ley 5ª de 1992, presento a consideración del Congreso de la República el proyecto de ley</w:t>
      </w:r>
      <w:r>
        <w:rPr>
          <w:rFonts w:ascii="Arial Narrow" w:eastAsia="Arial Narrow" w:hAnsi="Arial Narrow" w:cs="Arial Narrow"/>
          <w:i/>
          <w:sz w:val="22"/>
          <w:szCs w:val="22"/>
        </w:rPr>
        <w:t xml:space="preserve"> “</w:t>
      </w:r>
      <w:r>
        <w:rPr>
          <w:rFonts w:ascii="Arial Narrow" w:eastAsia="Arial Narrow" w:hAnsi="Arial Narrow" w:cs="Arial Narrow"/>
          <w:b/>
          <w:i/>
          <w:sz w:val="22"/>
          <w:szCs w:val="22"/>
        </w:rPr>
        <w:t>POR MEDIO DE LA CUAL SE MODIFICA EL ESTATUTO TRIBUTARIO CON EL FIN DE EXCLUIR DEL PAGO DEL IVA EL ALIMENTO PARA PERROS Y GATOS</w:t>
      </w:r>
      <w:r>
        <w:rPr>
          <w:rFonts w:ascii="Arial Narrow" w:eastAsia="Arial Narrow" w:hAnsi="Arial Narrow" w:cs="Arial Narrow"/>
          <w:i/>
          <w:sz w:val="22"/>
          <w:szCs w:val="22"/>
        </w:rPr>
        <w:t>”</w:t>
      </w:r>
      <w:r>
        <w:rPr>
          <w:rFonts w:ascii="Arial Narrow" w:eastAsia="Arial Narrow" w:hAnsi="Arial Narrow" w:cs="Arial Narrow"/>
          <w:sz w:val="22"/>
          <w:szCs w:val="22"/>
        </w:rPr>
        <w:t>, con el fin de surtir el respectivo trámite legislativo.</w:t>
      </w:r>
    </w:p>
    <w:p w:rsidR="007B5D61" w:rsidRDefault="007B5D61">
      <w:pPr>
        <w:spacing w:before="280" w:after="280"/>
        <w:ind w:right="4"/>
        <w:jc w:val="both"/>
        <w:rPr>
          <w:rFonts w:ascii="Arial Narrow" w:eastAsia="Arial Narrow" w:hAnsi="Arial Narrow" w:cs="Arial Narrow"/>
          <w:sz w:val="22"/>
          <w:szCs w:val="22"/>
        </w:rPr>
      </w:pPr>
    </w:p>
    <w:p w:rsidR="007B5D61" w:rsidRDefault="00E062B9">
      <w:pPr>
        <w:spacing w:before="280" w:after="280"/>
        <w:ind w:right="4"/>
        <w:jc w:val="both"/>
        <w:rPr>
          <w:rFonts w:ascii="Arial Narrow" w:eastAsia="Arial Narrow" w:hAnsi="Arial Narrow" w:cs="Arial Narrow"/>
          <w:sz w:val="22"/>
          <w:szCs w:val="22"/>
        </w:rPr>
      </w:pPr>
      <w:r>
        <w:rPr>
          <w:rFonts w:ascii="Arial Narrow" w:eastAsia="Arial Narrow" w:hAnsi="Arial Narrow" w:cs="Arial Narrow"/>
          <w:sz w:val="22"/>
          <w:szCs w:val="22"/>
        </w:rPr>
        <w:t>Cordialmente,</w:t>
      </w:r>
    </w:p>
    <w:p w:rsidR="007B5D61" w:rsidRDefault="007B5D61">
      <w:pPr>
        <w:jc w:val="both"/>
        <w:rPr>
          <w:rFonts w:ascii="Arial Narrow" w:eastAsia="Arial Narrow" w:hAnsi="Arial Narrow" w:cs="Arial Narrow"/>
          <w:sz w:val="22"/>
          <w:szCs w:val="22"/>
        </w:rPr>
      </w:pPr>
    </w:p>
    <w:p w:rsidR="007B5D61" w:rsidRDefault="007B5D61">
      <w:pPr>
        <w:jc w:val="both"/>
        <w:rPr>
          <w:rFonts w:ascii="Arial Narrow" w:eastAsia="Arial Narrow" w:hAnsi="Arial Narrow" w:cs="Arial Narrow"/>
          <w:sz w:val="22"/>
          <w:szCs w:val="22"/>
        </w:rPr>
      </w:pPr>
    </w:p>
    <w:p w:rsidR="007B5D61" w:rsidRDefault="007B5D61">
      <w:pPr>
        <w:jc w:val="both"/>
        <w:rPr>
          <w:rFonts w:ascii="Arial" w:eastAsia="Arial" w:hAnsi="Arial" w:cs="Arial"/>
          <w:b/>
          <w:sz w:val="22"/>
          <w:szCs w:val="22"/>
        </w:rPr>
      </w:pPr>
    </w:p>
    <w:p w:rsidR="007B5D61" w:rsidRDefault="00E062B9">
      <w:pPr>
        <w:jc w:val="center"/>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                      ANDREA PADILLA VILLARRAGA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Representante a la Cámara                                          Senadora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Congreso de la República                                             Congreso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Partido Alianza Verde                                                     Partido Alianza verde</w:t>
      </w:r>
    </w:p>
    <w:p w:rsidR="007B5D61" w:rsidRDefault="007B5D61">
      <w:pPr>
        <w:jc w:val="both"/>
        <w:rPr>
          <w:rFonts w:ascii="Arial Narrow" w:eastAsia="Arial Narrow" w:hAnsi="Arial Narrow" w:cs="Arial Narrow"/>
          <w:sz w:val="22"/>
          <w:szCs w:val="22"/>
        </w:rPr>
      </w:pPr>
    </w:p>
    <w:p w:rsidR="007B5D61" w:rsidRDefault="007B5D61">
      <w:pPr>
        <w:rPr>
          <w:rFonts w:ascii="Arial Narrow" w:eastAsia="Arial Narrow" w:hAnsi="Arial Narrow" w:cs="Arial Narrow"/>
          <w:sz w:val="22"/>
          <w:szCs w:val="22"/>
        </w:rPr>
      </w:pPr>
    </w:p>
    <w:p w:rsidR="007B5D61" w:rsidRDefault="007B5D61">
      <w:pPr>
        <w:rPr>
          <w:rFonts w:ascii="Arial Narrow" w:eastAsia="Arial Narrow" w:hAnsi="Arial Narrow" w:cs="Arial Narrow"/>
          <w:sz w:val="22"/>
          <w:szCs w:val="22"/>
        </w:rPr>
      </w:pPr>
    </w:p>
    <w:p w:rsidR="007B5D61" w:rsidRDefault="00E062B9">
      <w:pP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CONTENIDO</w:t>
      </w:r>
    </w:p>
    <w:p w:rsidR="007B5D61" w:rsidRDefault="007B5D61">
      <w:pPr>
        <w:keepNext/>
        <w:keepLines/>
        <w:pBdr>
          <w:top w:val="nil"/>
          <w:left w:val="nil"/>
          <w:bottom w:val="nil"/>
          <w:right w:val="nil"/>
          <w:between w:val="nil"/>
        </w:pBdr>
        <w:spacing w:before="480"/>
        <w:ind w:left="720" w:hanging="360"/>
        <w:rPr>
          <w:rFonts w:ascii="Arial Narrow" w:eastAsia="Arial Narrow" w:hAnsi="Arial Narrow" w:cs="Arial Narrow"/>
          <w:color w:val="2F5496"/>
          <w:sz w:val="22"/>
          <w:szCs w:val="22"/>
        </w:rPr>
      </w:pPr>
    </w:p>
    <w:sdt>
      <w:sdtPr>
        <w:id w:val="765890167"/>
        <w:docPartObj>
          <w:docPartGallery w:val="Table of Contents"/>
          <w:docPartUnique/>
        </w:docPartObj>
      </w:sdtPr>
      <w:sdtEndPr/>
      <w:sdtContent>
        <w:p w:rsidR="007B5D61" w:rsidRDefault="00E062B9">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r>
            <w:fldChar w:fldCharType="begin"/>
          </w:r>
          <w:r>
            <w:instrText xml:space="preserve"> TOC \h \u \z \t "Heading 1,1,Heading 2,2,Heading 3</w:instrText>
          </w:r>
          <w:r>
            <w:instrText>,3,Heading 4,4,Heading 5,5,Heading 6,6,"</w:instrText>
          </w:r>
          <w:r>
            <w:fldChar w:fldCharType="separate"/>
          </w:r>
          <w:hyperlink w:anchor="_heading=h.17dp8vu">
            <w:r>
              <w:rPr>
                <w:rFonts w:ascii="Arial Narrow" w:eastAsia="Arial Narrow" w:hAnsi="Arial Narrow" w:cs="Arial Narrow"/>
                <w:b/>
                <w:color w:val="000000"/>
                <w:sz w:val="22"/>
                <w:szCs w:val="22"/>
              </w:rPr>
              <w:t>1.</w:t>
            </w:r>
          </w:hyperlink>
          <w:hyperlink w:anchor="_heading=h.17dp8vu">
            <w:r>
              <w:rPr>
                <w:rFonts w:ascii="Arial Narrow" w:eastAsia="Arial Narrow" w:hAnsi="Arial Narrow" w:cs="Arial Narrow"/>
                <w:color w:val="000000"/>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b/>
              <w:color w:val="000000"/>
              <w:sz w:val="22"/>
              <w:szCs w:val="22"/>
            </w:rPr>
            <w:t>ARTICULADO</w:t>
          </w:r>
          <w:r>
            <w:rPr>
              <w:rFonts w:ascii="Arial Narrow" w:eastAsia="Arial Narrow" w:hAnsi="Arial Narrow" w:cs="Arial Narrow"/>
              <w:b/>
              <w:color w:val="000000"/>
              <w:sz w:val="22"/>
              <w:szCs w:val="22"/>
            </w:rPr>
            <w:tab/>
            <w:t>3</w:t>
          </w:r>
          <w:r>
            <w:fldChar w:fldCharType="end"/>
          </w:r>
        </w:p>
        <w:p w:rsidR="007B5D61" w:rsidRDefault="00E062B9">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hyperlink w:anchor="_heading=h.3rdcrjn">
            <w:r>
              <w:rPr>
                <w:rFonts w:ascii="Arial Narrow" w:eastAsia="Arial Narrow" w:hAnsi="Arial Narrow" w:cs="Arial Narrow"/>
                <w:b/>
                <w:color w:val="000000"/>
                <w:sz w:val="22"/>
                <w:szCs w:val="22"/>
              </w:rPr>
              <w:t>2.</w:t>
            </w:r>
          </w:hyperlink>
          <w:hyperlink w:anchor="_heading=h.3rdcrjn">
            <w:r>
              <w:rPr>
                <w:rFonts w:ascii="Arial Narrow" w:eastAsia="Arial Narrow" w:hAnsi="Arial Narrow" w:cs="Arial Narrow"/>
                <w:color w:val="000000"/>
                <w:sz w:val="22"/>
                <w:szCs w:val="22"/>
              </w:rPr>
              <w:tab/>
            </w:r>
          </w:hyperlink>
          <w:r>
            <w:fldChar w:fldCharType="begin"/>
          </w:r>
          <w:r>
            <w:instrText xml:space="preserve"> PAGEREF _heading=h.3rdcrjn \h </w:instrText>
          </w:r>
          <w:r>
            <w:fldChar w:fldCharType="separate"/>
          </w:r>
          <w:r>
            <w:rPr>
              <w:rFonts w:ascii="Arial Narrow" w:eastAsia="Arial Narrow" w:hAnsi="Arial Narrow" w:cs="Arial Narrow"/>
              <w:b/>
              <w:color w:val="000000"/>
              <w:sz w:val="22"/>
              <w:szCs w:val="22"/>
            </w:rPr>
            <w:t>EXPOSICIÓN DE MOTIVOS</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26in1rg">
            <w:r>
              <w:rPr>
                <w:rFonts w:ascii="Arial Narrow" w:eastAsia="Arial Narrow" w:hAnsi="Arial Narrow" w:cs="Arial Narrow"/>
                <w:b/>
                <w:color w:val="000000"/>
                <w:sz w:val="22"/>
                <w:szCs w:val="22"/>
              </w:rPr>
              <w:t>2.1.</w:t>
            </w:r>
          </w:hyperlink>
          <w:hyperlink w:anchor="_heading=h.26in1rg">
            <w:r>
              <w:rPr>
                <w:rFonts w:ascii="Arial Narrow" w:eastAsia="Arial Narrow" w:hAnsi="Arial Narrow" w:cs="Arial Narrow"/>
                <w:color w:val="000000"/>
                <w:sz w:val="22"/>
                <w:szCs w:val="22"/>
              </w:rPr>
              <w:tab/>
            </w:r>
          </w:hyperlink>
          <w:r>
            <w:fldChar w:fldCharType="begin"/>
          </w:r>
          <w:r>
            <w:instrText xml:space="preserve"> PAGEREF _heading=h.26in1rg \h </w:instrText>
          </w:r>
          <w:r>
            <w:fldChar w:fldCharType="separate"/>
          </w:r>
          <w:r>
            <w:rPr>
              <w:rFonts w:ascii="Arial Narrow" w:eastAsia="Arial Narrow" w:hAnsi="Arial Narrow" w:cs="Arial Narrow"/>
              <w:b/>
              <w:color w:val="000000"/>
              <w:sz w:val="22"/>
              <w:szCs w:val="22"/>
            </w:rPr>
            <w:t>Presentación y síntesis del proyecto</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lnxbz9">
            <w:r>
              <w:rPr>
                <w:rFonts w:ascii="Arial Narrow" w:eastAsia="Arial Narrow" w:hAnsi="Arial Narrow" w:cs="Arial Narrow"/>
                <w:b/>
                <w:color w:val="000000"/>
                <w:sz w:val="22"/>
                <w:szCs w:val="22"/>
              </w:rPr>
              <w:t>2.2.</w:t>
            </w:r>
          </w:hyperlink>
          <w:hyperlink w:anchor="_heading=h.lnxbz9">
            <w:r>
              <w:rPr>
                <w:rFonts w:ascii="Arial Narrow" w:eastAsia="Arial Narrow" w:hAnsi="Arial Narrow" w:cs="Arial Narrow"/>
                <w:color w:val="000000"/>
                <w:sz w:val="22"/>
                <w:szCs w:val="22"/>
              </w:rPr>
              <w:tab/>
            </w:r>
          </w:hyperlink>
          <w:r>
            <w:fldChar w:fldCharType="begin"/>
          </w:r>
          <w:r>
            <w:instrText xml:space="preserve"> PAGEREF _heading=h.lnxbz9 \h </w:instrText>
          </w:r>
          <w:r>
            <w:fldChar w:fldCharType="separate"/>
          </w:r>
          <w:r>
            <w:rPr>
              <w:rFonts w:ascii="Arial Narrow" w:eastAsia="Arial Narrow" w:hAnsi="Arial Narrow" w:cs="Arial Narrow"/>
              <w:b/>
              <w:color w:val="000000"/>
              <w:sz w:val="22"/>
              <w:szCs w:val="22"/>
            </w:rPr>
            <w:t>Contenido del proyecto</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35nkun2">
            <w:r>
              <w:rPr>
                <w:rFonts w:ascii="Arial Narrow" w:eastAsia="Arial Narrow" w:hAnsi="Arial Narrow" w:cs="Arial Narrow"/>
                <w:b/>
                <w:color w:val="000000"/>
                <w:sz w:val="22"/>
                <w:szCs w:val="22"/>
              </w:rPr>
              <w:t>2.3.</w:t>
            </w:r>
          </w:hyperlink>
          <w:hyperlink w:anchor="_heading=h.35nkun2">
            <w:r>
              <w:rPr>
                <w:rFonts w:ascii="Arial Narrow" w:eastAsia="Arial Narrow" w:hAnsi="Arial Narrow" w:cs="Arial Narrow"/>
                <w:color w:val="000000"/>
                <w:sz w:val="22"/>
                <w:szCs w:val="22"/>
              </w:rPr>
              <w:tab/>
            </w:r>
          </w:hyperlink>
          <w:r>
            <w:fldChar w:fldCharType="begin"/>
          </w:r>
          <w:r>
            <w:instrText xml:space="preserve"> PAGEREF _heading=h.35nkun2 \h </w:instrText>
          </w:r>
          <w:r>
            <w:fldChar w:fldCharType="separate"/>
          </w:r>
          <w:r>
            <w:rPr>
              <w:rFonts w:ascii="Arial Narrow" w:eastAsia="Arial Narrow" w:hAnsi="Arial Narrow" w:cs="Arial Narrow"/>
              <w:b/>
              <w:color w:val="000000"/>
              <w:sz w:val="22"/>
              <w:szCs w:val="22"/>
            </w:rPr>
            <w:t>Antecedentes Legislativos</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1ksv4uv">
            <w:r>
              <w:rPr>
                <w:rFonts w:ascii="Arial Narrow" w:eastAsia="Arial Narrow" w:hAnsi="Arial Narrow" w:cs="Arial Narrow"/>
                <w:b/>
                <w:color w:val="000000"/>
                <w:sz w:val="22"/>
                <w:szCs w:val="22"/>
              </w:rPr>
              <w:t>2.4.</w:t>
            </w:r>
          </w:hyperlink>
          <w:hyperlink w:anchor="_heading=h.1ksv4uv">
            <w:r>
              <w:rPr>
                <w:rFonts w:ascii="Arial Narrow" w:eastAsia="Arial Narrow" w:hAnsi="Arial Narrow" w:cs="Arial Narrow"/>
                <w:color w:val="000000"/>
                <w:sz w:val="22"/>
                <w:szCs w:val="22"/>
              </w:rPr>
              <w:tab/>
            </w:r>
          </w:hyperlink>
          <w:r>
            <w:fldChar w:fldCharType="begin"/>
          </w:r>
          <w:r>
            <w:instrText xml:space="preserve"> PAGEREF _heading=h.1ksv4uv \h </w:instrText>
          </w:r>
          <w:r>
            <w:fldChar w:fldCharType="separate"/>
          </w:r>
          <w:r>
            <w:rPr>
              <w:rFonts w:ascii="Arial Narrow" w:eastAsia="Arial Narrow" w:hAnsi="Arial Narrow" w:cs="Arial Narrow"/>
              <w:b/>
              <w:color w:val="000000"/>
              <w:sz w:val="22"/>
              <w:szCs w:val="22"/>
            </w:rPr>
            <w:t>Justificación</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44sinio">
            <w:r>
              <w:rPr>
                <w:rFonts w:ascii="Arial Narrow" w:eastAsia="Arial Narrow" w:hAnsi="Arial Narrow" w:cs="Arial Narrow"/>
                <w:b/>
                <w:color w:val="000000"/>
                <w:sz w:val="22"/>
                <w:szCs w:val="22"/>
              </w:rPr>
              <w:t>2.5.</w:t>
            </w:r>
          </w:hyperlink>
          <w:hyperlink w:anchor="_heading=h.44sinio">
            <w:r>
              <w:rPr>
                <w:rFonts w:ascii="Arial Narrow" w:eastAsia="Arial Narrow" w:hAnsi="Arial Narrow" w:cs="Arial Narrow"/>
                <w:color w:val="000000"/>
                <w:sz w:val="22"/>
                <w:szCs w:val="22"/>
              </w:rPr>
              <w:tab/>
            </w:r>
          </w:hyperlink>
          <w:r>
            <w:fldChar w:fldCharType="begin"/>
          </w:r>
          <w:r>
            <w:instrText xml:space="preserve"> PAGEREF _heading=h.44sinio \h </w:instrText>
          </w:r>
          <w:r>
            <w:fldChar w:fldCharType="separate"/>
          </w:r>
          <w:r>
            <w:rPr>
              <w:rFonts w:ascii="Arial Narrow" w:eastAsia="Arial Narrow" w:hAnsi="Arial Narrow" w:cs="Arial Narrow"/>
              <w:b/>
              <w:color w:val="000000"/>
              <w:sz w:val="22"/>
              <w:szCs w:val="22"/>
            </w:rPr>
            <w:t>Marco Jurídico y Jurisprude</w:t>
          </w:r>
          <w:r>
            <w:rPr>
              <w:rFonts w:ascii="Arial Narrow" w:eastAsia="Arial Narrow" w:hAnsi="Arial Narrow" w:cs="Arial Narrow"/>
              <w:b/>
              <w:sz w:val="22"/>
              <w:szCs w:val="22"/>
            </w:rPr>
            <w:t xml:space="preserve">ncial </w:t>
          </w:r>
          <w:r>
            <w:rPr>
              <w:rFonts w:ascii="Arial Narrow" w:eastAsia="Arial Narrow" w:hAnsi="Arial Narrow" w:cs="Arial Narrow"/>
              <w:b/>
              <w:color w:val="000000"/>
              <w:sz w:val="22"/>
              <w:szCs w:val="22"/>
            </w:rPr>
            <w:t>sobre la materia a legislar</w:t>
          </w:r>
          <w:r>
            <w:rPr>
              <w:rFonts w:ascii="Arial Narrow" w:eastAsia="Arial Narrow" w:hAnsi="Arial Narrow" w:cs="Arial Narrow"/>
              <w:b/>
              <w:color w:val="000000"/>
              <w:sz w:val="22"/>
              <w:szCs w:val="22"/>
            </w:rPr>
            <w:tab/>
            <w:t>4</w:t>
          </w:r>
          <w:r>
            <w:fldChar w:fldCharType="end"/>
          </w:r>
        </w:p>
        <w:p w:rsidR="007B5D61" w:rsidRDefault="00E062B9">
          <w:pPr>
            <w:pBdr>
              <w:top w:val="nil"/>
              <w:left w:val="nil"/>
              <w:bottom w:val="nil"/>
              <w:right w:val="nil"/>
              <w:between w:val="nil"/>
            </w:pBdr>
            <w:tabs>
              <w:tab w:val="left" w:pos="960"/>
              <w:tab w:val="right" w:pos="9350"/>
            </w:tabs>
            <w:spacing w:before="120"/>
            <w:ind w:left="240"/>
            <w:rPr>
              <w:rFonts w:ascii="Arial Narrow" w:eastAsia="Arial Narrow" w:hAnsi="Arial Narrow" w:cs="Arial Narrow"/>
              <w:color w:val="000000"/>
              <w:sz w:val="22"/>
              <w:szCs w:val="22"/>
            </w:rPr>
          </w:pPr>
          <w:hyperlink w:anchor="_heading=h.2jxsxqh">
            <w:r>
              <w:rPr>
                <w:rFonts w:ascii="Arial Narrow" w:eastAsia="Arial Narrow" w:hAnsi="Arial Narrow" w:cs="Arial Narrow"/>
                <w:b/>
                <w:color w:val="000000"/>
                <w:sz w:val="22"/>
                <w:szCs w:val="22"/>
              </w:rPr>
              <w:t>2.6.</w:t>
            </w:r>
          </w:hyperlink>
          <w:hyperlink w:anchor="_heading=h.2jxsxqh">
            <w:r>
              <w:rPr>
                <w:rFonts w:ascii="Arial Narrow" w:eastAsia="Arial Narrow" w:hAnsi="Arial Narrow" w:cs="Arial Narrow"/>
                <w:color w:val="000000"/>
                <w:sz w:val="22"/>
                <w:szCs w:val="22"/>
              </w:rPr>
              <w:tab/>
            </w:r>
          </w:hyperlink>
          <w:r>
            <w:fldChar w:fldCharType="begin"/>
          </w:r>
          <w:r>
            <w:instrText xml:space="preserve"> PAGEREF _heading=h.2jxsxqh \h </w:instrText>
          </w:r>
          <w:r>
            <w:fldChar w:fldCharType="separate"/>
          </w:r>
          <w:r>
            <w:rPr>
              <w:rFonts w:ascii="Arial Narrow" w:eastAsia="Arial Narrow" w:hAnsi="Arial Narrow" w:cs="Arial Narrow"/>
              <w:b/>
              <w:color w:val="000000"/>
              <w:sz w:val="22"/>
              <w:szCs w:val="22"/>
            </w:rPr>
            <w:t>La materia a legislar en otros países (si aplica)</w:t>
          </w:r>
          <w:r>
            <w:rPr>
              <w:rFonts w:ascii="Arial Narrow" w:eastAsia="Arial Narrow" w:hAnsi="Arial Narrow" w:cs="Arial Narrow"/>
              <w:b/>
              <w:color w:val="000000"/>
              <w:sz w:val="22"/>
              <w:szCs w:val="22"/>
            </w:rPr>
            <w:tab/>
            <w:t>5</w:t>
          </w:r>
          <w:r>
            <w:fldChar w:fldCharType="end"/>
          </w:r>
        </w:p>
        <w:p w:rsidR="007B5D61" w:rsidRDefault="00E062B9">
          <w:pPr>
            <w:pBdr>
              <w:top w:val="nil"/>
              <w:left w:val="nil"/>
              <w:bottom w:val="nil"/>
              <w:right w:val="nil"/>
              <w:between w:val="nil"/>
            </w:pBdr>
            <w:tabs>
              <w:tab w:val="left" w:pos="480"/>
              <w:tab w:val="right" w:pos="9350"/>
            </w:tabs>
            <w:spacing w:before="120"/>
          </w:pPr>
          <w:hyperlink w:anchor="_heading=h.z337ya">
            <w:r>
              <w:rPr>
                <w:rFonts w:ascii="Arial Narrow" w:eastAsia="Arial Narrow" w:hAnsi="Arial Narrow" w:cs="Arial Narrow"/>
                <w:b/>
                <w:color w:val="000000"/>
                <w:sz w:val="22"/>
                <w:szCs w:val="22"/>
              </w:rPr>
              <w:t>3.</w:t>
            </w:r>
          </w:hyperlink>
          <w:hyperlink w:anchor="_heading=h.z337ya">
            <w:r>
              <w:rPr>
                <w:rFonts w:ascii="Arial Narrow" w:eastAsia="Arial Narrow" w:hAnsi="Arial Narrow" w:cs="Arial Narrow"/>
                <w:color w:val="000000"/>
                <w:sz w:val="22"/>
                <w:szCs w:val="22"/>
              </w:rPr>
              <w:tab/>
            </w:r>
          </w:hyperlink>
          <w:r>
            <w:fldChar w:fldCharType="begin"/>
          </w:r>
          <w:r>
            <w:instrText xml:space="preserve"> PAGEREF _heading=h.z337ya \h </w:instrText>
          </w:r>
          <w:r>
            <w:fldChar w:fldCharType="separate"/>
          </w:r>
          <w:r>
            <w:rPr>
              <w:rFonts w:ascii="Arial Narrow" w:eastAsia="Arial Narrow" w:hAnsi="Arial Narrow" w:cs="Arial Narrow"/>
              <w:b/>
              <w:color w:val="000000"/>
              <w:sz w:val="22"/>
              <w:szCs w:val="22"/>
            </w:rPr>
            <w:t>Conflictos de intereses – Artículo</w:t>
          </w:r>
          <w:r>
            <w:rPr>
              <w:rFonts w:ascii="Arial Narrow" w:eastAsia="Arial Narrow" w:hAnsi="Arial Narrow" w:cs="Arial Narrow"/>
              <w:b/>
              <w:sz w:val="22"/>
              <w:szCs w:val="22"/>
            </w:rPr>
            <w:t xml:space="preserve"> </w:t>
          </w:r>
          <w:r>
            <w:rPr>
              <w:rFonts w:ascii="Arial Narrow" w:eastAsia="Arial Narrow" w:hAnsi="Arial Narrow" w:cs="Arial Narrow"/>
              <w:b/>
              <w:color w:val="000000"/>
              <w:sz w:val="22"/>
              <w:szCs w:val="22"/>
            </w:rPr>
            <w:t xml:space="preserve">291 de la ley 5 de 1992 </w:t>
          </w:r>
          <w:r>
            <w:fldChar w:fldCharType="end"/>
          </w:r>
        </w:p>
        <w:p w:rsidR="007B5D61" w:rsidRDefault="00E062B9">
          <w:pPr>
            <w:pBdr>
              <w:top w:val="nil"/>
              <w:left w:val="nil"/>
              <w:bottom w:val="nil"/>
              <w:right w:val="nil"/>
              <w:between w:val="nil"/>
            </w:pBdr>
            <w:tabs>
              <w:tab w:val="left" w:pos="480"/>
              <w:tab w:val="right" w:pos="9350"/>
            </w:tabs>
            <w:spacing w:before="120"/>
          </w:pPr>
          <w:r>
            <w:rPr>
              <w:rFonts w:ascii="Arial Narrow" w:eastAsia="Arial Narrow" w:hAnsi="Arial Narrow" w:cs="Arial Narrow"/>
              <w:b/>
              <w:sz w:val="22"/>
              <w:szCs w:val="22"/>
            </w:rPr>
            <w:t xml:space="preserve">4. Análisis del impacto fiscal </w:t>
          </w:r>
        </w:p>
        <w:p w:rsidR="007B5D61" w:rsidRDefault="00E062B9">
          <w:pPr>
            <w:pBdr>
              <w:top w:val="nil"/>
              <w:left w:val="nil"/>
              <w:bottom w:val="nil"/>
              <w:right w:val="nil"/>
              <w:between w:val="nil"/>
            </w:pBdr>
            <w:tabs>
              <w:tab w:val="left" w:pos="480"/>
              <w:tab w:val="right" w:pos="9350"/>
            </w:tabs>
            <w:spacing w:before="120"/>
            <w:rPr>
              <w:rFonts w:ascii="Arial Narrow" w:eastAsia="Arial Narrow" w:hAnsi="Arial Narrow" w:cs="Arial Narrow"/>
              <w:color w:val="000000"/>
              <w:sz w:val="22"/>
              <w:szCs w:val="22"/>
            </w:rPr>
          </w:pPr>
          <w:r>
            <w:rPr>
              <w:rFonts w:ascii="Arial Narrow" w:eastAsia="Arial Narrow" w:hAnsi="Arial Narrow" w:cs="Arial Narrow"/>
              <w:sz w:val="22"/>
              <w:szCs w:val="22"/>
            </w:rPr>
            <w:t>5.</w:t>
          </w:r>
          <w:hyperlink w:anchor="_heading=h.1y810tw">
            <w:r>
              <w:rPr>
                <w:rFonts w:ascii="Arial Narrow" w:eastAsia="Arial Narrow" w:hAnsi="Arial Narrow" w:cs="Arial Narrow"/>
                <w:color w:val="000000"/>
                <w:sz w:val="22"/>
                <w:szCs w:val="22"/>
              </w:rPr>
              <w:tab/>
            </w:r>
          </w:hyperlink>
          <w:r>
            <w:fldChar w:fldCharType="begin"/>
          </w:r>
          <w:r>
            <w:instrText xml:space="preserve"> PAGEREF _heading=h.1y810tw \h </w:instrText>
          </w:r>
          <w:r>
            <w:fldChar w:fldCharType="separate"/>
          </w:r>
          <w:r>
            <w:rPr>
              <w:rFonts w:ascii="Arial Narrow" w:eastAsia="Arial Narrow" w:hAnsi="Arial Narrow" w:cs="Arial Narrow"/>
              <w:b/>
              <w:color w:val="000000"/>
              <w:sz w:val="22"/>
              <w:szCs w:val="22"/>
            </w:rPr>
            <w:t>Fuentes consultadas (Bibliografía, Webgrafia)</w:t>
          </w:r>
          <w:r>
            <w:rPr>
              <w:rFonts w:ascii="Arial Narrow" w:eastAsia="Arial Narrow" w:hAnsi="Arial Narrow" w:cs="Arial Narrow"/>
              <w:b/>
              <w:i/>
              <w:color w:val="000000"/>
              <w:sz w:val="22"/>
              <w:szCs w:val="22"/>
            </w:rPr>
            <w:tab/>
            <w:t>6</w:t>
          </w:r>
          <w:r>
            <w:fldChar w:fldCharType="end"/>
          </w:r>
        </w:p>
        <w:p w:rsidR="007B5D61" w:rsidRDefault="00E062B9">
          <w:pPr>
            <w:rPr>
              <w:rFonts w:ascii="Arial Narrow" w:eastAsia="Arial Narrow" w:hAnsi="Arial Narrow" w:cs="Arial Narrow"/>
              <w:sz w:val="22"/>
              <w:szCs w:val="22"/>
            </w:rPr>
          </w:pPr>
          <w:r>
            <w:fldChar w:fldCharType="end"/>
          </w:r>
        </w:p>
      </w:sdtContent>
    </w:sdt>
    <w:p w:rsidR="007B5D61" w:rsidRDefault="00E062B9">
      <w:pPr>
        <w:rPr>
          <w:rFonts w:ascii="Arial Narrow" w:eastAsia="Arial Narrow" w:hAnsi="Arial Narrow" w:cs="Arial Narrow"/>
          <w:sz w:val="22"/>
          <w:szCs w:val="22"/>
        </w:rPr>
      </w:pPr>
      <w:r>
        <w:br w:type="page"/>
      </w:r>
    </w:p>
    <w:p w:rsidR="007B5D61" w:rsidRDefault="00E062B9">
      <w:pPr>
        <w:numPr>
          <w:ilvl w:val="0"/>
          <w:numId w:val="6"/>
        </w:numPr>
        <w:pBdr>
          <w:top w:val="nil"/>
          <w:left w:val="nil"/>
          <w:bottom w:val="nil"/>
          <w:right w:val="nil"/>
          <w:between w:val="nil"/>
        </w:pBdr>
        <w:rPr>
          <w:rFonts w:ascii="Arial Narrow" w:eastAsia="Arial Narrow" w:hAnsi="Arial Narrow" w:cs="Arial Narrow"/>
          <w:b/>
          <w:color w:val="000000"/>
          <w:sz w:val="22"/>
          <w:szCs w:val="22"/>
        </w:rPr>
      </w:pPr>
      <w:bookmarkStart w:id="1" w:name="_heading=h.17dp8vu" w:colFirst="0" w:colLast="0"/>
      <w:bookmarkEnd w:id="1"/>
      <w:r>
        <w:rPr>
          <w:rFonts w:ascii="Arial Narrow" w:eastAsia="Arial Narrow" w:hAnsi="Arial Narrow" w:cs="Arial Narrow"/>
          <w:b/>
          <w:sz w:val="22"/>
          <w:szCs w:val="22"/>
        </w:rPr>
        <w:lastRenderedPageBreak/>
        <w:t>ARTICULADO.</w:t>
      </w:r>
    </w:p>
    <w:p w:rsidR="007B5D61" w:rsidRDefault="007B5D61">
      <w:pPr>
        <w:pBdr>
          <w:top w:val="nil"/>
          <w:left w:val="nil"/>
          <w:bottom w:val="nil"/>
          <w:right w:val="nil"/>
          <w:between w:val="nil"/>
        </w:pBdr>
        <w:ind w:right="4"/>
        <w:jc w:val="both"/>
        <w:rPr>
          <w:rFonts w:ascii="Arial Narrow" w:eastAsia="Arial Narrow" w:hAnsi="Arial Narrow" w:cs="Arial Narrow"/>
          <w:b/>
          <w:sz w:val="22"/>
          <w:szCs w:val="22"/>
        </w:rPr>
      </w:pPr>
    </w:p>
    <w:p w:rsidR="007B5D61" w:rsidRDefault="00E062B9">
      <w:pPr>
        <w:ind w:right="4"/>
        <w:jc w:val="center"/>
        <w:rPr>
          <w:rFonts w:ascii="Arial Narrow" w:eastAsia="Arial Narrow" w:hAnsi="Arial Narrow" w:cs="Arial Narrow"/>
          <w:b/>
          <w:sz w:val="22"/>
          <w:szCs w:val="22"/>
          <w:highlight w:val="white"/>
        </w:rPr>
      </w:pPr>
      <w:r>
        <w:rPr>
          <w:rFonts w:ascii="Arial Narrow" w:eastAsia="Arial Narrow" w:hAnsi="Arial Narrow" w:cs="Arial Narrow"/>
          <w:b/>
          <w:sz w:val="22"/>
          <w:szCs w:val="22"/>
        </w:rPr>
        <w:t>PROYECTO DE LEY __ DE 202</w:t>
      </w:r>
      <w:r>
        <w:rPr>
          <w:rFonts w:ascii="Arial Narrow" w:eastAsia="Arial Narrow" w:hAnsi="Arial Narrow" w:cs="Arial Narrow"/>
          <w:b/>
          <w:sz w:val="22"/>
          <w:szCs w:val="22"/>
          <w:highlight w:val="white"/>
        </w:rPr>
        <w:t>4</w:t>
      </w:r>
    </w:p>
    <w:p w:rsidR="007B5D61" w:rsidRDefault="007B5D61">
      <w:pPr>
        <w:ind w:right="4"/>
        <w:jc w:val="center"/>
        <w:rPr>
          <w:rFonts w:ascii="Arial Narrow" w:eastAsia="Arial Narrow" w:hAnsi="Arial Narrow" w:cs="Arial Narrow"/>
          <w:b/>
          <w:sz w:val="22"/>
          <w:szCs w:val="22"/>
          <w:highlight w:val="white"/>
        </w:rPr>
      </w:pPr>
    </w:p>
    <w:p w:rsidR="007B5D61" w:rsidRDefault="00E062B9">
      <w:pPr>
        <w:ind w:right="-139"/>
        <w:jc w:val="center"/>
        <w:rPr>
          <w:rFonts w:ascii="Arial Narrow" w:eastAsia="Arial Narrow" w:hAnsi="Arial Narrow" w:cs="Arial Narrow"/>
          <w:b/>
          <w:i/>
        </w:rPr>
      </w:pPr>
      <w:r>
        <w:rPr>
          <w:rFonts w:ascii="Arial Narrow" w:eastAsia="Arial Narrow" w:hAnsi="Arial Narrow" w:cs="Arial Narrow"/>
          <w:b/>
          <w:i/>
        </w:rPr>
        <w:t>“</w:t>
      </w:r>
      <w:r>
        <w:rPr>
          <w:rFonts w:ascii="Arial Narrow" w:eastAsia="Arial Narrow" w:hAnsi="Arial Narrow" w:cs="Arial Narrow"/>
          <w:b/>
          <w:i/>
          <w:sz w:val="22"/>
          <w:szCs w:val="22"/>
        </w:rPr>
        <w:t>POR MEDIO DE LA CUAL SE MODIFICA EL ESTATUTO TRIBUTARIO CON EL FIN DE EXCLUIR DEL PAGO DEL IVA EL ALIMENTO PARA PERROS Y GATOS</w:t>
      </w:r>
      <w:r>
        <w:rPr>
          <w:rFonts w:ascii="Arial Narrow" w:eastAsia="Arial Narrow" w:hAnsi="Arial Narrow" w:cs="Arial Narrow"/>
          <w:b/>
          <w:i/>
        </w:rPr>
        <w:t>”</w:t>
      </w:r>
    </w:p>
    <w:p w:rsidR="007B5D61" w:rsidRDefault="007B5D61">
      <w:pPr>
        <w:ind w:right="-139"/>
        <w:jc w:val="center"/>
        <w:rPr>
          <w:rFonts w:ascii="Arial Narrow" w:eastAsia="Arial Narrow" w:hAnsi="Arial Narrow" w:cs="Arial Narrow"/>
          <w:sz w:val="22"/>
          <w:szCs w:val="22"/>
        </w:rPr>
      </w:pPr>
    </w:p>
    <w:p w:rsidR="007B5D61" w:rsidRDefault="007B5D61">
      <w:pPr>
        <w:ind w:right="-139"/>
        <w:jc w:val="center"/>
        <w:rPr>
          <w:rFonts w:ascii="Arial Narrow" w:eastAsia="Arial Narrow" w:hAnsi="Arial Narrow" w:cs="Arial Narrow"/>
          <w:sz w:val="22"/>
          <w:szCs w:val="22"/>
        </w:rPr>
      </w:pPr>
    </w:p>
    <w:p w:rsidR="007B5D61" w:rsidRDefault="00E062B9">
      <w:pPr>
        <w:ind w:right="-139"/>
        <w:jc w:val="center"/>
        <w:rPr>
          <w:rFonts w:ascii="Arial Narrow" w:eastAsia="Arial Narrow" w:hAnsi="Arial Narrow" w:cs="Arial Narrow"/>
          <w:b/>
          <w:sz w:val="22"/>
          <w:szCs w:val="22"/>
        </w:rPr>
      </w:pPr>
      <w:r>
        <w:rPr>
          <w:rFonts w:ascii="Arial Narrow" w:eastAsia="Arial Narrow" w:hAnsi="Arial Narrow" w:cs="Arial Narrow"/>
          <w:b/>
          <w:sz w:val="22"/>
          <w:szCs w:val="22"/>
        </w:rPr>
        <w:t>EL CONGRESO DE COLOMBIA,</w:t>
      </w:r>
    </w:p>
    <w:p w:rsidR="007B5D61" w:rsidRDefault="007B5D61">
      <w:pPr>
        <w:ind w:right="-139"/>
        <w:jc w:val="center"/>
        <w:rPr>
          <w:rFonts w:ascii="Arial Narrow" w:eastAsia="Arial Narrow" w:hAnsi="Arial Narrow" w:cs="Arial Narrow"/>
          <w:b/>
          <w:sz w:val="22"/>
          <w:szCs w:val="22"/>
        </w:rPr>
      </w:pPr>
    </w:p>
    <w:p w:rsidR="007B5D61" w:rsidRDefault="007B5D61">
      <w:pPr>
        <w:ind w:right="-139"/>
        <w:jc w:val="center"/>
        <w:rPr>
          <w:rFonts w:ascii="Arial Narrow" w:eastAsia="Arial Narrow" w:hAnsi="Arial Narrow" w:cs="Arial Narrow"/>
          <w:b/>
          <w:sz w:val="22"/>
          <w:szCs w:val="22"/>
        </w:rPr>
      </w:pPr>
    </w:p>
    <w:p w:rsidR="007B5D61" w:rsidRDefault="007B5D61">
      <w:pPr>
        <w:ind w:right="-139"/>
        <w:jc w:val="center"/>
        <w:rPr>
          <w:rFonts w:ascii="Arial Narrow" w:eastAsia="Arial Narrow" w:hAnsi="Arial Narrow" w:cs="Arial Narrow"/>
          <w:b/>
          <w:sz w:val="22"/>
          <w:szCs w:val="22"/>
        </w:rPr>
      </w:pPr>
    </w:p>
    <w:p w:rsidR="007B5D61" w:rsidRDefault="00E062B9">
      <w:pPr>
        <w:ind w:right="-139"/>
        <w:jc w:val="center"/>
        <w:rPr>
          <w:rFonts w:ascii="Arial Narrow" w:eastAsia="Arial Narrow" w:hAnsi="Arial Narrow" w:cs="Arial Narrow"/>
          <w:b/>
          <w:sz w:val="22"/>
          <w:szCs w:val="22"/>
        </w:rPr>
      </w:pPr>
      <w:r>
        <w:rPr>
          <w:rFonts w:ascii="Arial Narrow" w:eastAsia="Arial Narrow" w:hAnsi="Arial Narrow" w:cs="Arial Narrow"/>
          <w:b/>
          <w:sz w:val="22"/>
          <w:szCs w:val="22"/>
        </w:rPr>
        <w:t>DECRETA:</w:t>
      </w:r>
    </w:p>
    <w:p w:rsidR="007B5D61" w:rsidRDefault="007B5D61">
      <w:pPr>
        <w:ind w:right="-139"/>
        <w:jc w:val="both"/>
        <w:rPr>
          <w:rFonts w:ascii="Arial Narrow" w:eastAsia="Arial Narrow" w:hAnsi="Arial Narrow" w:cs="Arial Narrow"/>
          <w:sz w:val="22"/>
          <w:szCs w:val="22"/>
        </w:rPr>
      </w:pPr>
    </w:p>
    <w:p w:rsidR="007B5D61" w:rsidRDefault="00E062B9">
      <w:pPr>
        <w:ind w:right="35"/>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1°. OBJETO. </w:t>
      </w:r>
      <w:r>
        <w:rPr>
          <w:rFonts w:ascii="Arial Narrow" w:eastAsia="Arial Narrow" w:hAnsi="Arial Narrow" w:cs="Arial Narrow"/>
          <w:sz w:val="22"/>
          <w:szCs w:val="22"/>
        </w:rPr>
        <w:t>La presente ley tiene por objeto modificar el Estatuto Tributario, con el fin de excluir del pago del impuesto al Valor Agregado (IVA) las preparaciones de los tipos utilizados para la alimentación de los animales domésticos de compañía perros y gatos, ofr</w:t>
      </w:r>
      <w:r>
        <w:rPr>
          <w:rFonts w:ascii="Arial Narrow" w:eastAsia="Arial Narrow" w:hAnsi="Arial Narrow" w:cs="Arial Narrow"/>
          <w:sz w:val="22"/>
          <w:szCs w:val="22"/>
        </w:rPr>
        <w:t xml:space="preserve">eciendo garantías para la vida y el bienestar de los animales. </w:t>
      </w:r>
    </w:p>
    <w:p w:rsidR="007B5D61" w:rsidRDefault="007B5D61">
      <w:pPr>
        <w:ind w:right="-139"/>
        <w:jc w:val="both"/>
        <w:rPr>
          <w:rFonts w:ascii="Arial Narrow" w:eastAsia="Arial Narrow" w:hAnsi="Arial Narrow" w:cs="Arial Narrow"/>
          <w:sz w:val="22"/>
          <w:szCs w:val="22"/>
        </w:rPr>
      </w:pPr>
    </w:p>
    <w:p w:rsidR="007B5D61" w:rsidRDefault="00E062B9">
      <w:pPr>
        <w:ind w:right="35"/>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2°. BIENES QUE NO CAUSAN EL IMPUESTO. </w:t>
      </w:r>
      <w:r>
        <w:rPr>
          <w:rFonts w:ascii="Arial Narrow" w:eastAsia="Arial Narrow" w:hAnsi="Arial Narrow" w:cs="Arial Narrow"/>
          <w:sz w:val="22"/>
          <w:szCs w:val="22"/>
        </w:rPr>
        <w:t>Adiciónese el numeral 20 al artículo 424 del Estatuto Tributario, el cual quedará así:</w:t>
      </w:r>
    </w:p>
    <w:p w:rsidR="007B5D61" w:rsidRDefault="007B5D61">
      <w:pPr>
        <w:ind w:right="35"/>
        <w:jc w:val="both"/>
        <w:rPr>
          <w:rFonts w:ascii="Arial Narrow" w:eastAsia="Arial Narrow" w:hAnsi="Arial Narrow" w:cs="Arial Narrow"/>
          <w:sz w:val="22"/>
          <w:szCs w:val="22"/>
        </w:rPr>
      </w:pPr>
    </w:p>
    <w:p w:rsidR="007B5D61" w:rsidRDefault="00E062B9">
      <w:pPr>
        <w:ind w:right="35"/>
        <w:jc w:val="both"/>
        <w:rPr>
          <w:rFonts w:ascii="Arial Narrow" w:eastAsia="Arial Narrow" w:hAnsi="Arial Narrow" w:cs="Arial Narrow"/>
          <w:sz w:val="22"/>
          <w:szCs w:val="22"/>
        </w:rPr>
      </w:pPr>
      <w:r>
        <w:rPr>
          <w:rFonts w:ascii="Arial Narrow" w:eastAsia="Arial Narrow" w:hAnsi="Arial Narrow" w:cs="Arial Narrow"/>
          <w:sz w:val="22"/>
          <w:szCs w:val="22"/>
        </w:rPr>
        <w:t xml:space="preserve">20.  Alimentos para perros o gatos, acondicionados para </w:t>
      </w:r>
      <w:r>
        <w:rPr>
          <w:rFonts w:ascii="Arial Narrow" w:eastAsia="Arial Narrow" w:hAnsi="Arial Narrow" w:cs="Arial Narrow"/>
          <w:sz w:val="22"/>
          <w:szCs w:val="22"/>
        </w:rPr>
        <w:t>la venta al por menor.</w:t>
      </w:r>
    </w:p>
    <w:p w:rsidR="007B5D61" w:rsidRDefault="007B5D61">
      <w:pPr>
        <w:ind w:right="35"/>
        <w:jc w:val="both"/>
        <w:rPr>
          <w:rFonts w:ascii="Arial Narrow" w:eastAsia="Arial Narrow" w:hAnsi="Arial Narrow" w:cs="Arial Narrow"/>
          <w:sz w:val="22"/>
          <w:szCs w:val="22"/>
        </w:rPr>
      </w:pPr>
    </w:p>
    <w:p w:rsidR="007B5D61" w:rsidRDefault="00E062B9">
      <w:pPr>
        <w:ind w:right="35"/>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ARTÍCULO 3°. BIENES GRAVADOS CON LA TARIFA DEL CINCO POR CIENTO (5%). </w:t>
      </w:r>
      <w:r>
        <w:rPr>
          <w:rFonts w:ascii="Arial Narrow" w:eastAsia="Arial Narrow" w:hAnsi="Arial Narrow" w:cs="Arial Narrow"/>
          <w:sz w:val="22"/>
          <w:szCs w:val="22"/>
        </w:rPr>
        <w:t>Modifíquese la partida arancelaria 23.09 del artículo 468-1 del Estatuto Tributario, la cual quedará así:</w:t>
      </w:r>
    </w:p>
    <w:p w:rsidR="007B5D61" w:rsidRDefault="007B5D61">
      <w:pPr>
        <w:ind w:right="35"/>
        <w:jc w:val="both"/>
        <w:rPr>
          <w:rFonts w:ascii="Arial Narrow" w:eastAsia="Arial Narrow" w:hAnsi="Arial Narrow" w:cs="Arial Narrow"/>
          <w:b/>
          <w:sz w:val="22"/>
          <w:szCs w:val="22"/>
        </w:rPr>
      </w:pPr>
    </w:p>
    <w:p w:rsidR="007B5D61" w:rsidRDefault="00E062B9">
      <w:pPr>
        <w:ind w:left="285" w:right="35"/>
        <w:jc w:val="both"/>
        <w:rPr>
          <w:rFonts w:ascii="Arial Narrow" w:eastAsia="Arial Narrow" w:hAnsi="Arial Narrow" w:cs="Arial Narrow"/>
          <w:sz w:val="22"/>
          <w:szCs w:val="22"/>
        </w:rPr>
      </w:pPr>
      <w:r>
        <w:rPr>
          <w:rFonts w:ascii="Arial Narrow" w:eastAsia="Arial Narrow" w:hAnsi="Arial Narrow" w:cs="Arial Narrow"/>
          <w:sz w:val="22"/>
          <w:szCs w:val="22"/>
        </w:rPr>
        <w:t>23.09  Preparaciones de los tipos utilizados para la alimentación de los animales, excepto, alimentos para perros o gatos, acondicionados para la venta al por menor.</w:t>
      </w:r>
    </w:p>
    <w:p w:rsidR="007B5D61" w:rsidRDefault="007B5D61">
      <w:pPr>
        <w:ind w:left="285" w:right="35"/>
        <w:jc w:val="both"/>
        <w:rPr>
          <w:rFonts w:ascii="Arial Narrow" w:eastAsia="Arial Narrow" w:hAnsi="Arial Narrow" w:cs="Arial Narrow"/>
          <w:sz w:val="22"/>
          <w:szCs w:val="22"/>
        </w:rPr>
      </w:pPr>
    </w:p>
    <w:p w:rsidR="007B5D61" w:rsidRDefault="00E062B9">
      <w:pPr>
        <w:ind w:right="35"/>
        <w:jc w:val="both"/>
        <w:rPr>
          <w:rFonts w:ascii="Arial Narrow" w:eastAsia="Arial Narrow" w:hAnsi="Arial Narrow" w:cs="Arial Narrow"/>
          <w:b/>
          <w:sz w:val="22"/>
          <w:szCs w:val="22"/>
        </w:rPr>
      </w:pPr>
      <w:r>
        <w:rPr>
          <w:rFonts w:ascii="Arial Narrow" w:eastAsia="Arial Narrow" w:hAnsi="Arial Narrow" w:cs="Arial Narrow"/>
          <w:b/>
          <w:sz w:val="22"/>
          <w:szCs w:val="22"/>
        </w:rPr>
        <w:t>ARTÍCULO 4°. VIGENCIA.</w:t>
      </w:r>
      <w:r>
        <w:rPr>
          <w:rFonts w:ascii="Arial Narrow" w:eastAsia="Arial Narrow" w:hAnsi="Arial Narrow" w:cs="Arial Narrow"/>
          <w:sz w:val="22"/>
          <w:szCs w:val="22"/>
        </w:rPr>
        <w:t xml:space="preserve"> La presente ley rige a partir de la fecha de su promulgación y der</w:t>
      </w:r>
      <w:r>
        <w:rPr>
          <w:rFonts w:ascii="Arial Narrow" w:eastAsia="Arial Narrow" w:hAnsi="Arial Narrow" w:cs="Arial Narrow"/>
          <w:sz w:val="22"/>
          <w:szCs w:val="22"/>
        </w:rPr>
        <w:t>oga todas las disposiciones que le sean contrarias.</w:t>
      </w:r>
    </w:p>
    <w:p w:rsidR="007B5D61" w:rsidRDefault="007B5D61">
      <w:pPr>
        <w:jc w:val="both"/>
        <w:rPr>
          <w:rFonts w:ascii="Arial Narrow" w:eastAsia="Arial Narrow" w:hAnsi="Arial Narrow" w:cs="Arial Narrow"/>
          <w:b/>
          <w:sz w:val="22"/>
          <w:szCs w:val="22"/>
          <w:highlight w:val="white"/>
        </w:rPr>
      </w:pPr>
    </w:p>
    <w:p w:rsidR="007B5D61" w:rsidRDefault="007B5D61">
      <w:pPr>
        <w:spacing w:before="280" w:after="280"/>
        <w:ind w:right="4"/>
        <w:jc w:val="both"/>
        <w:rPr>
          <w:rFonts w:ascii="Arial Narrow" w:eastAsia="Arial Narrow" w:hAnsi="Arial Narrow" w:cs="Arial Narrow"/>
          <w:b/>
          <w:sz w:val="22"/>
          <w:szCs w:val="22"/>
          <w:highlight w:val="white"/>
        </w:rPr>
      </w:pPr>
    </w:p>
    <w:p w:rsidR="007B5D61" w:rsidRDefault="007B5D61">
      <w:pPr>
        <w:spacing w:before="280" w:after="280"/>
        <w:ind w:right="4"/>
        <w:jc w:val="both"/>
        <w:rPr>
          <w:rFonts w:ascii="Arial Narrow" w:eastAsia="Arial Narrow" w:hAnsi="Arial Narrow" w:cs="Arial Narrow"/>
          <w:b/>
          <w:sz w:val="22"/>
          <w:szCs w:val="22"/>
          <w:highlight w:val="white"/>
        </w:rPr>
      </w:pPr>
    </w:p>
    <w:p w:rsidR="007B5D61" w:rsidRDefault="007B5D61">
      <w:pPr>
        <w:jc w:val="both"/>
        <w:rPr>
          <w:rFonts w:ascii="Arial" w:eastAsia="Arial" w:hAnsi="Arial" w:cs="Arial"/>
          <w:b/>
          <w:sz w:val="22"/>
          <w:szCs w:val="22"/>
        </w:rPr>
      </w:pPr>
    </w:p>
    <w:p w:rsidR="007B5D61" w:rsidRDefault="00E062B9">
      <w:pPr>
        <w:jc w:val="center"/>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                      ANDREA PADILLA VILLARRAGA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Representante a la Cámara                                          Senadora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Congreso de la República       </w:t>
      </w:r>
      <w:r>
        <w:rPr>
          <w:rFonts w:ascii="Arial Narrow" w:eastAsia="Arial Narrow" w:hAnsi="Arial Narrow" w:cs="Arial Narrow"/>
          <w:sz w:val="22"/>
          <w:szCs w:val="22"/>
        </w:rPr>
        <w:t xml:space="preserve">                                      Congreso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Partido Alianza Verde                                                     Partido Alianza verde</w:t>
      </w:r>
    </w:p>
    <w:p w:rsidR="007B5D61" w:rsidRDefault="007B5D61">
      <w:pPr>
        <w:rPr>
          <w:rFonts w:ascii="Arial Narrow" w:eastAsia="Arial Narrow" w:hAnsi="Arial Narrow" w:cs="Arial Narrow"/>
          <w:b/>
        </w:rPr>
      </w:pPr>
      <w:bookmarkStart w:id="2" w:name="_heading=h.kb30ppitt9gn" w:colFirst="0" w:colLast="0"/>
      <w:bookmarkEnd w:id="2"/>
    </w:p>
    <w:sdt>
      <w:sdtPr>
        <w:tag w:val="goog_rdk_0"/>
        <w:id w:val="-1065789255"/>
        <w:lock w:val="contentLocked"/>
      </w:sdtPr>
      <w:sdtEndPr/>
      <w:sdtContent>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rPr>
              <w:trHeight w:val="1610"/>
            </w:trPr>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rPr>
              <w:trHeight w:val="1610"/>
            </w:trPr>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E062B9">
                <w:pPr>
                  <w:widowControl w:val="0"/>
                  <w:rPr>
                    <w:rFonts w:ascii="Arial Narrow" w:eastAsia="Arial Narrow" w:hAnsi="Arial Narrow" w:cs="Arial Narrow"/>
                    <w:b/>
                  </w:rPr>
                </w:pPr>
              </w:p>
            </w:tc>
          </w:tr>
        </w:tbl>
      </w:sdtContent>
    </w:sdt>
    <w:p w:rsidR="007B5D61" w:rsidRDefault="007B5D61">
      <w:pPr>
        <w:rPr>
          <w:rFonts w:ascii="Arial Narrow" w:eastAsia="Arial Narrow" w:hAnsi="Arial Narrow" w:cs="Arial Narrow"/>
          <w:sz w:val="22"/>
          <w:szCs w:val="22"/>
        </w:rPr>
      </w:pPr>
      <w:bookmarkStart w:id="3" w:name="_heading=h.9p0boqjj7672" w:colFirst="0" w:colLast="0"/>
      <w:bookmarkEnd w:id="3"/>
    </w:p>
    <w:p w:rsidR="007B5D61" w:rsidRDefault="00E062B9">
      <w:pPr>
        <w:numPr>
          <w:ilvl w:val="0"/>
          <w:numId w:val="6"/>
        </w:numPr>
        <w:pBdr>
          <w:top w:val="nil"/>
          <w:left w:val="nil"/>
          <w:bottom w:val="nil"/>
          <w:right w:val="nil"/>
          <w:between w:val="nil"/>
        </w:pBdr>
        <w:rPr>
          <w:rFonts w:ascii="Arial Narrow" w:eastAsia="Arial Narrow" w:hAnsi="Arial Narrow" w:cs="Arial Narrow"/>
          <w:b/>
          <w:color w:val="000000"/>
          <w:sz w:val="22"/>
          <w:szCs w:val="22"/>
        </w:rPr>
      </w:pPr>
      <w:bookmarkStart w:id="4" w:name="_heading=h.3rdcrjn" w:colFirst="0" w:colLast="0"/>
      <w:bookmarkEnd w:id="4"/>
      <w:r>
        <w:rPr>
          <w:rFonts w:ascii="Arial Narrow" w:eastAsia="Arial Narrow" w:hAnsi="Arial Narrow" w:cs="Arial Narrow"/>
          <w:b/>
          <w:color w:val="000000"/>
          <w:sz w:val="22"/>
          <w:szCs w:val="22"/>
        </w:rPr>
        <w:t>EXPOSICIÓN DE MOTIVOS</w:t>
      </w:r>
    </w:p>
    <w:p w:rsidR="007B5D61" w:rsidRDefault="007B5D61">
      <w:pPr>
        <w:rPr>
          <w:rFonts w:ascii="Arial Narrow" w:eastAsia="Arial Narrow" w:hAnsi="Arial Narrow" w:cs="Arial Narrow"/>
          <w:sz w:val="22"/>
          <w:szCs w:val="22"/>
        </w:rPr>
      </w:pPr>
    </w:p>
    <w:p w:rsidR="007B5D61" w:rsidRDefault="00E062B9">
      <w:pPr>
        <w:numPr>
          <w:ilvl w:val="1"/>
          <w:numId w:val="6"/>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5" w:name="_heading=h.26in1rg" w:colFirst="0" w:colLast="0"/>
      <w:bookmarkEnd w:id="5"/>
      <w:r>
        <w:rPr>
          <w:rFonts w:ascii="Arial Narrow" w:eastAsia="Arial Narrow" w:hAnsi="Arial Narrow" w:cs="Arial Narrow"/>
          <w:b/>
          <w:color w:val="000000"/>
          <w:sz w:val="22"/>
          <w:szCs w:val="22"/>
        </w:rPr>
        <w:t xml:space="preserve"> Presentación y síntesis del proyecto</w:t>
      </w:r>
    </w:p>
    <w:p w:rsidR="007B5D61" w:rsidRDefault="00E062B9">
      <w:pPr>
        <w:spacing w:before="280" w:after="280"/>
        <w:ind w:right="-139"/>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presente iniciativa de Ley contiene 4 artículos incluyendo la vigencia, cuyo objetivo principal es modificar el artículo 424 y 468-1 del Estatuto Tributario con miras a excluir los alimentos para perros y gatos del </w:t>
      </w:r>
      <w:r>
        <w:rPr>
          <w:rFonts w:ascii="Arial Narrow" w:eastAsia="Arial Narrow" w:hAnsi="Arial Narrow" w:cs="Arial Narrow"/>
          <w:sz w:val="22"/>
          <w:szCs w:val="22"/>
        </w:rPr>
        <w:t>pago del IVA del 5%, al mismo tiempo que se incluye dentro de los bienes que no causan el impuesto en aras de beneficiar a las familias colombianas que poseen estos animales de compañía en sus finanzas, debido al alza en los precios de los alimentos para m</w:t>
      </w:r>
      <w:r>
        <w:rPr>
          <w:rFonts w:ascii="Arial Narrow" w:eastAsia="Arial Narrow" w:hAnsi="Arial Narrow" w:cs="Arial Narrow"/>
          <w:sz w:val="22"/>
          <w:szCs w:val="22"/>
        </w:rPr>
        <w:t xml:space="preserve">ascotas, así como propender por el bienestar animal como seres sintientes, garantizando para ellos una alimentación adecuada. </w:t>
      </w: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Cada vez son más las personas que consideran a sus mascotas como parte de su familia. Este proyecto de ley busca repercutir direc</w:t>
      </w:r>
      <w:r>
        <w:rPr>
          <w:rFonts w:ascii="Arial Narrow" w:eastAsia="Arial Narrow" w:hAnsi="Arial Narrow" w:cs="Arial Narrow"/>
          <w:sz w:val="22"/>
          <w:szCs w:val="22"/>
        </w:rPr>
        <w:t>tamente en la economía diaria de estas familias colombianas, especialmente de aquellas familias que tienen perros y gatos, y no tienen la capacidad económica para poder comprar los alimentos adecuados para ellos, aumentando la probabilidad de que puedan ac</w:t>
      </w:r>
      <w:r>
        <w:rPr>
          <w:rFonts w:ascii="Arial Narrow" w:eastAsia="Arial Narrow" w:hAnsi="Arial Narrow" w:cs="Arial Narrow"/>
          <w:sz w:val="22"/>
          <w:szCs w:val="22"/>
        </w:rPr>
        <w:t xml:space="preserve">ceder a los mismos y asegurar una alimentación adecuada para sus mascotas.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De igual forma, esta iniciativa beneficia a los refugios de animales, fundaciones de protección animal, hogares de atención animal, o tenedores de animales, quienes han sido vícti</w:t>
      </w:r>
      <w:r>
        <w:rPr>
          <w:rFonts w:ascii="Arial Narrow" w:eastAsia="Arial Narrow" w:hAnsi="Arial Narrow" w:cs="Arial Narrow"/>
          <w:sz w:val="22"/>
          <w:szCs w:val="22"/>
        </w:rPr>
        <w:t>mas de las vertiginosas variaciones en los precios de los alimentos para animales, consecuencia de la generalizada inflación global, para ello con esta iniciativa legislativa se propone un cambio en la norma, con el fin de modificar los gravámenes que se i</w:t>
      </w:r>
      <w:r>
        <w:rPr>
          <w:rFonts w:ascii="Arial Narrow" w:eastAsia="Arial Narrow" w:hAnsi="Arial Narrow" w:cs="Arial Narrow"/>
          <w:sz w:val="22"/>
          <w:szCs w:val="22"/>
        </w:rPr>
        <w:t>mponen a los alimentos destinados para animales domésticos de compañía (perros y gatos), conocidos comúnmente como concentrados o alimentos para mascotas, eliminando el IVA del 5% incluyéndose en los bienes que no causan el impuesto.</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Esta iniciativa no so</w:t>
      </w:r>
      <w:r>
        <w:rPr>
          <w:rFonts w:ascii="Arial Narrow" w:eastAsia="Arial Narrow" w:hAnsi="Arial Narrow" w:cs="Arial Narrow"/>
          <w:sz w:val="22"/>
          <w:szCs w:val="22"/>
        </w:rPr>
        <w:t xml:space="preserve">lo repercute en la capacidad económica de los tenedores de gatos y perros sino que también repercute en las cifras de abandono de animales, toda vez que la manutención de las mascotas sería más asequible, así mismo, promociona una tenencia responsable, al </w:t>
      </w:r>
      <w:r>
        <w:rPr>
          <w:rFonts w:ascii="Arial Narrow" w:eastAsia="Arial Narrow" w:hAnsi="Arial Narrow" w:cs="Arial Narrow"/>
          <w:sz w:val="22"/>
          <w:szCs w:val="22"/>
        </w:rPr>
        <w:t>ser un incentivo que propende por la alimentación y el cuidado de los animales. Por otra parte, la reducción en los precios de estos alimentos también constituye un beneficio social, para todas aquellas personas cuya mascota representa un apoyo emocional y</w:t>
      </w:r>
      <w:r>
        <w:rPr>
          <w:rFonts w:ascii="Arial Narrow" w:eastAsia="Arial Narrow" w:hAnsi="Arial Narrow" w:cs="Arial Narrow"/>
          <w:sz w:val="22"/>
          <w:szCs w:val="22"/>
        </w:rPr>
        <w:t xml:space="preserve"> compañía, repercutiendo positivamente en su salud mental.  </w:t>
      </w:r>
    </w:p>
    <w:p w:rsidR="007B5D61" w:rsidRDefault="007B5D61">
      <w:pPr>
        <w:pBdr>
          <w:top w:val="nil"/>
          <w:left w:val="nil"/>
          <w:bottom w:val="nil"/>
          <w:right w:val="nil"/>
          <w:between w:val="nil"/>
        </w:pBdr>
        <w:jc w:val="both"/>
        <w:rPr>
          <w:rFonts w:ascii="Arial Narrow" w:eastAsia="Arial Narrow" w:hAnsi="Arial Narrow" w:cs="Arial Narrow"/>
          <w:sz w:val="22"/>
          <w:szCs w:val="22"/>
        </w:rPr>
      </w:pPr>
    </w:p>
    <w:p w:rsidR="007B5D61" w:rsidRDefault="00E062B9">
      <w:pPr>
        <w:numPr>
          <w:ilvl w:val="1"/>
          <w:numId w:val="6"/>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6" w:name="_heading=h.lnxbz9" w:colFirst="0" w:colLast="0"/>
      <w:bookmarkEnd w:id="6"/>
      <w:r>
        <w:rPr>
          <w:rFonts w:ascii="Arial Narrow" w:eastAsia="Arial Narrow" w:hAnsi="Arial Narrow" w:cs="Arial Narrow"/>
          <w:b/>
          <w:color w:val="000000"/>
          <w:sz w:val="22"/>
          <w:szCs w:val="22"/>
        </w:rPr>
        <w:t xml:space="preserve"> Contenido del proyecto</w:t>
      </w:r>
    </w:p>
    <w:p w:rsidR="007B5D61" w:rsidRDefault="007B5D61">
      <w:pPr>
        <w:rPr>
          <w:rFonts w:ascii="Arial Narrow" w:eastAsia="Arial Narrow" w:hAnsi="Arial Narrow" w:cs="Arial Narrow"/>
          <w:sz w:val="22"/>
          <w:szCs w:val="22"/>
        </w:rPr>
      </w:pPr>
    </w:p>
    <w:p w:rsidR="007B5D61" w:rsidRDefault="00E062B9">
      <w:pPr>
        <w:rPr>
          <w:rFonts w:ascii="Arial Narrow" w:eastAsia="Arial Narrow" w:hAnsi="Arial Narrow" w:cs="Arial Narrow"/>
          <w:sz w:val="22"/>
          <w:szCs w:val="22"/>
        </w:rPr>
      </w:pPr>
      <w:r>
        <w:rPr>
          <w:rFonts w:ascii="Arial Narrow" w:eastAsia="Arial Narrow" w:hAnsi="Arial Narrow" w:cs="Arial Narrow"/>
          <w:sz w:val="22"/>
          <w:szCs w:val="22"/>
        </w:rPr>
        <w:t>El Proyecto de Ley consta de 26 artículos con los siguientes temas:</w:t>
      </w:r>
    </w:p>
    <w:p w:rsidR="007B5D61" w:rsidRDefault="00E062B9">
      <w:pPr>
        <w:numPr>
          <w:ilvl w:val="0"/>
          <w:numId w:val="7"/>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1°. </w:t>
      </w:r>
      <w:r>
        <w:rPr>
          <w:rFonts w:ascii="Arial Narrow" w:eastAsia="Arial Narrow" w:hAnsi="Arial Narrow" w:cs="Arial Narrow"/>
          <w:i/>
          <w:color w:val="000000"/>
          <w:sz w:val="22"/>
          <w:szCs w:val="22"/>
        </w:rPr>
        <w:t>Objeto</w:t>
      </w:r>
      <w:r>
        <w:rPr>
          <w:rFonts w:ascii="Arial Narrow" w:eastAsia="Arial Narrow" w:hAnsi="Arial Narrow" w:cs="Arial Narrow"/>
          <w:color w:val="000000"/>
          <w:sz w:val="22"/>
          <w:szCs w:val="22"/>
        </w:rPr>
        <w:t xml:space="preserve">. </w:t>
      </w:r>
    </w:p>
    <w:p w:rsidR="007B5D61" w:rsidRDefault="00E062B9">
      <w:pPr>
        <w:numPr>
          <w:ilvl w:val="0"/>
          <w:numId w:val="7"/>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2°. </w:t>
      </w:r>
      <w:r>
        <w:rPr>
          <w:rFonts w:ascii="Arial Narrow" w:eastAsia="Arial Narrow" w:hAnsi="Arial Narrow" w:cs="Arial Narrow"/>
          <w:i/>
          <w:sz w:val="22"/>
          <w:szCs w:val="22"/>
        </w:rPr>
        <w:t>Bienes que no causan el impuesto.</w:t>
      </w:r>
    </w:p>
    <w:p w:rsidR="007B5D61" w:rsidRDefault="00E062B9">
      <w:pPr>
        <w:numPr>
          <w:ilvl w:val="0"/>
          <w:numId w:val="7"/>
        </w:numPr>
        <w:pBdr>
          <w:top w:val="nil"/>
          <w:left w:val="nil"/>
          <w:bottom w:val="nil"/>
          <w:right w:val="nil"/>
          <w:between w:val="nil"/>
        </w:pBdr>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3°. </w:t>
      </w:r>
      <w:r>
        <w:rPr>
          <w:rFonts w:ascii="Arial Narrow" w:eastAsia="Arial Narrow" w:hAnsi="Arial Narrow" w:cs="Arial Narrow"/>
          <w:i/>
          <w:sz w:val="22"/>
          <w:szCs w:val="22"/>
        </w:rPr>
        <w:t>Bienes gravados con la tarifa del cinco por ciento (5%).</w:t>
      </w:r>
    </w:p>
    <w:p w:rsidR="007B5D61" w:rsidRDefault="00E062B9">
      <w:pPr>
        <w:numPr>
          <w:ilvl w:val="0"/>
          <w:numId w:val="7"/>
        </w:numPr>
        <w:pBdr>
          <w:top w:val="nil"/>
          <w:left w:val="nil"/>
          <w:bottom w:val="nil"/>
          <w:right w:val="nil"/>
          <w:between w:val="nil"/>
        </w:pBdr>
        <w:spacing w:after="280"/>
        <w:ind w:right="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Artículo </w:t>
      </w:r>
      <w:r>
        <w:rPr>
          <w:rFonts w:ascii="Arial Narrow" w:eastAsia="Arial Narrow" w:hAnsi="Arial Narrow" w:cs="Arial Narrow"/>
          <w:sz w:val="22"/>
          <w:szCs w:val="22"/>
        </w:rPr>
        <w:t>4</w:t>
      </w:r>
      <w:r>
        <w:rPr>
          <w:rFonts w:ascii="Arial Narrow" w:eastAsia="Arial Narrow" w:hAnsi="Arial Narrow" w:cs="Arial Narrow"/>
          <w:color w:val="000000"/>
          <w:sz w:val="22"/>
          <w:szCs w:val="22"/>
        </w:rPr>
        <w:t>º </w:t>
      </w:r>
      <w:r>
        <w:rPr>
          <w:rFonts w:ascii="Arial Narrow" w:eastAsia="Arial Narrow" w:hAnsi="Arial Narrow" w:cs="Arial Narrow"/>
          <w:i/>
          <w:color w:val="000000"/>
          <w:sz w:val="22"/>
          <w:szCs w:val="22"/>
        </w:rPr>
        <w:t>Vigencia</w:t>
      </w:r>
      <w:r>
        <w:rPr>
          <w:rFonts w:ascii="Arial Narrow" w:eastAsia="Arial Narrow" w:hAnsi="Arial Narrow" w:cs="Arial Narrow"/>
          <w:color w:val="000000"/>
          <w:sz w:val="22"/>
          <w:szCs w:val="22"/>
        </w:rPr>
        <w:t xml:space="preserve">. </w:t>
      </w:r>
    </w:p>
    <w:p w:rsidR="007B5D61" w:rsidRDefault="00E062B9">
      <w:pPr>
        <w:numPr>
          <w:ilvl w:val="1"/>
          <w:numId w:val="6"/>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7" w:name="_heading=h.35nkun2" w:colFirst="0" w:colLast="0"/>
      <w:bookmarkEnd w:id="7"/>
      <w:r>
        <w:rPr>
          <w:rFonts w:ascii="Arial Narrow" w:eastAsia="Arial Narrow" w:hAnsi="Arial Narrow" w:cs="Arial Narrow"/>
          <w:b/>
          <w:color w:val="000000"/>
          <w:sz w:val="22"/>
          <w:szCs w:val="22"/>
        </w:rPr>
        <w:t xml:space="preserve"> Antecedentes Legislativos</w:t>
      </w:r>
    </w:p>
    <w:p w:rsidR="007B5D61" w:rsidRDefault="007B5D61">
      <w:pPr>
        <w:pBdr>
          <w:top w:val="nil"/>
          <w:left w:val="nil"/>
          <w:bottom w:val="nil"/>
          <w:right w:val="nil"/>
          <w:between w:val="nil"/>
        </w:pBdr>
        <w:ind w:left="360" w:right="4"/>
        <w:jc w:val="both"/>
        <w:rPr>
          <w:rFonts w:ascii="Arial Narrow" w:eastAsia="Arial Narrow" w:hAnsi="Arial Narrow" w:cs="Arial Narrow"/>
          <w:b/>
          <w:sz w:val="22"/>
          <w:szCs w:val="22"/>
        </w:rPr>
      </w:pPr>
      <w:bookmarkStart w:id="8" w:name="_heading=h.pgyshrohdbj7" w:colFirst="0" w:colLast="0"/>
      <w:bookmarkEnd w:id="8"/>
    </w:p>
    <w:p w:rsidR="007B5D61" w:rsidRDefault="00E062B9">
      <w:pPr>
        <w:ind w:right="4"/>
        <w:jc w:val="both"/>
        <w:rPr>
          <w:rFonts w:ascii="Arial Narrow" w:eastAsia="Arial Narrow" w:hAnsi="Arial Narrow" w:cs="Arial Narrow"/>
          <w:sz w:val="22"/>
          <w:szCs w:val="22"/>
        </w:rPr>
      </w:pPr>
      <w:bookmarkStart w:id="9" w:name="_heading=h.72xo64a8ileu" w:colFirst="0" w:colLast="0"/>
      <w:bookmarkEnd w:id="9"/>
      <w:r>
        <w:rPr>
          <w:rFonts w:ascii="Arial Narrow" w:eastAsia="Arial Narrow" w:hAnsi="Arial Narrow" w:cs="Arial Narrow"/>
          <w:sz w:val="22"/>
          <w:szCs w:val="22"/>
        </w:rPr>
        <w:lastRenderedPageBreak/>
        <w:t>A continuación se establece el Proyecto de Ley 417 de 2023, que concuerda con el objeto de la presente iniciativa así:</w:t>
      </w:r>
    </w:p>
    <w:p w:rsidR="007B5D61" w:rsidRDefault="00E062B9">
      <w:pPr>
        <w:numPr>
          <w:ilvl w:val="0"/>
          <w:numId w:val="4"/>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Proyecto de Ley Cámara: 417</w:t>
      </w:r>
      <w:r>
        <w:rPr>
          <w:rFonts w:ascii="Arial Narrow" w:eastAsia="Arial Narrow" w:hAnsi="Arial Narrow" w:cs="Arial Narrow"/>
          <w:b/>
          <w:sz w:val="22"/>
          <w:szCs w:val="22"/>
        </w:rPr>
        <w:t xml:space="preserve"> de 2023 </w:t>
      </w:r>
      <w:r>
        <w:rPr>
          <w:rFonts w:ascii="Arial Narrow" w:eastAsia="Arial Narrow" w:hAnsi="Arial Narrow" w:cs="Arial Narrow"/>
          <w:sz w:val="22"/>
          <w:szCs w:val="22"/>
        </w:rPr>
        <w:t>“Por medio del cual se modifica el estatuto tributario con el fin de excluir del pago del iva el alimento para animales domésticos de compañía”</w:t>
      </w:r>
    </w:p>
    <w:p w:rsidR="007B5D61" w:rsidRDefault="00E062B9">
      <w:pPr>
        <w:numPr>
          <w:ilvl w:val="1"/>
          <w:numId w:val="4"/>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Objeto</w:t>
      </w:r>
      <w:r>
        <w:rPr>
          <w:rFonts w:ascii="Arial Narrow" w:eastAsia="Arial Narrow" w:hAnsi="Arial Narrow" w:cs="Arial Narrow"/>
          <w:sz w:val="22"/>
          <w:szCs w:val="22"/>
        </w:rPr>
        <w:t>: La presente ley tiene por objeto modificar el Estatuto Tributario, con el fin de excluir del pa</w:t>
      </w:r>
      <w:r>
        <w:rPr>
          <w:rFonts w:ascii="Arial Narrow" w:eastAsia="Arial Narrow" w:hAnsi="Arial Narrow" w:cs="Arial Narrow"/>
          <w:sz w:val="22"/>
          <w:szCs w:val="22"/>
        </w:rPr>
        <w:t>go del impuesto al Valor Agregado (IVA) las preparaciones de los tipos utilizados para la alimentación de los animales domésticos de compañía, ofreciendo garantías para la vida y el bienestar de los animales.</w:t>
      </w:r>
    </w:p>
    <w:p w:rsidR="007B5D61" w:rsidRDefault="00E062B9">
      <w:pPr>
        <w:numPr>
          <w:ilvl w:val="1"/>
          <w:numId w:val="4"/>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Autores</w:t>
      </w:r>
      <w:r>
        <w:rPr>
          <w:rFonts w:ascii="Arial Narrow" w:eastAsia="Arial Narrow" w:hAnsi="Arial Narrow" w:cs="Arial Narrow"/>
          <w:sz w:val="22"/>
          <w:szCs w:val="22"/>
        </w:rPr>
        <w:t>: H.R.</w:t>
      </w:r>
      <w:hyperlink r:id="rId8">
        <w:r>
          <w:rPr>
            <w:rFonts w:ascii="Arial Narrow" w:eastAsia="Arial Narrow" w:hAnsi="Arial Narrow" w:cs="Arial Narrow"/>
            <w:sz w:val="22"/>
            <w:szCs w:val="22"/>
          </w:rPr>
          <w:t>Wilmer Yair Castellanos Hernández</w:t>
        </w:r>
      </w:hyperlink>
      <w:r>
        <w:rPr>
          <w:rFonts w:ascii="Arial Narrow" w:eastAsia="Arial Narrow" w:hAnsi="Arial Narrow" w:cs="Arial Narrow"/>
          <w:sz w:val="22"/>
          <w:szCs w:val="22"/>
        </w:rPr>
        <w:t>, H.R.</w:t>
      </w:r>
      <w:hyperlink r:id="rId9">
        <w:r>
          <w:rPr>
            <w:rFonts w:ascii="Arial Narrow" w:eastAsia="Arial Narrow" w:hAnsi="Arial Narrow" w:cs="Arial Narrow"/>
            <w:sz w:val="22"/>
            <w:szCs w:val="22"/>
          </w:rPr>
          <w:t>Luvi Katherine Miranda Peña</w:t>
        </w:r>
      </w:hyperlink>
      <w:r>
        <w:rPr>
          <w:rFonts w:ascii="Arial Narrow" w:eastAsia="Arial Narrow" w:hAnsi="Arial Narrow" w:cs="Arial Narrow"/>
          <w:sz w:val="22"/>
          <w:szCs w:val="22"/>
        </w:rPr>
        <w:t>, H.R.</w:t>
      </w:r>
      <w:hyperlink r:id="rId10">
        <w:r>
          <w:rPr>
            <w:rFonts w:ascii="Arial Narrow" w:eastAsia="Arial Narrow" w:hAnsi="Arial Narrow" w:cs="Arial Narrow"/>
            <w:sz w:val="22"/>
            <w:szCs w:val="22"/>
          </w:rPr>
          <w:t>Olga Lucia Velásquez Nieto</w:t>
        </w:r>
      </w:hyperlink>
      <w:r>
        <w:rPr>
          <w:rFonts w:ascii="Arial Narrow" w:eastAsia="Arial Narrow" w:hAnsi="Arial Narrow" w:cs="Arial Narrow"/>
          <w:sz w:val="22"/>
          <w:szCs w:val="22"/>
        </w:rPr>
        <w:t>, H.R.</w:t>
      </w:r>
      <w:hyperlink r:id="rId11">
        <w:r>
          <w:rPr>
            <w:rFonts w:ascii="Arial Narrow" w:eastAsia="Arial Narrow" w:hAnsi="Arial Narrow" w:cs="Arial Narrow"/>
            <w:sz w:val="22"/>
            <w:szCs w:val="22"/>
          </w:rPr>
          <w:t>Wilder Iberson Escobar Ortiz</w:t>
        </w:r>
      </w:hyperlink>
      <w:r>
        <w:rPr>
          <w:rFonts w:ascii="Arial Narrow" w:eastAsia="Arial Narrow" w:hAnsi="Arial Narrow" w:cs="Arial Narrow"/>
          <w:sz w:val="22"/>
          <w:szCs w:val="22"/>
        </w:rPr>
        <w:t>, H.R.</w:t>
      </w:r>
      <w:hyperlink r:id="rId12">
        <w:r>
          <w:rPr>
            <w:rFonts w:ascii="Arial Narrow" w:eastAsia="Arial Narrow" w:hAnsi="Arial Narrow" w:cs="Arial Narrow"/>
            <w:sz w:val="22"/>
            <w:szCs w:val="22"/>
          </w:rPr>
          <w:t>Duvalier Sánchez Arango</w:t>
        </w:r>
      </w:hyperlink>
      <w:r>
        <w:rPr>
          <w:rFonts w:ascii="Arial Narrow" w:eastAsia="Arial Narrow" w:hAnsi="Arial Narrow" w:cs="Arial Narrow"/>
          <w:sz w:val="22"/>
          <w:szCs w:val="22"/>
        </w:rPr>
        <w:t>, H.R.</w:t>
      </w:r>
      <w:hyperlink r:id="rId13">
        <w:r>
          <w:rPr>
            <w:rFonts w:ascii="Arial Narrow" w:eastAsia="Arial Narrow" w:hAnsi="Arial Narrow" w:cs="Arial Narrow"/>
            <w:sz w:val="22"/>
            <w:szCs w:val="22"/>
          </w:rPr>
          <w:t>Alejandro García Ríos</w:t>
        </w:r>
      </w:hyperlink>
      <w:r>
        <w:rPr>
          <w:rFonts w:ascii="Arial Narrow" w:eastAsia="Arial Narrow" w:hAnsi="Arial Narrow" w:cs="Arial Narrow"/>
          <w:sz w:val="22"/>
          <w:szCs w:val="22"/>
        </w:rPr>
        <w:t>, H.R.</w:t>
      </w:r>
      <w:hyperlink r:id="rId14">
        <w:r>
          <w:rPr>
            <w:rFonts w:ascii="Arial Narrow" w:eastAsia="Arial Narrow" w:hAnsi="Arial Narrow" w:cs="Arial Narrow"/>
            <w:sz w:val="22"/>
            <w:szCs w:val="22"/>
          </w:rPr>
          <w:t>Da</w:t>
        </w:r>
        <w:r>
          <w:rPr>
            <w:rFonts w:ascii="Arial Narrow" w:eastAsia="Arial Narrow" w:hAnsi="Arial Narrow" w:cs="Arial Narrow"/>
            <w:sz w:val="22"/>
            <w:szCs w:val="22"/>
          </w:rPr>
          <w:t>niel Carvalho Mejía</w:t>
        </w:r>
      </w:hyperlink>
      <w:r>
        <w:rPr>
          <w:rFonts w:ascii="Arial Narrow" w:eastAsia="Arial Narrow" w:hAnsi="Arial Narrow" w:cs="Arial Narrow"/>
          <w:sz w:val="22"/>
          <w:szCs w:val="22"/>
        </w:rPr>
        <w:t>, H.R.</w:t>
      </w:r>
      <w:hyperlink r:id="rId15">
        <w:r>
          <w:rPr>
            <w:rFonts w:ascii="Arial Narrow" w:eastAsia="Arial Narrow" w:hAnsi="Arial Narrow" w:cs="Arial Narrow"/>
            <w:sz w:val="22"/>
            <w:szCs w:val="22"/>
          </w:rPr>
          <w:t>Juan Diego Muñoz Cabrera</w:t>
        </w:r>
      </w:hyperlink>
      <w:r>
        <w:rPr>
          <w:rFonts w:ascii="Arial Narrow" w:eastAsia="Arial Narrow" w:hAnsi="Arial Narrow" w:cs="Arial Narrow"/>
          <w:sz w:val="22"/>
          <w:szCs w:val="22"/>
        </w:rPr>
        <w:t>, H.S.</w:t>
      </w:r>
      <w:hyperlink r:id="rId16">
        <w:r>
          <w:rPr>
            <w:rFonts w:ascii="Arial Narrow" w:eastAsia="Arial Narrow" w:hAnsi="Arial Narrow" w:cs="Arial Narrow"/>
            <w:sz w:val="22"/>
            <w:szCs w:val="22"/>
          </w:rPr>
          <w:t>Andrea Padilla Villarraga</w:t>
        </w:r>
      </w:hyperlink>
      <w:r>
        <w:rPr>
          <w:rFonts w:ascii="Arial Narrow" w:eastAsia="Arial Narrow" w:hAnsi="Arial Narrow" w:cs="Arial Narrow"/>
          <w:sz w:val="22"/>
          <w:szCs w:val="22"/>
        </w:rPr>
        <w:t>.</w:t>
      </w:r>
    </w:p>
    <w:p w:rsidR="007B5D61" w:rsidRDefault="00E062B9">
      <w:pPr>
        <w:numPr>
          <w:ilvl w:val="1"/>
          <w:numId w:val="4"/>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Legislatura: </w:t>
      </w:r>
      <w:r>
        <w:rPr>
          <w:rFonts w:ascii="Arial Narrow" w:eastAsia="Arial Narrow" w:hAnsi="Arial Narrow" w:cs="Arial Narrow"/>
          <w:sz w:val="22"/>
          <w:szCs w:val="22"/>
        </w:rPr>
        <w:t>2022-</w:t>
      </w:r>
      <w:r>
        <w:rPr>
          <w:rFonts w:ascii="Arial Narrow" w:eastAsia="Arial Narrow" w:hAnsi="Arial Narrow" w:cs="Arial Narrow"/>
          <w:sz w:val="22"/>
          <w:szCs w:val="22"/>
        </w:rPr>
        <w:t>2023</w:t>
      </w:r>
    </w:p>
    <w:p w:rsidR="007B5D61" w:rsidRDefault="00E062B9">
      <w:pPr>
        <w:numPr>
          <w:ilvl w:val="1"/>
          <w:numId w:val="4"/>
        </w:num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b/>
          <w:sz w:val="22"/>
          <w:szCs w:val="22"/>
        </w:rPr>
        <w:t>Estado</w:t>
      </w:r>
      <w:r>
        <w:rPr>
          <w:rFonts w:ascii="Arial Narrow" w:eastAsia="Arial Narrow" w:hAnsi="Arial Narrow" w:cs="Arial Narrow"/>
          <w:sz w:val="22"/>
          <w:szCs w:val="22"/>
        </w:rPr>
        <w:t>: Archivado.</w:t>
      </w:r>
    </w:p>
    <w:p w:rsidR="007B5D61" w:rsidRDefault="00E062B9">
      <w:pPr>
        <w:pBdr>
          <w:top w:val="nil"/>
          <w:left w:val="nil"/>
          <w:bottom w:val="nil"/>
          <w:right w:val="nil"/>
          <w:between w:val="nil"/>
        </w:pBdr>
        <w:spacing w:before="280" w:after="200"/>
        <w:ind w:right="4"/>
        <w:jc w:val="both"/>
        <w:rPr>
          <w:rFonts w:ascii="Arial Narrow" w:eastAsia="Arial Narrow" w:hAnsi="Arial Narrow" w:cs="Arial Narrow"/>
          <w:sz w:val="22"/>
          <w:szCs w:val="22"/>
        </w:rPr>
      </w:pPr>
      <w:r>
        <w:rPr>
          <w:rFonts w:ascii="Arial Narrow" w:eastAsia="Arial Narrow" w:hAnsi="Arial Narrow" w:cs="Arial Narrow"/>
          <w:sz w:val="22"/>
          <w:szCs w:val="22"/>
        </w:rPr>
        <w:t>Si bien se encuentran varias iniciativas que propenden por el bienestar animal, no se encuentra ninguna otra iniciativa que pretenda la modificación de los impuestos que gravan los alimentos o concentrados para gatos y perros tal y como se establece el pre</w:t>
      </w:r>
      <w:r>
        <w:rPr>
          <w:rFonts w:ascii="Arial Narrow" w:eastAsia="Arial Narrow" w:hAnsi="Arial Narrow" w:cs="Arial Narrow"/>
          <w:sz w:val="22"/>
          <w:szCs w:val="22"/>
        </w:rPr>
        <w:t>sente proyecto de ley. A continuación se enuncian las iniciativas de ley que han contribuido a la constitución de un antecedente legislativo, y que han redundado en la protección y beneficio de los animales en Colombia, creando deberes de cuidado, así mism</w:t>
      </w:r>
      <w:r>
        <w:rPr>
          <w:rFonts w:ascii="Arial Narrow" w:eastAsia="Arial Narrow" w:hAnsi="Arial Narrow" w:cs="Arial Narrow"/>
          <w:sz w:val="22"/>
          <w:szCs w:val="22"/>
        </w:rPr>
        <w:t>o hace reconocimiento y da garantías a los animales y sus tenedores.</w:t>
      </w:r>
    </w:p>
    <w:p w:rsidR="007B5D61" w:rsidRDefault="007B5D61">
      <w:pPr>
        <w:ind w:right="4"/>
        <w:jc w:val="both"/>
        <w:rPr>
          <w:rFonts w:ascii="Arial Narrow" w:eastAsia="Arial Narrow" w:hAnsi="Arial Narrow" w:cs="Arial Narrow"/>
          <w:sz w:val="22"/>
          <w:szCs w:val="22"/>
        </w:rPr>
      </w:pPr>
      <w:bookmarkStart w:id="10" w:name="_heading=h.lr7vevxasygw" w:colFirst="0" w:colLast="0"/>
      <w:bookmarkEnd w:id="10"/>
    </w:p>
    <w:p w:rsidR="007B5D61" w:rsidRDefault="00E062B9">
      <w:pPr>
        <w:numPr>
          <w:ilvl w:val="0"/>
          <w:numId w:val="5"/>
        </w:numPr>
        <w:jc w:val="both"/>
        <w:rPr>
          <w:sz w:val="22"/>
          <w:szCs w:val="22"/>
        </w:rPr>
      </w:pPr>
      <w:r>
        <w:rPr>
          <w:rFonts w:ascii="Arial Narrow" w:eastAsia="Arial Narrow" w:hAnsi="Arial Narrow" w:cs="Arial Narrow"/>
          <w:b/>
          <w:sz w:val="22"/>
          <w:szCs w:val="22"/>
        </w:rPr>
        <w:t xml:space="preserve">PL 086/16 Senado: </w:t>
      </w:r>
      <w:r>
        <w:rPr>
          <w:rFonts w:ascii="Arial Narrow" w:eastAsia="Arial Narrow" w:hAnsi="Arial Narrow" w:cs="Arial Narrow"/>
          <w:i/>
          <w:sz w:val="22"/>
          <w:szCs w:val="22"/>
        </w:rPr>
        <w:t>“Por medio del cual se establecen medidas para la protección de los animales, se modifica la ley 84 de 1989 y se dictan otras disposiciones”</w:t>
      </w:r>
      <w:r>
        <w:rPr>
          <w:rFonts w:ascii="Arial Narrow" w:eastAsia="Arial Narrow" w:hAnsi="Arial Narrow" w:cs="Arial Narrow"/>
          <w:sz w:val="22"/>
          <w:szCs w:val="22"/>
        </w:rPr>
        <w:t>.</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Esta iniciativa legislativa buscaba establecer medidas especiales de protección a los animales, reconociendo que las relaciones que el hombre desarrolla para con ellos se basan en el cuidado, protección, la proscripción del abuso, maltrato y violencia, en </w:t>
      </w:r>
      <w:r>
        <w:rPr>
          <w:rFonts w:ascii="Arial Narrow" w:eastAsia="Arial Narrow" w:hAnsi="Arial Narrow" w:cs="Arial Narrow"/>
          <w:sz w:val="22"/>
          <w:szCs w:val="22"/>
        </w:rPr>
        <w:t>este sentido ha permitido la consolidación de medidas de protección en favor de los animales domésticos.</w:t>
      </w:r>
    </w:p>
    <w:p w:rsidR="007B5D61" w:rsidRDefault="007B5D61">
      <w:pPr>
        <w:jc w:val="both"/>
        <w:rPr>
          <w:rFonts w:ascii="Arial Narrow" w:eastAsia="Arial Narrow" w:hAnsi="Arial Narrow" w:cs="Arial Narrow"/>
          <w:sz w:val="22"/>
          <w:szCs w:val="22"/>
        </w:rPr>
      </w:pPr>
    </w:p>
    <w:p w:rsidR="007B5D61" w:rsidRDefault="00E062B9">
      <w:pPr>
        <w:numPr>
          <w:ilvl w:val="0"/>
          <w:numId w:val="5"/>
        </w:numPr>
        <w:jc w:val="both"/>
        <w:rPr>
          <w:sz w:val="22"/>
          <w:szCs w:val="22"/>
        </w:rPr>
      </w:pPr>
      <w:r>
        <w:rPr>
          <w:rFonts w:ascii="Arial Narrow" w:eastAsia="Arial Narrow" w:hAnsi="Arial Narrow" w:cs="Arial Narrow"/>
          <w:b/>
          <w:sz w:val="22"/>
          <w:szCs w:val="22"/>
        </w:rPr>
        <w:t xml:space="preserve">PL 087/18 Senado: </w:t>
      </w:r>
      <w:r>
        <w:rPr>
          <w:rFonts w:ascii="Arial Narrow" w:eastAsia="Arial Narrow" w:hAnsi="Arial Narrow" w:cs="Arial Narrow"/>
          <w:b/>
          <w:i/>
          <w:sz w:val="22"/>
          <w:szCs w:val="22"/>
        </w:rPr>
        <w:t>“</w:t>
      </w:r>
      <w:r>
        <w:rPr>
          <w:rFonts w:ascii="Arial Narrow" w:eastAsia="Arial Narrow" w:hAnsi="Arial Narrow" w:cs="Arial Narrow"/>
          <w:i/>
          <w:sz w:val="22"/>
          <w:szCs w:val="22"/>
        </w:rPr>
        <w:t>Por medio del cual se establecen medidas de protección a los animales en estado de abandono o vulnerabilidad, se regulan los centro</w:t>
      </w:r>
      <w:r>
        <w:rPr>
          <w:rFonts w:ascii="Arial Narrow" w:eastAsia="Arial Narrow" w:hAnsi="Arial Narrow" w:cs="Arial Narrow"/>
          <w:i/>
          <w:sz w:val="22"/>
          <w:szCs w:val="22"/>
        </w:rPr>
        <w:t>s de bienestar animal y se dictan otras disposiciones”.</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Establece unas medidas adicionales de protección de los animales, como “seres sintientes”, dando aplicación a lo que la comunidad internacional ha denominado las cinco libertades animales.  Esta inic</w:t>
      </w:r>
      <w:r>
        <w:rPr>
          <w:rFonts w:ascii="Arial Narrow" w:eastAsia="Arial Narrow" w:hAnsi="Arial Narrow" w:cs="Arial Narrow"/>
          <w:sz w:val="22"/>
          <w:szCs w:val="22"/>
        </w:rPr>
        <w:t xml:space="preserve">iativa legislativa tiene una relación directa con el presente proyecto de Ley, ya que refuerza el reconocimiento de seres sintientes a los animales, y propone condiciones de tenencia responsable entre las que se incluye la alimentación.  </w:t>
      </w:r>
    </w:p>
    <w:p w:rsidR="007B5D61" w:rsidRDefault="007B5D61">
      <w:pPr>
        <w:ind w:left="720"/>
        <w:jc w:val="both"/>
        <w:rPr>
          <w:rFonts w:ascii="Arial Narrow" w:eastAsia="Arial Narrow" w:hAnsi="Arial Narrow" w:cs="Arial Narrow"/>
          <w:b/>
          <w:sz w:val="22"/>
          <w:szCs w:val="22"/>
        </w:rPr>
      </w:pPr>
    </w:p>
    <w:p w:rsidR="007B5D61" w:rsidRDefault="00E062B9">
      <w:pPr>
        <w:numPr>
          <w:ilvl w:val="0"/>
          <w:numId w:val="5"/>
        </w:numPr>
        <w:jc w:val="both"/>
        <w:rPr>
          <w:sz w:val="22"/>
          <w:szCs w:val="22"/>
        </w:rPr>
      </w:pPr>
      <w:r>
        <w:rPr>
          <w:rFonts w:ascii="Arial Narrow" w:eastAsia="Arial Narrow" w:hAnsi="Arial Narrow" w:cs="Arial Narrow"/>
          <w:b/>
          <w:sz w:val="22"/>
          <w:szCs w:val="22"/>
        </w:rPr>
        <w:t>PL46/18 Senado:</w:t>
      </w:r>
      <w:r>
        <w:rPr>
          <w:rFonts w:ascii="Arial Narrow" w:eastAsia="Arial Narrow" w:hAnsi="Arial Narrow" w:cs="Arial Narrow"/>
          <w:sz w:val="22"/>
          <w:szCs w:val="22"/>
        </w:rPr>
        <w:t xml:space="preserve"> </w:t>
      </w:r>
      <w:r>
        <w:rPr>
          <w:rFonts w:ascii="Arial Narrow" w:eastAsia="Arial Narrow" w:hAnsi="Arial Narrow" w:cs="Arial Narrow"/>
          <w:i/>
          <w:sz w:val="22"/>
          <w:szCs w:val="22"/>
        </w:rPr>
        <w:t xml:space="preserve">“Por medio del cual se garantiza y protege la vida e integridad de los animales y se dictan otras disposiciones.” </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1"/>
          <w:szCs w:val="21"/>
          <w:highlight w:val="white"/>
        </w:rPr>
      </w:pPr>
      <w:r>
        <w:rPr>
          <w:rFonts w:ascii="Arial Narrow" w:eastAsia="Arial Narrow" w:hAnsi="Arial Narrow" w:cs="Arial Narrow"/>
          <w:sz w:val="22"/>
          <w:szCs w:val="22"/>
        </w:rPr>
        <w:t xml:space="preserve">Esta iniciativa busca </w:t>
      </w:r>
      <w:r>
        <w:rPr>
          <w:rFonts w:ascii="Arial Narrow" w:eastAsia="Arial Narrow" w:hAnsi="Arial Narrow" w:cs="Arial Narrow"/>
          <w:sz w:val="21"/>
          <w:szCs w:val="21"/>
          <w:highlight w:val="white"/>
        </w:rPr>
        <w:t xml:space="preserve">garantizar y proteger la vida e integridad de los animales, que estando al interior de un inmueble requieran atención </w:t>
      </w:r>
      <w:r>
        <w:rPr>
          <w:rFonts w:ascii="Arial Narrow" w:eastAsia="Arial Narrow" w:hAnsi="Arial Narrow" w:cs="Arial Narrow"/>
          <w:sz w:val="21"/>
          <w:szCs w:val="21"/>
          <w:highlight w:val="white"/>
        </w:rPr>
        <w:t>y cuidado. Esta iniciativa de ley se relaciona con el presente proyecto de ley ya que los animales domésticos y de Compañía que se busca beneficiar se desarrollan mayoritariamente al interior de inmuebles de distintas características.</w:t>
      </w:r>
    </w:p>
    <w:p w:rsidR="007B5D61" w:rsidRDefault="007B5D61">
      <w:pPr>
        <w:ind w:left="720"/>
        <w:jc w:val="both"/>
        <w:rPr>
          <w:rFonts w:ascii="Arial Narrow" w:eastAsia="Arial Narrow" w:hAnsi="Arial Narrow" w:cs="Arial Narrow"/>
          <w:b/>
          <w:sz w:val="21"/>
          <w:szCs w:val="21"/>
          <w:highlight w:val="white"/>
        </w:rPr>
      </w:pPr>
    </w:p>
    <w:p w:rsidR="007B5D61" w:rsidRDefault="00E062B9">
      <w:pPr>
        <w:numPr>
          <w:ilvl w:val="0"/>
          <w:numId w:val="5"/>
        </w:numPr>
        <w:jc w:val="both"/>
        <w:rPr>
          <w:sz w:val="22"/>
          <w:szCs w:val="22"/>
        </w:rPr>
      </w:pPr>
      <w:r>
        <w:rPr>
          <w:rFonts w:ascii="Arial Narrow" w:eastAsia="Arial Narrow" w:hAnsi="Arial Narrow" w:cs="Arial Narrow"/>
          <w:b/>
          <w:sz w:val="22"/>
          <w:szCs w:val="22"/>
        </w:rPr>
        <w:t>PL 11/20 Cámara:</w:t>
      </w:r>
      <w:r>
        <w:rPr>
          <w:rFonts w:ascii="Arial Narrow" w:eastAsia="Arial Narrow" w:hAnsi="Arial Narrow" w:cs="Arial Narrow"/>
          <w:sz w:val="22"/>
          <w:szCs w:val="22"/>
        </w:rPr>
        <w:t xml:space="preserve"> </w:t>
      </w:r>
      <w:r>
        <w:rPr>
          <w:rFonts w:ascii="Arial Narrow" w:eastAsia="Arial Narrow" w:hAnsi="Arial Narrow" w:cs="Arial Narrow"/>
          <w:i/>
          <w:sz w:val="22"/>
          <w:szCs w:val="22"/>
        </w:rPr>
        <w:t>“Po</w:t>
      </w:r>
      <w:r>
        <w:rPr>
          <w:rFonts w:ascii="Arial Narrow" w:eastAsia="Arial Narrow" w:hAnsi="Arial Narrow" w:cs="Arial Narrow"/>
          <w:i/>
          <w:sz w:val="22"/>
          <w:szCs w:val="22"/>
        </w:rPr>
        <w:t>r la cual se expide el Código Nacional de Protección y Bienestar Animal.</w:t>
      </w:r>
      <w:r>
        <w:rPr>
          <w:rFonts w:ascii="Arial Narrow" w:eastAsia="Arial Narrow" w:hAnsi="Arial Narrow" w:cs="Arial Narrow"/>
          <w:sz w:val="22"/>
          <w:szCs w:val="22"/>
        </w:rPr>
        <w:t>”</w:t>
      </w:r>
    </w:p>
    <w:p w:rsidR="007B5D61" w:rsidRDefault="007B5D61">
      <w:pPr>
        <w:ind w:left="720"/>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Tiene por objeto la compilación y desarrollo de normas en materia de bienestar y protección animal para efectos de garantizar que, en todo el territorio nacional, las interacciones </w:t>
      </w:r>
      <w:r>
        <w:rPr>
          <w:rFonts w:ascii="Arial Narrow" w:eastAsia="Arial Narrow" w:hAnsi="Arial Narrow" w:cs="Arial Narrow"/>
          <w:sz w:val="22"/>
          <w:szCs w:val="22"/>
        </w:rPr>
        <w:t>entre los seres humanos y los animales.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Esta iniciativa legislativa constituye un antecedente importante en el camino de la protección, atención y cuidado animal, en la medida en la que ha permitido contar con un marco normativo integrado en materia animal</w:t>
      </w:r>
      <w:r>
        <w:rPr>
          <w:rFonts w:ascii="Arial Narrow" w:eastAsia="Arial Narrow" w:hAnsi="Arial Narrow" w:cs="Arial Narrow"/>
          <w:sz w:val="22"/>
          <w:szCs w:val="22"/>
        </w:rPr>
        <w:t>.</w:t>
      </w:r>
    </w:p>
    <w:p w:rsidR="007B5D61" w:rsidRDefault="007B5D61">
      <w:pPr>
        <w:ind w:left="720"/>
        <w:jc w:val="both"/>
        <w:rPr>
          <w:rFonts w:ascii="Arial Narrow" w:eastAsia="Arial Narrow" w:hAnsi="Arial Narrow" w:cs="Arial Narrow"/>
          <w:b/>
          <w:sz w:val="22"/>
          <w:szCs w:val="22"/>
        </w:rPr>
      </w:pPr>
    </w:p>
    <w:p w:rsidR="007B5D61" w:rsidRDefault="00E062B9">
      <w:pPr>
        <w:numPr>
          <w:ilvl w:val="0"/>
          <w:numId w:val="5"/>
        </w:numPr>
        <w:jc w:val="both"/>
        <w:rPr>
          <w:sz w:val="22"/>
          <w:szCs w:val="22"/>
        </w:rPr>
      </w:pPr>
      <w:r>
        <w:rPr>
          <w:rFonts w:ascii="Arial Narrow" w:eastAsia="Arial Narrow" w:hAnsi="Arial Narrow" w:cs="Arial Narrow"/>
          <w:b/>
          <w:sz w:val="22"/>
          <w:szCs w:val="22"/>
        </w:rPr>
        <w:t xml:space="preserve">PL 147/20 Cámara: </w:t>
      </w:r>
      <w:r>
        <w:rPr>
          <w:rFonts w:ascii="Arial Narrow" w:eastAsia="Arial Narrow" w:hAnsi="Arial Narrow" w:cs="Arial Narrow"/>
          <w:i/>
          <w:sz w:val="22"/>
          <w:szCs w:val="22"/>
        </w:rPr>
        <w:t>“Por medio del cual se crea la cédula animal y se dictan otras disposiciones.”</w:t>
      </w:r>
      <w:r>
        <w:rPr>
          <w:rFonts w:ascii="Arial Narrow" w:eastAsia="Arial Narrow" w:hAnsi="Arial Narrow" w:cs="Arial Narrow"/>
          <w:sz w:val="22"/>
          <w:szCs w:val="22"/>
        </w:rPr>
        <w:t xml:space="preserve"> </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Esta iniciativa busca crear la Red Colombiana de Identificación Animal- RCIA que permitirá consolidar información básica de los animales y sus cuidadores, lo que permitirá establecer un trámite expedito para su búsqueda en caso de pérdida, abandono, secues</w:t>
      </w:r>
      <w:r>
        <w:rPr>
          <w:rFonts w:ascii="Arial Narrow" w:eastAsia="Arial Narrow" w:hAnsi="Arial Narrow" w:cs="Arial Narrow"/>
          <w:sz w:val="22"/>
          <w:szCs w:val="22"/>
        </w:rPr>
        <w:t>tro y/o robo del animal y finalmente se dictan otras disposiciones. Así la iniciativa de ley, constituye un gran aporte en materia de construcción de políticas públicas y registro de animales, con la cual constituye un antecedente importante en el propósit</w:t>
      </w:r>
      <w:r>
        <w:rPr>
          <w:rFonts w:ascii="Arial Narrow" w:eastAsia="Arial Narrow" w:hAnsi="Arial Narrow" w:cs="Arial Narrow"/>
          <w:sz w:val="22"/>
          <w:szCs w:val="22"/>
        </w:rPr>
        <w:t xml:space="preserve">o de generar condiciones de reconocimiento y protección para los animales domésticos. </w:t>
      </w:r>
    </w:p>
    <w:p w:rsidR="007B5D61" w:rsidRDefault="007B5D61">
      <w:pPr>
        <w:ind w:left="720"/>
        <w:rPr>
          <w:rFonts w:ascii="Arial Narrow" w:eastAsia="Arial Narrow" w:hAnsi="Arial Narrow" w:cs="Arial Narrow"/>
          <w:sz w:val="22"/>
          <w:szCs w:val="22"/>
        </w:rPr>
      </w:pPr>
    </w:p>
    <w:p w:rsidR="007B5D61" w:rsidRDefault="00E062B9">
      <w:pPr>
        <w:numPr>
          <w:ilvl w:val="0"/>
          <w:numId w:val="5"/>
        </w:numPr>
        <w:jc w:val="both"/>
        <w:rPr>
          <w:sz w:val="22"/>
          <w:szCs w:val="22"/>
        </w:rPr>
      </w:pPr>
      <w:r>
        <w:rPr>
          <w:rFonts w:ascii="Arial Narrow" w:eastAsia="Arial Narrow" w:hAnsi="Arial Narrow" w:cs="Arial Narrow"/>
          <w:b/>
          <w:sz w:val="22"/>
          <w:szCs w:val="22"/>
        </w:rPr>
        <w:t>PL 378/21 Cámara</w:t>
      </w:r>
      <w:r>
        <w:rPr>
          <w:rFonts w:ascii="Arial Narrow" w:eastAsia="Arial Narrow" w:hAnsi="Arial Narrow" w:cs="Arial Narrow"/>
          <w:sz w:val="22"/>
          <w:szCs w:val="22"/>
        </w:rPr>
        <w:t xml:space="preserve"> </w:t>
      </w:r>
      <w:r>
        <w:rPr>
          <w:rFonts w:ascii="Arial Narrow" w:eastAsia="Arial Narrow" w:hAnsi="Arial Narrow" w:cs="Arial Narrow"/>
          <w:i/>
          <w:sz w:val="22"/>
          <w:szCs w:val="22"/>
        </w:rPr>
        <w:t>“Por medio de la cual se establecen lineamientos para la implementación de un sistema de atención integral en salud veterinaria para Animales de Compañía SISPET, se fomenta el ejercicio profesional veterinario en el territorio nacional, y se promueve la te</w:t>
      </w:r>
      <w:r>
        <w:rPr>
          <w:rFonts w:ascii="Arial Narrow" w:eastAsia="Arial Narrow" w:hAnsi="Arial Narrow" w:cs="Arial Narrow"/>
          <w:i/>
          <w:sz w:val="22"/>
          <w:szCs w:val="22"/>
        </w:rPr>
        <w:t>nencia responsable de Animales de Compañía entre la ciudadanía y se adoptan otras disposiciones”</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rPr>
      </w:pPr>
      <w:r>
        <w:rPr>
          <w:rFonts w:ascii="Arial Narrow" w:eastAsia="Arial Narrow" w:hAnsi="Arial Narrow" w:cs="Arial Narrow"/>
          <w:sz w:val="22"/>
          <w:szCs w:val="22"/>
        </w:rPr>
        <w:t>Pretende esta disposición, fortalecer la tenencia responsable de animales domésticos o de compañía, estimular la labor veterinario, para ello se propone un tr</w:t>
      </w:r>
      <w:r>
        <w:rPr>
          <w:rFonts w:ascii="Arial Narrow" w:eastAsia="Arial Narrow" w:hAnsi="Arial Narrow" w:cs="Arial Narrow"/>
          <w:sz w:val="22"/>
          <w:szCs w:val="22"/>
        </w:rPr>
        <w:t xml:space="preserve">abajo integrado entre organizaciones de animales y el gobierno central para garantizar condiciones de tenencia alimentación y cuidado de los animales domésticos. </w:t>
      </w:r>
    </w:p>
    <w:p w:rsidR="007B5D61" w:rsidRDefault="007B5D61">
      <w:pPr>
        <w:jc w:val="both"/>
        <w:rPr>
          <w:rFonts w:ascii="Arial Narrow" w:eastAsia="Arial Narrow" w:hAnsi="Arial Narrow" w:cs="Arial Narrow"/>
          <w:sz w:val="22"/>
          <w:szCs w:val="22"/>
        </w:rPr>
      </w:pPr>
    </w:p>
    <w:p w:rsidR="007B5D61" w:rsidRDefault="00E062B9">
      <w:pPr>
        <w:jc w:val="both"/>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 xml:space="preserve">7. </w:t>
      </w:r>
      <w:r>
        <w:rPr>
          <w:rFonts w:ascii="Arial Narrow" w:eastAsia="Arial Narrow" w:hAnsi="Arial Narrow" w:cs="Arial Narrow"/>
          <w:b/>
          <w:sz w:val="22"/>
          <w:szCs w:val="22"/>
          <w:highlight w:val="white"/>
        </w:rPr>
        <w:tab/>
        <w:t>PL 182/22 Cámara</w:t>
      </w:r>
      <w:r>
        <w:rPr>
          <w:rFonts w:ascii="Arial Narrow" w:eastAsia="Arial Narrow" w:hAnsi="Arial Narrow" w:cs="Arial Narrow"/>
          <w:sz w:val="22"/>
          <w:szCs w:val="22"/>
          <w:highlight w:val="white"/>
        </w:rPr>
        <w:t xml:space="preserve"> “por medio de la cual se establece la Ley  de Animales de Compañía.” </w:t>
      </w:r>
    </w:p>
    <w:p w:rsidR="007B5D61" w:rsidRDefault="007B5D61">
      <w:pPr>
        <w:jc w:val="both"/>
        <w:rPr>
          <w:rFonts w:ascii="Arial Narrow" w:eastAsia="Arial Narrow" w:hAnsi="Arial Narrow" w:cs="Arial Narrow"/>
          <w:b/>
          <w:sz w:val="22"/>
          <w:szCs w:val="22"/>
          <w:highlight w:val="white"/>
        </w:rPr>
      </w:pPr>
    </w:p>
    <w:p w:rsidR="007B5D61" w:rsidRDefault="00E062B9">
      <w:pPr>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A través de esta iniciativa se pretende establecer respecto a mascotas: normas generales para la tenencia responsable; creación del registro único; solidaridad social en el cuidado; custodia; regulación de criadores, paseadores, hospedajes y guarderías, co</w:t>
      </w:r>
      <w:r>
        <w:rPr>
          <w:rFonts w:ascii="Arial Narrow" w:eastAsia="Arial Narrow" w:hAnsi="Arial Narrow" w:cs="Arial Narrow"/>
          <w:sz w:val="22"/>
          <w:szCs w:val="22"/>
          <w:highlight w:val="white"/>
        </w:rPr>
        <w:t>sos municipales o albergues para animales; adición de una medida correctiva y la designación para reglamentación al Gobierno Nacional.</w:t>
      </w:r>
    </w:p>
    <w:p w:rsidR="007B5D61" w:rsidRDefault="007B5D61">
      <w:pPr>
        <w:jc w:val="both"/>
        <w:rPr>
          <w:rFonts w:ascii="Arial Narrow" w:eastAsia="Arial Narrow" w:hAnsi="Arial Narrow" w:cs="Arial Narrow"/>
          <w:sz w:val="22"/>
          <w:szCs w:val="22"/>
          <w:highlight w:val="white"/>
        </w:rPr>
      </w:pPr>
    </w:p>
    <w:p w:rsidR="007B5D61" w:rsidRDefault="00E062B9">
      <w:pPr>
        <w:numPr>
          <w:ilvl w:val="1"/>
          <w:numId w:val="6"/>
        </w:numPr>
        <w:pBdr>
          <w:top w:val="nil"/>
          <w:left w:val="nil"/>
          <w:bottom w:val="nil"/>
          <w:right w:val="nil"/>
          <w:between w:val="nil"/>
        </w:pBdr>
        <w:ind w:right="4"/>
        <w:jc w:val="both"/>
        <w:rPr>
          <w:rFonts w:ascii="Arial Narrow" w:eastAsia="Arial Narrow" w:hAnsi="Arial Narrow" w:cs="Arial Narrow"/>
          <w:b/>
          <w:color w:val="000000"/>
          <w:sz w:val="22"/>
          <w:szCs w:val="22"/>
        </w:rPr>
      </w:pPr>
      <w:bookmarkStart w:id="11" w:name="_heading=h.1ksv4uv" w:colFirst="0" w:colLast="0"/>
      <w:bookmarkEnd w:id="11"/>
      <w:r>
        <w:rPr>
          <w:rFonts w:ascii="Arial Narrow" w:eastAsia="Arial Narrow" w:hAnsi="Arial Narrow" w:cs="Arial Narrow"/>
          <w:b/>
          <w:color w:val="000000"/>
          <w:sz w:val="22"/>
          <w:szCs w:val="22"/>
        </w:rPr>
        <w:t xml:space="preserve"> Justificación</w:t>
      </w:r>
    </w:p>
    <w:p w:rsidR="007B5D61" w:rsidRDefault="007B5D61">
      <w:pPr>
        <w:pBdr>
          <w:top w:val="nil"/>
          <w:left w:val="nil"/>
          <w:bottom w:val="nil"/>
          <w:right w:val="nil"/>
          <w:between w:val="nil"/>
        </w:pBdr>
        <w:ind w:right="4"/>
        <w:jc w:val="both"/>
        <w:rPr>
          <w:rFonts w:ascii="Arial Narrow" w:eastAsia="Arial Narrow" w:hAnsi="Arial Narrow" w:cs="Arial Narrow"/>
          <w:b/>
          <w:sz w:val="22"/>
          <w:szCs w:val="22"/>
        </w:rPr>
      </w:pPr>
      <w:bookmarkStart w:id="12" w:name="_heading=h.86r0564vmsaz" w:colFirst="0" w:colLast="0"/>
      <w:bookmarkEnd w:id="12"/>
    </w:p>
    <w:p w:rsidR="007B5D61" w:rsidRDefault="00E062B9">
      <w:pPr>
        <w:pBdr>
          <w:top w:val="nil"/>
          <w:left w:val="nil"/>
          <w:bottom w:val="nil"/>
          <w:right w:val="nil"/>
          <w:between w:val="nil"/>
        </w:pBdr>
        <w:ind w:right="4"/>
        <w:jc w:val="both"/>
        <w:rPr>
          <w:rFonts w:ascii="Arial Narrow" w:eastAsia="Arial Narrow" w:hAnsi="Arial Narrow" w:cs="Arial Narrow"/>
          <w:b/>
          <w:sz w:val="22"/>
          <w:szCs w:val="22"/>
        </w:rPr>
      </w:pPr>
      <w:bookmarkStart w:id="13" w:name="_heading=h.2goaep91ccfe" w:colFirst="0" w:colLast="0"/>
      <w:bookmarkEnd w:id="13"/>
      <w:r>
        <w:rPr>
          <w:rFonts w:ascii="Arial Narrow" w:eastAsia="Arial Narrow" w:hAnsi="Arial Narrow" w:cs="Arial Narrow"/>
          <w:b/>
          <w:sz w:val="22"/>
          <w:szCs w:val="22"/>
        </w:rPr>
        <w:t>2.4.1. Hogares que cuentan con mascotas</w:t>
      </w:r>
    </w:p>
    <w:p w:rsidR="007B5D61" w:rsidRDefault="007B5D61">
      <w:pPr>
        <w:pBdr>
          <w:top w:val="nil"/>
          <w:left w:val="nil"/>
          <w:bottom w:val="nil"/>
          <w:right w:val="nil"/>
          <w:between w:val="nil"/>
        </w:pBdr>
        <w:ind w:right="4"/>
        <w:jc w:val="both"/>
        <w:rPr>
          <w:rFonts w:ascii="Arial Narrow" w:eastAsia="Arial Narrow" w:hAnsi="Arial Narrow" w:cs="Arial Narrow"/>
          <w:b/>
          <w:sz w:val="22"/>
          <w:szCs w:val="22"/>
        </w:rPr>
      </w:pPr>
      <w:bookmarkStart w:id="14" w:name="_heading=h.wvgaun2a5ho" w:colFirst="0" w:colLast="0"/>
      <w:bookmarkEnd w:id="14"/>
    </w:p>
    <w:p w:rsidR="007B5D61" w:rsidRDefault="00E062B9">
      <w:pPr>
        <w:ind w:right="-139"/>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El país no cuenta con un registro completo de animales de compañía que dé cuenta del número de animales domésticos en el territorio. No obstante, el estadístico más cercano proviene del reporte de la Subdirección de Salud Ambiental de Vacunación Antirrábic</w:t>
      </w:r>
      <w:r>
        <w:rPr>
          <w:rFonts w:ascii="Arial Narrow" w:eastAsia="Arial Narrow" w:hAnsi="Arial Narrow" w:cs="Arial Narrow"/>
          <w:sz w:val="22"/>
          <w:szCs w:val="22"/>
          <w:highlight w:val="white"/>
        </w:rPr>
        <w:t>a de Perros y Gatos en Colombia, realizado por el Ministerio de Salud en 2018</w:t>
      </w:r>
      <w:r>
        <w:rPr>
          <w:rFonts w:ascii="Arial Narrow" w:eastAsia="Arial Narrow" w:hAnsi="Arial Narrow" w:cs="Arial Narrow"/>
          <w:sz w:val="22"/>
          <w:szCs w:val="22"/>
          <w:highlight w:val="white"/>
          <w:vertAlign w:val="superscript"/>
        </w:rPr>
        <w:footnoteReference w:id="1"/>
      </w:r>
      <w:r>
        <w:rPr>
          <w:rFonts w:ascii="Arial Narrow" w:eastAsia="Arial Narrow" w:hAnsi="Arial Narrow" w:cs="Arial Narrow"/>
          <w:sz w:val="22"/>
          <w:szCs w:val="22"/>
          <w:highlight w:val="white"/>
        </w:rPr>
        <w:t>, que presentó  la vacunación de  4.733.519  perros y gatos correspondiente al 67% del censo estimado para esa vigencia que corresponde a 5.393.052 perros y 1.717.659 gatos, para un total de 7.110.052.</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acuerdo con un estudio llevado a cabo en 2024 por </w:t>
      </w:r>
      <w:r>
        <w:rPr>
          <w:rFonts w:ascii="Arial Narrow" w:eastAsia="Arial Narrow" w:hAnsi="Arial Narrow" w:cs="Arial Narrow"/>
          <w:sz w:val="22"/>
          <w:szCs w:val="22"/>
        </w:rPr>
        <w:t>Cifras &amp;/ Conceptos, la Universidad de los Andes y el Instituto Humboldt, la cifra de hogares con mascotas ha venido aumentando significativamente desde el año 2011, posicionándose en el 57% de los hogares colombianos, por lo que podemos deducir que más de</w:t>
      </w:r>
      <w:r>
        <w:rPr>
          <w:rFonts w:ascii="Arial Narrow" w:eastAsia="Arial Narrow" w:hAnsi="Arial Narrow" w:cs="Arial Narrow"/>
          <w:sz w:val="22"/>
          <w:szCs w:val="22"/>
        </w:rPr>
        <w:t xml:space="preserve"> la mitad de las familias Colombianas tienen una mascota en su hogar</w:t>
      </w:r>
      <w:r>
        <w:rPr>
          <w:rFonts w:ascii="Arial Narrow" w:eastAsia="Arial Narrow" w:hAnsi="Arial Narrow" w:cs="Arial Narrow"/>
          <w:sz w:val="22"/>
          <w:szCs w:val="22"/>
          <w:vertAlign w:val="superscript"/>
        </w:rPr>
        <w:footnoteReference w:id="2"/>
      </w:r>
      <w:r>
        <w:rPr>
          <w:rFonts w:ascii="Arial Narrow" w:eastAsia="Arial Narrow" w:hAnsi="Arial Narrow" w:cs="Arial Narrow"/>
          <w:sz w:val="22"/>
          <w:szCs w:val="22"/>
        </w:rPr>
        <w:t>:</w:t>
      </w:r>
    </w:p>
    <w:p w:rsidR="007B5D61" w:rsidRDefault="007B5D61">
      <w:pPr>
        <w:ind w:right="-139"/>
        <w:jc w:val="both"/>
        <w:rPr>
          <w:rFonts w:ascii="Arial Narrow" w:eastAsia="Arial Narrow" w:hAnsi="Arial Narrow" w:cs="Arial Narrow"/>
          <w:sz w:val="22"/>
          <w:szCs w:val="22"/>
        </w:rPr>
      </w:pPr>
    </w:p>
    <w:p w:rsidR="007B5D61" w:rsidRDefault="00E062B9">
      <w:pPr>
        <w:ind w:right="-139"/>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4491038" cy="2504617"/>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491038" cy="2504617"/>
                    </a:xfrm>
                    <a:prstGeom prst="rect">
                      <a:avLst/>
                    </a:prstGeom>
                    <a:ln/>
                  </pic:spPr>
                </pic:pic>
              </a:graphicData>
            </a:graphic>
          </wp:inline>
        </w:drawing>
      </w:r>
    </w:p>
    <w:p w:rsidR="007B5D61" w:rsidRDefault="00E062B9">
      <w:pPr>
        <w:ind w:right="-139"/>
        <w:jc w:val="center"/>
        <w:rPr>
          <w:rFonts w:ascii="Arial Narrow" w:eastAsia="Arial Narrow" w:hAnsi="Arial Narrow" w:cs="Arial Narrow"/>
          <w:sz w:val="18"/>
          <w:szCs w:val="18"/>
        </w:rPr>
      </w:pPr>
      <w:r>
        <w:rPr>
          <w:rFonts w:ascii="Arial Narrow" w:eastAsia="Arial Narrow" w:hAnsi="Arial Narrow" w:cs="Arial Narrow"/>
          <w:sz w:val="18"/>
          <w:szCs w:val="18"/>
        </w:rPr>
        <w:t xml:space="preserve">Fuente: Estudio por una tendencia más responsable de mascotas - Cifras &amp; Conceptos, Universidad de los Andes, Instituto Humboldt. 2024. </w:t>
      </w:r>
    </w:p>
    <w:p w:rsidR="007B5D61" w:rsidRDefault="007B5D61">
      <w:pPr>
        <w:ind w:right="-139"/>
        <w:jc w:val="both"/>
        <w:rPr>
          <w:rFonts w:ascii="Arial Narrow" w:eastAsia="Arial Narrow" w:hAnsi="Arial Narrow" w:cs="Arial Narrow"/>
          <w:sz w:val="22"/>
          <w:szCs w:val="22"/>
        </w:rPr>
      </w:pPr>
    </w:p>
    <w:p w:rsidR="007B5D61" w:rsidRDefault="00E062B9">
      <w:pPr>
        <w:pBdr>
          <w:top w:val="nil"/>
          <w:left w:val="nil"/>
          <w:bottom w:val="nil"/>
          <w:right w:val="nil"/>
          <w:between w:val="nil"/>
        </w:pBdr>
        <w:ind w:right="4"/>
        <w:jc w:val="both"/>
        <w:rPr>
          <w:rFonts w:ascii="Arial Narrow" w:eastAsia="Arial Narrow" w:hAnsi="Arial Narrow" w:cs="Arial Narrow"/>
          <w:sz w:val="22"/>
          <w:szCs w:val="22"/>
        </w:rPr>
      </w:pPr>
      <w:bookmarkStart w:id="15" w:name="_heading=h.3xsgl4nr1ugq" w:colFirst="0" w:colLast="0"/>
      <w:bookmarkEnd w:id="15"/>
      <w:r>
        <w:rPr>
          <w:rFonts w:ascii="Arial Narrow" w:eastAsia="Arial Narrow" w:hAnsi="Arial Narrow" w:cs="Arial Narrow"/>
          <w:sz w:val="22"/>
          <w:szCs w:val="22"/>
        </w:rPr>
        <w:t>Adicional a lo anterior, este estudio tambié</w:t>
      </w:r>
      <w:r>
        <w:rPr>
          <w:rFonts w:ascii="Arial Narrow" w:eastAsia="Arial Narrow" w:hAnsi="Arial Narrow" w:cs="Arial Narrow"/>
          <w:sz w:val="22"/>
          <w:szCs w:val="22"/>
        </w:rPr>
        <w:t>n afirmó que de los resultados de una encuesta realizada por Polimétrica en 2024, se concluyó que de las personas que tienen mascota, el 71% tiene perros, el 51% gatos, el 2% peces y el 4% tiene otro tipo de animales como mascota, por lo que se infiere que</w:t>
      </w:r>
      <w:r>
        <w:rPr>
          <w:rFonts w:ascii="Arial Narrow" w:eastAsia="Arial Narrow" w:hAnsi="Arial Narrow" w:cs="Arial Narrow"/>
          <w:sz w:val="22"/>
          <w:szCs w:val="22"/>
        </w:rPr>
        <w:t xml:space="preserve"> la mayor parte de las familias tienen perros y gatos. </w:t>
      </w:r>
    </w:p>
    <w:p w:rsidR="007B5D61" w:rsidRDefault="007B5D61">
      <w:pPr>
        <w:pBdr>
          <w:top w:val="nil"/>
          <w:left w:val="nil"/>
          <w:bottom w:val="nil"/>
          <w:right w:val="nil"/>
          <w:between w:val="nil"/>
        </w:pBdr>
        <w:ind w:right="4"/>
        <w:jc w:val="both"/>
        <w:rPr>
          <w:rFonts w:ascii="Arial Narrow" w:eastAsia="Arial Narrow" w:hAnsi="Arial Narrow" w:cs="Arial Narrow"/>
          <w:sz w:val="22"/>
          <w:szCs w:val="22"/>
        </w:rPr>
      </w:pPr>
      <w:bookmarkStart w:id="16" w:name="_heading=h.5hwnnxvnoia8" w:colFirst="0" w:colLast="0"/>
      <w:bookmarkEnd w:id="16"/>
    </w:p>
    <w:p w:rsidR="007B5D61" w:rsidRDefault="00E062B9">
      <w:pPr>
        <w:pBdr>
          <w:top w:val="nil"/>
          <w:left w:val="nil"/>
          <w:bottom w:val="nil"/>
          <w:right w:val="nil"/>
          <w:between w:val="nil"/>
        </w:pBdr>
        <w:ind w:right="4"/>
        <w:jc w:val="both"/>
        <w:rPr>
          <w:rFonts w:ascii="Arial Narrow" w:eastAsia="Arial Narrow" w:hAnsi="Arial Narrow" w:cs="Arial Narrow"/>
          <w:sz w:val="22"/>
          <w:szCs w:val="22"/>
        </w:rPr>
      </w:pPr>
      <w:bookmarkStart w:id="17" w:name="_heading=h.q2dvhdvqm21x" w:colFirst="0" w:colLast="0"/>
      <w:bookmarkEnd w:id="17"/>
      <w:r>
        <w:rPr>
          <w:rFonts w:ascii="Arial Narrow" w:eastAsia="Arial Narrow" w:hAnsi="Arial Narrow" w:cs="Arial Narrow"/>
          <w:sz w:val="22"/>
          <w:szCs w:val="22"/>
        </w:rPr>
        <w:t>Por otra parte, de acuerdo a una encuesta llevada a cabo por Cifras &amp; Conceptos en el 2022, de las personas que afirmaron tener mascota, se identificó que la mayor parte pertenece a hogares en nivele</w:t>
      </w:r>
      <w:r>
        <w:rPr>
          <w:rFonts w:ascii="Arial Narrow" w:eastAsia="Arial Narrow" w:hAnsi="Arial Narrow" w:cs="Arial Narrow"/>
          <w:sz w:val="22"/>
          <w:szCs w:val="22"/>
        </w:rPr>
        <w:t>s socioeconómicos bajos así:</w:t>
      </w:r>
    </w:p>
    <w:p w:rsidR="007B5D61" w:rsidRDefault="007B5D61">
      <w:pPr>
        <w:pBdr>
          <w:top w:val="nil"/>
          <w:left w:val="nil"/>
          <w:bottom w:val="nil"/>
          <w:right w:val="nil"/>
          <w:between w:val="nil"/>
        </w:pBdr>
        <w:ind w:right="4"/>
        <w:jc w:val="both"/>
        <w:rPr>
          <w:rFonts w:ascii="Arial Narrow" w:eastAsia="Arial Narrow" w:hAnsi="Arial Narrow" w:cs="Arial Narrow"/>
          <w:sz w:val="22"/>
          <w:szCs w:val="22"/>
        </w:rPr>
      </w:pPr>
      <w:bookmarkStart w:id="18" w:name="_heading=h.gb42qzg2xd8h" w:colFirst="0" w:colLast="0"/>
      <w:bookmarkEnd w:id="18"/>
    </w:p>
    <w:p w:rsidR="007B5D61" w:rsidRDefault="00E062B9">
      <w:pPr>
        <w:pBdr>
          <w:top w:val="nil"/>
          <w:left w:val="nil"/>
          <w:bottom w:val="nil"/>
          <w:right w:val="nil"/>
          <w:between w:val="nil"/>
        </w:pBdr>
        <w:ind w:right="4"/>
        <w:jc w:val="center"/>
        <w:rPr>
          <w:rFonts w:ascii="Arial Narrow" w:eastAsia="Arial Narrow" w:hAnsi="Arial Narrow" w:cs="Arial Narrow"/>
          <w:sz w:val="22"/>
          <w:szCs w:val="22"/>
        </w:rPr>
      </w:pPr>
      <w:bookmarkStart w:id="19" w:name="_heading=h.z5lct9vic9yh" w:colFirst="0" w:colLast="0"/>
      <w:bookmarkEnd w:id="19"/>
      <w:r>
        <w:rPr>
          <w:rFonts w:ascii="Arial Narrow" w:eastAsia="Arial Narrow" w:hAnsi="Arial Narrow" w:cs="Arial Narrow"/>
          <w:noProof/>
          <w:sz w:val="22"/>
          <w:szCs w:val="22"/>
          <w:lang w:val="es-CO"/>
        </w:rPr>
        <w:drawing>
          <wp:inline distT="114300" distB="114300" distL="114300" distR="114300">
            <wp:extent cx="3357563" cy="2616172"/>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357563" cy="2616172"/>
                    </a:xfrm>
                    <a:prstGeom prst="rect">
                      <a:avLst/>
                    </a:prstGeom>
                    <a:ln/>
                  </pic:spPr>
                </pic:pic>
              </a:graphicData>
            </a:graphic>
          </wp:inline>
        </w:drawing>
      </w:r>
    </w:p>
    <w:p w:rsidR="007B5D61" w:rsidRDefault="00E062B9">
      <w:pPr>
        <w:pBdr>
          <w:top w:val="nil"/>
          <w:left w:val="nil"/>
          <w:bottom w:val="nil"/>
          <w:right w:val="nil"/>
          <w:between w:val="nil"/>
        </w:pBdr>
        <w:ind w:right="4"/>
        <w:jc w:val="both"/>
        <w:rPr>
          <w:rFonts w:ascii="Arial Narrow" w:eastAsia="Arial Narrow" w:hAnsi="Arial Narrow" w:cs="Arial Narrow"/>
          <w:sz w:val="22"/>
          <w:szCs w:val="22"/>
        </w:rPr>
      </w:pPr>
      <w:bookmarkStart w:id="20" w:name="_heading=h.eqoo5tffqtyj" w:colFirst="0" w:colLast="0"/>
      <w:bookmarkEnd w:id="20"/>
      <w:r>
        <w:rPr>
          <w:rFonts w:ascii="Arial Narrow" w:eastAsia="Arial Narrow" w:hAnsi="Arial Narrow" w:cs="Arial Narrow"/>
          <w:sz w:val="22"/>
          <w:szCs w:val="22"/>
        </w:rPr>
        <w:t>Así mismo, esta encuesta arrojó que el gasto de los hogares colombianos desagregado por nivel socioeconómico en la alimentación de sus mascotas disminuye en razón del nivel socioeconómico, de lo cual se puede concluir que la</w:t>
      </w:r>
      <w:r>
        <w:rPr>
          <w:rFonts w:ascii="Arial Narrow" w:eastAsia="Arial Narrow" w:hAnsi="Arial Narrow" w:cs="Arial Narrow"/>
          <w:sz w:val="22"/>
          <w:szCs w:val="22"/>
        </w:rPr>
        <w:t>s mascotas de las familias con vulnerabilidad socioeconómica o no comen lo suficiente, o comen alimentos no adecuados para su salud debido a las restricciones financieras de las familias a su cargo:</w:t>
      </w:r>
    </w:p>
    <w:p w:rsidR="007B5D61" w:rsidRDefault="007B5D61">
      <w:pPr>
        <w:pBdr>
          <w:top w:val="nil"/>
          <w:left w:val="nil"/>
          <w:bottom w:val="nil"/>
          <w:right w:val="nil"/>
          <w:between w:val="nil"/>
        </w:pBdr>
        <w:ind w:right="4"/>
        <w:rPr>
          <w:rFonts w:ascii="Arial Narrow" w:eastAsia="Arial Narrow" w:hAnsi="Arial Narrow" w:cs="Arial Narrow"/>
          <w:sz w:val="22"/>
          <w:szCs w:val="22"/>
        </w:rPr>
      </w:pPr>
      <w:bookmarkStart w:id="21" w:name="_heading=h.2pljlelxcms6" w:colFirst="0" w:colLast="0"/>
      <w:bookmarkEnd w:id="21"/>
    </w:p>
    <w:p w:rsidR="007B5D61" w:rsidRDefault="00E062B9">
      <w:pPr>
        <w:pBdr>
          <w:top w:val="nil"/>
          <w:left w:val="nil"/>
          <w:bottom w:val="nil"/>
          <w:right w:val="nil"/>
          <w:between w:val="nil"/>
        </w:pBdr>
        <w:ind w:right="4"/>
        <w:jc w:val="center"/>
        <w:rPr>
          <w:rFonts w:ascii="Arial Narrow" w:eastAsia="Arial Narrow" w:hAnsi="Arial Narrow" w:cs="Arial Narrow"/>
          <w:sz w:val="22"/>
          <w:szCs w:val="22"/>
        </w:rPr>
      </w:pPr>
      <w:bookmarkStart w:id="22" w:name="_heading=h.ltkzgkwfiwn4" w:colFirst="0" w:colLast="0"/>
      <w:bookmarkEnd w:id="22"/>
      <w:r>
        <w:rPr>
          <w:rFonts w:ascii="Arial Narrow" w:eastAsia="Arial Narrow" w:hAnsi="Arial Narrow" w:cs="Arial Narrow"/>
          <w:noProof/>
          <w:sz w:val="22"/>
          <w:szCs w:val="22"/>
          <w:lang w:val="es-CO"/>
        </w:rPr>
        <w:drawing>
          <wp:inline distT="114300" distB="114300" distL="114300" distR="114300">
            <wp:extent cx="4378757" cy="2434982"/>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4378757" cy="2434982"/>
                    </a:xfrm>
                    <a:prstGeom prst="rect">
                      <a:avLst/>
                    </a:prstGeom>
                    <a:ln/>
                  </pic:spPr>
                </pic:pic>
              </a:graphicData>
            </a:graphic>
          </wp:inline>
        </w:drawing>
      </w:r>
    </w:p>
    <w:p w:rsidR="007B5D61" w:rsidRDefault="007B5D61">
      <w:pPr>
        <w:pBdr>
          <w:top w:val="nil"/>
          <w:left w:val="nil"/>
          <w:bottom w:val="nil"/>
          <w:right w:val="nil"/>
          <w:between w:val="nil"/>
        </w:pBdr>
        <w:ind w:right="4"/>
        <w:jc w:val="center"/>
        <w:rPr>
          <w:rFonts w:ascii="Arial Narrow" w:eastAsia="Arial Narrow" w:hAnsi="Arial Narrow" w:cs="Arial Narrow"/>
          <w:sz w:val="22"/>
          <w:szCs w:val="22"/>
        </w:rPr>
      </w:pPr>
      <w:bookmarkStart w:id="23" w:name="_heading=h.jtyvu578dc5s" w:colFirst="0" w:colLast="0"/>
      <w:bookmarkEnd w:id="23"/>
    </w:p>
    <w:p w:rsidR="007B5D61" w:rsidRDefault="00E062B9">
      <w:pPr>
        <w:pBdr>
          <w:top w:val="nil"/>
          <w:left w:val="nil"/>
          <w:bottom w:val="nil"/>
          <w:right w:val="nil"/>
          <w:between w:val="nil"/>
        </w:pBdr>
        <w:ind w:right="4"/>
        <w:jc w:val="both"/>
        <w:rPr>
          <w:rFonts w:ascii="Arial Narrow" w:eastAsia="Arial Narrow" w:hAnsi="Arial Narrow" w:cs="Arial Narrow"/>
          <w:sz w:val="22"/>
          <w:szCs w:val="22"/>
        </w:rPr>
      </w:pPr>
      <w:bookmarkStart w:id="24" w:name="_heading=h.eddf0pxn50e4" w:colFirst="0" w:colLast="0"/>
      <w:bookmarkEnd w:id="24"/>
      <w:r>
        <w:rPr>
          <w:rFonts w:ascii="Arial Narrow" w:eastAsia="Arial Narrow" w:hAnsi="Arial Narrow" w:cs="Arial Narrow"/>
          <w:sz w:val="22"/>
          <w:szCs w:val="22"/>
        </w:rPr>
        <w:t xml:space="preserve">Adicionalmente, este estudio refleja que uno de los mayores gastos en los que incurren las familias para su mascota es la alimentación, por lo que disminuir los precios de los concentrados, repercute directamente en los bolsillos de las familias: </w:t>
      </w:r>
    </w:p>
    <w:p w:rsidR="007B5D61" w:rsidRDefault="007B5D61">
      <w:pPr>
        <w:pBdr>
          <w:top w:val="nil"/>
          <w:left w:val="nil"/>
          <w:bottom w:val="nil"/>
          <w:right w:val="nil"/>
          <w:between w:val="nil"/>
        </w:pBdr>
        <w:ind w:right="4"/>
        <w:jc w:val="both"/>
        <w:rPr>
          <w:rFonts w:ascii="Arial Narrow" w:eastAsia="Arial Narrow" w:hAnsi="Arial Narrow" w:cs="Arial Narrow"/>
          <w:sz w:val="22"/>
          <w:szCs w:val="22"/>
        </w:rPr>
      </w:pPr>
      <w:bookmarkStart w:id="25" w:name="_heading=h.ul13h3jj689h" w:colFirst="0" w:colLast="0"/>
      <w:bookmarkEnd w:id="25"/>
    </w:p>
    <w:p w:rsidR="007B5D61" w:rsidRDefault="00E062B9">
      <w:pPr>
        <w:pBdr>
          <w:top w:val="nil"/>
          <w:left w:val="nil"/>
          <w:bottom w:val="nil"/>
          <w:right w:val="nil"/>
          <w:between w:val="nil"/>
        </w:pBdr>
        <w:ind w:right="4"/>
        <w:jc w:val="center"/>
        <w:rPr>
          <w:rFonts w:ascii="Arial Narrow" w:eastAsia="Arial Narrow" w:hAnsi="Arial Narrow" w:cs="Arial Narrow"/>
          <w:sz w:val="22"/>
          <w:szCs w:val="22"/>
        </w:rPr>
      </w:pPr>
      <w:bookmarkStart w:id="26" w:name="_heading=h.bbhcug6ya3oe" w:colFirst="0" w:colLast="0"/>
      <w:bookmarkEnd w:id="26"/>
      <w:r>
        <w:rPr>
          <w:rFonts w:ascii="Arial Narrow" w:eastAsia="Arial Narrow" w:hAnsi="Arial Narrow" w:cs="Arial Narrow"/>
          <w:noProof/>
          <w:sz w:val="22"/>
          <w:szCs w:val="22"/>
          <w:lang w:val="es-CO"/>
        </w:rPr>
        <w:drawing>
          <wp:inline distT="114300" distB="114300" distL="114300" distR="114300">
            <wp:extent cx="4347083" cy="2507933"/>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4347083" cy="2507933"/>
                    </a:xfrm>
                    <a:prstGeom prst="rect">
                      <a:avLst/>
                    </a:prstGeom>
                    <a:ln/>
                  </pic:spPr>
                </pic:pic>
              </a:graphicData>
            </a:graphic>
          </wp:inline>
        </w:drawing>
      </w:r>
    </w:p>
    <w:p w:rsidR="007B5D61" w:rsidRDefault="007B5D61">
      <w:pPr>
        <w:pBdr>
          <w:top w:val="nil"/>
          <w:left w:val="nil"/>
          <w:bottom w:val="nil"/>
          <w:right w:val="nil"/>
          <w:between w:val="nil"/>
        </w:pBdr>
        <w:ind w:right="4"/>
        <w:jc w:val="center"/>
        <w:rPr>
          <w:rFonts w:ascii="Arial Narrow" w:eastAsia="Arial Narrow" w:hAnsi="Arial Narrow" w:cs="Arial Narrow"/>
          <w:b/>
          <w:sz w:val="22"/>
          <w:szCs w:val="22"/>
        </w:rPr>
      </w:pPr>
      <w:bookmarkStart w:id="27" w:name="_heading=h.dz5bboi3f7nc" w:colFirst="0" w:colLast="0"/>
      <w:bookmarkEnd w:id="27"/>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 xml:space="preserve">Así </w:t>
      </w:r>
      <w:r>
        <w:rPr>
          <w:rFonts w:ascii="Arial Narrow" w:eastAsia="Arial Narrow" w:hAnsi="Arial Narrow" w:cs="Arial Narrow"/>
          <w:sz w:val="22"/>
          <w:szCs w:val="22"/>
        </w:rPr>
        <w:t>las cosas, puede concluirse que una reducción en el costo de los alimentos de los perros y gatos, que son las mascotas más comunes entre los hogares colombianos, es una medida que favorece a las familias más pobres del país, quienes son las que más mascota</w:t>
      </w:r>
      <w:r>
        <w:rPr>
          <w:rFonts w:ascii="Arial Narrow" w:eastAsia="Arial Narrow" w:hAnsi="Arial Narrow" w:cs="Arial Narrow"/>
          <w:sz w:val="22"/>
          <w:szCs w:val="22"/>
        </w:rPr>
        <w:t>s tienen y menos invierten en la comida de sus animales debido a la restricción financiera que implica su capacidad socioeconómica.</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b/>
          <w:sz w:val="22"/>
          <w:szCs w:val="22"/>
        </w:rPr>
      </w:pPr>
      <w:r>
        <w:rPr>
          <w:rFonts w:ascii="Arial Narrow" w:eastAsia="Arial Narrow" w:hAnsi="Arial Narrow" w:cs="Arial Narrow"/>
          <w:b/>
          <w:sz w:val="22"/>
          <w:szCs w:val="22"/>
        </w:rPr>
        <w:t>2.4.2. Contexto del incremento del precio de concentrado para animales.</w:t>
      </w:r>
    </w:p>
    <w:p w:rsidR="007B5D61" w:rsidRDefault="007B5D61">
      <w:pPr>
        <w:ind w:right="-139"/>
        <w:jc w:val="both"/>
        <w:rPr>
          <w:rFonts w:ascii="Arial Narrow" w:eastAsia="Arial Narrow" w:hAnsi="Arial Narrow" w:cs="Arial Narrow"/>
          <w:b/>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El Ministerio de Agricultura y Desarrollo Rural - MADR en su boletín de Precios de Alimento Balanceado para Animales No. 1 del 2021</w:t>
      </w:r>
      <w:r>
        <w:rPr>
          <w:rFonts w:ascii="Arial Narrow" w:eastAsia="Arial Narrow" w:hAnsi="Arial Narrow" w:cs="Arial Narrow"/>
          <w:sz w:val="22"/>
          <w:szCs w:val="22"/>
          <w:vertAlign w:val="superscript"/>
        </w:rPr>
        <w:footnoteReference w:id="3"/>
      </w:r>
      <w:r>
        <w:rPr>
          <w:rFonts w:ascii="Arial Narrow" w:eastAsia="Arial Narrow" w:hAnsi="Arial Narrow" w:cs="Arial Narrow"/>
          <w:sz w:val="22"/>
          <w:szCs w:val="22"/>
        </w:rPr>
        <w:t>, menciona algunos de los aspectos que han influido directa e indirectamente en el incremento del precio de los alimentos pa</w:t>
      </w:r>
      <w:r>
        <w:rPr>
          <w:rFonts w:ascii="Arial Narrow" w:eastAsia="Arial Narrow" w:hAnsi="Arial Narrow" w:cs="Arial Narrow"/>
          <w:sz w:val="22"/>
          <w:szCs w:val="22"/>
        </w:rPr>
        <w:t>ra animales, refiriéndose a los efectos negativos que ha traído a la economía el COVID-19 y el paro nacional del primer semestre de 2021, en esa medida existe una relación directa entre estos dos eventos y el incremento en el precio de los alimentos balanc</w:t>
      </w:r>
      <w:r>
        <w:rPr>
          <w:rFonts w:ascii="Arial Narrow" w:eastAsia="Arial Narrow" w:hAnsi="Arial Narrow" w:cs="Arial Narrow"/>
          <w:sz w:val="22"/>
          <w:szCs w:val="22"/>
        </w:rPr>
        <w:t xml:space="preserve">eados para animales. Frente al primer evento, la escasez de las materias primas necesarias para la elaboración de otros bienes, conllevó a que existiera una alteración en la cadena logística mundial y la ya conocida crisis de contenedores.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Por otra parte, el paro nacional que se dio producto del estallido social, generó que muchos de los agroinsumos y productos como el maíz, soya, y torta de soya se quedaran represados en los puertos, lo que desembocó en un incremento del precio final de los</w:t>
      </w:r>
      <w:r>
        <w:rPr>
          <w:rFonts w:ascii="Arial Narrow" w:eastAsia="Arial Narrow" w:hAnsi="Arial Narrow" w:cs="Arial Narrow"/>
          <w:sz w:val="22"/>
          <w:szCs w:val="22"/>
        </w:rPr>
        <w:t xml:space="preserve"> alimentos para animales, pues se tuvo que pagar sobrecostos por contenedores y bodegajes de mercancías.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i/>
          <w:sz w:val="22"/>
          <w:szCs w:val="22"/>
        </w:rPr>
      </w:pPr>
      <w:r>
        <w:rPr>
          <w:rFonts w:ascii="Arial Narrow" w:eastAsia="Arial Narrow" w:hAnsi="Arial Narrow" w:cs="Arial Narrow"/>
          <w:sz w:val="22"/>
          <w:szCs w:val="22"/>
        </w:rPr>
        <w:t xml:space="preserve">En el sector de alimento para animales, el precio del maíz puesto en puerto registró un incremento del 94% desde julio del 2020 hasta abril de 2021, </w:t>
      </w:r>
      <w:r>
        <w:rPr>
          <w:rFonts w:ascii="Arial Narrow" w:eastAsia="Arial Narrow" w:hAnsi="Arial Narrow" w:cs="Arial Narrow"/>
          <w:sz w:val="22"/>
          <w:szCs w:val="22"/>
        </w:rPr>
        <w:t>y este resulta ser materia prima esencial para la elaboración de concentrados</w:t>
      </w:r>
      <w:r>
        <w:rPr>
          <w:rFonts w:ascii="Arial Narrow" w:eastAsia="Arial Narrow" w:hAnsi="Arial Narrow" w:cs="Arial Narrow"/>
          <w:i/>
          <w:sz w:val="22"/>
          <w:szCs w:val="22"/>
          <w:vertAlign w:val="superscript"/>
        </w:rPr>
        <w:footnoteReference w:id="4"/>
      </w:r>
      <w:r>
        <w:rPr>
          <w:rFonts w:ascii="Arial Narrow" w:eastAsia="Arial Narrow" w:hAnsi="Arial Narrow" w:cs="Arial Narrow"/>
          <w:i/>
          <w:sz w:val="22"/>
          <w:szCs w:val="22"/>
        </w:rPr>
        <w:t>.</w:t>
      </w:r>
    </w:p>
    <w:p w:rsidR="007B5D61" w:rsidRDefault="007B5D61">
      <w:pPr>
        <w:ind w:right="-139"/>
        <w:jc w:val="both"/>
        <w:rPr>
          <w:rFonts w:ascii="Arial Narrow" w:eastAsia="Arial Narrow" w:hAnsi="Arial Narrow" w:cs="Arial Narrow"/>
          <w:i/>
          <w:sz w:val="22"/>
          <w:szCs w:val="22"/>
        </w:rPr>
      </w:pPr>
    </w:p>
    <w:p w:rsidR="007B5D61" w:rsidRDefault="00E062B9">
      <w:pPr>
        <w:ind w:right="-139"/>
        <w:jc w:val="both"/>
        <w:rPr>
          <w:rFonts w:ascii="Arial Narrow" w:eastAsia="Arial Narrow" w:hAnsi="Arial Narrow" w:cs="Arial Narrow"/>
          <w:i/>
          <w:sz w:val="22"/>
          <w:szCs w:val="22"/>
        </w:rPr>
      </w:pPr>
      <w:r>
        <w:rPr>
          <w:rFonts w:ascii="Arial Narrow" w:eastAsia="Arial Narrow" w:hAnsi="Arial Narrow" w:cs="Arial Narrow"/>
          <w:sz w:val="22"/>
          <w:szCs w:val="22"/>
        </w:rPr>
        <w:t>Aunado a lo anterior, la contienda que inició el 24 de febrero de 2022</w:t>
      </w:r>
      <w:r>
        <w:rPr>
          <w:rFonts w:ascii="Arial Narrow" w:eastAsia="Arial Narrow" w:hAnsi="Arial Narrow" w:cs="Arial Narrow"/>
          <w:sz w:val="22"/>
          <w:szCs w:val="22"/>
          <w:vertAlign w:val="superscript"/>
        </w:rPr>
        <w:footnoteReference w:id="5"/>
      </w:r>
      <w:r>
        <w:rPr>
          <w:rFonts w:ascii="Arial Narrow" w:eastAsia="Arial Narrow" w:hAnsi="Arial Narrow" w:cs="Arial Narrow"/>
          <w:sz w:val="22"/>
          <w:szCs w:val="22"/>
        </w:rPr>
        <w:t xml:space="preserve"> y que a la fecha continúa, en la que tropas del ejército Ruso cruzaron la frontera en varias zonas de U</w:t>
      </w:r>
      <w:r>
        <w:rPr>
          <w:rFonts w:ascii="Arial Narrow" w:eastAsia="Arial Narrow" w:hAnsi="Arial Narrow" w:cs="Arial Narrow"/>
          <w:sz w:val="22"/>
          <w:szCs w:val="22"/>
        </w:rPr>
        <w:t>crania, generó un fuerte impacto en el mundo respecto a la oferta de algunos productos como alimentos (trigo, cebada y maíz), petróleo, gas y fertilizantes</w:t>
      </w:r>
      <w:r>
        <w:rPr>
          <w:rFonts w:ascii="Arial Narrow" w:eastAsia="Arial Narrow" w:hAnsi="Arial Narrow" w:cs="Arial Narrow"/>
          <w:sz w:val="22"/>
          <w:szCs w:val="22"/>
          <w:vertAlign w:val="superscript"/>
        </w:rPr>
        <w:footnoteReference w:id="6"/>
      </w:r>
      <w:r>
        <w:rPr>
          <w:rFonts w:ascii="Arial Narrow" w:eastAsia="Arial Narrow" w:hAnsi="Arial Narrow" w:cs="Arial Narrow"/>
          <w:sz w:val="22"/>
          <w:szCs w:val="22"/>
        </w:rPr>
        <w:t>; toda vez que la alteración de los procesos de producción y exportación redujo la disponibilidad de</w:t>
      </w:r>
      <w:r>
        <w:rPr>
          <w:rFonts w:ascii="Arial Narrow" w:eastAsia="Arial Narrow" w:hAnsi="Arial Narrow" w:cs="Arial Narrow"/>
          <w:sz w:val="22"/>
          <w:szCs w:val="22"/>
        </w:rPr>
        <w:t xml:space="preserve"> estos productos, principalmente en países en desarrollo, donde se evidenció la crisis de alimentos y de precios, situación que implicó la necesidad de suscribir en julio de 2022 dos acuerdos</w:t>
      </w:r>
      <w:r>
        <w:rPr>
          <w:rFonts w:ascii="Arial Narrow" w:eastAsia="Arial Narrow" w:hAnsi="Arial Narrow" w:cs="Arial Narrow"/>
          <w:i/>
          <w:sz w:val="22"/>
          <w:szCs w:val="22"/>
        </w:rPr>
        <w:t>: “1. el memorando de entendimiento entre las Naciones Unidas y l</w:t>
      </w:r>
      <w:r>
        <w:rPr>
          <w:rFonts w:ascii="Arial Narrow" w:eastAsia="Arial Narrow" w:hAnsi="Arial Narrow" w:cs="Arial Narrow"/>
          <w:i/>
          <w:sz w:val="22"/>
          <w:szCs w:val="22"/>
        </w:rPr>
        <w:t>a Federación Rusa para facilitar el acceso sin trabas de sus exportaciones de alimentos y fertilizantes a los mercados globales. 2. la Iniciativa de Granos del Mar Negro (BSGI), firmada por la Federación Rusa, Türkiye, Ucrania, y atestiguada por las Nacion</w:t>
      </w:r>
      <w:r>
        <w:rPr>
          <w:rFonts w:ascii="Arial Narrow" w:eastAsia="Arial Narrow" w:hAnsi="Arial Narrow" w:cs="Arial Narrow"/>
          <w:i/>
          <w:sz w:val="22"/>
          <w:szCs w:val="22"/>
        </w:rPr>
        <w:t xml:space="preserve">es Unidas para permitir la exportación segura de cereales, fertilizantes y otros productos alimenticios desde los puertos ucranianos en el Mar Negro” </w:t>
      </w:r>
      <w:r>
        <w:rPr>
          <w:rFonts w:ascii="Arial Narrow" w:eastAsia="Arial Narrow" w:hAnsi="Arial Narrow" w:cs="Arial Narrow"/>
          <w:sz w:val="22"/>
          <w:szCs w:val="22"/>
        </w:rPr>
        <w:t>Al respecto Naciones Unidas, manifestó que “</w:t>
      </w:r>
      <w:r>
        <w:rPr>
          <w:rFonts w:ascii="Arial Narrow" w:eastAsia="Arial Narrow" w:hAnsi="Arial Narrow" w:cs="Arial Narrow"/>
          <w:i/>
          <w:sz w:val="22"/>
          <w:szCs w:val="22"/>
        </w:rPr>
        <w:t>este progreso es frágil y persisten las presiones sobre los pr</w:t>
      </w:r>
      <w:r>
        <w:rPr>
          <w:rFonts w:ascii="Arial Narrow" w:eastAsia="Arial Narrow" w:hAnsi="Arial Narrow" w:cs="Arial Narrow"/>
          <w:i/>
          <w:sz w:val="22"/>
          <w:szCs w:val="22"/>
        </w:rPr>
        <w:t>ecios. Si bien los precios de los alimentos han bajado desde su máximo histórico al comienzo de la guerra, siguen siendo altos en comparación con los niveles anteriores a la crisis. Además, las depreciaciones de las monedas impiden que muchos países en des</w:t>
      </w:r>
      <w:r>
        <w:rPr>
          <w:rFonts w:ascii="Arial Narrow" w:eastAsia="Arial Narrow" w:hAnsi="Arial Narrow" w:cs="Arial Narrow"/>
          <w:i/>
          <w:sz w:val="22"/>
          <w:szCs w:val="22"/>
        </w:rPr>
        <w:t>arrollo se beneficien de las disminuciones de los precios mundiales y, en los casos más graves, los precios incluso han subido.</w:t>
      </w:r>
      <w:r>
        <w:rPr>
          <w:rFonts w:ascii="Arial Narrow" w:eastAsia="Arial Narrow" w:hAnsi="Arial Narrow" w:cs="Arial Narrow"/>
          <w:i/>
          <w:sz w:val="22"/>
          <w:szCs w:val="22"/>
          <w:vertAlign w:val="superscript"/>
        </w:rPr>
        <w:footnoteReference w:id="7"/>
      </w:r>
      <w:r>
        <w:rPr>
          <w:rFonts w:ascii="Arial Narrow" w:eastAsia="Arial Narrow" w:hAnsi="Arial Narrow" w:cs="Arial Narrow"/>
          <w:i/>
          <w:sz w:val="22"/>
          <w:szCs w:val="22"/>
        </w:rPr>
        <w:t>”</w:t>
      </w:r>
    </w:p>
    <w:p w:rsidR="007B5D61" w:rsidRDefault="007B5D61">
      <w:pPr>
        <w:ind w:right="-139"/>
        <w:jc w:val="both"/>
        <w:rPr>
          <w:rFonts w:ascii="Arial Narrow" w:eastAsia="Arial Narrow" w:hAnsi="Arial Narrow" w:cs="Arial Narrow"/>
          <w:i/>
          <w:sz w:val="22"/>
          <w:szCs w:val="22"/>
          <w:highlight w:val="yellow"/>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Si bien es cierto el PIB creció al 7,5% para el 2022</w:t>
      </w:r>
      <w:r>
        <w:rPr>
          <w:rFonts w:ascii="Arial Narrow" w:eastAsia="Arial Narrow" w:hAnsi="Arial Narrow" w:cs="Arial Narrow"/>
          <w:sz w:val="22"/>
          <w:szCs w:val="22"/>
          <w:vertAlign w:val="superscript"/>
        </w:rPr>
        <w:footnoteReference w:id="8"/>
      </w:r>
      <w:r>
        <w:rPr>
          <w:rFonts w:ascii="Arial Narrow" w:eastAsia="Arial Narrow" w:hAnsi="Arial Narrow" w:cs="Arial Narrow"/>
          <w:sz w:val="22"/>
          <w:szCs w:val="22"/>
        </w:rPr>
        <w:t>, el costo de vida en Colombia alcanzó su nivel más alto desde 1998</w:t>
      </w:r>
      <w:r>
        <w:rPr>
          <w:rFonts w:ascii="Arial Narrow" w:eastAsia="Arial Narrow" w:hAnsi="Arial Narrow" w:cs="Arial Narrow"/>
          <w:sz w:val="22"/>
          <w:szCs w:val="22"/>
          <w:vertAlign w:val="superscript"/>
        </w:rPr>
        <w:footnoteReference w:id="9"/>
      </w:r>
      <w:r>
        <w:rPr>
          <w:rFonts w:ascii="Arial Narrow" w:eastAsia="Arial Narrow" w:hAnsi="Arial Narrow" w:cs="Arial Narrow"/>
          <w:sz w:val="22"/>
          <w:szCs w:val="22"/>
        </w:rPr>
        <w:t>, ll</w:t>
      </w:r>
      <w:r>
        <w:rPr>
          <w:rFonts w:ascii="Arial Narrow" w:eastAsia="Arial Narrow" w:hAnsi="Arial Narrow" w:cs="Arial Narrow"/>
          <w:sz w:val="22"/>
          <w:szCs w:val="22"/>
        </w:rPr>
        <w:t xml:space="preserve">egando al 13,1% en diciembre de 2022 en su variación anual según lo reportó el DANE, generada por </w:t>
      </w:r>
      <w:r>
        <w:rPr>
          <w:rFonts w:ascii="Arial Narrow" w:eastAsia="Arial Narrow" w:hAnsi="Arial Narrow" w:cs="Arial Narrow"/>
          <w:i/>
          <w:sz w:val="22"/>
          <w:szCs w:val="22"/>
        </w:rPr>
        <w:t xml:space="preserve">“la fuerte demanda interna, la inercia de la inflación, la indexación de rentas, las pérdidas de cultivos por las fuertes lluvias, y la depreciación del peso </w:t>
      </w:r>
      <w:r>
        <w:rPr>
          <w:rFonts w:ascii="Arial Narrow" w:eastAsia="Arial Narrow" w:hAnsi="Arial Narrow" w:cs="Arial Narrow"/>
          <w:i/>
          <w:sz w:val="22"/>
          <w:szCs w:val="22"/>
        </w:rPr>
        <w:t>colombiano</w:t>
      </w:r>
      <w:r>
        <w:rPr>
          <w:rFonts w:ascii="Arial Narrow" w:eastAsia="Arial Narrow" w:hAnsi="Arial Narrow" w:cs="Arial Narrow"/>
          <w:i/>
          <w:sz w:val="22"/>
          <w:szCs w:val="22"/>
          <w:vertAlign w:val="superscript"/>
        </w:rPr>
        <w:footnoteReference w:id="10"/>
      </w:r>
      <w:r>
        <w:rPr>
          <w:rFonts w:ascii="Arial Narrow" w:eastAsia="Arial Narrow" w:hAnsi="Arial Narrow" w:cs="Arial Narrow"/>
          <w:sz w:val="22"/>
          <w:szCs w:val="22"/>
        </w:rPr>
        <w:t>”.</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Lo anterior lleva a concluir que el incremento de los insumos que constituyen las materias para la elaboración de concentrados ha tenido un aumento a nivel mundial, lo que conlleva a que la alimentación de los animales domésticos de compañía</w:t>
      </w:r>
      <w:r>
        <w:rPr>
          <w:rFonts w:ascii="Arial Narrow" w:eastAsia="Arial Narrow" w:hAnsi="Arial Narrow" w:cs="Arial Narrow"/>
          <w:sz w:val="22"/>
          <w:szCs w:val="22"/>
        </w:rPr>
        <w:t xml:space="preserve"> resulte un costo significativo en la economía de los hogares colombianos.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La situación descrita anteriormente, da cuenta del comportamiento durante julio de 2019 a febrero de 2023 de la subclase del IPC, relacionada con la variación anual en los precios</w:t>
      </w:r>
      <w:r>
        <w:rPr>
          <w:rFonts w:ascii="Arial Narrow" w:eastAsia="Arial Narrow" w:hAnsi="Arial Narrow" w:cs="Arial Narrow"/>
          <w:sz w:val="22"/>
          <w:szCs w:val="22"/>
        </w:rPr>
        <w:t xml:space="preserve"> de los alimentos para animales domésticos y mascotas</w:t>
      </w:r>
      <w:r>
        <w:rPr>
          <w:rFonts w:ascii="Arial Narrow" w:eastAsia="Arial Narrow" w:hAnsi="Arial Narrow" w:cs="Arial Narrow"/>
          <w:sz w:val="22"/>
          <w:szCs w:val="22"/>
          <w:vertAlign w:val="superscript"/>
        </w:rPr>
        <w:footnoteReference w:id="11"/>
      </w:r>
      <w:r>
        <w:rPr>
          <w:rFonts w:ascii="Arial Narrow" w:eastAsia="Arial Narrow" w:hAnsi="Arial Narrow" w:cs="Arial Narrow"/>
          <w:sz w:val="22"/>
          <w:szCs w:val="22"/>
        </w:rPr>
        <w:t xml:space="preserve"> tal como se evidencia en la siguiente gráfica:</w:t>
      </w:r>
    </w:p>
    <w:p w:rsidR="007B5D61" w:rsidRDefault="007B5D61">
      <w:pPr>
        <w:ind w:right="-139"/>
        <w:jc w:val="both"/>
        <w:rPr>
          <w:rFonts w:ascii="Arial Narrow" w:eastAsia="Arial Narrow" w:hAnsi="Arial Narrow" w:cs="Arial Narrow"/>
          <w:sz w:val="22"/>
          <w:szCs w:val="22"/>
        </w:rPr>
      </w:pPr>
    </w:p>
    <w:p w:rsidR="007B5D61" w:rsidRDefault="00E062B9">
      <w:pPr>
        <w:ind w:right="-139"/>
        <w:jc w:val="center"/>
        <w:rPr>
          <w:rFonts w:ascii="Arial Narrow" w:eastAsia="Arial Narrow" w:hAnsi="Arial Narrow" w:cs="Arial Narrow"/>
          <w:sz w:val="20"/>
          <w:szCs w:val="20"/>
        </w:rPr>
      </w:pPr>
      <w:r>
        <w:rPr>
          <w:rFonts w:ascii="Arial Narrow" w:eastAsia="Arial Narrow" w:hAnsi="Arial Narrow" w:cs="Arial Narrow"/>
          <w:sz w:val="20"/>
          <w:szCs w:val="20"/>
        </w:rPr>
        <w:t>Gráfico 1. Variación anual IPC- Subclase: alimentos para animales domésticos y mascotas julio 2019 a febrero de 2023</w:t>
      </w:r>
    </w:p>
    <w:p w:rsidR="007B5D61" w:rsidRDefault="00E062B9">
      <w:pPr>
        <w:ind w:right="-139"/>
        <w:jc w:val="both"/>
        <w:rPr>
          <w:rFonts w:ascii="Arial Narrow" w:eastAsia="Arial Narrow" w:hAnsi="Arial Narrow" w:cs="Arial Narrow"/>
          <w:sz w:val="20"/>
          <w:szCs w:val="20"/>
        </w:rPr>
      </w:pPr>
      <w:r>
        <w:rPr>
          <w:rFonts w:ascii="Arial Narrow" w:eastAsia="Arial Narrow" w:hAnsi="Arial Narrow" w:cs="Arial Narrow"/>
          <w:noProof/>
          <w:sz w:val="20"/>
          <w:szCs w:val="20"/>
          <w:lang w:val="es-CO"/>
        </w:rPr>
        <w:drawing>
          <wp:inline distT="114300" distB="114300" distL="114300" distR="114300">
            <wp:extent cx="5919788" cy="2143371"/>
            <wp:effectExtent l="0" t="0" r="0" b="0"/>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5919788" cy="2143371"/>
                    </a:xfrm>
                    <a:prstGeom prst="rect">
                      <a:avLst/>
                    </a:prstGeom>
                    <a:ln/>
                  </pic:spPr>
                </pic:pic>
              </a:graphicData>
            </a:graphic>
          </wp:inline>
        </w:drawing>
      </w:r>
    </w:p>
    <w:p w:rsidR="007B5D61" w:rsidRDefault="00E062B9">
      <w:pPr>
        <w:ind w:right="-139"/>
        <w:jc w:val="center"/>
        <w:rPr>
          <w:rFonts w:ascii="Arial Narrow" w:eastAsia="Arial Narrow" w:hAnsi="Arial Narrow" w:cs="Arial Narrow"/>
          <w:sz w:val="20"/>
          <w:szCs w:val="20"/>
        </w:rPr>
      </w:pPr>
      <w:r>
        <w:rPr>
          <w:rFonts w:ascii="Arial Narrow" w:eastAsia="Arial Narrow" w:hAnsi="Arial Narrow" w:cs="Arial Narrow"/>
          <w:sz w:val="20"/>
          <w:szCs w:val="20"/>
        </w:rPr>
        <w:t>Fuente</w:t>
      </w:r>
      <w:r>
        <w:rPr>
          <w:rFonts w:ascii="Arial Narrow" w:eastAsia="Arial Narrow" w:hAnsi="Arial Narrow" w:cs="Arial Narrow"/>
          <w:b/>
          <w:sz w:val="20"/>
          <w:szCs w:val="20"/>
        </w:rPr>
        <w:t>:</w:t>
      </w:r>
      <w:r>
        <w:rPr>
          <w:rFonts w:ascii="Arial Narrow" w:eastAsia="Arial Narrow" w:hAnsi="Arial Narrow" w:cs="Arial Narrow"/>
          <w:sz w:val="20"/>
          <w:szCs w:val="20"/>
        </w:rPr>
        <w:t xml:space="preserve">  Elaboración propia oficina Wilmer Castellanos, a partir de datos DANE: Índice de Precios al Consumidor, anexos variaciones y contribuciones mensual, año corrido y anual según subclase</w:t>
      </w:r>
    </w:p>
    <w:p w:rsidR="007B5D61" w:rsidRDefault="007B5D61">
      <w:pPr>
        <w:ind w:right="-139"/>
        <w:jc w:val="center"/>
        <w:rPr>
          <w:rFonts w:ascii="Arial Narrow" w:eastAsia="Arial Narrow" w:hAnsi="Arial Narrow" w:cs="Arial Narrow"/>
          <w:sz w:val="20"/>
          <w:szCs w:val="20"/>
        </w:rPr>
      </w:pPr>
    </w:p>
    <w:p w:rsidR="007B5D61" w:rsidRDefault="007B5D61">
      <w:pPr>
        <w:ind w:right="-139"/>
        <w:jc w:val="center"/>
        <w:rPr>
          <w:rFonts w:ascii="Arial Narrow" w:eastAsia="Arial Narrow" w:hAnsi="Arial Narrow" w:cs="Arial Narrow"/>
          <w:sz w:val="22"/>
          <w:szCs w:val="22"/>
        </w:rPr>
      </w:pPr>
    </w:p>
    <w:p w:rsidR="007B5D61" w:rsidRDefault="00E062B9">
      <w:pPr>
        <w:ind w:right="-139"/>
        <w:jc w:val="center"/>
        <w:rPr>
          <w:rFonts w:ascii="Arial Narrow" w:eastAsia="Arial Narrow" w:hAnsi="Arial Narrow" w:cs="Arial Narrow"/>
          <w:sz w:val="20"/>
          <w:szCs w:val="20"/>
        </w:rPr>
      </w:pPr>
      <w:r>
        <w:rPr>
          <w:rFonts w:ascii="Arial Narrow" w:eastAsia="Arial Narrow" w:hAnsi="Arial Narrow" w:cs="Arial Narrow"/>
          <w:sz w:val="20"/>
          <w:szCs w:val="20"/>
        </w:rPr>
        <w:t>Gráfico 2. Variación anual IPC- Subclase: alimentos para animales do</w:t>
      </w:r>
      <w:r>
        <w:rPr>
          <w:rFonts w:ascii="Arial Narrow" w:eastAsia="Arial Narrow" w:hAnsi="Arial Narrow" w:cs="Arial Narrow"/>
          <w:sz w:val="20"/>
          <w:szCs w:val="20"/>
        </w:rPr>
        <w:t>mésticos y mascotas 2022 vs 2021</w:t>
      </w:r>
    </w:p>
    <w:p w:rsidR="007B5D61" w:rsidRDefault="00E062B9">
      <w:pPr>
        <w:ind w:right="-139"/>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5544234" cy="3145286"/>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544234" cy="3145286"/>
                    </a:xfrm>
                    <a:prstGeom prst="rect">
                      <a:avLst/>
                    </a:prstGeom>
                    <a:ln/>
                  </pic:spPr>
                </pic:pic>
              </a:graphicData>
            </a:graphic>
          </wp:inline>
        </w:drawing>
      </w:r>
    </w:p>
    <w:p w:rsidR="007B5D61" w:rsidRDefault="00E062B9">
      <w:pPr>
        <w:ind w:right="-139"/>
        <w:jc w:val="center"/>
        <w:rPr>
          <w:rFonts w:ascii="Arial Narrow" w:eastAsia="Arial Narrow" w:hAnsi="Arial Narrow" w:cs="Arial Narrow"/>
          <w:sz w:val="20"/>
          <w:szCs w:val="20"/>
        </w:rPr>
      </w:pPr>
      <w:r>
        <w:rPr>
          <w:rFonts w:ascii="Arial Narrow" w:eastAsia="Arial Narrow" w:hAnsi="Arial Narrow" w:cs="Arial Narrow"/>
          <w:sz w:val="20"/>
          <w:szCs w:val="20"/>
        </w:rPr>
        <w:t>Fuente: DANE: Índice de Precios al Consumidor, anexos variaciones y contribuciones mensual, año corrido y anual según subclases. Elaboración propia oficina Wilmer Castellanos.</w:t>
      </w:r>
    </w:p>
    <w:p w:rsidR="007B5D61" w:rsidRDefault="007B5D61">
      <w:pPr>
        <w:ind w:right="-139"/>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Del gráfico anterior llama la atención que a</w:t>
      </w:r>
      <w:r>
        <w:rPr>
          <w:rFonts w:ascii="Arial Narrow" w:eastAsia="Arial Narrow" w:hAnsi="Arial Narrow" w:cs="Arial Narrow"/>
          <w:sz w:val="22"/>
          <w:szCs w:val="22"/>
        </w:rPr>
        <w:t xml:space="preserve"> partir del mes de febrero de 2022 (inicio Guerra Ucrania- Rusia), la variación anual de la subclase del IPC, alimentos para animales domésticos y mascotas fue superior a la reportada en el mismo periodo del año anterior, destacando los siguientes meses: e</w:t>
      </w:r>
      <w:r>
        <w:rPr>
          <w:rFonts w:ascii="Arial Narrow" w:eastAsia="Arial Narrow" w:hAnsi="Arial Narrow" w:cs="Arial Narrow"/>
          <w:sz w:val="22"/>
          <w:szCs w:val="22"/>
        </w:rPr>
        <w:t>n febrero de 2023 la variación anual de la subclase del IPC fue de 6,68%, es decir 2,27 puntos porcentuales mayor que la reportada en el mismo período del año anterior cuando fue de 4,41%; para el mes de agosto la diferencia en puntos porcentuales ascendió</w:t>
      </w:r>
      <w:r>
        <w:rPr>
          <w:rFonts w:ascii="Arial Narrow" w:eastAsia="Arial Narrow" w:hAnsi="Arial Narrow" w:cs="Arial Narrow"/>
          <w:sz w:val="22"/>
          <w:szCs w:val="22"/>
        </w:rPr>
        <w:t xml:space="preserve"> a dos dígitos 10,19 pasando de 3,36% en 2021 a 13,55% en 2022 y para el mes de diciembre de 2022 la variación anual de la subclase del IPC continuó en aumento, llegando al 18,84%, es decir 16,81 puntos porcentuales mayor que la reportada en el mismo perio</w:t>
      </w:r>
      <w:r>
        <w:rPr>
          <w:rFonts w:ascii="Arial Narrow" w:eastAsia="Arial Narrow" w:hAnsi="Arial Narrow" w:cs="Arial Narrow"/>
          <w:sz w:val="22"/>
          <w:szCs w:val="22"/>
        </w:rPr>
        <w:t>do del año anterior cuando fue de 2,03%.</w:t>
      </w:r>
    </w:p>
    <w:p w:rsidR="007B5D61" w:rsidRDefault="007B5D61">
      <w:pPr>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b/>
          <w:sz w:val="22"/>
          <w:szCs w:val="22"/>
        </w:rPr>
      </w:pPr>
      <w:r>
        <w:rPr>
          <w:rFonts w:ascii="Arial Narrow" w:eastAsia="Arial Narrow" w:hAnsi="Arial Narrow" w:cs="Arial Narrow"/>
          <w:b/>
          <w:sz w:val="22"/>
          <w:szCs w:val="22"/>
        </w:rPr>
        <w:t>2.4.3. Animales como seres sintientes</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Colombia, mediante la Ley 1774 de 2016, indicó que los animales no son cosas sino seres sintientes, lo que significa que los animales poseen la capacidad de sentir una variedad de emociones y sentimientos como placer, dolor, alegría y miedo. Algunos ani</w:t>
      </w:r>
      <w:r>
        <w:rPr>
          <w:rFonts w:ascii="Arial Narrow" w:eastAsia="Arial Narrow" w:hAnsi="Arial Narrow" w:cs="Arial Narrow"/>
          <w:sz w:val="22"/>
          <w:szCs w:val="22"/>
        </w:rPr>
        <w:t>males incluso experimentan emociones complejas, como el duelo y la empatía. Los animales son seres sintientes, y esto significa que sus sentimientos importan.</w:t>
      </w:r>
      <w:r>
        <w:rPr>
          <w:rFonts w:ascii="Arial Narrow" w:eastAsia="Arial Narrow" w:hAnsi="Arial Narrow" w:cs="Arial Narrow"/>
          <w:sz w:val="22"/>
          <w:szCs w:val="22"/>
          <w:vertAlign w:val="superscript"/>
        </w:rPr>
        <w:footnoteReference w:id="12"/>
      </w:r>
      <w:r>
        <w:rPr>
          <w:rFonts w:ascii="Arial Narrow" w:eastAsia="Arial Narrow" w:hAnsi="Arial Narrow" w:cs="Arial Narrow"/>
          <w:sz w:val="22"/>
          <w:szCs w:val="22"/>
        </w:rPr>
        <w:t xml:space="preserve">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ese sentido, este texto normativo indicó que a los animales se les debe especial protección</w:t>
      </w:r>
      <w:r>
        <w:rPr>
          <w:rFonts w:ascii="Arial Narrow" w:eastAsia="Arial Narrow" w:hAnsi="Arial Narrow" w:cs="Arial Narrow"/>
          <w:sz w:val="22"/>
          <w:szCs w:val="22"/>
        </w:rPr>
        <w:t xml:space="preserve"> contra el sufrimiento y el dolor.</w:t>
      </w:r>
      <w:r>
        <w:rPr>
          <w:rFonts w:ascii="Arial Narrow" w:eastAsia="Arial Narrow" w:hAnsi="Arial Narrow" w:cs="Arial Narrow"/>
          <w:sz w:val="22"/>
          <w:szCs w:val="22"/>
          <w:vertAlign w:val="superscript"/>
        </w:rPr>
        <w:footnoteReference w:id="13"/>
      </w:r>
      <w:r>
        <w:rPr>
          <w:rFonts w:ascii="Arial Narrow" w:eastAsia="Arial Narrow" w:hAnsi="Arial Narrow" w:cs="Arial Narrow"/>
          <w:sz w:val="22"/>
          <w:szCs w:val="22"/>
        </w:rPr>
        <w:t xml:space="preserve">  De igual forma, esta Ley estableció que, en el cuidado de los animales, el responsable o tenedor de ellos asegurará como mínimo que no sufran hambre ni sed, que no les sean provocadas enfermedades por negligencia o desc</w:t>
      </w:r>
      <w:r>
        <w:rPr>
          <w:rFonts w:ascii="Arial Narrow" w:eastAsia="Arial Narrow" w:hAnsi="Arial Narrow" w:cs="Arial Narrow"/>
          <w:sz w:val="22"/>
          <w:szCs w:val="22"/>
        </w:rPr>
        <w:t>uido y que no sean sometidos a condiciones de miedo ni estrés. Así las cosas, cabe precisar que la alimentación indebida de mascotas, incide en el nivel de sufrimiento del animal, así como causar enfermedades como la desnutrición, alergias, diarreas, gastr</w:t>
      </w:r>
      <w:r>
        <w:rPr>
          <w:rFonts w:ascii="Arial Narrow" w:eastAsia="Arial Narrow" w:hAnsi="Arial Narrow" w:cs="Arial Narrow"/>
          <w:sz w:val="22"/>
          <w:szCs w:val="22"/>
        </w:rPr>
        <w:t>itis o pancreatitis e incluso la muerte, causando graves problemas en su salud.</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Cabe precisar que alteraciones en la dieta, horarios irregulares de alimentación o falta de acceso a agua fresca y limpia pueden causar estrés en las mascotas, ya que la comid</w:t>
      </w:r>
      <w:r>
        <w:rPr>
          <w:rFonts w:ascii="Arial Narrow" w:eastAsia="Arial Narrow" w:hAnsi="Arial Narrow" w:cs="Arial Narrow"/>
          <w:sz w:val="22"/>
          <w:szCs w:val="22"/>
        </w:rPr>
        <w:t>a y la hidratación son aspectos fundamentales para su bienestar.</w:t>
      </w:r>
      <w:r>
        <w:rPr>
          <w:rFonts w:ascii="Arial Narrow" w:eastAsia="Arial Narrow" w:hAnsi="Arial Narrow" w:cs="Arial Narrow"/>
          <w:sz w:val="22"/>
          <w:szCs w:val="22"/>
          <w:vertAlign w:val="superscript"/>
        </w:rPr>
        <w:footnoteReference w:id="14"/>
      </w:r>
      <w:r>
        <w:rPr>
          <w:rFonts w:ascii="Arial Narrow" w:eastAsia="Arial Narrow" w:hAnsi="Arial Narrow" w:cs="Arial Narrow"/>
          <w:sz w:val="22"/>
          <w:szCs w:val="22"/>
        </w:rPr>
        <w:t xml:space="preserve"> En ese sentido, es de vital importancia promover una alimentación adecuada para ellos y generar mecanismos para que las familias tenedoras de animales puedan acceder a estos alimentos para p</w:t>
      </w:r>
      <w:r>
        <w:rPr>
          <w:rFonts w:ascii="Arial Narrow" w:eastAsia="Arial Narrow" w:hAnsi="Arial Narrow" w:cs="Arial Narrow"/>
          <w:sz w:val="22"/>
          <w:szCs w:val="22"/>
        </w:rPr>
        <w:t>roporcionarles a sus mascotas el cuidado que necesitan.</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b/>
          <w:sz w:val="22"/>
          <w:szCs w:val="22"/>
        </w:rPr>
      </w:pPr>
      <w:r>
        <w:rPr>
          <w:rFonts w:ascii="Arial Narrow" w:eastAsia="Arial Narrow" w:hAnsi="Arial Narrow" w:cs="Arial Narrow"/>
          <w:b/>
          <w:sz w:val="22"/>
          <w:szCs w:val="22"/>
        </w:rPr>
        <w:t>2.4.4. Sobre la labor de fundaciones, hogares de paso y rescatistas de animales domésticos de compañía:</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acuerdo con el estudio realizado por el </w:t>
      </w:r>
      <w:hyperlink r:id="rId23">
        <w:r>
          <w:rPr>
            <w:rFonts w:ascii="Arial Narrow" w:eastAsia="Arial Narrow" w:hAnsi="Arial Narrow" w:cs="Arial Narrow"/>
            <w:sz w:val="22"/>
            <w:szCs w:val="22"/>
          </w:rPr>
          <w:t>Instituto Distrital de Protección y Bienestar Animal</w:t>
        </w:r>
      </w:hyperlink>
      <w:r>
        <w:rPr>
          <w:rFonts w:ascii="Arial Narrow" w:eastAsia="Arial Narrow" w:hAnsi="Arial Narrow" w:cs="Arial Narrow"/>
          <w:sz w:val="22"/>
          <w:szCs w:val="22"/>
        </w:rPr>
        <w:t xml:space="preserve"> sobre la abundancia y densidad de perros deambulantes en Bogotá, o callejeros co</w:t>
      </w:r>
      <w:r>
        <w:rPr>
          <w:rFonts w:ascii="Arial Narrow" w:eastAsia="Arial Narrow" w:hAnsi="Arial Narrow" w:cs="Arial Narrow"/>
          <w:sz w:val="22"/>
          <w:szCs w:val="22"/>
        </w:rPr>
        <w:t xml:space="preserve">mo es llamado comúnmente, se estima que más de 66 mil perros habitan las calles de la ciudad, sin incluir dentro de estas cifras a los gatos y a otro tipo de animales; encontrando que las localidades con más perros deambulantes son: </w:t>
      </w:r>
    </w:p>
    <w:p w:rsidR="007B5D61" w:rsidRDefault="007B5D61">
      <w:pPr>
        <w:ind w:right="-139"/>
        <w:rPr>
          <w:rFonts w:ascii="Arial Narrow" w:eastAsia="Arial Narrow" w:hAnsi="Arial Narrow" w:cs="Arial Narrow"/>
          <w:sz w:val="22"/>
          <w:szCs w:val="22"/>
        </w:rPr>
      </w:pPr>
    </w:p>
    <w:p w:rsidR="007B5D61" w:rsidRDefault="00E062B9">
      <w:pPr>
        <w:ind w:right="-139"/>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rPr>
        <w:drawing>
          <wp:inline distT="114300" distB="114300" distL="114300" distR="114300">
            <wp:extent cx="3019425" cy="2375373"/>
            <wp:effectExtent l="0" t="0" r="0" b="0"/>
            <wp:docPr id="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3019425" cy="2375373"/>
                    </a:xfrm>
                    <a:prstGeom prst="rect">
                      <a:avLst/>
                    </a:prstGeom>
                    <a:ln/>
                  </pic:spPr>
                </pic:pic>
              </a:graphicData>
            </a:graphic>
          </wp:inline>
        </w:drawing>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mayoría de las </w:t>
      </w:r>
      <w:r>
        <w:rPr>
          <w:rFonts w:ascii="Arial Narrow" w:eastAsia="Arial Narrow" w:hAnsi="Arial Narrow" w:cs="Arial Narrow"/>
          <w:sz w:val="22"/>
          <w:szCs w:val="22"/>
        </w:rPr>
        <w:t>observaciones se obtuvieron en el estrato bajo 2 con el 51,6%, seguido por el estrato bajo-bajo 1 con 32,84%; el estrato medio-bajo 3 con 12%, y sin estrato 2%.</w:t>
      </w:r>
      <w:r>
        <w:rPr>
          <w:rFonts w:ascii="Arial Narrow" w:eastAsia="Arial Narrow" w:hAnsi="Arial Narrow" w:cs="Arial Narrow"/>
          <w:sz w:val="22"/>
          <w:szCs w:val="22"/>
          <w:vertAlign w:val="superscript"/>
        </w:rPr>
        <w:footnoteReference w:id="15"/>
      </w:r>
      <w:r>
        <w:rPr>
          <w:rFonts w:ascii="Arial Narrow" w:eastAsia="Arial Narrow" w:hAnsi="Arial Narrow" w:cs="Arial Narrow"/>
          <w:sz w:val="22"/>
          <w:szCs w:val="22"/>
        </w:rPr>
        <w:t xml:space="preserve"> Lo que permite concluir que la mayor parte de los animales callejeros se encuentran en los bar</w:t>
      </w:r>
      <w:r>
        <w:rPr>
          <w:rFonts w:ascii="Arial Narrow" w:eastAsia="Arial Narrow" w:hAnsi="Arial Narrow" w:cs="Arial Narrow"/>
          <w:sz w:val="22"/>
          <w:szCs w:val="22"/>
        </w:rPr>
        <w:t>rios de estratos más bajos. Así mismo, en Colombia se estima que hay</w:t>
      </w:r>
      <w:r>
        <w:rPr>
          <w:rFonts w:ascii="Arial Narrow" w:eastAsia="Arial Narrow" w:hAnsi="Arial Narrow" w:cs="Arial Narrow"/>
          <w:color w:val="1E1E1C"/>
          <w:sz w:val="26"/>
          <w:szCs w:val="26"/>
        </w:rPr>
        <w:t xml:space="preserve"> </w:t>
      </w:r>
      <w:r>
        <w:rPr>
          <w:rFonts w:ascii="Arial Narrow" w:eastAsia="Arial Narrow" w:hAnsi="Arial Narrow" w:cs="Arial Narrow"/>
          <w:sz w:val="22"/>
          <w:szCs w:val="22"/>
        </w:rPr>
        <w:t>3 millones de perros y gatos en situación de calle.</w:t>
      </w:r>
      <w:r>
        <w:rPr>
          <w:rFonts w:ascii="Arial Narrow" w:eastAsia="Arial Narrow" w:hAnsi="Arial Narrow" w:cs="Arial Narrow"/>
          <w:sz w:val="22"/>
          <w:szCs w:val="22"/>
          <w:vertAlign w:val="superscript"/>
        </w:rPr>
        <w:footnoteReference w:id="16"/>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De lo anterior se puede inferir que existen grandes problemas en la ciudad respecto al bienestar animal y que muchos de estos animale</w:t>
      </w:r>
      <w:r>
        <w:rPr>
          <w:rFonts w:ascii="Arial Narrow" w:eastAsia="Arial Narrow" w:hAnsi="Arial Narrow" w:cs="Arial Narrow"/>
          <w:sz w:val="22"/>
          <w:szCs w:val="22"/>
        </w:rPr>
        <w:t>s sufren la falta de alimento, agua, refugio y atención veterinaria; adicionalmente, esto puede representar un problema grave de salud pública, toda vez que estos animales pueden portar y transmitir virus a otros animales y humanos, adicionalmente, estas c</w:t>
      </w:r>
      <w:r>
        <w:rPr>
          <w:rFonts w:ascii="Arial Narrow" w:eastAsia="Arial Narrow" w:hAnsi="Arial Narrow" w:cs="Arial Narrow"/>
          <w:sz w:val="22"/>
          <w:szCs w:val="22"/>
        </w:rPr>
        <w:t>ifras evidencian las falencias en el control de la natalidad de estos animales de compañía, que dan cuenta de la poca intervención del Estado, quien es por Ley el llamado a protegerlos.</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ese sentido, cobra gran relevancia el papel de todas aquellas fund</w:t>
      </w:r>
      <w:r>
        <w:rPr>
          <w:rFonts w:ascii="Arial Narrow" w:eastAsia="Arial Narrow" w:hAnsi="Arial Narrow" w:cs="Arial Narrow"/>
          <w:sz w:val="22"/>
          <w:szCs w:val="22"/>
        </w:rPr>
        <w:t xml:space="preserve">aciones, hogares de paso y rescatistas de animales que han sido creados por personas motivadas por un fin altruista que es el del bienestar animal para brindarles entornos seguros a falta de la atención del Estado.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La iniciativa legislativa presentada pe</w:t>
      </w:r>
      <w:r>
        <w:rPr>
          <w:rFonts w:ascii="Arial Narrow" w:eastAsia="Arial Narrow" w:hAnsi="Arial Narrow" w:cs="Arial Narrow"/>
          <w:sz w:val="22"/>
          <w:szCs w:val="22"/>
        </w:rPr>
        <w:t>rmite señalar que la labor de las personas que rescatan animales de las calles -para atenderlos, recuperarlos y albergarlos- representa un servicio importante para la sociedad y la economía. Pues no solo ellas atienden un fenómeno que podría agravarse, sin</w:t>
      </w:r>
      <w:r>
        <w:rPr>
          <w:rFonts w:ascii="Arial Narrow" w:eastAsia="Arial Narrow" w:hAnsi="Arial Narrow" w:cs="Arial Narrow"/>
          <w:sz w:val="22"/>
          <w:szCs w:val="22"/>
        </w:rPr>
        <w:t>o que lo hacen con sus propios recursos, generalmente limitados. Atender a un animal rescatado implica gastos recurrentes de alimentación, vacunación, esterilización, medicamentos, veterinarios (exámenes, tratamientos, etc.), de alojamiento (servicios públ</w:t>
      </w:r>
      <w:r>
        <w:rPr>
          <w:rFonts w:ascii="Arial Narrow" w:eastAsia="Arial Narrow" w:hAnsi="Arial Narrow" w:cs="Arial Narrow"/>
          <w:sz w:val="22"/>
          <w:szCs w:val="22"/>
        </w:rPr>
        <w:t>icos, arriendo), etc., sin contar los altos costos sociales, personales, familiares y emocionales por el nivel de compromiso, esfuerzo y dedicación que requiere esta labor altruista, pero injustamente recostada en los hombros de particulares que como ya se</w:t>
      </w:r>
      <w:r>
        <w:rPr>
          <w:rFonts w:ascii="Arial Narrow" w:eastAsia="Arial Narrow" w:hAnsi="Arial Narrow" w:cs="Arial Narrow"/>
          <w:sz w:val="22"/>
          <w:szCs w:val="22"/>
        </w:rPr>
        <w:t xml:space="preserve"> mencionó, son en su mayoría, mujeres pobres. </w:t>
      </w:r>
    </w:p>
    <w:p w:rsidR="007B5D61" w:rsidRDefault="00E062B9">
      <w:pPr>
        <w:spacing w:before="280" w:after="280"/>
        <w:ind w:right="-139"/>
        <w:jc w:val="both"/>
        <w:rPr>
          <w:rFonts w:ascii="Arial Narrow" w:eastAsia="Arial Narrow" w:hAnsi="Arial Narrow" w:cs="Arial Narrow"/>
          <w:sz w:val="22"/>
          <w:szCs w:val="22"/>
        </w:rPr>
      </w:pPr>
      <w:r>
        <w:rPr>
          <w:rFonts w:ascii="Arial Narrow" w:eastAsia="Arial Narrow" w:hAnsi="Arial Narrow" w:cs="Arial Narrow"/>
          <w:sz w:val="22"/>
          <w:szCs w:val="22"/>
        </w:rPr>
        <w:t>Por lo tanto, el presente proyecto de ley busca, por un lado, aliviar  los altísimos costos de manutención de los animales rescatados y albergados por fundaciones y personas naturales dedicadas a esta activida</w:t>
      </w:r>
      <w:r>
        <w:rPr>
          <w:rFonts w:ascii="Arial Narrow" w:eastAsia="Arial Narrow" w:hAnsi="Arial Narrow" w:cs="Arial Narrow"/>
          <w:sz w:val="22"/>
          <w:szCs w:val="22"/>
        </w:rPr>
        <w:t>d, quienes asumen una labor que debería corresponder al Estado, y por otro lado, crear beneficios a las familias colombianas, bajo el entendido que las consecuencias en las alzas de precios derivadas de la pandemia han venido afectando de manera transversa</w:t>
      </w:r>
      <w:r>
        <w:rPr>
          <w:rFonts w:ascii="Arial Narrow" w:eastAsia="Arial Narrow" w:hAnsi="Arial Narrow" w:cs="Arial Narrow"/>
          <w:sz w:val="22"/>
          <w:szCs w:val="22"/>
        </w:rPr>
        <w:t>l a estos tenedores de animales, quienes han asumido incrementos abruptos en los precios.</w:t>
      </w:r>
    </w:p>
    <w:p w:rsidR="007B5D61" w:rsidRDefault="00E062B9">
      <w:pPr>
        <w:numPr>
          <w:ilvl w:val="1"/>
          <w:numId w:val="6"/>
        </w:numPr>
        <w:pBdr>
          <w:top w:val="nil"/>
          <w:left w:val="nil"/>
          <w:bottom w:val="nil"/>
          <w:right w:val="nil"/>
          <w:between w:val="nil"/>
        </w:pBdr>
        <w:ind w:left="0" w:right="4" w:firstLine="0"/>
        <w:jc w:val="both"/>
        <w:rPr>
          <w:rFonts w:ascii="Arial Narrow" w:eastAsia="Arial Narrow" w:hAnsi="Arial Narrow" w:cs="Arial Narrow"/>
          <w:b/>
          <w:color w:val="000000"/>
          <w:sz w:val="22"/>
          <w:szCs w:val="22"/>
        </w:rPr>
      </w:pPr>
      <w:bookmarkStart w:id="28" w:name="_heading=h.44sinio" w:colFirst="0" w:colLast="0"/>
      <w:bookmarkEnd w:id="28"/>
      <w:r>
        <w:rPr>
          <w:rFonts w:ascii="Arial Narrow" w:eastAsia="Arial Narrow" w:hAnsi="Arial Narrow" w:cs="Arial Narrow"/>
          <w:b/>
          <w:color w:val="000000"/>
          <w:sz w:val="22"/>
          <w:szCs w:val="22"/>
        </w:rPr>
        <w:t>Marco Jurídico y Jurisprudencial sobre la materia a legislar</w:t>
      </w:r>
    </w:p>
    <w:p w:rsidR="007B5D61" w:rsidRDefault="007B5D61">
      <w:pPr>
        <w:pBdr>
          <w:top w:val="nil"/>
          <w:left w:val="nil"/>
          <w:bottom w:val="nil"/>
          <w:right w:val="nil"/>
          <w:between w:val="nil"/>
        </w:pBdr>
        <w:ind w:left="360" w:right="4"/>
        <w:jc w:val="both"/>
        <w:rPr>
          <w:rFonts w:ascii="Arial Narrow" w:eastAsia="Arial Narrow" w:hAnsi="Arial Narrow" w:cs="Arial Narrow"/>
          <w:b/>
          <w:sz w:val="22"/>
          <w:szCs w:val="22"/>
        </w:rPr>
      </w:pPr>
      <w:bookmarkStart w:id="29" w:name="_heading=h.bvdnr08rtpnm" w:colFirst="0" w:colLast="0"/>
      <w:bookmarkEnd w:id="29"/>
    </w:p>
    <w:p w:rsidR="007B5D61" w:rsidRDefault="00E062B9">
      <w:pPr>
        <w:jc w:val="both"/>
        <w:rPr>
          <w:rFonts w:ascii="Arial Narrow" w:eastAsia="Arial Narrow" w:hAnsi="Arial Narrow" w:cs="Arial Narrow"/>
          <w:b/>
          <w:sz w:val="22"/>
          <w:szCs w:val="22"/>
        </w:rPr>
      </w:pPr>
      <w:r>
        <w:rPr>
          <w:rFonts w:ascii="Arial Narrow" w:eastAsia="Arial Narrow" w:hAnsi="Arial Narrow" w:cs="Arial Narrow"/>
          <w:b/>
          <w:sz w:val="22"/>
          <w:szCs w:val="22"/>
        </w:rPr>
        <w:t>2.5.1. Constitución Política de Colombia:</w:t>
      </w:r>
    </w:p>
    <w:p w:rsidR="007B5D61" w:rsidRDefault="007B5D61">
      <w:pPr>
        <w:ind w:right="-139"/>
        <w:jc w:val="both"/>
        <w:rPr>
          <w:rFonts w:ascii="Arial Narrow" w:eastAsia="Arial Narrow" w:hAnsi="Arial Narrow" w:cs="Arial Narrow"/>
          <w:b/>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Con la Constitución Política de 1991, entran en vigencia diversas disposiciones, que hacen referencia a la protección de los recursos naturales del país y en general del medio ambiente, con el fin de conservar la vida de las generaciones presentes y futura</w:t>
      </w:r>
      <w:r>
        <w:rPr>
          <w:rFonts w:ascii="Arial Narrow" w:eastAsia="Arial Narrow" w:hAnsi="Arial Narrow" w:cs="Arial Narrow"/>
          <w:sz w:val="22"/>
          <w:szCs w:val="22"/>
        </w:rPr>
        <w:t xml:space="preserve">s.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ese sentido, el artículo 8, establece que:</w:t>
      </w:r>
    </w:p>
    <w:p w:rsidR="007B5D61" w:rsidRDefault="007B5D61">
      <w:pPr>
        <w:ind w:right="-139"/>
        <w:jc w:val="both"/>
        <w:rPr>
          <w:rFonts w:ascii="Arial Narrow" w:eastAsia="Arial Narrow" w:hAnsi="Arial Narrow" w:cs="Arial Narrow"/>
          <w:sz w:val="22"/>
          <w:szCs w:val="22"/>
        </w:rPr>
      </w:pPr>
    </w:p>
    <w:p w:rsidR="007B5D61" w:rsidRDefault="00E062B9">
      <w:pPr>
        <w:ind w:left="720" w:right="-139"/>
        <w:jc w:val="both"/>
        <w:rPr>
          <w:rFonts w:ascii="Arial Narrow" w:eastAsia="Arial Narrow" w:hAnsi="Arial Narrow" w:cs="Arial Narrow"/>
          <w:i/>
          <w:sz w:val="22"/>
          <w:szCs w:val="22"/>
        </w:rPr>
      </w:pPr>
      <w:r>
        <w:rPr>
          <w:rFonts w:ascii="Arial Narrow" w:eastAsia="Arial Narrow" w:hAnsi="Arial Narrow" w:cs="Arial Narrow"/>
          <w:b/>
          <w:i/>
          <w:sz w:val="22"/>
          <w:szCs w:val="22"/>
        </w:rPr>
        <w:t>“ARTÍCULO 8o.</w:t>
      </w:r>
      <w:r>
        <w:rPr>
          <w:rFonts w:ascii="Arial Narrow" w:eastAsia="Arial Narrow" w:hAnsi="Arial Narrow" w:cs="Arial Narrow"/>
          <w:i/>
          <w:sz w:val="22"/>
          <w:szCs w:val="22"/>
        </w:rPr>
        <w:t xml:space="preserve"> Es obligación del Estado y de las personas proteger las riquezas culturales y </w:t>
      </w:r>
      <w:r>
        <w:rPr>
          <w:rFonts w:ascii="Arial Narrow" w:eastAsia="Arial Narrow" w:hAnsi="Arial Narrow" w:cs="Arial Narrow"/>
          <w:i/>
          <w:sz w:val="22"/>
          <w:szCs w:val="22"/>
          <w:u w:val="single"/>
        </w:rPr>
        <w:t>naturales de la Nación</w:t>
      </w:r>
      <w:r>
        <w:rPr>
          <w:rFonts w:ascii="Arial Narrow" w:eastAsia="Arial Narrow" w:hAnsi="Arial Narrow" w:cs="Arial Narrow"/>
          <w:i/>
          <w:sz w:val="22"/>
          <w:szCs w:val="22"/>
        </w:rPr>
        <w:t xml:space="preserve">.” </w:t>
      </w:r>
      <w:r>
        <w:rPr>
          <w:rFonts w:ascii="Arial Narrow" w:eastAsia="Arial Narrow" w:hAnsi="Arial Narrow" w:cs="Arial Narrow"/>
          <w:b/>
          <w:sz w:val="22"/>
          <w:szCs w:val="22"/>
        </w:rPr>
        <w:t>(Subrayado fuera de texto)</w:t>
      </w:r>
    </w:p>
    <w:p w:rsidR="007B5D61" w:rsidRDefault="007B5D61">
      <w:pPr>
        <w:ind w:left="720" w:right="-139"/>
        <w:jc w:val="both"/>
        <w:rPr>
          <w:rFonts w:ascii="Arial Narrow" w:eastAsia="Arial Narrow" w:hAnsi="Arial Narrow" w:cs="Arial Narrow"/>
          <w:i/>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el mismo sentido, el artículo 79 de la Constitución esta</w:t>
      </w:r>
      <w:r>
        <w:rPr>
          <w:rFonts w:ascii="Arial Narrow" w:eastAsia="Arial Narrow" w:hAnsi="Arial Narrow" w:cs="Arial Narrow"/>
          <w:sz w:val="22"/>
          <w:szCs w:val="22"/>
        </w:rPr>
        <w:t>blece que:</w:t>
      </w:r>
    </w:p>
    <w:p w:rsidR="007B5D61" w:rsidRDefault="007B5D61">
      <w:pPr>
        <w:ind w:right="-139"/>
        <w:jc w:val="both"/>
        <w:rPr>
          <w:rFonts w:ascii="Arial Narrow" w:eastAsia="Arial Narrow" w:hAnsi="Arial Narrow" w:cs="Arial Narrow"/>
          <w:sz w:val="22"/>
          <w:szCs w:val="22"/>
        </w:rPr>
      </w:pPr>
    </w:p>
    <w:p w:rsidR="007B5D61" w:rsidRDefault="00E062B9">
      <w:pPr>
        <w:spacing w:before="180" w:after="180"/>
        <w:ind w:left="720" w:right="-139"/>
        <w:jc w:val="both"/>
        <w:rPr>
          <w:rFonts w:ascii="Arial Narrow" w:eastAsia="Arial Narrow" w:hAnsi="Arial Narrow" w:cs="Arial Narrow"/>
          <w:i/>
          <w:sz w:val="22"/>
          <w:szCs w:val="22"/>
        </w:rPr>
      </w:pPr>
      <w:r>
        <w:rPr>
          <w:rFonts w:ascii="Arial Narrow" w:eastAsia="Arial Narrow" w:hAnsi="Arial Narrow" w:cs="Arial Narrow"/>
          <w:b/>
          <w:i/>
          <w:sz w:val="22"/>
          <w:szCs w:val="22"/>
        </w:rPr>
        <w:t xml:space="preserve">“ARTÍCULO 79. </w:t>
      </w:r>
      <w:r>
        <w:rPr>
          <w:rFonts w:ascii="Arial Narrow" w:eastAsia="Arial Narrow" w:hAnsi="Arial Narrow" w:cs="Arial Narrow"/>
          <w:i/>
          <w:sz w:val="22"/>
          <w:szCs w:val="22"/>
        </w:rPr>
        <w:t>Todas las personas tienen derecho a gozar de un ambiente sano. La ley garantizará la participación de la comunidad en las decisiones que puedan afectarlo.</w:t>
      </w:r>
    </w:p>
    <w:p w:rsidR="007B5D61" w:rsidRDefault="00E062B9">
      <w:pPr>
        <w:spacing w:before="180" w:after="180"/>
        <w:ind w:left="720" w:right="-139"/>
        <w:jc w:val="both"/>
        <w:rPr>
          <w:rFonts w:ascii="Arial Narrow" w:eastAsia="Arial Narrow" w:hAnsi="Arial Narrow" w:cs="Arial Narrow"/>
          <w:b/>
          <w:sz w:val="22"/>
          <w:szCs w:val="22"/>
        </w:rPr>
      </w:pPr>
      <w:r>
        <w:rPr>
          <w:rFonts w:ascii="Arial Narrow" w:eastAsia="Arial Narrow" w:hAnsi="Arial Narrow" w:cs="Arial Narrow"/>
          <w:i/>
          <w:sz w:val="22"/>
          <w:szCs w:val="22"/>
          <w:u w:val="single"/>
        </w:rPr>
        <w:t>Es deber del Estado proteger la diversidad e integridad del ambiente</w:t>
      </w:r>
      <w:r>
        <w:rPr>
          <w:rFonts w:ascii="Arial Narrow" w:eastAsia="Arial Narrow" w:hAnsi="Arial Narrow" w:cs="Arial Narrow"/>
          <w:i/>
          <w:sz w:val="22"/>
          <w:szCs w:val="22"/>
        </w:rPr>
        <w:t xml:space="preserve">, conservar las áreas de especial importancia ecológica y fomentar la educación para el logro de estos fines.” </w:t>
      </w:r>
      <w:r>
        <w:rPr>
          <w:rFonts w:ascii="Arial Narrow" w:eastAsia="Arial Narrow" w:hAnsi="Arial Narrow" w:cs="Arial Narrow"/>
          <w:b/>
          <w:sz w:val="22"/>
          <w:szCs w:val="22"/>
        </w:rPr>
        <w:t>(Subrayado fuera de texto)</w:t>
      </w: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Así las cosas, la protección de los recursos naturales, así como la diversidad e integridad del ambiente (dentro de lo</w:t>
      </w:r>
      <w:r>
        <w:rPr>
          <w:rFonts w:ascii="Arial Narrow" w:eastAsia="Arial Narrow" w:hAnsi="Arial Narrow" w:cs="Arial Narrow"/>
          <w:sz w:val="22"/>
          <w:szCs w:val="22"/>
        </w:rPr>
        <w:t>s que se cuentan la fauna y la flora, entendiéndose como el conjunto de animales y plantas que crecen en un determinado territorio respectivamente), son un bien jurídico de especial protección constitucional. En ese sentido, la obligación de proteger la di</w:t>
      </w:r>
      <w:r>
        <w:rPr>
          <w:rFonts w:ascii="Arial Narrow" w:eastAsia="Arial Narrow" w:hAnsi="Arial Narrow" w:cs="Arial Narrow"/>
          <w:sz w:val="22"/>
          <w:szCs w:val="22"/>
        </w:rPr>
        <w:t xml:space="preserve">versidad del país y de los animales se encuentra en cabeza del estado, siendo el deber de este velar por su conservación, y en ese sentido adoptar medidas para garantizar su protección. </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En concordancia con lo anterior, la presente iniciativa tiene como f</w:t>
      </w:r>
      <w:r>
        <w:rPr>
          <w:rFonts w:ascii="Arial Narrow" w:eastAsia="Arial Narrow" w:hAnsi="Arial Narrow" w:cs="Arial Narrow"/>
          <w:sz w:val="22"/>
          <w:szCs w:val="22"/>
        </w:rPr>
        <w:t xml:space="preserve">inalidad la exclusión del Impuesto al Valor Agregado (IVA) de las preparaciones de los tipos utilizados para la alimentación de los animales domésticos de compañía, con el fin de reducir los gastos de manutención beneficiando directamente a todas aquellas </w:t>
      </w:r>
      <w:r>
        <w:rPr>
          <w:rFonts w:ascii="Arial Narrow" w:eastAsia="Arial Narrow" w:hAnsi="Arial Narrow" w:cs="Arial Narrow"/>
          <w:sz w:val="22"/>
          <w:szCs w:val="22"/>
        </w:rPr>
        <w:t>organizaciones que asisten animales y a las personas que tenedoras de animales domésticos de compañía, como un mecanismo de protección de los animales que se encuentra en cabeza del estado.</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b/>
          <w:sz w:val="22"/>
          <w:szCs w:val="22"/>
        </w:rPr>
      </w:pPr>
      <w:r>
        <w:rPr>
          <w:rFonts w:ascii="Arial Narrow" w:eastAsia="Arial Narrow" w:hAnsi="Arial Narrow" w:cs="Arial Narrow"/>
          <w:b/>
          <w:sz w:val="22"/>
          <w:szCs w:val="22"/>
        </w:rPr>
        <w:t>2.5.2. Marco Legal.</w:t>
      </w:r>
    </w:p>
    <w:p w:rsidR="007B5D61" w:rsidRDefault="007B5D61">
      <w:pPr>
        <w:ind w:right="-139"/>
        <w:jc w:val="both"/>
        <w:rPr>
          <w:rFonts w:ascii="Arial Narrow" w:eastAsia="Arial Narrow" w:hAnsi="Arial Narrow" w:cs="Arial Narrow"/>
          <w:b/>
          <w:sz w:val="22"/>
          <w:szCs w:val="22"/>
        </w:rPr>
      </w:pPr>
    </w:p>
    <w:p w:rsidR="007B5D61" w:rsidRDefault="00E062B9">
      <w:pPr>
        <w:spacing w:line="276" w:lineRule="auto"/>
        <w:ind w:right="-139"/>
        <w:jc w:val="both"/>
        <w:rPr>
          <w:rFonts w:ascii="Arial Narrow" w:eastAsia="Arial Narrow" w:hAnsi="Arial Narrow" w:cs="Arial Narrow"/>
          <w:sz w:val="22"/>
          <w:szCs w:val="22"/>
        </w:rPr>
      </w:pPr>
      <w:bookmarkStart w:id="30" w:name="_heading=h.odlf11bexm4" w:colFirst="0" w:colLast="0"/>
      <w:bookmarkEnd w:id="30"/>
      <w:r>
        <w:rPr>
          <w:rFonts w:ascii="Arial Narrow" w:eastAsia="Arial Narrow" w:hAnsi="Arial Narrow" w:cs="Arial Narrow"/>
          <w:sz w:val="22"/>
          <w:szCs w:val="22"/>
        </w:rPr>
        <w:t>El marco jurídico legal relacionado con la i</w:t>
      </w:r>
      <w:r>
        <w:rPr>
          <w:rFonts w:ascii="Arial Narrow" w:eastAsia="Arial Narrow" w:hAnsi="Arial Narrow" w:cs="Arial Narrow"/>
          <w:sz w:val="22"/>
          <w:szCs w:val="22"/>
        </w:rPr>
        <w:t>niciativa legislativa, se presenta a continuación:</w:t>
      </w:r>
    </w:p>
    <w:p w:rsidR="007B5D61" w:rsidRDefault="007B5D61">
      <w:pPr>
        <w:spacing w:line="276" w:lineRule="auto"/>
        <w:ind w:right="-139"/>
        <w:jc w:val="both"/>
        <w:rPr>
          <w:rFonts w:ascii="Arial Narrow" w:eastAsia="Arial Narrow" w:hAnsi="Arial Narrow" w:cs="Arial Narrow"/>
          <w:sz w:val="22"/>
          <w:szCs w:val="22"/>
        </w:rPr>
      </w:pPr>
      <w:bookmarkStart w:id="31" w:name="_heading=h.gnyqs3sr2f91" w:colFirst="0" w:colLast="0"/>
      <w:bookmarkEnd w:id="31"/>
    </w:p>
    <w:p w:rsidR="007B5D61" w:rsidRDefault="00E062B9">
      <w:pPr>
        <w:numPr>
          <w:ilvl w:val="0"/>
          <w:numId w:val="2"/>
        </w:numPr>
        <w:spacing w:line="276" w:lineRule="auto"/>
        <w:ind w:right="-139"/>
        <w:jc w:val="both"/>
        <w:rPr>
          <w:rFonts w:ascii="Arial" w:eastAsia="Arial" w:hAnsi="Arial" w:cs="Arial"/>
          <w:sz w:val="22"/>
          <w:szCs w:val="22"/>
        </w:rPr>
      </w:pPr>
      <w:bookmarkStart w:id="32" w:name="_heading=h.8n95rk33kucz" w:colFirst="0" w:colLast="0"/>
      <w:bookmarkEnd w:id="32"/>
      <w:r>
        <w:rPr>
          <w:rFonts w:ascii="Arial Narrow" w:eastAsia="Arial Narrow" w:hAnsi="Arial Narrow" w:cs="Arial Narrow"/>
          <w:b/>
          <w:sz w:val="22"/>
          <w:szCs w:val="22"/>
        </w:rPr>
        <w:t xml:space="preserve">Ley 2054 de 2020: </w:t>
      </w:r>
      <w:r>
        <w:rPr>
          <w:rFonts w:ascii="Arial Narrow" w:eastAsia="Arial Narrow" w:hAnsi="Arial Narrow" w:cs="Arial Narrow"/>
          <w:i/>
          <w:sz w:val="22"/>
          <w:szCs w:val="22"/>
        </w:rPr>
        <w:t>"Por el cual se modifica la ley 1801 de 2016 y se dictan otras disposiciones</w:t>
      </w:r>
      <w:r>
        <w:rPr>
          <w:rFonts w:ascii="Arial Narrow" w:eastAsia="Arial Narrow" w:hAnsi="Arial Narrow" w:cs="Arial Narrow"/>
          <w:sz w:val="22"/>
          <w:szCs w:val="22"/>
        </w:rPr>
        <w:t xml:space="preserve">". </w:t>
      </w:r>
    </w:p>
    <w:p w:rsidR="007B5D61" w:rsidRDefault="007B5D61">
      <w:pPr>
        <w:spacing w:line="276" w:lineRule="auto"/>
        <w:ind w:left="720" w:right="-139"/>
        <w:jc w:val="both"/>
        <w:rPr>
          <w:rFonts w:ascii="Arial Narrow" w:eastAsia="Arial Narrow" w:hAnsi="Arial Narrow" w:cs="Arial Narrow"/>
          <w:sz w:val="22"/>
          <w:szCs w:val="22"/>
        </w:rPr>
      </w:pPr>
      <w:bookmarkStart w:id="33" w:name="_heading=h.q8texbworitb" w:colFirst="0" w:colLast="0"/>
      <w:bookmarkEnd w:id="33"/>
    </w:p>
    <w:p w:rsidR="007B5D61" w:rsidRDefault="00E062B9">
      <w:pPr>
        <w:spacing w:line="276" w:lineRule="auto"/>
        <w:ind w:left="720" w:right="-139"/>
        <w:jc w:val="both"/>
        <w:rPr>
          <w:rFonts w:ascii="Arial Narrow" w:eastAsia="Arial Narrow" w:hAnsi="Arial Narrow" w:cs="Arial Narrow"/>
          <w:sz w:val="22"/>
          <w:szCs w:val="22"/>
        </w:rPr>
      </w:pPr>
      <w:bookmarkStart w:id="34" w:name="_heading=h.c3iebw650c5w" w:colFirst="0" w:colLast="0"/>
      <w:bookmarkEnd w:id="34"/>
      <w:r>
        <w:rPr>
          <w:rFonts w:ascii="Arial Narrow" w:eastAsia="Arial Narrow" w:hAnsi="Arial Narrow" w:cs="Arial Narrow"/>
          <w:sz w:val="22"/>
          <w:szCs w:val="22"/>
        </w:rPr>
        <w:t>Esta Ley trae disposiciones normativas que pretenden atenuar las consecuencias sociales, de maltrato anim</w:t>
      </w:r>
      <w:r>
        <w:rPr>
          <w:rFonts w:ascii="Arial Narrow" w:eastAsia="Arial Narrow" w:hAnsi="Arial Narrow" w:cs="Arial Narrow"/>
          <w:sz w:val="22"/>
          <w:szCs w:val="22"/>
        </w:rPr>
        <w:t>al y de salud pública derivadas del abandono, la pérdida, la desatención estatal y la tenencia irresponsable de los animales domésticos de compañía, a través del apoyo a refugios o fundaciones legalmente constituidas que reciban, rescaten, alberguen, ester</w:t>
      </w:r>
      <w:r>
        <w:rPr>
          <w:rFonts w:ascii="Arial Narrow" w:eastAsia="Arial Narrow" w:hAnsi="Arial Narrow" w:cs="Arial Narrow"/>
          <w:sz w:val="22"/>
          <w:szCs w:val="22"/>
        </w:rPr>
        <w:t xml:space="preserve">ilicen y entreguen </w:t>
      </w:r>
    </w:p>
    <w:p w:rsidR="007B5D61" w:rsidRDefault="007B5D61">
      <w:pPr>
        <w:spacing w:line="276" w:lineRule="auto"/>
        <w:ind w:left="720" w:right="-139"/>
        <w:jc w:val="both"/>
        <w:rPr>
          <w:rFonts w:ascii="Arial Narrow" w:eastAsia="Arial Narrow" w:hAnsi="Arial Narrow" w:cs="Arial Narrow"/>
          <w:sz w:val="22"/>
          <w:szCs w:val="22"/>
        </w:rPr>
      </w:pPr>
      <w:bookmarkStart w:id="35" w:name="_heading=h.i2kvqu41l4fq" w:colFirst="0" w:colLast="0"/>
      <w:bookmarkEnd w:id="35"/>
    </w:p>
    <w:p w:rsidR="007B5D61" w:rsidRDefault="007B5D61">
      <w:pPr>
        <w:spacing w:line="276" w:lineRule="auto"/>
        <w:ind w:left="720" w:right="-139"/>
        <w:jc w:val="both"/>
        <w:rPr>
          <w:rFonts w:ascii="Arial Narrow" w:eastAsia="Arial Narrow" w:hAnsi="Arial Narrow" w:cs="Arial Narrow"/>
          <w:sz w:val="22"/>
          <w:szCs w:val="22"/>
        </w:rPr>
      </w:pPr>
      <w:bookmarkStart w:id="36" w:name="_heading=h.vvnd0k6rker0" w:colFirst="0" w:colLast="0"/>
      <w:bookmarkEnd w:id="36"/>
    </w:p>
    <w:p w:rsidR="007B5D61" w:rsidRDefault="00E062B9">
      <w:pPr>
        <w:spacing w:line="276" w:lineRule="auto"/>
        <w:ind w:left="720" w:right="-139"/>
        <w:jc w:val="both"/>
        <w:rPr>
          <w:rFonts w:ascii="Arial Narrow" w:eastAsia="Arial Narrow" w:hAnsi="Arial Narrow" w:cs="Arial Narrow"/>
          <w:sz w:val="22"/>
          <w:szCs w:val="22"/>
        </w:rPr>
      </w:pPr>
      <w:bookmarkStart w:id="37" w:name="_heading=h.p9snwkcs61r3" w:colFirst="0" w:colLast="0"/>
      <w:bookmarkEnd w:id="37"/>
      <w:r>
        <w:rPr>
          <w:rFonts w:ascii="Arial Narrow" w:eastAsia="Arial Narrow" w:hAnsi="Arial Narrow" w:cs="Arial Narrow"/>
          <w:sz w:val="22"/>
          <w:szCs w:val="22"/>
        </w:rPr>
        <w:t>animales en adopción, mientras los distritos o municipios crean centros de bienestar para los animales domésticos perdidos, abandonados, rescatados, vulnerables, en riesgo o aprehendidos por la policía.</w:t>
      </w:r>
    </w:p>
    <w:p w:rsidR="007B5D61" w:rsidRDefault="007B5D61">
      <w:pPr>
        <w:spacing w:line="276" w:lineRule="auto"/>
        <w:ind w:left="720" w:right="-139"/>
        <w:jc w:val="both"/>
        <w:rPr>
          <w:rFonts w:ascii="Arial Narrow" w:eastAsia="Arial Narrow" w:hAnsi="Arial Narrow" w:cs="Arial Narrow"/>
          <w:sz w:val="22"/>
          <w:szCs w:val="22"/>
        </w:rPr>
      </w:pPr>
      <w:bookmarkStart w:id="38" w:name="_heading=h.9j9iz3n39z9b" w:colFirst="0" w:colLast="0"/>
      <w:bookmarkEnd w:id="38"/>
    </w:p>
    <w:p w:rsidR="007B5D61" w:rsidRDefault="00E062B9">
      <w:pPr>
        <w:spacing w:line="276" w:lineRule="auto"/>
        <w:ind w:left="720" w:right="-139"/>
        <w:jc w:val="both"/>
        <w:rPr>
          <w:rFonts w:ascii="Arial Narrow" w:eastAsia="Arial Narrow" w:hAnsi="Arial Narrow" w:cs="Arial Narrow"/>
          <w:sz w:val="22"/>
          <w:szCs w:val="22"/>
        </w:rPr>
      </w:pPr>
      <w:bookmarkStart w:id="39" w:name="_heading=h.tv7yfr85qdrk" w:colFirst="0" w:colLast="0"/>
      <w:bookmarkEnd w:id="39"/>
      <w:r>
        <w:rPr>
          <w:rFonts w:ascii="Arial Narrow" w:eastAsia="Arial Narrow" w:hAnsi="Arial Narrow" w:cs="Arial Narrow"/>
          <w:sz w:val="22"/>
          <w:szCs w:val="22"/>
        </w:rPr>
        <w:t xml:space="preserve">En esa medida, el presente proyecto de Ley contribuye a la eficacia de la Ley 2054 de 2020, ya que la disminución de los precios de los alimentos para los animales domésticos de compañía trae la consecuente mejoría del bienestar de los animales y el apoyo </w:t>
      </w:r>
      <w:r>
        <w:rPr>
          <w:rFonts w:ascii="Arial Narrow" w:eastAsia="Arial Narrow" w:hAnsi="Arial Narrow" w:cs="Arial Narrow"/>
          <w:sz w:val="22"/>
          <w:szCs w:val="22"/>
        </w:rPr>
        <w:t xml:space="preserve">económico para el funcionamiento de refugios y fundaciones, y de la economía de las familias colombianas. </w:t>
      </w:r>
    </w:p>
    <w:p w:rsidR="007B5D61" w:rsidRDefault="007B5D61">
      <w:pPr>
        <w:spacing w:line="276" w:lineRule="auto"/>
        <w:ind w:left="720" w:right="-139"/>
        <w:jc w:val="both"/>
        <w:rPr>
          <w:rFonts w:ascii="Arial Narrow" w:eastAsia="Arial Narrow" w:hAnsi="Arial Narrow" w:cs="Arial Narrow"/>
          <w:sz w:val="22"/>
          <w:szCs w:val="22"/>
        </w:rPr>
      </w:pPr>
      <w:bookmarkStart w:id="40" w:name="_heading=h.lekcs3sla4gp" w:colFirst="0" w:colLast="0"/>
      <w:bookmarkEnd w:id="40"/>
    </w:p>
    <w:p w:rsidR="007B5D61" w:rsidRDefault="00E062B9">
      <w:pPr>
        <w:numPr>
          <w:ilvl w:val="0"/>
          <w:numId w:val="8"/>
        </w:numPr>
        <w:spacing w:line="276" w:lineRule="auto"/>
        <w:ind w:right="-139"/>
        <w:jc w:val="both"/>
        <w:rPr>
          <w:sz w:val="22"/>
          <w:szCs w:val="22"/>
        </w:rPr>
      </w:pPr>
      <w:bookmarkStart w:id="41" w:name="_heading=h.ivsx32cpuw6s" w:colFirst="0" w:colLast="0"/>
      <w:bookmarkEnd w:id="41"/>
      <w:r>
        <w:rPr>
          <w:rFonts w:ascii="Arial Narrow" w:eastAsia="Arial Narrow" w:hAnsi="Arial Narrow" w:cs="Arial Narrow"/>
          <w:b/>
          <w:sz w:val="22"/>
          <w:szCs w:val="22"/>
        </w:rPr>
        <w:t>Ley 1774 de 2016.</w:t>
      </w:r>
      <w:r>
        <w:rPr>
          <w:rFonts w:ascii="Arial Narrow" w:eastAsia="Arial Narrow" w:hAnsi="Arial Narrow" w:cs="Arial Narrow"/>
          <w:sz w:val="22"/>
          <w:szCs w:val="22"/>
        </w:rPr>
        <w:t xml:space="preserve"> </w:t>
      </w:r>
      <w:r>
        <w:rPr>
          <w:rFonts w:ascii="Arial Narrow" w:eastAsia="Arial Narrow" w:hAnsi="Arial Narrow" w:cs="Arial Narrow"/>
          <w:i/>
          <w:sz w:val="22"/>
          <w:szCs w:val="22"/>
        </w:rPr>
        <w:t xml:space="preserve">“Por medio de la cual se modifican el Código Civil, la Ley 84 de 1989, el Código Penal, el Código de Procedimiento Penal y se dictan otras disposiciones". </w:t>
      </w:r>
    </w:p>
    <w:p w:rsidR="007B5D61" w:rsidRDefault="007B5D61">
      <w:pPr>
        <w:spacing w:line="276" w:lineRule="auto"/>
        <w:ind w:left="720" w:right="-139"/>
        <w:jc w:val="both"/>
        <w:rPr>
          <w:rFonts w:ascii="Arial Narrow" w:eastAsia="Arial Narrow" w:hAnsi="Arial Narrow" w:cs="Arial Narrow"/>
          <w:i/>
          <w:sz w:val="22"/>
          <w:szCs w:val="22"/>
        </w:rPr>
      </w:pPr>
      <w:bookmarkStart w:id="42" w:name="_heading=h.uufznn4sarbb" w:colFirst="0" w:colLast="0"/>
      <w:bookmarkEnd w:id="42"/>
    </w:p>
    <w:p w:rsidR="007B5D61" w:rsidRDefault="00E062B9">
      <w:pPr>
        <w:spacing w:line="276" w:lineRule="auto"/>
        <w:ind w:left="720" w:right="-139"/>
        <w:jc w:val="both"/>
        <w:rPr>
          <w:rFonts w:ascii="Arial Narrow" w:eastAsia="Arial Narrow" w:hAnsi="Arial Narrow" w:cs="Arial Narrow"/>
          <w:sz w:val="22"/>
          <w:szCs w:val="22"/>
        </w:rPr>
      </w:pPr>
      <w:bookmarkStart w:id="43" w:name="_heading=h.kg8mnhrl6tqd" w:colFirst="0" w:colLast="0"/>
      <w:bookmarkEnd w:id="43"/>
      <w:r>
        <w:rPr>
          <w:rFonts w:ascii="Arial Narrow" w:eastAsia="Arial Narrow" w:hAnsi="Arial Narrow" w:cs="Arial Narrow"/>
          <w:sz w:val="22"/>
          <w:szCs w:val="22"/>
        </w:rPr>
        <w:t>Esta Ley tipificó algunas conductas relacionadas con el maltrato a los animales. También define a l</w:t>
      </w:r>
      <w:r>
        <w:rPr>
          <w:rFonts w:ascii="Arial Narrow" w:eastAsia="Arial Narrow" w:hAnsi="Arial Narrow" w:cs="Arial Narrow"/>
          <w:sz w:val="22"/>
          <w:szCs w:val="22"/>
        </w:rPr>
        <w:t>os animales como seres sintientes sacándolos de la categoría de cosas, dándoles especial protección contra el sufrimiento y el dolor, en especial, el causado directa o indirectamente por los humanos.</w:t>
      </w:r>
    </w:p>
    <w:p w:rsidR="007B5D61" w:rsidRDefault="007B5D61">
      <w:pPr>
        <w:spacing w:line="276" w:lineRule="auto"/>
        <w:ind w:left="720" w:right="-139"/>
        <w:jc w:val="both"/>
        <w:rPr>
          <w:rFonts w:ascii="Arial Narrow" w:eastAsia="Arial Narrow" w:hAnsi="Arial Narrow" w:cs="Arial Narrow"/>
          <w:sz w:val="22"/>
          <w:szCs w:val="22"/>
        </w:rPr>
      </w:pPr>
      <w:bookmarkStart w:id="44" w:name="_heading=h.31ou7aougss0" w:colFirst="0" w:colLast="0"/>
      <w:bookmarkEnd w:id="44"/>
    </w:p>
    <w:p w:rsidR="007B5D61" w:rsidRDefault="00E062B9">
      <w:pPr>
        <w:spacing w:line="276" w:lineRule="auto"/>
        <w:ind w:left="720" w:right="-139"/>
        <w:jc w:val="both"/>
        <w:rPr>
          <w:rFonts w:ascii="Arial Narrow" w:eastAsia="Arial Narrow" w:hAnsi="Arial Narrow" w:cs="Arial Narrow"/>
          <w:sz w:val="22"/>
          <w:szCs w:val="22"/>
        </w:rPr>
      </w:pPr>
      <w:bookmarkStart w:id="45" w:name="_heading=h.q1xcmgto8skf" w:colFirst="0" w:colLast="0"/>
      <w:bookmarkEnd w:id="45"/>
      <w:r>
        <w:rPr>
          <w:rFonts w:ascii="Arial Narrow" w:eastAsia="Arial Narrow" w:hAnsi="Arial Narrow" w:cs="Arial Narrow"/>
          <w:sz w:val="22"/>
          <w:szCs w:val="22"/>
        </w:rPr>
        <w:t>El presente proyecto de Ley, busca eliminar un gravamen</w:t>
      </w:r>
      <w:r>
        <w:rPr>
          <w:rFonts w:ascii="Arial Narrow" w:eastAsia="Arial Narrow" w:hAnsi="Arial Narrow" w:cs="Arial Narrow"/>
          <w:sz w:val="22"/>
          <w:szCs w:val="22"/>
        </w:rPr>
        <w:t xml:space="preserve"> del 5% al insumo básico de la alimentación de muchos de los animales, concebidos como seres sintientes, en la misma lógica que guarda la Ley que tratamos en este punto, pues el Estado debe ofrecer garantías para que los tenedores de los animales tengan lo</w:t>
      </w:r>
      <w:r>
        <w:rPr>
          <w:rFonts w:ascii="Arial Narrow" w:eastAsia="Arial Narrow" w:hAnsi="Arial Narrow" w:cs="Arial Narrow"/>
          <w:sz w:val="22"/>
          <w:szCs w:val="22"/>
        </w:rPr>
        <w:t xml:space="preserve">s medios para suministrar la alimentación de ellos. </w:t>
      </w:r>
    </w:p>
    <w:p w:rsidR="007B5D61" w:rsidRDefault="007B5D61">
      <w:pPr>
        <w:spacing w:line="276" w:lineRule="auto"/>
        <w:ind w:left="720" w:right="-139"/>
        <w:jc w:val="both"/>
        <w:rPr>
          <w:rFonts w:ascii="Arial Narrow" w:eastAsia="Arial Narrow" w:hAnsi="Arial Narrow" w:cs="Arial Narrow"/>
          <w:sz w:val="22"/>
          <w:szCs w:val="22"/>
        </w:rPr>
      </w:pPr>
      <w:bookmarkStart w:id="46" w:name="_heading=h.qz0tbljfbxa6" w:colFirst="0" w:colLast="0"/>
      <w:bookmarkEnd w:id="46"/>
    </w:p>
    <w:p w:rsidR="007B5D61" w:rsidRDefault="00E062B9">
      <w:pPr>
        <w:numPr>
          <w:ilvl w:val="0"/>
          <w:numId w:val="1"/>
        </w:numPr>
        <w:spacing w:line="276" w:lineRule="auto"/>
        <w:ind w:right="-139"/>
        <w:jc w:val="both"/>
        <w:rPr>
          <w:rFonts w:ascii="Arial" w:eastAsia="Arial" w:hAnsi="Arial" w:cs="Arial"/>
          <w:sz w:val="22"/>
          <w:szCs w:val="22"/>
        </w:rPr>
      </w:pPr>
      <w:bookmarkStart w:id="47" w:name="_heading=h.pvxm4oktxlib" w:colFirst="0" w:colLast="0"/>
      <w:bookmarkEnd w:id="47"/>
      <w:r>
        <w:rPr>
          <w:rFonts w:ascii="Arial Narrow" w:eastAsia="Arial Narrow" w:hAnsi="Arial Narrow" w:cs="Arial Narrow"/>
          <w:b/>
          <w:sz w:val="22"/>
          <w:szCs w:val="22"/>
        </w:rPr>
        <w:t>Ley 84 de 1989.</w:t>
      </w:r>
      <w:r>
        <w:rPr>
          <w:rFonts w:ascii="Arial Narrow" w:eastAsia="Arial Narrow" w:hAnsi="Arial Narrow" w:cs="Arial Narrow"/>
          <w:sz w:val="22"/>
          <w:szCs w:val="22"/>
        </w:rPr>
        <w:t xml:space="preserve"> </w:t>
      </w:r>
      <w:r>
        <w:rPr>
          <w:rFonts w:ascii="Arial Narrow" w:eastAsia="Arial Narrow" w:hAnsi="Arial Narrow" w:cs="Arial Narrow"/>
          <w:i/>
          <w:sz w:val="22"/>
          <w:szCs w:val="22"/>
        </w:rPr>
        <w:t>“Por la cual se adopta el Estatuto Nacional de Protección de los Animales y se crean unas contravenciones y se regula lo referente a su procedimiento y competencia”</w:t>
      </w:r>
      <w:r>
        <w:rPr>
          <w:rFonts w:ascii="Arial Narrow" w:eastAsia="Arial Narrow" w:hAnsi="Arial Narrow" w:cs="Arial Narrow"/>
          <w:sz w:val="22"/>
          <w:szCs w:val="22"/>
        </w:rPr>
        <w:t>.</w:t>
      </w:r>
    </w:p>
    <w:p w:rsidR="007B5D61" w:rsidRDefault="007B5D61">
      <w:pPr>
        <w:spacing w:line="276" w:lineRule="auto"/>
        <w:ind w:left="720" w:right="-139"/>
        <w:jc w:val="both"/>
        <w:rPr>
          <w:rFonts w:ascii="Arial Narrow" w:eastAsia="Arial Narrow" w:hAnsi="Arial Narrow" w:cs="Arial Narrow"/>
          <w:sz w:val="22"/>
          <w:szCs w:val="22"/>
        </w:rPr>
      </w:pPr>
      <w:bookmarkStart w:id="48" w:name="_heading=h.v4gc0dezpgn" w:colFirst="0" w:colLast="0"/>
      <w:bookmarkEnd w:id="48"/>
    </w:p>
    <w:p w:rsidR="007B5D61" w:rsidRDefault="00E062B9">
      <w:pPr>
        <w:spacing w:line="276" w:lineRule="auto"/>
        <w:ind w:left="720" w:right="-139"/>
        <w:jc w:val="both"/>
        <w:rPr>
          <w:rFonts w:ascii="Arial Narrow" w:eastAsia="Arial Narrow" w:hAnsi="Arial Narrow" w:cs="Arial Narrow"/>
          <w:sz w:val="22"/>
          <w:szCs w:val="22"/>
        </w:rPr>
      </w:pPr>
      <w:bookmarkStart w:id="49" w:name="_heading=h.2jg67my3am1r" w:colFirst="0" w:colLast="0"/>
      <w:bookmarkEnd w:id="49"/>
      <w:r>
        <w:rPr>
          <w:rFonts w:ascii="Arial Narrow" w:eastAsia="Arial Narrow" w:hAnsi="Arial Narrow" w:cs="Arial Narrow"/>
          <w:sz w:val="22"/>
          <w:szCs w:val="22"/>
        </w:rPr>
        <w:t xml:space="preserve">Este Estatuto trae </w:t>
      </w:r>
      <w:r>
        <w:rPr>
          <w:rFonts w:ascii="Arial Narrow" w:eastAsia="Arial Narrow" w:hAnsi="Arial Narrow" w:cs="Arial Narrow"/>
          <w:sz w:val="22"/>
          <w:szCs w:val="22"/>
        </w:rPr>
        <w:t>disposiciones relacionadas con la protección de los animales donde se enumera una serie de conductas constitutivas de crueldad, los deberes correlativos de protección y prohibiciones. Por otra parte, cuenta con disposiciones relacionadas con sanciones a lo</w:t>
      </w:r>
      <w:r>
        <w:rPr>
          <w:rFonts w:ascii="Arial Narrow" w:eastAsia="Arial Narrow" w:hAnsi="Arial Narrow" w:cs="Arial Narrow"/>
          <w:sz w:val="22"/>
          <w:szCs w:val="22"/>
        </w:rPr>
        <w:t>s transgresores del Estatuto y señala un procedimiento administrativo y unas autoridades competentes.</w:t>
      </w:r>
    </w:p>
    <w:p w:rsidR="007B5D61" w:rsidRDefault="007B5D61">
      <w:pPr>
        <w:spacing w:line="276" w:lineRule="auto"/>
        <w:ind w:left="720" w:right="-139"/>
        <w:jc w:val="both"/>
        <w:rPr>
          <w:rFonts w:ascii="Arial Narrow" w:eastAsia="Arial Narrow" w:hAnsi="Arial Narrow" w:cs="Arial Narrow"/>
          <w:sz w:val="22"/>
          <w:szCs w:val="22"/>
        </w:rPr>
      </w:pPr>
      <w:bookmarkStart w:id="50" w:name="_heading=h.icf8llyq54jx" w:colFirst="0" w:colLast="0"/>
      <w:bookmarkEnd w:id="50"/>
    </w:p>
    <w:p w:rsidR="007B5D61" w:rsidRDefault="00E062B9">
      <w:pPr>
        <w:ind w:right="-139"/>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2.5.3. Jurisprudencia</w:t>
      </w:r>
    </w:p>
    <w:p w:rsidR="007B5D61" w:rsidRDefault="007B5D61">
      <w:pPr>
        <w:ind w:right="-139"/>
        <w:jc w:val="both"/>
        <w:rPr>
          <w:rFonts w:ascii="Arial Narrow" w:eastAsia="Arial Narrow" w:hAnsi="Arial Narrow" w:cs="Arial Narrow"/>
          <w:b/>
          <w:sz w:val="22"/>
          <w:szCs w:val="22"/>
        </w:rPr>
      </w:pPr>
    </w:p>
    <w:p w:rsidR="007B5D61" w:rsidRDefault="00E062B9">
      <w:pPr>
        <w:spacing w:line="276" w:lineRule="auto"/>
        <w:ind w:right="-139"/>
        <w:jc w:val="both"/>
        <w:rPr>
          <w:rFonts w:ascii="Arial Narrow" w:eastAsia="Arial Narrow" w:hAnsi="Arial Narrow" w:cs="Arial Narrow"/>
          <w:sz w:val="22"/>
          <w:szCs w:val="22"/>
        </w:rPr>
      </w:pPr>
      <w:bookmarkStart w:id="51" w:name="_heading=h.ov591hi9vkl3" w:colFirst="0" w:colLast="0"/>
      <w:bookmarkEnd w:id="51"/>
      <w:r>
        <w:rPr>
          <w:rFonts w:ascii="Arial Narrow" w:eastAsia="Arial Narrow" w:hAnsi="Arial Narrow" w:cs="Arial Narrow"/>
          <w:sz w:val="22"/>
          <w:szCs w:val="22"/>
        </w:rPr>
        <w:t>La Constitución Política establece diversos principios y mandatos que disponen la necesidad de proteger el ambiente, estas disposi</w:t>
      </w:r>
      <w:r>
        <w:rPr>
          <w:rFonts w:ascii="Arial Narrow" w:eastAsia="Arial Narrow" w:hAnsi="Arial Narrow" w:cs="Arial Narrow"/>
          <w:sz w:val="22"/>
          <w:szCs w:val="22"/>
        </w:rPr>
        <w:t xml:space="preserve">ciones normativas crean la “Constitución Verde o Ecológica” que se ha venido desarrollando jurisprudencialmente; en ese sentido, la Corte Constitucional se ha pronunciado indicando que:   </w:t>
      </w:r>
    </w:p>
    <w:p w:rsidR="007B5D61" w:rsidRDefault="007B5D61">
      <w:pPr>
        <w:spacing w:line="276" w:lineRule="auto"/>
        <w:ind w:right="-139"/>
        <w:jc w:val="both"/>
        <w:rPr>
          <w:rFonts w:ascii="Arial Narrow" w:eastAsia="Arial Narrow" w:hAnsi="Arial Narrow" w:cs="Arial Narrow"/>
          <w:sz w:val="22"/>
          <w:szCs w:val="22"/>
        </w:rPr>
      </w:pPr>
      <w:bookmarkStart w:id="52" w:name="_heading=h.l40i9dhjhd0j" w:colFirst="0" w:colLast="0"/>
      <w:bookmarkEnd w:id="52"/>
    </w:p>
    <w:p w:rsidR="007B5D61" w:rsidRDefault="00E062B9">
      <w:pPr>
        <w:spacing w:line="276" w:lineRule="auto"/>
        <w:ind w:left="720" w:right="-139"/>
        <w:jc w:val="both"/>
        <w:rPr>
          <w:rFonts w:ascii="Arial Narrow" w:eastAsia="Arial Narrow" w:hAnsi="Arial Narrow" w:cs="Arial Narrow"/>
          <w:i/>
          <w:sz w:val="22"/>
          <w:szCs w:val="22"/>
          <w:highlight w:val="white"/>
        </w:rPr>
      </w:pPr>
      <w:bookmarkStart w:id="53" w:name="_heading=h.ujoghpoc3mt5" w:colFirst="0" w:colLast="0"/>
      <w:bookmarkEnd w:id="53"/>
      <w:r>
        <w:rPr>
          <w:rFonts w:ascii="Arial Narrow" w:eastAsia="Arial Narrow" w:hAnsi="Arial Narrow" w:cs="Arial Narrow"/>
          <w:i/>
          <w:sz w:val="22"/>
          <w:szCs w:val="22"/>
          <w:highlight w:val="white"/>
        </w:rPr>
        <w:t>(...) la protección del ambiente sano tiene un carácter de interés</w:t>
      </w:r>
      <w:r>
        <w:rPr>
          <w:rFonts w:ascii="Arial Narrow" w:eastAsia="Arial Narrow" w:hAnsi="Arial Narrow" w:cs="Arial Narrow"/>
          <w:i/>
          <w:sz w:val="22"/>
          <w:szCs w:val="22"/>
          <w:highlight w:val="white"/>
        </w:rPr>
        <w:t xml:space="preserve"> superior en el ordenamiento jurídico colombiano, determinado por la misma Constitución de 1991, la cual, a través de su amplio catálogo de normas, que configuran la llamada constitución ecológica o verde, persigue el objetivo de proteger el ambiente con e</w:t>
      </w:r>
      <w:r>
        <w:rPr>
          <w:rFonts w:ascii="Arial Narrow" w:eastAsia="Arial Narrow" w:hAnsi="Arial Narrow" w:cs="Arial Narrow"/>
          <w:i/>
          <w:sz w:val="22"/>
          <w:szCs w:val="22"/>
          <w:highlight w:val="white"/>
        </w:rPr>
        <w:t xml:space="preserve">l fin de que la humanidad pueda vivir dentro de un entorno apto y adecuado que le permita desarrollar su existencia en condiciones dignas y con mayor calidad de vida. </w:t>
      </w:r>
      <w:r>
        <w:rPr>
          <w:rFonts w:ascii="Arial Narrow" w:eastAsia="Arial Narrow" w:hAnsi="Arial Narrow" w:cs="Arial Narrow"/>
          <w:i/>
          <w:sz w:val="22"/>
          <w:szCs w:val="22"/>
          <w:highlight w:val="white"/>
          <w:u w:val="single"/>
        </w:rPr>
        <w:t>La defensa del ambiente constituye un objetivo primordial dentro del Estado Social de Derecho, ya que constituye el contexto vital del ser humano, indispensable para su supervivencia y la de las generaciones futuras.</w:t>
      </w:r>
      <w:r>
        <w:rPr>
          <w:rFonts w:ascii="Arial Narrow" w:eastAsia="Arial Narrow" w:hAnsi="Arial Narrow" w:cs="Arial Narrow"/>
          <w:i/>
          <w:sz w:val="22"/>
          <w:szCs w:val="22"/>
          <w:highlight w:val="white"/>
        </w:rPr>
        <w:t xml:space="preserve"> (...)</w:t>
      </w:r>
      <w:r>
        <w:rPr>
          <w:rFonts w:ascii="Arial Narrow" w:eastAsia="Arial Narrow" w:hAnsi="Arial Narrow" w:cs="Arial Narrow"/>
          <w:i/>
          <w:sz w:val="22"/>
          <w:szCs w:val="22"/>
          <w:highlight w:val="white"/>
          <w:vertAlign w:val="superscript"/>
        </w:rPr>
        <w:footnoteReference w:id="17"/>
      </w:r>
    </w:p>
    <w:p w:rsidR="007B5D61" w:rsidRDefault="007B5D61">
      <w:pPr>
        <w:spacing w:line="276" w:lineRule="auto"/>
        <w:ind w:right="-139"/>
        <w:jc w:val="both"/>
        <w:rPr>
          <w:rFonts w:ascii="Arial Narrow" w:eastAsia="Arial Narrow" w:hAnsi="Arial Narrow" w:cs="Arial Narrow"/>
          <w:i/>
          <w:sz w:val="22"/>
          <w:szCs w:val="22"/>
          <w:highlight w:val="white"/>
        </w:rPr>
      </w:pPr>
      <w:bookmarkStart w:id="54" w:name="_heading=h.pg9j30au7dhi" w:colFirst="0" w:colLast="0"/>
      <w:bookmarkEnd w:id="54"/>
    </w:p>
    <w:p w:rsidR="007B5D61" w:rsidRDefault="00E062B9">
      <w:pPr>
        <w:spacing w:line="276" w:lineRule="auto"/>
        <w:ind w:right="-139"/>
        <w:jc w:val="both"/>
        <w:rPr>
          <w:rFonts w:ascii="Arial Narrow" w:eastAsia="Arial Narrow" w:hAnsi="Arial Narrow" w:cs="Arial Narrow"/>
          <w:sz w:val="22"/>
          <w:szCs w:val="22"/>
        </w:rPr>
      </w:pPr>
      <w:bookmarkStart w:id="55" w:name="_heading=h.4soulf78cre8" w:colFirst="0" w:colLast="0"/>
      <w:bookmarkEnd w:id="55"/>
      <w:r>
        <w:rPr>
          <w:rFonts w:ascii="Arial Narrow" w:eastAsia="Arial Narrow" w:hAnsi="Arial Narrow" w:cs="Arial Narrow"/>
          <w:sz w:val="22"/>
          <w:szCs w:val="22"/>
        </w:rPr>
        <w:t>En concordancia con lo anterior</w:t>
      </w:r>
      <w:r>
        <w:rPr>
          <w:rFonts w:ascii="Arial Narrow" w:eastAsia="Arial Narrow" w:hAnsi="Arial Narrow" w:cs="Arial Narrow"/>
          <w:sz w:val="22"/>
          <w:szCs w:val="22"/>
        </w:rPr>
        <w:t xml:space="preserve">, la Corte señala que: </w:t>
      </w:r>
    </w:p>
    <w:p w:rsidR="007B5D61" w:rsidRDefault="007B5D61">
      <w:pPr>
        <w:spacing w:line="276" w:lineRule="auto"/>
        <w:ind w:right="-139"/>
        <w:jc w:val="both"/>
        <w:rPr>
          <w:rFonts w:ascii="Arial Narrow" w:eastAsia="Arial Narrow" w:hAnsi="Arial Narrow" w:cs="Arial Narrow"/>
          <w:sz w:val="22"/>
          <w:szCs w:val="22"/>
        </w:rPr>
      </w:pPr>
      <w:bookmarkStart w:id="56" w:name="_heading=h.lshhknmfukdq" w:colFirst="0" w:colLast="0"/>
      <w:bookmarkEnd w:id="56"/>
    </w:p>
    <w:p w:rsidR="007B5D61" w:rsidRDefault="00E062B9">
      <w:pPr>
        <w:spacing w:line="276" w:lineRule="auto"/>
        <w:ind w:left="720" w:right="-139"/>
        <w:jc w:val="both"/>
        <w:rPr>
          <w:rFonts w:ascii="Arial Narrow" w:eastAsia="Arial Narrow" w:hAnsi="Arial Narrow" w:cs="Arial Narrow"/>
          <w:i/>
          <w:sz w:val="22"/>
          <w:szCs w:val="22"/>
          <w:highlight w:val="white"/>
        </w:rPr>
      </w:pPr>
      <w:bookmarkStart w:id="57" w:name="_heading=h.rcjwoeuiylqd" w:colFirst="0" w:colLast="0"/>
      <w:bookmarkEnd w:id="57"/>
      <w:r>
        <w:rPr>
          <w:rFonts w:ascii="Arial Narrow" w:eastAsia="Arial Narrow" w:hAnsi="Arial Narrow" w:cs="Arial Narrow"/>
          <w:sz w:val="22"/>
          <w:szCs w:val="22"/>
        </w:rPr>
        <w:t>(...) “</w:t>
      </w:r>
      <w:r>
        <w:rPr>
          <w:rFonts w:ascii="Arial Narrow" w:eastAsia="Arial Narrow" w:hAnsi="Arial Narrow" w:cs="Arial Narrow"/>
          <w:i/>
          <w:sz w:val="22"/>
          <w:szCs w:val="22"/>
          <w:highlight w:val="white"/>
          <w:u w:val="single"/>
        </w:rPr>
        <w:t>el mandato de protección a los animales proviene del principio de constitución ecológica</w:t>
      </w:r>
      <w:r>
        <w:rPr>
          <w:rFonts w:ascii="Arial Narrow" w:eastAsia="Arial Narrow" w:hAnsi="Arial Narrow" w:cs="Arial Narrow"/>
          <w:i/>
          <w:sz w:val="22"/>
          <w:szCs w:val="22"/>
          <w:highlight w:val="white"/>
        </w:rPr>
        <w:t>, de la función social de la propiedad y de la dignidad humana; y señaló que el Legislador y la Corte han considerado a los animales com</w:t>
      </w:r>
      <w:r>
        <w:rPr>
          <w:rFonts w:ascii="Arial Narrow" w:eastAsia="Arial Narrow" w:hAnsi="Arial Narrow" w:cs="Arial Narrow"/>
          <w:i/>
          <w:sz w:val="22"/>
          <w:szCs w:val="22"/>
          <w:highlight w:val="white"/>
        </w:rPr>
        <w:t xml:space="preserve">o seres sintientes.(...) </w:t>
      </w:r>
      <w:r>
        <w:rPr>
          <w:rFonts w:ascii="Arial Narrow" w:eastAsia="Arial Narrow" w:hAnsi="Arial Narrow" w:cs="Arial Narrow"/>
          <w:i/>
          <w:sz w:val="22"/>
          <w:szCs w:val="22"/>
          <w:highlight w:val="white"/>
          <w:vertAlign w:val="superscript"/>
        </w:rPr>
        <w:footnoteReference w:id="18"/>
      </w:r>
    </w:p>
    <w:p w:rsidR="007B5D61" w:rsidRDefault="007B5D61">
      <w:pPr>
        <w:spacing w:line="276" w:lineRule="auto"/>
        <w:ind w:left="720" w:right="-139"/>
        <w:jc w:val="both"/>
        <w:rPr>
          <w:rFonts w:ascii="Arial Narrow" w:eastAsia="Arial Narrow" w:hAnsi="Arial Narrow" w:cs="Arial Narrow"/>
          <w:i/>
          <w:sz w:val="22"/>
          <w:szCs w:val="22"/>
          <w:highlight w:val="white"/>
        </w:rPr>
      </w:pPr>
      <w:bookmarkStart w:id="58" w:name="_heading=h.4g7pewwmfalv" w:colFirst="0" w:colLast="0"/>
      <w:bookmarkEnd w:id="58"/>
    </w:p>
    <w:p w:rsidR="007B5D61" w:rsidRDefault="00E062B9">
      <w:pPr>
        <w:spacing w:line="276" w:lineRule="auto"/>
        <w:ind w:right="-139"/>
        <w:jc w:val="both"/>
        <w:rPr>
          <w:rFonts w:ascii="Arial Narrow" w:eastAsia="Arial Narrow" w:hAnsi="Arial Narrow" w:cs="Arial Narrow"/>
          <w:sz w:val="22"/>
          <w:szCs w:val="22"/>
        </w:rPr>
      </w:pPr>
      <w:bookmarkStart w:id="59" w:name="_heading=h.39e2p5sw190l" w:colFirst="0" w:colLast="0"/>
      <w:bookmarkEnd w:id="59"/>
      <w:r>
        <w:rPr>
          <w:rFonts w:ascii="Arial Narrow" w:eastAsia="Arial Narrow" w:hAnsi="Arial Narrow" w:cs="Arial Narrow"/>
          <w:sz w:val="22"/>
          <w:szCs w:val="22"/>
          <w:highlight w:val="white"/>
        </w:rPr>
        <w:t xml:space="preserve">Así las cosas, la protección de los animales está ligada a los mandatos constitucionales, que establecen que el Estado debe proteger la diversidad e integridad del ambiente. </w:t>
      </w:r>
      <w:r>
        <w:rPr>
          <w:rFonts w:ascii="Arial Narrow" w:eastAsia="Arial Narrow" w:hAnsi="Arial Narrow" w:cs="Arial Narrow"/>
          <w:sz w:val="22"/>
          <w:szCs w:val="22"/>
        </w:rPr>
        <w:t xml:space="preserve">Adicionalmente, la Corte Constitucional, en reiterada </w:t>
      </w:r>
      <w:r>
        <w:rPr>
          <w:rFonts w:ascii="Arial Narrow" w:eastAsia="Arial Narrow" w:hAnsi="Arial Narrow" w:cs="Arial Narrow"/>
          <w:sz w:val="22"/>
          <w:szCs w:val="22"/>
        </w:rPr>
        <w:t xml:space="preserve">jurisprudencia, ha realizado diversos pronunciamientos respecto a los animales domésticos, definiendolos como: </w:t>
      </w:r>
      <w:r>
        <w:rPr>
          <w:rFonts w:ascii="Arial Narrow" w:eastAsia="Arial Narrow" w:hAnsi="Arial Narrow" w:cs="Arial Narrow"/>
          <w:i/>
          <w:sz w:val="22"/>
          <w:szCs w:val="22"/>
          <w:highlight w:val="white"/>
        </w:rPr>
        <w:t>aquellos que pertenecen a especies que viven ordinariamente bajo la dependencia del hombre, como perros, gatos, etc</w:t>
      </w:r>
      <w:r>
        <w:rPr>
          <w:rFonts w:ascii="Arial Narrow" w:eastAsia="Arial Narrow" w:hAnsi="Arial Narrow" w:cs="Arial Narrow"/>
          <w:i/>
          <w:sz w:val="22"/>
          <w:szCs w:val="22"/>
        </w:rPr>
        <w:t xml:space="preserve"> </w:t>
      </w:r>
      <w:r>
        <w:rPr>
          <w:rFonts w:ascii="Arial Narrow" w:eastAsia="Arial Narrow" w:hAnsi="Arial Narrow" w:cs="Arial Narrow"/>
          <w:i/>
          <w:sz w:val="22"/>
          <w:szCs w:val="22"/>
          <w:vertAlign w:val="superscript"/>
        </w:rPr>
        <w:footnoteReference w:id="19"/>
      </w:r>
      <w:r>
        <w:rPr>
          <w:rFonts w:ascii="Arial Narrow" w:eastAsia="Arial Narrow" w:hAnsi="Arial Narrow" w:cs="Arial Narrow"/>
          <w:sz w:val="22"/>
          <w:szCs w:val="22"/>
        </w:rPr>
        <w:t xml:space="preserve">, de igual forma señala que </w:t>
      </w:r>
      <w:r>
        <w:rPr>
          <w:rFonts w:ascii="Arial Narrow" w:eastAsia="Arial Narrow" w:hAnsi="Arial Narrow" w:cs="Arial Narrow"/>
          <w:sz w:val="22"/>
          <w:szCs w:val="22"/>
        </w:rPr>
        <w:t>la relación que estos tienen con los seres humanos supone el ejercicio de derechos fundamentales. Frente a ello, la Corte en sentencia T-035 de 1997 estableció que:</w:t>
      </w:r>
    </w:p>
    <w:p w:rsidR="007B5D61" w:rsidRDefault="007B5D61">
      <w:pPr>
        <w:spacing w:line="276" w:lineRule="auto"/>
        <w:ind w:right="-139"/>
        <w:jc w:val="both"/>
        <w:rPr>
          <w:rFonts w:ascii="Arial Narrow" w:eastAsia="Arial Narrow" w:hAnsi="Arial Narrow" w:cs="Arial Narrow"/>
          <w:sz w:val="22"/>
          <w:szCs w:val="22"/>
        </w:rPr>
      </w:pPr>
      <w:bookmarkStart w:id="60" w:name="_heading=h.z3dvajgwivhk" w:colFirst="0" w:colLast="0"/>
      <w:bookmarkEnd w:id="60"/>
    </w:p>
    <w:p w:rsidR="007B5D61" w:rsidRDefault="00E062B9">
      <w:pPr>
        <w:spacing w:line="276" w:lineRule="auto"/>
        <w:ind w:left="720" w:right="-139"/>
        <w:jc w:val="both"/>
        <w:rPr>
          <w:rFonts w:ascii="Arial Narrow" w:eastAsia="Arial Narrow" w:hAnsi="Arial Narrow" w:cs="Arial Narrow"/>
          <w:i/>
          <w:sz w:val="22"/>
          <w:szCs w:val="22"/>
        </w:rPr>
      </w:pPr>
      <w:bookmarkStart w:id="61" w:name="_heading=h.gbfbhc257sjt" w:colFirst="0" w:colLast="0"/>
      <w:bookmarkEnd w:id="61"/>
      <w:r>
        <w:rPr>
          <w:rFonts w:ascii="Arial Narrow" w:eastAsia="Arial Narrow" w:hAnsi="Arial Narrow" w:cs="Arial Narrow"/>
          <w:i/>
          <w:sz w:val="22"/>
          <w:szCs w:val="22"/>
          <w:highlight w:val="white"/>
        </w:rPr>
        <w:t>(...) La Sala estima que</w:t>
      </w:r>
      <w:r>
        <w:rPr>
          <w:rFonts w:ascii="Arial Narrow" w:eastAsia="Arial Narrow" w:hAnsi="Arial Narrow" w:cs="Arial Narrow"/>
          <w:i/>
          <w:sz w:val="22"/>
          <w:szCs w:val="22"/>
          <w:highlight w:val="white"/>
          <w:u w:val="single"/>
        </w:rPr>
        <w:t xml:space="preserve"> el mantenimiento de un animal doméstico</w:t>
      </w:r>
      <w:r>
        <w:rPr>
          <w:rFonts w:ascii="Arial Narrow" w:eastAsia="Arial Narrow" w:hAnsi="Arial Narrow" w:cs="Arial Narrow"/>
          <w:i/>
          <w:sz w:val="22"/>
          <w:szCs w:val="22"/>
          <w:highlight w:val="white"/>
        </w:rPr>
        <w:t>, como el caso de un perro, en el lugar de habitación, (...)</w:t>
      </w:r>
      <w:r>
        <w:rPr>
          <w:rFonts w:ascii="Arial Narrow" w:eastAsia="Arial Narrow" w:hAnsi="Arial Narrow" w:cs="Arial Narrow"/>
          <w:i/>
          <w:sz w:val="22"/>
          <w:szCs w:val="22"/>
          <w:highlight w:val="white"/>
          <w:u w:val="single"/>
        </w:rPr>
        <w:t xml:space="preserve"> constituye un claro desarrollo del derecho al libre desarrollo de la personalidad (C.P, art.16) y a la intimidad personal y familiar (C.P., </w:t>
      </w:r>
      <w:r>
        <w:rPr>
          <w:rFonts w:ascii="Arial Narrow" w:eastAsia="Arial Narrow" w:hAnsi="Arial Narrow" w:cs="Arial Narrow"/>
          <w:i/>
          <w:sz w:val="22"/>
          <w:szCs w:val="22"/>
          <w:highlight w:val="white"/>
        </w:rPr>
        <w:t>art.15) que el Estado debe respetar, como medio para qu</w:t>
      </w:r>
      <w:r>
        <w:rPr>
          <w:rFonts w:ascii="Arial Narrow" w:eastAsia="Arial Narrow" w:hAnsi="Arial Narrow" w:cs="Arial Narrow"/>
          <w:i/>
          <w:sz w:val="22"/>
          <w:szCs w:val="22"/>
          <w:highlight w:val="white"/>
        </w:rPr>
        <w:t xml:space="preserve">e el ser humano exprese su autonomía y sin más limitaciones que las que imponen los derechos de los demás y el orden jurídico. (...) </w:t>
      </w:r>
    </w:p>
    <w:p w:rsidR="007B5D61" w:rsidRDefault="007B5D61">
      <w:pPr>
        <w:spacing w:line="276" w:lineRule="auto"/>
        <w:ind w:right="-139"/>
        <w:jc w:val="both"/>
        <w:rPr>
          <w:rFonts w:ascii="Arial Narrow" w:eastAsia="Arial Narrow" w:hAnsi="Arial Narrow" w:cs="Arial Narrow"/>
          <w:sz w:val="22"/>
          <w:szCs w:val="22"/>
        </w:rPr>
      </w:pPr>
      <w:bookmarkStart w:id="62" w:name="_heading=h.2dpw01t6am3e" w:colFirst="0" w:colLast="0"/>
      <w:bookmarkEnd w:id="62"/>
    </w:p>
    <w:p w:rsidR="007B5D61" w:rsidRDefault="00E062B9">
      <w:pPr>
        <w:spacing w:line="276" w:lineRule="auto"/>
        <w:ind w:right="-139"/>
        <w:jc w:val="both"/>
        <w:rPr>
          <w:rFonts w:ascii="Arial Narrow" w:eastAsia="Arial Narrow" w:hAnsi="Arial Narrow" w:cs="Arial Narrow"/>
          <w:sz w:val="22"/>
          <w:szCs w:val="22"/>
        </w:rPr>
      </w:pPr>
      <w:bookmarkStart w:id="63" w:name="_heading=h.lqptbo9fdfxr" w:colFirst="0" w:colLast="0"/>
      <w:bookmarkEnd w:id="63"/>
      <w:r>
        <w:rPr>
          <w:rFonts w:ascii="Arial Narrow" w:eastAsia="Arial Narrow" w:hAnsi="Arial Narrow" w:cs="Arial Narrow"/>
          <w:sz w:val="22"/>
          <w:szCs w:val="22"/>
        </w:rPr>
        <w:t>En ese sentido, la Corte establece que existe un vínculo entre los animales domésticos, que se genera con con su propieta</w:t>
      </w:r>
      <w:r>
        <w:rPr>
          <w:rFonts w:ascii="Arial Narrow" w:eastAsia="Arial Narrow" w:hAnsi="Arial Narrow" w:cs="Arial Narrow"/>
          <w:sz w:val="22"/>
          <w:szCs w:val="22"/>
        </w:rPr>
        <w:t>rio o tenedor, que resulta en el origen de diversos derechos fundamentales, en ese sentido, la Corte reconoce la importancia que tienen los animales domésticos en la vida del ser humano que en diversos casos los consideran parte de su familia.</w:t>
      </w:r>
    </w:p>
    <w:p w:rsidR="007B5D61" w:rsidRDefault="007B5D61">
      <w:pPr>
        <w:spacing w:line="276" w:lineRule="auto"/>
        <w:ind w:right="-139"/>
        <w:jc w:val="both"/>
        <w:rPr>
          <w:rFonts w:ascii="Arial Narrow" w:eastAsia="Arial Narrow" w:hAnsi="Arial Narrow" w:cs="Arial Narrow"/>
          <w:sz w:val="22"/>
          <w:szCs w:val="22"/>
        </w:rPr>
      </w:pPr>
      <w:bookmarkStart w:id="64" w:name="_heading=h.fhnyr65htyme" w:colFirst="0" w:colLast="0"/>
      <w:bookmarkEnd w:id="64"/>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Por otra pa</w:t>
      </w:r>
      <w:r>
        <w:rPr>
          <w:rFonts w:ascii="Arial Narrow" w:eastAsia="Arial Narrow" w:hAnsi="Arial Narrow" w:cs="Arial Narrow"/>
          <w:sz w:val="22"/>
          <w:szCs w:val="22"/>
        </w:rPr>
        <w:t>rte, hay que resaltar la fauna, entendida como todos los animales que hacen parte de un determinado territorio, es protegida constitucionalmente cuando la Constitución establece que es deber del estado proteger el ambiente, frente a ello, mediante sentenci</w:t>
      </w:r>
      <w:r>
        <w:rPr>
          <w:rFonts w:ascii="Arial Narrow" w:eastAsia="Arial Narrow" w:hAnsi="Arial Narrow" w:cs="Arial Narrow"/>
          <w:sz w:val="22"/>
          <w:szCs w:val="22"/>
        </w:rPr>
        <w:t>a C-066-10, la Corte sostiene que:</w:t>
      </w:r>
    </w:p>
    <w:p w:rsidR="007B5D61" w:rsidRDefault="007B5D61">
      <w:pPr>
        <w:ind w:right="-139"/>
        <w:jc w:val="both"/>
        <w:rPr>
          <w:rFonts w:ascii="Arial Narrow" w:eastAsia="Arial Narrow" w:hAnsi="Arial Narrow" w:cs="Arial Narrow"/>
          <w:sz w:val="22"/>
          <w:szCs w:val="22"/>
        </w:rPr>
      </w:pPr>
    </w:p>
    <w:p w:rsidR="007B5D61" w:rsidRDefault="00E062B9">
      <w:pPr>
        <w:ind w:left="720" w:right="-139"/>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 “el concepto protegido como parte del ambiente es la fauna, siendo ésta “el conjunto de animales de un país o región”; </w:t>
      </w:r>
      <w:r>
        <w:rPr>
          <w:rFonts w:ascii="Arial Narrow" w:eastAsia="Arial Narrow" w:hAnsi="Arial Narrow" w:cs="Arial Narrow"/>
          <w:i/>
          <w:sz w:val="22"/>
          <w:szCs w:val="22"/>
          <w:u w:val="single"/>
        </w:rPr>
        <w:t>la protección que se deriva de la Constitución supera la anacrónica visión de los animales como cosas animadas, para reconocer la importancia que éstos tienen dentro del entorno en que habitan las personas, no simplemente como fuentes de recursos útiles al</w:t>
      </w:r>
      <w:r>
        <w:rPr>
          <w:rFonts w:ascii="Arial Narrow" w:eastAsia="Arial Narrow" w:hAnsi="Arial Narrow" w:cs="Arial Narrow"/>
          <w:i/>
          <w:sz w:val="22"/>
          <w:szCs w:val="22"/>
          <w:u w:val="single"/>
        </w:rPr>
        <w:t xml:space="preserve"> hombre, sino en cuanto seres sintientes</w:t>
      </w:r>
      <w:r>
        <w:rPr>
          <w:rFonts w:ascii="Arial Narrow" w:eastAsia="Arial Narrow" w:hAnsi="Arial Narrow" w:cs="Arial Narrow"/>
          <w:i/>
          <w:sz w:val="22"/>
          <w:szCs w:val="22"/>
        </w:rPr>
        <w:t xml:space="preserve"> que forman parte del contexto en que se desarrolla la vida de los principales sujetos del ordenamiento jurídico: los seres humanos.(...)</w:t>
      </w:r>
      <w:r>
        <w:rPr>
          <w:rFonts w:ascii="Arial Narrow" w:eastAsia="Arial Narrow" w:hAnsi="Arial Narrow" w:cs="Arial Narrow"/>
          <w:i/>
          <w:sz w:val="22"/>
          <w:szCs w:val="22"/>
          <w:vertAlign w:val="superscript"/>
        </w:rPr>
        <w:footnoteReference w:id="20"/>
      </w:r>
      <w:r>
        <w:rPr>
          <w:rFonts w:ascii="Arial Narrow" w:eastAsia="Arial Narrow" w:hAnsi="Arial Narrow" w:cs="Arial Narrow"/>
          <w:i/>
          <w:sz w:val="22"/>
          <w:szCs w:val="22"/>
        </w:rPr>
        <w:t xml:space="preserve"> </w:t>
      </w:r>
      <w:r>
        <w:rPr>
          <w:rFonts w:ascii="Arial Narrow" w:eastAsia="Arial Narrow" w:hAnsi="Arial Narrow" w:cs="Arial Narrow"/>
          <w:b/>
          <w:sz w:val="22"/>
          <w:szCs w:val="22"/>
        </w:rPr>
        <w:t>(Subrayado fuera de texto)</w:t>
      </w:r>
    </w:p>
    <w:p w:rsidR="007B5D61" w:rsidRDefault="007B5D61">
      <w:pPr>
        <w:ind w:right="-139"/>
        <w:jc w:val="both"/>
        <w:rPr>
          <w:rFonts w:ascii="Arial Narrow" w:eastAsia="Arial Narrow" w:hAnsi="Arial Narrow" w:cs="Arial Narrow"/>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De igual forma, en la misma sentencia, la Corte i</w:t>
      </w:r>
      <w:r>
        <w:rPr>
          <w:rFonts w:ascii="Arial Narrow" w:eastAsia="Arial Narrow" w:hAnsi="Arial Narrow" w:cs="Arial Narrow"/>
          <w:sz w:val="22"/>
          <w:szCs w:val="22"/>
        </w:rPr>
        <w:t xml:space="preserve">ndica que con base en el concepto de dignidad humana, se generan no solo derechos sino obligaciones de la persona frente a el trato digno que la misma debe otorgar frente a los animales, en ese sentido, la Corte afirma que: </w:t>
      </w:r>
    </w:p>
    <w:p w:rsidR="007B5D61" w:rsidRDefault="007B5D61">
      <w:pPr>
        <w:ind w:right="-139"/>
        <w:jc w:val="both"/>
        <w:rPr>
          <w:rFonts w:ascii="Arial Narrow" w:eastAsia="Arial Narrow" w:hAnsi="Arial Narrow" w:cs="Arial Narrow"/>
          <w:sz w:val="22"/>
          <w:szCs w:val="22"/>
        </w:rPr>
      </w:pPr>
    </w:p>
    <w:p w:rsidR="007B5D61" w:rsidRDefault="00E062B9">
      <w:pPr>
        <w:ind w:left="720" w:right="-139"/>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 Es este aspecto </w:t>
      </w:r>
      <w:r>
        <w:rPr>
          <w:rFonts w:ascii="Arial Narrow" w:eastAsia="Arial Narrow" w:hAnsi="Arial Narrow" w:cs="Arial Narrow"/>
          <w:i/>
          <w:sz w:val="22"/>
          <w:szCs w:val="22"/>
          <w:u w:val="single"/>
        </w:rPr>
        <w:t xml:space="preserve">la raíz </w:t>
      </w:r>
      <w:r>
        <w:rPr>
          <w:rFonts w:ascii="Arial Narrow" w:eastAsia="Arial Narrow" w:hAnsi="Arial Narrow" w:cs="Arial Narrow"/>
          <w:i/>
          <w:sz w:val="22"/>
          <w:szCs w:val="22"/>
          <w:u w:val="single"/>
        </w:rPr>
        <w:t>del vínculo en la relación entre dignidad y protección a los animales: el hecho de que sean seres sintientes que pueden ser afectados por los actos de las personas</w:t>
      </w:r>
      <w:r>
        <w:rPr>
          <w:rFonts w:ascii="Arial Narrow" w:eastAsia="Arial Narrow" w:hAnsi="Arial Narrow" w:cs="Arial Narrow"/>
          <w:i/>
          <w:sz w:val="22"/>
          <w:szCs w:val="22"/>
        </w:rPr>
        <w:t>. En otras palabras, la posibilidad de que se vean afectados por tratos crueles, por acciones</w:t>
      </w:r>
      <w:r>
        <w:rPr>
          <w:rFonts w:ascii="Arial Narrow" w:eastAsia="Arial Narrow" w:hAnsi="Arial Narrow" w:cs="Arial Narrow"/>
          <w:i/>
          <w:sz w:val="22"/>
          <w:szCs w:val="22"/>
        </w:rPr>
        <w:t xml:space="preserve"> que comportan maltrato, por hechos que los torturen o angustien obliga a que las acciones que respecto de ellos se realicen por parte de los seres humanos sean expresión del comportamiento digno que hacia ellos deben tener seres dignos. En efecto, l</w:t>
      </w:r>
      <w:r>
        <w:rPr>
          <w:rFonts w:ascii="Arial Narrow" w:eastAsia="Arial Narrow" w:hAnsi="Arial Narrow" w:cs="Arial Narrow"/>
          <w:i/>
          <w:sz w:val="22"/>
          <w:szCs w:val="22"/>
          <w:u w:val="single"/>
        </w:rPr>
        <w:t>a supe</w:t>
      </w:r>
      <w:r>
        <w:rPr>
          <w:rFonts w:ascii="Arial Narrow" w:eastAsia="Arial Narrow" w:hAnsi="Arial Narrow" w:cs="Arial Narrow"/>
          <w:i/>
          <w:sz w:val="22"/>
          <w:szCs w:val="22"/>
          <w:u w:val="single"/>
        </w:rPr>
        <w:t>rioridad racional –moral- del hombre no puede significar la ausencia de límites para causar sufrimiento, dolor o angustia a seres sintientes</w:t>
      </w:r>
      <w:r>
        <w:rPr>
          <w:rFonts w:ascii="Arial Narrow" w:eastAsia="Arial Narrow" w:hAnsi="Arial Narrow" w:cs="Arial Narrow"/>
          <w:i/>
          <w:sz w:val="22"/>
          <w:szCs w:val="22"/>
        </w:rPr>
        <w:t xml:space="preserve"> no humanos. (...)</w:t>
      </w:r>
      <w:r>
        <w:rPr>
          <w:rFonts w:ascii="Arial Narrow" w:eastAsia="Arial Narrow" w:hAnsi="Arial Narrow" w:cs="Arial Narrow"/>
          <w:i/>
          <w:sz w:val="22"/>
          <w:szCs w:val="22"/>
          <w:vertAlign w:val="superscript"/>
        </w:rPr>
        <w:footnoteReference w:id="21"/>
      </w:r>
      <w:r>
        <w:rPr>
          <w:rFonts w:ascii="Arial Narrow" w:eastAsia="Arial Narrow" w:hAnsi="Arial Narrow" w:cs="Arial Narrow"/>
          <w:i/>
          <w:sz w:val="22"/>
          <w:szCs w:val="22"/>
        </w:rPr>
        <w:t xml:space="preserve">  </w:t>
      </w:r>
      <w:r>
        <w:rPr>
          <w:rFonts w:ascii="Arial Narrow" w:eastAsia="Arial Narrow" w:hAnsi="Arial Narrow" w:cs="Arial Narrow"/>
          <w:b/>
          <w:sz w:val="22"/>
          <w:szCs w:val="22"/>
        </w:rPr>
        <w:t>(Subrayado fuera de texto)</w:t>
      </w:r>
    </w:p>
    <w:p w:rsidR="007B5D61" w:rsidRDefault="007B5D61">
      <w:pPr>
        <w:ind w:left="720" w:right="-139"/>
        <w:jc w:val="both"/>
        <w:rPr>
          <w:rFonts w:ascii="Arial Narrow" w:eastAsia="Arial Narrow" w:hAnsi="Arial Narrow" w:cs="Arial Narrow"/>
          <w:i/>
          <w:sz w:val="22"/>
          <w:szCs w:val="22"/>
        </w:rPr>
      </w:pPr>
    </w:p>
    <w:p w:rsidR="007B5D61" w:rsidRDefault="00E062B9">
      <w:pPr>
        <w:ind w:right="-139"/>
        <w:jc w:val="both"/>
        <w:rPr>
          <w:rFonts w:ascii="Arial Narrow" w:eastAsia="Arial Narrow" w:hAnsi="Arial Narrow" w:cs="Arial Narrow"/>
          <w:sz w:val="22"/>
          <w:szCs w:val="22"/>
        </w:rPr>
      </w:pPr>
      <w:r>
        <w:rPr>
          <w:rFonts w:ascii="Arial Narrow" w:eastAsia="Arial Narrow" w:hAnsi="Arial Narrow" w:cs="Arial Narrow"/>
          <w:sz w:val="22"/>
          <w:szCs w:val="22"/>
        </w:rPr>
        <w:t>Así las cosas, es deber del Estado proteger la vida de los animales</w:t>
      </w:r>
      <w:r>
        <w:rPr>
          <w:rFonts w:ascii="Arial Narrow" w:eastAsia="Arial Narrow" w:hAnsi="Arial Narrow" w:cs="Arial Narrow"/>
          <w:sz w:val="22"/>
          <w:szCs w:val="22"/>
        </w:rPr>
        <w:t xml:space="preserve"> como seres sintientes que viven en nuestro entorno y en línea con ello debe crear mecanismos que velen por su protección. Esta obligación va de la mano con la obligación de toda persona de tratar de manera digna a los animales en ejercicio de su dignidad,</w:t>
      </w:r>
      <w:r>
        <w:rPr>
          <w:rFonts w:ascii="Arial Narrow" w:eastAsia="Arial Narrow" w:hAnsi="Arial Narrow" w:cs="Arial Narrow"/>
          <w:sz w:val="22"/>
          <w:szCs w:val="22"/>
        </w:rPr>
        <w:t xml:space="preserve"> ejerce un trato digno frente a los demás, entendiendo este concepto no sólo frente a otras personas sino también frente a los animales. En ese sentido, esta iniciativa pretende que la exclusión del pago del IVA de las preparaciones de los tipos utilizados</w:t>
      </w:r>
      <w:r>
        <w:rPr>
          <w:rFonts w:ascii="Arial Narrow" w:eastAsia="Arial Narrow" w:hAnsi="Arial Narrow" w:cs="Arial Narrow"/>
          <w:sz w:val="22"/>
          <w:szCs w:val="22"/>
        </w:rPr>
        <w:t xml:space="preserve"> para la alimentación de los animales domésticos de compañía, salvaguarde los derechos de los animales como consecuencia del trato digno que deben recibir por parte de las personas. </w:t>
      </w:r>
    </w:p>
    <w:p w:rsidR="007B5D61" w:rsidRDefault="007B5D61">
      <w:pPr>
        <w:pBdr>
          <w:top w:val="nil"/>
          <w:left w:val="nil"/>
          <w:bottom w:val="nil"/>
          <w:right w:val="nil"/>
          <w:between w:val="nil"/>
        </w:pBdr>
        <w:ind w:right="4"/>
        <w:jc w:val="both"/>
        <w:rPr>
          <w:rFonts w:ascii="Arial Narrow" w:eastAsia="Arial Narrow" w:hAnsi="Arial Narrow" w:cs="Arial Narrow"/>
          <w:b/>
          <w:color w:val="000000"/>
          <w:sz w:val="22"/>
          <w:szCs w:val="22"/>
          <w:highlight w:val="yellow"/>
        </w:rPr>
      </w:pPr>
      <w:bookmarkStart w:id="65" w:name="_heading=h.2jxsxqh" w:colFirst="0" w:colLast="0"/>
      <w:bookmarkEnd w:id="65"/>
    </w:p>
    <w:p w:rsidR="007B5D61" w:rsidRDefault="007B5D61">
      <w:pPr>
        <w:rPr>
          <w:rFonts w:ascii="Arial Narrow" w:eastAsia="Arial Narrow" w:hAnsi="Arial Narrow" w:cs="Arial Narrow"/>
          <w:sz w:val="22"/>
          <w:szCs w:val="22"/>
          <w:highlight w:val="yellow"/>
        </w:rPr>
      </w:pPr>
    </w:p>
    <w:p w:rsidR="007B5D61" w:rsidRDefault="00E062B9">
      <w:pPr>
        <w:numPr>
          <w:ilvl w:val="0"/>
          <w:numId w:val="6"/>
        </w:numPr>
        <w:pBdr>
          <w:top w:val="nil"/>
          <w:left w:val="nil"/>
          <w:bottom w:val="nil"/>
          <w:right w:val="nil"/>
          <w:between w:val="nil"/>
        </w:pBdr>
        <w:rPr>
          <w:rFonts w:ascii="Arial Narrow" w:eastAsia="Arial Narrow" w:hAnsi="Arial Narrow" w:cs="Arial Narrow"/>
          <w:b/>
          <w:color w:val="000000"/>
          <w:sz w:val="22"/>
          <w:szCs w:val="22"/>
        </w:rPr>
      </w:pPr>
      <w:bookmarkStart w:id="66" w:name="_heading=h.z337ya" w:colFirst="0" w:colLast="0"/>
      <w:bookmarkEnd w:id="66"/>
      <w:r>
        <w:rPr>
          <w:rFonts w:ascii="Arial Narrow" w:eastAsia="Arial Narrow" w:hAnsi="Arial Narrow" w:cs="Arial Narrow"/>
          <w:b/>
          <w:sz w:val="22"/>
          <w:szCs w:val="22"/>
        </w:rPr>
        <w:t xml:space="preserve">CONFLICTOS DE INTERESES – ARTÍCULO 291 DE LA LEY 5 DE 1992 </w:t>
      </w:r>
    </w:p>
    <w:p w:rsidR="007B5D61" w:rsidRDefault="007B5D61">
      <w:pPr>
        <w:jc w:val="both"/>
        <w:rPr>
          <w:rFonts w:ascii="Arial Narrow" w:eastAsia="Arial Narrow" w:hAnsi="Arial Narrow" w:cs="Arial Narrow"/>
          <w:b/>
          <w:sz w:val="22"/>
          <w:szCs w:val="22"/>
        </w:rPr>
      </w:pPr>
    </w:p>
    <w:p w:rsidR="007B5D61" w:rsidRDefault="00E062B9">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w:t>
      </w:r>
      <w:r>
        <w:rPr>
          <w:rFonts w:ascii="Arial Narrow" w:eastAsia="Arial Narrow" w:hAnsi="Arial Narrow" w:cs="Arial Narrow"/>
          <w:sz w:val="22"/>
          <w:szCs w:val="22"/>
        </w:rPr>
        <w:t xml:space="preserve">a su consideración, y que la Ley determinará lo relacionado con los conflictos de intereses y las recusaciones. </w:t>
      </w:r>
    </w:p>
    <w:p w:rsidR="007B5D61" w:rsidRDefault="00E062B9">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En consecuencia, el artículo 286 de la Ley 5 de 1992, modificado por la Ley 2033 de 2009, definió lo relativo al Régimen de Conflicto de Interé</w:t>
      </w:r>
      <w:r>
        <w:rPr>
          <w:rFonts w:ascii="Arial Narrow" w:eastAsia="Arial Narrow" w:hAnsi="Arial Narrow" w:cs="Arial Narrow"/>
          <w:sz w:val="22"/>
          <w:szCs w:val="22"/>
        </w:rPr>
        <w:t>s de los Congresistas, en ese sentido dispuso:</w:t>
      </w: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 Se entiende como conflicto de interés una situación donde la discusión o votación de un proyecto de ley o acto legislativo o artículo, pueda resultar en un beneficio particular, actual y directo a favor</w:t>
      </w:r>
      <w:r>
        <w:rPr>
          <w:rFonts w:ascii="Arial Narrow" w:eastAsia="Arial Narrow" w:hAnsi="Arial Narrow" w:cs="Arial Narrow"/>
          <w:i/>
          <w:sz w:val="22"/>
          <w:szCs w:val="22"/>
        </w:rPr>
        <w:t xml:space="preserve"> del congresista.</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a) Beneficio particular: aquel que otorga un privilegio o genera ganancias o crea indemnizaciones económicas o elimina obligaciones a favor del congresista de las que no gozan el resto de los ciudadanos. Modifique normas que afecten inve</w:t>
      </w:r>
      <w:r>
        <w:rPr>
          <w:rFonts w:ascii="Arial Narrow" w:eastAsia="Arial Narrow" w:hAnsi="Arial Narrow" w:cs="Arial Narrow"/>
          <w:i/>
          <w:sz w:val="22"/>
          <w:szCs w:val="22"/>
        </w:rPr>
        <w:t>stigaciones penales, disciplinarias, fiscales o administrativas a las que se encuentre formalmente vinculado.</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b) Beneficio actual: aquel que efectivamente se configura en las circunstancias presentes y existentes al momento en el que el congresista partic</w:t>
      </w:r>
      <w:r>
        <w:rPr>
          <w:rFonts w:ascii="Arial Narrow" w:eastAsia="Arial Narrow" w:hAnsi="Arial Narrow" w:cs="Arial Narrow"/>
          <w:i/>
          <w:sz w:val="22"/>
          <w:szCs w:val="22"/>
        </w:rPr>
        <w:t>ipa de la decisión.</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w:eastAsia="Arial" w:hAnsi="Arial" w:cs="Arial"/>
          <w:i/>
          <w:color w:val="4B4949"/>
          <w:sz w:val="22"/>
          <w:szCs w:val="22"/>
        </w:rPr>
      </w:pPr>
      <w:r>
        <w:rPr>
          <w:rFonts w:ascii="Arial Narrow" w:eastAsia="Arial Narrow" w:hAnsi="Arial Narrow" w:cs="Arial Narrow"/>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7B5D61" w:rsidRDefault="007B5D61">
      <w:pPr>
        <w:widowControl w:val="0"/>
        <w:spacing w:after="160"/>
        <w:jc w:val="both"/>
        <w:rPr>
          <w:rFonts w:ascii="Arial Narrow" w:eastAsia="Arial Narrow" w:hAnsi="Arial Narrow" w:cs="Arial Narrow"/>
          <w:sz w:val="22"/>
          <w:szCs w:val="22"/>
        </w:rPr>
      </w:pPr>
    </w:p>
    <w:p w:rsidR="007B5D61" w:rsidRDefault="00E062B9">
      <w:pPr>
        <w:widowControl w:val="0"/>
        <w:spacing w:after="160"/>
        <w:jc w:val="both"/>
        <w:rPr>
          <w:rFonts w:ascii="Arial Narrow" w:eastAsia="Arial Narrow" w:hAnsi="Arial Narrow" w:cs="Arial Narrow"/>
          <w:sz w:val="22"/>
          <w:szCs w:val="22"/>
        </w:rPr>
      </w:pPr>
      <w:r>
        <w:rPr>
          <w:rFonts w:ascii="Arial Narrow" w:eastAsia="Arial Narrow" w:hAnsi="Arial Narrow" w:cs="Arial Narrow"/>
          <w:sz w:val="22"/>
          <w:szCs w:val="22"/>
        </w:rPr>
        <w:t>P</w:t>
      </w:r>
      <w:r>
        <w:rPr>
          <w:rFonts w:ascii="Arial Narrow" w:eastAsia="Arial Narrow" w:hAnsi="Arial Narrow" w:cs="Arial Narrow"/>
          <w:sz w:val="22"/>
          <w:szCs w:val="22"/>
        </w:rPr>
        <w:t>or otra parte, la Ley precitada también define las circunstancias bajo las cuales se entiende que no hay conflicto de interés para los congresistas, en ese sentido se dispuso:</w:t>
      </w: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“Para todos los efectos se entiende que no hay conflicto de interés en las sigui</w:t>
      </w:r>
      <w:r>
        <w:rPr>
          <w:rFonts w:ascii="Arial Narrow" w:eastAsia="Arial Narrow" w:hAnsi="Arial Narrow" w:cs="Arial Narrow"/>
          <w:i/>
          <w:sz w:val="22"/>
          <w:szCs w:val="22"/>
        </w:rPr>
        <w:t>entes circunstancias:</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a) Cuando el congresista participe, discuta, vote un proyecto de ley o de acto legislativo que otorgue beneficios o cargos de carácter general, es decir cuando el interés del congresista coincide o se fusione con los intereses de los</w:t>
      </w:r>
      <w:r>
        <w:rPr>
          <w:rFonts w:ascii="Arial Narrow" w:eastAsia="Arial Narrow" w:hAnsi="Arial Narrow" w:cs="Arial Narrow"/>
          <w:i/>
          <w:sz w:val="22"/>
          <w:szCs w:val="22"/>
        </w:rPr>
        <w:t xml:space="preserve"> electores.</w:t>
      </w: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b) Cuando el beneficio podría o no configurarse para el congresista en el futuro.</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c) Cuando el congresista participe, discuta o vote artículos de proyectos de ley o acto legislativo de carácter particular, que establezcan sanciones o disminuya</w:t>
      </w:r>
      <w:r>
        <w:rPr>
          <w:rFonts w:ascii="Arial Narrow" w:eastAsia="Arial Narrow" w:hAnsi="Arial Narrow" w:cs="Arial Narrow"/>
          <w:i/>
          <w:sz w:val="22"/>
          <w:szCs w:val="22"/>
        </w:rPr>
        <w:t>n beneficios, en el cual, el congresista tiene un interés particular, actual y directo. El voto negativo no constituirá conflicto de interés cuando mantiene la normatividad vigente.</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d) Cuando el congresista participe, discuta o vote artículos de proyectos</w:t>
      </w:r>
      <w:r>
        <w:rPr>
          <w:rFonts w:ascii="Arial Narrow" w:eastAsia="Arial Narrow" w:hAnsi="Arial Narrow" w:cs="Arial Narrow"/>
          <w:i/>
          <w:sz w:val="22"/>
          <w:szCs w:val="22"/>
        </w:rPr>
        <w:t xml:space="preserve"> de ley o acto legislativo de carácter particular, que regula un sector económico en el cual el congresista tiene un interés particular, actual y directo, siempre y cuando no genere beneficio particular, directo y actual.</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f) Cuando el congresista participa en la elección de otros servidores públicos mediante el voto secreto. Se exceptúan los casos en que se presenten inhabilidades referidas al parentesco con los candidatos.</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PARÁGRAFO 1o. Entiéndase por conflicto de interés</w:t>
      </w:r>
      <w:r>
        <w:rPr>
          <w:rFonts w:ascii="Arial Narrow" w:eastAsia="Arial Narrow" w:hAnsi="Arial Narrow" w:cs="Arial Narrow"/>
          <w:i/>
          <w:sz w:val="22"/>
          <w:szCs w:val="22"/>
        </w:rPr>
        <w:t xml:space="preserve"> moral aquel que presentan los congresistas cuando por razones de conciencia se quieran apartar de la discusión y votación del proyecto.</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PARÁGRAFO 2o. Cuando se trate de funciones judiciales, disciplinarias o fiscales de los congresistas, sobre conflicto </w:t>
      </w:r>
      <w:r>
        <w:rPr>
          <w:rFonts w:ascii="Arial Narrow" w:eastAsia="Arial Narrow" w:hAnsi="Arial Narrow" w:cs="Arial Narrow"/>
          <w:i/>
          <w:sz w:val="22"/>
          <w:szCs w:val="22"/>
        </w:rPr>
        <w:t>de interés se aplicará la norma especial que rige ese tipo de investigación.</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PARÁGRAFO 3o. Igualmente se aplicará el régimen de conflicto de intereses para todos y cada uno de los actores que presenten, discutan o participen de cualquier iniciativa legisl</w:t>
      </w:r>
      <w:r>
        <w:rPr>
          <w:rFonts w:ascii="Arial Narrow" w:eastAsia="Arial Narrow" w:hAnsi="Arial Narrow" w:cs="Arial Narrow"/>
          <w:i/>
          <w:sz w:val="22"/>
          <w:szCs w:val="22"/>
        </w:rPr>
        <w:t xml:space="preserve">ativa, conforme al artículo </w:t>
      </w:r>
      <w:hyperlink r:id="rId25" w:anchor="140">
        <w:r>
          <w:rPr>
            <w:rFonts w:ascii="Arial Narrow" w:eastAsia="Arial Narrow" w:hAnsi="Arial Narrow" w:cs="Arial Narrow"/>
            <w:i/>
            <w:sz w:val="22"/>
            <w:szCs w:val="22"/>
          </w:rPr>
          <w:t>140</w:t>
        </w:r>
      </w:hyperlink>
      <w:r>
        <w:rPr>
          <w:rFonts w:ascii="Arial Narrow" w:eastAsia="Arial Narrow" w:hAnsi="Arial Narrow" w:cs="Arial Narrow"/>
          <w:i/>
          <w:sz w:val="22"/>
          <w:szCs w:val="22"/>
        </w:rPr>
        <w:t xml:space="preserve"> de la Ley 5 de 1992.”</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Sobre el conflicto de interés el Consejo de Estado en se ha pronunciado en Sentencia del año 2022</w:t>
      </w:r>
      <w:r>
        <w:rPr>
          <w:rFonts w:ascii="Arial Narrow" w:eastAsia="Arial Narrow" w:hAnsi="Arial Narrow" w:cs="Arial Narrow"/>
          <w:sz w:val="22"/>
          <w:szCs w:val="22"/>
          <w:vertAlign w:val="superscript"/>
        </w:rPr>
        <w:footnoteReference w:id="22"/>
      </w:r>
      <w:r>
        <w:rPr>
          <w:rFonts w:ascii="Arial Narrow" w:eastAsia="Arial Narrow" w:hAnsi="Arial Narrow" w:cs="Arial Narrow"/>
          <w:sz w:val="22"/>
          <w:szCs w:val="22"/>
        </w:rPr>
        <w:t>, estableciendo que:</w:t>
      </w:r>
    </w:p>
    <w:p w:rsidR="007B5D61" w:rsidRDefault="007B5D61">
      <w:pPr>
        <w:widowControl w:val="0"/>
        <w:jc w:val="both"/>
        <w:rPr>
          <w:rFonts w:ascii="Arial Narrow" w:eastAsia="Arial Narrow" w:hAnsi="Arial Narrow" w:cs="Arial Narrow"/>
          <w:sz w:val="22"/>
          <w:szCs w:val="22"/>
        </w:rPr>
      </w:pPr>
    </w:p>
    <w:p w:rsidR="007B5D61" w:rsidRDefault="00E062B9">
      <w:pPr>
        <w:widowControl w:val="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“Siempre que se produzca un resultado provechoso por el simple ejercicio de una función oficial, que convenga al agente o a otra persona allegada, en el orden moral o material, surgirá un conflicto de intereses. Si la ley protege el i</w:t>
      </w:r>
      <w:r>
        <w:rPr>
          <w:rFonts w:ascii="Arial Narrow" w:eastAsia="Arial Narrow" w:hAnsi="Arial Narrow" w:cs="Arial Narrow"/>
          <w:i/>
          <w:sz w:val="22"/>
          <w:szCs w:val="22"/>
        </w:rPr>
        <w:t xml:space="preserve">nterés, será lícito; pero si se persigue con fines personales, particulares, que sobrepasen el interés social, será ilícito”   </w:t>
      </w:r>
    </w:p>
    <w:p w:rsidR="007B5D61" w:rsidRDefault="007B5D61">
      <w:pPr>
        <w:widowControl w:val="0"/>
        <w:ind w:left="708"/>
        <w:jc w:val="both"/>
        <w:rPr>
          <w:rFonts w:ascii="Arial Narrow" w:eastAsia="Arial Narrow" w:hAnsi="Arial Narrow" w:cs="Arial Narrow"/>
          <w:i/>
          <w:sz w:val="22"/>
          <w:szCs w:val="22"/>
        </w:rPr>
      </w:pPr>
    </w:p>
    <w:p w:rsidR="007B5D61" w:rsidRDefault="00E062B9">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También el Consejo de Estado el año 2010</w:t>
      </w:r>
      <w:r>
        <w:rPr>
          <w:rFonts w:ascii="Arial Narrow" w:eastAsia="Arial Narrow" w:hAnsi="Arial Narrow" w:cs="Arial Narrow"/>
          <w:sz w:val="22"/>
          <w:szCs w:val="22"/>
          <w:vertAlign w:val="superscript"/>
        </w:rPr>
        <w:footnoteReference w:id="23"/>
      </w:r>
      <w:r>
        <w:rPr>
          <w:rFonts w:ascii="Arial Narrow" w:eastAsia="Arial Narrow" w:hAnsi="Arial Narrow" w:cs="Arial Narrow"/>
          <w:sz w:val="22"/>
          <w:szCs w:val="22"/>
        </w:rPr>
        <w:t xml:space="preserve"> sobre el conflicto de interés se conceptuó:</w:t>
      </w:r>
    </w:p>
    <w:p w:rsidR="007B5D61" w:rsidRDefault="007B5D61">
      <w:pPr>
        <w:widowControl w:val="0"/>
        <w:jc w:val="both"/>
        <w:rPr>
          <w:rFonts w:ascii="Arial Narrow" w:eastAsia="Arial Narrow" w:hAnsi="Arial Narrow" w:cs="Arial Narrow"/>
          <w:sz w:val="22"/>
          <w:szCs w:val="22"/>
        </w:rPr>
      </w:pPr>
    </w:p>
    <w:p w:rsidR="007B5D61" w:rsidRDefault="00E062B9">
      <w:pPr>
        <w:widowControl w:val="0"/>
        <w:spacing w:after="160"/>
        <w:ind w:left="708"/>
        <w:jc w:val="both"/>
        <w:rPr>
          <w:rFonts w:ascii="Arial Narrow" w:eastAsia="Arial Narrow" w:hAnsi="Arial Narrow" w:cs="Arial Narrow"/>
          <w:i/>
          <w:sz w:val="22"/>
          <w:szCs w:val="22"/>
        </w:rPr>
      </w:pPr>
      <w:r>
        <w:rPr>
          <w:rFonts w:ascii="Arial Narrow" w:eastAsia="Arial Narrow" w:hAnsi="Arial Narrow" w:cs="Arial Narrow"/>
          <w:i/>
          <w:sz w:val="22"/>
          <w:szCs w:val="22"/>
        </w:rPr>
        <w:t>“La institución del conflicto de intereses apunta a trazar un límite entre el ejercicio legítimo de la función legislativa y el aprovechamiento de esta función por parte del congresista para obtener beneficios personales o en favor de aquellas personas all</w:t>
      </w:r>
      <w:r>
        <w:rPr>
          <w:rFonts w:ascii="Arial Narrow" w:eastAsia="Arial Narrow" w:hAnsi="Arial Narrow" w:cs="Arial Narrow"/>
          <w:i/>
          <w:sz w:val="22"/>
          <w:szCs w:val="22"/>
        </w:rPr>
        <w:t>egadas que determina la ley. Así las cosas, no se presenta conflicto entre el interés personal del congresista y el interés general cuando la ley tiene por destinataria a la generalidad de la sociedad, en abstracto, hipótesis en la cual quedan incluidos lo</w:t>
      </w:r>
      <w:r>
        <w:rPr>
          <w:rFonts w:ascii="Arial Narrow" w:eastAsia="Arial Narrow" w:hAnsi="Arial Narrow" w:cs="Arial Narrow"/>
          <w:i/>
          <w:sz w:val="22"/>
          <w:szCs w:val="22"/>
        </w:rPr>
        <w:t xml:space="preserve">s amplios sectores sociales que son objeto de determinadas leyes, como por ejemplo las minorías étnicas o culturales, las profesiones, los contribuyentes o, como el caso que nos ocupa, las víctimas de la violencia en Colombia. </w:t>
      </w:r>
    </w:p>
    <w:p w:rsidR="007B5D61" w:rsidRDefault="00E062B9">
      <w:pPr>
        <w:widowControl w:val="0"/>
        <w:spacing w:after="160"/>
        <w:ind w:left="708"/>
        <w:jc w:val="both"/>
        <w:rPr>
          <w:rFonts w:ascii="Arial Narrow" w:eastAsia="Arial Narrow" w:hAnsi="Arial Narrow" w:cs="Arial Narrow"/>
          <w:sz w:val="22"/>
          <w:szCs w:val="22"/>
        </w:rPr>
      </w:pPr>
      <w:r>
        <w:rPr>
          <w:rFonts w:ascii="Arial Narrow" w:eastAsia="Arial Narrow" w:hAnsi="Arial Narrow" w:cs="Arial Narrow"/>
          <w:i/>
          <w:sz w:val="22"/>
          <w:szCs w:val="22"/>
        </w:rPr>
        <w:t>No sería razonable, por cons</w:t>
      </w:r>
      <w:r>
        <w:rPr>
          <w:rFonts w:ascii="Arial Narrow" w:eastAsia="Arial Narrow" w:hAnsi="Arial Narrow" w:cs="Arial Narrow"/>
          <w:i/>
          <w:sz w:val="22"/>
          <w:szCs w:val="22"/>
        </w:rPr>
        <w:t>iguiente, afirmar que por el hecho de ser abogado un congresista estaría impedido para participar en la aprobación de una ley que expida el estatuto de esa profesión; que por ser indígena estaría impedido para participar en el trámite de la ley orgánica qu</w:t>
      </w:r>
      <w:r>
        <w:rPr>
          <w:rFonts w:ascii="Arial Narrow" w:eastAsia="Arial Narrow" w:hAnsi="Arial Narrow" w:cs="Arial Narrow"/>
          <w:i/>
          <w:sz w:val="22"/>
          <w:szCs w:val="22"/>
        </w:rPr>
        <w:t>e reglamente las entidades territoriales indígenas; que por ser propietario estaría impedido para intervenir en la discusión de una ley sobre impuesto predial; o que por encajar en la definición legal de víctima del conflicto estaría impedido para interven</w:t>
      </w:r>
      <w:r>
        <w:rPr>
          <w:rFonts w:ascii="Arial Narrow" w:eastAsia="Arial Narrow" w:hAnsi="Arial Narrow" w:cs="Arial Narrow"/>
          <w:i/>
          <w:sz w:val="22"/>
          <w:szCs w:val="22"/>
        </w:rPr>
        <w:t>ir en los debates a un proyecto de ley que establece de manera general las reglas de resarcimiento a las víctimas de la violencia en Colombia. En todos estos casos, ciertamente, podría el congresista derivar de la ley en cuya discusión interviene un benefi</w:t>
      </w:r>
      <w:r>
        <w:rPr>
          <w:rFonts w:ascii="Arial Narrow" w:eastAsia="Arial Narrow" w:hAnsi="Arial Narrow" w:cs="Arial Narrow"/>
          <w:i/>
          <w:sz w:val="22"/>
          <w:szCs w:val="22"/>
        </w:rPr>
        <w:t>cio personal, pero no por la circunstancia de ser miembro del Congreso ni porque la ley se dirija a un grupo de personas tan restringido y exclusivo (y por tanto excluyente) que convierta al congresista en un destinatario predilecto. En los anteriores ejem</w:t>
      </w:r>
      <w:r>
        <w:rPr>
          <w:rFonts w:ascii="Arial Narrow" w:eastAsia="Arial Narrow" w:hAnsi="Arial Narrow" w:cs="Arial Narrow"/>
          <w:i/>
          <w:sz w:val="22"/>
          <w:szCs w:val="22"/>
        </w:rPr>
        <w:t>plos las leyes no se dirigen a todos los colombianos sino a grupos muy significativos: los abogados, los indígenas, los propietarios de inmuebles, las víctimas del conflicto. No todos los congresistas forman parte necesariamente de estos grupos, pero por l</w:t>
      </w:r>
      <w:r>
        <w:rPr>
          <w:rFonts w:ascii="Arial Narrow" w:eastAsia="Arial Narrow" w:hAnsi="Arial Narrow" w:cs="Arial Narrow"/>
          <w:i/>
          <w:sz w:val="22"/>
          <w:szCs w:val="22"/>
        </w:rPr>
        <w:t>a amplitud social de dichos sectores en la nación y la generalidad de las prescripciones de la ley a ellos dirigida, normalmente algunos de los congresistas podrían quedar incluidos. Pues bien, en estos casos no cabe la figura de conflicto de intereses, pu</w:t>
      </w:r>
      <w:r>
        <w:rPr>
          <w:rFonts w:ascii="Arial Narrow" w:eastAsia="Arial Narrow" w:hAnsi="Arial Narrow" w:cs="Arial Narrow"/>
          <w:i/>
          <w:sz w:val="22"/>
          <w:szCs w:val="22"/>
        </w:rPr>
        <w:t>es a pesar de que un congresista podría convertirse en destinatario de alguna de las disposiciones legales, tal hecho no obedece a que la ley busque favorecerlo directa, exclusiva y especialmente. ”</w:t>
      </w:r>
    </w:p>
    <w:p w:rsidR="007B5D61" w:rsidRDefault="00E062B9">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En consecuencia, se considera que la Ley y la jurispruden</w:t>
      </w:r>
      <w:r>
        <w:rPr>
          <w:rFonts w:ascii="Arial Narrow" w:eastAsia="Arial Narrow" w:hAnsi="Arial Narrow" w:cs="Arial Narrow"/>
          <w:sz w:val="22"/>
          <w:szCs w:val="22"/>
        </w:rPr>
        <w:t>cia han dado los criterios orientadores que determinan circunstancias en las cuales se podría estar incurso en un conflicto de interés. Para lo cual será necesario que respecto  del asunto objeto de conocimiento de parte del congresista (discusión o votaci</w:t>
      </w:r>
      <w:r>
        <w:rPr>
          <w:rFonts w:ascii="Arial Narrow" w:eastAsia="Arial Narrow" w:hAnsi="Arial Narrow" w:cs="Arial Narrow"/>
          <w:sz w:val="22"/>
          <w:szCs w:val="22"/>
        </w:rPr>
        <w:t>ón) se reporte un beneficio en el que concurran tres características simultáneas, a saber, ser actual, particular y directo. Define la Ley también las circunstancias bajo las cuales se considera que no existe un conflicto de interés, en esa medida, se seña</w:t>
      </w:r>
      <w:r>
        <w:rPr>
          <w:rFonts w:ascii="Arial Narrow" w:eastAsia="Arial Narrow" w:hAnsi="Arial Narrow" w:cs="Arial Narrow"/>
          <w:sz w:val="22"/>
          <w:szCs w:val="22"/>
        </w:rPr>
        <w:t xml:space="preserve">la que aun cuando el congresista pueda reportar un beneficio, pero este se funde en el interés general, en el interés de sus electores, se dará lugar a que no exista tal conflicto.  </w:t>
      </w:r>
    </w:p>
    <w:p w:rsidR="007B5D61" w:rsidRDefault="007B5D61">
      <w:pPr>
        <w:jc w:val="both"/>
        <w:rPr>
          <w:rFonts w:ascii="Arial Narrow" w:eastAsia="Arial Narrow" w:hAnsi="Arial Narrow" w:cs="Arial Narrow"/>
          <w:sz w:val="22"/>
          <w:szCs w:val="22"/>
        </w:rPr>
      </w:pPr>
    </w:p>
    <w:p w:rsidR="007B5D61" w:rsidRDefault="00E062B9">
      <w:pPr>
        <w:numPr>
          <w:ilvl w:val="0"/>
          <w:numId w:val="6"/>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Arial Narrow" w:eastAsia="Arial Narrow" w:hAnsi="Arial Narrow" w:cs="Arial Narrow"/>
          <w:b/>
          <w:color w:val="000000"/>
          <w:sz w:val="22"/>
          <w:szCs w:val="22"/>
        </w:rPr>
        <w:t>ANÁLISIS DE IMPACTO FISCAL.</w:t>
      </w:r>
      <w:r>
        <w:rPr>
          <w:rFonts w:ascii="Arial Narrow" w:eastAsia="Arial Narrow" w:hAnsi="Arial Narrow" w:cs="Arial Narrow"/>
          <w:color w:val="000000"/>
          <w:sz w:val="22"/>
          <w:szCs w:val="22"/>
        </w:rPr>
        <w:t> </w:t>
      </w:r>
    </w:p>
    <w:p w:rsidR="007B5D61" w:rsidRDefault="00E062B9">
      <w:pPr>
        <w:spacing w:before="240" w:after="240" w:line="276" w:lineRule="auto"/>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La Corte Constitucional de Colombia en la Sentencia C-502 de 2007 precisó la importancia de explicar el impacto fiscal de las leyes en el Congreso, con la finalidad que dichas normas guarden relación con la situación económica del país y la política económ</w:t>
      </w:r>
      <w:r>
        <w:rPr>
          <w:rFonts w:ascii="Arial Narrow" w:eastAsia="Arial Narrow" w:hAnsi="Arial Narrow" w:cs="Arial Narrow"/>
          <w:sz w:val="22"/>
          <w:szCs w:val="22"/>
          <w:highlight w:val="white"/>
        </w:rPr>
        <w:t>ica trazada por las autoridades pertinentes:</w:t>
      </w:r>
    </w:p>
    <w:p w:rsidR="007B5D61" w:rsidRDefault="00E062B9">
      <w:pPr>
        <w:spacing w:before="240" w:after="240" w:line="276" w:lineRule="auto"/>
        <w:ind w:left="720"/>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u w:val="single"/>
        </w:rPr>
        <w:t>“El art. 7° de la Ley 819 de 2003 exige que en todo proyecto de ley, ordenanza o acuerdo que ordene gastos u conceda beneficios tributarios se explicite cuál es su impacto fiscal y se establezca su compatibilida</w:t>
      </w:r>
      <w:r>
        <w:rPr>
          <w:rFonts w:ascii="Arial Narrow" w:eastAsia="Arial Narrow" w:hAnsi="Arial Narrow" w:cs="Arial Narrow"/>
          <w:sz w:val="22"/>
          <w:szCs w:val="22"/>
          <w:highlight w:val="white"/>
          <w:u w:val="single"/>
        </w:rPr>
        <w:t>d con el Marco Fiscal de Mediano Plazo que dicta anualmente el Gobierno Nacional. Las normas contenidas en el art. 7° de la Ley 819 de 2003 constituyen un importante instrumento de racionalización de la actividad legislativa, con el fin de que ella se real</w:t>
      </w:r>
      <w:r>
        <w:rPr>
          <w:rFonts w:ascii="Arial Narrow" w:eastAsia="Arial Narrow" w:hAnsi="Arial Narrow" w:cs="Arial Narrow"/>
          <w:sz w:val="22"/>
          <w:szCs w:val="22"/>
          <w:highlight w:val="white"/>
          <w:u w:val="single"/>
        </w:rPr>
        <w:t>ice con conocimiento de causa de los costos fiscales que genera cada una de las leyes aprobadas por el Congreso de la República. También permiten el que las leyes dictadas estén en armonía con la situación económica del país y con la política económica tra</w:t>
      </w:r>
      <w:r>
        <w:rPr>
          <w:rFonts w:ascii="Arial Narrow" w:eastAsia="Arial Narrow" w:hAnsi="Arial Narrow" w:cs="Arial Narrow"/>
          <w:sz w:val="22"/>
          <w:szCs w:val="22"/>
          <w:highlight w:val="white"/>
          <w:u w:val="single"/>
        </w:rPr>
        <w:t>zada por las autoridades correspondientes</w:t>
      </w:r>
      <w:r>
        <w:rPr>
          <w:rFonts w:ascii="Arial Narrow" w:eastAsia="Arial Narrow" w:hAnsi="Arial Narrow" w:cs="Arial Narrow"/>
          <w:sz w:val="22"/>
          <w:szCs w:val="22"/>
          <w:highlight w:val="white"/>
        </w:rPr>
        <w:t xml:space="preserve">. Ello contribuye ciertamente a generar orden en las finanzas públicas, lo cual repercute favorablemente en la estabilidad macroeconómica del país. De la misma manera, el cumplimiento de los requisitos establecidos </w:t>
      </w:r>
      <w:r>
        <w:rPr>
          <w:rFonts w:ascii="Arial Narrow" w:eastAsia="Arial Narrow" w:hAnsi="Arial Narrow" w:cs="Arial Narrow"/>
          <w:sz w:val="22"/>
          <w:szCs w:val="22"/>
          <w:highlight w:val="white"/>
        </w:rPr>
        <w:t>en el mencionado art. 7° ha de tener una incidencia favorable en la aplicación efectiva de las leyes, ya que la aprobación de las mismas solamente se producirá después de conocerse su impacto fiscal previsible y las posibilidades de financiarlo. Ello indic</w:t>
      </w:r>
      <w:r>
        <w:rPr>
          <w:rFonts w:ascii="Arial Narrow" w:eastAsia="Arial Narrow" w:hAnsi="Arial Narrow" w:cs="Arial Narrow"/>
          <w:sz w:val="22"/>
          <w:szCs w:val="22"/>
          <w:highlight w:val="white"/>
        </w:rPr>
        <w:t>a que la aprobación de las leyes no estará acompañada de la permanente incertidumbre acerca de la posibilidad de cumplirlas o de desarrollar la política pública en ellas plasmada.” (Subrayado fuera de texto).</w:t>
      </w:r>
    </w:p>
    <w:p w:rsidR="007B5D61" w:rsidRDefault="00E062B9">
      <w:pPr>
        <w:spacing w:before="240" w:after="240" w:line="276" w:lineRule="auto"/>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En relación a lo anterior, también es important</w:t>
      </w:r>
      <w:r>
        <w:rPr>
          <w:rFonts w:ascii="Arial Narrow" w:eastAsia="Arial Narrow" w:hAnsi="Arial Narrow" w:cs="Arial Narrow"/>
          <w:sz w:val="22"/>
          <w:szCs w:val="22"/>
          <w:highlight w:val="white"/>
        </w:rPr>
        <w:t xml:space="preserve">e aclarar que la misma jurisprudencia en cita, la Corte Constitucional estableció que la carga de demostrar la incompatibilidad del proyecto de ley con el marco fiscal de mediano plazo, recae sobre el Ministerio de Hacienda y Crédito Público:    </w:t>
      </w:r>
    </w:p>
    <w:p w:rsidR="007B5D61" w:rsidRDefault="00E062B9">
      <w:pPr>
        <w:spacing w:before="240" w:after="240" w:line="276" w:lineRule="auto"/>
        <w:ind w:left="720"/>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 xml:space="preserve"> “La Cort</w:t>
      </w:r>
      <w:r>
        <w:rPr>
          <w:rFonts w:ascii="Arial Narrow" w:eastAsia="Arial Narrow" w:hAnsi="Arial Narrow" w:cs="Arial Narrow"/>
          <w:sz w:val="22"/>
          <w:szCs w:val="22"/>
          <w:highlight w:val="white"/>
        </w:rPr>
        <w:t xml:space="preserve">e considera que </w:t>
      </w:r>
      <w:r>
        <w:rPr>
          <w:rFonts w:ascii="Arial Narrow" w:eastAsia="Arial Narrow" w:hAnsi="Arial Narrow" w:cs="Arial Narrow"/>
          <w:sz w:val="22"/>
          <w:szCs w:val="22"/>
          <w:highlight w:val="white"/>
          <w:u w:val="single"/>
        </w:rPr>
        <w:t>los primeros tres incisos del art. 7° de la Ley 819 de 2003 deben entenderse como parámetros de racionalidad de la actividad legislativa, y como una carga que le incumbe inicialmente al Ministerio de Hacienda, una vez que el Congreso ha val</w:t>
      </w:r>
      <w:r>
        <w:rPr>
          <w:rFonts w:ascii="Arial Narrow" w:eastAsia="Arial Narrow" w:hAnsi="Arial Narrow" w:cs="Arial Narrow"/>
          <w:sz w:val="22"/>
          <w:szCs w:val="22"/>
          <w:highlight w:val="white"/>
          <w:u w:val="single"/>
        </w:rPr>
        <w:t>orado, con la información y las herramientas que tiene a su alcance, las incidencias fiscales de un determinado proyecto de ley. Esto significa que ellos constituyen instrumentos para mejorar la labor legislativa. Es decir, el mencionado artículo debe inte</w:t>
      </w:r>
      <w:r>
        <w:rPr>
          <w:rFonts w:ascii="Arial Narrow" w:eastAsia="Arial Narrow" w:hAnsi="Arial Narrow" w:cs="Arial Narrow"/>
          <w:sz w:val="22"/>
          <w:szCs w:val="22"/>
          <w:highlight w:val="white"/>
          <w:u w:val="single"/>
        </w:rPr>
        <w:t xml:space="preserve">rpretarse en el sentido de que su fin es obtener que las leyes que se dicten tengan en cuenta las realidades macroeconómicas, pero sin crear barreras insalvables en el ejercicio de la función legislativa ni crear un poder de veto legislativo en cabeza del </w:t>
      </w:r>
      <w:r>
        <w:rPr>
          <w:rFonts w:ascii="Arial Narrow" w:eastAsia="Arial Narrow" w:hAnsi="Arial Narrow" w:cs="Arial Narrow"/>
          <w:sz w:val="22"/>
          <w:szCs w:val="22"/>
          <w:highlight w:val="white"/>
          <w:u w:val="single"/>
        </w:rPr>
        <w:t>Ministro de Hacienda. Y en ese proceso de racionalidad legislativa la carga principal reposa en el Ministerio de Hacienda, que es el que cuenta con los datos, los equipos de funcionarios y la experticia en materia económica. Por lo tanto, en el caso de que</w:t>
      </w:r>
      <w:r>
        <w:rPr>
          <w:rFonts w:ascii="Arial Narrow" w:eastAsia="Arial Narrow" w:hAnsi="Arial Narrow" w:cs="Arial Narrow"/>
          <w:sz w:val="22"/>
          <w:szCs w:val="22"/>
          <w:highlight w:val="white"/>
          <w:u w:val="single"/>
        </w:rPr>
        <w:t xml:space="preserve"> los congresistas tramiten un proyecto incorporando estimativos erróneos sobre el impacto fiscal, sobre la manera de atender esos nuevos gastos o sobre la compatibilidad del proyecto con el Marco Fiscal de Mediano Plazo, le corresponde al Ministro de Hacie</w:t>
      </w:r>
      <w:r>
        <w:rPr>
          <w:rFonts w:ascii="Arial Narrow" w:eastAsia="Arial Narrow" w:hAnsi="Arial Narrow" w:cs="Arial Narrow"/>
          <w:sz w:val="22"/>
          <w:szCs w:val="22"/>
          <w:highlight w:val="white"/>
          <w:u w:val="single"/>
        </w:rPr>
        <w:t>nda intervenir en el proceso legislativo para ilustrar al Congreso acerca de las consecuencias económicas del proyecto.</w:t>
      </w:r>
      <w:r>
        <w:rPr>
          <w:rFonts w:ascii="Arial Narrow" w:eastAsia="Arial Narrow" w:hAnsi="Arial Narrow" w:cs="Arial Narrow"/>
          <w:sz w:val="22"/>
          <w:szCs w:val="22"/>
          <w:highlight w:val="white"/>
        </w:rPr>
        <w:t xml:space="preserve"> Y el Congreso habrá de recibir y valorar el concepto emitido por el Ministerio. No obstante, la carga de demostrar y convencer a los con</w:t>
      </w:r>
      <w:r>
        <w:rPr>
          <w:rFonts w:ascii="Arial Narrow" w:eastAsia="Arial Narrow" w:hAnsi="Arial Narrow" w:cs="Arial Narrow"/>
          <w:sz w:val="22"/>
          <w:szCs w:val="22"/>
          <w:highlight w:val="white"/>
        </w:rPr>
        <w:t>gresistas acerca de la incompatibilidad de cierto proyecto con el Marco Fiscal de Mediano Plazo recae sobre el Ministro de Hacienda.” (Subrayado fuera de texto).</w:t>
      </w:r>
    </w:p>
    <w:p w:rsidR="007B5D61" w:rsidRDefault="00E062B9">
      <w:pPr>
        <w:spacing w:before="240" w:after="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highlight w:val="white"/>
        </w:rPr>
        <w:t xml:space="preserve">Por lo cual, se debe establecer que la cuantificación del impacto fiscal, es una tarea que desborda la capacidad técnica que puede tener los congresistas apoyados de sus Unidades de Trabajo Legislativo; por lo que esta función corresponde al Ministerio de </w:t>
      </w:r>
      <w:r>
        <w:rPr>
          <w:rFonts w:ascii="Arial Narrow" w:eastAsia="Arial Narrow" w:hAnsi="Arial Narrow" w:cs="Arial Narrow"/>
          <w:sz w:val="22"/>
          <w:szCs w:val="22"/>
          <w:highlight w:val="white"/>
        </w:rPr>
        <w:t>Hacienda.</w:t>
      </w:r>
    </w:p>
    <w:p w:rsidR="007B5D61" w:rsidRDefault="00E062B9">
      <w:pPr>
        <w:spacing w:before="113" w:after="113"/>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los honorables Congresistas,</w:t>
      </w:r>
    </w:p>
    <w:p w:rsidR="007B5D61" w:rsidRDefault="007B5D61">
      <w:pPr>
        <w:spacing w:before="113" w:after="113"/>
        <w:ind w:firstLine="283"/>
        <w:rPr>
          <w:rFonts w:ascii="Arial Narrow" w:eastAsia="Arial Narrow" w:hAnsi="Arial Narrow" w:cs="Arial Narrow"/>
          <w:sz w:val="22"/>
          <w:szCs w:val="22"/>
        </w:rPr>
      </w:pPr>
    </w:p>
    <w:p w:rsidR="007B5D61" w:rsidRDefault="007B5D61">
      <w:pPr>
        <w:spacing w:before="113" w:after="113"/>
        <w:ind w:firstLine="283"/>
        <w:rPr>
          <w:rFonts w:ascii="Arial Narrow" w:eastAsia="Arial Narrow" w:hAnsi="Arial Narrow" w:cs="Arial Narrow"/>
          <w:sz w:val="22"/>
          <w:szCs w:val="22"/>
        </w:rPr>
      </w:pPr>
    </w:p>
    <w:p w:rsidR="007B5D61" w:rsidRDefault="007B5D61">
      <w:pPr>
        <w:spacing w:before="113" w:after="113"/>
        <w:rPr>
          <w:rFonts w:ascii="Arial Narrow" w:eastAsia="Arial Narrow" w:hAnsi="Arial Narrow" w:cs="Arial Narrow"/>
          <w:sz w:val="22"/>
          <w:szCs w:val="22"/>
        </w:rPr>
      </w:pPr>
    </w:p>
    <w:p w:rsidR="007B5D61" w:rsidRDefault="007B5D61">
      <w:pPr>
        <w:jc w:val="both"/>
        <w:rPr>
          <w:rFonts w:ascii="Arial" w:eastAsia="Arial" w:hAnsi="Arial" w:cs="Arial"/>
          <w:b/>
          <w:sz w:val="22"/>
          <w:szCs w:val="22"/>
        </w:rPr>
      </w:pPr>
    </w:p>
    <w:p w:rsidR="007B5D61" w:rsidRDefault="00E062B9">
      <w:pPr>
        <w:jc w:val="center"/>
        <w:rPr>
          <w:rFonts w:ascii="Arial Narrow" w:eastAsia="Arial Narrow" w:hAnsi="Arial Narrow" w:cs="Arial Narrow"/>
          <w:b/>
          <w:sz w:val="22"/>
          <w:szCs w:val="22"/>
        </w:rPr>
      </w:pPr>
      <w:r>
        <w:rPr>
          <w:rFonts w:ascii="Arial Narrow" w:eastAsia="Arial Narrow" w:hAnsi="Arial Narrow" w:cs="Arial Narrow"/>
          <w:b/>
          <w:sz w:val="22"/>
          <w:szCs w:val="22"/>
        </w:rPr>
        <w:t>WILMER CASTELLANOS HERNÁNDEZ                      ANDREA PADILLA VILLARRAGA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Representante a la Cámara                                          Senadora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Congreso de la República                 </w:t>
      </w:r>
      <w:r>
        <w:rPr>
          <w:rFonts w:ascii="Arial Narrow" w:eastAsia="Arial Narrow" w:hAnsi="Arial Narrow" w:cs="Arial Narrow"/>
          <w:sz w:val="22"/>
          <w:szCs w:val="22"/>
        </w:rPr>
        <w:t xml:space="preserve">                            Congreso de la República</w:t>
      </w:r>
    </w:p>
    <w:p w:rsidR="007B5D61" w:rsidRDefault="00E062B9">
      <w:pPr>
        <w:jc w:val="center"/>
        <w:rPr>
          <w:rFonts w:ascii="Arial Narrow" w:eastAsia="Arial Narrow" w:hAnsi="Arial Narrow" w:cs="Arial Narrow"/>
          <w:sz w:val="22"/>
          <w:szCs w:val="22"/>
        </w:rPr>
      </w:pPr>
      <w:r>
        <w:rPr>
          <w:rFonts w:ascii="Arial Narrow" w:eastAsia="Arial Narrow" w:hAnsi="Arial Narrow" w:cs="Arial Narrow"/>
          <w:sz w:val="22"/>
          <w:szCs w:val="22"/>
        </w:rPr>
        <w:t>Partido Alianza Verde                                                     Partido Alianza verde</w:t>
      </w:r>
    </w:p>
    <w:p w:rsidR="007B5D61" w:rsidRDefault="007B5D61">
      <w:pPr>
        <w:jc w:val="both"/>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jc w:val="center"/>
        <w:rPr>
          <w:rFonts w:ascii="Arial Narrow" w:eastAsia="Arial Narrow" w:hAnsi="Arial Narrow" w:cs="Arial Narrow"/>
          <w:sz w:val="22"/>
          <w:szCs w:val="22"/>
        </w:rPr>
      </w:pPr>
    </w:p>
    <w:p w:rsidR="007B5D61" w:rsidRDefault="007B5D61">
      <w:pPr>
        <w:rPr>
          <w:rFonts w:ascii="Arial Narrow" w:eastAsia="Arial Narrow" w:hAnsi="Arial Narrow" w:cs="Arial Narrow"/>
          <w:b/>
        </w:rPr>
      </w:pPr>
    </w:p>
    <w:sdt>
      <w:sdtPr>
        <w:tag w:val="goog_rdk_1"/>
        <w:id w:val="346228322"/>
        <w:lock w:val="contentLocked"/>
      </w:sdtPr>
      <w:sdtEndPr/>
      <w:sdtContent>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rPr>
              <w:trHeight w:val="1610"/>
            </w:trPr>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r>
          <w:tr w:rsidR="007B5D61">
            <w:trPr>
              <w:trHeight w:val="1610"/>
            </w:trPr>
            <w:tc>
              <w:tcPr>
                <w:tcW w:w="4680" w:type="dxa"/>
                <w:shd w:val="clear" w:color="auto" w:fill="auto"/>
                <w:tcMar>
                  <w:top w:w="100" w:type="dxa"/>
                  <w:left w:w="100" w:type="dxa"/>
                  <w:bottom w:w="100" w:type="dxa"/>
                  <w:right w:w="100" w:type="dxa"/>
                </w:tcMar>
              </w:tcPr>
              <w:p w:rsidR="007B5D61" w:rsidRDefault="007B5D61">
                <w:pPr>
                  <w:widowControl w:val="0"/>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7B5D61" w:rsidRDefault="00E062B9">
                <w:pPr>
                  <w:widowControl w:val="0"/>
                  <w:rPr>
                    <w:rFonts w:ascii="Arial Narrow" w:eastAsia="Arial Narrow" w:hAnsi="Arial Narrow" w:cs="Arial Narrow"/>
                    <w:b/>
                  </w:rPr>
                </w:pPr>
              </w:p>
            </w:tc>
          </w:tr>
        </w:tbl>
      </w:sdtContent>
    </w:sdt>
    <w:p w:rsidR="007B5D61" w:rsidRDefault="007B5D61">
      <w:pPr>
        <w:pBdr>
          <w:top w:val="nil"/>
          <w:left w:val="nil"/>
          <w:bottom w:val="nil"/>
          <w:right w:val="nil"/>
          <w:between w:val="nil"/>
        </w:pBdr>
        <w:ind w:left="720"/>
        <w:rPr>
          <w:rFonts w:ascii="Arial Narrow" w:eastAsia="Arial Narrow" w:hAnsi="Arial Narrow" w:cs="Arial Narrow"/>
          <w:b/>
          <w:sz w:val="22"/>
          <w:szCs w:val="22"/>
        </w:rPr>
      </w:pPr>
      <w:bookmarkStart w:id="67" w:name="_heading=h.9vbhbo63s4b0" w:colFirst="0" w:colLast="0"/>
      <w:bookmarkEnd w:id="67"/>
    </w:p>
    <w:p w:rsidR="007B5D61" w:rsidRDefault="00E062B9">
      <w:pPr>
        <w:numPr>
          <w:ilvl w:val="0"/>
          <w:numId w:val="6"/>
        </w:numPr>
        <w:pBdr>
          <w:top w:val="nil"/>
          <w:left w:val="nil"/>
          <w:bottom w:val="nil"/>
          <w:right w:val="nil"/>
          <w:between w:val="nil"/>
        </w:pBdr>
        <w:rPr>
          <w:rFonts w:ascii="Arial Narrow" w:eastAsia="Arial Narrow" w:hAnsi="Arial Narrow" w:cs="Arial Narrow"/>
          <w:b/>
          <w:color w:val="000000"/>
          <w:sz w:val="22"/>
          <w:szCs w:val="22"/>
        </w:rPr>
      </w:pPr>
      <w:bookmarkStart w:id="68" w:name="_heading=h.1y810tw" w:colFirst="0" w:colLast="0"/>
      <w:bookmarkEnd w:id="68"/>
      <w:r>
        <w:rPr>
          <w:rFonts w:ascii="Arial Narrow" w:eastAsia="Arial Narrow" w:hAnsi="Arial Narrow" w:cs="Arial Narrow"/>
          <w:b/>
          <w:sz w:val="22"/>
          <w:szCs w:val="22"/>
        </w:rPr>
        <w:t xml:space="preserve">FUENTES CONSULTADAS (BIBLIOGRAFÍA, WEBGRAFIA) </w:t>
      </w:r>
    </w:p>
    <w:p w:rsidR="007B5D61" w:rsidRDefault="007B5D61">
      <w:pPr>
        <w:rPr>
          <w:rFonts w:ascii="Arial Narrow" w:eastAsia="Arial Narrow" w:hAnsi="Arial Narrow" w:cs="Arial Narrow"/>
          <w:sz w:val="22"/>
          <w:szCs w:val="22"/>
        </w:rPr>
      </w:pPr>
    </w:p>
    <w:p w:rsidR="007B5D61" w:rsidRDefault="00E062B9">
      <w:pPr>
        <w:numPr>
          <w:ilvl w:val="0"/>
          <w:numId w:val="3"/>
        </w:numPr>
        <w:rPr>
          <w:rFonts w:ascii="Arial Narrow" w:eastAsia="Arial Narrow" w:hAnsi="Arial Narrow" w:cs="Arial Narrow"/>
          <w:sz w:val="22"/>
          <w:szCs w:val="22"/>
        </w:rPr>
      </w:pPr>
      <w:r>
        <w:rPr>
          <w:rFonts w:ascii="Arial Narrow" w:eastAsia="Arial Narrow" w:hAnsi="Arial Narrow" w:cs="Arial Narrow"/>
          <w:sz w:val="22"/>
          <w:szCs w:val="22"/>
        </w:rPr>
        <w:t xml:space="preserve"> INFORME NACIONAL DE ZOONOSIS 2018 SUBDIRECCIÓN DE SALUD AMBIENTAL, Ministerio de Salud, Dirección de Promoción y Prevención. Disponible en: </w:t>
      </w:r>
      <w:hyperlink r:id="rId26">
        <w:r>
          <w:rPr>
            <w:rFonts w:ascii="Arial Narrow" w:eastAsia="Arial Narrow" w:hAnsi="Arial Narrow" w:cs="Arial Narrow"/>
            <w:color w:val="1155CC"/>
            <w:sz w:val="22"/>
            <w:szCs w:val="22"/>
            <w:u w:val="single"/>
          </w:rPr>
          <w:t>https://www.minsalud.gov.co/sites/rid/Lists/BibliotecaDigital/RIDE/VS/PP/SA/informe-nacional-zoonosis-2018.pdf</w:t>
        </w:r>
      </w:hyperlink>
    </w:p>
    <w:p w:rsidR="007B5D61" w:rsidRDefault="00E062B9">
      <w:pPr>
        <w:numPr>
          <w:ilvl w:val="0"/>
          <w:numId w:val="3"/>
        </w:numPr>
        <w:rPr>
          <w:rFonts w:ascii="Arial Narrow" w:eastAsia="Arial Narrow" w:hAnsi="Arial Narrow" w:cs="Arial Narrow"/>
          <w:color w:val="0563C1"/>
          <w:sz w:val="22"/>
          <w:szCs w:val="22"/>
        </w:rPr>
      </w:pPr>
      <w:r>
        <w:rPr>
          <w:rFonts w:ascii="Arial Narrow" w:eastAsia="Arial Narrow" w:hAnsi="Arial Narrow" w:cs="Arial Narrow"/>
          <w:sz w:val="22"/>
          <w:szCs w:val="22"/>
        </w:rPr>
        <w:t>Por una tenencia más responsable de mascotas. 2024. Cifras &amp; Conceptos, Universidad de los Andes Instituto Humboldt. Disponible en</w:t>
      </w:r>
      <w:r>
        <w:rPr>
          <w:rFonts w:ascii="Arial Narrow" w:eastAsia="Arial Narrow" w:hAnsi="Arial Narrow" w:cs="Arial Narrow"/>
          <w:sz w:val="22"/>
          <w:szCs w:val="22"/>
        </w:rPr>
        <w:t xml:space="preserve">: </w:t>
      </w:r>
      <w:hyperlink r:id="rId27">
        <w:r>
          <w:rPr>
            <w:rFonts w:ascii="Arial Narrow" w:eastAsia="Arial Narrow" w:hAnsi="Arial Narrow" w:cs="Arial Narrow"/>
            <w:color w:val="1155CC"/>
            <w:sz w:val="22"/>
            <w:szCs w:val="22"/>
            <w:u w:val="single"/>
          </w:rPr>
          <w:t>https://drive.google.co</w:t>
        </w:r>
        <w:r>
          <w:rPr>
            <w:rFonts w:ascii="Arial Narrow" w:eastAsia="Arial Narrow" w:hAnsi="Arial Narrow" w:cs="Arial Narrow"/>
            <w:color w:val="1155CC"/>
            <w:sz w:val="22"/>
            <w:szCs w:val="22"/>
            <w:u w:val="single"/>
          </w:rPr>
          <w:t>m/file/d/1rsfyZV4B1xpWjHKCHUtbjyXO8BHWnXcO/view?fbclid=PAAab6ImXmqDqX5onEljByywrXZMIA3yKHSdUm9uz3-lYT4Fuy55HAJanFBec_aem_AU5_jDzrzjE-Z62KhoUpUL8SYuopU7CilZ3IV0hgpQ7CqfuJI093eLfRwEjh_MJTkBU</w:t>
        </w:r>
      </w:hyperlink>
    </w:p>
    <w:p w:rsidR="007B5D61" w:rsidRDefault="00E062B9">
      <w:pPr>
        <w:numPr>
          <w:ilvl w:val="0"/>
          <w:numId w:val="3"/>
        </w:numPr>
        <w:jc w:val="both"/>
        <w:rPr>
          <w:rFonts w:ascii="Arial Narrow" w:eastAsia="Arial Narrow" w:hAnsi="Arial Narrow" w:cs="Arial Narrow"/>
          <w:color w:val="0563C1"/>
          <w:sz w:val="22"/>
          <w:szCs w:val="22"/>
        </w:rPr>
      </w:pPr>
      <w:r>
        <w:rPr>
          <w:rFonts w:ascii="Arial Narrow" w:eastAsia="Arial Narrow" w:hAnsi="Arial Narrow" w:cs="Arial Narrow"/>
          <w:sz w:val="22"/>
          <w:szCs w:val="22"/>
        </w:rPr>
        <w:t xml:space="preserve"> COLOMBIA. MINISTERIO DE AGRICULTURA Y DESARROLLO RURAL, boletín de</w:t>
      </w:r>
      <w:r>
        <w:rPr>
          <w:rFonts w:ascii="Arial Narrow" w:eastAsia="Arial Narrow" w:hAnsi="Arial Narrow" w:cs="Arial Narrow"/>
          <w:sz w:val="22"/>
          <w:szCs w:val="22"/>
        </w:rPr>
        <w:t xml:space="preserve"> Precios de Alimento Balanceado para Animales nro 1 del 2021. Disponible en: </w:t>
      </w:r>
      <w:hyperlink r:id="rId28">
        <w:r>
          <w:rPr>
            <w:rFonts w:ascii="Arial Narrow" w:eastAsia="Arial Narrow" w:hAnsi="Arial Narrow" w:cs="Arial Narrow"/>
            <w:color w:val="1155CC"/>
            <w:sz w:val="22"/>
            <w:szCs w:val="22"/>
            <w:u w:val="single"/>
          </w:rPr>
          <w:t>https://sioc.mina</w:t>
        </w:r>
        <w:r>
          <w:rPr>
            <w:rFonts w:ascii="Arial Narrow" w:eastAsia="Arial Narrow" w:hAnsi="Arial Narrow" w:cs="Arial Narrow"/>
            <w:color w:val="1155CC"/>
            <w:sz w:val="22"/>
            <w:szCs w:val="22"/>
            <w:u w:val="single"/>
          </w:rPr>
          <w:t>gricultura.gov.co/Boletines/BOLET%C3%8DN%20DE%20PRECIOS%20DE%20ALIMENTO%20BALANCEADO%20PARA%20ANIMALES%20No.1%20de%202021.pdf</w:t>
        </w:r>
      </w:hyperlink>
      <w:r>
        <w:rPr>
          <w:rFonts w:ascii="Arial Narrow" w:eastAsia="Arial Narrow" w:hAnsi="Arial Narrow" w:cs="Arial Narrow"/>
          <w:sz w:val="22"/>
          <w:szCs w:val="22"/>
        </w:rPr>
        <w:t xml:space="preserve"> </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color w:val="0563C1"/>
          <w:sz w:val="22"/>
          <w:szCs w:val="22"/>
        </w:rPr>
      </w:pPr>
      <w:bookmarkStart w:id="69" w:name="_heading=h.ajhenfj5pvyj" w:colFirst="0" w:colLast="0"/>
      <w:bookmarkEnd w:id="69"/>
      <w:r>
        <w:rPr>
          <w:rFonts w:ascii="Arial Narrow" w:eastAsia="Arial Narrow" w:hAnsi="Arial Narrow" w:cs="Arial Narrow"/>
          <w:sz w:val="22"/>
          <w:szCs w:val="22"/>
        </w:rPr>
        <w:t xml:space="preserve">Así ha sido la guerra en Ucrania: datos y cronología sobre la invasión rusa, un año después, CNN en Español, 23 de Febrero, 2023. Disponible en: </w:t>
      </w:r>
      <w:hyperlink r:id="rId29">
        <w:r>
          <w:rPr>
            <w:rFonts w:ascii="Arial Narrow" w:eastAsia="Arial Narrow" w:hAnsi="Arial Narrow" w:cs="Arial Narrow"/>
            <w:color w:val="1155CC"/>
            <w:sz w:val="22"/>
            <w:szCs w:val="22"/>
            <w:u w:val="single"/>
          </w:rPr>
          <w:t>https://cnnespanol.cnn</w:t>
        </w:r>
        <w:r>
          <w:rPr>
            <w:rFonts w:ascii="Arial Narrow" w:eastAsia="Arial Narrow" w:hAnsi="Arial Narrow" w:cs="Arial Narrow"/>
            <w:color w:val="1155CC"/>
            <w:sz w:val="22"/>
            <w:szCs w:val="22"/>
            <w:u w:val="single"/>
          </w:rPr>
          <w:t>.com/2023/02/23/guerra-ucrania-cronologia-orix/</w:t>
        </w:r>
      </w:hyperlink>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sz w:val="22"/>
          <w:szCs w:val="22"/>
        </w:rPr>
      </w:pPr>
      <w:bookmarkStart w:id="70" w:name="_heading=h.1vr9wxas5tgi" w:colFirst="0" w:colLast="0"/>
      <w:bookmarkEnd w:id="70"/>
      <w:r>
        <w:rPr>
          <w:rFonts w:ascii="Arial Narrow" w:eastAsia="Arial Narrow" w:hAnsi="Arial Narrow" w:cs="Arial Narrow"/>
          <w:sz w:val="22"/>
          <w:szCs w:val="22"/>
        </w:rPr>
        <w:t xml:space="preserve">Ucrania y la crisis alimentaria y energética: Cuatro cosas que hay que saber. ONU Mujeres. 22 de septiembre de 2022. Disponible en: </w:t>
      </w:r>
      <w:hyperlink r:id="rId30">
        <w:r>
          <w:rPr>
            <w:rFonts w:ascii="Arial Narrow" w:eastAsia="Arial Narrow" w:hAnsi="Arial Narrow" w:cs="Arial Narrow"/>
            <w:color w:val="1155CC"/>
            <w:sz w:val="22"/>
            <w:szCs w:val="22"/>
            <w:u w:val="single"/>
          </w:rPr>
          <w:t>https://www.unwomen.org/es/noticias/reportaje/2022/09/ucrania-y-la-crisis-alimentaria-y-energetica-cuatro-cosas-que-hay-que-saber</w:t>
        </w:r>
      </w:hyperlink>
    </w:p>
    <w:p w:rsidR="007B5D61" w:rsidRDefault="00E062B9">
      <w:pPr>
        <w:numPr>
          <w:ilvl w:val="0"/>
          <w:numId w:val="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Una esperanza comercial: el impacto de la Iniciativa </w:t>
      </w:r>
      <w:r>
        <w:rPr>
          <w:rFonts w:ascii="Arial Narrow" w:eastAsia="Arial Narrow" w:hAnsi="Arial Narrow" w:cs="Arial Narrow"/>
          <w:sz w:val="22"/>
          <w:szCs w:val="22"/>
        </w:rPr>
        <w:t xml:space="preserve">de Granos del Mar Negro sobre Comercio y Desarrollo.  Conferencia de las Naciones Unidas. 2022. Disponible en: </w:t>
      </w:r>
      <w:hyperlink r:id="rId31">
        <w:r>
          <w:rPr>
            <w:rFonts w:ascii="Arial Narrow" w:eastAsia="Arial Narrow" w:hAnsi="Arial Narrow" w:cs="Arial Narrow"/>
            <w:color w:val="1155CC"/>
            <w:sz w:val="22"/>
            <w:szCs w:val="22"/>
            <w:u w:val="single"/>
          </w:rPr>
          <w:t>https://unctad.org/publication/trade-hope-impact-b</w:t>
        </w:r>
        <w:r>
          <w:rPr>
            <w:rFonts w:ascii="Arial Narrow" w:eastAsia="Arial Narrow" w:hAnsi="Arial Narrow" w:cs="Arial Narrow"/>
            <w:color w:val="1155CC"/>
            <w:sz w:val="22"/>
            <w:szCs w:val="22"/>
            <w:u w:val="single"/>
          </w:rPr>
          <w:t>lack-sea-grain-initiative</w:t>
        </w:r>
      </w:hyperlink>
    </w:p>
    <w:p w:rsidR="007B5D61" w:rsidRDefault="007B5D61">
      <w:pPr>
        <w:ind w:left="720"/>
        <w:jc w:val="both"/>
        <w:rPr>
          <w:rFonts w:ascii="Arial Narrow" w:eastAsia="Arial Narrow" w:hAnsi="Arial Narrow" w:cs="Arial Narrow"/>
          <w:sz w:val="22"/>
          <w:szCs w:val="22"/>
          <w:u w:val="single"/>
        </w:rPr>
      </w:pPr>
    </w:p>
    <w:p w:rsidR="007B5D61" w:rsidRDefault="00E062B9">
      <w:pPr>
        <w:numPr>
          <w:ilvl w:val="0"/>
          <w:numId w:val="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COLOMBIA, PIB PRODUCTO INTERNO BRUTO, Principales Resultados Año 2022. DANE 2022. Disponible en: </w:t>
      </w:r>
      <w:hyperlink r:id="rId32">
        <w:r>
          <w:rPr>
            <w:rFonts w:ascii="Arial Narrow" w:eastAsia="Arial Narrow" w:hAnsi="Arial Narrow" w:cs="Arial Narrow"/>
            <w:color w:val="1155CC"/>
            <w:sz w:val="22"/>
            <w:szCs w:val="22"/>
            <w:u w:val="single"/>
          </w:rPr>
          <w:t>https://www.d</w:t>
        </w:r>
        <w:r>
          <w:rPr>
            <w:rFonts w:ascii="Arial Narrow" w:eastAsia="Arial Narrow" w:hAnsi="Arial Narrow" w:cs="Arial Narrow"/>
            <w:color w:val="1155CC"/>
            <w:sz w:val="22"/>
            <w:szCs w:val="22"/>
            <w:u w:val="single"/>
          </w:rPr>
          <w:t>ane.gov.co/files/investigaciones/boletines/pib/presen_rueda_de_prensa_PIB_IVtrim22.pdf</w:t>
        </w:r>
      </w:hyperlink>
    </w:p>
    <w:p w:rsidR="007B5D61" w:rsidRDefault="007B5D61">
      <w:pPr>
        <w:jc w:val="both"/>
        <w:rPr>
          <w:rFonts w:ascii="Arial Narrow" w:eastAsia="Arial Narrow" w:hAnsi="Arial Narrow" w:cs="Arial Narrow"/>
          <w:sz w:val="22"/>
          <w:szCs w:val="22"/>
          <w:u w:val="single"/>
        </w:rPr>
      </w:pPr>
    </w:p>
    <w:p w:rsidR="007B5D61" w:rsidRDefault="00E062B9">
      <w:pPr>
        <w:numPr>
          <w:ilvl w:val="0"/>
          <w:numId w:val="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COLOMBIA. Series IPC Total Nacional e Inflación (desde 07/1954) IPC 1998: 16,70%. Banco de la República. Disponible en: </w:t>
      </w:r>
      <w:hyperlink r:id="rId33">
        <w:r>
          <w:rPr>
            <w:rFonts w:ascii="Arial Narrow" w:eastAsia="Arial Narrow" w:hAnsi="Arial Narrow" w:cs="Arial Narrow"/>
            <w:color w:val="1155CC"/>
            <w:sz w:val="22"/>
            <w:szCs w:val="22"/>
            <w:u w:val="single"/>
          </w:rPr>
          <w:t>https://totoro.banrep.gov.co/analytics/saw.dll?Go&amp;Action=prompt&amp;path=%2Fshared%2FSeries%20Estad%C3%ADsticas_T%2F1.%20IPC%20base%202018%2F1.2.%20Por%20a%C3%B1o%2F1.2.5.IPC_Serie_variaciones&amp;Options=rdf&amp;lang=es&amp;NQUser=publico&amp;NQPassword=publico123</w:t>
        </w:r>
      </w:hyperlink>
    </w:p>
    <w:p w:rsidR="007B5D61" w:rsidRDefault="007B5D61">
      <w:pPr>
        <w:ind w:left="720"/>
        <w:jc w:val="both"/>
        <w:rPr>
          <w:rFonts w:ascii="Arial Narrow" w:eastAsia="Arial Narrow" w:hAnsi="Arial Narrow" w:cs="Arial Narrow"/>
          <w:sz w:val="22"/>
          <w:szCs w:val="22"/>
          <w:u w:val="single"/>
        </w:rPr>
      </w:pPr>
    </w:p>
    <w:p w:rsidR="007B5D61" w:rsidRDefault="00E062B9">
      <w:pPr>
        <w:numPr>
          <w:ilvl w:val="0"/>
          <w:numId w:val="3"/>
        </w:numPr>
        <w:jc w:val="both"/>
        <w:rPr>
          <w:sz w:val="22"/>
          <w:szCs w:val="22"/>
        </w:rPr>
      </w:pPr>
      <w:r>
        <w:rPr>
          <w:rFonts w:ascii="Arial Narrow" w:eastAsia="Arial Narrow" w:hAnsi="Arial Narrow" w:cs="Arial Narrow"/>
          <w:sz w:val="22"/>
          <w:szCs w:val="22"/>
        </w:rPr>
        <w:t>Co</w:t>
      </w:r>
      <w:r>
        <w:rPr>
          <w:rFonts w:ascii="Arial Narrow" w:eastAsia="Arial Narrow" w:hAnsi="Arial Narrow" w:cs="Arial Narrow"/>
          <w:sz w:val="22"/>
          <w:szCs w:val="22"/>
        </w:rPr>
        <w:t>lombia: panorama general. Banco Mundial. 4 de abril de 2023. Disponible en:</w:t>
      </w:r>
      <w:r>
        <w:rPr>
          <w:rFonts w:ascii="Arial Narrow" w:eastAsia="Arial Narrow" w:hAnsi="Arial Narrow" w:cs="Arial Narrow"/>
          <w:b/>
          <w:sz w:val="22"/>
          <w:szCs w:val="22"/>
        </w:rPr>
        <w:t xml:space="preserve"> </w:t>
      </w:r>
      <w:hyperlink r:id="rId34" w:anchor=":~:text=El%20PIB%20creci%C3%B3%20s%C3%B3lidamente%20a,alto%20d%C3%A9ficit%20de%20cuenta%20corriente">
        <w:r>
          <w:rPr>
            <w:rFonts w:ascii="Arial Narrow" w:eastAsia="Arial Narrow" w:hAnsi="Arial Narrow" w:cs="Arial Narrow"/>
            <w:color w:val="1155CC"/>
            <w:sz w:val="22"/>
            <w:szCs w:val="22"/>
            <w:u w:val="single"/>
          </w:rPr>
          <w:t>https://www.bancomundial.org/es/country/colombia/overview#:~:text=El%20PIB%20creci%C3%B3%20s%C3%B3lidamente%20a,alto%20d%C3%A9ficit%20de%20cuenta%20corriente</w:t>
        </w:r>
      </w:hyperlink>
      <w:r>
        <w:rPr>
          <w:rFonts w:ascii="Arial Narrow" w:eastAsia="Arial Narrow" w:hAnsi="Arial Narrow" w:cs="Arial Narrow"/>
          <w:sz w:val="22"/>
          <w:szCs w:val="22"/>
          <w:u w:val="single"/>
        </w:rPr>
        <w:t>.</w:t>
      </w:r>
    </w:p>
    <w:p w:rsidR="007B5D61" w:rsidRDefault="007B5D61">
      <w:pPr>
        <w:ind w:left="720"/>
        <w:jc w:val="both"/>
        <w:rPr>
          <w:rFonts w:ascii="Arial Narrow" w:eastAsia="Arial Narrow" w:hAnsi="Arial Narrow" w:cs="Arial Narrow"/>
          <w:sz w:val="22"/>
          <w:szCs w:val="22"/>
          <w:u w:val="single"/>
        </w:rPr>
      </w:pPr>
    </w:p>
    <w:p w:rsidR="007B5D61" w:rsidRDefault="00E062B9">
      <w:pPr>
        <w:numPr>
          <w:ilvl w:val="0"/>
          <w:numId w:val="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Anexo IPC. Variaciones y contribuciones mensual, año corrido y anual según subclases. Hoja 8.</w:t>
      </w:r>
      <w:r>
        <w:rPr>
          <w:rFonts w:ascii="Arial Narrow" w:eastAsia="Arial Narrow" w:hAnsi="Arial Narrow" w:cs="Arial Narrow"/>
          <w:sz w:val="22"/>
          <w:szCs w:val="22"/>
        </w:rPr>
        <w:t xml:space="preserve"> Subclase del índice de precios del consumidor, No. 09340200, generado por el Departamento Administrativo Nacional de Estadística -DANE. Mayo 2023. Disponible en: </w:t>
      </w:r>
      <w:hyperlink r:id="rId35" w:anchor=":~:text=En%20abril%20de%202023%20la,fue%20del%200%2C78%25">
        <w:r>
          <w:rPr>
            <w:rFonts w:ascii="Arial Narrow" w:eastAsia="Arial Narrow" w:hAnsi="Arial Narrow" w:cs="Arial Narrow"/>
            <w:color w:val="1155CC"/>
            <w:sz w:val="22"/>
            <w:szCs w:val="22"/>
            <w:u w:val="single"/>
          </w:rPr>
          <w:t>https://www.dane.gov.co/index.php/estadisticas-por-tema/precios-y-costos/indice-de-precios-al-consumidor-ipc/ipc-informacion-tecnica#:</w:t>
        </w:r>
        <w:r>
          <w:rPr>
            <w:rFonts w:ascii="Arial Narrow" w:eastAsia="Arial Narrow" w:hAnsi="Arial Narrow" w:cs="Arial Narrow"/>
            <w:color w:val="1155CC"/>
            <w:sz w:val="22"/>
            <w:szCs w:val="22"/>
            <w:u w:val="single"/>
          </w:rPr>
          <w:t>~:text=En%20abril%20de%202023%20la,fue%20del%200%2C78%25</w:t>
        </w:r>
      </w:hyperlink>
    </w:p>
    <w:p w:rsidR="007B5D61" w:rsidRDefault="007B5D61">
      <w:pPr>
        <w:ind w:left="720"/>
        <w:jc w:val="both"/>
        <w:rPr>
          <w:rFonts w:ascii="Arial Narrow" w:eastAsia="Arial Narrow" w:hAnsi="Arial Narrow" w:cs="Arial Narrow"/>
          <w:sz w:val="22"/>
          <w:szCs w:val="22"/>
        </w:rPr>
      </w:pPr>
    </w:p>
    <w:p w:rsidR="007B5D61" w:rsidRDefault="00E062B9">
      <w:pPr>
        <w:numPr>
          <w:ilvl w:val="0"/>
          <w:numId w:val="3"/>
        </w:numPr>
        <w:rPr>
          <w:rFonts w:ascii="Arial Narrow" w:eastAsia="Arial Narrow" w:hAnsi="Arial Narrow" w:cs="Arial Narrow"/>
          <w:sz w:val="22"/>
          <w:szCs w:val="22"/>
        </w:rPr>
      </w:pPr>
      <w:hyperlink r:id="rId36">
        <w:r>
          <w:rPr>
            <w:rFonts w:ascii="Arial Narrow" w:eastAsia="Arial Narrow" w:hAnsi="Arial Narrow" w:cs="Arial Narrow"/>
            <w:sz w:val="22"/>
            <w:szCs w:val="22"/>
          </w:rPr>
          <w:t>WORLD ANIMAL PROTECTION</w:t>
        </w:r>
      </w:hyperlink>
      <w:r>
        <w:rPr>
          <w:rFonts w:ascii="Arial Narrow" w:eastAsia="Arial Narrow" w:hAnsi="Arial Narrow" w:cs="Arial Narrow"/>
          <w:sz w:val="22"/>
          <w:szCs w:val="22"/>
        </w:rPr>
        <w:t xml:space="preserve">. Sintiencia Animal. Disponible en: </w:t>
      </w:r>
      <w:hyperlink r:id="rId37">
        <w:r>
          <w:rPr>
            <w:rFonts w:ascii="Arial Narrow" w:eastAsia="Arial Narrow" w:hAnsi="Arial Narrow" w:cs="Arial Narrow"/>
            <w:color w:val="1155CC"/>
            <w:sz w:val="22"/>
            <w:szCs w:val="22"/>
            <w:u w:val="single"/>
          </w:rPr>
          <w:t>https://www.worldanimalprotection.cr/nuestras-campanas/sintiencia-animal/</w:t>
        </w:r>
      </w:hyperlink>
    </w:p>
    <w:p w:rsidR="007B5D61" w:rsidRDefault="00E062B9">
      <w:pPr>
        <w:ind w:left="720"/>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7B5D61" w:rsidRDefault="00E062B9">
      <w:pPr>
        <w:numPr>
          <w:ilvl w:val="0"/>
          <w:numId w:val="3"/>
        </w:numPr>
        <w:rPr>
          <w:rFonts w:ascii="Arial Narrow" w:eastAsia="Arial Narrow" w:hAnsi="Arial Narrow" w:cs="Arial Narrow"/>
          <w:sz w:val="22"/>
          <w:szCs w:val="22"/>
        </w:rPr>
      </w:pPr>
      <w:r>
        <w:rPr>
          <w:rFonts w:ascii="Arial Narrow" w:eastAsia="Arial Narrow" w:hAnsi="Arial Narrow" w:cs="Arial Narrow"/>
          <w:sz w:val="22"/>
          <w:szCs w:val="22"/>
        </w:rPr>
        <w:t xml:space="preserve"> Artículo 1. Ley 1774 de 2016. “Por medio de la cual se modifican el Código Civil, la Ley 84 de 1989, el Código Penal, el Código de Procedimiento Penal y se dictan otras</w:t>
      </w:r>
      <w:r>
        <w:rPr>
          <w:rFonts w:ascii="Arial Narrow" w:eastAsia="Arial Narrow" w:hAnsi="Arial Narrow" w:cs="Arial Narrow"/>
          <w:sz w:val="22"/>
          <w:szCs w:val="22"/>
        </w:rPr>
        <w:t xml:space="preserve"> disposiciones.”</w:t>
      </w:r>
    </w:p>
    <w:p w:rsidR="007B5D61" w:rsidRDefault="007B5D61">
      <w:pPr>
        <w:rPr>
          <w:rFonts w:ascii="Arial Narrow" w:eastAsia="Arial Narrow" w:hAnsi="Arial Narrow" w:cs="Arial Narrow"/>
          <w:sz w:val="22"/>
          <w:szCs w:val="22"/>
        </w:rPr>
      </w:pPr>
    </w:p>
    <w:p w:rsidR="007B5D61" w:rsidRDefault="00E062B9">
      <w:pPr>
        <w:numPr>
          <w:ilvl w:val="0"/>
          <w:numId w:val="3"/>
        </w:numPr>
        <w:rPr>
          <w:rFonts w:ascii="Arial Narrow" w:eastAsia="Arial Narrow" w:hAnsi="Arial Narrow" w:cs="Arial Narrow"/>
          <w:b/>
          <w:sz w:val="22"/>
          <w:szCs w:val="22"/>
        </w:rPr>
      </w:pPr>
      <w:r>
        <w:rPr>
          <w:rFonts w:ascii="Arial Narrow" w:eastAsia="Arial Narrow" w:hAnsi="Arial Narrow" w:cs="Arial Narrow"/>
          <w:sz w:val="22"/>
          <w:szCs w:val="22"/>
        </w:rPr>
        <w:t>ESTRÉS EN PERROS Y GATOS: CAUSAS, SALUD Y SOLUCIONES NATURALES | NATUKA BARF. Disponible en:</w:t>
      </w:r>
    </w:p>
    <w:p w:rsidR="007B5D61" w:rsidRDefault="00E062B9">
      <w:pPr>
        <w:ind w:left="720"/>
        <w:rPr>
          <w:rFonts w:ascii="Arial Narrow" w:eastAsia="Arial Narrow" w:hAnsi="Arial Narrow" w:cs="Arial Narrow"/>
          <w:sz w:val="22"/>
          <w:szCs w:val="22"/>
        </w:rPr>
      </w:pPr>
      <w:hyperlink r:id="rId38" w:anchor=":~:text=Alteraciones%20en%20la%20dieta%2C%20horarios,aspectos%20fundamentales%20para%20su%20bienestar">
        <w:r>
          <w:rPr>
            <w:rFonts w:ascii="Arial Narrow" w:eastAsia="Arial Narrow" w:hAnsi="Arial Narrow" w:cs="Arial Narrow"/>
            <w:color w:val="1155CC"/>
            <w:sz w:val="22"/>
            <w:szCs w:val="22"/>
            <w:u w:val="single"/>
          </w:rPr>
          <w:t>https://natukabarf.com/blogs/news/estres-en-perros-y-gatos-causas-salud-y-soluciones-naturales#:~:text=Alteraciones%20en%20la%20dieta%2C%20horarios,aspectos%20fundamentales%20para%</w:t>
        </w:r>
        <w:r>
          <w:rPr>
            <w:rFonts w:ascii="Arial Narrow" w:eastAsia="Arial Narrow" w:hAnsi="Arial Narrow" w:cs="Arial Narrow"/>
            <w:color w:val="1155CC"/>
            <w:sz w:val="22"/>
            <w:szCs w:val="22"/>
            <w:u w:val="single"/>
          </w:rPr>
          <w:t>20su%20bienestar</w:t>
        </w:r>
      </w:hyperlink>
      <w:r>
        <w:rPr>
          <w:rFonts w:ascii="Arial Narrow" w:eastAsia="Arial Narrow" w:hAnsi="Arial Narrow" w:cs="Arial Narrow"/>
          <w:sz w:val="22"/>
          <w:szCs w:val="22"/>
        </w:rPr>
        <w:t>.</w:t>
      </w:r>
    </w:p>
    <w:p w:rsidR="007B5D61" w:rsidRDefault="007B5D61">
      <w:pPr>
        <w:ind w:left="720"/>
        <w:rPr>
          <w:rFonts w:ascii="Arial Narrow" w:eastAsia="Arial Narrow" w:hAnsi="Arial Narrow" w:cs="Arial Narrow"/>
          <w:sz w:val="22"/>
          <w:szCs w:val="22"/>
        </w:rPr>
      </w:pPr>
    </w:p>
    <w:p w:rsidR="007B5D61" w:rsidRDefault="00E062B9">
      <w:pPr>
        <w:numPr>
          <w:ilvl w:val="0"/>
          <w:numId w:val="3"/>
        </w:numPr>
        <w:rPr>
          <w:rFonts w:ascii="Arial Narrow" w:eastAsia="Arial Narrow" w:hAnsi="Arial Narrow" w:cs="Arial Narrow"/>
          <w:sz w:val="22"/>
          <w:szCs w:val="22"/>
        </w:rPr>
      </w:pPr>
      <w:r>
        <w:rPr>
          <w:rFonts w:ascii="Arial Narrow" w:eastAsia="Arial Narrow" w:hAnsi="Arial Narrow" w:cs="Arial Narrow"/>
          <w:sz w:val="22"/>
          <w:szCs w:val="22"/>
        </w:rPr>
        <w:t xml:space="preserve">Observatorio Ambiental de Bogota. ¿Cuántos perros deambulantes hay en Bogotá?. 2022. Disponible en: </w:t>
      </w:r>
      <w:hyperlink r:id="rId39">
        <w:r>
          <w:rPr>
            <w:rFonts w:ascii="Arial Narrow" w:eastAsia="Arial Narrow" w:hAnsi="Arial Narrow" w:cs="Arial Narrow"/>
            <w:color w:val="1155CC"/>
            <w:sz w:val="22"/>
            <w:szCs w:val="22"/>
            <w:u w:val="single"/>
          </w:rPr>
          <w:t>https://oab.ambientebogota.gov.co/cuantos-perros-callejeros-hay-en-bogota/</w:t>
        </w:r>
      </w:hyperlink>
    </w:p>
    <w:p w:rsidR="007B5D61" w:rsidRDefault="007B5D61">
      <w:pPr>
        <w:rPr>
          <w:rFonts w:ascii="Arial Narrow" w:eastAsia="Arial Narrow" w:hAnsi="Arial Narrow" w:cs="Arial Narrow"/>
          <w:sz w:val="22"/>
          <w:szCs w:val="22"/>
        </w:rPr>
      </w:pPr>
    </w:p>
    <w:p w:rsidR="007B5D61" w:rsidRDefault="00E062B9">
      <w:pPr>
        <w:numPr>
          <w:ilvl w:val="0"/>
          <w:numId w:val="3"/>
        </w:numPr>
        <w:rPr>
          <w:rFonts w:ascii="Arial Narrow" w:eastAsia="Arial Narrow" w:hAnsi="Arial Narrow" w:cs="Arial Narrow"/>
          <w:b/>
          <w:sz w:val="22"/>
          <w:szCs w:val="22"/>
        </w:rPr>
      </w:pPr>
      <w:r>
        <w:rPr>
          <w:rFonts w:ascii="Arial Narrow" w:eastAsia="Arial Narrow" w:hAnsi="Arial Narrow" w:cs="Arial Narrow"/>
          <w:sz w:val="22"/>
          <w:szCs w:val="22"/>
        </w:rPr>
        <w:t xml:space="preserve">El Colombiano. Colombia tiene 3 millones de perros y gatos en situación de calle. 2023.Disponible en: </w:t>
      </w:r>
      <w:hyperlink r:id="rId40">
        <w:r>
          <w:rPr>
            <w:rFonts w:ascii="Arial Narrow" w:eastAsia="Arial Narrow" w:hAnsi="Arial Narrow" w:cs="Arial Narrow"/>
            <w:color w:val="1155CC"/>
            <w:sz w:val="22"/>
            <w:szCs w:val="22"/>
            <w:u w:val="single"/>
          </w:rPr>
          <w:t>https://www.elcolombiano.com/colombia/maltrato-animal-en-colombia-tiene-a-3-millones-de-perros-y-gatos-en-la-call</w:t>
        </w:r>
        <w:r>
          <w:rPr>
            <w:rFonts w:ascii="Arial Narrow" w:eastAsia="Arial Narrow" w:hAnsi="Arial Narrow" w:cs="Arial Narrow"/>
            <w:color w:val="1155CC"/>
            <w:sz w:val="22"/>
            <w:szCs w:val="22"/>
            <w:u w:val="single"/>
          </w:rPr>
          <w:t>e-LK20197268</w:t>
        </w:r>
      </w:hyperlink>
    </w:p>
    <w:p w:rsidR="007B5D61" w:rsidRDefault="007B5D61">
      <w:pPr>
        <w:rPr>
          <w:rFonts w:ascii="Arial Narrow" w:eastAsia="Arial Narrow" w:hAnsi="Arial Narrow" w:cs="Arial Narrow"/>
          <w:b/>
          <w:sz w:val="22"/>
          <w:szCs w:val="22"/>
        </w:rPr>
      </w:pPr>
    </w:p>
    <w:p w:rsidR="007B5D61" w:rsidRDefault="00E062B9">
      <w:pPr>
        <w:numPr>
          <w:ilvl w:val="0"/>
          <w:numId w:val="3"/>
        </w:numPr>
        <w:rPr>
          <w:rFonts w:ascii="Arial Narrow" w:eastAsia="Arial Narrow" w:hAnsi="Arial Narrow" w:cs="Arial Narrow"/>
          <w:sz w:val="22"/>
          <w:szCs w:val="22"/>
        </w:rPr>
      </w:pPr>
      <w:r>
        <w:rPr>
          <w:rFonts w:ascii="Arial Narrow" w:eastAsia="Arial Narrow" w:hAnsi="Arial Narrow" w:cs="Arial Narrow"/>
          <w:sz w:val="22"/>
          <w:szCs w:val="22"/>
        </w:rPr>
        <w:t xml:space="preserve"> COLOMBIA. CORTE CONSTITUCIONAL. SALA SÉPTIMA DE REVISIÓN, Sentencia T-325-17 (15 de mayo de 2017). Magistrado Ponente: Aquiles Arrieta Gómez.</w:t>
      </w:r>
    </w:p>
    <w:p w:rsidR="007B5D61" w:rsidRDefault="007B5D61">
      <w:pPr>
        <w:ind w:left="720"/>
        <w:rPr>
          <w:rFonts w:ascii="Arial Narrow" w:eastAsia="Arial Narrow" w:hAnsi="Arial Narrow" w:cs="Arial Narrow"/>
          <w:sz w:val="22"/>
          <w:szCs w:val="22"/>
        </w:rPr>
      </w:pP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sz w:val="22"/>
          <w:szCs w:val="22"/>
        </w:rPr>
      </w:pPr>
      <w:bookmarkStart w:id="71" w:name="_heading=h.jckp354uja72" w:colFirst="0" w:colLast="0"/>
      <w:bookmarkEnd w:id="71"/>
      <w:r>
        <w:rPr>
          <w:rFonts w:ascii="Arial Narrow" w:eastAsia="Arial Narrow" w:hAnsi="Arial Narrow" w:cs="Arial Narrow"/>
          <w:sz w:val="22"/>
          <w:szCs w:val="22"/>
        </w:rPr>
        <w:t xml:space="preserve"> COLOMBIA. CORTE CONSTITUCIONAL. SALA PLENA, Sentencia C-148-22 (27 de abril de 2022) Magistrado P</w:t>
      </w:r>
      <w:r>
        <w:rPr>
          <w:rFonts w:ascii="Arial Narrow" w:eastAsia="Arial Narrow" w:hAnsi="Arial Narrow" w:cs="Arial Narrow"/>
          <w:sz w:val="22"/>
          <w:szCs w:val="22"/>
        </w:rPr>
        <w:t>onente: Diana Fajardo Rivera.</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sz w:val="22"/>
          <w:szCs w:val="22"/>
        </w:rPr>
      </w:pPr>
      <w:bookmarkStart w:id="72" w:name="_heading=h.91vj7u1tnrdu" w:colFirst="0" w:colLast="0"/>
      <w:bookmarkEnd w:id="72"/>
      <w:r>
        <w:rPr>
          <w:rFonts w:ascii="Arial Narrow" w:eastAsia="Arial Narrow" w:hAnsi="Arial Narrow" w:cs="Arial Narrow"/>
          <w:sz w:val="22"/>
          <w:szCs w:val="22"/>
        </w:rPr>
        <w:t>COLOMBIA. CORTE CONSTITUCIONAL. SALA SEXTA DE REVISIÓN, Sentencia T-035-97 (30 de enero de 1997). Magistrado Ponente: Hernando Herrera Vergara.</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sz w:val="22"/>
          <w:szCs w:val="22"/>
        </w:rPr>
      </w:pPr>
      <w:bookmarkStart w:id="73" w:name="_heading=h.b4jff14k3b53" w:colFirst="0" w:colLast="0"/>
      <w:bookmarkEnd w:id="73"/>
      <w:r>
        <w:rPr>
          <w:rFonts w:ascii="Arial Narrow" w:eastAsia="Arial Narrow" w:hAnsi="Arial Narrow" w:cs="Arial Narrow"/>
          <w:sz w:val="22"/>
          <w:szCs w:val="22"/>
        </w:rPr>
        <w:t>COLOMBIA. CORTE CONSTITUCIONAL. SALA PLENA DE REVISIÓN DE LA CORTE, Sentencia C-06</w:t>
      </w:r>
      <w:r>
        <w:rPr>
          <w:rFonts w:ascii="Arial Narrow" w:eastAsia="Arial Narrow" w:hAnsi="Arial Narrow" w:cs="Arial Narrow"/>
          <w:sz w:val="22"/>
          <w:szCs w:val="22"/>
        </w:rPr>
        <w:t>6-10 (30 de agosto de 2010).  Magistrado Ponente: Humberto Antonio Sierra Porto.</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rFonts w:ascii="Arial Narrow" w:eastAsia="Arial Narrow" w:hAnsi="Arial Narrow" w:cs="Arial Narrow"/>
          <w:sz w:val="22"/>
          <w:szCs w:val="22"/>
        </w:rPr>
      </w:pPr>
      <w:bookmarkStart w:id="74" w:name="_heading=h.y5pdxw79o2dw" w:colFirst="0" w:colLast="0"/>
      <w:bookmarkEnd w:id="74"/>
      <w:r>
        <w:rPr>
          <w:rFonts w:ascii="Arial Narrow" w:eastAsia="Arial Narrow" w:hAnsi="Arial Narrow" w:cs="Arial Narrow"/>
          <w:sz w:val="22"/>
          <w:szCs w:val="22"/>
        </w:rPr>
        <w:t>COLOMBIA. CORTE CONSTITUCIONAL. SALA PLENA DE REVISIÓN DE LA CORTE, Sentencia C-066-10 (30 de agosto de 2010).  Magistrado Ponente: Humberto Antonio Sierra Porto.</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sz w:val="22"/>
          <w:szCs w:val="22"/>
        </w:rPr>
      </w:pPr>
      <w:bookmarkStart w:id="75" w:name="_heading=h.85qhnf8h9yyd" w:colFirst="0" w:colLast="0"/>
      <w:bookmarkEnd w:id="75"/>
      <w:r>
        <w:rPr>
          <w:rFonts w:ascii="Arial Narrow" w:eastAsia="Arial Narrow" w:hAnsi="Arial Narrow" w:cs="Arial Narrow"/>
          <w:sz w:val="22"/>
          <w:szCs w:val="22"/>
        </w:rPr>
        <w:t xml:space="preserve"> COLOMBIA. C</w:t>
      </w:r>
      <w:r>
        <w:rPr>
          <w:rFonts w:ascii="Arial Narrow" w:eastAsia="Arial Narrow" w:hAnsi="Arial Narrow" w:cs="Arial Narrow"/>
          <w:sz w:val="22"/>
          <w:szCs w:val="22"/>
        </w:rPr>
        <w:t>ONSEJO DE ESTADO. SALA PLENA. Sentencia, Radicación número: expediente 11001-03-15-000-2002-0447-01 (03 de septiembre de 2002). Consejero Ponente: Roberto Medina Lopez.</w:t>
      </w:r>
    </w:p>
    <w:p w:rsidR="007B5D61" w:rsidRDefault="00E062B9">
      <w:pPr>
        <w:numPr>
          <w:ilvl w:val="0"/>
          <w:numId w:val="3"/>
        </w:num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sz w:val="22"/>
          <w:szCs w:val="22"/>
        </w:rPr>
      </w:pPr>
      <w:bookmarkStart w:id="76" w:name="_heading=h.wt6d3wtcisf5" w:colFirst="0" w:colLast="0"/>
      <w:bookmarkEnd w:id="76"/>
      <w:r>
        <w:rPr>
          <w:rFonts w:ascii="Arial Narrow" w:eastAsia="Arial Narrow" w:hAnsi="Arial Narrow" w:cs="Arial Narrow"/>
          <w:sz w:val="22"/>
          <w:szCs w:val="22"/>
        </w:rPr>
        <w:t>COLOMBIA. CONSEJO DE ESTADO SALA DE CONSULTA Y SERVICIO CIVIL, Concepto, Radicación núm</w:t>
      </w:r>
      <w:r>
        <w:rPr>
          <w:rFonts w:ascii="Arial Narrow" w:eastAsia="Arial Narrow" w:hAnsi="Arial Narrow" w:cs="Arial Narrow"/>
          <w:sz w:val="22"/>
          <w:szCs w:val="22"/>
        </w:rPr>
        <w:t>ero: 2042 (21 de octubre de 2010). Consejero Ponente: Augusto Hernández Becerra</w:t>
      </w:r>
      <w:r>
        <w:rPr>
          <w:rFonts w:ascii="Arial Narrow" w:eastAsia="Arial Narrow" w:hAnsi="Arial Narrow" w:cs="Arial Narrow"/>
          <w:sz w:val="22"/>
          <w:szCs w:val="22"/>
          <w:highlight w:val="white"/>
        </w:rPr>
        <w:t>.</w:t>
      </w:r>
      <w:r>
        <w:rPr>
          <w:rFonts w:ascii="Arial Narrow" w:eastAsia="Arial Narrow" w:hAnsi="Arial Narrow" w:cs="Arial Narrow"/>
          <w:sz w:val="22"/>
          <w:szCs w:val="22"/>
          <w:u w:val="single"/>
        </w:rPr>
        <w:br/>
      </w:r>
    </w:p>
    <w:p w:rsidR="007B5D61" w:rsidRDefault="007B5D61">
      <w:pPr>
        <w:rPr>
          <w:color w:val="0563C1"/>
          <w:sz w:val="20"/>
          <w:szCs w:val="20"/>
          <w:u w:val="single"/>
        </w:rPr>
      </w:pPr>
    </w:p>
    <w:sectPr w:rsidR="007B5D61">
      <w:headerReference w:type="default" r:id="rId41"/>
      <w:footerReference w:type="even" r:id="rId42"/>
      <w:footerReference w:type="default" r:id="rId43"/>
      <w:pgSz w:w="12240" w:h="15840"/>
      <w:pgMar w:top="24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2B9">
      <w:r>
        <w:separator/>
      </w:r>
    </w:p>
  </w:endnote>
  <w:endnote w:type="continuationSeparator" w:id="0">
    <w:p w:rsidR="00000000" w:rsidRDefault="00E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Noto San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1" w:rsidRDefault="007B5D61">
    <w:pPr>
      <w:pBdr>
        <w:top w:val="nil"/>
        <w:left w:val="nil"/>
        <w:bottom w:val="nil"/>
        <w:right w:val="nil"/>
        <w:between w:val="nil"/>
      </w:pBdr>
      <w:tabs>
        <w:tab w:val="center" w:pos="4680"/>
        <w:tab w:val="right" w:pos="9360"/>
      </w:tabs>
      <w:jc w:val="right"/>
      <w:rPr>
        <w:color w:val="000000"/>
      </w:rPr>
    </w:pPr>
  </w:p>
  <w:p w:rsidR="007B5D61" w:rsidRDefault="007B5D61">
    <w:pPr>
      <w:pBdr>
        <w:top w:val="nil"/>
        <w:left w:val="nil"/>
        <w:bottom w:val="nil"/>
        <w:right w:val="nil"/>
        <w:between w:val="nil"/>
      </w:pBdr>
      <w:tabs>
        <w:tab w:val="center" w:pos="4680"/>
        <w:tab w:val="right" w:pos="9360"/>
      </w:tabs>
      <w:ind w:right="360"/>
      <w:rPr>
        <w:color w:val="000000"/>
      </w:rPr>
    </w:pPr>
  </w:p>
  <w:p w:rsidR="007B5D61" w:rsidRDefault="00E062B9">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1" w:rsidRDefault="00E062B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7B5D61" w:rsidRDefault="00E062B9">
    <w:pPr>
      <w:tabs>
        <w:tab w:val="center" w:pos="4252"/>
        <w:tab w:val="right" w:pos="8504"/>
      </w:tabs>
      <w:ind w:right="360"/>
      <w:jc w:val="center"/>
      <w:rPr>
        <w:rFonts w:ascii="Times New Roman" w:eastAsia="Times New Roman" w:hAnsi="Times New Roman" w:cs="Times New Roman"/>
      </w:rPr>
    </w:pPr>
    <w:r>
      <w:rPr>
        <w:rFonts w:ascii="Times New Roman" w:eastAsia="Times New Roman" w:hAnsi="Times New Roman" w:cs="Times New Roman"/>
        <w:noProof/>
        <w:lang w:val="es-CO"/>
      </w:rPr>
      <w:drawing>
        <wp:inline distT="0" distB="0" distL="0" distR="0">
          <wp:extent cx="3114040" cy="267335"/>
          <wp:effectExtent l="0" t="0" r="0" b="0"/>
          <wp:docPr id="4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7B5D61" w:rsidRDefault="00E062B9">
    <w:pPr>
      <w:tabs>
        <w:tab w:val="center" w:pos="4252"/>
        <w:tab w:val="right" w:pos="8504"/>
      </w:tabs>
      <w:jc w:val="center"/>
      <w:rPr>
        <w:rFonts w:ascii="Cambria" w:eastAsia="Cambria" w:hAnsi="Cambria" w:cs="Cambria"/>
        <w:sz w:val="20"/>
        <w:szCs w:val="20"/>
      </w:rPr>
    </w:pPr>
    <w:r>
      <w:rPr>
        <w:rFonts w:ascii="Times New Roman" w:eastAsia="Times New Roman" w:hAnsi="Times New Roman" w:cs="Times New Roman"/>
        <w:color w:val="0563C1"/>
        <w:sz w:val="18"/>
        <w:szCs w:val="18"/>
        <w:highlight w:val="white"/>
        <w:u w:val="single"/>
      </w:rPr>
      <w:t xml:space="preserve"> </w:t>
    </w:r>
    <w:r>
      <w:rPr>
        <w:rFonts w:ascii="Cambria" w:eastAsia="Cambria" w:hAnsi="Cambria" w:cs="Cambria"/>
        <w:sz w:val="20"/>
        <w:szCs w:val="20"/>
      </w:rPr>
      <w:t>Cra. 7 No. 8 – 68 Of. 325. Edificio Nuevo del Congreso. Bogotá.</w:t>
    </w:r>
  </w:p>
  <w:p w:rsidR="007B5D61" w:rsidRDefault="00E062B9">
    <w:pPr>
      <w:tabs>
        <w:tab w:val="center" w:pos="4419"/>
        <w:tab w:val="right" w:pos="8838"/>
      </w:tabs>
      <w:jc w:val="center"/>
      <w:rPr>
        <w:rFonts w:ascii="Cambria" w:eastAsia="Cambria" w:hAnsi="Cambria" w:cs="Cambria"/>
        <w:sz w:val="20"/>
        <w:szCs w:val="20"/>
      </w:rPr>
    </w:pPr>
    <w:r>
      <w:rPr>
        <w:rFonts w:ascii="Cambria" w:eastAsia="Cambria" w:hAnsi="Cambria" w:cs="Cambria"/>
        <w:sz w:val="20"/>
        <w:szCs w:val="20"/>
      </w:rPr>
      <w:t xml:space="preserve">Correo: </w:t>
    </w:r>
    <w:hyperlink r:id="rId2">
      <w:r>
        <w:rPr>
          <w:rFonts w:ascii="Cambria" w:eastAsia="Cambria" w:hAnsi="Cambria" w:cs="Cambria"/>
          <w:color w:val="0000FF"/>
          <w:sz w:val="20"/>
          <w:szCs w:val="20"/>
          <w:u w:val="single"/>
        </w:rPr>
        <w:t>wilmer.castellanos@camara.gov.co</w:t>
      </w:r>
    </w:hyperlink>
  </w:p>
  <w:p w:rsidR="007B5D61" w:rsidRDefault="00E062B9">
    <w:pPr>
      <w:tabs>
        <w:tab w:val="center" w:pos="4419"/>
        <w:tab w:val="right" w:pos="8838"/>
      </w:tabs>
      <w:jc w:val="center"/>
      <w:rPr>
        <w:rFonts w:ascii="Times New Roman" w:eastAsia="Times New Roman" w:hAnsi="Times New Roman" w:cs="Times New Roman"/>
        <w:color w:val="0563C1"/>
        <w:sz w:val="18"/>
        <w:szCs w:val="18"/>
        <w:highlight w:val="white"/>
        <w:u w:val="single"/>
      </w:rPr>
    </w:pPr>
    <w:r>
      <w:rPr>
        <w:rFonts w:ascii="Cambria" w:eastAsia="Cambria" w:hAnsi="Cambria" w:cs="Cambria"/>
        <w:sz w:val="20"/>
        <w:szCs w:val="20"/>
      </w:rPr>
      <w:t>Teléfono: 3904050 ext. 3178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62B9">
      <w:r>
        <w:separator/>
      </w:r>
    </w:p>
  </w:footnote>
  <w:footnote w:type="continuationSeparator" w:id="0">
    <w:p w:rsidR="00000000" w:rsidRDefault="00E062B9">
      <w:r>
        <w:continuationSeparator/>
      </w:r>
    </w:p>
  </w:footnote>
  <w:footnote w:id="1">
    <w:p w:rsidR="007B5D61" w:rsidRDefault="00E062B9">
      <w:pPr>
        <w:rPr>
          <w:sz w:val="18"/>
          <w:szCs w:val="18"/>
        </w:rPr>
      </w:pPr>
      <w:r>
        <w:rPr>
          <w:vertAlign w:val="superscript"/>
        </w:rPr>
        <w:footnoteRef/>
      </w:r>
      <w:r>
        <w:rPr>
          <w:sz w:val="18"/>
          <w:szCs w:val="18"/>
        </w:rPr>
        <w:t xml:space="preserve"> INFORME NACIONAL DE ZOONOSIS 2018 SUBDIRECCIÓN DE SALUD AMBIENTAL, Ministerio de Salud, Dirección de Promoción y Prevención</w:t>
      </w:r>
    </w:p>
    <w:p w:rsidR="007B5D61" w:rsidRDefault="00E062B9">
      <w:pPr>
        <w:rPr>
          <w:color w:val="0563C1"/>
          <w:sz w:val="20"/>
          <w:szCs w:val="20"/>
          <w:u w:val="single"/>
        </w:rPr>
      </w:pPr>
      <w:r>
        <w:rPr>
          <w:color w:val="0563C1"/>
          <w:sz w:val="20"/>
          <w:szCs w:val="20"/>
          <w:u w:val="single"/>
        </w:rPr>
        <w:t>https://www.minsalud.gov.co/sites/rid/Lists/Bibliot</w:t>
      </w:r>
      <w:r>
        <w:rPr>
          <w:color w:val="0563C1"/>
          <w:sz w:val="20"/>
          <w:szCs w:val="20"/>
          <w:u w:val="single"/>
        </w:rPr>
        <w:t>ecaDigital/RIDE/VS/PP/SA/informe-nacional-zoonosis-2018.pdf</w:t>
      </w:r>
    </w:p>
  </w:footnote>
  <w:footnote w:id="2">
    <w:p w:rsidR="007B5D61" w:rsidRDefault="00E062B9">
      <w:pPr>
        <w:rPr>
          <w:sz w:val="18"/>
          <w:szCs w:val="18"/>
        </w:rPr>
      </w:pPr>
      <w:r>
        <w:rPr>
          <w:vertAlign w:val="superscript"/>
        </w:rPr>
        <w:footnoteRef/>
      </w:r>
      <w:r>
        <w:rPr>
          <w:sz w:val="18"/>
          <w:szCs w:val="18"/>
        </w:rPr>
        <w:t xml:space="preserve">Por una tenencia más responsable de mascotas. 2024. Cifras &amp; Conceptos, Universidad de los Andes Instituto Humboldt. Disponible en: </w:t>
      </w:r>
      <w:hyperlink r:id="rId1">
        <w:r>
          <w:rPr>
            <w:color w:val="1155CC"/>
            <w:sz w:val="18"/>
            <w:szCs w:val="18"/>
            <w:u w:val="single"/>
          </w:rPr>
          <w:t>https://drive.google.com/file/d/1rsfyZV4B1xpWjHKCHUtbjyXO8BHWnXcO/view?fbclid=PAAab6ImXm</w:t>
        </w:r>
        <w:r>
          <w:rPr>
            <w:color w:val="1155CC"/>
            <w:sz w:val="18"/>
            <w:szCs w:val="18"/>
            <w:u w:val="single"/>
          </w:rPr>
          <w:t>qDqX5onEljByywrXZMIA3yKHSdUm9uz3-lYT4Fuy55HAJanFBec_aem_AU5_jDzrzjE-Z62KhoUpUL8SYuopU7CilZ3IV0hgpQ7CqfuJI093eLfRwEjh_MJTkBU</w:t>
        </w:r>
      </w:hyperlink>
    </w:p>
    <w:p w:rsidR="007B5D61" w:rsidRDefault="007B5D61">
      <w:pPr>
        <w:rPr>
          <w:sz w:val="18"/>
          <w:szCs w:val="18"/>
        </w:rPr>
      </w:pPr>
    </w:p>
  </w:footnote>
  <w:footnote w:id="3">
    <w:p w:rsidR="007B5D61" w:rsidRDefault="00E062B9">
      <w:pPr>
        <w:jc w:val="both"/>
        <w:rPr>
          <w:sz w:val="20"/>
          <w:szCs w:val="20"/>
        </w:rPr>
      </w:pPr>
      <w:r>
        <w:rPr>
          <w:vertAlign w:val="superscript"/>
        </w:rPr>
        <w:footnoteRef/>
      </w:r>
      <w:r>
        <w:rPr>
          <w:sz w:val="20"/>
          <w:szCs w:val="20"/>
        </w:rPr>
        <w:t xml:space="preserve"> COLOMBIA. MINISTERIO DE AGRICULTURA Y DESARROLLO RURAL, boletín de Precios de Alimento Balanceado para Animales nro 1 del 2021. Disponible en: </w:t>
      </w:r>
      <w:hyperlink r:id="rId2">
        <w:r>
          <w:rPr>
            <w:color w:val="1155CC"/>
            <w:sz w:val="20"/>
            <w:szCs w:val="20"/>
            <w:u w:val="single"/>
          </w:rPr>
          <w:t>https://sioc.minagricultura.gov.co/Boletines/BOLET%C3%8DN%20DE%20PRECIOS%20DE%20ALIMENTO%20BALANCEADO%20PARA</w:t>
        </w:r>
        <w:r>
          <w:rPr>
            <w:color w:val="1155CC"/>
            <w:sz w:val="20"/>
            <w:szCs w:val="20"/>
            <w:u w:val="single"/>
          </w:rPr>
          <w:t>%20ANIMALES%20No.1%20de%202021.pdf</w:t>
        </w:r>
      </w:hyperlink>
      <w:r>
        <w:rPr>
          <w:sz w:val="20"/>
          <w:szCs w:val="20"/>
        </w:rPr>
        <w:t xml:space="preserve"> </w:t>
      </w:r>
    </w:p>
  </w:footnote>
  <w:footnote w:id="4">
    <w:p w:rsidR="007B5D61" w:rsidRDefault="00E062B9">
      <w:pPr>
        <w:jc w:val="both"/>
        <w:rPr>
          <w:sz w:val="18"/>
          <w:szCs w:val="18"/>
        </w:rPr>
      </w:pPr>
      <w:r>
        <w:rPr>
          <w:vertAlign w:val="superscript"/>
        </w:rPr>
        <w:footnoteRef/>
      </w:r>
      <w:r>
        <w:rPr>
          <w:sz w:val="18"/>
          <w:szCs w:val="18"/>
        </w:rPr>
        <w:t xml:space="preserve"> COLOMBIA. </w:t>
      </w:r>
      <w:r>
        <w:rPr>
          <w:sz w:val="20"/>
          <w:szCs w:val="20"/>
        </w:rPr>
        <w:t xml:space="preserve">MINISTERIO DE AGRICULTURA Y DESARROLLO RURAL, SIRIIAGRO, </w:t>
      </w:r>
      <w:r>
        <w:rPr>
          <w:sz w:val="18"/>
          <w:szCs w:val="18"/>
        </w:rPr>
        <w:t>Boletín de precios de alimento balanceado para animales de 2021. No  1, disponible en:</w:t>
      </w:r>
    </w:p>
    <w:p w:rsidR="007B5D61" w:rsidRDefault="00E062B9">
      <w:pPr>
        <w:jc w:val="both"/>
        <w:rPr>
          <w:sz w:val="18"/>
          <w:szCs w:val="18"/>
        </w:rPr>
      </w:pPr>
      <w:r>
        <w:rPr>
          <w:color w:val="0563C1"/>
          <w:sz w:val="18"/>
          <w:szCs w:val="18"/>
          <w:u w:val="single"/>
        </w:rPr>
        <w:t>https://sioc.minagricultura.gov.co/Boletines/BOLET%C3%8DN%20DE%2</w:t>
      </w:r>
      <w:r>
        <w:rPr>
          <w:color w:val="0563C1"/>
          <w:sz w:val="18"/>
          <w:szCs w:val="18"/>
          <w:u w:val="single"/>
        </w:rPr>
        <w:t>0PRECIOS%20DE%20ALIMENTO%20BALANCEADO%20PARA%20ANIMALES%20No.1%20de%202021.pdf</w:t>
      </w:r>
    </w:p>
  </w:footnote>
  <w:footnote w:id="5">
    <w:p w:rsidR="007B5D61" w:rsidRDefault="00E062B9">
      <w:pPr>
        <w:pBdr>
          <w:top w:val="none" w:sz="0" w:space="0" w:color="000000"/>
          <w:left w:val="none" w:sz="0" w:space="11" w:color="000000"/>
          <w:bottom w:val="none" w:sz="0" w:space="0" w:color="000000"/>
          <w:right w:val="none" w:sz="0" w:space="11" w:color="000000"/>
          <w:between w:val="none" w:sz="0" w:space="0" w:color="000000"/>
        </w:pBdr>
        <w:shd w:val="clear" w:color="auto" w:fill="FFFFFF"/>
        <w:spacing w:after="200" w:line="284" w:lineRule="auto"/>
        <w:rPr>
          <w:sz w:val="18"/>
          <w:szCs w:val="18"/>
        </w:rPr>
      </w:pPr>
      <w:r>
        <w:rPr>
          <w:vertAlign w:val="superscript"/>
        </w:rPr>
        <w:footnoteRef/>
      </w:r>
      <w:r>
        <w:rPr>
          <w:sz w:val="18"/>
          <w:szCs w:val="18"/>
        </w:rPr>
        <w:t>Así ha sido la guerra en Ucrania: datos y cronología sobre la invasión rusa, un año después, CNN en Español, 23 de Febrero, 2023. Disponible en: https://cnnespanol.cnn.com/2023</w:t>
      </w:r>
      <w:r>
        <w:rPr>
          <w:sz w:val="18"/>
          <w:szCs w:val="18"/>
        </w:rPr>
        <w:t>/02/23/guerra-ucrania-cronologia-orix/</w:t>
      </w:r>
    </w:p>
  </w:footnote>
  <w:footnote w:id="6">
    <w:p w:rsidR="007B5D61" w:rsidRDefault="00E062B9">
      <w:pPr>
        <w:rPr>
          <w:sz w:val="18"/>
          <w:szCs w:val="18"/>
          <w:u w:val="single"/>
        </w:rPr>
      </w:pPr>
      <w:r>
        <w:rPr>
          <w:vertAlign w:val="superscript"/>
        </w:rPr>
        <w:footnoteRef/>
      </w:r>
      <w:r>
        <w:rPr>
          <w:sz w:val="18"/>
          <w:szCs w:val="18"/>
        </w:rPr>
        <w:t xml:space="preserve">Ucrania y la crisis alimentaria y energética: Cuatro cosas que hay que saber. ONU Mujeres. 22 de septiembre de 2022. Disponible en: </w:t>
      </w:r>
      <w:r>
        <w:rPr>
          <w:sz w:val="18"/>
          <w:szCs w:val="18"/>
          <w:u w:val="single"/>
        </w:rPr>
        <w:t>https://www.unwomen.org/es/noticias/reportaje/2022/09/ucrania-y-la-crisis-alimentaria-y-energetica-cuatro-cosas-que-hay-que-saber</w:t>
      </w:r>
    </w:p>
  </w:footnote>
  <w:footnote w:id="7">
    <w:p w:rsidR="007B5D61" w:rsidRDefault="00E062B9">
      <w:pPr>
        <w:jc w:val="both"/>
        <w:rPr>
          <w:sz w:val="18"/>
          <w:szCs w:val="18"/>
          <w:u w:val="single"/>
        </w:rPr>
      </w:pPr>
      <w:r>
        <w:rPr>
          <w:vertAlign w:val="superscript"/>
        </w:rPr>
        <w:footnoteRef/>
      </w:r>
      <w:r>
        <w:rPr>
          <w:sz w:val="20"/>
          <w:szCs w:val="20"/>
        </w:rPr>
        <w:t xml:space="preserve"> </w:t>
      </w:r>
      <w:r>
        <w:rPr>
          <w:sz w:val="18"/>
          <w:szCs w:val="18"/>
        </w:rPr>
        <w:t>Una esperanza comercial: el impacto de la Iniciativa de Granos del Mar Negro sobre Comercio y Desarrollo.  Conferencia de la</w:t>
      </w:r>
      <w:r>
        <w:rPr>
          <w:sz w:val="18"/>
          <w:szCs w:val="18"/>
        </w:rPr>
        <w:t xml:space="preserve">s Naciones Unidas. 2022. Disponible en: </w:t>
      </w:r>
      <w:r>
        <w:rPr>
          <w:sz w:val="18"/>
          <w:szCs w:val="18"/>
          <w:u w:val="single"/>
        </w:rPr>
        <w:t>https://unctad.org/publication/trade-hope-impact-black-sea-grain-initiative</w:t>
      </w:r>
    </w:p>
  </w:footnote>
  <w:footnote w:id="8">
    <w:p w:rsidR="007B5D61" w:rsidRDefault="00E062B9">
      <w:pPr>
        <w:jc w:val="both"/>
        <w:rPr>
          <w:sz w:val="18"/>
          <w:szCs w:val="18"/>
          <w:u w:val="single"/>
        </w:rPr>
      </w:pPr>
      <w:r>
        <w:rPr>
          <w:vertAlign w:val="superscript"/>
        </w:rPr>
        <w:footnoteRef/>
      </w:r>
      <w:r>
        <w:rPr>
          <w:sz w:val="18"/>
          <w:szCs w:val="18"/>
        </w:rPr>
        <w:t xml:space="preserve"> COLOMBIA, PIB PRODUCTO INTERNO BRUTO, Principales Resultados Año 2022. DANE 2022. Disponible en: </w:t>
      </w:r>
      <w:r>
        <w:rPr>
          <w:sz w:val="18"/>
          <w:szCs w:val="18"/>
          <w:u w:val="single"/>
        </w:rPr>
        <w:t>https://www.dane.gov.co/files/investigaci</w:t>
      </w:r>
      <w:r>
        <w:rPr>
          <w:sz w:val="18"/>
          <w:szCs w:val="18"/>
          <w:u w:val="single"/>
        </w:rPr>
        <w:t>ones/boletines/pib/presen_rueda_de_prensa_PIB_IVtrim22.pdf</w:t>
      </w:r>
    </w:p>
  </w:footnote>
  <w:footnote w:id="9">
    <w:p w:rsidR="007B5D61" w:rsidRDefault="00E062B9">
      <w:pPr>
        <w:jc w:val="both"/>
        <w:rPr>
          <w:sz w:val="18"/>
          <w:szCs w:val="18"/>
          <w:u w:val="single"/>
        </w:rPr>
      </w:pPr>
      <w:r>
        <w:rPr>
          <w:vertAlign w:val="superscript"/>
        </w:rPr>
        <w:footnoteRef/>
      </w:r>
      <w:r>
        <w:rPr>
          <w:sz w:val="20"/>
          <w:szCs w:val="20"/>
        </w:rPr>
        <w:t xml:space="preserve"> COLOMBIA. Series </w:t>
      </w:r>
      <w:r>
        <w:rPr>
          <w:sz w:val="18"/>
          <w:szCs w:val="18"/>
        </w:rPr>
        <w:t xml:space="preserve">IPC Total Nacional e Inflación (desde 07/1954) IPC 1998: 16,70%. Banco de la República. Disponible en: </w:t>
      </w:r>
      <w:r>
        <w:rPr>
          <w:sz w:val="18"/>
          <w:szCs w:val="18"/>
          <w:u w:val="single"/>
        </w:rPr>
        <w:t>https://totoro.banrep.gov.co/analytics/saw.dll?Go&amp;Action=prompt&amp;path=%2Fsha</w:t>
      </w:r>
      <w:r>
        <w:rPr>
          <w:sz w:val="18"/>
          <w:szCs w:val="18"/>
          <w:u w:val="single"/>
        </w:rPr>
        <w:t>red%2FSeries%20Estad%C3%ADsticas_T%2F1.%20IPC%20base%202018%2F1.2.%20Por%20a%C3%B1o%2F1.2.5.IPC_Serie_variaciones&amp;Options=rdf&amp;lang=es&amp;NQUser=publico&amp;NQPassword=publico123</w:t>
      </w:r>
    </w:p>
  </w:footnote>
  <w:footnote w:id="10">
    <w:p w:rsidR="007B5D61" w:rsidRDefault="00E062B9">
      <w:pPr>
        <w:jc w:val="both"/>
        <w:rPr>
          <w:rFonts w:ascii="Arial" w:eastAsia="Arial" w:hAnsi="Arial" w:cs="Arial"/>
          <w:b/>
          <w:sz w:val="34"/>
          <w:szCs w:val="34"/>
        </w:rPr>
      </w:pPr>
      <w:r>
        <w:rPr>
          <w:vertAlign w:val="superscript"/>
        </w:rPr>
        <w:footnoteRef/>
      </w:r>
      <w:r>
        <w:rPr>
          <w:sz w:val="18"/>
          <w:szCs w:val="18"/>
        </w:rPr>
        <w:t xml:space="preserve"> Colombia: panorama general. Banco Mundial. 4 de abril de 2023. Disponible en:</w:t>
      </w:r>
    </w:p>
    <w:p w:rsidR="007B5D61" w:rsidRDefault="00E062B9">
      <w:pPr>
        <w:jc w:val="both"/>
        <w:rPr>
          <w:sz w:val="20"/>
          <w:szCs w:val="20"/>
          <w:u w:val="single"/>
        </w:rPr>
      </w:pPr>
      <w:r>
        <w:rPr>
          <w:sz w:val="18"/>
          <w:szCs w:val="18"/>
          <w:u w:val="single"/>
        </w:rPr>
        <w:t>https://www.bancomundial.org/es/country/colombia/overview#:~:text=El%20PIB%20creci%C3%B3%20s%C3%B3lidamente%20a,alto%20d%C3%A9ficit%20de%20cuenta%20corrient</w:t>
      </w:r>
      <w:r>
        <w:rPr>
          <w:sz w:val="20"/>
          <w:szCs w:val="20"/>
          <w:u w:val="single"/>
        </w:rPr>
        <w:t>e.</w:t>
      </w:r>
    </w:p>
  </w:footnote>
  <w:footnote w:id="11">
    <w:p w:rsidR="007B5D61" w:rsidRDefault="00E062B9">
      <w:pPr>
        <w:jc w:val="both"/>
        <w:rPr>
          <w:sz w:val="18"/>
          <w:szCs w:val="18"/>
        </w:rPr>
      </w:pPr>
      <w:r>
        <w:rPr>
          <w:vertAlign w:val="superscript"/>
        </w:rPr>
        <w:footnoteRef/>
      </w:r>
      <w:r>
        <w:rPr>
          <w:sz w:val="18"/>
          <w:szCs w:val="18"/>
        </w:rPr>
        <w:t xml:space="preserve"> Anexo IPC. Variaciones y contribuciones mensual, año corrido y anual según subclases. Hoja 8. S</w:t>
      </w:r>
      <w:r>
        <w:rPr>
          <w:sz w:val="18"/>
          <w:szCs w:val="18"/>
        </w:rPr>
        <w:t>ubclase del índice de precios del consumidor, No. 09340200, generado por el Departamento Administrativo Nacional de Estadística -DANE. Mayo 2023. Disponible en: https://www.dane.gov.co/index.php/estadisticas-por-tema/precios-y-costos/indice-de-precios-al-c</w:t>
      </w:r>
      <w:r>
        <w:rPr>
          <w:sz w:val="18"/>
          <w:szCs w:val="18"/>
        </w:rPr>
        <w:t>onsumidor-ipc/ipc-informacion-tecnica#:~:text=En%20abril%20de%202023%20la,fue%20del%200%2C78%25</w:t>
      </w:r>
    </w:p>
    <w:p w:rsidR="007B5D61" w:rsidRDefault="007B5D61">
      <w:pPr>
        <w:rPr>
          <w:sz w:val="20"/>
          <w:szCs w:val="20"/>
        </w:rPr>
      </w:pPr>
    </w:p>
  </w:footnote>
  <w:footnote w:id="12">
    <w:p w:rsidR="007B5D61" w:rsidRDefault="00E062B9">
      <w:pPr>
        <w:rPr>
          <w:sz w:val="18"/>
          <w:szCs w:val="18"/>
        </w:rPr>
      </w:pPr>
      <w:r>
        <w:rPr>
          <w:vertAlign w:val="superscript"/>
        </w:rPr>
        <w:footnoteRef/>
      </w:r>
      <w:hyperlink r:id="rId3">
        <w:r>
          <w:rPr>
            <w:sz w:val="18"/>
            <w:szCs w:val="18"/>
          </w:rPr>
          <w:t>WORLD ANIMAL PROTECTION</w:t>
        </w:r>
      </w:hyperlink>
      <w:r>
        <w:rPr>
          <w:sz w:val="18"/>
          <w:szCs w:val="18"/>
        </w:rPr>
        <w:t xml:space="preserve">. Sintiencia Animal. Disponible en: https://www.worldanimalprotection.cr/nuestras-campanas/sintiencia-animal/ </w:t>
      </w:r>
    </w:p>
  </w:footnote>
  <w:footnote w:id="13">
    <w:p w:rsidR="007B5D61" w:rsidRDefault="00E062B9">
      <w:pPr>
        <w:rPr>
          <w:sz w:val="18"/>
          <w:szCs w:val="18"/>
        </w:rPr>
      </w:pPr>
      <w:r>
        <w:rPr>
          <w:vertAlign w:val="superscript"/>
        </w:rPr>
        <w:footnoteRef/>
      </w:r>
      <w:r>
        <w:rPr>
          <w:sz w:val="20"/>
          <w:szCs w:val="20"/>
        </w:rPr>
        <w:t xml:space="preserve">  </w:t>
      </w:r>
      <w:r>
        <w:rPr>
          <w:sz w:val="18"/>
          <w:szCs w:val="18"/>
        </w:rPr>
        <w:t>Artículo 1. Ley 1774 de 2016. “Por medio de la cual se modifican el Código Civil, la Ley 84 de 1989, el Código Penal, el Código de Procedimien</w:t>
      </w:r>
      <w:r>
        <w:rPr>
          <w:sz w:val="18"/>
          <w:szCs w:val="18"/>
        </w:rPr>
        <w:t>to Penal y se dictan otras disposiciones.”</w:t>
      </w:r>
    </w:p>
  </w:footnote>
  <w:footnote w:id="14">
    <w:p w:rsidR="007B5D61" w:rsidRDefault="00E062B9">
      <w:pPr>
        <w:pBdr>
          <w:top w:val="nil"/>
          <w:left w:val="nil"/>
          <w:bottom w:val="nil"/>
          <w:right w:val="nil"/>
          <w:between w:val="nil"/>
        </w:pBdr>
        <w:rPr>
          <w:sz w:val="18"/>
          <w:szCs w:val="18"/>
        </w:rPr>
      </w:pPr>
      <w:r>
        <w:rPr>
          <w:vertAlign w:val="superscript"/>
        </w:rPr>
        <w:footnoteRef/>
      </w:r>
      <w:r>
        <w:rPr>
          <w:sz w:val="18"/>
          <w:szCs w:val="18"/>
        </w:rPr>
        <w:t xml:space="preserve"> ESTRÉS EN PERROS Y GATOS: CAUSAS, SALUD Y SOLUCIONES NATURALES | NATUKA BARF. Disponible en:</w:t>
      </w:r>
    </w:p>
    <w:p w:rsidR="007B5D61" w:rsidRDefault="00E062B9">
      <w:pPr>
        <w:pBdr>
          <w:top w:val="nil"/>
          <w:left w:val="nil"/>
          <w:bottom w:val="nil"/>
          <w:right w:val="nil"/>
          <w:between w:val="nil"/>
        </w:pBdr>
        <w:rPr>
          <w:sz w:val="20"/>
          <w:szCs w:val="20"/>
        </w:rPr>
      </w:pPr>
      <w:r>
        <w:rPr>
          <w:sz w:val="18"/>
          <w:szCs w:val="18"/>
        </w:rPr>
        <w:t>https://natukabarf.com/blogs/news/estres-en-perros-y-gatos-causas-salud-y-soluciones-naturales#:~:text=Alteraciones%20</w:t>
      </w:r>
      <w:r>
        <w:rPr>
          <w:sz w:val="18"/>
          <w:szCs w:val="18"/>
        </w:rPr>
        <w:t>en%20la%20dieta%2C%20horarios,aspectos%20fundamentales%20para%20su%20bienestar</w:t>
      </w:r>
      <w:r>
        <w:rPr>
          <w:sz w:val="20"/>
          <w:szCs w:val="20"/>
        </w:rPr>
        <w:t>.</w:t>
      </w:r>
    </w:p>
  </w:footnote>
  <w:footnote w:id="15">
    <w:p w:rsidR="007B5D61" w:rsidRDefault="00E062B9">
      <w:pPr>
        <w:rPr>
          <w:sz w:val="20"/>
          <w:szCs w:val="20"/>
        </w:rPr>
      </w:pPr>
      <w:r>
        <w:rPr>
          <w:vertAlign w:val="superscript"/>
        </w:rPr>
        <w:footnoteRef/>
      </w:r>
      <w:r>
        <w:rPr>
          <w:sz w:val="18"/>
          <w:szCs w:val="18"/>
        </w:rPr>
        <w:t xml:space="preserve">  Observatorio Ambiental de Bogota. ¿Cuántos perros deambulantes hay en Bogotá?. 2022. Disponible en</w:t>
      </w:r>
      <w:r>
        <w:rPr>
          <w:sz w:val="16"/>
          <w:szCs w:val="16"/>
        </w:rPr>
        <w:t xml:space="preserve">: </w:t>
      </w:r>
      <w:r>
        <w:rPr>
          <w:sz w:val="18"/>
          <w:szCs w:val="18"/>
        </w:rPr>
        <w:t>https://oab.ambientebogota.gov.co/cuantos-perros-callejeros-hay-en-bogota</w:t>
      </w:r>
      <w:r>
        <w:rPr>
          <w:sz w:val="18"/>
          <w:szCs w:val="18"/>
        </w:rPr>
        <w:t>/</w:t>
      </w:r>
    </w:p>
  </w:footnote>
  <w:footnote w:id="16">
    <w:p w:rsidR="007B5D61" w:rsidRDefault="00E062B9">
      <w:pPr>
        <w:rPr>
          <w:sz w:val="20"/>
          <w:szCs w:val="20"/>
        </w:rPr>
      </w:pPr>
      <w:r>
        <w:rPr>
          <w:vertAlign w:val="superscript"/>
        </w:rPr>
        <w:footnoteRef/>
      </w:r>
      <w:r>
        <w:rPr>
          <w:sz w:val="20"/>
          <w:szCs w:val="20"/>
        </w:rPr>
        <w:t xml:space="preserve"> ​​El Colombiano. Colombia tiene 3 millones de perros y gatos en situación de calle. 2023.Disponible en: https://www.elcolombiano.com/colombia/maltrato-animal-en-colombia-tiene-a-3-millones-de-perros-y-gatos-en-la-calle-LK20197268</w:t>
      </w:r>
    </w:p>
  </w:footnote>
  <w:footnote w:id="17">
    <w:p w:rsidR="007B5D61" w:rsidRDefault="00E062B9">
      <w:pPr>
        <w:rPr>
          <w:sz w:val="18"/>
          <w:szCs w:val="18"/>
        </w:rPr>
      </w:pPr>
      <w:r>
        <w:rPr>
          <w:vertAlign w:val="superscript"/>
        </w:rPr>
        <w:footnoteRef/>
      </w:r>
      <w:r>
        <w:rPr>
          <w:sz w:val="18"/>
          <w:szCs w:val="18"/>
        </w:rPr>
        <w:t xml:space="preserve"> COLOMBIA. CORTE CONSTITUCIONAL. SALA SÉPTIMA DE REVISIÓN, Sentencia T-325-17 (15 de mayo de 2017). Magistrado Ponente: Aquiles Arrieta Gómez.</w:t>
      </w:r>
    </w:p>
  </w:footnote>
  <w:footnote w:id="18">
    <w:p w:rsidR="007B5D61" w:rsidRDefault="00E062B9">
      <w:pPr>
        <w:rPr>
          <w:sz w:val="18"/>
          <w:szCs w:val="18"/>
        </w:rPr>
      </w:pPr>
      <w:r>
        <w:rPr>
          <w:vertAlign w:val="superscript"/>
        </w:rPr>
        <w:footnoteRef/>
      </w:r>
      <w:r>
        <w:rPr>
          <w:sz w:val="18"/>
          <w:szCs w:val="18"/>
        </w:rPr>
        <w:t xml:space="preserve"> COLOMBIA. COR</w:t>
      </w:r>
      <w:r>
        <w:rPr>
          <w:sz w:val="18"/>
          <w:szCs w:val="18"/>
        </w:rPr>
        <w:t>TE CONSTITUCIONAL. SALA PLENA, Sentencia C-148-22 (27 de abril de 2022) Magistrado Ponente: Diana Fajardo Rivera.</w:t>
      </w:r>
    </w:p>
  </w:footnote>
  <w:footnote w:id="19">
    <w:p w:rsidR="007B5D61" w:rsidRDefault="00E062B9">
      <w:pPr>
        <w:rPr>
          <w:sz w:val="20"/>
          <w:szCs w:val="20"/>
        </w:rPr>
      </w:pPr>
      <w:r>
        <w:rPr>
          <w:vertAlign w:val="superscript"/>
        </w:rPr>
        <w:footnoteRef/>
      </w:r>
      <w:r>
        <w:rPr>
          <w:sz w:val="20"/>
          <w:szCs w:val="20"/>
        </w:rPr>
        <w:t xml:space="preserve"> COLOMBIA. CORTE CONSTITUCIONAL. SALA SEXTA DE REVISIÓN, Sentencia T-035-97 (30 de enero de 1997). Magistrado Ponente: Hernando Herrera Verga</w:t>
      </w:r>
      <w:r>
        <w:rPr>
          <w:sz w:val="20"/>
          <w:szCs w:val="20"/>
        </w:rPr>
        <w:t>ra.</w:t>
      </w:r>
    </w:p>
    <w:p w:rsidR="007B5D61" w:rsidRDefault="007B5D61">
      <w:pPr>
        <w:rPr>
          <w:rFonts w:ascii="Times New Roman" w:eastAsia="Times New Roman" w:hAnsi="Times New Roman" w:cs="Times New Roman"/>
          <w:sz w:val="20"/>
          <w:szCs w:val="20"/>
        </w:rPr>
      </w:pPr>
    </w:p>
  </w:footnote>
  <w:footnote w:id="20">
    <w:p w:rsidR="007B5D61" w:rsidRDefault="00E062B9">
      <w:pPr>
        <w:rPr>
          <w:sz w:val="20"/>
          <w:szCs w:val="20"/>
        </w:rPr>
      </w:pPr>
      <w:r>
        <w:rPr>
          <w:vertAlign w:val="superscript"/>
        </w:rPr>
        <w:footnoteRef/>
      </w:r>
      <w:r>
        <w:rPr>
          <w:sz w:val="20"/>
          <w:szCs w:val="20"/>
        </w:rPr>
        <w:t xml:space="preserve"> COLOMBIA. CORTE CONSTITUCIONAL. SALA PLENA DE REVISIÓN DE LA CORTE, Sentencia C-066-10 (30 de agosto de 2010).  Magistrado Ponente: Humberto Antonio Sierra Porto.</w:t>
      </w:r>
    </w:p>
  </w:footnote>
  <w:footnote w:id="21">
    <w:p w:rsidR="007B5D61" w:rsidRDefault="00E062B9">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 CORTE CONSTITUCIONAL. SALA PLENA DE REVISIÓN DE LA CORTE, Sentencia C-066-</w:t>
      </w:r>
      <w:r>
        <w:rPr>
          <w:rFonts w:ascii="Times New Roman" w:eastAsia="Times New Roman" w:hAnsi="Times New Roman" w:cs="Times New Roman"/>
          <w:sz w:val="20"/>
          <w:szCs w:val="20"/>
        </w:rPr>
        <w:t>10 (30 de agosto de 2010).  Magistrado Ponente: Humberto Antonio Sierra Porto.</w:t>
      </w:r>
    </w:p>
  </w:footnote>
  <w:footnote w:id="22">
    <w:p w:rsidR="007B5D61" w:rsidRDefault="00E062B9">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 CONSEJO DE ESTADO. SALA PLENA. Sentencia, Radicación número: expediente 11001-03-15-000-2002-0447-01 (03 de septiembre de 2002). Consejero Ponente: Roberto Medina Lopez.</w:t>
      </w:r>
      <w:r>
        <w:rPr>
          <w:rFonts w:ascii="Verdana" w:eastAsia="Verdana" w:hAnsi="Verdana" w:cs="Verdana"/>
          <w:sz w:val="20"/>
          <w:szCs w:val="20"/>
          <w:highlight w:val="white"/>
        </w:rPr>
        <w:t xml:space="preserve"> </w:t>
      </w:r>
    </w:p>
    <w:p w:rsidR="007B5D61" w:rsidRDefault="007B5D61">
      <w:pPr>
        <w:rPr>
          <w:sz w:val="20"/>
          <w:szCs w:val="20"/>
        </w:rPr>
      </w:pPr>
    </w:p>
  </w:footnote>
  <w:footnote w:id="23">
    <w:p w:rsidR="007B5D61" w:rsidRDefault="00E062B9">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COLOMBIA. CONSEJO DE ESTADO </w:t>
      </w:r>
      <w:r>
        <w:rPr>
          <w:sz w:val="22"/>
          <w:szCs w:val="22"/>
        </w:rPr>
        <w:t>SALA DE CONSULTA Y SERVICIO CIVIL,</w:t>
      </w:r>
      <w:r>
        <w:rPr>
          <w:rFonts w:ascii="Times New Roman" w:eastAsia="Times New Roman" w:hAnsi="Times New Roman" w:cs="Times New Roman"/>
          <w:sz w:val="20"/>
          <w:szCs w:val="20"/>
        </w:rPr>
        <w:t xml:space="preserve"> Concepto,</w:t>
      </w:r>
      <w:r>
        <w:rPr>
          <w:rFonts w:ascii="Times New Roman" w:eastAsia="Times New Roman" w:hAnsi="Times New Roman" w:cs="Times New Roman"/>
          <w:sz w:val="20"/>
          <w:szCs w:val="20"/>
        </w:rPr>
        <w:t xml:space="preserve"> Radicación número: 2042</w:t>
      </w:r>
      <w:r>
        <w:rPr>
          <w:sz w:val="22"/>
          <w:szCs w:val="22"/>
        </w:rPr>
        <w:t xml:space="preserve"> </w:t>
      </w:r>
      <w:r>
        <w:rPr>
          <w:rFonts w:ascii="Times New Roman" w:eastAsia="Times New Roman" w:hAnsi="Times New Roman" w:cs="Times New Roman"/>
          <w:sz w:val="20"/>
          <w:szCs w:val="20"/>
        </w:rPr>
        <w:t>(21 de octubre de 2010). Consejero Ponente: Augusto Hernández Becerra</w:t>
      </w:r>
      <w:r>
        <w:rPr>
          <w:rFonts w:ascii="Verdana" w:eastAsia="Verdana" w:hAnsi="Verdana" w:cs="Verdana"/>
          <w:sz w:val="20"/>
          <w:szCs w:val="20"/>
          <w:highlight w:val="white"/>
        </w:rPr>
        <w:t>.</w:t>
      </w:r>
    </w:p>
    <w:p w:rsidR="007B5D61" w:rsidRDefault="007B5D61">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1" w:rsidRDefault="00E062B9">
    <w:pPr>
      <w:pBdr>
        <w:top w:val="nil"/>
        <w:left w:val="nil"/>
        <w:bottom w:val="nil"/>
        <w:right w:val="nil"/>
        <w:between w:val="nil"/>
      </w:pBdr>
      <w:tabs>
        <w:tab w:val="center" w:pos="4680"/>
        <w:tab w:val="right" w:pos="9360"/>
      </w:tabs>
      <w:rPr>
        <w:color w:val="000000"/>
      </w:rPr>
    </w:pPr>
    <w:r>
      <w:rPr>
        <w:noProof/>
        <w:lang w:val="es-CO"/>
      </w:rPr>
      <w:drawing>
        <wp:anchor distT="114300" distB="114300" distL="114300" distR="114300" simplePos="0" relativeHeight="251658240" behindDoc="0" locked="0" layoutInCell="1" hidden="0" allowOverlap="1">
          <wp:simplePos x="0" y="0"/>
          <wp:positionH relativeFrom="page">
            <wp:posOffset>3028950</wp:posOffset>
          </wp:positionH>
          <wp:positionV relativeFrom="page">
            <wp:posOffset>382905</wp:posOffset>
          </wp:positionV>
          <wp:extent cx="2438759" cy="561975"/>
          <wp:effectExtent l="0" t="0" r="0" b="0"/>
          <wp:wrapSquare wrapText="bothSides" distT="114300" distB="11430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38759" cy="561975"/>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4629150</wp:posOffset>
          </wp:positionH>
          <wp:positionV relativeFrom="paragraph">
            <wp:posOffset>-180974</wp:posOffset>
          </wp:positionV>
          <wp:extent cx="1181100" cy="79057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80128"/>
                  <a:stretch>
                    <a:fillRect/>
                  </a:stretch>
                </pic:blipFill>
                <pic:spPr>
                  <a:xfrm>
                    <a:off x="0" y="0"/>
                    <a:ext cx="1181100" cy="790575"/>
                  </a:xfrm>
                  <a:prstGeom prst="rect">
                    <a:avLst/>
                  </a:prstGeom>
                  <a:ln/>
                </pic:spPr>
              </pic:pic>
            </a:graphicData>
          </a:graphic>
        </wp:anchor>
      </w:drawing>
    </w:r>
    <w:r>
      <w:rPr>
        <w:noProof/>
        <w:lang w:val="es-CO"/>
      </w:rPr>
      <w:drawing>
        <wp:anchor distT="0" distB="0" distL="0" distR="0" simplePos="0" relativeHeight="251660288" behindDoc="0" locked="0" layoutInCell="1" hidden="0" allowOverlap="1">
          <wp:simplePos x="0" y="0"/>
          <wp:positionH relativeFrom="column">
            <wp:posOffset>-161924</wp:posOffset>
          </wp:positionH>
          <wp:positionV relativeFrom="paragraph">
            <wp:posOffset>-28574</wp:posOffset>
          </wp:positionV>
          <wp:extent cx="2138294" cy="564833"/>
          <wp:effectExtent l="0" t="0" r="0" b="0"/>
          <wp:wrapTopAndBottom distT="0" distB="0"/>
          <wp:docPr id="37" name="image3.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3.png" descr="http://tatacabello.com/wp-content/uploads/2015/06/logo-congreso.png"/>
                  <pic:cNvPicPr preferRelativeResize="0"/>
                </pic:nvPicPr>
                <pic:blipFill>
                  <a:blip r:embed="rId3"/>
                  <a:srcRect/>
                  <a:stretch>
                    <a:fillRect/>
                  </a:stretch>
                </pic:blipFill>
                <pic:spPr>
                  <a:xfrm>
                    <a:off x="0" y="0"/>
                    <a:ext cx="2138294" cy="5648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098B"/>
    <w:multiLevelType w:val="multilevel"/>
    <w:tmpl w:val="8834A03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61276BE"/>
    <w:multiLevelType w:val="multilevel"/>
    <w:tmpl w:val="44D0451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477FEC"/>
    <w:multiLevelType w:val="multilevel"/>
    <w:tmpl w:val="A77A6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D5433"/>
    <w:multiLevelType w:val="multilevel"/>
    <w:tmpl w:val="ED9AB0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4C54A7"/>
    <w:multiLevelType w:val="multilevel"/>
    <w:tmpl w:val="C63C6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4F4F5E"/>
    <w:multiLevelType w:val="multilevel"/>
    <w:tmpl w:val="34DC4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E52FF3"/>
    <w:multiLevelType w:val="multilevel"/>
    <w:tmpl w:val="93E8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EB22FA"/>
    <w:multiLevelType w:val="multilevel"/>
    <w:tmpl w:val="26D2A022"/>
    <w:lvl w:ilvl="0">
      <w:start w:val="8"/>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1"/>
    <w:rsid w:val="007B5D61"/>
    <w:rsid w:val="00E062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FD4C5-5FA9-4F48-8234-26D3A9F2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427280"/>
    <w:pPr>
      <w:numPr>
        <w:numId w:val="3"/>
      </w:numPr>
      <w:outlineLvl w:val="0"/>
    </w:pPr>
    <w:rPr>
      <w:rFonts w:ascii="Times New Roman" w:hAnsi="Times New Roman" w:cs="Times New Roman"/>
      <w:b/>
      <w:bCs/>
      <w:lang w:val="es-ES"/>
    </w:rPr>
  </w:style>
  <w:style w:type="paragraph" w:styleId="Ttulo2">
    <w:name w:val="heading 2"/>
    <w:basedOn w:val="Prrafodelista"/>
    <w:next w:val="Normal"/>
    <w:link w:val="Ttulo2Car"/>
    <w:uiPriority w:val="9"/>
    <w:unhideWhenUsed/>
    <w:qFormat/>
    <w:rsid w:val="00427280"/>
    <w:pPr>
      <w:numPr>
        <w:ilvl w:val="1"/>
        <w:numId w:val="3"/>
      </w:numPr>
      <w:spacing w:before="100" w:beforeAutospacing="1" w:after="100" w:afterAutospacing="1"/>
      <w:ind w:right="4"/>
      <w:jc w:val="both"/>
      <w:outlineLvl w:val="1"/>
    </w:pPr>
    <w:rPr>
      <w:rFonts w:ascii="Times New Roman" w:hAnsi="Times New Roman" w:cs="Times New Roman"/>
      <w:b/>
      <w:bCs/>
      <w:lang w:val="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1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112E"/>
    <w:rPr>
      <w:rFonts w:ascii="Times New Roman" w:hAnsi="Times New Roman" w:cs="Times New Roman"/>
      <w:sz w:val="18"/>
      <w:szCs w:val="18"/>
    </w:rPr>
  </w:style>
  <w:style w:type="character" w:customStyle="1" w:styleId="Ttulo2Car">
    <w:name w:val="Título 2 Car"/>
    <w:basedOn w:val="Fuentedeprrafopredeter"/>
    <w:link w:val="Ttulo2"/>
    <w:uiPriority w:val="9"/>
    <w:rsid w:val="00427280"/>
    <w:rPr>
      <w:rFonts w:ascii="Times New Roman" w:hAnsi="Times New Roman" w:cs="Times New Roman"/>
      <w:b/>
      <w:bCs/>
      <w:lang w:val="es-ES"/>
    </w:rPr>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015C27"/>
    <w:rPr>
      <w:rFonts w:eastAsiaTheme="minorEastAsia"/>
      <w:color w:val="5A5A5A" w:themeColor="text1" w:themeTint="A5"/>
      <w:spacing w:val="15"/>
      <w:sz w:val="22"/>
      <w:szCs w:val="22"/>
    </w:rPr>
  </w:style>
  <w:style w:type="paragraph" w:styleId="Prrafodelista">
    <w:name w:val="List Paragraph"/>
    <w:basedOn w:val="Normal"/>
    <w:uiPriority w:val="34"/>
    <w:qFormat/>
    <w:rsid w:val="00D92A84"/>
    <w:pPr>
      <w:ind w:left="720"/>
      <w:contextualSpacing/>
    </w:pPr>
  </w:style>
  <w:style w:type="character" w:customStyle="1" w:styleId="Ttulo1Car">
    <w:name w:val="Título 1 Car"/>
    <w:basedOn w:val="Fuentedeprrafopredeter"/>
    <w:link w:val="Ttulo1"/>
    <w:uiPriority w:val="9"/>
    <w:rsid w:val="00427280"/>
    <w:rPr>
      <w:rFonts w:ascii="Times New Roman" w:hAnsi="Times New Roman" w:cs="Times New Roman"/>
      <w:b/>
      <w:bCs/>
      <w:lang w:val="es-ES" w:eastAsia="es-CO"/>
    </w:rPr>
  </w:style>
  <w:style w:type="paragraph" w:styleId="NormalWeb">
    <w:name w:val="Normal (Web)"/>
    <w:basedOn w:val="Normal"/>
    <w:uiPriority w:val="99"/>
    <w:unhideWhenUsed/>
    <w:rsid w:val="00C06D03"/>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050601"/>
    <w:rPr>
      <w:sz w:val="16"/>
      <w:szCs w:val="16"/>
    </w:rPr>
  </w:style>
  <w:style w:type="paragraph" w:styleId="Textocomentario">
    <w:name w:val="annotation text"/>
    <w:basedOn w:val="Normal"/>
    <w:link w:val="TextocomentarioCar"/>
    <w:uiPriority w:val="99"/>
    <w:semiHidden/>
    <w:unhideWhenUsed/>
    <w:rsid w:val="00050601"/>
    <w:rPr>
      <w:rFonts w:ascii="Arial" w:eastAsia="Arial" w:hAnsi="Arial" w:cs="Arial"/>
      <w:sz w:val="20"/>
      <w:szCs w:val="20"/>
      <w:lang w:val="en"/>
    </w:rPr>
  </w:style>
  <w:style w:type="character" w:customStyle="1" w:styleId="TextocomentarioCar">
    <w:name w:val="Texto comentario Car"/>
    <w:basedOn w:val="Fuentedeprrafopredeter"/>
    <w:link w:val="Textocomentario"/>
    <w:uiPriority w:val="99"/>
    <w:semiHidden/>
    <w:rsid w:val="00050601"/>
    <w:rPr>
      <w:rFonts w:ascii="Arial" w:eastAsia="Arial" w:hAnsi="Arial" w:cs="Arial"/>
      <w:sz w:val="20"/>
      <w:szCs w:val="20"/>
      <w:lang w:val="en"/>
    </w:rPr>
  </w:style>
  <w:style w:type="paragraph" w:styleId="TtuloTDC">
    <w:name w:val="TOC Heading"/>
    <w:basedOn w:val="Ttulo1"/>
    <w:next w:val="Normal"/>
    <w:uiPriority w:val="39"/>
    <w:unhideWhenUsed/>
    <w:qFormat/>
    <w:rsid w:val="00AB6EB3"/>
    <w:pPr>
      <w:keepNext/>
      <w:keepLines/>
      <w:numPr>
        <w:numId w:val="0"/>
      </w:numPr>
      <w:spacing w:before="480" w:line="276" w:lineRule="auto"/>
      <w:contextualSpacing w:val="0"/>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AB6EB3"/>
    <w:pPr>
      <w:spacing w:before="120"/>
    </w:pPr>
    <w:rPr>
      <w:rFonts w:cstheme="minorHAnsi"/>
      <w:b/>
      <w:bCs/>
      <w:i/>
      <w:iCs/>
    </w:rPr>
  </w:style>
  <w:style w:type="character" w:styleId="Hipervnculo">
    <w:name w:val="Hyperlink"/>
    <w:basedOn w:val="Fuentedeprrafopredeter"/>
    <w:uiPriority w:val="99"/>
    <w:unhideWhenUsed/>
    <w:rsid w:val="00AB6EB3"/>
    <w:rPr>
      <w:color w:val="0563C1" w:themeColor="hyperlink"/>
      <w:u w:val="single"/>
    </w:rPr>
  </w:style>
  <w:style w:type="paragraph" w:styleId="TDC2">
    <w:name w:val="toc 2"/>
    <w:basedOn w:val="Normal"/>
    <w:next w:val="Normal"/>
    <w:autoRedefine/>
    <w:uiPriority w:val="39"/>
    <w:unhideWhenUsed/>
    <w:rsid w:val="00AB6EB3"/>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AB6EB3"/>
    <w:pPr>
      <w:ind w:left="480"/>
    </w:pPr>
    <w:rPr>
      <w:rFonts w:cstheme="minorHAnsi"/>
      <w:sz w:val="20"/>
      <w:szCs w:val="20"/>
    </w:rPr>
  </w:style>
  <w:style w:type="paragraph" w:styleId="TDC4">
    <w:name w:val="toc 4"/>
    <w:basedOn w:val="Normal"/>
    <w:next w:val="Normal"/>
    <w:autoRedefine/>
    <w:uiPriority w:val="39"/>
    <w:semiHidden/>
    <w:unhideWhenUsed/>
    <w:rsid w:val="00AB6EB3"/>
    <w:pPr>
      <w:ind w:left="720"/>
    </w:pPr>
    <w:rPr>
      <w:rFonts w:cstheme="minorHAnsi"/>
      <w:sz w:val="20"/>
      <w:szCs w:val="20"/>
    </w:rPr>
  </w:style>
  <w:style w:type="paragraph" w:styleId="TDC5">
    <w:name w:val="toc 5"/>
    <w:basedOn w:val="Normal"/>
    <w:next w:val="Normal"/>
    <w:autoRedefine/>
    <w:uiPriority w:val="39"/>
    <w:semiHidden/>
    <w:unhideWhenUsed/>
    <w:rsid w:val="00AB6EB3"/>
    <w:pPr>
      <w:ind w:left="960"/>
    </w:pPr>
    <w:rPr>
      <w:rFonts w:cstheme="minorHAnsi"/>
      <w:sz w:val="20"/>
      <w:szCs w:val="20"/>
    </w:rPr>
  </w:style>
  <w:style w:type="paragraph" w:styleId="TDC6">
    <w:name w:val="toc 6"/>
    <w:basedOn w:val="Normal"/>
    <w:next w:val="Normal"/>
    <w:autoRedefine/>
    <w:uiPriority w:val="39"/>
    <w:semiHidden/>
    <w:unhideWhenUsed/>
    <w:rsid w:val="00AB6EB3"/>
    <w:pPr>
      <w:ind w:left="1200"/>
    </w:pPr>
    <w:rPr>
      <w:rFonts w:cstheme="minorHAnsi"/>
      <w:sz w:val="20"/>
      <w:szCs w:val="20"/>
    </w:rPr>
  </w:style>
  <w:style w:type="paragraph" w:styleId="TDC7">
    <w:name w:val="toc 7"/>
    <w:basedOn w:val="Normal"/>
    <w:next w:val="Normal"/>
    <w:autoRedefine/>
    <w:uiPriority w:val="39"/>
    <w:semiHidden/>
    <w:unhideWhenUsed/>
    <w:rsid w:val="00AB6EB3"/>
    <w:pPr>
      <w:ind w:left="1440"/>
    </w:pPr>
    <w:rPr>
      <w:rFonts w:cstheme="minorHAnsi"/>
      <w:sz w:val="20"/>
      <w:szCs w:val="20"/>
    </w:rPr>
  </w:style>
  <w:style w:type="paragraph" w:styleId="TDC8">
    <w:name w:val="toc 8"/>
    <w:basedOn w:val="Normal"/>
    <w:next w:val="Normal"/>
    <w:autoRedefine/>
    <w:uiPriority w:val="39"/>
    <w:semiHidden/>
    <w:unhideWhenUsed/>
    <w:rsid w:val="00AB6EB3"/>
    <w:pPr>
      <w:ind w:left="1680"/>
    </w:pPr>
    <w:rPr>
      <w:rFonts w:cstheme="minorHAnsi"/>
      <w:sz w:val="20"/>
      <w:szCs w:val="20"/>
    </w:rPr>
  </w:style>
  <w:style w:type="paragraph" w:styleId="TDC9">
    <w:name w:val="toc 9"/>
    <w:basedOn w:val="Normal"/>
    <w:next w:val="Normal"/>
    <w:autoRedefine/>
    <w:uiPriority w:val="39"/>
    <w:semiHidden/>
    <w:unhideWhenUsed/>
    <w:rsid w:val="00AB6EB3"/>
    <w:pPr>
      <w:ind w:left="1920"/>
    </w:pPr>
    <w:rPr>
      <w:rFonts w:cstheme="minorHAnsi"/>
      <w:sz w:val="20"/>
      <w:szCs w:val="20"/>
    </w:rPr>
  </w:style>
  <w:style w:type="paragraph" w:styleId="Encabezado">
    <w:name w:val="header"/>
    <w:basedOn w:val="Normal"/>
    <w:link w:val="EncabezadoCar"/>
    <w:uiPriority w:val="99"/>
    <w:unhideWhenUsed/>
    <w:rsid w:val="00C34D4D"/>
    <w:pPr>
      <w:tabs>
        <w:tab w:val="center" w:pos="4680"/>
        <w:tab w:val="right" w:pos="9360"/>
      </w:tabs>
    </w:pPr>
  </w:style>
  <w:style w:type="character" w:customStyle="1" w:styleId="EncabezadoCar">
    <w:name w:val="Encabezado Car"/>
    <w:basedOn w:val="Fuentedeprrafopredeter"/>
    <w:link w:val="Encabezado"/>
    <w:uiPriority w:val="99"/>
    <w:rsid w:val="00C34D4D"/>
  </w:style>
  <w:style w:type="paragraph" w:styleId="Piedepgina">
    <w:name w:val="footer"/>
    <w:basedOn w:val="Normal"/>
    <w:link w:val="PiedepginaCar"/>
    <w:uiPriority w:val="99"/>
    <w:unhideWhenUsed/>
    <w:rsid w:val="00C34D4D"/>
    <w:pPr>
      <w:tabs>
        <w:tab w:val="center" w:pos="4680"/>
        <w:tab w:val="right" w:pos="9360"/>
      </w:tabs>
    </w:pPr>
  </w:style>
  <w:style w:type="character" w:customStyle="1" w:styleId="PiedepginaCar">
    <w:name w:val="Pie de página Car"/>
    <w:basedOn w:val="Fuentedeprrafopredeter"/>
    <w:link w:val="Piedepgina"/>
    <w:uiPriority w:val="99"/>
    <w:rsid w:val="00C34D4D"/>
  </w:style>
  <w:style w:type="character" w:styleId="Nmerodepgina">
    <w:name w:val="page number"/>
    <w:basedOn w:val="Fuentedeprrafopredeter"/>
    <w:uiPriority w:val="99"/>
    <w:semiHidden/>
    <w:unhideWhenUsed/>
    <w:rsid w:val="00C34D4D"/>
  </w:style>
  <w:style w:type="character" w:customStyle="1" w:styleId="apple-converted-space">
    <w:name w:val="apple-converted-space"/>
    <w:basedOn w:val="Fuentedeprrafopredeter"/>
    <w:rsid w:val="00127682"/>
  </w:style>
  <w:style w:type="paragraph" w:styleId="Textonotapie">
    <w:name w:val="footnote text"/>
    <w:basedOn w:val="Normal"/>
    <w:link w:val="TextonotapieCar"/>
    <w:uiPriority w:val="99"/>
    <w:semiHidden/>
    <w:unhideWhenUsed/>
    <w:rsid w:val="0093394E"/>
    <w:rPr>
      <w:sz w:val="20"/>
      <w:szCs w:val="20"/>
    </w:rPr>
  </w:style>
  <w:style w:type="character" w:customStyle="1" w:styleId="TextonotapieCar">
    <w:name w:val="Texto nota pie Car"/>
    <w:basedOn w:val="Fuentedeprrafopredeter"/>
    <w:link w:val="Textonotapie"/>
    <w:uiPriority w:val="99"/>
    <w:semiHidden/>
    <w:rsid w:val="0093394E"/>
    <w:rPr>
      <w:sz w:val="20"/>
      <w:szCs w:val="20"/>
    </w:rPr>
  </w:style>
  <w:style w:type="character" w:styleId="Refdenotaalpie">
    <w:name w:val="footnote reference"/>
    <w:basedOn w:val="Fuentedeprrafopredeter"/>
    <w:uiPriority w:val="99"/>
    <w:semiHidden/>
    <w:unhideWhenUsed/>
    <w:rsid w:val="0093394E"/>
    <w:rPr>
      <w:vertAlign w:val="superscript"/>
    </w:rPr>
  </w:style>
  <w:style w:type="character" w:styleId="nfasis">
    <w:name w:val="Emphasis"/>
    <w:basedOn w:val="Fuentedeprrafopredeter"/>
    <w:uiPriority w:val="20"/>
    <w:qFormat/>
    <w:rsid w:val="00E40BC3"/>
    <w:rPr>
      <w:i/>
      <w:iCs/>
    </w:rPr>
  </w:style>
  <w:style w:type="character" w:styleId="Textoennegrita">
    <w:name w:val="Strong"/>
    <w:basedOn w:val="Fuentedeprrafopredeter"/>
    <w:uiPriority w:val="22"/>
    <w:qFormat/>
    <w:rsid w:val="00E40BC3"/>
    <w:rPr>
      <w:b/>
      <w:bCs/>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lejandro-garcia-rios" TargetMode="External"/><Relationship Id="rId18" Type="http://schemas.openxmlformats.org/officeDocument/2006/relationships/image" Target="media/image2.png"/><Relationship Id="rId26" Type="http://schemas.openxmlformats.org/officeDocument/2006/relationships/hyperlink" Target="https://www.minsalud.gov.co/sites/rid/Lists/BibliotecaDigital/RIDE/VS/PP/SA/informe-nacional-zoonosis-2018.pdf" TargetMode="External"/><Relationship Id="rId39" Type="http://schemas.openxmlformats.org/officeDocument/2006/relationships/hyperlink" Target="https://oab.ambientebogota.gov.co/cuantos-perros-callejeros-hay-en-bogota/" TargetMode="External"/><Relationship Id="rId21" Type="http://schemas.openxmlformats.org/officeDocument/2006/relationships/image" Target="media/image5.png"/><Relationship Id="rId34" Type="http://schemas.openxmlformats.org/officeDocument/2006/relationships/hyperlink" Target="https://www.bancomundial.org/es/country/colombia/overview"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andrea-padilla-villarraga" TargetMode="External"/><Relationship Id="rId29" Type="http://schemas.openxmlformats.org/officeDocument/2006/relationships/hyperlink" Target="https://cnnespanol.cnn.com/2023/02/23/guerra-ucrania-cronologia-or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wilder-iberson-escobar-ortiz" TargetMode="External"/><Relationship Id="rId24" Type="http://schemas.openxmlformats.org/officeDocument/2006/relationships/image" Target="media/image7.png"/><Relationship Id="rId32" Type="http://schemas.openxmlformats.org/officeDocument/2006/relationships/hyperlink" Target="https://www.dane.gov.co/files/investigaciones/boletines/pib/presen_rueda_de_prensa_PIB_IVtrim22.pdf" TargetMode="External"/><Relationship Id="rId37" Type="http://schemas.openxmlformats.org/officeDocument/2006/relationships/hyperlink" Target="https://www.worldanimalprotection.cr/nuestras-campanas/sintiencia-animal/" TargetMode="External"/><Relationship Id="rId40" Type="http://schemas.openxmlformats.org/officeDocument/2006/relationships/hyperlink" Target="https://www.elcolombiano.com/colombia/maltrato-animal-en-colombia-tiene-a-3-millones-de-perros-y-gatos-en-la-calle-LK2019726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juan-diego-munoz-cabrera" TargetMode="External"/><Relationship Id="rId23" Type="http://schemas.openxmlformats.org/officeDocument/2006/relationships/hyperlink" Target="https://www.animalesbog.gov.co/noticias/se-estima-m%C3%A1s-66-mil-perros-deambulan-las-calles-bogot%C3%A1" TargetMode="External"/><Relationship Id="rId28" Type="http://schemas.openxmlformats.org/officeDocument/2006/relationships/hyperlink" Target="https://sioc.minagricultura.gov.co/Boletines/BOLET%C3%8DN%20DE%20PRECIOS%20DE%20ALIMENTO%20BALANCEADO%20PARA%20ANIMALES%20No.1%20de%202021.pdf" TargetMode="External"/><Relationship Id="rId36" Type="http://schemas.openxmlformats.org/officeDocument/2006/relationships/hyperlink" Target="https://www.worldanimalprotection.cr/" TargetMode="External"/><Relationship Id="rId10" Type="http://schemas.openxmlformats.org/officeDocument/2006/relationships/hyperlink" Target="https://www.camara.gov.co/representantes/olga-lucia-velasquez-nieto" TargetMode="External"/><Relationship Id="rId19" Type="http://schemas.openxmlformats.org/officeDocument/2006/relationships/image" Target="media/image3.png"/><Relationship Id="rId31" Type="http://schemas.openxmlformats.org/officeDocument/2006/relationships/hyperlink" Target="https://unctad.org/publication/trade-hope-impact-black-sea-grain-initiativ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luvi-katherine-miranda-pena" TargetMode="External"/><Relationship Id="rId14" Type="http://schemas.openxmlformats.org/officeDocument/2006/relationships/hyperlink" Target="https://www.camara.gov.co/representantes/daniel-carvalho-mejia" TargetMode="External"/><Relationship Id="rId22" Type="http://schemas.openxmlformats.org/officeDocument/2006/relationships/image" Target="media/image6.png"/><Relationship Id="rId27" Type="http://schemas.openxmlformats.org/officeDocument/2006/relationships/hyperlink" Target="https://drive.google.com/file/d/1rsfyZV4B1xpWjHKCHUtbjyXO8BHWnXcO/view?fbclid=PAAab6ImXmqDqX5onEljByywrXZMIA3yKHSdUm9uz3-lYT4Fuy55HAJanFBec_aem_AU5_jDzrzjE-Z62KhoUpUL8SYuopU7CilZ3IV0hgpQ7CqfuJI093eLfRwEjh_MJTkBU" TargetMode="External"/><Relationship Id="rId30" Type="http://schemas.openxmlformats.org/officeDocument/2006/relationships/hyperlink" Target="https://www.unwomen.org/es/noticias/reportaje/2022/09/ucrania-y-la-crisis-alimentaria-y-energetica-cuatro-cosas-que-hay-que-saber" TargetMode="External"/><Relationship Id="rId35" Type="http://schemas.openxmlformats.org/officeDocument/2006/relationships/hyperlink" Target="https://www.dane.gov.co/index.php/estadisticas-por-tema/precios-y-costos/indice-de-precios-al-consumidor-ipc/ipc-informacion-tecnica" TargetMode="External"/><Relationship Id="rId43" Type="http://schemas.openxmlformats.org/officeDocument/2006/relationships/footer" Target="footer2.xml"/><Relationship Id="rId8" Type="http://schemas.openxmlformats.org/officeDocument/2006/relationships/hyperlink" Target="https://www.camara.gov.co/representantes/wilmer-yair-castellanos-hernandez" TargetMode="External"/><Relationship Id="rId3" Type="http://schemas.openxmlformats.org/officeDocument/2006/relationships/styles" Target="styles.xml"/><Relationship Id="rId12" Type="http://schemas.openxmlformats.org/officeDocument/2006/relationships/hyperlink" Target="https://www.camara.gov.co/representantes/duvalier-sanchez-arango" TargetMode="External"/><Relationship Id="rId17" Type="http://schemas.openxmlformats.org/officeDocument/2006/relationships/image" Target="media/image1.png"/><Relationship Id="rId25" Type="http://schemas.openxmlformats.org/officeDocument/2006/relationships/hyperlink" Target="http://www.secretariasenado.gov.co/senado/basedoc/ley_0005_1992_pr004.html" TargetMode="External"/><Relationship Id="rId33" Type="http://schemas.openxmlformats.org/officeDocument/2006/relationships/hyperlink" Target="https://totoro.banrep.gov.co/analytics/saw.dll?Go&amp;Action=prompt&amp;path=%2Fshared%2FSeries%20Estad%C3%ADsticas_T%2F1.%20IPC%20base%202018%2F1.2.%20Por%20a%C3%B1o%2F1.2.5.IPC_Serie_variaciones&amp;Options=rdf&amp;lang=es&amp;NQUser=publico&amp;NQPassword=publico123" TargetMode="External"/><Relationship Id="rId38" Type="http://schemas.openxmlformats.org/officeDocument/2006/relationships/hyperlink" Target="https://natukabarf.com/blogs/news/estres-en-perros-y-gatos-causas-salud-y-soluciones-naturales" TargetMode="External"/><Relationship Id="rId20" Type="http://schemas.openxmlformats.org/officeDocument/2006/relationships/image" Target="media/image4.png"/><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wilmer.castellanos@camara.gov.co"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worldanimalprotection.cr/" TargetMode="External"/><Relationship Id="rId2" Type="http://schemas.openxmlformats.org/officeDocument/2006/relationships/hyperlink" Target="https://sioc.minagricultura.gov.co/Boletines/BOLET%C3%8DN%20DE%20PRECIOS%20DE%20ALIMENTO%20BALANCEADO%20PARA%20ANIMALES%20No.1%20de%202021.pdf" TargetMode="External"/><Relationship Id="rId1" Type="http://schemas.openxmlformats.org/officeDocument/2006/relationships/hyperlink" Target="https://drive.google.com/file/d/1rsfyZV4B1xpWjHKCHUtbjyXO8BHWnXcO/view?fbclid=PAAab6ImXmqDqX5onEljByywrXZMIA3yKHSdUm9uz3-lYT4Fuy55HAJanFBec_aem_AU5_jDzrzjE-Z62KhoUpUL8SYuopU7CilZ3IV0hgpQ7CqfuJI093eLfRwEjh_MJTkB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6pIQGqyptP2PIZgTfMxczYw4w==">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8655</Words>
  <Characters>47603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del Pilar Rodríguez Cuéllar</dc:creator>
  <cp:lastModifiedBy>Hasbleidy Suarez Sanchez</cp:lastModifiedBy>
  <cp:revision>2</cp:revision>
  <dcterms:created xsi:type="dcterms:W3CDTF">2024-08-13T20:45:00Z</dcterms:created>
  <dcterms:modified xsi:type="dcterms:W3CDTF">2024-08-13T20:45:00Z</dcterms:modified>
</cp:coreProperties>
</file>