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87E6A" w14:textId="77777777" w:rsidR="00DA42DB" w:rsidRDefault="00DA42DB" w:rsidP="001319C6">
      <w:pPr>
        <w:pStyle w:val="Cierre"/>
        <w:spacing w:before="100" w:beforeAutospacing="1" w:after="100" w:afterAutospacing="1"/>
        <w:ind w:left="0"/>
        <w:contextualSpacing/>
        <w:jc w:val="center"/>
        <w:rPr>
          <w:rFonts w:ascii="Arial Narrow" w:hAnsi="Arial Narrow" w:cs="Arial"/>
          <w:b/>
          <w:sz w:val="23"/>
          <w:szCs w:val="23"/>
        </w:rPr>
      </w:pPr>
    </w:p>
    <w:p w14:paraId="3BB79731" w14:textId="3073DDCC" w:rsidR="00C51F1A" w:rsidRPr="00BB4E9D" w:rsidRDefault="00C51F1A" w:rsidP="00C51F1A">
      <w:pPr>
        <w:pStyle w:val="Cierre"/>
        <w:spacing w:before="100" w:beforeAutospacing="1" w:after="100" w:afterAutospacing="1"/>
        <w:ind w:left="0"/>
        <w:contextualSpacing/>
        <w:jc w:val="center"/>
        <w:rPr>
          <w:rFonts w:ascii="Verdana" w:hAnsi="Verdana" w:cs="Arial"/>
          <w:b/>
          <w:sz w:val="22"/>
          <w:szCs w:val="22"/>
        </w:rPr>
      </w:pPr>
      <w:r w:rsidRPr="00BB4E9D">
        <w:rPr>
          <w:rFonts w:ascii="Verdana" w:hAnsi="Verdana" w:cs="Arial"/>
          <w:b/>
          <w:sz w:val="22"/>
          <w:szCs w:val="22"/>
        </w:rPr>
        <w:t xml:space="preserve">INFORMACIÓN PARA </w:t>
      </w:r>
      <w:bookmarkStart w:id="0" w:name="_Hlk143245838"/>
      <w:r w:rsidRPr="00BB4E9D">
        <w:rPr>
          <w:rFonts w:ascii="Verdana" w:hAnsi="Verdana" w:cs="Arial"/>
          <w:b/>
          <w:sz w:val="22"/>
          <w:szCs w:val="22"/>
        </w:rPr>
        <w:t>RESPUESTA CONTROL POLITICO COMISION PRIMERA C</w:t>
      </w:r>
      <w:r w:rsidR="004226DB" w:rsidRPr="00BB4E9D">
        <w:rPr>
          <w:rFonts w:ascii="Verdana" w:hAnsi="Verdana" w:cs="Arial"/>
          <w:b/>
          <w:sz w:val="22"/>
          <w:szCs w:val="22"/>
        </w:rPr>
        <w:t>Á</w:t>
      </w:r>
      <w:r w:rsidRPr="00BB4E9D">
        <w:rPr>
          <w:rFonts w:ascii="Verdana" w:hAnsi="Verdana" w:cs="Arial"/>
          <w:b/>
          <w:sz w:val="22"/>
          <w:szCs w:val="22"/>
        </w:rPr>
        <w:t>MARA DE REPRESENTANTES</w:t>
      </w:r>
      <w:bookmarkEnd w:id="0"/>
      <w:r w:rsidR="002507D3" w:rsidRPr="00BB4E9D">
        <w:rPr>
          <w:rFonts w:ascii="Verdana" w:hAnsi="Verdana" w:cs="Arial"/>
          <w:b/>
          <w:sz w:val="22"/>
          <w:szCs w:val="22"/>
        </w:rPr>
        <w:t xml:space="preserve"> – AGOSTO DE 2024</w:t>
      </w:r>
    </w:p>
    <w:p w14:paraId="6810AA75" w14:textId="6268320E" w:rsidR="00B31141" w:rsidRPr="00BB4E9D" w:rsidRDefault="00B31141" w:rsidP="00C51F1A">
      <w:pPr>
        <w:pStyle w:val="Cierre"/>
        <w:spacing w:before="100" w:beforeAutospacing="1" w:after="100" w:afterAutospacing="1"/>
        <w:ind w:left="0"/>
        <w:contextualSpacing/>
        <w:jc w:val="center"/>
        <w:rPr>
          <w:rFonts w:ascii="Verdana" w:hAnsi="Verdana" w:cs="Arial"/>
          <w:b/>
          <w:sz w:val="22"/>
          <w:szCs w:val="22"/>
        </w:rPr>
      </w:pPr>
    </w:p>
    <w:p w14:paraId="1C737ECC" w14:textId="77777777" w:rsidR="00B31141" w:rsidRPr="00BB4E9D" w:rsidRDefault="00B31141" w:rsidP="00B31141">
      <w:pPr>
        <w:pStyle w:val="Cierre"/>
        <w:spacing w:before="100" w:beforeAutospacing="1" w:after="100" w:afterAutospacing="1"/>
        <w:ind w:left="0"/>
        <w:contextualSpacing/>
        <w:jc w:val="center"/>
        <w:rPr>
          <w:rFonts w:ascii="Verdana" w:hAnsi="Verdana" w:cs="Arial"/>
          <w:b/>
          <w:sz w:val="22"/>
          <w:szCs w:val="22"/>
        </w:rPr>
      </w:pPr>
      <w:r w:rsidRPr="00BB4E9D">
        <w:rPr>
          <w:rFonts w:ascii="Verdana" w:hAnsi="Verdana" w:cs="Arial"/>
          <w:b/>
          <w:sz w:val="22"/>
          <w:szCs w:val="22"/>
        </w:rPr>
        <w:t>ESQUEMA PARA REPORTE DE INFORMACIÓN – CON EJEMPLO DE MHCP</w:t>
      </w:r>
    </w:p>
    <w:p w14:paraId="76A6A43A" w14:textId="77777777" w:rsidR="0043242E" w:rsidRPr="00BB4E9D" w:rsidRDefault="0043242E" w:rsidP="0043242E">
      <w:pPr>
        <w:pStyle w:val="Cierre"/>
        <w:spacing w:before="100" w:beforeAutospacing="1" w:after="100" w:afterAutospacing="1"/>
        <w:ind w:left="0"/>
        <w:contextualSpacing/>
        <w:jc w:val="both"/>
        <w:rPr>
          <w:rFonts w:ascii="Verdana" w:hAnsi="Verdana" w:cs="Arial"/>
          <w:b/>
          <w:sz w:val="22"/>
          <w:szCs w:val="22"/>
        </w:rPr>
      </w:pPr>
    </w:p>
    <w:p w14:paraId="68306689" w14:textId="77777777" w:rsidR="00BB4E9D" w:rsidRPr="00BB4E9D" w:rsidRDefault="00BB4E9D" w:rsidP="00BB4E9D">
      <w:pPr>
        <w:pStyle w:val="Cierre"/>
        <w:numPr>
          <w:ilvl w:val="0"/>
          <w:numId w:val="23"/>
        </w:numPr>
        <w:spacing w:before="100" w:beforeAutospacing="1" w:after="27" w:afterAutospacing="1"/>
        <w:contextualSpacing/>
        <w:jc w:val="both"/>
        <w:rPr>
          <w:rFonts w:ascii="Verdana" w:hAnsi="Verdana" w:cs="Arial"/>
          <w:b/>
          <w:sz w:val="22"/>
          <w:szCs w:val="22"/>
        </w:rPr>
      </w:pPr>
      <w:r w:rsidRPr="00BB4E9D">
        <w:rPr>
          <w:rFonts w:ascii="Verdana" w:hAnsi="Verdana" w:cs="Arial"/>
          <w:b/>
          <w:sz w:val="22"/>
          <w:szCs w:val="22"/>
        </w:rPr>
        <w:t>Sírvase informar el porcentaje y rubro destinado para el pago de los contratos de prestación de servicios y si este corresponde a la partida de inversión o gasto de funcionamiento para las vigencias 2023 y 2024.</w:t>
      </w:r>
    </w:p>
    <w:p w14:paraId="23DA94A0" w14:textId="77777777" w:rsidR="00BB4E9D" w:rsidRPr="00BB4E9D" w:rsidRDefault="00BB4E9D" w:rsidP="00BB4E9D">
      <w:pPr>
        <w:pStyle w:val="Cierre"/>
        <w:spacing w:before="100" w:beforeAutospacing="1" w:after="27" w:afterAutospacing="1"/>
        <w:contextualSpacing/>
        <w:jc w:val="both"/>
        <w:rPr>
          <w:rFonts w:ascii="Verdana" w:hAnsi="Verdana" w:cs="Arial"/>
          <w:b/>
          <w:sz w:val="22"/>
          <w:szCs w:val="22"/>
        </w:rPr>
      </w:pPr>
    </w:p>
    <w:p w14:paraId="5E00B058" w14:textId="77777777" w:rsidR="00BB4E9D" w:rsidRPr="00BB4E9D" w:rsidRDefault="00BB4E9D" w:rsidP="00BB4E9D">
      <w:pPr>
        <w:tabs>
          <w:tab w:val="left" w:pos="567"/>
        </w:tabs>
        <w:spacing w:before="100" w:beforeAutospacing="1" w:after="100" w:afterAutospacing="1"/>
        <w:jc w:val="both"/>
        <w:rPr>
          <w:rFonts w:ascii="Verdana" w:eastAsia="Calibri" w:hAnsi="Verdana" w:cs="Arial"/>
          <w:lang w:eastAsia="es-CO"/>
        </w:rPr>
      </w:pPr>
      <w:r w:rsidRPr="00BB4E9D">
        <w:rPr>
          <w:rFonts w:ascii="Verdana" w:eastAsia="Calibri" w:hAnsi="Verdana" w:cs="Arial"/>
          <w:lang w:eastAsia="es-CO"/>
        </w:rPr>
        <w:t>Se adjunta cuadro discriminado con los rubros presupuestales y porcentajes destinados para el pago de los contratos de prestación de servicios, de la Superintendencia de la Economía Solidaría:</w:t>
      </w:r>
    </w:p>
    <w:p w14:paraId="5B7A0DD0" w14:textId="77777777" w:rsidR="00BB4E9D" w:rsidRPr="00BB4E9D" w:rsidRDefault="00BB4E9D" w:rsidP="00BB4E9D">
      <w:pPr>
        <w:rPr>
          <w:rFonts w:ascii="Verdana" w:hAnsi="Verdana" w:cs="Arial"/>
          <w:b/>
          <w:u w:val="single"/>
        </w:rPr>
      </w:pPr>
      <w:r w:rsidRPr="00BB4E9D">
        <w:rPr>
          <w:rFonts w:ascii="Verdana" w:hAnsi="Verdana" w:cs="Arial"/>
          <w:b/>
          <w:u w:val="single"/>
        </w:rPr>
        <w:t>Año 2023:</w:t>
      </w:r>
    </w:p>
    <w:p w14:paraId="7470C957" w14:textId="77777777" w:rsidR="00BB4E9D" w:rsidRDefault="00BB4E9D" w:rsidP="00BB4E9D">
      <w:pPr>
        <w:pStyle w:val="Cierre"/>
        <w:spacing w:before="100" w:beforeAutospacing="1" w:after="27" w:afterAutospacing="1"/>
        <w:ind w:left="0"/>
        <w:contextualSpacing/>
        <w:jc w:val="both"/>
        <w:rPr>
          <w:rFonts w:ascii="Verdana" w:hAnsi="Verdana"/>
          <w:b/>
          <w:bCs/>
          <w:sz w:val="22"/>
          <w:szCs w:val="22"/>
        </w:rPr>
      </w:pPr>
      <w:r w:rsidRPr="00BB4E9D">
        <w:rPr>
          <w:rFonts w:ascii="Verdana" w:hAnsi="Verdana"/>
          <w:noProof/>
          <w:sz w:val="22"/>
          <w:szCs w:val="22"/>
          <w:lang w:val="es-CO" w:eastAsia="es-CO"/>
        </w:rPr>
        <w:drawing>
          <wp:inline distT="0" distB="0" distL="0" distR="0" wp14:anchorId="30E84D4B" wp14:editId="3DC6E23D">
            <wp:extent cx="6015355" cy="1552575"/>
            <wp:effectExtent l="0" t="0" r="444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1950" cy="1554277"/>
                    </a:xfrm>
                    <a:prstGeom prst="rect">
                      <a:avLst/>
                    </a:prstGeom>
                    <a:noFill/>
                    <a:ln>
                      <a:noFill/>
                    </a:ln>
                  </pic:spPr>
                </pic:pic>
              </a:graphicData>
            </a:graphic>
          </wp:inline>
        </w:drawing>
      </w:r>
    </w:p>
    <w:p w14:paraId="25E8F436" w14:textId="77777777" w:rsidR="00BB4E9D" w:rsidRDefault="00BB4E9D" w:rsidP="00BB4E9D">
      <w:pPr>
        <w:pStyle w:val="Cierre"/>
        <w:spacing w:before="100" w:beforeAutospacing="1" w:after="27" w:afterAutospacing="1"/>
        <w:ind w:left="0"/>
        <w:contextualSpacing/>
        <w:jc w:val="both"/>
        <w:rPr>
          <w:rFonts w:ascii="Verdana" w:hAnsi="Verdana"/>
          <w:b/>
          <w:bCs/>
          <w:sz w:val="22"/>
          <w:szCs w:val="22"/>
        </w:rPr>
      </w:pPr>
    </w:p>
    <w:p w14:paraId="74ED7AC7" w14:textId="77777777" w:rsidR="00BB4E9D" w:rsidRDefault="00BB4E9D" w:rsidP="00BB4E9D">
      <w:pPr>
        <w:pStyle w:val="Cierre"/>
        <w:spacing w:before="100" w:beforeAutospacing="1" w:after="27" w:afterAutospacing="1"/>
        <w:ind w:left="0"/>
        <w:contextualSpacing/>
        <w:jc w:val="both"/>
        <w:rPr>
          <w:rFonts w:ascii="Verdana" w:hAnsi="Verdana"/>
          <w:b/>
          <w:bCs/>
          <w:sz w:val="22"/>
          <w:szCs w:val="22"/>
        </w:rPr>
      </w:pPr>
      <w:r>
        <w:rPr>
          <w:rFonts w:ascii="Verdana" w:hAnsi="Verdana"/>
          <w:b/>
          <w:bCs/>
          <w:sz w:val="22"/>
          <w:szCs w:val="22"/>
        </w:rPr>
        <w:t>Discriminado por rubros presupuestales a continuación:</w:t>
      </w:r>
    </w:p>
    <w:p w14:paraId="558C2937" w14:textId="77777777" w:rsidR="00BB4E9D" w:rsidRDefault="00BB4E9D" w:rsidP="00BB4E9D">
      <w:pPr>
        <w:pStyle w:val="Cierre"/>
        <w:spacing w:before="100" w:beforeAutospacing="1" w:after="27" w:afterAutospacing="1"/>
        <w:ind w:left="0"/>
        <w:contextualSpacing/>
        <w:jc w:val="both"/>
        <w:rPr>
          <w:rFonts w:ascii="Verdana" w:hAnsi="Verdana"/>
          <w:b/>
          <w:bCs/>
          <w:sz w:val="22"/>
          <w:szCs w:val="22"/>
        </w:rPr>
      </w:pPr>
      <w:r>
        <w:rPr>
          <w:rFonts w:ascii="Verdana" w:hAnsi="Verdana"/>
          <w:b/>
          <w:bCs/>
          <w:sz w:val="22"/>
          <w:szCs w:val="22"/>
        </w:rPr>
        <w:t xml:space="preserve"> </w:t>
      </w:r>
    </w:p>
    <w:p w14:paraId="7D1605CF" w14:textId="77777777" w:rsidR="00BB4E9D" w:rsidRDefault="00BB4E9D" w:rsidP="00582424">
      <w:pPr>
        <w:pStyle w:val="Cierre"/>
        <w:spacing w:before="100" w:beforeAutospacing="1" w:after="27" w:afterAutospacing="1"/>
        <w:ind w:left="0"/>
        <w:contextualSpacing/>
        <w:jc w:val="center"/>
        <w:rPr>
          <w:rFonts w:ascii="Verdana" w:hAnsi="Verdana"/>
          <w:b/>
          <w:bCs/>
          <w:sz w:val="22"/>
          <w:szCs w:val="22"/>
        </w:rPr>
      </w:pPr>
      <w:r w:rsidRPr="00BB4E9D">
        <w:rPr>
          <w:rFonts w:ascii="Verdana" w:hAnsi="Verdana"/>
          <w:noProof/>
          <w:sz w:val="22"/>
          <w:szCs w:val="22"/>
          <w:lang w:val="es-CO" w:eastAsia="es-CO"/>
        </w:rPr>
        <w:drawing>
          <wp:inline distT="0" distB="0" distL="0" distR="0" wp14:anchorId="5FEB1400" wp14:editId="538BB539">
            <wp:extent cx="2924175" cy="3043908"/>
            <wp:effectExtent l="0" t="0" r="0" b="444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6043" cy="3097900"/>
                    </a:xfrm>
                    <a:prstGeom prst="rect">
                      <a:avLst/>
                    </a:prstGeom>
                    <a:noFill/>
                    <a:ln>
                      <a:noFill/>
                    </a:ln>
                  </pic:spPr>
                </pic:pic>
              </a:graphicData>
            </a:graphic>
          </wp:inline>
        </w:drawing>
      </w:r>
    </w:p>
    <w:p w14:paraId="50E9C671" w14:textId="77777777" w:rsidR="00BB4E9D" w:rsidRDefault="00BB4E9D" w:rsidP="00BB4E9D">
      <w:pPr>
        <w:pStyle w:val="Cierre"/>
        <w:spacing w:before="100" w:beforeAutospacing="1" w:after="100" w:afterAutospacing="1"/>
        <w:ind w:left="360"/>
        <w:contextualSpacing/>
        <w:jc w:val="both"/>
        <w:rPr>
          <w:rFonts w:ascii="Verdana" w:hAnsi="Verdana" w:cs="Arial"/>
          <w:b/>
          <w:sz w:val="22"/>
          <w:szCs w:val="22"/>
        </w:rPr>
      </w:pPr>
    </w:p>
    <w:p w14:paraId="336EBACA" w14:textId="77777777" w:rsidR="00BB4E9D" w:rsidRDefault="00BB4E9D" w:rsidP="00BB4E9D">
      <w:pPr>
        <w:rPr>
          <w:rFonts w:ascii="Verdana" w:hAnsi="Verdana" w:cs="Arial"/>
          <w:b/>
          <w:u w:val="single"/>
        </w:rPr>
      </w:pPr>
      <w:r w:rsidRPr="00803254">
        <w:rPr>
          <w:rFonts w:ascii="Verdana" w:hAnsi="Verdana" w:cs="Arial"/>
          <w:b/>
          <w:u w:val="single"/>
        </w:rPr>
        <w:t>Año 202</w:t>
      </w:r>
      <w:r>
        <w:rPr>
          <w:rFonts w:ascii="Verdana" w:hAnsi="Verdana" w:cs="Arial"/>
          <w:b/>
          <w:u w:val="single"/>
        </w:rPr>
        <w:t>4</w:t>
      </w:r>
      <w:r w:rsidRPr="00803254">
        <w:rPr>
          <w:rFonts w:ascii="Verdana" w:hAnsi="Verdana" w:cs="Arial"/>
          <w:b/>
          <w:u w:val="single"/>
        </w:rPr>
        <w:t>:</w:t>
      </w:r>
    </w:p>
    <w:p w14:paraId="3A0093C7" w14:textId="77777777" w:rsidR="00BB4E9D" w:rsidRDefault="00BB4E9D" w:rsidP="00BB4E9D">
      <w:pPr>
        <w:rPr>
          <w:rFonts w:ascii="Verdana" w:hAnsi="Verdana" w:cs="Arial"/>
          <w:b/>
          <w:u w:val="single"/>
        </w:rPr>
      </w:pPr>
    </w:p>
    <w:p w14:paraId="4331FC34" w14:textId="77777777" w:rsidR="00BB4E9D" w:rsidRDefault="00BB4E9D" w:rsidP="00BB4E9D">
      <w:pPr>
        <w:rPr>
          <w:rFonts w:ascii="Verdana" w:hAnsi="Verdana" w:cs="Arial"/>
          <w:b/>
          <w:u w:val="single"/>
        </w:rPr>
      </w:pPr>
      <w:r w:rsidRPr="008F3233">
        <w:rPr>
          <w:noProof/>
        </w:rPr>
        <w:drawing>
          <wp:inline distT="0" distB="0" distL="0" distR="0" wp14:anchorId="21D76219" wp14:editId="5EDB1194">
            <wp:extent cx="5612130" cy="1458659"/>
            <wp:effectExtent l="0" t="0" r="762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1458659"/>
                    </a:xfrm>
                    <a:prstGeom prst="rect">
                      <a:avLst/>
                    </a:prstGeom>
                    <a:noFill/>
                    <a:ln>
                      <a:noFill/>
                    </a:ln>
                  </pic:spPr>
                </pic:pic>
              </a:graphicData>
            </a:graphic>
          </wp:inline>
        </w:drawing>
      </w:r>
    </w:p>
    <w:p w14:paraId="3F4E6E4B" w14:textId="77777777" w:rsidR="00BB4E9D" w:rsidRDefault="00BB4E9D" w:rsidP="00BB4E9D">
      <w:pPr>
        <w:pStyle w:val="Cierre"/>
        <w:spacing w:before="100" w:beforeAutospacing="1" w:after="27" w:afterAutospacing="1"/>
        <w:ind w:left="0"/>
        <w:contextualSpacing/>
        <w:jc w:val="both"/>
        <w:rPr>
          <w:rFonts w:ascii="Verdana" w:hAnsi="Verdana"/>
          <w:b/>
          <w:bCs/>
          <w:sz w:val="22"/>
          <w:szCs w:val="22"/>
        </w:rPr>
      </w:pPr>
    </w:p>
    <w:p w14:paraId="6FA53898" w14:textId="3EE9FDF3" w:rsidR="00BB4E9D" w:rsidRDefault="00BB4E9D" w:rsidP="00BB4E9D">
      <w:pPr>
        <w:pStyle w:val="Cierre"/>
        <w:spacing w:before="100" w:beforeAutospacing="1" w:after="27" w:afterAutospacing="1"/>
        <w:ind w:left="0"/>
        <w:contextualSpacing/>
        <w:jc w:val="both"/>
        <w:rPr>
          <w:rFonts w:ascii="Verdana" w:hAnsi="Verdana"/>
          <w:b/>
          <w:bCs/>
          <w:sz w:val="22"/>
          <w:szCs w:val="22"/>
        </w:rPr>
      </w:pPr>
      <w:r>
        <w:rPr>
          <w:rFonts w:ascii="Verdana" w:hAnsi="Verdana"/>
          <w:b/>
          <w:bCs/>
          <w:sz w:val="22"/>
          <w:szCs w:val="22"/>
        </w:rPr>
        <w:t>Discriminado por rubros presupuestales a continuación:</w:t>
      </w:r>
    </w:p>
    <w:p w14:paraId="30791A07" w14:textId="77777777" w:rsidR="00BB4E9D" w:rsidRDefault="00BB4E9D" w:rsidP="00582424">
      <w:pPr>
        <w:jc w:val="center"/>
        <w:rPr>
          <w:rFonts w:ascii="Verdana" w:hAnsi="Verdana" w:cs="Arial"/>
          <w:b/>
          <w:u w:val="single"/>
        </w:rPr>
      </w:pPr>
      <w:r w:rsidRPr="008F3233">
        <w:rPr>
          <w:noProof/>
        </w:rPr>
        <w:drawing>
          <wp:inline distT="0" distB="0" distL="0" distR="0" wp14:anchorId="153E32F6" wp14:editId="5C33D60B">
            <wp:extent cx="3333750" cy="303151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4596" cy="3032283"/>
                    </a:xfrm>
                    <a:prstGeom prst="rect">
                      <a:avLst/>
                    </a:prstGeom>
                    <a:noFill/>
                    <a:ln>
                      <a:noFill/>
                    </a:ln>
                  </pic:spPr>
                </pic:pic>
              </a:graphicData>
            </a:graphic>
          </wp:inline>
        </w:drawing>
      </w:r>
    </w:p>
    <w:p w14:paraId="36EFB72E" w14:textId="77777777" w:rsidR="0043242E" w:rsidRPr="00E04745" w:rsidRDefault="0043242E" w:rsidP="0043242E">
      <w:pPr>
        <w:pStyle w:val="Cierre"/>
        <w:spacing w:before="100" w:beforeAutospacing="1" w:after="100" w:afterAutospacing="1"/>
        <w:ind w:left="0"/>
        <w:contextualSpacing/>
        <w:jc w:val="both"/>
        <w:rPr>
          <w:rFonts w:ascii="Verdana" w:hAnsi="Verdana" w:cs="Arial"/>
          <w:b/>
          <w:sz w:val="22"/>
          <w:szCs w:val="22"/>
        </w:rPr>
      </w:pPr>
    </w:p>
    <w:p w14:paraId="073A6CA7" w14:textId="16E61217" w:rsidR="001B2CA9" w:rsidRDefault="00E04745" w:rsidP="0043242E">
      <w:pPr>
        <w:pStyle w:val="Cierre"/>
        <w:numPr>
          <w:ilvl w:val="0"/>
          <w:numId w:val="41"/>
        </w:numPr>
        <w:spacing w:before="100" w:beforeAutospacing="1" w:after="100" w:afterAutospacing="1"/>
        <w:contextualSpacing/>
        <w:jc w:val="both"/>
        <w:rPr>
          <w:rFonts w:ascii="Verdana" w:hAnsi="Verdana" w:cs="Arial"/>
          <w:b/>
          <w:sz w:val="22"/>
          <w:szCs w:val="22"/>
        </w:rPr>
      </w:pPr>
      <w:r w:rsidRPr="00E04745">
        <w:rPr>
          <w:rFonts w:ascii="Verdana" w:hAnsi="Verdana" w:cs="Arial"/>
          <w:b/>
          <w:sz w:val="22"/>
          <w:szCs w:val="22"/>
        </w:rPr>
        <w:t>Sírvase informar, de forma discriminada, el aporte y/o responsabilidad por parte de su sector y entidades adscritas, a los programas sociales estratégicos y el presupuesto requerido para cumplir a cabalidad en 2025.</w:t>
      </w:r>
    </w:p>
    <w:p w14:paraId="28613A63" w14:textId="77777777" w:rsidR="0043242E" w:rsidRDefault="0043242E" w:rsidP="0043242E">
      <w:pPr>
        <w:pStyle w:val="Cierre"/>
        <w:spacing w:before="100" w:beforeAutospacing="1" w:after="100" w:afterAutospacing="1"/>
        <w:ind w:left="720"/>
        <w:contextualSpacing/>
        <w:jc w:val="both"/>
        <w:rPr>
          <w:rFonts w:ascii="Verdana" w:hAnsi="Verdana" w:cs="Arial"/>
          <w:color w:val="000000"/>
          <w:sz w:val="22"/>
          <w:szCs w:val="22"/>
        </w:rPr>
      </w:pPr>
    </w:p>
    <w:p w14:paraId="4D74A606" w14:textId="1161BA2C" w:rsidR="0043242E" w:rsidRPr="00B5261B" w:rsidRDefault="00CB6450" w:rsidP="00CB6450">
      <w:pPr>
        <w:pStyle w:val="Cierre"/>
        <w:spacing w:before="100" w:beforeAutospacing="1" w:after="100" w:afterAutospacing="1"/>
        <w:ind w:left="720"/>
        <w:contextualSpacing/>
        <w:jc w:val="both"/>
        <w:rPr>
          <w:rFonts w:ascii="Verdana" w:hAnsi="Verdana" w:cs="Arial"/>
          <w:color w:val="000000"/>
          <w:sz w:val="22"/>
          <w:szCs w:val="22"/>
        </w:rPr>
      </w:pPr>
      <w:bookmarkStart w:id="1" w:name="_Hlk174694378"/>
      <w:r w:rsidRPr="00B5261B">
        <w:rPr>
          <w:rFonts w:ascii="Verdana" w:hAnsi="Verdana" w:cs="Arial"/>
          <w:color w:val="000000"/>
          <w:sz w:val="22"/>
          <w:szCs w:val="22"/>
        </w:rPr>
        <w:t>En el marco de las bases del Plan Nacional de Desarrollo 2022-2026: “Colombia, Potencia Mundial de la Vida” y de los proyecto</w:t>
      </w:r>
      <w:r w:rsidR="002468D5">
        <w:rPr>
          <w:rFonts w:ascii="Verdana" w:hAnsi="Verdana" w:cs="Arial"/>
          <w:color w:val="000000"/>
          <w:sz w:val="22"/>
          <w:szCs w:val="22"/>
        </w:rPr>
        <w:t xml:space="preserve">s de </w:t>
      </w:r>
      <w:r w:rsidRPr="00B5261B">
        <w:rPr>
          <w:rFonts w:ascii="Verdana" w:hAnsi="Verdana" w:cs="Arial"/>
          <w:color w:val="000000"/>
          <w:sz w:val="22"/>
          <w:szCs w:val="22"/>
        </w:rPr>
        <w:t xml:space="preserve">inversión “Fortalecimiento Institucional para la Generación de Valor Público en el Sector Solidario Nacional” y “Fortalecimiento y Mejoramiento de la Infraestructura y los Servicios Tecnológicos de la Superintendencia de la </w:t>
      </w:r>
      <w:r w:rsidRPr="00B5261B">
        <w:rPr>
          <w:rFonts w:ascii="Verdana" w:hAnsi="Verdana" w:cs="Arial"/>
          <w:color w:val="000000"/>
          <w:sz w:val="22"/>
          <w:szCs w:val="22"/>
        </w:rPr>
        <w:lastRenderedPageBreak/>
        <w:t>Economía Solidaria” para la vigencia 2025, se establece que el catalizador al cual se alinean los objetivos generales y misionales de la entidad es el “Fortalecimiento institucional como motor de cambio para recuperar la confianza de la ciudadanía y fortalecer el vínculo entre el Estado y la ciudadanía”.</w:t>
      </w:r>
    </w:p>
    <w:p w14:paraId="2FD1AED7" w14:textId="77777777" w:rsidR="00CB6450" w:rsidRDefault="00CB6450" w:rsidP="00CB6450">
      <w:pPr>
        <w:pStyle w:val="Cierre"/>
        <w:spacing w:before="100" w:beforeAutospacing="1" w:after="100" w:afterAutospacing="1"/>
        <w:ind w:left="720"/>
        <w:contextualSpacing/>
        <w:jc w:val="both"/>
        <w:rPr>
          <w:rFonts w:ascii="Verdana" w:hAnsi="Verdana" w:cs="Arial"/>
          <w:color w:val="000000"/>
          <w:sz w:val="22"/>
          <w:szCs w:val="22"/>
        </w:rPr>
      </w:pPr>
    </w:p>
    <w:p w14:paraId="6D902915" w14:textId="136F0B8D" w:rsidR="00CB6450" w:rsidRDefault="00CB6450" w:rsidP="00B5261B">
      <w:pPr>
        <w:pStyle w:val="Cierre"/>
        <w:spacing w:before="100" w:beforeAutospacing="1" w:after="100" w:afterAutospacing="1"/>
        <w:ind w:left="720"/>
        <w:contextualSpacing/>
        <w:jc w:val="both"/>
        <w:rPr>
          <w:rFonts w:ascii="Verdana" w:hAnsi="Verdana" w:cs="Arial"/>
          <w:color w:val="000000"/>
          <w:sz w:val="22"/>
          <w:szCs w:val="22"/>
        </w:rPr>
      </w:pPr>
      <w:r w:rsidRPr="009D2544">
        <w:rPr>
          <w:rFonts w:ascii="Verdana" w:hAnsi="Verdana" w:cs="Arial"/>
          <w:color w:val="000000"/>
          <w:sz w:val="22"/>
          <w:szCs w:val="22"/>
        </w:rPr>
        <w:t xml:space="preserve">Desde el proyecto de “Fortalecimiento Institucional para la Generación de Valor Público en el Sector Solidario Nacional”, se propone el fortalecimiento de las capacidades de las entidades públicas, mejorando la eficiencia institucional y generando valor público en el marco de un Estado abierto, con énfasis en los territorios. </w:t>
      </w:r>
      <w:r w:rsidR="00B5261B">
        <w:rPr>
          <w:rFonts w:ascii="Verdana" w:hAnsi="Verdana" w:cs="Arial"/>
          <w:color w:val="000000"/>
          <w:sz w:val="22"/>
          <w:szCs w:val="22"/>
        </w:rPr>
        <w:t xml:space="preserve">Esto se materializa </w:t>
      </w:r>
      <w:r w:rsidRPr="009D2544">
        <w:rPr>
          <w:rFonts w:ascii="Verdana" w:hAnsi="Verdana" w:cs="Arial"/>
          <w:color w:val="000000"/>
          <w:sz w:val="22"/>
          <w:szCs w:val="22"/>
        </w:rPr>
        <w:t>en el logro de sus objetivos específicos</w:t>
      </w:r>
      <w:r w:rsidR="00B5261B">
        <w:rPr>
          <w:rFonts w:ascii="Verdana" w:hAnsi="Verdana" w:cs="Arial"/>
          <w:color w:val="000000"/>
          <w:sz w:val="22"/>
          <w:szCs w:val="22"/>
        </w:rPr>
        <w:t>,</w:t>
      </w:r>
      <w:r w:rsidRPr="009D2544">
        <w:rPr>
          <w:rFonts w:ascii="Verdana" w:hAnsi="Verdana" w:cs="Arial"/>
          <w:color w:val="000000"/>
          <w:sz w:val="22"/>
          <w:szCs w:val="22"/>
        </w:rPr>
        <w:t xml:space="preserve"> los cuales </w:t>
      </w:r>
      <w:r w:rsidR="009D2544" w:rsidRPr="009D2544">
        <w:rPr>
          <w:rFonts w:ascii="Verdana" w:hAnsi="Verdana" w:cs="Arial"/>
          <w:color w:val="000000"/>
          <w:sz w:val="22"/>
          <w:szCs w:val="22"/>
        </w:rPr>
        <w:t xml:space="preserve">plantean la articulación de los sistemas de gestión de la </w:t>
      </w:r>
      <w:r w:rsidR="000738B3">
        <w:rPr>
          <w:rFonts w:ascii="Verdana" w:hAnsi="Verdana" w:cs="Arial"/>
          <w:color w:val="000000"/>
          <w:sz w:val="22"/>
          <w:szCs w:val="22"/>
        </w:rPr>
        <w:t>Superintendencia</w:t>
      </w:r>
      <w:r w:rsidR="000738B3" w:rsidRPr="009D2544">
        <w:rPr>
          <w:rFonts w:ascii="Verdana" w:hAnsi="Verdana" w:cs="Arial"/>
          <w:color w:val="000000"/>
          <w:sz w:val="22"/>
          <w:szCs w:val="22"/>
        </w:rPr>
        <w:t xml:space="preserve"> </w:t>
      </w:r>
      <w:r w:rsidR="009D2544" w:rsidRPr="009D2544">
        <w:rPr>
          <w:rFonts w:ascii="Verdana" w:hAnsi="Verdana" w:cs="Arial"/>
          <w:color w:val="000000"/>
          <w:sz w:val="22"/>
          <w:szCs w:val="22"/>
        </w:rPr>
        <w:t>y la optimización de su implementación, así como el aumento de la efectividad en la gestión y atención de los grupos de valor e interés. Estos objetivos se lograrán a través de la implementación de sistemas de gestión, la elaboración de documentos normativos y la atención a la ciudadanía.</w:t>
      </w:r>
    </w:p>
    <w:p w14:paraId="1B2B4BBF" w14:textId="77777777" w:rsidR="00B5261B" w:rsidRDefault="00B5261B" w:rsidP="00B5261B">
      <w:pPr>
        <w:pStyle w:val="Cierre"/>
        <w:spacing w:before="100" w:beforeAutospacing="1" w:after="100" w:afterAutospacing="1"/>
        <w:ind w:left="0"/>
        <w:contextualSpacing/>
        <w:jc w:val="both"/>
        <w:rPr>
          <w:rFonts w:ascii="Verdana" w:hAnsi="Verdana" w:cs="Arial"/>
          <w:sz w:val="22"/>
          <w:szCs w:val="22"/>
        </w:rPr>
      </w:pPr>
    </w:p>
    <w:p w14:paraId="4DD4EF97" w14:textId="6E1131E5" w:rsidR="00B5261B" w:rsidRDefault="00B5261B" w:rsidP="00B5261B">
      <w:pPr>
        <w:pStyle w:val="Cierre"/>
        <w:spacing w:before="100" w:beforeAutospacing="1" w:after="100" w:afterAutospacing="1"/>
        <w:ind w:left="720"/>
        <w:contextualSpacing/>
        <w:jc w:val="both"/>
        <w:rPr>
          <w:rFonts w:ascii="Verdana" w:hAnsi="Verdana" w:cs="Arial"/>
        </w:rPr>
      </w:pPr>
      <w:r>
        <w:rPr>
          <w:rFonts w:ascii="Verdana" w:hAnsi="Verdana" w:cs="Arial"/>
          <w:sz w:val="22"/>
          <w:szCs w:val="22"/>
        </w:rPr>
        <w:t xml:space="preserve">Esto </w:t>
      </w:r>
      <w:r w:rsidR="009D2544" w:rsidRPr="009D2544">
        <w:rPr>
          <w:rFonts w:ascii="Verdana" w:hAnsi="Verdana" w:cs="Arial"/>
          <w:sz w:val="22"/>
          <w:szCs w:val="22"/>
        </w:rPr>
        <w:t>permitirá que la Supersolidaria pueda velar por la protección de los derechos de los asociados de las organizaciones solidarias y facilitar el cumplimiento del marco estratégico de la Entidad. Además, de reforzar, implementar y articular sistemas de gestión y canales de atención ciudadana que amplie el alcance territorial de nuestras funciones de inspección, control y vigilancia. De esta manera, la imagen institucional logrará una mayor presencia en el territorio nacional, alcanzando un mayor grado de legitimidad y gobernanza</w:t>
      </w:r>
      <w:r w:rsidR="009D2544" w:rsidRPr="00B917C8">
        <w:rPr>
          <w:rFonts w:ascii="Verdana" w:hAnsi="Verdana" w:cs="Arial"/>
        </w:rPr>
        <w:t>.</w:t>
      </w:r>
    </w:p>
    <w:p w14:paraId="5499DA69" w14:textId="77777777" w:rsidR="009D2544" w:rsidRDefault="009D2544" w:rsidP="00CB6450">
      <w:pPr>
        <w:pStyle w:val="Cierre"/>
        <w:spacing w:before="100" w:beforeAutospacing="1" w:after="100" w:afterAutospacing="1"/>
        <w:ind w:left="720"/>
        <w:contextualSpacing/>
        <w:jc w:val="both"/>
        <w:rPr>
          <w:rFonts w:ascii="Verdana" w:hAnsi="Verdana" w:cs="Arial"/>
        </w:rPr>
      </w:pPr>
    </w:p>
    <w:p w14:paraId="5DE38406" w14:textId="22C6614F" w:rsidR="009D2544" w:rsidRDefault="00582424" w:rsidP="00CB6450">
      <w:pPr>
        <w:pStyle w:val="Cierre"/>
        <w:spacing w:before="100" w:beforeAutospacing="1" w:after="100" w:afterAutospacing="1"/>
        <w:ind w:left="720"/>
        <w:contextualSpacing/>
        <w:jc w:val="both"/>
        <w:rPr>
          <w:rFonts w:ascii="Verdana" w:hAnsi="Verdana" w:cs="Arial"/>
          <w:color w:val="000000"/>
          <w:sz w:val="22"/>
          <w:szCs w:val="22"/>
        </w:rPr>
      </w:pPr>
      <w:r>
        <w:rPr>
          <w:rFonts w:ascii="Verdana" w:hAnsi="Verdana" w:cs="Arial"/>
          <w:sz w:val="22"/>
          <w:szCs w:val="22"/>
        </w:rPr>
        <w:t xml:space="preserve">El </w:t>
      </w:r>
      <w:r w:rsidRPr="00B5261B">
        <w:rPr>
          <w:rFonts w:ascii="Verdana" w:hAnsi="Verdana" w:cs="Arial"/>
          <w:sz w:val="22"/>
          <w:szCs w:val="22"/>
        </w:rPr>
        <w:t>proyecto</w:t>
      </w:r>
      <w:r w:rsidR="009D2544" w:rsidRPr="00B5261B">
        <w:rPr>
          <w:rFonts w:ascii="Verdana" w:hAnsi="Verdana" w:cs="Arial"/>
          <w:sz w:val="22"/>
          <w:szCs w:val="22"/>
        </w:rPr>
        <w:t xml:space="preserve"> de </w:t>
      </w:r>
      <w:r w:rsidR="00B5261B" w:rsidRPr="00B5261B">
        <w:rPr>
          <w:rFonts w:ascii="Verdana" w:hAnsi="Verdana" w:cs="Arial"/>
          <w:color w:val="000000"/>
          <w:sz w:val="22"/>
          <w:szCs w:val="22"/>
        </w:rPr>
        <w:t>“Fortalecimiento y Mejoramiento de la Infraestructura y los Servicios Tecnológicos de la Superintendencia de la Economía Solidaria”</w:t>
      </w:r>
      <w:r w:rsidR="00B5261B">
        <w:rPr>
          <w:rFonts w:ascii="Verdana" w:hAnsi="Verdana" w:cs="Arial"/>
          <w:color w:val="000000"/>
          <w:sz w:val="22"/>
          <w:szCs w:val="22"/>
        </w:rPr>
        <w:t>,</w:t>
      </w:r>
      <w:r w:rsidR="000738B3">
        <w:rPr>
          <w:rFonts w:ascii="Verdana" w:hAnsi="Verdana" w:cs="Arial"/>
          <w:color w:val="000000"/>
          <w:sz w:val="22"/>
          <w:szCs w:val="22"/>
        </w:rPr>
        <w:t xml:space="preserve"> por otro lado,</w:t>
      </w:r>
      <w:r w:rsidR="00B5261B">
        <w:rPr>
          <w:rFonts w:ascii="Verdana" w:hAnsi="Verdana" w:cs="Arial"/>
          <w:color w:val="000000"/>
          <w:sz w:val="22"/>
          <w:szCs w:val="22"/>
        </w:rPr>
        <w:t xml:space="preserve"> destaca su alineación con</w:t>
      </w:r>
      <w:r w:rsidR="000738B3">
        <w:rPr>
          <w:rFonts w:ascii="Verdana" w:hAnsi="Verdana" w:cs="Arial"/>
          <w:color w:val="000000"/>
          <w:sz w:val="22"/>
          <w:szCs w:val="22"/>
        </w:rPr>
        <w:t xml:space="preserve"> el</w:t>
      </w:r>
      <w:r w:rsidR="00B5261B">
        <w:rPr>
          <w:rFonts w:ascii="Verdana" w:hAnsi="Verdana" w:cs="Arial"/>
          <w:color w:val="000000"/>
          <w:sz w:val="22"/>
          <w:szCs w:val="22"/>
        </w:rPr>
        <w:t xml:space="preserve"> catalizador de fortalecimiento institucional</w:t>
      </w:r>
      <w:r w:rsidR="00AE1338">
        <w:rPr>
          <w:rFonts w:ascii="Verdana" w:hAnsi="Verdana" w:cs="Arial"/>
          <w:color w:val="000000"/>
          <w:sz w:val="22"/>
          <w:szCs w:val="22"/>
        </w:rPr>
        <w:t xml:space="preserve">, ya que propone </w:t>
      </w:r>
      <w:r w:rsidR="00B5261B" w:rsidRPr="00B5261B">
        <w:rPr>
          <w:rFonts w:ascii="Verdana" w:hAnsi="Verdana" w:cs="Arial"/>
          <w:color w:val="000000"/>
          <w:sz w:val="22"/>
          <w:szCs w:val="22"/>
        </w:rPr>
        <w:t xml:space="preserve">la adopción de marcos de referencia para la gestión de TI, el fortalecimiento de las capacidades tecnológicas y mejora de la gestión del ciclo de vida de la información. </w:t>
      </w:r>
      <w:r w:rsidR="00B5261B">
        <w:rPr>
          <w:rFonts w:ascii="Verdana" w:hAnsi="Verdana" w:cs="Arial"/>
          <w:color w:val="000000"/>
          <w:sz w:val="22"/>
          <w:szCs w:val="22"/>
        </w:rPr>
        <w:t xml:space="preserve"> Los cuales </w:t>
      </w:r>
      <w:r w:rsidR="00B5261B" w:rsidRPr="00B5261B">
        <w:rPr>
          <w:rFonts w:ascii="Verdana" w:hAnsi="Verdana" w:cs="Arial"/>
          <w:color w:val="000000"/>
          <w:sz w:val="22"/>
          <w:szCs w:val="22"/>
        </w:rPr>
        <w:t>se lograrán a través de la elaboración de documentos de planeación estratégica de TI, la provisión de servicios tecnológicos y la implementación de servicios de información.</w:t>
      </w:r>
    </w:p>
    <w:p w14:paraId="3AA78628" w14:textId="77777777" w:rsidR="00B5261B" w:rsidRDefault="00B5261B" w:rsidP="00CB6450">
      <w:pPr>
        <w:pStyle w:val="Cierre"/>
        <w:spacing w:before="100" w:beforeAutospacing="1" w:after="100" w:afterAutospacing="1"/>
        <w:ind w:left="720"/>
        <w:contextualSpacing/>
        <w:jc w:val="both"/>
        <w:rPr>
          <w:rFonts w:ascii="Verdana" w:hAnsi="Verdana" w:cs="Arial"/>
          <w:color w:val="000000"/>
          <w:sz w:val="22"/>
          <w:szCs w:val="22"/>
        </w:rPr>
      </w:pPr>
    </w:p>
    <w:p w14:paraId="08C084EB" w14:textId="4DB6309B" w:rsidR="00B5261B" w:rsidRDefault="00B5261B" w:rsidP="00B5261B">
      <w:pPr>
        <w:pStyle w:val="Cierre"/>
        <w:spacing w:before="100" w:beforeAutospacing="1" w:after="100" w:afterAutospacing="1"/>
        <w:ind w:left="720"/>
        <w:contextualSpacing/>
        <w:jc w:val="both"/>
        <w:rPr>
          <w:rFonts w:ascii="Verdana" w:hAnsi="Verdana" w:cs="Arial"/>
          <w:sz w:val="22"/>
          <w:szCs w:val="22"/>
        </w:rPr>
      </w:pPr>
      <w:r w:rsidRPr="00B5261B">
        <w:rPr>
          <w:rFonts w:ascii="Verdana" w:hAnsi="Verdana" w:cs="Arial"/>
          <w:sz w:val="22"/>
          <w:szCs w:val="22"/>
        </w:rPr>
        <w:t>De esta manera, la entidad logrará impulsar la innovación pública dentro del desarrollo operativo, integrando como lo propone el PND</w:t>
      </w:r>
      <w:r>
        <w:rPr>
          <w:rFonts w:ascii="Verdana" w:hAnsi="Verdana" w:cs="Arial"/>
          <w:sz w:val="22"/>
          <w:szCs w:val="22"/>
        </w:rPr>
        <w:t xml:space="preserve">, </w:t>
      </w:r>
      <w:r w:rsidRPr="00B5261B">
        <w:rPr>
          <w:rFonts w:ascii="Verdana" w:hAnsi="Verdana" w:cs="Arial"/>
          <w:sz w:val="22"/>
          <w:szCs w:val="22"/>
        </w:rPr>
        <w:t xml:space="preserve">la promoción de las habilidades de experimentación, el uso de datos para la toma de decisiones, la gestión y el intercambio de conocimiento y el diseño de soluciones a retos y necesidades de la ciudadanía y de la entidad. Esto permitirá el fortalecimiento de las competencias de los servidores públicos y contratistas en el aprovechamiento de datos y de tecnologías digitales para la consecución del objetivo </w:t>
      </w:r>
      <w:r w:rsidR="000A2C4A">
        <w:rPr>
          <w:rFonts w:ascii="Verdana" w:hAnsi="Verdana" w:cs="Arial"/>
          <w:sz w:val="22"/>
          <w:szCs w:val="22"/>
        </w:rPr>
        <w:t>misional</w:t>
      </w:r>
      <w:r w:rsidR="000A2C4A" w:rsidRPr="00B5261B">
        <w:rPr>
          <w:rFonts w:ascii="Verdana" w:hAnsi="Verdana" w:cs="Arial"/>
          <w:sz w:val="22"/>
          <w:szCs w:val="22"/>
        </w:rPr>
        <w:t xml:space="preserve"> </w:t>
      </w:r>
      <w:r w:rsidRPr="00B5261B">
        <w:rPr>
          <w:rFonts w:ascii="Verdana" w:hAnsi="Verdana" w:cs="Arial"/>
          <w:sz w:val="22"/>
          <w:szCs w:val="22"/>
        </w:rPr>
        <w:t xml:space="preserve">de inspección, supervisión y control </w:t>
      </w:r>
      <w:r w:rsidR="000A2C4A">
        <w:rPr>
          <w:rFonts w:ascii="Verdana" w:hAnsi="Verdana" w:cs="Arial"/>
          <w:sz w:val="22"/>
          <w:szCs w:val="22"/>
        </w:rPr>
        <w:t>a</w:t>
      </w:r>
      <w:r w:rsidR="000A2C4A" w:rsidRPr="00B5261B">
        <w:rPr>
          <w:rFonts w:ascii="Verdana" w:hAnsi="Verdana" w:cs="Arial"/>
          <w:sz w:val="22"/>
          <w:szCs w:val="22"/>
        </w:rPr>
        <w:t xml:space="preserve"> </w:t>
      </w:r>
      <w:r w:rsidRPr="00B5261B">
        <w:rPr>
          <w:rFonts w:ascii="Verdana" w:hAnsi="Verdana" w:cs="Arial"/>
          <w:sz w:val="22"/>
          <w:szCs w:val="22"/>
        </w:rPr>
        <w:t xml:space="preserve">las organizaciones solidarias. </w:t>
      </w:r>
    </w:p>
    <w:p w14:paraId="3F0D70ED" w14:textId="77777777" w:rsidR="00B5261B" w:rsidRPr="00B5261B" w:rsidRDefault="00B5261B" w:rsidP="00B5261B">
      <w:pPr>
        <w:pStyle w:val="Cierre"/>
        <w:spacing w:before="100" w:beforeAutospacing="1" w:after="100" w:afterAutospacing="1"/>
        <w:ind w:left="720"/>
        <w:contextualSpacing/>
        <w:jc w:val="both"/>
        <w:rPr>
          <w:rFonts w:ascii="Verdana" w:hAnsi="Verdana" w:cs="Arial"/>
          <w:sz w:val="22"/>
          <w:szCs w:val="22"/>
        </w:rPr>
      </w:pPr>
    </w:p>
    <w:p w14:paraId="70C4CFD7" w14:textId="20782137" w:rsidR="00B5261B" w:rsidRPr="00B5261B" w:rsidRDefault="00B5261B" w:rsidP="00B5261B">
      <w:pPr>
        <w:pStyle w:val="Cierre"/>
        <w:spacing w:before="100" w:beforeAutospacing="1" w:after="100" w:afterAutospacing="1"/>
        <w:ind w:left="720"/>
        <w:contextualSpacing/>
        <w:jc w:val="both"/>
        <w:rPr>
          <w:rFonts w:ascii="Verdana" w:hAnsi="Verdana" w:cs="Arial"/>
          <w:sz w:val="22"/>
          <w:szCs w:val="22"/>
        </w:rPr>
      </w:pPr>
      <w:r w:rsidRPr="00B5261B">
        <w:rPr>
          <w:rFonts w:ascii="Verdana" w:hAnsi="Verdana" w:cs="Arial"/>
          <w:sz w:val="22"/>
          <w:szCs w:val="22"/>
        </w:rPr>
        <w:lastRenderedPageBreak/>
        <w:t xml:space="preserve">Asimismo, la modernización tecnológica de la entidad, a través del fortalecimiento de nuestras capacidades tecnológicas y la implementación o mejoramiento de los sistemas de información actuales, fortalecerá el gobierno digital y, con ello, nuestro relacionamiento con las organizaciones de la economía solidaria. De esta manera, se permitiría la adopción de los lineamientos establecidos dentro del PND relacionados con la digitalización y racionalización de trámites, la masificación de servicios digitales, la adopción de herramientas y tecnologías digitales y el uso de datos. Esto creará </w:t>
      </w:r>
      <w:r>
        <w:rPr>
          <w:rFonts w:ascii="Verdana" w:hAnsi="Verdana" w:cs="Arial"/>
          <w:sz w:val="22"/>
          <w:szCs w:val="22"/>
        </w:rPr>
        <w:t>en nuestra institucionalidad</w:t>
      </w:r>
      <w:r w:rsidR="00AE1338">
        <w:rPr>
          <w:rFonts w:ascii="Verdana" w:hAnsi="Verdana" w:cs="Arial"/>
          <w:sz w:val="22"/>
          <w:szCs w:val="22"/>
        </w:rPr>
        <w:t xml:space="preserve"> una interacción </w:t>
      </w:r>
      <w:r w:rsidR="00AE1338" w:rsidRPr="00B5261B">
        <w:rPr>
          <w:rFonts w:ascii="Verdana" w:hAnsi="Verdana" w:cs="Arial"/>
          <w:sz w:val="22"/>
          <w:szCs w:val="22"/>
        </w:rPr>
        <w:t>confiable</w:t>
      </w:r>
      <w:r w:rsidRPr="00B5261B">
        <w:rPr>
          <w:rFonts w:ascii="Verdana" w:hAnsi="Verdana" w:cs="Arial"/>
          <w:sz w:val="22"/>
          <w:szCs w:val="22"/>
        </w:rPr>
        <w:t>, eficiente y segura entre la entidad y las organizaciones vigiladas.</w:t>
      </w:r>
    </w:p>
    <w:p w14:paraId="14613B15" w14:textId="77777777" w:rsidR="009D2544" w:rsidRDefault="009D2544" w:rsidP="00CB6450">
      <w:pPr>
        <w:pStyle w:val="Cierre"/>
        <w:spacing w:before="100" w:beforeAutospacing="1" w:after="100" w:afterAutospacing="1"/>
        <w:ind w:left="720"/>
        <w:contextualSpacing/>
        <w:jc w:val="both"/>
        <w:rPr>
          <w:rFonts w:ascii="Verdana" w:hAnsi="Verdana" w:cs="Arial"/>
          <w:color w:val="000000"/>
          <w:sz w:val="22"/>
          <w:szCs w:val="22"/>
        </w:rPr>
      </w:pPr>
    </w:p>
    <w:p w14:paraId="0C590E24" w14:textId="0C1C80E5" w:rsidR="00B5261B" w:rsidRDefault="00B5261B" w:rsidP="00AE1338">
      <w:pPr>
        <w:pStyle w:val="Cierre"/>
        <w:spacing w:before="100" w:beforeAutospacing="1" w:after="100" w:afterAutospacing="1"/>
        <w:ind w:left="720"/>
        <w:contextualSpacing/>
        <w:jc w:val="both"/>
        <w:rPr>
          <w:rFonts w:ascii="Verdana" w:hAnsi="Verdana" w:cs="Arial"/>
          <w:color w:val="000000"/>
          <w:sz w:val="22"/>
          <w:szCs w:val="22"/>
        </w:rPr>
      </w:pPr>
      <w:r>
        <w:rPr>
          <w:rFonts w:ascii="Verdana" w:hAnsi="Verdana" w:cs="Arial"/>
          <w:color w:val="000000"/>
          <w:sz w:val="22"/>
          <w:szCs w:val="22"/>
        </w:rPr>
        <w:t>Por otra parte, en relación con el eje transformacional de “Estabilidad Macroeconómica”, el proyecto de “</w:t>
      </w:r>
      <w:r w:rsidRPr="00B5261B">
        <w:rPr>
          <w:rFonts w:ascii="Verdana" w:hAnsi="Verdana" w:cs="Arial"/>
          <w:color w:val="000000"/>
          <w:sz w:val="22"/>
          <w:szCs w:val="22"/>
        </w:rPr>
        <w:t>Fortalecimiento de las Capacidades para Ejercer la Labor de Supervisión a las Organizaciones Vigiladas por la Superintendencia de la Economía Solidaria a Nivel Nacional</w:t>
      </w:r>
      <w:r>
        <w:rPr>
          <w:rFonts w:ascii="Verdana" w:hAnsi="Verdana" w:cs="Arial"/>
          <w:color w:val="000000"/>
          <w:sz w:val="22"/>
          <w:szCs w:val="22"/>
        </w:rPr>
        <w:t>”</w:t>
      </w:r>
      <w:r w:rsidRPr="00B5261B">
        <w:t xml:space="preserve"> </w:t>
      </w:r>
      <w:r w:rsidRPr="00B5261B">
        <w:rPr>
          <w:rFonts w:ascii="Verdana" w:hAnsi="Verdana" w:cs="Arial"/>
          <w:color w:val="000000"/>
          <w:sz w:val="22"/>
          <w:szCs w:val="22"/>
        </w:rPr>
        <w:t>propone fortalecer el modelo de supervisión de las organizaciones de la economía solidaria, permitiendo así proteger los intereses de los asociados a dichas organizaciones dentro del marco económico del país, velar por la naturaleza jurídica de las mismas, vigilar la correcta aplicación de los recursos de las entidades y supervisar el cumplimiento de los propósitos socioeconómicos no lucrativos que las guían.</w:t>
      </w:r>
    </w:p>
    <w:p w14:paraId="3C06866C" w14:textId="1DF1AADE" w:rsidR="00B5261B" w:rsidRDefault="00AE1338" w:rsidP="00B5261B">
      <w:pPr>
        <w:pStyle w:val="Prrafodelista"/>
        <w:jc w:val="both"/>
        <w:rPr>
          <w:rFonts w:ascii="Verdana" w:hAnsi="Verdana" w:cs="Arial"/>
        </w:rPr>
      </w:pPr>
      <w:r>
        <w:rPr>
          <w:rFonts w:ascii="Verdana" w:hAnsi="Verdana" w:cs="Arial"/>
        </w:rPr>
        <w:t>Asimismo</w:t>
      </w:r>
      <w:r w:rsidR="00B5261B" w:rsidRPr="00B917C8">
        <w:rPr>
          <w:rFonts w:ascii="Verdana" w:hAnsi="Verdana" w:cs="Arial"/>
        </w:rPr>
        <w:t>, la entidad logrará fortalecer la adopción de un nuevo esquema de supervisión prospectivo, participativo y preventivo, mediante el afianzamiento de una economía productiva y popular para la vida, como lo propone el PND. En donde, las organizaciones solidarias serán actores clave, ya que contribuyen a la generación de empleo, ingresos, bienestar y equidad social, así como a la protección del medio ambiente y la soberanía alimentaria. Sin embargo, estas organizaciones enfrentan diversos desafíos y riesgos que requieren de una adecuada regulación y supervisión, que garantice su solvencia, estabilidad y competitividad. Por lo tanto, el papel de la Superintendencia en el cumplimiento de su mandato legal, contribuirá directa e indirectamente a la estabilidad de las organizaciones solidarias, del sector y la economía en general.</w:t>
      </w:r>
    </w:p>
    <w:p w14:paraId="2D658006" w14:textId="77777777" w:rsidR="00AE1338" w:rsidRPr="00B917C8" w:rsidRDefault="00AE1338" w:rsidP="00B5261B">
      <w:pPr>
        <w:pStyle w:val="Prrafodelista"/>
        <w:jc w:val="both"/>
        <w:rPr>
          <w:rFonts w:ascii="Verdana" w:hAnsi="Verdana" w:cs="Arial"/>
        </w:rPr>
      </w:pPr>
    </w:p>
    <w:p w14:paraId="54A7C3A6" w14:textId="40CCA4C0" w:rsidR="00B5261B" w:rsidRPr="002D3305" w:rsidRDefault="00AE1338" w:rsidP="002D3305">
      <w:pPr>
        <w:pStyle w:val="Prrafodelista"/>
        <w:jc w:val="both"/>
        <w:rPr>
          <w:rFonts w:ascii="Verdana" w:hAnsi="Verdana" w:cs="Arial"/>
        </w:rPr>
      </w:pPr>
      <w:r w:rsidRPr="00B917C8">
        <w:rPr>
          <w:rFonts w:ascii="Verdana" w:hAnsi="Verdana" w:cs="Arial"/>
        </w:rPr>
        <w:t xml:space="preserve">Además, la Superintendencia en su tarea misional considera dentro de su proyecto de inversión la Economía Popular y Comunitaria propuesta como ruta de acción dentro del Plan Nacional de Desarrollo como un eje transversal. Este reconocimiento de la economía, abarca los oficios y/u ocupaciones mercantiles y no mercantiles realizadas por unidades económicas de pequeña escala, de manera individual, en unidades económicas, u organizados de manera asociativa. De manera tal, que el desarrollo las actividades generadas en el marco de la Economía Popular generan valor social y económico significativo, que, una vez entendido su funcionamiento y lógica de acción, permitirán la implementación de </w:t>
      </w:r>
      <w:r w:rsidRPr="00B917C8">
        <w:rPr>
          <w:rFonts w:ascii="Verdana" w:hAnsi="Verdana" w:cs="Arial"/>
        </w:rPr>
        <w:lastRenderedPageBreak/>
        <w:t>mecanismos que contribuyan a su crecimiento y productividad de las organizaciones de la economía solidaria vigiladas.</w:t>
      </w:r>
      <w:bookmarkEnd w:id="1"/>
    </w:p>
    <w:p w14:paraId="1CF723F8" w14:textId="1F14B9A4" w:rsidR="002D3305" w:rsidRDefault="002D3305" w:rsidP="00CB6450">
      <w:pPr>
        <w:pStyle w:val="Cierre"/>
        <w:spacing w:before="100" w:beforeAutospacing="1" w:after="100" w:afterAutospacing="1"/>
        <w:ind w:left="720"/>
        <w:contextualSpacing/>
        <w:jc w:val="both"/>
        <w:rPr>
          <w:rFonts w:ascii="Verdana" w:hAnsi="Verdana" w:cs="Arial"/>
          <w:color w:val="000000"/>
          <w:sz w:val="22"/>
          <w:szCs w:val="22"/>
          <w:lang w:val="es-CO"/>
        </w:rPr>
      </w:pPr>
      <w:r w:rsidRPr="002D3305">
        <w:rPr>
          <w:rFonts w:ascii="Verdana" w:hAnsi="Verdana" w:cs="Arial"/>
          <w:color w:val="000000"/>
          <w:sz w:val="22"/>
          <w:szCs w:val="22"/>
          <w:lang w:val="es-CO"/>
        </w:rPr>
        <w:t>De acuerdo con lo anterior, la Superintendencia de la Economía Solidaria necesitaría un presupuesto</w:t>
      </w:r>
      <w:r w:rsidR="009F6838">
        <w:rPr>
          <w:rFonts w:ascii="Verdana" w:hAnsi="Verdana" w:cs="Arial"/>
          <w:color w:val="000000"/>
          <w:sz w:val="22"/>
          <w:szCs w:val="22"/>
          <w:lang w:val="es-CO"/>
        </w:rPr>
        <w:t xml:space="preserve"> de inversión</w:t>
      </w:r>
      <w:r w:rsidRPr="002D3305">
        <w:rPr>
          <w:rFonts w:ascii="Verdana" w:hAnsi="Verdana" w:cs="Arial"/>
          <w:color w:val="000000"/>
          <w:sz w:val="22"/>
          <w:szCs w:val="22"/>
          <w:lang w:val="es-CO"/>
        </w:rPr>
        <w:t xml:space="preserve"> de $25.818.537.053 para el 2025, con el fin de cumplir su objeto social, lo que contribuirá de manera directa e indirecta a la materialización del Plan Nacional de Desarrollo. Sin embargo, la entidad enfrenta un panorama de desfinanciación en el rubro de inversión, lo que afecta el cumplimiento de las metas y la misión institucional</w:t>
      </w:r>
      <w:r>
        <w:rPr>
          <w:rFonts w:ascii="Verdana" w:hAnsi="Verdana" w:cs="Arial"/>
          <w:color w:val="000000"/>
          <w:sz w:val="22"/>
          <w:szCs w:val="22"/>
          <w:lang w:val="es-CO"/>
        </w:rPr>
        <w:t xml:space="preserve"> para la vigencia en mención. </w:t>
      </w:r>
    </w:p>
    <w:p w14:paraId="04248203" w14:textId="77777777" w:rsidR="002D3305" w:rsidRDefault="002D3305" w:rsidP="00CB6450">
      <w:pPr>
        <w:pStyle w:val="Cierre"/>
        <w:spacing w:before="100" w:beforeAutospacing="1" w:after="100" w:afterAutospacing="1"/>
        <w:ind w:left="720"/>
        <w:contextualSpacing/>
        <w:jc w:val="both"/>
        <w:rPr>
          <w:rFonts w:ascii="Verdana" w:hAnsi="Verdana" w:cs="Arial"/>
          <w:color w:val="000000"/>
          <w:sz w:val="22"/>
          <w:szCs w:val="22"/>
        </w:rPr>
      </w:pPr>
    </w:p>
    <w:p w14:paraId="173549CE" w14:textId="68FA88FC" w:rsidR="009A131A" w:rsidRPr="009A131A" w:rsidRDefault="009A131A" w:rsidP="009A131A">
      <w:pPr>
        <w:pStyle w:val="Cierre"/>
        <w:spacing w:before="100" w:beforeAutospacing="1" w:after="100" w:afterAutospacing="1"/>
        <w:ind w:left="720"/>
        <w:contextualSpacing/>
        <w:jc w:val="center"/>
        <w:rPr>
          <w:rFonts w:ascii="Verdana" w:hAnsi="Verdana" w:cs="Arial"/>
          <w:color w:val="000000"/>
          <w:sz w:val="18"/>
          <w:szCs w:val="18"/>
        </w:rPr>
      </w:pPr>
      <w:r w:rsidRPr="009A131A">
        <w:rPr>
          <w:rFonts w:ascii="Verdana" w:hAnsi="Verdana" w:cs="Arial"/>
          <w:color w:val="000000"/>
          <w:sz w:val="18"/>
          <w:szCs w:val="18"/>
        </w:rPr>
        <w:t>Tabla 1. Diferencia Presupuesto de Inversión Proyecto de Ley PNG VS. Necesidad presupuestal por proyecto 2025</w:t>
      </w:r>
    </w:p>
    <w:tbl>
      <w:tblPr>
        <w:tblW w:w="9634" w:type="dxa"/>
        <w:tblLayout w:type="fixed"/>
        <w:tblCellMar>
          <w:left w:w="70" w:type="dxa"/>
          <w:right w:w="70" w:type="dxa"/>
        </w:tblCellMar>
        <w:tblLook w:val="04A0" w:firstRow="1" w:lastRow="0" w:firstColumn="1" w:lastColumn="0" w:noHBand="0" w:noVBand="1"/>
      </w:tblPr>
      <w:tblGrid>
        <w:gridCol w:w="2263"/>
        <w:gridCol w:w="1985"/>
        <w:gridCol w:w="1984"/>
        <w:gridCol w:w="2127"/>
        <w:gridCol w:w="1275"/>
      </w:tblGrid>
      <w:tr w:rsidR="009A131A" w:rsidRPr="009A131A" w14:paraId="3687D017" w14:textId="77777777" w:rsidTr="009A131A">
        <w:trPr>
          <w:trHeight w:val="1275"/>
          <w:tblHeader/>
        </w:trPr>
        <w:tc>
          <w:tcPr>
            <w:tcW w:w="2263" w:type="dxa"/>
            <w:tcBorders>
              <w:top w:val="single" w:sz="4" w:space="0" w:color="000000"/>
              <w:left w:val="single" w:sz="4" w:space="0" w:color="000000"/>
              <w:bottom w:val="single" w:sz="4" w:space="0" w:color="000000"/>
              <w:right w:val="single" w:sz="4" w:space="0" w:color="000000"/>
            </w:tcBorders>
            <w:shd w:val="clear" w:color="7F6000" w:fill="7F6000"/>
            <w:vAlign w:val="center"/>
            <w:hideMark/>
          </w:tcPr>
          <w:p w14:paraId="7D973FC8" w14:textId="77777777" w:rsidR="009A131A" w:rsidRPr="009A131A" w:rsidRDefault="009A131A" w:rsidP="009A131A">
            <w:pPr>
              <w:spacing w:after="0" w:line="240" w:lineRule="auto"/>
              <w:jc w:val="center"/>
              <w:rPr>
                <w:rFonts w:ascii="Verdana" w:eastAsia="Times New Roman" w:hAnsi="Verdana" w:cs="Arial"/>
                <w:b/>
                <w:bCs/>
                <w:color w:val="FFFFFF"/>
                <w:sz w:val="18"/>
                <w:szCs w:val="18"/>
                <w:lang w:eastAsia="es-CO"/>
              </w:rPr>
            </w:pPr>
            <w:r w:rsidRPr="009A131A">
              <w:rPr>
                <w:rFonts w:ascii="Verdana" w:eastAsia="Times New Roman" w:hAnsi="Verdana" w:cs="Arial"/>
                <w:b/>
                <w:bCs/>
                <w:color w:val="FFFFFF"/>
                <w:sz w:val="18"/>
                <w:szCs w:val="18"/>
                <w:lang w:eastAsia="es-CO"/>
              </w:rPr>
              <w:t xml:space="preserve">PROYECTO </w:t>
            </w:r>
          </w:p>
        </w:tc>
        <w:tc>
          <w:tcPr>
            <w:tcW w:w="1985" w:type="dxa"/>
            <w:tcBorders>
              <w:top w:val="single" w:sz="4" w:space="0" w:color="000000"/>
              <w:left w:val="nil"/>
              <w:bottom w:val="single" w:sz="4" w:space="0" w:color="000000"/>
              <w:right w:val="single" w:sz="4" w:space="0" w:color="000000"/>
            </w:tcBorders>
            <w:shd w:val="clear" w:color="7F6000" w:fill="7F6000"/>
            <w:vAlign w:val="center"/>
            <w:hideMark/>
          </w:tcPr>
          <w:p w14:paraId="2E76E32A" w14:textId="28766E99" w:rsidR="009A131A" w:rsidRPr="009A131A" w:rsidRDefault="009A131A" w:rsidP="009A131A">
            <w:pPr>
              <w:spacing w:after="0" w:line="240" w:lineRule="auto"/>
              <w:jc w:val="center"/>
              <w:rPr>
                <w:rFonts w:ascii="Verdana" w:eastAsia="Times New Roman" w:hAnsi="Verdana" w:cs="Arial"/>
                <w:b/>
                <w:bCs/>
                <w:color w:val="FFFFFF"/>
                <w:sz w:val="18"/>
                <w:szCs w:val="18"/>
                <w:lang w:eastAsia="es-CO"/>
              </w:rPr>
            </w:pPr>
            <w:r w:rsidRPr="009A131A">
              <w:rPr>
                <w:rFonts w:ascii="Verdana" w:eastAsia="Times New Roman" w:hAnsi="Verdana" w:cs="Arial"/>
                <w:b/>
                <w:bCs/>
                <w:color w:val="FFFFFF"/>
                <w:sz w:val="18"/>
                <w:szCs w:val="18"/>
                <w:lang w:eastAsia="es-CO"/>
              </w:rPr>
              <w:t xml:space="preserve">VALOR POR PROYECTO DENTRO DEL PROYECTO DE LEY  2025 </w:t>
            </w:r>
          </w:p>
        </w:tc>
        <w:tc>
          <w:tcPr>
            <w:tcW w:w="1984" w:type="dxa"/>
            <w:tcBorders>
              <w:top w:val="single" w:sz="4" w:space="0" w:color="000000"/>
              <w:left w:val="nil"/>
              <w:bottom w:val="single" w:sz="4" w:space="0" w:color="000000"/>
              <w:right w:val="single" w:sz="4" w:space="0" w:color="000000"/>
            </w:tcBorders>
            <w:shd w:val="clear" w:color="7F6000" w:fill="7F6000"/>
            <w:vAlign w:val="center"/>
            <w:hideMark/>
          </w:tcPr>
          <w:p w14:paraId="21F59C19" w14:textId="77777777" w:rsidR="009A131A" w:rsidRPr="009A131A" w:rsidRDefault="009A131A" w:rsidP="009A131A">
            <w:pPr>
              <w:spacing w:after="0" w:line="240" w:lineRule="auto"/>
              <w:jc w:val="center"/>
              <w:rPr>
                <w:rFonts w:ascii="Verdana" w:eastAsia="Times New Roman" w:hAnsi="Verdana" w:cs="Arial"/>
                <w:b/>
                <w:bCs/>
                <w:color w:val="FFFFFF"/>
                <w:sz w:val="18"/>
                <w:szCs w:val="18"/>
                <w:lang w:eastAsia="es-CO"/>
              </w:rPr>
            </w:pPr>
            <w:r w:rsidRPr="009A131A">
              <w:rPr>
                <w:rFonts w:ascii="Verdana" w:eastAsia="Times New Roman" w:hAnsi="Verdana" w:cs="Arial"/>
                <w:b/>
                <w:bCs/>
                <w:color w:val="FFFFFF"/>
                <w:sz w:val="18"/>
                <w:szCs w:val="18"/>
                <w:lang w:eastAsia="es-CO"/>
              </w:rPr>
              <w:t>NECESIDAD PRESUPUESTAL 2025</w:t>
            </w:r>
          </w:p>
        </w:tc>
        <w:tc>
          <w:tcPr>
            <w:tcW w:w="2127" w:type="dxa"/>
            <w:tcBorders>
              <w:top w:val="single" w:sz="4" w:space="0" w:color="000000"/>
              <w:left w:val="nil"/>
              <w:bottom w:val="single" w:sz="4" w:space="0" w:color="000000"/>
              <w:right w:val="single" w:sz="4" w:space="0" w:color="000000"/>
            </w:tcBorders>
            <w:shd w:val="clear" w:color="7F6000" w:fill="7F6000"/>
            <w:vAlign w:val="center"/>
            <w:hideMark/>
          </w:tcPr>
          <w:p w14:paraId="66723CC0" w14:textId="77777777" w:rsidR="009A131A" w:rsidRPr="009A131A" w:rsidRDefault="009A131A" w:rsidP="009A131A">
            <w:pPr>
              <w:spacing w:after="0" w:line="240" w:lineRule="auto"/>
              <w:jc w:val="center"/>
              <w:rPr>
                <w:rFonts w:ascii="Verdana" w:eastAsia="Times New Roman" w:hAnsi="Verdana" w:cs="Arial"/>
                <w:b/>
                <w:bCs/>
                <w:color w:val="FFFFFF"/>
                <w:sz w:val="18"/>
                <w:szCs w:val="18"/>
                <w:lang w:eastAsia="es-CO"/>
              </w:rPr>
            </w:pPr>
            <w:r w:rsidRPr="009A131A">
              <w:rPr>
                <w:rFonts w:ascii="Verdana" w:eastAsia="Times New Roman" w:hAnsi="Verdana" w:cs="Arial"/>
                <w:b/>
                <w:bCs/>
                <w:color w:val="FFFFFF"/>
                <w:sz w:val="18"/>
                <w:szCs w:val="18"/>
                <w:lang w:eastAsia="es-CO"/>
              </w:rPr>
              <w:t>DIFERENCIA PROYECTO DE LEY/ NECESIDAD PRESUPUESTAL</w:t>
            </w:r>
          </w:p>
        </w:tc>
        <w:tc>
          <w:tcPr>
            <w:tcW w:w="1275" w:type="dxa"/>
            <w:tcBorders>
              <w:top w:val="single" w:sz="4" w:space="0" w:color="000000"/>
              <w:left w:val="nil"/>
              <w:bottom w:val="single" w:sz="4" w:space="0" w:color="000000"/>
              <w:right w:val="single" w:sz="4" w:space="0" w:color="000000"/>
            </w:tcBorders>
            <w:shd w:val="clear" w:color="7F6000" w:fill="7F6000"/>
            <w:vAlign w:val="center"/>
            <w:hideMark/>
          </w:tcPr>
          <w:p w14:paraId="47919181" w14:textId="2A6256F1" w:rsidR="009A131A" w:rsidRPr="009A131A" w:rsidRDefault="009A131A" w:rsidP="009A131A">
            <w:pPr>
              <w:spacing w:after="0" w:line="240" w:lineRule="auto"/>
              <w:jc w:val="center"/>
              <w:rPr>
                <w:rFonts w:ascii="Verdana" w:eastAsia="Times New Roman" w:hAnsi="Verdana" w:cs="Arial"/>
                <w:b/>
                <w:bCs/>
                <w:color w:val="FFFFFF"/>
                <w:sz w:val="18"/>
                <w:szCs w:val="18"/>
                <w:lang w:eastAsia="es-CO"/>
              </w:rPr>
            </w:pPr>
            <w:r w:rsidRPr="009A131A">
              <w:rPr>
                <w:rFonts w:ascii="Verdana" w:eastAsia="Times New Roman" w:hAnsi="Verdana" w:cs="Arial"/>
                <w:b/>
                <w:bCs/>
                <w:color w:val="FFFFFF"/>
                <w:sz w:val="18"/>
                <w:szCs w:val="18"/>
                <w:lang w:eastAsia="es-CO"/>
              </w:rPr>
              <w:t xml:space="preserve">% DE DIFERENCIA </w:t>
            </w:r>
          </w:p>
        </w:tc>
      </w:tr>
      <w:tr w:rsidR="009A131A" w:rsidRPr="009A131A" w14:paraId="708D64F5" w14:textId="77777777" w:rsidTr="009A131A">
        <w:trPr>
          <w:trHeight w:val="1500"/>
        </w:trPr>
        <w:tc>
          <w:tcPr>
            <w:tcW w:w="2263" w:type="dxa"/>
            <w:tcBorders>
              <w:top w:val="nil"/>
              <w:left w:val="single" w:sz="4" w:space="0" w:color="000000"/>
              <w:bottom w:val="single" w:sz="4" w:space="0" w:color="000000"/>
              <w:right w:val="single" w:sz="4" w:space="0" w:color="000000"/>
            </w:tcBorders>
            <w:shd w:val="clear" w:color="auto" w:fill="auto"/>
            <w:vAlign w:val="center"/>
            <w:hideMark/>
          </w:tcPr>
          <w:p w14:paraId="1346CE1C" w14:textId="77777777" w:rsidR="009A131A" w:rsidRPr="009A131A" w:rsidRDefault="009A131A" w:rsidP="009A131A">
            <w:pPr>
              <w:spacing w:after="0" w:line="240" w:lineRule="auto"/>
              <w:jc w:val="center"/>
              <w:rPr>
                <w:rFonts w:ascii="Verdana" w:eastAsia="Times New Roman" w:hAnsi="Verdana" w:cs="Arial"/>
                <w:color w:val="000000"/>
                <w:sz w:val="18"/>
                <w:szCs w:val="18"/>
                <w:lang w:eastAsia="es-CO"/>
              </w:rPr>
            </w:pPr>
            <w:r w:rsidRPr="009A131A">
              <w:rPr>
                <w:rFonts w:ascii="Verdana" w:eastAsia="Times New Roman" w:hAnsi="Verdana" w:cs="Arial"/>
                <w:color w:val="000000"/>
                <w:sz w:val="18"/>
                <w:szCs w:val="18"/>
                <w:lang w:eastAsia="es-CO"/>
              </w:rPr>
              <w:t>FORTALECIMIENTO INSTITUCIONAL PARA LA GENERACIÓN DE VALOR PÚBLICO EN EL SECTOR SOLIDARIO NACIONAL</w:t>
            </w:r>
          </w:p>
        </w:tc>
        <w:tc>
          <w:tcPr>
            <w:tcW w:w="1985" w:type="dxa"/>
            <w:tcBorders>
              <w:top w:val="nil"/>
              <w:left w:val="nil"/>
              <w:bottom w:val="single" w:sz="4" w:space="0" w:color="000000"/>
              <w:right w:val="single" w:sz="4" w:space="0" w:color="000000"/>
            </w:tcBorders>
            <w:shd w:val="clear" w:color="auto" w:fill="auto"/>
            <w:noWrap/>
            <w:vAlign w:val="center"/>
            <w:hideMark/>
          </w:tcPr>
          <w:p w14:paraId="1E5DD427" w14:textId="77777777" w:rsidR="009A131A" w:rsidRPr="009A131A" w:rsidRDefault="009A131A" w:rsidP="009A131A">
            <w:pPr>
              <w:spacing w:after="0" w:line="240" w:lineRule="auto"/>
              <w:jc w:val="center"/>
              <w:rPr>
                <w:rFonts w:ascii="Verdana" w:eastAsia="Times New Roman" w:hAnsi="Verdana" w:cs="Arial"/>
                <w:color w:val="000000"/>
                <w:sz w:val="18"/>
                <w:szCs w:val="18"/>
                <w:lang w:eastAsia="es-CO"/>
              </w:rPr>
            </w:pPr>
            <w:r w:rsidRPr="009A131A">
              <w:rPr>
                <w:rFonts w:ascii="Verdana" w:eastAsia="Times New Roman" w:hAnsi="Verdana" w:cs="Arial"/>
                <w:color w:val="000000"/>
                <w:sz w:val="18"/>
                <w:szCs w:val="18"/>
                <w:lang w:eastAsia="es-CO"/>
              </w:rPr>
              <w:t>$ 2.060.000.000</w:t>
            </w:r>
          </w:p>
        </w:tc>
        <w:tc>
          <w:tcPr>
            <w:tcW w:w="1984" w:type="dxa"/>
            <w:tcBorders>
              <w:top w:val="nil"/>
              <w:left w:val="nil"/>
              <w:bottom w:val="single" w:sz="4" w:space="0" w:color="000000"/>
              <w:right w:val="single" w:sz="4" w:space="0" w:color="000000"/>
            </w:tcBorders>
            <w:shd w:val="clear" w:color="auto" w:fill="auto"/>
            <w:noWrap/>
            <w:vAlign w:val="center"/>
            <w:hideMark/>
          </w:tcPr>
          <w:p w14:paraId="10A096B1" w14:textId="77777777" w:rsidR="009A131A" w:rsidRPr="009A131A" w:rsidRDefault="009A131A" w:rsidP="009A131A">
            <w:pPr>
              <w:spacing w:after="0" w:line="240" w:lineRule="auto"/>
              <w:jc w:val="center"/>
              <w:rPr>
                <w:rFonts w:ascii="Verdana" w:eastAsia="Times New Roman" w:hAnsi="Verdana" w:cs="Arial"/>
                <w:color w:val="000000"/>
                <w:sz w:val="18"/>
                <w:szCs w:val="18"/>
                <w:lang w:eastAsia="es-CO"/>
              </w:rPr>
            </w:pPr>
            <w:r w:rsidRPr="009A131A">
              <w:rPr>
                <w:rFonts w:ascii="Verdana" w:eastAsia="Times New Roman" w:hAnsi="Verdana" w:cs="Arial"/>
                <w:color w:val="000000"/>
                <w:sz w:val="18"/>
                <w:szCs w:val="18"/>
                <w:lang w:eastAsia="es-CO"/>
              </w:rPr>
              <w:t>$ 6.325.383.896</w:t>
            </w:r>
          </w:p>
        </w:tc>
        <w:tc>
          <w:tcPr>
            <w:tcW w:w="2127" w:type="dxa"/>
            <w:tcBorders>
              <w:top w:val="nil"/>
              <w:left w:val="nil"/>
              <w:bottom w:val="single" w:sz="4" w:space="0" w:color="000000"/>
              <w:right w:val="single" w:sz="4" w:space="0" w:color="000000"/>
            </w:tcBorders>
            <w:shd w:val="clear" w:color="auto" w:fill="auto"/>
            <w:noWrap/>
            <w:vAlign w:val="center"/>
            <w:hideMark/>
          </w:tcPr>
          <w:p w14:paraId="7BC1B274" w14:textId="77777777" w:rsidR="009A131A" w:rsidRPr="009A131A" w:rsidRDefault="009A131A" w:rsidP="009A131A">
            <w:pPr>
              <w:spacing w:after="0" w:line="240" w:lineRule="auto"/>
              <w:jc w:val="center"/>
              <w:rPr>
                <w:rFonts w:ascii="Verdana" w:eastAsia="Times New Roman" w:hAnsi="Verdana" w:cs="Arial"/>
                <w:color w:val="FF0000"/>
                <w:sz w:val="18"/>
                <w:szCs w:val="18"/>
                <w:lang w:eastAsia="es-CO"/>
              </w:rPr>
            </w:pPr>
            <w:r w:rsidRPr="009A131A">
              <w:rPr>
                <w:rFonts w:ascii="Verdana" w:eastAsia="Times New Roman" w:hAnsi="Verdana" w:cs="Arial"/>
                <w:color w:val="FF0000"/>
                <w:sz w:val="18"/>
                <w:szCs w:val="18"/>
                <w:lang w:eastAsia="es-CO"/>
              </w:rPr>
              <w:t>-$ 4.265.383.896</w:t>
            </w:r>
          </w:p>
        </w:tc>
        <w:tc>
          <w:tcPr>
            <w:tcW w:w="1275" w:type="dxa"/>
            <w:tcBorders>
              <w:top w:val="nil"/>
              <w:left w:val="nil"/>
              <w:bottom w:val="single" w:sz="4" w:space="0" w:color="000000"/>
              <w:right w:val="single" w:sz="4" w:space="0" w:color="000000"/>
            </w:tcBorders>
            <w:shd w:val="clear" w:color="auto" w:fill="auto"/>
            <w:noWrap/>
            <w:vAlign w:val="center"/>
            <w:hideMark/>
          </w:tcPr>
          <w:p w14:paraId="50E80825" w14:textId="77777777" w:rsidR="009A131A" w:rsidRPr="009A131A" w:rsidRDefault="009A131A" w:rsidP="009A131A">
            <w:pPr>
              <w:spacing w:after="0" w:line="240" w:lineRule="auto"/>
              <w:jc w:val="center"/>
              <w:rPr>
                <w:rFonts w:ascii="Verdana" w:eastAsia="Times New Roman" w:hAnsi="Verdana" w:cs="Arial"/>
                <w:color w:val="FF0000"/>
                <w:sz w:val="18"/>
                <w:szCs w:val="18"/>
                <w:lang w:eastAsia="es-CO"/>
              </w:rPr>
            </w:pPr>
            <w:r w:rsidRPr="009A131A">
              <w:rPr>
                <w:rFonts w:ascii="Verdana" w:eastAsia="Times New Roman" w:hAnsi="Verdana" w:cs="Arial"/>
                <w:color w:val="FF0000"/>
                <w:sz w:val="18"/>
                <w:szCs w:val="18"/>
                <w:lang w:eastAsia="es-CO"/>
              </w:rPr>
              <w:t>-67%</w:t>
            </w:r>
          </w:p>
        </w:tc>
      </w:tr>
      <w:tr w:rsidR="009A131A" w:rsidRPr="009A131A" w14:paraId="7CFD4419" w14:textId="77777777" w:rsidTr="009A131A">
        <w:trPr>
          <w:trHeight w:val="131"/>
        </w:trPr>
        <w:tc>
          <w:tcPr>
            <w:tcW w:w="2263" w:type="dxa"/>
            <w:tcBorders>
              <w:top w:val="nil"/>
              <w:left w:val="single" w:sz="4" w:space="0" w:color="000000"/>
              <w:bottom w:val="single" w:sz="4" w:space="0" w:color="000000"/>
              <w:right w:val="single" w:sz="4" w:space="0" w:color="000000"/>
            </w:tcBorders>
            <w:shd w:val="clear" w:color="auto" w:fill="auto"/>
            <w:vAlign w:val="center"/>
            <w:hideMark/>
          </w:tcPr>
          <w:p w14:paraId="7B66EBF5" w14:textId="77777777" w:rsidR="009A131A" w:rsidRPr="009A131A" w:rsidRDefault="009A131A" w:rsidP="009A131A">
            <w:pPr>
              <w:spacing w:after="0" w:line="240" w:lineRule="auto"/>
              <w:jc w:val="center"/>
              <w:rPr>
                <w:rFonts w:ascii="Verdana" w:eastAsia="Times New Roman" w:hAnsi="Verdana" w:cs="Arial"/>
                <w:color w:val="000000"/>
                <w:sz w:val="18"/>
                <w:szCs w:val="18"/>
                <w:lang w:eastAsia="es-CO"/>
              </w:rPr>
            </w:pPr>
            <w:r w:rsidRPr="009A131A">
              <w:rPr>
                <w:rFonts w:ascii="Verdana" w:eastAsia="Times New Roman" w:hAnsi="Verdana" w:cs="Arial"/>
                <w:color w:val="000000"/>
                <w:sz w:val="18"/>
                <w:szCs w:val="18"/>
                <w:lang w:eastAsia="es-CO"/>
              </w:rPr>
              <w:t>FORTALECIMIENTO Y MEJORAMIENTO DE  LA INFRAESTRUCTURA Y LOS SERVICIOS TECNOLÓGICOS DE LA SUPERINTENDENCIA DE LA ECONOMIA SOLIDARIA</w:t>
            </w:r>
          </w:p>
        </w:tc>
        <w:tc>
          <w:tcPr>
            <w:tcW w:w="1985" w:type="dxa"/>
            <w:tcBorders>
              <w:top w:val="nil"/>
              <w:left w:val="nil"/>
              <w:bottom w:val="single" w:sz="4" w:space="0" w:color="000000"/>
              <w:right w:val="single" w:sz="4" w:space="0" w:color="000000"/>
            </w:tcBorders>
            <w:shd w:val="clear" w:color="auto" w:fill="auto"/>
            <w:noWrap/>
            <w:vAlign w:val="center"/>
            <w:hideMark/>
          </w:tcPr>
          <w:p w14:paraId="36771801" w14:textId="77777777" w:rsidR="009A131A" w:rsidRPr="009A131A" w:rsidRDefault="009A131A" w:rsidP="009A131A">
            <w:pPr>
              <w:spacing w:after="0" w:line="240" w:lineRule="auto"/>
              <w:jc w:val="center"/>
              <w:rPr>
                <w:rFonts w:ascii="Verdana" w:eastAsia="Times New Roman" w:hAnsi="Verdana" w:cs="Arial"/>
                <w:color w:val="000000"/>
                <w:sz w:val="18"/>
                <w:szCs w:val="18"/>
                <w:lang w:eastAsia="es-CO"/>
              </w:rPr>
            </w:pPr>
            <w:r w:rsidRPr="009A131A">
              <w:rPr>
                <w:rFonts w:ascii="Verdana" w:eastAsia="Times New Roman" w:hAnsi="Verdana" w:cs="Arial"/>
                <w:color w:val="000000"/>
                <w:sz w:val="18"/>
                <w:szCs w:val="18"/>
                <w:lang w:eastAsia="es-CO"/>
              </w:rPr>
              <w:t>$ 3.521.952.461</w:t>
            </w:r>
          </w:p>
        </w:tc>
        <w:tc>
          <w:tcPr>
            <w:tcW w:w="1984" w:type="dxa"/>
            <w:tcBorders>
              <w:top w:val="nil"/>
              <w:left w:val="nil"/>
              <w:bottom w:val="single" w:sz="4" w:space="0" w:color="000000"/>
              <w:right w:val="single" w:sz="4" w:space="0" w:color="000000"/>
            </w:tcBorders>
            <w:shd w:val="clear" w:color="auto" w:fill="auto"/>
            <w:noWrap/>
            <w:vAlign w:val="center"/>
            <w:hideMark/>
          </w:tcPr>
          <w:p w14:paraId="11E0BDE6" w14:textId="77777777" w:rsidR="009A131A" w:rsidRPr="009A131A" w:rsidRDefault="009A131A" w:rsidP="009A131A">
            <w:pPr>
              <w:spacing w:after="0" w:line="240" w:lineRule="auto"/>
              <w:jc w:val="center"/>
              <w:rPr>
                <w:rFonts w:ascii="Verdana" w:eastAsia="Times New Roman" w:hAnsi="Verdana" w:cs="Arial"/>
                <w:color w:val="000000"/>
                <w:sz w:val="18"/>
                <w:szCs w:val="18"/>
                <w:lang w:eastAsia="es-CO"/>
              </w:rPr>
            </w:pPr>
            <w:r w:rsidRPr="009A131A">
              <w:rPr>
                <w:rFonts w:ascii="Verdana" w:eastAsia="Times New Roman" w:hAnsi="Verdana" w:cs="Arial"/>
                <w:color w:val="000000"/>
                <w:sz w:val="18"/>
                <w:szCs w:val="18"/>
                <w:lang w:eastAsia="es-CO"/>
              </w:rPr>
              <w:t>$ 8.136.329.032</w:t>
            </w:r>
          </w:p>
        </w:tc>
        <w:tc>
          <w:tcPr>
            <w:tcW w:w="2127" w:type="dxa"/>
            <w:tcBorders>
              <w:top w:val="nil"/>
              <w:left w:val="nil"/>
              <w:bottom w:val="single" w:sz="4" w:space="0" w:color="000000"/>
              <w:right w:val="single" w:sz="4" w:space="0" w:color="000000"/>
            </w:tcBorders>
            <w:shd w:val="clear" w:color="auto" w:fill="auto"/>
            <w:noWrap/>
            <w:vAlign w:val="center"/>
            <w:hideMark/>
          </w:tcPr>
          <w:p w14:paraId="75E1EABB" w14:textId="77777777" w:rsidR="009A131A" w:rsidRPr="009A131A" w:rsidRDefault="009A131A" w:rsidP="009A131A">
            <w:pPr>
              <w:spacing w:after="0" w:line="240" w:lineRule="auto"/>
              <w:jc w:val="center"/>
              <w:rPr>
                <w:rFonts w:ascii="Verdana" w:eastAsia="Times New Roman" w:hAnsi="Verdana" w:cs="Arial"/>
                <w:color w:val="FF0000"/>
                <w:sz w:val="18"/>
                <w:szCs w:val="18"/>
                <w:lang w:eastAsia="es-CO"/>
              </w:rPr>
            </w:pPr>
            <w:r w:rsidRPr="009A131A">
              <w:rPr>
                <w:rFonts w:ascii="Verdana" w:eastAsia="Times New Roman" w:hAnsi="Verdana" w:cs="Arial"/>
                <w:color w:val="FF0000"/>
                <w:sz w:val="18"/>
                <w:szCs w:val="18"/>
                <w:lang w:eastAsia="es-CO"/>
              </w:rPr>
              <w:t>-$ 4.614.376.571</w:t>
            </w:r>
          </w:p>
        </w:tc>
        <w:tc>
          <w:tcPr>
            <w:tcW w:w="1275" w:type="dxa"/>
            <w:tcBorders>
              <w:top w:val="nil"/>
              <w:left w:val="nil"/>
              <w:bottom w:val="single" w:sz="4" w:space="0" w:color="000000"/>
              <w:right w:val="single" w:sz="4" w:space="0" w:color="000000"/>
            </w:tcBorders>
            <w:shd w:val="clear" w:color="auto" w:fill="auto"/>
            <w:noWrap/>
            <w:vAlign w:val="center"/>
            <w:hideMark/>
          </w:tcPr>
          <w:p w14:paraId="76F70164" w14:textId="77777777" w:rsidR="009A131A" w:rsidRPr="009A131A" w:rsidRDefault="009A131A" w:rsidP="009A131A">
            <w:pPr>
              <w:spacing w:after="0" w:line="240" w:lineRule="auto"/>
              <w:jc w:val="center"/>
              <w:rPr>
                <w:rFonts w:ascii="Verdana" w:eastAsia="Times New Roman" w:hAnsi="Verdana" w:cs="Arial"/>
                <w:color w:val="FF0000"/>
                <w:sz w:val="18"/>
                <w:szCs w:val="18"/>
                <w:lang w:eastAsia="es-CO"/>
              </w:rPr>
            </w:pPr>
            <w:r w:rsidRPr="009A131A">
              <w:rPr>
                <w:rFonts w:ascii="Verdana" w:eastAsia="Times New Roman" w:hAnsi="Verdana" w:cs="Arial"/>
                <w:color w:val="FF0000"/>
                <w:sz w:val="18"/>
                <w:szCs w:val="18"/>
                <w:lang w:eastAsia="es-CO"/>
              </w:rPr>
              <w:t>-57%</w:t>
            </w:r>
          </w:p>
        </w:tc>
      </w:tr>
      <w:tr w:rsidR="009A131A" w:rsidRPr="009A131A" w14:paraId="6ACFB4A0" w14:textId="77777777" w:rsidTr="009A131A">
        <w:trPr>
          <w:trHeight w:val="1905"/>
        </w:trPr>
        <w:tc>
          <w:tcPr>
            <w:tcW w:w="2263" w:type="dxa"/>
            <w:tcBorders>
              <w:top w:val="nil"/>
              <w:left w:val="single" w:sz="4" w:space="0" w:color="000000"/>
              <w:bottom w:val="single" w:sz="4" w:space="0" w:color="000000"/>
              <w:right w:val="single" w:sz="4" w:space="0" w:color="000000"/>
            </w:tcBorders>
            <w:shd w:val="clear" w:color="auto" w:fill="auto"/>
            <w:vAlign w:val="center"/>
            <w:hideMark/>
          </w:tcPr>
          <w:p w14:paraId="1B2A6D25" w14:textId="77777777" w:rsidR="009A131A" w:rsidRPr="009A131A" w:rsidRDefault="009A131A" w:rsidP="009A131A">
            <w:pPr>
              <w:spacing w:after="0" w:line="240" w:lineRule="auto"/>
              <w:jc w:val="center"/>
              <w:rPr>
                <w:rFonts w:ascii="Verdana" w:eastAsia="Times New Roman" w:hAnsi="Verdana" w:cs="Arial"/>
                <w:color w:val="000000"/>
                <w:sz w:val="18"/>
                <w:szCs w:val="18"/>
                <w:lang w:eastAsia="es-CO"/>
              </w:rPr>
            </w:pPr>
            <w:r w:rsidRPr="009A131A">
              <w:rPr>
                <w:rFonts w:ascii="Verdana" w:eastAsia="Times New Roman" w:hAnsi="Verdana" w:cs="Arial"/>
                <w:color w:val="000000"/>
                <w:sz w:val="18"/>
                <w:szCs w:val="18"/>
                <w:lang w:eastAsia="es-CO"/>
              </w:rPr>
              <w:t>FORTALECIMIENTO DE LAS CAPACIDADES PARA EJERCER LA LABOR DE SUPERVISIÓN A LAS ORGANIZACIONES VIGILADAS POR LA SUPERINTENDENCIA DE LA ECONOMÍA SOLIDARIA A NIVEL NACIONAL</w:t>
            </w:r>
          </w:p>
        </w:tc>
        <w:tc>
          <w:tcPr>
            <w:tcW w:w="1985" w:type="dxa"/>
            <w:tcBorders>
              <w:top w:val="nil"/>
              <w:left w:val="nil"/>
              <w:bottom w:val="single" w:sz="4" w:space="0" w:color="000000"/>
              <w:right w:val="single" w:sz="4" w:space="0" w:color="000000"/>
            </w:tcBorders>
            <w:shd w:val="clear" w:color="auto" w:fill="auto"/>
            <w:noWrap/>
            <w:vAlign w:val="center"/>
            <w:hideMark/>
          </w:tcPr>
          <w:p w14:paraId="45A9D3DF" w14:textId="77777777" w:rsidR="009A131A" w:rsidRPr="009A131A" w:rsidRDefault="009A131A" w:rsidP="009A131A">
            <w:pPr>
              <w:spacing w:after="0" w:line="240" w:lineRule="auto"/>
              <w:jc w:val="center"/>
              <w:rPr>
                <w:rFonts w:ascii="Verdana" w:eastAsia="Times New Roman" w:hAnsi="Verdana" w:cs="Arial"/>
                <w:color w:val="000000"/>
                <w:sz w:val="18"/>
                <w:szCs w:val="18"/>
                <w:lang w:eastAsia="es-CO"/>
              </w:rPr>
            </w:pPr>
            <w:r w:rsidRPr="009A131A">
              <w:rPr>
                <w:rFonts w:ascii="Verdana" w:eastAsia="Times New Roman" w:hAnsi="Verdana" w:cs="Arial"/>
                <w:color w:val="000000"/>
                <w:sz w:val="18"/>
                <w:szCs w:val="18"/>
                <w:lang w:eastAsia="es-CO"/>
              </w:rPr>
              <w:t>$ 4.418.047.539</w:t>
            </w:r>
          </w:p>
        </w:tc>
        <w:tc>
          <w:tcPr>
            <w:tcW w:w="1984" w:type="dxa"/>
            <w:tcBorders>
              <w:top w:val="nil"/>
              <w:left w:val="nil"/>
              <w:bottom w:val="single" w:sz="4" w:space="0" w:color="000000"/>
              <w:right w:val="single" w:sz="4" w:space="0" w:color="000000"/>
            </w:tcBorders>
            <w:shd w:val="clear" w:color="auto" w:fill="auto"/>
            <w:noWrap/>
            <w:vAlign w:val="center"/>
            <w:hideMark/>
          </w:tcPr>
          <w:p w14:paraId="1F31EB07" w14:textId="77777777" w:rsidR="009A131A" w:rsidRPr="009A131A" w:rsidRDefault="009A131A" w:rsidP="009A131A">
            <w:pPr>
              <w:spacing w:after="0" w:line="240" w:lineRule="auto"/>
              <w:jc w:val="center"/>
              <w:rPr>
                <w:rFonts w:ascii="Verdana" w:eastAsia="Times New Roman" w:hAnsi="Verdana" w:cs="Arial"/>
                <w:color w:val="000000"/>
                <w:sz w:val="18"/>
                <w:szCs w:val="18"/>
                <w:lang w:eastAsia="es-CO"/>
              </w:rPr>
            </w:pPr>
            <w:r w:rsidRPr="009A131A">
              <w:rPr>
                <w:rFonts w:ascii="Verdana" w:eastAsia="Times New Roman" w:hAnsi="Verdana" w:cs="Arial"/>
                <w:color w:val="000000"/>
                <w:sz w:val="18"/>
                <w:szCs w:val="18"/>
                <w:lang w:eastAsia="es-CO"/>
              </w:rPr>
              <w:t>$ 11.356.824.125</w:t>
            </w:r>
          </w:p>
        </w:tc>
        <w:tc>
          <w:tcPr>
            <w:tcW w:w="2127" w:type="dxa"/>
            <w:tcBorders>
              <w:top w:val="nil"/>
              <w:left w:val="nil"/>
              <w:bottom w:val="single" w:sz="4" w:space="0" w:color="000000"/>
              <w:right w:val="single" w:sz="4" w:space="0" w:color="000000"/>
            </w:tcBorders>
            <w:shd w:val="clear" w:color="auto" w:fill="auto"/>
            <w:noWrap/>
            <w:vAlign w:val="center"/>
            <w:hideMark/>
          </w:tcPr>
          <w:p w14:paraId="59123D4A" w14:textId="77777777" w:rsidR="009A131A" w:rsidRPr="009A131A" w:rsidRDefault="009A131A" w:rsidP="009A131A">
            <w:pPr>
              <w:spacing w:after="0" w:line="240" w:lineRule="auto"/>
              <w:jc w:val="center"/>
              <w:rPr>
                <w:rFonts w:ascii="Verdana" w:eastAsia="Times New Roman" w:hAnsi="Verdana" w:cs="Arial"/>
                <w:color w:val="FF0000"/>
                <w:sz w:val="18"/>
                <w:szCs w:val="18"/>
                <w:lang w:eastAsia="es-CO"/>
              </w:rPr>
            </w:pPr>
            <w:r w:rsidRPr="009A131A">
              <w:rPr>
                <w:rFonts w:ascii="Verdana" w:eastAsia="Times New Roman" w:hAnsi="Verdana" w:cs="Arial"/>
                <w:color w:val="FF0000"/>
                <w:sz w:val="18"/>
                <w:szCs w:val="18"/>
                <w:lang w:eastAsia="es-CO"/>
              </w:rPr>
              <w:t>-$ 6.938.776.586</w:t>
            </w:r>
          </w:p>
        </w:tc>
        <w:tc>
          <w:tcPr>
            <w:tcW w:w="1275" w:type="dxa"/>
            <w:tcBorders>
              <w:top w:val="nil"/>
              <w:left w:val="nil"/>
              <w:bottom w:val="single" w:sz="4" w:space="0" w:color="000000"/>
              <w:right w:val="single" w:sz="4" w:space="0" w:color="000000"/>
            </w:tcBorders>
            <w:shd w:val="clear" w:color="auto" w:fill="auto"/>
            <w:noWrap/>
            <w:vAlign w:val="center"/>
            <w:hideMark/>
          </w:tcPr>
          <w:p w14:paraId="2BC6203E" w14:textId="77777777" w:rsidR="009A131A" w:rsidRPr="009A131A" w:rsidRDefault="009A131A" w:rsidP="009A131A">
            <w:pPr>
              <w:spacing w:after="0" w:line="240" w:lineRule="auto"/>
              <w:jc w:val="center"/>
              <w:rPr>
                <w:rFonts w:ascii="Verdana" w:eastAsia="Times New Roman" w:hAnsi="Verdana" w:cs="Arial"/>
                <w:color w:val="FF0000"/>
                <w:sz w:val="18"/>
                <w:szCs w:val="18"/>
                <w:lang w:eastAsia="es-CO"/>
              </w:rPr>
            </w:pPr>
            <w:r w:rsidRPr="009A131A">
              <w:rPr>
                <w:rFonts w:ascii="Verdana" w:eastAsia="Times New Roman" w:hAnsi="Verdana" w:cs="Arial"/>
                <w:color w:val="FF0000"/>
                <w:sz w:val="18"/>
                <w:szCs w:val="18"/>
                <w:lang w:eastAsia="es-CO"/>
              </w:rPr>
              <w:t>-61%</w:t>
            </w:r>
          </w:p>
        </w:tc>
      </w:tr>
      <w:tr w:rsidR="009A131A" w:rsidRPr="009A131A" w14:paraId="6F80F8D2" w14:textId="77777777" w:rsidTr="009A131A">
        <w:trPr>
          <w:trHeight w:val="465"/>
        </w:trPr>
        <w:tc>
          <w:tcPr>
            <w:tcW w:w="2263" w:type="dxa"/>
            <w:tcBorders>
              <w:top w:val="nil"/>
              <w:left w:val="single" w:sz="4" w:space="0" w:color="000000"/>
              <w:bottom w:val="single" w:sz="4" w:space="0" w:color="000000"/>
              <w:right w:val="single" w:sz="4" w:space="0" w:color="000000"/>
            </w:tcBorders>
            <w:shd w:val="clear" w:color="7F6000" w:fill="7F6000"/>
            <w:noWrap/>
            <w:vAlign w:val="center"/>
            <w:hideMark/>
          </w:tcPr>
          <w:p w14:paraId="3D51509E" w14:textId="77777777" w:rsidR="009A131A" w:rsidRPr="009A131A" w:rsidRDefault="009A131A" w:rsidP="009A131A">
            <w:pPr>
              <w:spacing w:after="0" w:line="240" w:lineRule="auto"/>
              <w:jc w:val="center"/>
              <w:rPr>
                <w:rFonts w:ascii="Verdana" w:eastAsia="Times New Roman" w:hAnsi="Verdana" w:cs="Arial"/>
                <w:b/>
                <w:bCs/>
                <w:color w:val="FFFFFF"/>
                <w:sz w:val="18"/>
                <w:szCs w:val="18"/>
                <w:lang w:eastAsia="es-CO"/>
              </w:rPr>
            </w:pPr>
            <w:r w:rsidRPr="009A131A">
              <w:rPr>
                <w:rFonts w:ascii="Verdana" w:eastAsia="Times New Roman" w:hAnsi="Verdana" w:cs="Arial"/>
                <w:b/>
                <w:bCs/>
                <w:color w:val="FFFFFF"/>
                <w:sz w:val="18"/>
                <w:szCs w:val="18"/>
                <w:lang w:eastAsia="es-CO"/>
              </w:rPr>
              <w:t xml:space="preserve">TOTAL MONTO DE INVERSIÓN </w:t>
            </w:r>
          </w:p>
        </w:tc>
        <w:tc>
          <w:tcPr>
            <w:tcW w:w="1985" w:type="dxa"/>
            <w:tcBorders>
              <w:top w:val="nil"/>
              <w:left w:val="nil"/>
              <w:bottom w:val="single" w:sz="4" w:space="0" w:color="000000"/>
              <w:right w:val="single" w:sz="4" w:space="0" w:color="000000"/>
            </w:tcBorders>
            <w:shd w:val="clear" w:color="7F6000" w:fill="7F6000"/>
            <w:noWrap/>
            <w:vAlign w:val="center"/>
            <w:hideMark/>
          </w:tcPr>
          <w:p w14:paraId="738E85DA" w14:textId="77777777" w:rsidR="009A131A" w:rsidRPr="009A131A" w:rsidRDefault="009A131A" w:rsidP="009A131A">
            <w:pPr>
              <w:spacing w:after="0" w:line="240" w:lineRule="auto"/>
              <w:jc w:val="center"/>
              <w:rPr>
                <w:rFonts w:ascii="Verdana" w:eastAsia="Times New Roman" w:hAnsi="Verdana" w:cs="Arial"/>
                <w:b/>
                <w:bCs/>
                <w:color w:val="FFFFFF"/>
                <w:sz w:val="18"/>
                <w:szCs w:val="18"/>
                <w:lang w:eastAsia="es-CO"/>
              </w:rPr>
            </w:pPr>
            <w:r w:rsidRPr="009A131A">
              <w:rPr>
                <w:rFonts w:ascii="Verdana" w:eastAsia="Times New Roman" w:hAnsi="Verdana" w:cs="Arial"/>
                <w:b/>
                <w:bCs/>
                <w:color w:val="FFFFFF"/>
                <w:sz w:val="18"/>
                <w:szCs w:val="18"/>
                <w:lang w:eastAsia="es-CO"/>
              </w:rPr>
              <w:t>$ 10.000.000.000</w:t>
            </w:r>
          </w:p>
        </w:tc>
        <w:tc>
          <w:tcPr>
            <w:tcW w:w="1984" w:type="dxa"/>
            <w:tcBorders>
              <w:top w:val="nil"/>
              <w:left w:val="nil"/>
              <w:bottom w:val="single" w:sz="4" w:space="0" w:color="000000"/>
              <w:right w:val="single" w:sz="4" w:space="0" w:color="000000"/>
            </w:tcBorders>
            <w:shd w:val="clear" w:color="7F6000" w:fill="7F6000"/>
            <w:noWrap/>
            <w:vAlign w:val="center"/>
            <w:hideMark/>
          </w:tcPr>
          <w:p w14:paraId="3DB1EED6" w14:textId="77777777" w:rsidR="009A131A" w:rsidRPr="009A131A" w:rsidRDefault="009A131A" w:rsidP="009A131A">
            <w:pPr>
              <w:spacing w:after="0" w:line="240" w:lineRule="auto"/>
              <w:jc w:val="center"/>
              <w:rPr>
                <w:rFonts w:ascii="Verdana" w:eastAsia="Times New Roman" w:hAnsi="Verdana" w:cs="Arial"/>
                <w:b/>
                <w:bCs/>
                <w:color w:val="FFFFFF"/>
                <w:sz w:val="18"/>
                <w:szCs w:val="18"/>
                <w:lang w:eastAsia="es-CO"/>
              </w:rPr>
            </w:pPr>
            <w:r w:rsidRPr="009A131A">
              <w:rPr>
                <w:rFonts w:ascii="Verdana" w:eastAsia="Times New Roman" w:hAnsi="Verdana" w:cs="Arial"/>
                <w:b/>
                <w:bCs/>
                <w:color w:val="FFFFFF"/>
                <w:sz w:val="18"/>
                <w:szCs w:val="18"/>
                <w:lang w:eastAsia="es-CO"/>
              </w:rPr>
              <w:t>$ 25.818.537.053</w:t>
            </w:r>
          </w:p>
        </w:tc>
        <w:tc>
          <w:tcPr>
            <w:tcW w:w="2127" w:type="dxa"/>
            <w:tcBorders>
              <w:top w:val="nil"/>
              <w:left w:val="nil"/>
              <w:bottom w:val="single" w:sz="4" w:space="0" w:color="000000"/>
              <w:right w:val="single" w:sz="4" w:space="0" w:color="000000"/>
            </w:tcBorders>
            <w:shd w:val="clear" w:color="7F6000" w:fill="7F6000"/>
            <w:noWrap/>
            <w:vAlign w:val="center"/>
            <w:hideMark/>
          </w:tcPr>
          <w:p w14:paraId="6E245E48" w14:textId="77777777" w:rsidR="009A131A" w:rsidRPr="009A131A" w:rsidRDefault="009A131A" w:rsidP="009A131A">
            <w:pPr>
              <w:spacing w:after="0" w:line="240" w:lineRule="auto"/>
              <w:jc w:val="center"/>
              <w:rPr>
                <w:rFonts w:ascii="Verdana" w:eastAsia="Times New Roman" w:hAnsi="Verdana" w:cs="Arial"/>
                <w:b/>
                <w:bCs/>
                <w:color w:val="FF0000"/>
                <w:sz w:val="18"/>
                <w:szCs w:val="18"/>
                <w:lang w:eastAsia="es-CO"/>
              </w:rPr>
            </w:pPr>
            <w:r w:rsidRPr="009A131A">
              <w:rPr>
                <w:rFonts w:ascii="Verdana" w:eastAsia="Times New Roman" w:hAnsi="Verdana" w:cs="Arial"/>
                <w:b/>
                <w:bCs/>
                <w:color w:val="FF0000"/>
                <w:sz w:val="18"/>
                <w:szCs w:val="18"/>
                <w:lang w:eastAsia="es-CO"/>
              </w:rPr>
              <w:t>-$ 15.818.537.053</w:t>
            </w:r>
          </w:p>
        </w:tc>
        <w:tc>
          <w:tcPr>
            <w:tcW w:w="1275" w:type="dxa"/>
            <w:tcBorders>
              <w:top w:val="nil"/>
              <w:left w:val="nil"/>
              <w:bottom w:val="single" w:sz="4" w:space="0" w:color="000000"/>
              <w:right w:val="single" w:sz="4" w:space="0" w:color="000000"/>
            </w:tcBorders>
            <w:shd w:val="clear" w:color="7F6000" w:fill="7F6000"/>
            <w:noWrap/>
            <w:vAlign w:val="center"/>
            <w:hideMark/>
          </w:tcPr>
          <w:p w14:paraId="0441E87F" w14:textId="77777777" w:rsidR="009A131A" w:rsidRPr="009A131A" w:rsidRDefault="009A131A" w:rsidP="009A131A">
            <w:pPr>
              <w:spacing w:after="0" w:line="240" w:lineRule="auto"/>
              <w:jc w:val="center"/>
              <w:rPr>
                <w:rFonts w:ascii="Verdana" w:eastAsia="Times New Roman" w:hAnsi="Verdana" w:cs="Arial"/>
                <w:b/>
                <w:bCs/>
                <w:color w:val="FF0000"/>
                <w:sz w:val="18"/>
                <w:szCs w:val="18"/>
                <w:lang w:eastAsia="es-CO"/>
              </w:rPr>
            </w:pPr>
            <w:r w:rsidRPr="009A131A">
              <w:rPr>
                <w:rFonts w:ascii="Verdana" w:eastAsia="Times New Roman" w:hAnsi="Verdana" w:cs="Arial"/>
                <w:b/>
                <w:bCs/>
                <w:color w:val="FF0000"/>
                <w:sz w:val="18"/>
                <w:szCs w:val="18"/>
                <w:lang w:eastAsia="es-CO"/>
              </w:rPr>
              <w:t>-61%</w:t>
            </w:r>
          </w:p>
        </w:tc>
      </w:tr>
    </w:tbl>
    <w:p w14:paraId="72B702DE" w14:textId="4ACA8D4B" w:rsidR="009A131A" w:rsidRPr="009A131A" w:rsidRDefault="009A131A" w:rsidP="009A131A">
      <w:pPr>
        <w:pStyle w:val="Cierre"/>
        <w:spacing w:before="100" w:beforeAutospacing="1" w:after="100" w:afterAutospacing="1"/>
        <w:ind w:left="720"/>
        <w:contextualSpacing/>
        <w:jc w:val="center"/>
        <w:rPr>
          <w:rFonts w:ascii="Verdana" w:hAnsi="Verdana" w:cs="Arial"/>
          <w:color w:val="000000"/>
          <w:sz w:val="18"/>
          <w:szCs w:val="18"/>
        </w:rPr>
      </w:pPr>
      <w:r w:rsidRPr="009A131A">
        <w:rPr>
          <w:rFonts w:ascii="Verdana" w:hAnsi="Verdana" w:cs="Arial"/>
          <w:color w:val="000000"/>
          <w:sz w:val="18"/>
          <w:szCs w:val="18"/>
        </w:rPr>
        <w:t>Elaboración: Oficina Asesora de Planeación y Sistemas- Superintendencia de la Economía Solidaria.</w:t>
      </w:r>
    </w:p>
    <w:p w14:paraId="35C6BAB7" w14:textId="77777777" w:rsidR="009A131A" w:rsidRDefault="009A131A" w:rsidP="00CB6450">
      <w:pPr>
        <w:pStyle w:val="Cierre"/>
        <w:spacing w:before="100" w:beforeAutospacing="1" w:after="100" w:afterAutospacing="1"/>
        <w:ind w:left="720"/>
        <w:contextualSpacing/>
        <w:jc w:val="both"/>
        <w:rPr>
          <w:rFonts w:ascii="Verdana" w:hAnsi="Verdana" w:cs="Arial"/>
          <w:color w:val="000000"/>
          <w:sz w:val="22"/>
          <w:szCs w:val="22"/>
        </w:rPr>
      </w:pPr>
    </w:p>
    <w:p w14:paraId="6CB3AD1D" w14:textId="77777777" w:rsidR="00582424" w:rsidRDefault="00582424" w:rsidP="00CB6450">
      <w:pPr>
        <w:pStyle w:val="Cierre"/>
        <w:spacing w:before="100" w:beforeAutospacing="1" w:after="100" w:afterAutospacing="1"/>
        <w:ind w:left="720"/>
        <w:contextualSpacing/>
        <w:jc w:val="both"/>
        <w:rPr>
          <w:rFonts w:ascii="Verdana" w:hAnsi="Verdana" w:cs="Arial"/>
          <w:color w:val="000000"/>
          <w:sz w:val="22"/>
          <w:szCs w:val="22"/>
        </w:rPr>
      </w:pPr>
    </w:p>
    <w:p w14:paraId="164671ED" w14:textId="77777777" w:rsidR="00582424" w:rsidRPr="00CB6450" w:rsidRDefault="00582424" w:rsidP="00CB6450">
      <w:pPr>
        <w:pStyle w:val="Cierre"/>
        <w:spacing w:before="100" w:beforeAutospacing="1" w:after="100" w:afterAutospacing="1"/>
        <w:ind w:left="720"/>
        <w:contextualSpacing/>
        <w:jc w:val="both"/>
        <w:rPr>
          <w:rFonts w:ascii="Verdana" w:hAnsi="Verdana" w:cs="Arial"/>
          <w:color w:val="000000"/>
          <w:sz w:val="22"/>
          <w:szCs w:val="22"/>
        </w:rPr>
      </w:pPr>
    </w:p>
    <w:p w14:paraId="471A5D31" w14:textId="77777777" w:rsidR="00E67D98" w:rsidRDefault="001B2CA9" w:rsidP="00E67D98">
      <w:pPr>
        <w:pStyle w:val="Cierre"/>
        <w:numPr>
          <w:ilvl w:val="0"/>
          <w:numId w:val="41"/>
        </w:numPr>
        <w:spacing w:before="100" w:beforeAutospacing="1" w:after="100" w:afterAutospacing="1"/>
        <w:contextualSpacing/>
        <w:jc w:val="both"/>
        <w:rPr>
          <w:rFonts w:ascii="Verdana" w:hAnsi="Verdana" w:cs="Arial"/>
          <w:b/>
          <w:sz w:val="22"/>
          <w:szCs w:val="22"/>
        </w:rPr>
      </w:pPr>
      <w:r w:rsidRPr="001B2CA9">
        <w:rPr>
          <w:rFonts w:ascii="Verdana" w:hAnsi="Verdana" w:cs="Arial"/>
          <w:b/>
          <w:sz w:val="22"/>
          <w:szCs w:val="22"/>
        </w:rPr>
        <w:lastRenderedPageBreak/>
        <w:t>Sírvase informar y explicar si considera que sus necesidades presupuestales están incluidas en el proyecto de Presupuesto del año 2025</w:t>
      </w:r>
      <w:r>
        <w:rPr>
          <w:rFonts w:ascii="Verdana" w:hAnsi="Verdana" w:cs="Arial"/>
          <w:b/>
          <w:sz w:val="22"/>
          <w:szCs w:val="22"/>
        </w:rPr>
        <w:t>.</w:t>
      </w:r>
    </w:p>
    <w:p w14:paraId="1C4B8C34" w14:textId="77777777" w:rsidR="00E67D98" w:rsidRDefault="00E67D98" w:rsidP="00E67D98">
      <w:pPr>
        <w:pStyle w:val="Cierre"/>
        <w:spacing w:before="100" w:beforeAutospacing="1" w:after="100" w:afterAutospacing="1"/>
        <w:ind w:left="720"/>
        <w:contextualSpacing/>
        <w:jc w:val="both"/>
        <w:rPr>
          <w:rFonts w:ascii="Verdana" w:hAnsi="Verdana" w:cs="Arial"/>
          <w:b/>
          <w:sz w:val="22"/>
          <w:szCs w:val="22"/>
        </w:rPr>
      </w:pPr>
    </w:p>
    <w:p w14:paraId="7DA17737" w14:textId="5777C68D" w:rsidR="00E67D98" w:rsidRPr="00E67D98" w:rsidRDefault="00E67D98" w:rsidP="00E67D98">
      <w:pPr>
        <w:pStyle w:val="Cierre"/>
        <w:spacing w:before="100" w:beforeAutospacing="1" w:after="100" w:afterAutospacing="1"/>
        <w:ind w:left="720"/>
        <w:contextualSpacing/>
        <w:jc w:val="both"/>
        <w:rPr>
          <w:rFonts w:ascii="Verdana" w:hAnsi="Verdana"/>
          <w:sz w:val="22"/>
          <w:szCs w:val="22"/>
        </w:rPr>
      </w:pPr>
      <w:r w:rsidRPr="00E67D98">
        <w:rPr>
          <w:rFonts w:ascii="Verdana" w:hAnsi="Verdana"/>
          <w:sz w:val="22"/>
          <w:szCs w:val="22"/>
        </w:rPr>
        <w:t>En concordancia con lo informado al Ministerio de Hacienda y Crédito Público mediante radicados 20241200204511 y 20241200261201 (anexos),</w:t>
      </w:r>
      <w:r>
        <w:rPr>
          <w:rFonts w:ascii="Verdana" w:hAnsi="Verdana"/>
          <w:sz w:val="22"/>
          <w:szCs w:val="22"/>
        </w:rPr>
        <w:t xml:space="preserve"> y tras análisis realizados por la Superintendencia de la Economía Solidaria </w:t>
      </w:r>
      <w:r w:rsidRPr="00E67D98">
        <w:rPr>
          <w:rFonts w:ascii="Verdana" w:hAnsi="Verdana"/>
          <w:sz w:val="22"/>
          <w:szCs w:val="22"/>
        </w:rPr>
        <w:t>entorno a las estimaciones del recaudo de la tasa de contribución y los excedentes financieros liquidados para el rubro de inversión</w:t>
      </w:r>
      <w:r>
        <w:rPr>
          <w:rFonts w:ascii="Verdana" w:hAnsi="Verdana"/>
          <w:sz w:val="22"/>
          <w:szCs w:val="22"/>
        </w:rPr>
        <w:t xml:space="preserve">, </w:t>
      </w:r>
      <w:r w:rsidR="000548E4">
        <w:rPr>
          <w:rFonts w:ascii="Verdana" w:hAnsi="Verdana"/>
          <w:sz w:val="22"/>
          <w:szCs w:val="22"/>
        </w:rPr>
        <w:t xml:space="preserve">se </w:t>
      </w:r>
      <w:r w:rsidRPr="00E67D98">
        <w:rPr>
          <w:rFonts w:ascii="Verdana" w:hAnsi="Verdana"/>
          <w:sz w:val="22"/>
          <w:szCs w:val="22"/>
        </w:rPr>
        <w:t>estima</w:t>
      </w:r>
      <w:r w:rsidR="000548E4">
        <w:rPr>
          <w:rFonts w:ascii="Verdana" w:hAnsi="Verdana"/>
          <w:sz w:val="22"/>
          <w:szCs w:val="22"/>
        </w:rPr>
        <w:t xml:space="preserve"> que </w:t>
      </w:r>
      <w:r w:rsidR="008D6563">
        <w:rPr>
          <w:rFonts w:ascii="Verdana" w:hAnsi="Verdana"/>
          <w:sz w:val="22"/>
          <w:szCs w:val="22"/>
        </w:rPr>
        <w:t xml:space="preserve">el </w:t>
      </w:r>
      <w:r w:rsidR="008D6563" w:rsidRPr="00E67D98">
        <w:rPr>
          <w:rFonts w:ascii="Verdana" w:hAnsi="Verdana"/>
          <w:sz w:val="22"/>
          <w:szCs w:val="22"/>
        </w:rPr>
        <w:t>déficit</w:t>
      </w:r>
      <w:r w:rsidRPr="00E67D98">
        <w:rPr>
          <w:rFonts w:ascii="Verdana" w:hAnsi="Verdana"/>
          <w:sz w:val="22"/>
          <w:szCs w:val="22"/>
        </w:rPr>
        <w:t xml:space="preserve"> presupuestal de los recursos correspondientes al rubro de inversión </w:t>
      </w:r>
      <w:r w:rsidR="000548E4">
        <w:rPr>
          <w:rFonts w:ascii="Verdana" w:hAnsi="Verdana"/>
          <w:sz w:val="22"/>
          <w:szCs w:val="22"/>
        </w:rPr>
        <w:t xml:space="preserve">para </w:t>
      </w:r>
      <w:r w:rsidRPr="00E67D98">
        <w:rPr>
          <w:rFonts w:ascii="Verdana" w:hAnsi="Verdana"/>
          <w:sz w:val="22"/>
          <w:szCs w:val="22"/>
        </w:rPr>
        <w:t xml:space="preserve">la vigencia 2025 asciende a </w:t>
      </w:r>
      <w:r w:rsidRPr="00E67D98">
        <w:rPr>
          <w:rFonts w:ascii="Verdana" w:hAnsi="Verdana"/>
          <w:b/>
          <w:bCs/>
          <w:sz w:val="22"/>
          <w:szCs w:val="22"/>
        </w:rPr>
        <w:t xml:space="preserve">$ 15. 818.537.053. </w:t>
      </w:r>
    </w:p>
    <w:p w14:paraId="2B6C87C6" w14:textId="77777777" w:rsidR="00E67D98" w:rsidRDefault="00E67D98" w:rsidP="00FE4477">
      <w:pPr>
        <w:pStyle w:val="Cierre"/>
        <w:spacing w:before="100" w:beforeAutospacing="1" w:after="100" w:afterAutospacing="1"/>
        <w:ind w:left="720"/>
        <w:contextualSpacing/>
        <w:jc w:val="both"/>
        <w:rPr>
          <w:rFonts w:ascii="Verdana" w:hAnsi="Verdana" w:cs="Arial"/>
          <w:b/>
          <w:sz w:val="22"/>
          <w:szCs w:val="22"/>
        </w:rPr>
      </w:pPr>
    </w:p>
    <w:p w14:paraId="78994DA1" w14:textId="5A0D3ED1" w:rsidR="00FE4477" w:rsidRPr="00FE4477" w:rsidRDefault="006E7B6B" w:rsidP="006E7B6B">
      <w:pPr>
        <w:pStyle w:val="Cierre"/>
        <w:spacing w:before="100" w:beforeAutospacing="1" w:after="100" w:afterAutospacing="1"/>
        <w:ind w:left="720"/>
        <w:contextualSpacing/>
        <w:jc w:val="both"/>
        <w:rPr>
          <w:rFonts w:ascii="Verdana" w:hAnsi="Verdana" w:cs="Arial"/>
          <w:bCs/>
          <w:sz w:val="22"/>
          <w:szCs w:val="22"/>
        </w:rPr>
      </w:pPr>
      <w:r w:rsidRPr="006E7B6B">
        <w:rPr>
          <w:rFonts w:ascii="Verdana" w:hAnsi="Verdana" w:cs="Arial"/>
          <w:bCs/>
          <w:sz w:val="22"/>
          <w:szCs w:val="22"/>
        </w:rPr>
        <w:t xml:space="preserve">Lo anterior, </w:t>
      </w:r>
      <w:r w:rsidR="000548E4">
        <w:rPr>
          <w:rFonts w:ascii="Verdana" w:hAnsi="Verdana" w:cs="Arial"/>
          <w:bCs/>
          <w:sz w:val="22"/>
          <w:szCs w:val="22"/>
        </w:rPr>
        <w:t>alineado a un</w:t>
      </w:r>
      <w:r>
        <w:rPr>
          <w:rFonts w:ascii="Verdana" w:hAnsi="Verdana" w:cs="Arial"/>
          <w:bCs/>
          <w:sz w:val="22"/>
          <w:szCs w:val="22"/>
        </w:rPr>
        <w:t xml:space="preserve"> escenario de desfinanciamiento que podría enfrentar la entidad para próximas </w:t>
      </w:r>
      <w:r w:rsidR="00FB5AB4">
        <w:rPr>
          <w:rFonts w:ascii="Verdana" w:hAnsi="Verdana" w:cs="Arial"/>
          <w:bCs/>
          <w:sz w:val="22"/>
          <w:szCs w:val="22"/>
        </w:rPr>
        <w:t>vigencias, fundamentado</w:t>
      </w:r>
      <w:r>
        <w:rPr>
          <w:rFonts w:ascii="Verdana" w:hAnsi="Verdana" w:cs="Arial"/>
          <w:bCs/>
          <w:sz w:val="22"/>
          <w:szCs w:val="22"/>
        </w:rPr>
        <w:t xml:space="preserve"> </w:t>
      </w:r>
      <w:r w:rsidR="00FE4477" w:rsidRPr="00FE4477">
        <w:rPr>
          <w:rFonts w:ascii="Verdana" w:hAnsi="Verdana" w:cs="Arial"/>
          <w:bCs/>
          <w:sz w:val="22"/>
          <w:szCs w:val="22"/>
        </w:rPr>
        <w:t>en las siguientes consideraciones:</w:t>
      </w:r>
    </w:p>
    <w:p w14:paraId="48D3CA6E" w14:textId="77777777" w:rsidR="00FE4477" w:rsidRDefault="00FE4477" w:rsidP="00FE4477">
      <w:pPr>
        <w:pStyle w:val="Cierre"/>
        <w:spacing w:before="100" w:beforeAutospacing="1" w:after="100" w:afterAutospacing="1"/>
        <w:ind w:left="720"/>
        <w:contextualSpacing/>
        <w:jc w:val="both"/>
        <w:rPr>
          <w:rFonts w:ascii="Verdana" w:hAnsi="Verdana" w:cs="Arial"/>
          <w:bCs/>
          <w:sz w:val="22"/>
          <w:szCs w:val="22"/>
        </w:rPr>
      </w:pPr>
    </w:p>
    <w:p w14:paraId="2C440456" w14:textId="1B3B3102" w:rsidR="00FE4477" w:rsidRDefault="00FE4477" w:rsidP="00FE4477">
      <w:pPr>
        <w:pStyle w:val="Cierre"/>
        <w:spacing w:before="100" w:beforeAutospacing="1" w:after="100" w:afterAutospacing="1"/>
        <w:ind w:left="720"/>
        <w:contextualSpacing/>
        <w:jc w:val="both"/>
        <w:rPr>
          <w:rFonts w:ascii="Verdana" w:hAnsi="Verdana" w:cs="Arial"/>
          <w:bCs/>
          <w:sz w:val="22"/>
          <w:szCs w:val="22"/>
        </w:rPr>
      </w:pPr>
      <w:r w:rsidRPr="00FE4477">
        <w:rPr>
          <w:rFonts w:ascii="Verdana" w:hAnsi="Verdana" w:cs="Arial"/>
          <w:bCs/>
          <w:sz w:val="22"/>
          <w:szCs w:val="22"/>
        </w:rPr>
        <w:t xml:space="preserve">Dado que los ingresos de la Supersolidaria provienen principalmente de la tasa de contribución de las organizaciones bajo vigilancia, así como de los excedentes financieros, se han proyectado ingresos provenientes de la tasa de contribución conforme al comportamiento observado en los últimos cuatro años. Esta proyección indica que para el año 2025 se espera un ingreso total de $36.907.854.520, de los cuales se estima recaudar $30.000.000.000.  </w:t>
      </w:r>
    </w:p>
    <w:p w14:paraId="103EC0C0" w14:textId="77777777" w:rsidR="00FE4477" w:rsidRPr="00FE4477" w:rsidRDefault="00FE4477" w:rsidP="00FE4477">
      <w:pPr>
        <w:pStyle w:val="Cierre"/>
        <w:spacing w:before="100" w:beforeAutospacing="1" w:after="100" w:afterAutospacing="1"/>
        <w:ind w:left="720"/>
        <w:contextualSpacing/>
        <w:jc w:val="both"/>
        <w:rPr>
          <w:rFonts w:ascii="Verdana" w:hAnsi="Verdana" w:cs="Arial"/>
          <w:bCs/>
          <w:sz w:val="22"/>
          <w:szCs w:val="22"/>
        </w:rPr>
      </w:pPr>
    </w:p>
    <w:p w14:paraId="486731FB" w14:textId="12AE5D0E" w:rsidR="00FE4477" w:rsidRDefault="006E7B6B" w:rsidP="00FE4477">
      <w:pPr>
        <w:pStyle w:val="Cierre"/>
        <w:spacing w:before="100" w:beforeAutospacing="1" w:after="100" w:afterAutospacing="1"/>
        <w:ind w:left="720"/>
        <w:contextualSpacing/>
        <w:jc w:val="both"/>
        <w:rPr>
          <w:rFonts w:ascii="Verdana" w:hAnsi="Verdana" w:cs="Arial"/>
          <w:bCs/>
          <w:sz w:val="22"/>
          <w:szCs w:val="22"/>
        </w:rPr>
      </w:pPr>
      <w:r>
        <w:rPr>
          <w:rFonts w:ascii="Verdana" w:hAnsi="Verdana" w:cs="Arial"/>
          <w:bCs/>
          <w:sz w:val="22"/>
          <w:szCs w:val="22"/>
        </w:rPr>
        <w:t xml:space="preserve">De </w:t>
      </w:r>
      <w:r w:rsidR="00FE4477" w:rsidRPr="00FE4477">
        <w:rPr>
          <w:rFonts w:ascii="Verdana" w:hAnsi="Verdana" w:cs="Arial"/>
          <w:bCs/>
          <w:sz w:val="22"/>
          <w:szCs w:val="22"/>
        </w:rPr>
        <w:t xml:space="preserve">conformidad con lo establecido en el artículo 99 de la Ley 795, el cual modifica el artículo 37 de la Ley 454 de 1998, la Superintendencia tiene la facultad de percibir otros ingresos además del recaudo de la tasa de contribución. Estos ingresos comprenden recursos relacionados con los excedentes financieros de la entidad, los cuales se encuentran depositados en la Cuenta Única Nacional. Para el ejercicio fiscal de 2025, se proyecta contar con un monto de $ 4.364.875.819 de los $9.667.165.560,76 que se encuentran como saldo a corte 30 de abril de 2024, luego de la liquidación realizada con el Ministerio de Hacienda y Crédito Público y Departamento Nacional de Planeación-DNP. </w:t>
      </w:r>
    </w:p>
    <w:p w14:paraId="22E0B75E" w14:textId="77777777" w:rsidR="00FE4477" w:rsidRPr="00FE4477" w:rsidRDefault="00FE4477" w:rsidP="00FE4477">
      <w:pPr>
        <w:pStyle w:val="Cierre"/>
        <w:spacing w:before="100" w:beforeAutospacing="1" w:after="100" w:afterAutospacing="1"/>
        <w:ind w:left="720"/>
        <w:contextualSpacing/>
        <w:jc w:val="both"/>
        <w:rPr>
          <w:rFonts w:ascii="Verdana" w:hAnsi="Verdana" w:cs="Arial"/>
          <w:bCs/>
          <w:sz w:val="22"/>
          <w:szCs w:val="22"/>
        </w:rPr>
      </w:pPr>
    </w:p>
    <w:p w14:paraId="110E8E0E" w14:textId="77777777" w:rsidR="00FE4477" w:rsidRDefault="00FE4477" w:rsidP="00FE4477">
      <w:pPr>
        <w:pStyle w:val="Cierre"/>
        <w:spacing w:before="100" w:beforeAutospacing="1" w:after="100" w:afterAutospacing="1"/>
        <w:ind w:left="720"/>
        <w:contextualSpacing/>
        <w:jc w:val="both"/>
        <w:rPr>
          <w:rFonts w:ascii="Verdana" w:hAnsi="Verdana" w:cs="Arial"/>
          <w:bCs/>
          <w:sz w:val="22"/>
          <w:szCs w:val="22"/>
        </w:rPr>
      </w:pPr>
      <w:r w:rsidRPr="00FE4477">
        <w:rPr>
          <w:rFonts w:ascii="Verdana" w:hAnsi="Verdana" w:cs="Arial"/>
          <w:bCs/>
          <w:sz w:val="22"/>
          <w:szCs w:val="22"/>
        </w:rPr>
        <w:t>Es fundamental resaltar que, aunque se ha proyectado el excedente para el año 2025 como parte del ejercicio de proyección de ingresos de la entidad, este constituye una reserva de ahorro formal. Por lo tanto, aunque este monto está disponible para su uso financiero, es finito y debe ser utilizado de manera racional, de tal manera que no se perjudique el funcionamiento administrativo y misional de la entidad en el futuro.</w:t>
      </w:r>
    </w:p>
    <w:p w14:paraId="41C48E57" w14:textId="77777777" w:rsidR="00FE4477" w:rsidRPr="00FE4477" w:rsidRDefault="00FE4477" w:rsidP="00FE4477">
      <w:pPr>
        <w:pStyle w:val="Cierre"/>
        <w:spacing w:before="100" w:beforeAutospacing="1" w:after="100" w:afterAutospacing="1"/>
        <w:ind w:left="720"/>
        <w:contextualSpacing/>
        <w:jc w:val="both"/>
        <w:rPr>
          <w:rFonts w:ascii="Verdana" w:hAnsi="Verdana" w:cs="Arial"/>
          <w:bCs/>
          <w:sz w:val="22"/>
          <w:szCs w:val="22"/>
        </w:rPr>
      </w:pPr>
    </w:p>
    <w:p w14:paraId="766C5B71" w14:textId="11716157" w:rsidR="00FE4477" w:rsidRPr="00FE4477" w:rsidRDefault="00FE4477" w:rsidP="00FE4477">
      <w:pPr>
        <w:pStyle w:val="Cierre"/>
        <w:spacing w:before="100" w:beforeAutospacing="1" w:after="100" w:afterAutospacing="1"/>
        <w:ind w:left="720"/>
        <w:contextualSpacing/>
        <w:jc w:val="both"/>
        <w:rPr>
          <w:rFonts w:ascii="Verdana" w:hAnsi="Verdana" w:cs="Arial"/>
          <w:bCs/>
          <w:sz w:val="22"/>
          <w:szCs w:val="22"/>
        </w:rPr>
      </w:pPr>
      <w:r w:rsidRPr="00FE4477">
        <w:rPr>
          <w:rFonts w:ascii="Verdana" w:hAnsi="Verdana" w:cs="Arial"/>
          <w:bCs/>
          <w:sz w:val="22"/>
          <w:szCs w:val="22"/>
        </w:rPr>
        <w:t xml:space="preserve">En este contexto, para el año 2025, la Supersolidaria ha estimado un financiamiento con estos recursos excedentes provenientes de años anteriores por un total de $4.364.875.819. Dichos recursos serán destinados a cubrir los gastos generales y de personal del primer bimestre de 2025, dado que no estarán completamente cubiertos con los ingresos </w:t>
      </w:r>
      <w:r w:rsidRPr="00FE4477">
        <w:rPr>
          <w:rFonts w:ascii="Verdana" w:hAnsi="Verdana" w:cs="Arial"/>
          <w:bCs/>
          <w:sz w:val="22"/>
          <w:szCs w:val="22"/>
        </w:rPr>
        <w:lastRenderedPageBreak/>
        <w:t xml:space="preserve">recaudados; ya que la primera cuota de la tasa de contribución se realiza hasta el mes de febrero. Por lo tanto, la proyección de </w:t>
      </w:r>
      <w:r w:rsidR="000548E4">
        <w:rPr>
          <w:rFonts w:ascii="Verdana" w:hAnsi="Verdana" w:cs="Arial"/>
          <w:bCs/>
          <w:sz w:val="22"/>
          <w:szCs w:val="22"/>
        </w:rPr>
        <w:t>ingresos</w:t>
      </w:r>
      <w:r w:rsidRPr="00FE4477">
        <w:rPr>
          <w:rFonts w:ascii="Verdana" w:hAnsi="Verdana" w:cs="Arial"/>
          <w:bCs/>
          <w:sz w:val="22"/>
          <w:szCs w:val="22"/>
        </w:rPr>
        <w:t xml:space="preserve"> presentada en el proyecto para la vigencia 2025 es de </w:t>
      </w:r>
      <w:r w:rsidRPr="000548E4">
        <w:rPr>
          <w:rFonts w:ascii="Verdana" w:hAnsi="Verdana" w:cs="Arial"/>
          <w:b/>
          <w:sz w:val="22"/>
          <w:szCs w:val="22"/>
        </w:rPr>
        <w:t>$34.364.875.819.</w:t>
      </w:r>
    </w:p>
    <w:p w14:paraId="16ACC506" w14:textId="77777777" w:rsidR="00FE4477" w:rsidRDefault="00FE4477" w:rsidP="00FE4477">
      <w:pPr>
        <w:pStyle w:val="Cierre"/>
        <w:spacing w:before="100" w:beforeAutospacing="1" w:after="100" w:afterAutospacing="1"/>
        <w:ind w:left="720"/>
        <w:contextualSpacing/>
        <w:jc w:val="both"/>
        <w:rPr>
          <w:rFonts w:ascii="Verdana" w:hAnsi="Verdana" w:cs="Arial"/>
          <w:bCs/>
          <w:sz w:val="22"/>
          <w:szCs w:val="22"/>
        </w:rPr>
      </w:pPr>
    </w:p>
    <w:p w14:paraId="35FCEC45" w14:textId="0B2BC328" w:rsidR="00FE4477" w:rsidRPr="00FE4477" w:rsidRDefault="00FE4477" w:rsidP="00FB5AB4">
      <w:pPr>
        <w:pStyle w:val="Cierre"/>
        <w:spacing w:before="100" w:beforeAutospacing="1" w:after="100" w:afterAutospacing="1"/>
        <w:ind w:left="720"/>
        <w:contextualSpacing/>
        <w:jc w:val="both"/>
        <w:rPr>
          <w:rFonts w:ascii="Verdana" w:hAnsi="Verdana" w:cs="Arial"/>
          <w:bCs/>
          <w:sz w:val="22"/>
          <w:szCs w:val="22"/>
        </w:rPr>
      </w:pPr>
      <w:r w:rsidRPr="00FE4477">
        <w:rPr>
          <w:rFonts w:ascii="Verdana" w:hAnsi="Verdana" w:cs="Arial"/>
          <w:bCs/>
          <w:sz w:val="22"/>
          <w:szCs w:val="22"/>
        </w:rPr>
        <w:t xml:space="preserve">En cuanto al ejercicio de proyección de </w:t>
      </w:r>
      <w:r w:rsidR="000548E4">
        <w:rPr>
          <w:rFonts w:ascii="Verdana" w:hAnsi="Verdana" w:cs="Arial"/>
          <w:bCs/>
          <w:sz w:val="22"/>
          <w:szCs w:val="22"/>
        </w:rPr>
        <w:t xml:space="preserve">gastos </w:t>
      </w:r>
      <w:r w:rsidRPr="00FE4477">
        <w:rPr>
          <w:rFonts w:ascii="Verdana" w:hAnsi="Verdana" w:cs="Arial"/>
          <w:bCs/>
          <w:sz w:val="22"/>
          <w:szCs w:val="22"/>
        </w:rPr>
        <w:t>de la entidad, se ha plante</w:t>
      </w:r>
      <w:r w:rsidR="000548E4">
        <w:rPr>
          <w:rFonts w:ascii="Verdana" w:hAnsi="Verdana" w:cs="Arial"/>
          <w:bCs/>
          <w:sz w:val="22"/>
          <w:szCs w:val="22"/>
        </w:rPr>
        <w:t>o</w:t>
      </w:r>
      <w:r w:rsidRPr="00FE4477">
        <w:rPr>
          <w:rFonts w:ascii="Verdana" w:hAnsi="Verdana" w:cs="Arial"/>
          <w:bCs/>
          <w:sz w:val="22"/>
          <w:szCs w:val="22"/>
        </w:rPr>
        <w:t xml:space="preserve"> un escenario en el que los gastos relacionados con el funcionamiento serían cubiertos en su totalidad, </w:t>
      </w:r>
      <w:r w:rsidR="000548E4">
        <w:rPr>
          <w:rFonts w:ascii="Verdana" w:hAnsi="Verdana" w:cs="Arial"/>
          <w:bCs/>
          <w:sz w:val="22"/>
          <w:szCs w:val="22"/>
        </w:rPr>
        <w:t>mientras que los recursos destinados a inversión que</w:t>
      </w:r>
      <w:r w:rsidRPr="00FE4477">
        <w:rPr>
          <w:rFonts w:ascii="Verdana" w:hAnsi="Verdana" w:cs="Arial"/>
          <w:bCs/>
          <w:sz w:val="22"/>
          <w:szCs w:val="22"/>
        </w:rPr>
        <w:t xml:space="preserve"> fueron </w:t>
      </w:r>
      <w:r w:rsidR="000548E4" w:rsidRPr="00FE4477">
        <w:rPr>
          <w:rFonts w:ascii="Verdana" w:hAnsi="Verdana" w:cs="Arial"/>
          <w:bCs/>
          <w:sz w:val="22"/>
          <w:szCs w:val="22"/>
        </w:rPr>
        <w:t>ajustados</w:t>
      </w:r>
      <w:r w:rsidR="000548E4">
        <w:rPr>
          <w:rFonts w:ascii="Verdana" w:hAnsi="Verdana" w:cs="Arial"/>
          <w:bCs/>
          <w:sz w:val="22"/>
          <w:szCs w:val="22"/>
        </w:rPr>
        <w:t xml:space="preserve"> </w:t>
      </w:r>
      <w:r w:rsidR="000548E4" w:rsidRPr="00FE4477">
        <w:rPr>
          <w:rFonts w:ascii="Verdana" w:hAnsi="Verdana" w:cs="Arial"/>
          <w:bCs/>
          <w:sz w:val="22"/>
          <w:szCs w:val="22"/>
        </w:rPr>
        <w:t>con</w:t>
      </w:r>
      <w:r w:rsidRPr="00FE4477">
        <w:rPr>
          <w:rFonts w:ascii="Verdana" w:hAnsi="Verdana" w:cs="Arial"/>
          <w:bCs/>
          <w:sz w:val="22"/>
          <w:szCs w:val="22"/>
        </w:rPr>
        <w:t xml:space="preserve"> un enfoque conservador</w:t>
      </w:r>
      <w:r w:rsidR="000548E4">
        <w:rPr>
          <w:rFonts w:ascii="Verdana" w:hAnsi="Verdana" w:cs="Arial"/>
          <w:bCs/>
          <w:sz w:val="22"/>
          <w:szCs w:val="22"/>
        </w:rPr>
        <w:t xml:space="preserve">. Esto se hizo con el fin de </w:t>
      </w:r>
      <w:r w:rsidRPr="00FE4477">
        <w:rPr>
          <w:rFonts w:ascii="Verdana" w:hAnsi="Verdana" w:cs="Arial"/>
          <w:bCs/>
          <w:sz w:val="22"/>
          <w:szCs w:val="22"/>
        </w:rPr>
        <w:t>mant</w:t>
      </w:r>
      <w:r w:rsidR="000548E4">
        <w:rPr>
          <w:rFonts w:ascii="Verdana" w:hAnsi="Verdana" w:cs="Arial"/>
          <w:bCs/>
          <w:sz w:val="22"/>
          <w:szCs w:val="22"/>
        </w:rPr>
        <w:t xml:space="preserve">ener una </w:t>
      </w:r>
      <w:r w:rsidRPr="00FE4477">
        <w:rPr>
          <w:rFonts w:ascii="Verdana" w:hAnsi="Verdana" w:cs="Arial"/>
          <w:bCs/>
          <w:sz w:val="22"/>
          <w:szCs w:val="22"/>
        </w:rPr>
        <w:t>proyección de ingresos</w:t>
      </w:r>
      <w:r w:rsidR="000548E4">
        <w:rPr>
          <w:rFonts w:ascii="Verdana" w:hAnsi="Verdana" w:cs="Arial"/>
          <w:bCs/>
          <w:sz w:val="22"/>
          <w:szCs w:val="22"/>
        </w:rPr>
        <w:t xml:space="preserve"> y gastos</w:t>
      </w:r>
      <w:r w:rsidRPr="00FE4477">
        <w:rPr>
          <w:rFonts w:ascii="Verdana" w:hAnsi="Verdana" w:cs="Arial"/>
          <w:bCs/>
          <w:sz w:val="22"/>
          <w:szCs w:val="22"/>
        </w:rPr>
        <w:t xml:space="preserve"> sin afectar considerablemente los excedentes </w:t>
      </w:r>
      <w:r w:rsidR="000548E4" w:rsidRPr="00FE4477">
        <w:rPr>
          <w:rFonts w:ascii="Verdana" w:hAnsi="Verdana" w:cs="Arial"/>
          <w:bCs/>
          <w:sz w:val="22"/>
          <w:szCs w:val="22"/>
        </w:rPr>
        <w:t>financieros,</w:t>
      </w:r>
      <w:r w:rsidR="000548E4">
        <w:rPr>
          <w:rFonts w:ascii="Verdana" w:hAnsi="Verdana" w:cs="Arial"/>
          <w:bCs/>
          <w:sz w:val="22"/>
          <w:szCs w:val="22"/>
        </w:rPr>
        <w:t xml:space="preserve"> de modo que </w:t>
      </w:r>
      <w:r w:rsidR="000548E4" w:rsidRPr="00FE4477">
        <w:rPr>
          <w:rFonts w:ascii="Verdana" w:hAnsi="Verdana" w:cs="Arial"/>
          <w:bCs/>
          <w:sz w:val="22"/>
          <w:szCs w:val="22"/>
        </w:rPr>
        <w:t>solo</w:t>
      </w:r>
      <w:r w:rsidRPr="00FE4477">
        <w:rPr>
          <w:rFonts w:ascii="Verdana" w:hAnsi="Verdana" w:cs="Arial"/>
          <w:bCs/>
          <w:sz w:val="22"/>
          <w:szCs w:val="22"/>
        </w:rPr>
        <w:t xml:space="preserve"> </w:t>
      </w:r>
      <w:r w:rsidR="000548E4">
        <w:rPr>
          <w:rFonts w:ascii="Verdana" w:hAnsi="Verdana" w:cs="Arial"/>
          <w:bCs/>
          <w:sz w:val="22"/>
          <w:szCs w:val="22"/>
        </w:rPr>
        <w:t xml:space="preserve">se presentará una </w:t>
      </w:r>
      <w:r w:rsidRPr="00FE4477">
        <w:rPr>
          <w:rFonts w:ascii="Verdana" w:hAnsi="Verdana" w:cs="Arial"/>
          <w:bCs/>
          <w:sz w:val="22"/>
          <w:szCs w:val="22"/>
        </w:rPr>
        <w:t xml:space="preserve">afectación </w:t>
      </w:r>
      <w:r w:rsidR="000548E4">
        <w:rPr>
          <w:rFonts w:ascii="Verdana" w:hAnsi="Verdana" w:cs="Arial"/>
          <w:bCs/>
          <w:sz w:val="22"/>
          <w:szCs w:val="22"/>
        </w:rPr>
        <w:t xml:space="preserve">a </w:t>
      </w:r>
      <w:r w:rsidRPr="00FE4477">
        <w:rPr>
          <w:rFonts w:ascii="Verdana" w:hAnsi="Verdana" w:cs="Arial"/>
          <w:bCs/>
          <w:sz w:val="22"/>
          <w:szCs w:val="22"/>
        </w:rPr>
        <w:t>los excedentes para el año 2025 en de $4.364.875.819.</w:t>
      </w:r>
    </w:p>
    <w:p w14:paraId="024EECD4" w14:textId="77777777" w:rsidR="00FE4477" w:rsidRDefault="00FE4477" w:rsidP="00FE4477">
      <w:pPr>
        <w:pStyle w:val="Cierre"/>
        <w:spacing w:before="100" w:beforeAutospacing="1" w:after="100" w:afterAutospacing="1"/>
        <w:ind w:left="720"/>
        <w:contextualSpacing/>
        <w:jc w:val="both"/>
        <w:rPr>
          <w:rFonts w:ascii="Verdana" w:hAnsi="Verdana" w:cs="Arial"/>
          <w:bCs/>
          <w:sz w:val="22"/>
          <w:szCs w:val="22"/>
        </w:rPr>
      </w:pPr>
    </w:p>
    <w:p w14:paraId="609687A2" w14:textId="5E1661F4" w:rsidR="00FB5AB4" w:rsidRPr="00FB5AB4" w:rsidRDefault="00FB5AB4" w:rsidP="00FB5AB4">
      <w:pPr>
        <w:pStyle w:val="Cierre"/>
        <w:spacing w:before="100" w:beforeAutospacing="1" w:after="100" w:afterAutospacing="1"/>
        <w:ind w:left="720"/>
        <w:contextualSpacing/>
        <w:jc w:val="both"/>
        <w:rPr>
          <w:rFonts w:ascii="Verdana" w:hAnsi="Verdana" w:cs="Arial"/>
          <w:bCs/>
          <w:lang w:val="es-CO"/>
        </w:rPr>
      </w:pPr>
      <w:r>
        <w:rPr>
          <w:rFonts w:ascii="Verdana" w:hAnsi="Verdana" w:cs="Arial"/>
          <w:bCs/>
          <w:sz w:val="22"/>
          <w:szCs w:val="22"/>
        </w:rPr>
        <w:t xml:space="preserve">De esta manera, los proyectos de inversión tuvieron que disminuir sus proyecciones de apropiaciones programadas en su formulación, para su horizonte de ejecución (2024-2027), a una proyección de gastos de inversión de $10.000.000.000, que fue distribuido entre los tres proyectos de inversión vigentes. </w:t>
      </w:r>
      <w:r w:rsidRPr="00FB5AB4">
        <w:rPr>
          <w:rFonts w:ascii="Verdana" w:hAnsi="Verdana" w:cs="Arial"/>
          <w:bCs/>
          <w:lang w:val="es-CO"/>
        </w:rPr>
        <w:t>Esto afectó de manera sustancial no solo lo planeado dentro de sus cadenas de valor, sino también, a</w:t>
      </w:r>
      <w:r>
        <w:rPr>
          <w:rFonts w:ascii="Verdana" w:hAnsi="Verdana" w:cs="Arial"/>
          <w:bCs/>
          <w:lang w:val="es-CO"/>
        </w:rPr>
        <w:t xml:space="preserve"> un corto plazo</w:t>
      </w:r>
      <w:r w:rsidRPr="00FB5AB4">
        <w:rPr>
          <w:rFonts w:ascii="Verdana" w:hAnsi="Verdana" w:cs="Arial"/>
          <w:bCs/>
          <w:lang w:val="es-CO"/>
        </w:rPr>
        <w:t>, el cumplimiento del objeto social y la misionalidad de la entidad.</w:t>
      </w:r>
    </w:p>
    <w:p w14:paraId="6090D0FB" w14:textId="77777777" w:rsidR="002D3305" w:rsidRDefault="002D3305" w:rsidP="002D3305">
      <w:pPr>
        <w:pStyle w:val="Cierre"/>
        <w:spacing w:before="100" w:beforeAutospacing="1" w:after="100" w:afterAutospacing="1"/>
        <w:ind w:left="0"/>
        <w:contextualSpacing/>
        <w:jc w:val="both"/>
        <w:rPr>
          <w:rFonts w:ascii="Verdana" w:hAnsi="Verdana" w:cs="Arial"/>
          <w:b/>
          <w:sz w:val="22"/>
          <w:szCs w:val="22"/>
        </w:rPr>
      </w:pPr>
    </w:p>
    <w:p w14:paraId="67C2E6A8" w14:textId="77777777" w:rsidR="002D3305" w:rsidRPr="002676DC" w:rsidRDefault="002D3305" w:rsidP="002D3305">
      <w:pPr>
        <w:pStyle w:val="Cierre"/>
        <w:spacing w:before="100" w:beforeAutospacing="1" w:after="100" w:afterAutospacing="1"/>
        <w:ind w:left="0"/>
        <w:contextualSpacing/>
        <w:jc w:val="both"/>
        <w:rPr>
          <w:rFonts w:ascii="Verdana" w:hAnsi="Verdana" w:cs="Arial"/>
          <w:b/>
          <w:sz w:val="22"/>
          <w:szCs w:val="22"/>
        </w:rPr>
      </w:pPr>
    </w:p>
    <w:p w14:paraId="6D26ABAC" w14:textId="77777777" w:rsidR="00622654" w:rsidRPr="002676DC" w:rsidRDefault="001B2CA9" w:rsidP="00622654">
      <w:pPr>
        <w:pStyle w:val="Cierre"/>
        <w:numPr>
          <w:ilvl w:val="0"/>
          <w:numId w:val="37"/>
        </w:numPr>
        <w:spacing w:before="100" w:beforeAutospacing="1" w:after="100" w:afterAutospacing="1"/>
        <w:contextualSpacing/>
        <w:jc w:val="both"/>
        <w:rPr>
          <w:rFonts w:ascii="Verdana" w:hAnsi="Verdana" w:cs="Arial"/>
          <w:b/>
          <w:sz w:val="22"/>
          <w:szCs w:val="22"/>
        </w:rPr>
      </w:pPr>
      <w:r w:rsidRPr="002676DC">
        <w:rPr>
          <w:rFonts w:ascii="Verdana" w:hAnsi="Verdana" w:cs="Arial"/>
          <w:b/>
          <w:sz w:val="22"/>
          <w:szCs w:val="22"/>
        </w:rPr>
        <w:t xml:space="preserve">Sírvase indicar valor, monto y destinación de proyectos de inversión y/o gastos de funcionamiento que su respectiva cartera considera que son prioritarios para el logro de los objetivos misionales de la misma, y que no hayan sido incluidos en el proyecto de Presupuesto del año 2025. Sírvase explicitar porque es importante que los mismos sean incluidos en </w:t>
      </w:r>
      <w:r w:rsidR="002507D3" w:rsidRPr="002676DC">
        <w:rPr>
          <w:rFonts w:ascii="Verdana" w:hAnsi="Verdana" w:cs="Arial"/>
          <w:b/>
          <w:sz w:val="22"/>
          <w:szCs w:val="22"/>
        </w:rPr>
        <w:t xml:space="preserve">el </w:t>
      </w:r>
      <w:r w:rsidRPr="002676DC">
        <w:rPr>
          <w:rFonts w:ascii="Verdana" w:hAnsi="Verdana" w:cs="Arial"/>
          <w:b/>
          <w:sz w:val="22"/>
          <w:szCs w:val="22"/>
        </w:rPr>
        <w:t xml:space="preserve">proyecto de presupuesto. </w:t>
      </w:r>
    </w:p>
    <w:p w14:paraId="0B6AE313" w14:textId="77777777" w:rsidR="00622654" w:rsidRPr="00AE1A49" w:rsidRDefault="00622654" w:rsidP="00622654">
      <w:pPr>
        <w:pStyle w:val="Cierre"/>
        <w:spacing w:before="100" w:beforeAutospacing="1" w:after="100" w:afterAutospacing="1"/>
        <w:ind w:left="1080"/>
        <w:contextualSpacing/>
        <w:jc w:val="both"/>
        <w:rPr>
          <w:rFonts w:ascii="Verdana" w:hAnsi="Verdana" w:cs="Arial"/>
          <w:b/>
          <w:sz w:val="22"/>
          <w:szCs w:val="22"/>
        </w:rPr>
      </w:pPr>
    </w:p>
    <w:p w14:paraId="51166315" w14:textId="70F3A19E" w:rsidR="004438E1" w:rsidRDefault="00622654" w:rsidP="002676DC">
      <w:pPr>
        <w:pStyle w:val="Cierre"/>
        <w:spacing w:before="100" w:beforeAutospacing="1" w:after="100" w:afterAutospacing="1"/>
        <w:ind w:left="1080"/>
        <w:contextualSpacing/>
        <w:jc w:val="both"/>
        <w:rPr>
          <w:rFonts w:ascii="Verdana" w:eastAsia="Arial" w:hAnsi="Verdana" w:cs="Arial"/>
          <w:sz w:val="22"/>
          <w:szCs w:val="22"/>
        </w:rPr>
      </w:pPr>
      <w:r w:rsidRPr="009A131A">
        <w:rPr>
          <w:rFonts w:ascii="Verdana" w:eastAsia="Arial" w:hAnsi="Verdana" w:cs="Arial"/>
          <w:sz w:val="22"/>
          <w:szCs w:val="22"/>
        </w:rPr>
        <w:t xml:space="preserve">Dado que los ingresos de la Superintendencia de la Economía Solidaria han sufrido una reducción importante durante los últimos tres años, y que, en consecuencia, la entidad ha tenido que </w:t>
      </w:r>
      <w:r w:rsidR="00AB6920" w:rsidRPr="009A131A">
        <w:rPr>
          <w:rFonts w:ascii="Verdana" w:eastAsia="Arial" w:hAnsi="Verdana" w:cs="Arial"/>
          <w:sz w:val="22"/>
          <w:szCs w:val="22"/>
        </w:rPr>
        <w:t>disminuir</w:t>
      </w:r>
      <w:r w:rsidRPr="009A131A">
        <w:rPr>
          <w:rFonts w:ascii="Verdana" w:eastAsia="Arial" w:hAnsi="Verdana" w:cs="Arial"/>
          <w:sz w:val="22"/>
          <w:szCs w:val="22"/>
        </w:rPr>
        <w:t xml:space="preserve"> sus gastos de inversión para la vigencia 2025 en más de un 60% pasando de $44.680 millones en 2023, a $24.920 millones en 2024, y finalmente a $10.000 millones para el 2025, la entidad considera necesaria la asignación por parte del  Presupuesto General de la Nación de un monto de $15.818.537.053 para cubrir el déficit de los proyectos de inversión que se tienen vigentes.</w:t>
      </w:r>
    </w:p>
    <w:p w14:paraId="74FF055E" w14:textId="77777777" w:rsidR="00582424" w:rsidRDefault="00582424" w:rsidP="002676DC">
      <w:pPr>
        <w:pStyle w:val="Cierre"/>
        <w:spacing w:before="100" w:beforeAutospacing="1" w:after="100" w:afterAutospacing="1"/>
        <w:ind w:left="1080"/>
        <w:contextualSpacing/>
        <w:jc w:val="both"/>
        <w:rPr>
          <w:rFonts w:ascii="Verdana" w:eastAsia="Arial" w:hAnsi="Verdana" w:cs="Arial"/>
          <w:sz w:val="22"/>
          <w:szCs w:val="22"/>
        </w:rPr>
      </w:pPr>
    </w:p>
    <w:p w14:paraId="572F98B8" w14:textId="77777777" w:rsidR="00582424" w:rsidRDefault="00582424" w:rsidP="002676DC">
      <w:pPr>
        <w:pStyle w:val="Cierre"/>
        <w:spacing w:before="100" w:beforeAutospacing="1" w:after="100" w:afterAutospacing="1"/>
        <w:ind w:left="1080"/>
        <w:contextualSpacing/>
        <w:jc w:val="both"/>
        <w:rPr>
          <w:rFonts w:ascii="Verdana" w:eastAsia="Arial" w:hAnsi="Verdana" w:cs="Arial"/>
          <w:sz w:val="22"/>
          <w:szCs w:val="22"/>
        </w:rPr>
      </w:pPr>
    </w:p>
    <w:p w14:paraId="7B0F813D" w14:textId="77777777" w:rsidR="00582424" w:rsidRDefault="00582424" w:rsidP="002676DC">
      <w:pPr>
        <w:pStyle w:val="Cierre"/>
        <w:spacing w:before="100" w:beforeAutospacing="1" w:after="100" w:afterAutospacing="1"/>
        <w:ind w:left="1080"/>
        <w:contextualSpacing/>
        <w:jc w:val="both"/>
        <w:rPr>
          <w:rFonts w:ascii="Verdana" w:eastAsia="Arial" w:hAnsi="Verdana" w:cs="Arial"/>
          <w:sz w:val="22"/>
          <w:szCs w:val="22"/>
        </w:rPr>
      </w:pPr>
    </w:p>
    <w:p w14:paraId="0C48DA23" w14:textId="77777777" w:rsidR="00582424" w:rsidRDefault="00582424" w:rsidP="002676DC">
      <w:pPr>
        <w:pStyle w:val="Cierre"/>
        <w:spacing w:before="100" w:beforeAutospacing="1" w:after="100" w:afterAutospacing="1"/>
        <w:ind w:left="1080"/>
        <w:contextualSpacing/>
        <w:jc w:val="both"/>
        <w:rPr>
          <w:rFonts w:ascii="Verdana" w:eastAsia="Arial" w:hAnsi="Verdana" w:cs="Arial"/>
          <w:sz w:val="22"/>
          <w:szCs w:val="22"/>
        </w:rPr>
      </w:pPr>
    </w:p>
    <w:p w14:paraId="31A3FB34" w14:textId="77777777" w:rsidR="00582424" w:rsidRDefault="00582424" w:rsidP="002676DC">
      <w:pPr>
        <w:pStyle w:val="Cierre"/>
        <w:spacing w:before="100" w:beforeAutospacing="1" w:after="100" w:afterAutospacing="1"/>
        <w:ind w:left="1080"/>
        <w:contextualSpacing/>
        <w:jc w:val="both"/>
        <w:rPr>
          <w:rFonts w:ascii="Verdana" w:eastAsia="Arial" w:hAnsi="Verdana" w:cs="Arial"/>
          <w:sz w:val="22"/>
          <w:szCs w:val="22"/>
        </w:rPr>
      </w:pPr>
    </w:p>
    <w:p w14:paraId="4E4F3E4A" w14:textId="77777777" w:rsidR="00582424" w:rsidRDefault="00582424" w:rsidP="002676DC">
      <w:pPr>
        <w:pStyle w:val="Cierre"/>
        <w:spacing w:before="100" w:beforeAutospacing="1" w:after="100" w:afterAutospacing="1"/>
        <w:ind w:left="1080"/>
        <w:contextualSpacing/>
        <w:jc w:val="both"/>
        <w:rPr>
          <w:rFonts w:ascii="Verdana" w:eastAsia="Arial" w:hAnsi="Verdana" w:cs="Arial"/>
          <w:sz w:val="22"/>
          <w:szCs w:val="22"/>
        </w:rPr>
      </w:pPr>
    </w:p>
    <w:p w14:paraId="413E9472" w14:textId="77777777" w:rsidR="00582424" w:rsidRPr="009A131A" w:rsidRDefault="00582424" w:rsidP="002676DC">
      <w:pPr>
        <w:pStyle w:val="Cierre"/>
        <w:spacing w:before="100" w:beforeAutospacing="1" w:after="100" w:afterAutospacing="1"/>
        <w:ind w:left="1080"/>
        <w:contextualSpacing/>
        <w:jc w:val="both"/>
        <w:rPr>
          <w:rStyle w:val="Hipervnculo"/>
          <w:rFonts w:ascii="Verdana" w:eastAsia="Arial" w:hAnsi="Verdana" w:cs="Arial"/>
          <w:color w:val="auto"/>
          <w:sz w:val="22"/>
          <w:szCs w:val="22"/>
          <w:u w:val="none"/>
        </w:rPr>
      </w:pPr>
    </w:p>
    <w:p w14:paraId="6239742F" w14:textId="2B37D636" w:rsidR="001B2CA9" w:rsidRPr="002676DC" w:rsidRDefault="004438E1" w:rsidP="002676DC">
      <w:pPr>
        <w:pStyle w:val="Sinespaciado"/>
        <w:jc w:val="center"/>
        <w:rPr>
          <w:rStyle w:val="Hipervnculo"/>
          <w:rFonts w:ascii="Verdana" w:eastAsia="Calibri" w:hAnsi="Verdana" w:cs="Arial"/>
          <w:b/>
          <w:color w:val="auto"/>
          <w:sz w:val="20"/>
          <w:szCs w:val="20"/>
          <w:u w:val="none"/>
          <w:lang w:eastAsia="es-CO"/>
        </w:rPr>
      </w:pPr>
      <w:r w:rsidRPr="002676DC">
        <w:rPr>
          <w:rStyle w:val="Hipervnculo"/>
          <w:rFonts w:ascii="Verdana" w:eastAsia="Calibri" w:hAnsi="Verdana" w:cs="Arial"/>
          <w:b/>
          <w:color w:val="auto"/>
          <w:sz w:val="20"/>
          <w:szCs w:val="20"/>
          <w:u w:val="none"/>
          <w:lang w:eastAsia="es-CO"/>
        </w:rPr>
        <w:lastRenderedPageBreak/>
        <w:t>SECCION PRESUPUESTAL 13 0</w:t>
      </w:r>
      <w:r w:rsidR="00FB5AB4" w:rsidRPr="002676DC">
        <w:rPr>
          <w:rStyle w:val="Hipervnculo"/>
          <w:rFonts w:ascii="Verdana" w:eastAsia="Calibri" w:hAnsi="Verdana" w:cs="Arial"/>
          <w:b/>
          <w:color w:val="auto"/>
          <w:sz w:val="20"/>
          <w:szCs w:val="20"/>
          <w:u w:val="none"/>
          <w:lang w:eastAsia="es-CO"/>
        </w:rPr>
        <w:t>9</w:t>
      </w:r>
      <w:r w:rsidRPr="002676DC">
        <w:rPr>
          <w:rStyle w:val="Hipervnculo"/>
          <w:rFonts w:ascii="Verdana" w:eastAsia="Calibri" w:hAnsi="Verdana" w:cs="Arial"/>
          <w:b/>
          <w:color w:val="auto"/>
          <w:sz w:val="20"/>
          <w:szCs w:val="20"/>
          <w:u w:val="none"/>
          <w:lang w:eastAsia="es-CO"/>
        </w:rPr>
        <w:t xml:space="preserve"> </w:t>
      </w:r>
      <w:r w:rsidR="00FB5AB4" w:rsidRPr="002676DC">
        <w:rPr>
          <w:rStyle w:val="Hipervnculo"/>
          <w:rFonts w:ascii="Verdana" w:eastAsia="Calibri" w:hAnsi="Verdana" w:cs="Arial"/>
          <w:b/>
          <w:color w:val="auto"/>
          <w:sz w:val="20"/>
          <w:szCs w:val="20"/>
          <w:u w:val="none"/>
          <w:lang w:eastAsia="es-CO"/>
        </w:rPr>
        <w:t>–</w:t>
      </w:r>
      <w:r w:rsidRPr="002676DC">
        <w:rPr>
          <w:rStyle w:val="Hipervnculo"/>
          <w:rFonts w:ascii="Verdana" w:eastAsia="Calibri" w:hAnsi="Verdana" w:cs="Arial"/>
          <w:b/>
          <w:color w:val="auto"/>
          <w:sz w:val="20"/>
          <w:szCs w:val="20"/>
          <w:u w:val="none"/>
          <w:lang w:eastAsia="es-CO"/>
        </w:rPr>
        <w:t xml:space="preserve"> </w:t>
      </w:r>
      <w:r w:rsidR="00FB5AB4" w:rsidRPr="002676DC">
        <w:rPr>
          <w:rStyle w:val="Hipervnculo"/>
          <w:rFonts w:ascii="Verdana" w:eastAsia="Calibri" w:hAnsi="Verdana" w:cs="Arial"/>
          <w:b/>
          <w:color w:val="auto"/>
          <w:sz w:val="20"/>
          <w:szCs w:val="20"/>
          <w:u w:val="none"/>
          <w:lang w:eastAsia="es-CO"/>
        </w:rPr>
        <w:t>SUPERINTENDENCIA DE LA ECONOMÍA SOLIDARIA</w:t>
      </w:r>
    </w:p>
    <w:p w14:paraId="512B1C78" w14:textId="260D30A1" w:rsidR="001B2CA9" w:rsidRPr="002676DC" w:rsidRDefault="001B2CA9" w:rsidP="002676DC">
      <w:pPr>
        <w:pStyle w:val="Sinespaciado"/>
        <w:jc w:val="center"/>
        <w:rPr>
          <w:rStyle w:val="Hipervnculo"/>
          <w:rFonts w:ascii="Verdana" w:eastAsia="Calibri" w:hAnsi="Verdana" w:cs="Arial"/>
          <w:b/>
          <w:color w:val="auto"/>
          <w:sz w:val="18"/>
          <w:szCs w:val="18"/>
          <w:u w:val="none"/>
          <w:lang w:eastAsia="es-CO"/>
        </w:rPr>
      </w:pPr>
      <w:r w:rsidRPr="002676DC">
        <w:rPr>
          <w:rStyle w:val="Hipervnculo"/>
          <w:rFonts w:ascii="Verdana" w:eastAsia="Calibri" w:hAnsi="Verdana" w:cs="Arial"/>
          <w:b/>
          <w:color w:val="auto"/>
          <w:sz w:val="20"/>
          <w:szCs w:val="20"/>
          <w:u w:val="none"/>
          <w:lang w:eastAsia="es-CO"/>
        </w:rPr>
        <w:t>NECESIDADES PRESUPUESTALES 202</w:t>
      </w:r>
      <w:r w:rsidR="00FB5AB4" w:rsidRPr="002676DC">
        <w:rPr>
          <w:rStyle w:val="Hipervnculo"/>
          <w:rFonts w:ascii="Verdana" w:eastAsia="Calibri" w:hAnsi="Verdana" w:cs="Arial"/>
          <w:b/>
          <w:color w:val="auto"/>
          <w:sz w:val="20"/>
          <w:szCs w:val="20"/>
          <w:u w:val="none"/>
          <w:lang w:eastAsia="es-CO"/>
        </w:rPr>
        <w:t>5</w:t>
      </w:r>
      <w:r w:rsidRPr="002676DC">
        <w:rPr>
          <w:rStyle w:val="Hipervnculo"/>
          <w:rFonts w:ascii="Verdana" w:eastAsia="Calibri" w:hAnsi="Verdana" w:cs="Arial"/>
          <w:b/>
          <w:color w:val="auto"/>
          <w:sz w:val="20"/>
          <w:szCs w:val="20"/>
          <w:u w:val="none"/>
          <w:lang w:eastAsia="es-CO"/>
        </w:rPr>
        <w:t xml:space="preserve"> VRS.PROYECTO </w:t>
      </w:r>
      <w:r w:rsidRPr="002676DC">
        <w:rPr>
          <w:rStyle w:val="Hipervnculo"/>
          <w:rFonts w:ascii="Verdana" w:eastAsia="Calibri" w:hAnsi="Verdana" w:cs="Arial"/>
          <w:b/>
          <w:color w:val="auto"/>
          <w:sz w:val="18"/>
          <w:szCs w:val="18"/>
          <w:u w:val="none"/>
          <w:lang w:eastAsia="es-CO"/>
        </w:rPr>
        <w:t>DE PRESUPUESTO 202</w:t>
      </w:r>
      <w:r w:rsidR="00622654" w:rsidRPr="002676DC">
        <w:rPr>
          <w:rStyle w:val="Hipervnculo"/>
          <w:rFonts w:ascii="Verdana" w:eastAsia="Calibri" w:hAnsi="Verdana" w:cs="Arial"/>
          <w:b/>
          <w:color w:val="auto"/>
          <w:sz w:val="18"/>
          <w:szCs w:val="18"/>
          <w:u w:val="none"/>
          <w:lang w:eastAsia="es-CO"/>
        </w:rPr>
        <w:t>5</w:t>
      </w:r>
    </w:p>
    <w:p w14:paraId="3FA19F58" w14:textId="77777777" w:rsidR="002676DC" w:rsidRPr="002676DC" w:rsidRDefault="001B2CA9" w:rsidP="002676DC">
      <w:pPr>
        <w:pStyle w:val="Sinespaciado"/>
        <w:jc w:val="center"/>
        <w:rPr>
          <w:rFonts w:ascii="Verdana" w:hAnsi="Verdana"/>
          <w:sz w:val="18"/>
          <w:szCs w:val="18"/>
        </w:rPr>
      </w:pPr>
      <w:r w:rsidRPr="002676DC">
        <w:rPr>
          <w:rFonts w:ascii="Verdana" w:hAnsi="Verdana"/>
          <w:sz w:val="18"/>
          <w:szCs w:val="18"/>
        </w:rPr>
        <w:t>Cifras en millones</w:t>
      </w:r>
    </w:p>
    <w:p w14:paraId="7DF008EC" w14:textId="21F142EF" w:rsidR="001B2CA9" w:rsidRDefault="001B2CA9" w:rsidP="002676DC">
      <w:pPr>
        <w:pStyle w:val="Sinespaciado"/>
        <w:jc w:val="center"/>
      </w:pPr>
      <w:r>
        <w:fldChar w:fldCharType="begin"/>
      </w:r>
      <w:r>
        <w:instrText xml:space="preserve"> LINK Excel.Sheet.12 "\\\\Mh-dfsusa01\\vicegral\\OAP\\MAN_PTAL\\OAP-2021\\13. ENTIDADES DE CONTROL\\4. CONGRESO\\COMISION SEPTIMA PROPOSICION No 04\\COMPARATIVO ANTEPRO VS NECESIDADES 2022.xlsx" Hoja1!F7C4:F20C7 \a \f 4 \h  \* MERGEFORMAT </w:instrText>
      </w:r>
      <w:r>
        <w:fldChar w:fldCharType="separate"/>
      </w:r>
    </w:p>
    <w:tbl>
      <w:tblPr>
        <w:tblW w:w="9204" w:type="dxa"/>
        <w:tblCellMar>
          <w:left w:w="70" w:type="dxa"/>
          <w:right w:w="70" w:type="dxa"/>
        </w:tblCellMar>
        <w:tblLook w:val="04A0" w:firstRow="1" w:lastRow="0" w:firstColumn="1" w:lastColumn="0" w:noHBand="0" w:noVBand="1"/>
      </w:tblPr>
      <w:tblGrid>
        <w:gridCol w:w="2684"/>
        <w:gridCol w:w="1984"/>
        <w:gridCol w:w="2410"/>
        <w:gridCol w:w="2126"/>
      </w:tblGrid>
      <w:tr w:rsidR="001B2CA9" w14:paraId="1ADDF9DC" w14:textId="77777777" w:rsidTr="00F07B78">
        <w:trPr>
          <w:trHeight w:val="1035"/>
        </w:trPr>
        <w:tc>
          <w:tcPr>
            <w:tcW w:w="2684" w:type="dxa"/>
            <w:tcBorders>
              <w:top w:val="single" w:sz="8" w:space="0" w:color="auto"/>
              <w:left w:val="single" w:sz="8" w:space="0" w:color="auto"/>
              <w:bottom w:val="single" w:sz="8" w:space="0" w:color="auto"/>
              <w:right w:val="single" w:sz="8" w:space="0" w:color="auto"/>
            </w:tcBorders>
            <w:shd w:val="clear" w:color="auto" w:fill="B18940"/>
            <w:vAlign w:val="center"/>
            <w:hideMark/>
          </w:tcPr>
          <w:p w14:paraId="7C93440F" w14:textId="77777777" w:rsidR="001B2CA9" w:rsidRPr="002676DC" w:rsidRDefault="001B2CA9" w:rsidP="002676DC">
            <w:pPr>
              <w:pStyle w:val="Sinespaciado"/>
              <w:jc w:val="center"/>
              <w:rPr>
                <w:rFonts w:ascii="Verdana" w:eastAsia="Times New Roman" w:hAnsi="Verdana" w:cs="Calibri"/>
                <w:b/>
                <w:bCs/>
                <w:sz w:val="20"/>
                <w:szCs w:val="20"/>
                <w:lang w:eastAsia="es-CO"/>
              </w:rPr>
            </w:pPr>
            <w:r w:rsidRPr="00F07B78">
              <w:rPr>
                <w:rFonts w:ascii="Arial Narrow" w:eastAsia="Times New Roman" w:hAnsi="Arial Narrow" w:cs="Calibri"/>
                <w:b/>
                <w:bCs/>
                <w:sz w:val="20"/>
                <w:szCs w:val="20"/>
                <w:lang w:eastAsia="es-CO"/>
              </w:rPr>
              <w:t>CONCEPTO</w:t>
            </w:r>
          </w:p>
        </w:tc>
        <w:tc>
          <w:tcPr>
            <w:tcW w:w="1984" w:type="dxa"/>
            <w:tcBorders>
              <w:top w:val="single" w:sz="8" w:space="0" w:color="auto"/>
              <w:left w:val="nil"/>
              <w:bottom w:val="single" w:sz="8" w:space="0" w:color="auto"/>
              <w:right w:val="single" w:sz="8" w:space="0" w:color="auto"/>
            </w:tcBorders>
            <w:shd w:val="clear" w:color="auto" w:fill="B18940"/>
            <w:vAlign w:val="center"/>
            <w:hideMark/>
          </w:tcPr>
          <w:p w14:paraId="38A6FD3E" w14:textId="0CDA65F6" w:rsidR="001B2CA9" w:rsidRPr="00F07B78" w:rsidRDefault="001B2CA9" w:rsidP="002676DC">
            <w:pPr>
              <w:pStyle w:val="Sinespaciado"/>
              <w:jc w:val="center"/>
              <w:rPr>
                <w:rFonts w:ascii="Arial Narrow" w:eastAsia="Times New Roman" w:hAnsi="Arial Narrow" w:cs="Calibri"/>
                <w:b/>
                <w:bCs/>
                <w:sz w:val="20"/>
                <w:szCs w:val="20"/>
                <w:lang w:eastAsia="es-CO"/>
              </w:rPr>
            </w:pPr>
            <w:r w:rsidRPr="00F07B78">
              <w:rPr>
                <w:rFonts w:ascii="Arial Narrow" w:eastAsia="Times New Roman" w:hAnsi="Arial Narrow" w:cs="Calibri"/>
                <w:b/>
                <w:bCs/>
                <w:sz w:val="20"/>
                <w:szCs w:val="20"/>
                <w:lang w:eastAsia="es-CO"/>
              </w:rPr>
              <w:t>PROYECTO DE PRESUPUESTO 202</w:t>
            </w:r>
            <w:r w:rsidR="00622654">
              <w:rPr>
                <w:rFonts w:ascii="Arial Narrow" w:eastAsia="Times New Roman" w:hAnsi="Arial Narrow" w:cs="Calibri"/>
                <w:b/>
                <w:bCs/>
                <w:sz w:val="20"/>
                <w:szCs w:val="20"/>
                <w:lang w:eastAsia="es-CO"/>
              </w:rPr>
              <w:t>5</w:t>
            </w:r>
            <w:r w:rsidRPr="00F07B78">
              <w:rPr>
                <w:rFonts w:ascii="Arial Narrow" w:eastAsia="Times New Roman" w:hAnsi="Arial Narrow" w:cs="Calibri"/>
                <w:b/>
                <w:bCs/>
                <w:sz w:val="20"/>
                <w:szCs w:val="20"/>
                <w:lang w:eastAsia="es-CO"/>
              </w:rPr>
              <w:t xml:space="preserve"> *</w:t>
            </w:r>
          </w:p>
        </w:tc>
        <w:tc>
          <w:tcPr>
            <w:tcW w:w="2410" w:type="dxa"/>
            <w:tcBorders>
              <w:top w:val="single" w:sz="8" w:space="0" w:color="auto"/>
              <w:left w:val="nil"/>
              <w:bottom w:val="single" w:sz="8" w:space="0" w:color="auto"/>
              <w:right w:val="single" w:sz="8" w:space="0" w:color="auto"/>
            </w:tcBorders>
            <w:shd w:val="clear" w:color="auto" w:fill="B18940"/>
            <w:vAlign w:val="center"/>
            <w:hideMark/>
          </w:tcPr>
          <w:p w14:paraId="794E0EDC" w14:textId="70DCDE84" w:rsidR="001B2CA9" w:rsidRPr="00F07B78" w:rsidRDefault="001B2CA9" w:rsidP="002676DC">
            <w:pPr>
              <w:pStyle w:val="Sinespaciado"/>
              <w:jc w:val="center"/>
              <w:rPr>
                <w:rFonts w:ascii="Arial Narrow" w:eastAsia="Times New Roman" w:hAnsi="Arial Narrow" w:cs="Calibri"/>
                <w:b/>
                <w:bCs/>
                <w:sz w:val="20"/>
                <w:szCs w:val="20"/>
                <w:lang w:eastAsia="es-CO"/>
              </w:rPr>
            </w:pPr>
            <w:r w:rsidRPr="00F07B78">
              <w:rPr>
                <w:rFonts w:ascii="Arial Narrow" w:eastAsia="Times New Roman" w:hAnsi="Arial Narrow" w:cs="Calibri"/>
                <w:b/>
                <w:bCs/>
                <w:sz w:val="20"/>
                <w:szCs w:val="20"/>
                <w:lang w:eastAsia="es-CO"/>
              </w:rPr>
              <w:t>NECESIDADES PRESUPUESTALES</w:t>
            </w:r>
          </w:p>
        </w:tc>
        <w:tc>
          <w:tcPr>
            <w:tcW w:w="2126" w:type="dxa"/>
            <w:tcBorders>
              <w:top w:val="single" w:sz="8" w:space="0" w:color="auto"/>
              <w:left w:val="nil"/>
              <w:bottom w:val="single" w:sz="8" w:space="0" w:color="auto"/>
              <w:right w:val="single" w:sz="8" w:space="0" w:color="auto"/>
            </w:tcBorders>
            <w:shd w:val="clear" w:color="auto" w:fill="B18940"/>
            <w:vAlign w:val="center"/>
            <w:hideMark/>
          </w:tcPr>
          <w:p w14:paraId="429CF7DF" w14:textId="77777777" w:rsidR="001B2CA9" w:rsidRPr="00F07B78" w:rsidRDefault="001B2CA9" w:rsidP="002676DC">
            <w:pPr>
              <w:pStyle w:val="Sinespaciado"/>
              <w:jc w:val="center"/>
              <w:rPr>
                <w:rFonts w:ascii="Arial Narrow" w:eastAsia="Times New Roman" w:hAnsi="Arial Narrow" w:cs="Calibri"/>
                <w:b/>
                <w:bCs/>
                <w:sz w:val="20"/>
                <w:szCs w:val="20"/>
                <w:lang w:eastAsia="es-CO"/>
              </w:rPr>
            </w:pPr>
            <w:r w:rsidRPr="00F07B78">
              <w:rPr>
                <w:rFonts w:ascii="Arial Narrow" w:eastAsia="Times New Roman" w:hAnsi="Arial Narrow" w:cs="Calibri"/>
                <w:b/>
                <w:bCs/>
                <w:sz w:val="20"/>
                <w:szCs w:val="20"/>
                <w:lang w:eastAsia="es-CO"/>
              </w:rPr>
              <w:t xml:space="preserve">DIFERENCIA </w:t>
            </w:r>
            <w:r w:rsidRPr="00F07B78">
              <w:rPr>
                <w:rFonts w:ascii="Arial Narrow" w:eastAsia="Times New Roman" w:hAnsi="Arial Narrow" w:cs="Calibri"/>
                <w:b/>
                <w:bCs/>
                <w:sz w:val="20"/>
                <w:szCs w:val="20"/>
                <w:lang w:eastAsia="es-CO"/>
              </w:rPr>
              <w:br/>
              <w:t>(Proyecto de Presupuesto menos Necesidades presupuestales)</w:t>
            </w:r>
          </w:p>
        </w:tc>
      </w:tr>
      <w:tr w:rsidR="001B2CA9" w14:paraId="1AF438A2" w14:textId="77777777" w:rsidTr="00622654">
        <w:trPr>
          <w:trHeight w:val="315"/>
        </w:trPr>
        <w:tc>
          <w:tcPr>
            <w:tcW w:w="2684" w:type="dxa"/>
            <w:tcBorders>
              <w:top w:val="nil"/>
              <w:left w:val="single" w:sz="8" w:space="0" w:color="auto"/>
              <w:bottom w:val="single" w:sz="8" w:space="0" w:color="auto"/>
              <w:right w:val="single" w:sz="8" w:space="0" w:color="auto"/>
            </w:tcBorders>
            <w:shd w:val="clear" w:color="auto" w:fill="FFCC66"/>
            <w:vAlign w:val="center"/>
            <w:hideMark/>
          </w:tcPr>
          <w:p w14:paraId="5928182D" w14:textId="0698CD25" w:rsidR="001B2CA9" w:rsidRDefault="001B2CA9" w:rsidP="002676DC">
            <w:pPr>
              <w:pStyle w:val="Sinespaciado"/>
              <w:jc w:val="center"/>
              <w:rPr>
                <w:rFonts w:ascii="Arial Narrow" w:eastAsia="Times New Roman" w:hAnsi="Arial Narrow" w:cs="Calibri"/>
                <w:b/>
                <w:bCs/>
                <w:color w:val="000000"/>
                <w:sz w:val="20"/>
                <w:szCs w:val="20"/>
                <w:lang w:eastAsia="es-CO"/>
              </w:rPr>
            </w:pPr>
            <w:r>
              <w:rPr>
                <w:rFonts w:ascii="Arial Narrow" w:eastAsia="Times New Roman" w:hAnsi="Arial Narrow" w:cs="Calibri"/>
                <w:b/>
                <w:bCs/>
                <w:color w:val="000000"/>
                <w:sz w:val="20"/>
                <w:szCs w:val="20"/>
                <w:lang w:eastAsia="es-CO"/>
              </w:rPr>
              <w:t>INVERSION</w:t>
            </w:r>
          </w:p>
        </w:tc>
        <w:tc>
          <w:tcPr>
            <w:tcW w:w="1984" w:type="dxa"/>
            <w:tcBorders>
              <w:top w:val="nil"/>
              <w:left w:val="nil"/>
              <w:bottom w:val="single" w:sz="8" w:space="0" w:color="auto"/>
              <w:right w:val="single" w:sz="8" w:space="0" w:color="auto"/>
            </w:tcBorders>
            <w:shd w:val="clear" w:color="auto" w:fill="FFCC66"/>
            <w:vAlign w:val="center"/>
          </w:tcPr>
          <w:p w14:paraId="72346670" w14:textId="38D15B9E" w:rsidR="001B2CA9" w:rsidRDefault="00622654" w:rsidP="002676DC">
            <w:pPr>
              <w:pStyle w:val="Sinespaciado"/>
              <w:jc w:val="center"/>
              <w:rPr>
                <w:rFonts w:ascii="Arial Narrow" w:eastAsia="Times New Roman" w:hAnsi="Arial Narrow" w:cs="Calibri"/>
                <w:b/>
                <w:bCs/>
                <w:color w:val="000000"/>
                <w:sz w:val="20"/>
                <w:szCs w:val="20"/>
                <w:lang w:eastAsia="es-CO"/>
              </w:rPr>
            </w:pPr>
            <w:r>
              <w:rPr>
                <w:rFonts w:ascii="Arial Narrow" w:eastAsia="Times New Roman" w:hAnsi="Arial Narrow" w:cs="Calibri"/>
                <w:b/>
                <w:bCs/>
                <w:color w:val="000000"/>
                <w:sz w:val="20"/>
                <w:szCs w:val="20"/>
                <w:lang w:eastAsia="es-CO"/>
              </w:rPr>
              <w:t>$10.000</w:t>
            </w:r>
            <w:r w:rsidR="00E026D2">
              <w:rPr>
                <w:rFonts w:ascii="Arial Narrow" w:eastAsia="Times New Roman" w:hAnsi="Arial Narrow" w:cs="Calibri"/>
                <w:b/>
                <w:bCs/>
                <w:color w:val="000000"/>
                <w:sz w:val="20"/>
                <w:szCs w:val="20"/>
                <w:lang w:eastAsia="es-CO"/>
              </w:rPr>
              <w:t>.000</w:t>
            </w:r>
          </w:p>
        </w:tc>
        <w:tc>
          <w:tcPr>
            <w:tcW w:w="2410" w:type="dxa"/>
            <w:tcBorders>
              <w:top w:val="nil"/>
              <w:left w:val="nil"/>
              <w:bottom w:val="single" w:sz="8" w:space="0" w:color="auto"/>
              <w:right w:val="single" w:sz="8" w:space="0" w:color="auto"/>
            </w:tcBorders>
            <w:shd w:val="clear" w:color="auto" w:fill="FFCC66"/>
            <w:vAlign w:val="center"/>
          </w:tcPr>
          <w:p w14:paraId="5F4ACCB3" w14:textId="6BEBA665" w:rsidR="00E026D2" w:rsidRDefault="00622654" w:rsidP="002676DC">
            <w:pPr>
              <w:pStyle w:val="Sinespaciado"/>
              <w:jc w:val="center"/>
              <w:rPr>
                <w:rFonts w:ascii="Arial Narrow" w:eastAsia="Times New Roman" w:hAnsi="Arial Narrow" w:cs="Calibri"/>
                <w:b/>
                <w:bCs/>
                <w:color w:val="000000"/>
                <w:sz w:val="20"/>
                <w:szCs w:val="20"/>
                <w:lang w:eastAsia="es-CO"/>
              </w:rPr>
            </w:pPr>
            <w:r w:rsidRPr="00622654">
              <w:rPr>
                <w:rFonts w:ascii="Arial Narrow" w:eastAsia="Times New Roman" w:hAnsi="Arial Narrow" w:cs="Calibri"/>
                <w:b/>
                <w:bCs/>
                <w:color w:val="000000"/>
                <w:sz w:val="20"/>
                <w:szCs w:val="20"/>
                <w:lang w:eastAsia="es-CO"/>
              </w:rPr>
              <w:t>$ 25.818</w:t>
            </w:r>
            <w:r w:rsidR="00E026D2">
              <w:rPr>
                <w:rFonts w:ascii="Arial Narrow" w:eastAsia="Times New Roman" w:hAnsi="Arial Narrow" w:cs="Calibri"/>
                <w:b/>
                <w:bCs/>
                <w:color w:val="000000"/>
                <w:sz w:val="20"/>
                <w:szCs w:val="20"/>
                <w:lang w:eastAsia="es-CO"/>
              </w:rPr>
              <w:t>.537</w:t>
            </w:r>
          </w:p>
        </w:tc>
        <w:tc>
          <w:tcPr>
            <w:tcW w:w="2126" w:type="dxa"/>
            <w:tcBorders>
              <w:top w:val="nil"/>
              <w:left w:val="nil"/>
              <w:bottom w:val="single" w:sz="8" w:space="0" w:color="auto"/>
              <w:right w:val="single" w:sz="8" w:space="0" w:color="auto"/>
            </w:tcBorders>
            <w:shd w:val="clear" w:color="auto" w:fill="FFCC66"/>
            <w:vAlign w:val="center"/>
          </w:tcPr>
          <w:p w14:paraId="539BCC2A" w14:textId="3EDE5FB5" w:rsidR="001B2CA9" w:rsidRDefault="00622654" w:rsidP="002676DC">
            <w:pPr>
              <w:pStyle w:val="Sinespaciado"/>
              <w:jc w:val="center"/>
              <w:rPr>
                <w:rFonts w:ascii="Arial Narrow" w:eastAsia="Times New Roman" w:hAnsi="Arial Narrow" w:cs="Calibri"/>
                <w:b/>
                <w:bCs/>
                <w:color w:val="000000"/>
                <w:sz w:val="20"/>
                <w:szCs w:val="20"/>
                <w:lang w:eastAsia="es-CO"/>
              </w:rPr>
            </w:pPr>
            <w:r w:rsidRPr="00622654">
              <w:rPr>
                <w:rFonts w:ascii="Arial Narrow" w:eastAsia="Times New Roman" w:hAnsi="Arial Narrow" w:cs="Calibri"/>
                <w:b/>
                <w:bCs/>
                <w:color w:val="000000"/>
                <w:sz w:val="20"/>
                <w:szCs w:val="20"/>
                <w:lang w:eastAsia="es-CO"/>
              </w:rPr>
              <w:t>-$ 15.818.</w:t>
            </w:r>
            <w:r w:rsidR="00E026D2">
              <w:rPr>
                <w:rFonts w:ascii="Arial Narrow" w:eastAsia="Times New Roman" w:hAnsi="Arial Narrow" w:cs="Calibri"/>
                <w:b/>
                <w:bCs/>
                <w:color w:val="000000"/>
                <w:sz w:val="20"/>
                <w:szCs w:val="20"/>
                <w:lang w:eastAsia="es-CO"/>
              </w:rPr>
              <w:t>537</w:t>
            </w:r>
          </w:p>
        </w:tc>
      </w:tr>
      <w:tr w:rsidR="001B2CA9" w14:paraId="5820BDA2" w14:textId="77777777" w:rsidTr="00622654">
        <w:trPr>
          <w:trHeight w:val="510"/>
        </w:trPr>
        <w:tc>
          <w:tcPr>
            <w:tcW w:w="2684" w:type="dxa"/>
            <w:tcBorders>
              <w:top w:val="nil"/>
              <w:left w:val="single" w:sz="8" w:space="0" w:color="auto"/>
              <w:bottom w:val="single" w:sz="4" w:space="0" w:color="auto"/>
              <w:right w:val="single" w:sz="8" w:space="0" w:color="auto"/>
            </w:tcBorders>
            <w:vAlign w:val="center"/>
            <w:hideMark/>
          </w:tcPr>
          <w:p w14:paraId="7002A877" w14:textId="77777777" w:rsidR="001B2CA9" w:rsidRDefault="001B2CA9" w:rsidP="002676DC">
            <w:pPr>
              <w:pStyle w:val="Sinespaciado"/>
              <w:jc w:val="center"/>
              <w:rPr>
                <w:rFonts w:ascii="Arial Narrow" w:eastAsia="Times New Roman" w:hAnsi="Arial Narrow" w:cs="Calibri"/>
                <w:color w:val="000000"/>
                <w:sz w:val="20"/>
                <w:szCs w:val="20"/>
                <w:lang w:eastAsia="es-CO"/>
              </w:rPr>
            </w:pPr>
            <w:r>
              <w:rPr>
                <w:rFonts w:ascii="Arial Narrow" w:eastAsia="Times New Roman" w:hAnsi="Arial Narrow" w:cs="Calibri"/>
                <w:color w:val="000000"/>
                <w:sz w:val="20"/>
                <w:szCs w:val="20"/>
                <w:lang w:eastAsia="es-CO"/>
              </w:rPr>
              <w:t>Inspección, control y vigilancia financiera solidaria y de recursos públicos*</w:t>
            </w:r>
          </w:p>
        </w:tc>
        <w:tc>
          <w:tcPr>
            <w:tcW w:w="1984" w:type="dxa"/>
            <w:tcBorders>
              <w:top w:val="nil"/>
              <w:left w:val="nil"/>
              <w:bottom w:val="single" w:sz="4" w:space="0" w:color="auto"/>
              <w:right w:val="single" w:sz="8" w:space="0" w:color="auto"/>
            </w:tcBorders>
            <w:vAlign w:val="center"/>
          </w:tcPr>
          <w:p w14:paraId="3105E23B" w14:textId="5A1AC2CC" w:rsidR="001B2CA9" w:rsidRDefault="00622654" w:rsidP="002676DC">
            <w:pPr>
              <w:pStyle w:val="Sinespaciado"/>
              <w:jc w:val="center"/>
              <w:rPr>
                <w:rFonts w:ascii="Arial Narrow" w:eastAsia="Times New Roman" w:hAnsi="Arial Narrow" w:cs="Calibri"/>
                <w:b/>
                <w:bCs/>
                <w:color w:val="000000"/>
                <w:sz w:val="20"/>
                <w:szCs w:val="20"/>
                <w:lang w:eastAsia="es-CO"/>
              </w:rPr>
            </w:pPr>
            <w:r w:rsidRPr="00622654">
              <w:rPr>
                <w:rFonts w:ascii="Arial Narrow" w:eastAsia="Times New Roman" w:hAnsi="Arial Narrow" w:cs="Calibri"/>
                <w:b/>
                <w:bCs/>
                <w:color w:val="000000"/>
                <w:sz w:val="20"/>
                <w:szCs w:val="20"/>
                <w:lang w:eastAsia="es-CO"/>
              </w:rPr>
              <w:t>$ 4.418</w:t>
            </w:r>
            <w:r w:rsidR="00E026D2">
              <w:rPr>
                <w:rFonts w:ascii="Arial Narrow" w:eastAsia="Times New Roman" w:hAnsi="Arial Narrow" w:cs="Calibri"/>
                <w:b/>
                <w:bCs/>
                <w:color w:val="000000"/>
                <w:sz w:val="20"/>
                <w:szCs w:val="20"/>
                <w:lang w:eastAsia="es-CO"/>
              </w:rPr>
              <w:t>.048</w:t>
            </w:r>
          </w:p>
        </w:tc>
        <w:tc>
          <w:tcPr>
            <w:tcW w:w="2410" w:type="dxa"/>
            <w:tcBorders>
              <w:top w:val="nil"/>
              <w:left w:val="nil"/>
              <w:bottom w:val="single" w:sz="4" w:space="0" w:color="auto"/>
              <w:right w:val="single" w:sz="8" w:space="0" w:color="auto"/>
            </w:tcBorders>
            <w:vAlign w:val="center"/>
          </w:tcPr>
          <w:p w14:paraId="49C4B4CB" w14:textId="0B0359CF" w:rsidR="001B2CA9" w:rsidRDefault="00622654" w:rsidP="002676DC">
            <w:pPr>
              <w:pStyle w:val="Sinespaciado"/>
              <w:jc w:val="center"/>
              <w:rPr>
                <w:rFonts w:ascii="Arial Narrow" w:eastAsia="Times New Roman" w:hAnsi="Arial Narrow" w:cs="Calibri"/>
                <w:b/>
                <w:bCs/>
                <w:color w:val="000000"/>
                <w:sz w:val="20"/>
                <w:szCs w:val="20"/>
                <w:lang w:eastAsia="es-CO"/>
              </w:rPr>
            </w:pPr>
            <w:r w:rsidRPr="00622654">
              <w:rPr>
                <w:rFonts w:ascii="Arial Narrow" w:eastAsia="Times New Roman" w:hAnsi="Arial Narrow" w:cs="Calibri"/>
                <w:b/>
                <w:bCs/>
                <w:color w:val="000000"/>
                <w:sz w:val="20"/>
                <w:szCs w:val="20"/>
                <w:lang w:eastAsia="es-CO"/>
              </w:rPr>
              <w:t>$ 11.35</w:t>
            </w:r>
            <w:r w:rsidR="00E026D2">
              <w:rPr>
                <w:rFonts w:ascii="Arial Narrow" w:eastAsia="Times New Roman" w:hAnsi="Arial Narrow" w:cs="Calibri"/>
                <w:b/>
                <w:bCs/>
                <w:color w:val="000000"/>
                <w:sz w:val="20"/>
                <w:szCs w:val="20"/>
                <w:lang w:eastAsia="es-CO"/>
              </w:rPr>
              <w:t>2.406</w:t>
            </w:r>
          </w:p>
        </w:tc>
        <w:tc>
          <w:tcPr>
            <w:tcW w:w="2126" w:type="dxa"/>
            <w:tcBorders>
              <w:top w:val="nil"/>
              <w:left w:val="nil"/>
              <w:bottom w:val="single" w:sz="4" w:space="0" w:color="auto"/>
              <w:right w:val="single" w:sz="8" w:space="0" w:color="auto"/>
            </w:tcBorders>
            <w:vAlign w:val="center"/>
          </w:tcPr>
          <w:p w14:paraId="1A58B4E7" w14:textId="32620E23" w:rsidR="001B2CA9" w:rsidRDefault="00622654" w:rsidP="002676DC">
            <w:pPr>
              <w:pStyle w:val="Sinespaciado"/>
              <w:jc w:val="center"/>
              <w:rPr>
                <w:rFonts w:ascii="Arial Narrow" w:eastAsia="Times New Roman" w:hAnsi="Arial Narrow" w:cs="Calibri"/>
                <w:b/>
                <w:bCs/>
                <w:color w:val="000000"/>
                <w:sz w:val="20"/>
                <w:szCs w:val="20"/>
                <w:lang w:eastAsia="es-CO"/>
              </w:rPr>
            </w:pPr>
            <w:r w:rsidRPr="00622654">
              <w:rPr>
                <w:rFonts w:ascii="Arial Narrow" w:eastAsia="Times New Roman" w:hAnsi="Arial Narrow" w:cs="Calibri"/>
                <w:b/>
                <w:bCs/>
                <w:color w:val="000000"/>
                <w:sz w:val="20"/>
                <w:szCs w:val="20"/>
                <w:lang w:eastAsia="es-CO"/>
              </w:rPr>
              <w:t>-$ 6.938</w:t>
            </w:r>
            <w:r w:rsidR="00E026D2">
              <w:rPr>
                <w:rFonts w:ascii="Arial Narrow" w:eastAsia="Times New Roman" w:hAnsi="Arial Narrow" w:cs="Calibri"/>
                <w:b/>
                <w:bCs/>
                <w:color w:val="000000"/>
                <w:sz w:val="20"/>
                <w:szCs w:val="20"/>
                <w:lang w:eastAsia="es-CO"/>
              </w:rPr>
              <w:t>.777</w:t>
            </w:r>
          </w:p>
        </w:tc>
      </w:tr>
      <w:tr w:rsidR="001B2CA9" w14:paraId="72B7391B" w14:textId="77777777" w:rsidTr="00622654">
        <w:trPr>
          <w:trHeight w:val="510"/>
        </w:trPr>
        <w:tc>
          <w:tcPr>
            <w:tcW w:w="2684" w:type="dxa"/>
            <w:tcBorders>
              <w:top w:val="nil"/>
              <w:left w:val="single" w:sz="8" w:space="0" w:color="auto"/>
              <w:bottom w:val="single" w:sz="4" w:space="0" w:color="auto"/>
              <w:right w:val="single" w:sz="8" w:space="0" w:color="auto"/>
            </w:tcBorders>
            <w:vAlign w:val="center"/>
            <w:hideMark/>
          </w:tcPr>
          <w:p w14:paraId="7B17E722" w14:textId="77777777" w:rsidR="001B2CA9" w:rsidRDefault="001B2CA9" w:rsidP="002676DC">
            <w:pPr>
              <w:pStyle w:val="Sinespaciado"/>
              <w:jc w:val="center"/>
              <w:rPr>
                <w:rFonts w:ascii="Arial Narrow" w:eastAsia="Times New Roman" w:hAnsi="Arial Narrow" w:cs="Calibri"/>
                <w:color w:val="000000"/>
                <w:sz w:val="20"/>
                <w:szCs w:val="20"/>
                <w:lang w:eastAsia="es-CO"/>
              </w:rPr>
            </w:pPr>
            <w:r>
              <w:rPr>
                <w:rFonts w:ascii="Arial Narrow" w:eastAsia="Times New Roman" w:hAnsi="Arial Narrow" w:cs="Calibri"/>
                <w:color w:val="000000"/>
                <w:sz w:val="20"/>
                <w:szCs w:val="20"/>
                <w:lang w:eastAsia="es-CO"/>
              </w:rPr>
              <w:t>Fortalecimiento de la gestión y dirección del Sector Hacienda</w:t>
            </w:r>
          </w:p>
        </w:tc>
        <w:tc>
          <w:tcPr>
            <w:tcW w:w="1984" w:type="dxa"/>
            <w:tcBorders>
              <w:top w:val="nil"/>
              <w:left w:val="nil"/>
              <w:bottom w:val="single" w:sz="4" w:space="0" w:color="auto"/>
              <w:right w:val="single" w:sz="8" w:space="0" w:color="auto"/>
            </w:tcBorders>
            <w:vAlign w:val="center"/>
          </w:tcPr>
          <w:p w14:paraId="5F0B0A25" w14:textId="21B0AA88" w:rsidR="001B2CA9" w:rsidRDefault="00E026D2" w:rsidP="002676DC">
            <w:pPr>
              <w:pStyle w:val="Sinespaciado"/>
              <w:jc w:val="center"/>
              <w:rPr>
                <w:rFonts w:ascii="Arial Narrow" w:eastAsia="Times New Roman" w:hAnsi="Arial Narrow" w:cs="Calibri"/>
                <w:b/>
                <w:bCs/>
                <w:color w:val="000000"/>
                <w:sz w:val="20"/>
                <w:szCs w:val="20"/>
                <w:lang w:eastAsia="es-CO"/>
              </w:rPr>
            </w:pPr>
            <w:r>
              <w:rPr>
                <w:rFonts w:ascii="Arial Narrow" w:eastAsia="Times New Roman" w:hAnsi="Arial Narrow" w:cs="Calibri"/>
                <w:b/>
                <w:bCs/>
                <w:color w:val="000000"/>
                <w:sz w:val="20"/>
                <w:szCs w:val="20"/>
                <w:lang w:eastAsia="es-CO"/>
              </w:rPr>
              <w:t>$5.581.952</w:t>
            </w:r>
          </w:p>
        </w:tc>
        <w:tc>
          <w:tcPr>
            <w:tcW w:w="2410" w:type="dxa"/>
            <w:tcBorders>
              <w:top w:val="nil"/>
              <w:left w:val="nil"/>
              <w:bottom w:val="single" w:sz="4" w:space="0" w:color="auto"/>
              <w:right w:val="single" w:sz="8" w:space="0" w:color="auto"/>
            </w:tcBorders>
            <w:vAlign w:val="center"/>
          </w:tcPr>
          <w:p w14:paraId="459124F4" w14:textId="6B51CFAC" w:rsidR="001B2CA9" w:rsidRDefault="00E026D2" w:rsidP="002676DC">
            <w:pPr>
              <w:pStyle w:val="Sinespaciado"/>
              <w:jc w:val="center"/>
              <w:rPr>
                <w:rFonts w:ascii="Arial Narrow" w:eastAsia="Times New Roman" w:hAnsi="Arial Narrow" w:cs="Calibri"/>
                <w:b/>
                <w:bCs/>
                <w:color w:val="000000"/>
                <w:sz w:val="20"/>
                <w:szCs w:val="20"/>
                <w:lang w:eastAsia="es-CO"/>
              </w:rPr>
            </w:pPr>
            <w:r>
              <w:rPr>
                <w:rFonts w:ascii="Arial Narrow" w:eastAsia="Times New Roman" w:hAnsi="Arial Narrow" w:cs="Calibri"/>
                <w:b/>
                <w:bCs/>
                <w:color w:val="000000"/>
                <w:sz w:val="20"/>
                <w:szCs w:val="20"/>
                <w:lang w:eastAsia="es-CO"/>
              </w:rPr>
              <w:t>$14.461.713</w:t>
            </w:r>
          </w:p>
        </w:tc>
        <w:tc>
          <w:tcPr>
            <w:tcW w:w="2126" w:type="dxa"/>
            <w:tcBorders>
              <w:top w:val="nil"/>
              <w:left w:val="nil"/>
              <w:bottom w:val="single" w:sz="4" w:space="0" w:color="auto"/>
              <w:right w:val="single" w:sz="8" w:space="0" w:color="auto"/>
            </w:tcBorders>
            <w:vAlign w:val="center"/>
          </w:tcPr>
          <w:p w14:paraId="6C43739D" w14:textId="4EC7AB73" w:rsidR="001B2CA9" w:rsidRDefault="00E026D2" w:rsidP="002676DC">
            <w:pPr>
              <w:pStyle w:val="Sinespaciado"/>
              <w:jc w:val="center"/>
              <w:rPr>
                <w:rFonts w:ascii="Arial Narrow" w:eastAsia="Times New Roman" w:hAnsi="Arial Narrow" w:cs="Calibri"/>
                <w:b/>
                <w:bCs/>
                <w:color w:val="000000"/>
                <w:sz w:val="20"/>
                <w:szCs w:val="20"/>
                <w:lang w:eastAsia="es-CO"/>
              </w:rPr>
            </w:pPr>
            <w:r>
              <w:rPr>
                <w:rFonts w:ascii="Arial Narrow" w:eastAsia="Times New Roman" w:hAnsi="Arial Narrow" w:cs="Calibri"/>
                <w:b/>
                <w:bCs/>
                <w:color w:val="000000"/>
                <w:sz w:val="20"/>
                <w:szCs w:val="20"/>
                <w:lang w:eastAsia="es-CO"/>
              </w:rPr>
              <w:t>$8.879.760</w:t>
            </w:r>
          </w:p>
        </w:tc>
      </w:tr>
      <w:tr w:rsidR="00E026D2" w14:paraId="16CDBCEF" w14:textId="77777777" w:rsidTr="00622654">
        <w:trPr>
          <w:trHeight w:val="315"/>
        </w:trPr>
        <w:tc>
          <w:tcPr>
            <w:tcW w:w="2684" w:type="dxa"/>
            <w:tcBorders>
              <w:top w:val="single" w:sz="8" w:space="0" w:color="auto"/>
              <w:left w:val="single" w:sz="8" w:space="0" w:color="auto"/>
              <w:bottom w:val="single" w:sz="8" w:space="0" w:color="auto"/>
              <w:right w:val="single" w:sz="8" w:space="0" w:color="auto"/>
            </w:tcBorders>
            <w:shd w:val="clear" w:color="auto" w:fill="B18940"/>
            <w:vAlign w:val="center"/>
            <w:hideMark/>
          </w:tcPr>
          <w:p w14:paraId="05A7D0FB" w14:textId="77777777" w:rsidR="00E026D2" w:rsidRDefault="00E026D2" w:rsidP="002676DC">
            <w:pPr>
              <w:pStyle w:val="Sinespaciado"/>
              <w:jc w:val="center"/>
              <w:rPr>
                <w:rFonts w:ascii="Arial Narrow" w:eastAsia="Times New Roman" w:hAnsi="Arial Narrow" w:cs="Calibri"/>
                <w:b/>
                <w:bCs/>
                <w:color w:val="000000"/>
                <w:sz w:val="20"/>
                <w:szCs w:val="20"/>
                <w:lang w:eastAsia="es-CO"/>
              </w:rPr>
            </w:pPr>
            <w:r>
              <w:rPr>
                <w:rFonts w:ascii="Arial Narrow" w:eastAsia="Times New Roman" w:hAnsi="Arial Narrow" w:cs="Calibri"/>
                <w:b/>
                <w:bCs/>
                <w:color w:val="000000"/>
                <w:sz w:val="20"/>
                <w:szCs w:val="20"/>
                <w:lang w:eastAsia="es-CO"/>
              </w:rPr>
              <w:t>TOTAL</w:t>
            </w:r>
          </w:p>
        </w:tc>
        <w:tc>
          <w:tcPr>
            <w:tcW w:w="1984" w:type="dxa"/>
            <w:tcBorders>
              <w:top w:val="single" w:sz="8" w:space="0" w:color="auto"/>
              <w:left w:val="nil"/>
              <w:bottom w:val="single" w:sz="8" w:space="0" w:color="auto"/>
              <w:right w:val="single" w:sz="8" w:space="0" w:color="auto"/>
            </w:tcBorders>
            <w:shd w:val="clear" w:color="auto" w:fill="B18940"/>
            <w:vAlign w:val="center"/>
          </w:tcPr>
          <w:p w14:paraId="1208E2D6" w14:textId="4A538B12" w:rsidR="00E026D2" w:rsidRDefault="00E026D2" w:rsidP="002676DC">
            <w:pPr>
              <w:pStyle w:val="Sinespaciado"/>
              <w:jc w:val="center"/>
              <w:rPr>
                <w:rFonts w:ascii="Arial Narrow" w:eastAsia="Times New Roman" w:hAnsi="Arial Narrow" w:cs="Calibri"/>
                <w:b/>
                <w:bCs/>
                <w:color w:val="000000"/>
                <w:sz w:val="20"/>
                <w:szCs w:val="20"/>
                <w:lang w:eastAsia="es-CO"/>
              </w:rPr>
            </w:pPr>
            <w:r>
              <w:rPr>
                <w:rFonts w:ascii="Arial Narrow" w:eastAsia="Times New Roman" w:hAnsi="Arial Narrow" w:cs="Calibri"/>
                <w:b/>
                <w:bCs/>
                <w:color w:val="000000"/>
                <w:sz w:val="20"/>
                <w:szCs w:val="20"/>
                <w:lang w:eastAsia="es-CO"/>
              </w:rPr>
              <w:t>$10.000.000</w:t>
            </w:r>
          </w:p>
        </w:tc>
        <w:tc>
          <w:tcPr>
            <w:tcW w:w="2410" w:type="dxa"/>
            <w:tcBorders>
              <w:top w:val="single" w:sz="8" w:space="0" w:color="auto"/>
              <w:left w:val="nil"/>
              <w:bottom w:val="single" w:sz="8" w:space="0" w:color="auto"/>
              <w:right w:val="single" w:sz="8" w:space="0" w:color="auto"/>
            </w:tcBorders>
            <w:shd w:val="clear" w:color="auto" w:fill="B18940"/>
            <w:vAlign w:val="center"/>
          </w:tcPr>
          <w:p w14:paraId="79F2E150" w14:textId="020B0F6E" w:rsidR="00E026D2" w:rsidRDefault="00E026D2" w:rsidP="002676DC">
            <w:pPr>
              <w:pStyle w:val="Sinespaciado"/>
              <w:jc w:val="center"/>
              <w:rPr>
                <w:rFonts w:ascii="Arial Narrow" w:eastAsia="Times New Roman" w:hAnsi="Arial Narrow" w:cs="Calibri"/>
                <w:b/>
                <w:bCs/>
                <w:color w:val="000000"/>
                <w:sz w:val="20"/>
                <w:szCs w:val="20"/>
                <w:lang w:eastAsia="es-CO"/>
              </w:rPr>
            </w:pPr>
            <w:r w:rsidRPr="00622654">
              <w:rPr>
                <w:rFonts w:ascii="Arial Narrow" w:eastAsia="Times New Roman" w:hAnsi="Arial Narrow" w:cs="Calibri"/>
                <w:b/>
                <w:bCs/>
                <w:color w:val="000000"/>
                <w:sz w:val="20"/>
                <w:szCs w:val="20"/>
                <w:lang w:eastAsia="es-CO"/>
              </w:rPr>
              <w:t>$ 25.818</w:t>
            </w:r>
            <w:r>
              <w:rPr>
                <w:rFonts w:ascii="Arial Narrow" w:eastAsia="Times New Roman" w:hAnsi="Arial Narrow" w:cs="Calibri"/>
                <w:b/>
                <w:bCs/>
                <w:color w:val="000000"/>
                <w:sz w:val="20"/>
                <w:szCs w:val="20"/>
                <w:lang w:eastAsia="es-CO"/>
              </w:rPr>
              <w:t>.537</w:t>
            </w:r>
          </w:p>
        </w:tc>
        <w:tc>
          <w:tcPr>
            <w:tcW w:w="2126" w:type="dxa"/>
            <w:tcBorders>
              <w:top w:val="single" w:sz="8" w:space="0" w:color="auto"/>
              <w:left w:val="nil"/>
              <w:bottom w:val="single" w:sz="8" w:space="0" w:color="auto"/>
              <w:right w:val="single" w:sz="8" w:space="0" w:color="auto"/>
            </w:tcBorders>
            <w:shd w:val="clear" w:color="auto" w:fill="B18940"/>
            <w:vAlign w:val="center"/>
          </w:tcPr>
          <w:p w14:paraId="75BAB564" w14:textId="7D5B92EC" w:rsidR="00E026D2" w:rsidRDefault="00E026D2" w:rsidP="002676DC">
            <w:pPr>
              <w:pStyle w:val="Sinespaciado"/>
              <w:jc w:val="center"/>
              <w:rPr>
                <w:rFonts w:ascii="Arial Narrow" w:eastAsia="Times New Roman" w:hAnsi="Arial Narrow" w:cs="Calibri"/>
                <w:b/>
                <w:bCs/>
                <w:color w:val="000000"/>
                <w:sz w:val="20"/>
                <w:szCs w:val="20"/>
                <w:lang w:eastAsia="es-CO"/>
              </w:rPr>
            </w:pPr>
            <w:r w:rsidRPr="00622654">
              <w:rPr>
                <w:rFonts w:ascii="Arial Narrow" w:eastAsia="Times New Roman" w:hAnsi="Arial Narrow" w:cs="Calibri"/>
                <w:b/>
                <w:bCs/>
                <w:color w:val="000000"/>
                <w:sz w:val="20"/>
                <w:szCs w:val="20"/>
                <w:lang w:eastAsia="es-CO"/>
              </w:rPr>
              <w:t>-$ 15.818.</w:t>
            </w:r>
            <w:r>
              <w:rPr>
                <w:rFonts w:ascii="Arial Narrow" w:eastAsia="Times New Roman" w:hAnsi="Arial Narrow" w:cs="Calibri"/>
                <w:b/>
                <w:bCs/>
                <w:color w:val="000000"/>
                <w:sz w:val="20"/>
                <w:szCs w:val="20"/>
                <w:lang w:eastAsia="es-CO"/>
              </w:rPr>
              <w:t>537</w:t>
            </w:r>
          </w:p>
        </w:tc>
      </w:tr>
      <w:tr w:rsidR="00E026D2" w14:paraId="40935567" w14:textId="77777777" w:rsidTr="001B2CA9">
        <w:trPr>
          <w:trHeight w:val="300"/>
        </w:trPr>
        <w:tc>
          <w:tcPr>
            <w:tcW w:w="9204" w:type="dxa"/>
            <w:gridSpan w:val="4"/>
            <w:tcBorders>
              <w:top w:val="single" w:sz="8" w:space="0" w:color="auto"/>
              <w:left w:val="nil"/>
              <w:bottom w:val="nil"/>
              <w:right w:val="nil"/>
            </w:tcBorders>
            <w:hideMark/>
          </w:tcPr>
          <w:p w14:paraId="6DD5DD2F" w14:textId="594F1A19" w:rsidR="00E026D2" w:rsidRDefault="00E026D2" w:rsidP="002676DC">
            <w:pPr>
              <w:pStyle w:val="Sinespaciado"/>
              <w:jc w:val="center"/>
              <w:rPr>
                <w:rFonts w:ascii="Arial Narrow" w:eastAsia="Times New Roman" w:hAnsi="Arial Narrow" w:cs="Calibri"/>
                <w:color w:val="000000"/>
                <w:sz w:val="18"/>
                <w:szCs w:val="18"/>
                <w:lang w:eastAsia="es-CO"/>
              </w:rPr>
            </w:pPr>
            <w:r>
              <w:rPr>
                <w:rFonts w:ascii="Arial Narrow" w:eastAsia="Times New Roman" w:hAnsi="Arial Narrow" w:cs="Calibri"/>
                <w:color w:val="000000"/>
                <w:sz w:val="18"/>
                <w:szCs w:val="18"/>
                <w:lang w:eastAsia="es-CO"/>
              </w:rPr>
              <w:t>Fuente: Oficina Asesora de Planeación – Ministerio de Hacienda y Crédito Público – Documento sustantivo del Anteproyecto y Proyecto de Presupuesto General de la Nación del año 2025</w:t>
            </w:r>
          </w:p>
        </w:tc>
      </w:tr>
      <w:tr w:rsidR="00E026D2" w14:paraId="08D917BA" w14:textId="77777777" w:rsidTr="001B2CA9">
        <w:trPr>
          <w:trHeight w:val="570"/>
        </w:trPr>
        <w:tc>
          <w:tcPr>
            <w:tcW w:w="9204" w:type="dxa"/>
            <w:gridSpan w:val="4"/>
            <w:hideMark/>
          </w:tcPr>
          <w:p w14:paraId="6F4017AC" w14:textId="77777777" w:rsidR="00E026D2" w:rsidRDefault="00E026D2" w:rsidP="009A131A">
            <w:pPr>
              <w:pStyle w:val="Sinespaciado"/>
              <w:jc w:val="both"/>
              <w:rPr>
                <w:rFonts w:ascii="Arial Narrow" w:eastAsia="Times New Roman" w:hAnsi="Arial Narrow" w:cs="Calibri"/>
                <w:color w:val="000000"/>
                <w:sz w:val="18"/>
                <w:szCs w:val="18"/>
                <w:lang w:eastAsia="es-CO"/>
              </w:rPr>
            </w:pPr>
            <w:r>
              <w:rPr>
                <w:rFonts w:ascii="Arial Narrow" w:eastAsia="Times New Roman" w:hAnsi="Arial Narrow" w:cs="Calibri"/>
                <w:color w:val="000000"/>
                <w:sz w:val="18"/>
                <w:szCs w:val="18"/>
                <w:lang w:eastAsia="es-CO"/>
              </w:rPr>
              <w:t xml:space="preserve">* Incluye recursos para las unidades ejecutoras: Unidad Especial Agencia del Inspector General de Tributos, Rentas Contribuciones Parafiscales (ITRC) y Unidad de Proyección Normativa y Estudios de </w:t>
            </w:r>
            <w:r w:rsidRPr="002676DC">
              <w:rPr>
                <w:rFonts w:ascii="Verdana" w:eastAsia="Times New Roman" w:hAnsi="Verdana" w:cs="Calibri"/>
                <w:color w:val="000000"/>
                <w:sz w:val="18"/>
                <w:szCs w:val="18"/>
                <w:lang w:eastAsia="es-CO"/>
              </w:rPr>
              <w:t>Regulación</w:t>
            </w:r>
            <w:r>
              <w:rPr>
                <w:rFonts w:ascii="Arial Narrow" w:eastAsia="Times New Roman" w:hAnsi="Arial Narrow" w:cs="Calibri"/>
                <w:color w:val="000000"/>
                <w:sz w:val="18"/>
                <w:szCs w:val="18"/>
                <w:lang w:eastAsia="es-CO"/>
              </w:rPr>
              <w:t xml:space="preserve"> Financiera (URF).</w:t>
            </w:r>
          </w:p>
        </w:tc>
      </w:tr>
      <w:tr w:rsidR="00E026D2" w14:paraId="5DEFAC58" w14:textId="77777777" w:rsidTr="001B2CA9">
        <w:trPr>
          <w:trHeight w:val="570"/>
        </w:trPr>
        <w:tc>
          <w:tcPr>
            <w:tcW w:w="9204" w:type="dxa"/>
            <w:gridSpan w:val="4"/>
            <w:hideMark/>
          </w:tcPr>
          <w:p w14:paraId="0B6FDFF7" w14:textId="77777777" w:rsidR="00E026D2" w:rsidRDefault="00E026D2" w:rsidP="009A131A">
            <w:pPr>
              <w:pStyle w:val="Sinespaciado"/>
              <w:jc w:val="both"/>
              <w:rPr>
                <w:rFonts w:ascii="Arial Narrow" w:eastAsia="Times New Roman" w:hAnsi="Arial Narrow" w:cs="Calibri"/>
                <w:color w:val="000000"/>
                <w:sz w:val="18"/>
                <w:szCs w:val="18"/>
                <w:lang w:eastAsia="es-CO"/>
              </w:rPr>
            </w:pPr>
            <w:r>
              <w:rPr>
                <w:rFonts w:ascii="Arial Narrow" w:eastAsia="Times New Roman" w:hAnsi="Arial Narrow" w:cs="Calibri"/>
                <w:color w:val="000000"/>
                <w:sz w:val="18"/>
                <w:szCs w:val="18"/>
                <w:lang w:eastAsia="es-CO"/>
              </w:rPr>
              <w:t>** En las necesidades presupuestales no se incluye el rubro “Otros Gastos Personales – Distribución Previo Concepto DGPPN”, para financiar el valor del incremento salarial decretado por el Gobierno Nacional para las entidades del Presupuesto General de la Nación.</w:t>
            </w:r>
          </w:p>
        </w:tc>
      </w:tr>
      <w:tr w:rsidR="00E026D2" w14:paraId="592F5BB7" w14:textId="77777777" w:rsidTr="001B2CA9">
        <w:trPr>
          <w:trHeight w:val="495"/>
        </w:trPr>
        <w:tc>
          <w:tcPr>
            <w:tcW w:w="9204" w:type="dxa"/>
            <w:gridSpan w:val="4"/>
            <w:hideMark/>
          </w:tcPr>
          <w:p w14:paraId="4EB38CDA" w14:textId="645157AD" w:rsidR="00E026D2" w:rsidRDefault="00E026D2" w:rsidP="009A131A">
            <w:pPr>
              <w:pStyle w:val="Sinespaciado"/>
              <w:jc w:val="both"/>
              <w:rPr>
                <w:rFonts w:ascii="Arial Narrow" w:eastAsia="Times New Roman" w:hAnsi="Arial Narrow" w:cs="Calibri"/>
                <w:color w:val="000000"/>
                <w:sz w:val="18"/>
                <w:szCs w:val="18"/>
                <w:lang w:eastAsia="es-CO"/>
              </w:rPr>
            </w:pPr>
            <w:r>
              <w:rPr>
                <w:rFonts w:ascii="Arial Narrow" w:eastAsia="Times New Roman" w:hAnsi="Arial Narrow" w:cs="Calibri"/>
                <w:color w:val="000000"/>
                <w:sz w:val="18"/>
                <w:szCs w:val="18"/>
                <w:lang w:eastAsia="es-CO"/>
              </w:rPr>
              <w:t>*** En las necesidades presupuestales no se incluye el Proyecto “Apoyo a Proyectos de Inversión a Nivel Nacional – Distribución Previo Concepto DNP”, para atender contingencias del estado.</w:t>
            </w:r>
          </w:p>
        </w:tc>
      </w:tr>
    </w:tbl>
    <w:p w14:paraId="0A374F4E" w14:textId="5959CDEB" w:rsidR="00BD2E6D" w:rsidRPr="002676DC" w:rsidRDefault="001B2CA9" w:rsidP="002676DC">
      <w:pPr>
        <w:pStyle w:val="Cierre"/>
        <w:spacing w:before="100" w:beforeAutospacing="1" w:after="100" w:afterAutospacing="1"/>
        <w:ind w:left="1080"/>
        <w:contextualSpacing/>
        <w:jc w:val="both"/>
        <w:rPr>
          <w:rFonts w:ascii="Arial" w:eastAsia="Arial" w:hAnsi="Arial" w:cs="Arial"/>
          <w:sz w:val="22"/>
          <w:szCs w:val="22"/>
        </w:rPr>
      </w:pPr>
      <w:r>
        <w:fldChar w:fldCharType="end"/>
      </w:r>
      <w:r w:rsidR="00622654" w:rsidRPr="002676DC">
        <w:rPr>
          <w:rFonts w:ascii="Arial" w:eastAsia="Arial" w:hAnsi="Arial" w:cs="Arial"/>
          <w:sz w:val="22"/>
          <w:szCs w:val="22"/>
        </w:rPr>
        <w:t>Lo anterior</w:t>
      </w:r>
      <w:r w:rsidR="009C594B" w:rsidRPr="002676DC">
        <w:rPr>
          <w:rFonts w:ascii="Arial" w:eastAsia="Arial" w:hAnsi="Arial" w:cs="Arial"/>
          <w:sz w:val="22"/>
          <w:szCs w:val="22"/>
        </w:rPr>
        <w:t xml:space="preserve"> </w:t>
      </w:r>
      <w:r w:rsidR="00622654" w:rsidRPr="002676DC">
        <w:rPr>
          <w:rFonts w:ascii="Arial" w:eastAsia="Arial" w:hAnsi="Arial" w:cs="Arial"/>
          <w:sz w:val="22"/>
          <w:szCs w:val="22"/>
        </w:rPr>
        <w:t>es necesario para garantizar la continuidad de las estrategias de fortalecimiento de la supervisión preventiva con presencial atención en las zonas que hacen parte de los Programas de Desarrollo con Enfoque Territorial (PDET)</w:t>
      </w:r>
      <w:r w:rsidR="009C594B" w:rsidRPr="002676DC">
        <w:rPr>
          <w:rFonts w:ascii="Arial" w:eastAsia="Arial" w:hAnsi="Arial" w:cs="Arial"/>
          <w:sz w:val="22"/>
          <w:szCs w:val="22"/>
        </w:rPr>
        <w:t>. También asegura</w:t>
      </w:r>
      <w:r w:rsidR="00622654" w:rsidRPr="002676DC">
        <w:rPr>
          <w:rFonts w:ascii="Arial" w:eastAsia="Arial" w:hAnsi="Arial" w:cs="Arial"/>
          <w:sz w:val="22"/>
          <w:szCs w:val="22"/>
        </w:rPr>
        <w:t xml:space="preserve"> la continuidad de los proyectos de transformación digital</w:t>
      </w:r>
      <w:r w:rsidR="009C594B" w:rsidRPr="002676DC">
        <w:rPr>
          <w:rFonts w:ascii="Arial" w:eastAsia="Arial" w:hAnsi="Arial" w:cs="Arial"/>
          <w:sz w:val="22"/>
          <w:szCs w:val="22"/>
        </w:rPr>
        <w:t>,</w:t>
      </w:r>
      <w:r w:rsidR="00622654" w:rsidRPr="002676DC">
        <w:rPr>
          <w:rFonts w:ascii="Arial" w:eastAsia="Arial" w:hAnsi="Arial" w:cs="Arial"/>
          <w:sz w:val="22"/>
          <w:szCs w:val="22"/>
        </w:rPr>
        <w:t xml:space="preserve"> que contemplan el fortalecimiento del uso de herramientas de inteligencia artificial y procesamiento de datos a través del Grupo de Analítica de Datos</w:t>
      </w:r>
      <w:r w:rsidR="009C594B" w:rsidRPr="002676DC">
        <w:rPr>
          <w:rFonts w:ascii="Arial" w:eastAsia="Arial" w:hAnsi="Arial" w:cs="Arial"/>
          <w:sz w:val="22"/>
          <w:szCs w:val="22"/>
        </w:rPr>
        <w:t xml:space="preserve">. Además, posibilita </w:t>
      </w:r>
      <w:r w:rsidR="00622654" w:rsidRPr="002676DC">
        <w:rPr>
          <w:rFonts w:ascii="Arial" w:eastAsia="Arial" w:hAnsi="Arial" w:cs="Arial"/>
          <w:sz w:val="22"/>
          <w:szCs w:val="22"/>
        </w:rPr>
        <w:t>la implementación de un nuevo sistema de información que permita la sistematización del proceso de supervisión de principio a fin y</w:t>
      </w:r>
      <w:r w:rsidR="009C594B" w:rsidRPr="002676DC">
        <w:rPr>
          <w:rFonts w:ascii="Arial" w:eastAsia="Arial" w:hAnsi="Arial" w:cs="Arial"/>
          <w:sz w:val="22"/>
          <w:szCs w:val="22"/>
        </w:rPr>
        <w:t xml:space="preserve">, </w:t>
      </w:r>
      <w:r w:rsidR="00622654" w:rsidRPr="002676DC">
        <w:rPr>
          <w:rFonts w:ascii="Arial" w:eastAsia="Arial" w:hAnsi="Arial" w:cs="Arial"/>
          <w:sz w:val="22"/>
          <w:szCs w:val="22"/>
        </w:rPr>
        <w:t xml:space="preserve">finalmente, el fortalecimiento institucional que </w:t>
      </w:r>
      <w:r w:rsidR="009C594B" w:rsidRPr="002676DC">
        <w:rPr>
          <w:rFonts w:ascii="Arial" w:eastAsia="Arial" w:hAnsi="Arial" w:cs="Arial"/>
          <w:sz w:val="22"/>
          <w:szCs w:val="22"/>
        </w:rPr>
        <w:t xml:space="preserve">asegura </w:t>
      </w:r>
      <w:r w:rsidR="00622654" w:rsidRPr="002676DC">
        <w:rPr>
          <w:rFonts w:ascii="Arial" w:eastAsia="Arial" w:hAnsi="Arial" w:cs="Arial"/>
          <w:sz w:val="22"/>
          <w:szCs w:val="22"/>
        </w:rPr>
        <w:t xml:space="preserve">la continuidad de </w:t>
      </w:r>
      <w:r w:rsidR="00E026D2" w:rsidRPr="002676DC">
        <w:rPr>
          <w:rFonts w:ascii="Arial" w:eastAsia="Arial" w:hAnsi="Arial" w:cs="Arial"/>
          <w:sz w:val="22"/>
          <w:szCs w:val="22"/>
        </w:rPr>
        <w:t xml:space="preserve">estrategias </w:t>
      </w:r>
      <w:r w:rsidR="00622654" w:rsidRPr="002676DC">
        <w:rPr>
          <w:rFonts w:ascii="Arial" w:eastAsia="Arial" w:hAnsi="Arial" w:cs="Arial"/>
          <w:sz w:val="22"/>
          <w:szCs w:val="22"/>
        </w:rPr>
        <w:t xml:space="preserve">como la Ruta Solidaria por la </w:t>
      </w:r>
      <w:r w:rsidR="009C594B" w:rsidRPr="002676DC">
        <w:rPr>
          <w:rFonts w:ascii="Arial" w:eastAsia="Arial" w:hAnsi="Arial" w:cs="Arial"/>
          <w:sz w:val="22"/>
          <w:szCs w:val="22"/>
        </w:rPr>
        <w:t>P</w:t>
      </w:r>
      <w:r w:rsidR="00622654" w:rsidRPr="002676DC">
        <w:rPr>
          <w:rFonts w:ascii="Arial" w:eastAsia="Arial" w:hAnsi="Arial" w:cs="Arial"/>
          <w:sz w:val="22"/>
          <w:szCs w:val="22"/>
        </w:rPr>
        <w:t>az</w:t>
      </w:r>
      <w:r w:rsidR="002676DC">
        <w:rPr>
          <w:rFonts w:ascii="Arial" w:eastAsia="Arial" w:hAnsi="Arial" w:cs="Arial"/>
          <w:sz w:val="22"/>
          <w:szCs w:val="22"/>
        </w:rPr>
        <w:t xml:space="preserve">. </w:t>
      </w:r>
    </w:p>
    <w:p w14:paraId="3EE1D330" w14:textId="77777777" w:rsidR="00E026D2" w:rsidRDefault="00E026D2" w:rsidP="00E026D2">
      <w:pPr>
        <w:pStyle w:val="Cierre"/>
        <w:spacing w:before="100" w:beforeAutospacing="1" w:after="100" w:afterAutospacing="1"/>
        <w:ind w:left="1080"/>
        <w:contextualSpacing/>
        <w:jc w:val="both"/>
        <w:rPr>
          <w:rFonts w:ascii="Arial" w:eastAsia="Arial" w:hAnsi="Arial" w:cs="Arial"/>
        </w:rPr>
      </w:pPr>
    </w:p>
    <w:p w14:paraId="2C58E355" w14:textId="2098A0BE" w:rsidR="00BE54BC" w:rsidRPr="004B5423" w:rsidRDefault="004B5423" w:rsidP="00B31141">
      <w:pPr>
        <w:pStyle w:val="Cierre"/>
        <w:numPr>
          <w:ilvl w:val="0"/>
          <w:numId w:val="43"/>
        </w:numPr>
        <w:spacing w:before="100" w:beforeAutospacing="1" w:after="100" w:afterAutospacing="1"/>
        <w:contextualSpacing/>
        <w:jc w:val="both"/>
        <w:rPr>
          <w:rFonts w:ascii="Verdana" w:hAnsi="Verdana" w:cs="Arial"/>
          <w:b/>
          <w:sz w:val="22"/>
          <w:szCs w:val="22"/>
        </w:rPr>
      </w:pPr>
      <w:r>
        <w:rPr>
          <w:rFonts w:ascii="Verdana" w:hAnsi="Verdana" w:cs="Arial"/>
          <w:b/>
          <w:sz w:val="22"/>
          <w:szCs w:val="22"/>
        </w:rPr>
        <w:t>Sírvase informar la</w:t>
      </w:r>
      <w:r w:rsidR="00BE54BC" w:rsidRPr="004B5423">
        <w:rPr>
          <w:rFonts w:ascii="Verdana" w:hAnsi="Verdana" w:cs="Arial"/>
          <w:b/>
          <w:sz w:val="22"/>
          <w:szCs w:val="22"/>
        </w:rPr>
        <w:t xml:space="preserve"> ejecución presupuestal y resultados misionales de los años 202</w:t>
      </w:r>
      <w:r>
        <w:rPr>
          <w:rFonts w:ascii="Verdana" w:hAnsi="Verdana" w:cs="Arial"/>
          <w:b/>
          <w:sz w:val="22"/>
          <w:szCs w:val="22"/>
        </w:rPr>
        <w:t>3</w:t>
      </w:r>
      <w:r w:rsidR="00BE54BC" w:rsidRPr="004B5423">
        <w:rPr>
          <w:rFonts w:ascii="Verdana" w:hAnsi="Verdana" w:cs="Arial"/>
          <w:b/>
          <w:sz w:val="22"/>
          <w:szCs w:val="22"/>
        </w:rPr>
        <w:t xml:space="preserve"> y lo que va corrido del año 202</w:t>
      </w:r>
      <w:r>
        <w:rPr>
          <w:rFonts w:ascii="Verdana" w:hAnsi="Verdana" w:cs="Arial"/>
          <w:b/>
          <w:sz w:val="22"/>
          <w:szCs w:val="22"/>
        </w:rPr>
        <w:t>4, p</w:t>
      </w:r>
      <w:r w:rsidR="00BE54BC" w:rsidRPr="004B5423">
        <w:rPr>
          <w:rFonts w:ascii="Verdana" w:hAnsi="Verdana" w:cs="Arial"/>
          <w:b/>
          <w:sz w:val="22"/>
          <w:szCs w:val="22"/>
        </w:rPr>
        <w:t>or componentes y principales rubros presupuestales o programas, de</w:t>
      </w:r>
      <w:r>
        <w:rPr>
          <w:rFonts w:ascii="Verdana" w:hAnsi="Verdana" w:cs="Arial"/>
          <w:b/>
          <w:sz w:val="22"/>
          <w:szCs w:val="22"/>
        </w:rPr>
        <w:t xml:space="preserve"> cada una de las </w:t>
      </w:r>
      <w:r w:rsidR="00BE54BC" w:rsidRPr="004B5423">
        <w:rPr>
          <w:rFonts w:ascii="Verdana" w:hAnsi="Verdana" w:cs="Arial"/>
          <w:b/>
          <w:sz w:val="22"/>
          <w:szCs w:val="22"/>
        </w:rPr>
        <w:t xml:space="preserve">entidades </w:t>
      </w:r>
      <w:r>
        <w:rPr>
          <w:rFonts w:ascii="Verdana" w:hAnsi="Verdana" w:cs="Arial"/>
          <w:b/>
          <w:sz w:val="22"/>
          <w:szCs w:val="22"/>
        </w:rPr>
        <w:t>que Usted dirige</w:t>
      </w:r>
      <w:r w:rsidR="00BE54BC" w:rsidRPr="004B5423">
        <w:rPr>
          <w:rFonts w:ascii="Verdana" w:hAnsi="Verdana" w:cs="Arial"/>
          <w:b/>
          <w:sz w:val="22"/>
          <w:szCs w:val="22"/>
        </w:rPr>
        <w:t xml:space="preserve"> (por componentes de funcionamiento e inversión los rubros más importantes)</w:t>
      </w:r>
    </w:p>
    <w:p w14:paraId="081AF08C" w14:textId="77777777" w:rsidR="00BB4E9D" w:rsidRPr="00CA15ED" w:rsidRDefault="00BB4E9D" w:rsidP="00BB4E9D">
      <w:pPr>
        <w:jc w:val="both"/>
        <w:rPr>
          <w:rFonts w:ascii="Verdana" w:hAnsi="Verdana" w:cs="Arial"/>
          <w:bCs/>
        </w:rPr>
      </w:pPr>
      <w:bookmarkStart w:id="2" w:name="_Hlk143788008"/>
      <w:r w:rsidRPr="00CA15ED">
        <w:rPr>
          <w:rFonts w:ascii="Verdana" w:hAnsi="Verdana" w:cs="Arial"/>
          <w:bCs/>
        </w:rPr>
        <w:t>A continuación, se presenta la información correspondiente a</w:t>
      </w:r>
      <w:r>
        <w:rPr>
          <w:rFonts w:ascii="Verdana" w:hAnsi="Verdana" w:cs="Arial"/>
          <w:bCs/>
        </w:rPr>
        <w:t xml:space="preserve"> la Superintendencia de Economía Solidaria</w:t>
      </w:r>
      <w:r w:rsidRPr="00CA15ED">
        <w:rPr>
          <w:rFonts w:ascii="Verdana" w:hAnsi="Verdana" w:cs="Arial"/>
          <w:bCs/>
        </w:rPr>
        <w:t xml:space="preserve">: </w:t>
      </w:r>
    </w:p>
    <w:p w14:paraId="0C8AF052" w14:textId="77777777" w:rsidR="00BB4E9D" w:rsidRDefault="00BB4E9D" w:rsidP="00BB4E9D">
      <w:pPr>
        <w:rPr>
          <w:rFonts w:ascii="Verdana" w:hAnsi="Verdana" w:cs="Arial"/>
          <w:b/>
          <w:u w:val="single"/>
        </w:rPr>
      </w:pPr>
    </w:p>
    <w:p w14:paraId="3FED9540" w14:textId="77777777" w:rsidR="00582424" w:rsidRDefault="00582424" w:rsidP="00BB4E9D">
      <w:pPr>
        <w:rPr>
          <w:rFonts w:ascii="Verdana" w:hAnsi="Verdana" w:cs="Arial"/>
          <w:b/>
          <w:u w:val="single"/>
        </w:rPr>
      </w:pPr>
    </w:p>
    <w:p w14:paraId="49323BE0" w14:textId="77777777" w:rsidR="00BB4E9D" w:rsidRPr="00803254" w:rsidRDefault="00BB4E9D" w:rsidP="00BB4E9D">
      <w:pPr>
        <w:rPr>
          <w:rFonts w:ascii="Verdana" w:hAnsi="Verdana" w:cs="Arial"/>
          <w:b/>
          <w:u w:val="single"/>
        </w:rPr>
      </w:pPr>
      <w:r w:rsidRPr="00803254">
        <w:rPr>
          <w:rFonts w:ascii="Verdana" w:hAnsi="Verdana" w:cs="Arial"/>
          <w:b/>
          <w:u w:val="single"/>
        </w:rPr>
        <w:lastRenderedPageBreak/>
        <w:t>Año 202</w:t>
      </w:r>
      <w:r>
        <w:rPr>
          <w:rFonts w:ascii="Verdana" w:hAnsi="Verdana" w:cs="Arial"/>
          <w:b/>
          <w:u w:val="single"/>
        </w:rPr>
        <w:t>3</w:t>
      </w:r>
      <w:r w:rsidRPr="00803254">
        <w:rPr>
          <w:rFonts w:ascii="Verdana" w:hAnsi="Verdana" w:cs="Arial"/>
          <w:b/>
          <w:u w:val="single"/>
        </w:rPr>
        <w:t>:</w:t>
      </w:r>
    </w:p>
    <w:p w14:paraId="272FE229" w14:textId="77777777" w:rsidR="00BB4E9D" w:rsidRDefault="00BB4E9D" w:rsidP="00BB4E9D">
      <w:pPr>
        <w:spacing w:before="100" w:beforeAutospacing="1" w:after="100" w:afterAutospacing="1"/>
        <w:contextualSpacing/>
        <w:jc w:val="center"/>
        <w:rPr>
          <w:rFonts w:ascii="Verdana" w:hAnsi="Verdana" w:cs="Arial"/>
          <w:b/>
        </w:rPr>
      </w:pPr>
    </w:p>
    <w:p w14:paraId="7303F3F1" w14:textId="77777777" w:rsidR="00BB4E9D" w:rsidRDefault="00BB4E9D" w:rsidP="00BB4E9D">
      <w:pPr>
        <w:spacing w:before="100" w:beforeAutospacing="1" w:after="100" w:afterAutospacing="1"/>
        <w:contextualSpacing/>
        <w:jc w:val="center"/>
        <w:rPr>
          <w:rFonts w:ascii="Verdana" w:hAnsi="Verdana" w:cs="Arial"/>
          <w:b/>
        </w:rPr>
      </w:pPr>
      <w:r w:rsidRPr="00803254">
        <w:rPr>
          <w:rFonts w:ascii="Verdana" w:hAnsi="Verdana" w:cs="Arial"/>
          <w:b/>
        </w:rPr>
        <w:t xml:space="preserve">EJECUCIÓN PRESUPUESTAL </w:t>
      </w:r>
    </w:p>
    <w:p w14:paraId="79B25577" w14:textId="77777777" w:rsidR="00BB4E9D" w:rsidRPr="00803254" w:rsidRDefault="00BB4E9D" w:rsidP="00BB4E9D">
      <w:pPr>
        <w:spacing w:before="100" w:beforeAutospacing="1" w:after="100" w:afterAutospacing="1"/>
        <w:contextualSpacing/>
        <w:jc w:val="center"/>
        <w:rPr>
          <w:rFonts w:ascii="Verdana" w:hAnsi="Verdana" w:cs="Arial"/>
          <w:b/>
        </w:rPr>
      </w:pPr>
      <w:r w:rsidRPr="00397B55">
        <w:rPr>
          <w:rFonts w:ascii="Verdana" w:hAnsi="Verdana" w:cs="Arial"/>
          <w:b/>
        </w:rPr>
        <w:t xml:space="preserve">SUPERINTENDENCIA DE ECONOMÍA SOLIDARIA </w:t>
      </w:r>
    </w:p>
    <w:p w14:paraId="4985AC3E" w14:textId="77777777" w:rsidR="00BB4E9D" w:rsidRDefault="00BB4E9D" w:rsidP="00BB4E9D">
      <w:pPr>
        <w:spacing w:before="100" w:beforeAutospacing="1" w:after="100" w:afterAutospacing="1"/>
        <w:contextualSpacing/>
        <w:jc w:val="center"/>
        <w:rPr>
          <w:rFonts w:ascii="Verdana" w:hAnsi="Verdana" w:cs="Arial"/>
        </w:rPr>
      </w:pPr>
      <w:r w:rsidRPr="00803254">
        <w:rPr>
          <w:rFonts w:ascii="Verdana" w:hAnsi="Verdana" w:cs="Arial"/>
          <w:b/>
        </w:rPr>
        <w:t>AÑO 202</w:t>
      </w:r>
      <w:r>
        <w:rPr>
          <w:rFonts w:ascii="Verdana" w:hAnsi="Verdana" w:cs="Arial"/>
          <w:b/>
        </w:rPr>
        <w:t>3</w:t>
      </w:r>
      <w:r w:rsidRPr="00803254">
        <w:rPr>
          <w:rFonts w:ascii="Verdana" w:hAnsi="Verdana" w:cs="Arial"/>
          <w:b/>
        </w:rPr>
        <w:t xml:space="preserve"> (</w:t>
      </w:r>
      <w:r>
        <w:rPr>
          <w:rFonts w:ascii="Verdana" w:hAnsi="Verdana" w:cs="Arial"/>
          <w:b/>
        </w:rPr>
        <w:t>diciembre</w:t>
      </w:r>
      <w:r w:rsidRPr="00803254">
        <w:rPr>
          <w:rFonts w:ascii="Verdana" w:hAnsi="Verdana" w:cs="Arial"/>
          <w:b/>
        </w:rPr>
        <w:t>)</w:t>
      </w:r>
      <w:r w:rsidRPr="00803254">
        <w:rPr>
          <w:rFonts w:ascii="Verdana" w:hAnsi="Verdana" w:cs="Arial"/>
        </w:rPr>
        <w:tab/>
      </w:r>
    </w:p>
    <w:p w14:paraId="282DA3A9" w14:textId="77777777" w:rsidR="00BB4E9D" w:rsidRDefault="00BB4E9D" w:rsidP="00BB4E9D">
      <w:pPr>
        <w:spacing w:before="100" w:beforeAutospacing="1" w:after="100" w:afterAutospacing="1"/>
        <w:contextualSpacing/>
        <w:jc w:val="center"/>
        <w:rPr>
          <w:rFonts w:ascii="Verdana" w:hAnsi="Verdana" w:cs="Arial"/>
        </w:rPr>
      </w:pPr>
    </w:p>
    <w:p w14:paraId="79EC5BC3" w14:textId="77777777" w:rsidR="00BB4E9D" w:rsidRDefault="00BB4E9D" w:rsidP="00BB4E9D">
      <w:pPr>
        <w:spacing w:before="100" w:beforeAutospacing="1" w:after="100" w:afterAutospacing="1"/>
        <w:contextualSpacing/>
        <w:jc w:val="center"/>
        <w:rPr>
          <w:rFonts w:ascii="Verdana" w:hAnsi="Verdana" w:cs="Arial"/>
        </w:rPr>
      </w:pPr>
      <w:r w:rsidRPr="00A91BB8">
        <w:rPr>
          <w:noProof/>
          <w:lang w:eastAsia="es-CO"/>
        </w:rPr>
        <w:drawing>
          <wp:inline distT="0" distB="0" distL="0" distR="0" wp14:anchorId="215A7D15" wp14:editId="277D41F5">
            <wp:extent cx="6315075" cy="5295900"/>
            <wp:effectExtent l="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22518" cy="5302142"/>
                    </a:xfrm>
                    <a:prstGeom prst="rect">
                      <a:avLst/>
                    </a:prstGeom>
                    <a:noFill/>
                    <a:ln>
                      <a:noFill/>
                    </a:ln>
                  </pic:spPr>
                </pic:pic>
              </a:graphicData>
            </a:graphic>
          </wp:inline>
        </w:drawing>
      </w:r>
    </w:p>
    <w:p w14:paraId="7B895214" w14:textId="77777777" w:rsidR="00BB4E9D" w:rsidRPr="00A91BB8" w:rsidRDefault="00BB4E9D" w:rsidP="00BB4E9D">
      <w:pPr>
        <w:spacing w:before="100" w:beforeAutospacing="1" w:after="100" w:afterAutospacing="1"/>
        <w:contextualSpacing/>
        <w:rPr>
          <w:rFonts w:ascii="Verdana" w:hAnsi="Verdana" w:cs="Arial"/>
          <w:sz w:val="14"/>
          <w:szCs w:val="16"/>
        </w:rPr>
      </w:pPr>
      <w:r w:rsidRPr="00A91BB8">
        <w:rPr>
          <w:rFonts w:ascii="Verdana" w:hAnsi="Verdana" w:cs="Arial"/>
          <w:sz w:val="14"/>
          <w:szCs w:val="16"/>
        </w:rPr>
        <w:t>Fuente: Reporte SIIF Nación con corte 31 de diciembre de 2023</w:t>
      </w:r>
    </w:p>
    <w:p w14:paraId="5E1ECE69" w14:textId="77777777" w:rsidR="00BB4E9D" w:rsidRDefault="00BB4E9D" w:rsidP="00BB4E9D">
      <w:pPr>
        <w:spacing w:before="100" w:beforeAutospacing="1" w:after="100" w:afterAutospacing="1"/>
        <w:contextualSpacing/>
        <w:rPr>
          <w:rFonts w:ascii="Verdana" w:hAnsi="Verdana" w:cs="Arial"/>
        </w:rPr>
      </w:pPr>
    </w:p>
    <w:p w14:paraId="5EE189CE" w14:textId="77777777" w:rsidR="00BB4E9D" w:rsidRPr="003C1F5D" w:rsidRDefault="00BB4E9D" w:rsidP="00BB4E9D">
      <w:pPr>
        <w:spacing w:before="100" w:beforeAutospacing="1" w:after="100" w:afterAutospacing="1"/>
        <w:contextualSpacing/>
        <w:jc w:val="right"/>
        <w:rPr>
          <w:rFonts w:ascii="Verdana" w:hAnsi="Verdana" w:cs="Arial"/>
          <w:sz w:val="16"/>
          <w:szCs w:val="16"/>
        </w:rPr>
      </w:pPr>
    </w:p>
    <w:p w14:paraId="0D7080C0" w14:textId="77777777" w:rsidR="00BB4E9D" w:rsidRPr="003C1F5D" w:rsidRDefault="00BB4E9D" w:rsidP="00BB4E9D">
      <w:pPr>
        <w:spacing w:line="256" w:lineRule="auto"/>
        <w:jc w:val="both"/>
        <w:rPr>
          <w:rFonts w:ascii="Verdana" w:eastAsia="Times New Roman" w:hAnsi="Verdana" w:cs="Times New Roman"/>
          <w:sz w:val="16"/>
          <w:szCs w:val="16"/>
          <w:lang w:eastAsia="es-CO"/>
        </w:rPr>
      </w:pPr>
      <w:r>
        <w:rPr>
          <w:rFonts w:ascii="Verdana" w:eastAsiaTheme="minorEastAsia" w:hAnsi="Verdana"/>
          <w:kern w:val="24"/>
          <w:sz w:val="16"/>
          <w:szCs w:val="16"/>
          <w:lang w:val="es-ES" w:eastAsia="es-CO"/>
        </w:rPr>
        <w:t xml:space="preserve">* </w:t>
      </w:r>
      <w:r w:rsidRPr="003C1F5D">
        <w:rPr>
          <w:rFonts w:ascii="Verdana" w:eastAsiaTheme="minorEastAsia" w:hAnsi="Verdana"/>
          <w:kern w:val="24"/>
          <w:sz w:val="16"/>
          <w:szCs w:val="16"/>
          <w:lang w:val="es-ES" w:eastAsia="es-CO"/>
        </w:rPr>
        <w:t>Gastos de Personal</w:t>
      </w:r>
      <w:r>
        <w:rPr>
          <w:rFonts w:ascii="Verdana" w:eastAsiaTheme="minorEastAsia" w:hAnsi="Verdana"/>
          <w:kern w:val="24"/>
          <w:sz w:val="16"/>
          <w:szCs w:val="16"/>
          <w:lang w:val="es-ES" w:eastAsia="es-CO"/>
        </w:rPr>
        <w:t>:</w:t>
      </w:r>
      <w:r w:rsidRPr="003C1F5D">
        <w:rPr>
          <w:rFonts w:ascii="Verdana" w:eastAsiaTheme="minorEastAsia" w:hAnsi="Verdana"/>
          <w:kern w:val="24"/>
          <w:sz w:val="16"/>
          <w:szCs w:val="16"/>
          <w:lang w:val="es-ES" w:eastAsia="es-CO"/>
        </w:rPr>
        <w:t xml:space="preserve"> Hace referencia al rubro “Otros Gastos</w:t>
      </w:r>
      <w:r>
        <w:rPr>
          <w:rFonts w:ascii="Verdana" w:eastAsiaTheme="minorEastAsia" w:hAnsi="Verdana"/>
          <w:kern w:val="24"/>
          <w:sz w:val="16"/>
          <w:szCs w:val="16"/>
          <w:lang w:val="es-ES" w:eastAsia="es-CO"/>
        </w:rPr>
        <w:t xml:space="preserve"> de</w:t>
      </w:r>
      <w:r w:rsidRPr="003C1F5D">
        <w:rPr>
          <w:rFonts w:ascii="Verdana" w:eastAsiaTheme="minorEastAsia" w:hAnsi="Verdana"/>
          <w:kern w:val="24"/>
          <w:sz w:val="16"/>
          <w:szCs w:val="16"/>
          <w:lang w:val="es-ES" w:eastAsia="es-CO"/>
        </w:rPr>
        <w:t xml:space="preserve"> Personal – Distribución Previo Concepto DGPPN”, el cual incluye los recursos previstos para financiar el valor del incremento salarial a decretar por el Gobierno Nacional para las entidades del Presupuesto General de la Nación, en la vigencia 202</w:t>
      </w:r>
      <w:r>
        <w:rPr>
          <w:rFonts w:ascii="Verdana" w:eastAsiaTheme="minorEastAsia" w:hAnsi="Verdana"/>
          <w:kern w:val="24"/>
          <w:sz w:val="16"/>
          <w:szCs w:val="16"/>
          <w:lang w:val="es-ES" w:eastAsia="es-CO"/>
        </w:rPr>
        <w:t>3</w:t>
      </w:r>
      <w:r w:rsidRPr="003C1F5D">
        <w:rPr>
          <w:rFonts w:ascii="Verdana" w:eastAsiaTheme="minorEastAsia" w:hAnsi="Verdana"/>
          <w:kern w:val="24"/>
          <w:sz w:val="16"/>
          <w:szCs w:val="16"/>
          <w:lang w:val="es-ES" w:eastAsia="es-CO"/>
        </w:rPr>
        <w:t>.</w:t>
      </w:r>
    </w:p>
    <w:p w14:paraId="30080238" w14:textId="77777777" w:rsidR="00BB4E9D" w:rsidRPr="003C1F5D" w:rsidRDefault="00BB4E9D" w:rsidP="00BB4E9D">
      <w:pPr>
        <w:jc w:val="both"/>
        <w:rPr>
          <w:rFonts w:ascii="Verdana" w:eastAsia="Times New Roman" w:hAnsi="Verdana"/>
          <w:sz w:val="16"/>
          <w:szCs w:val="16"/>
          <w:lang w:eastAsia="es-CO"/>
        </w:rPr>
      </w:pPr>
      <w:r>
        <w:rPr>
          <w:rFonts w:ascii="Verdana" w:eastAsiaTheme="minorEastAsia" w:hAnsi="Verdana"/>
          <w:color w:val="000000" w:themeColor="text1"/>
          <w:kern w:val="24"/>
          <w:sz w:val="16"/>
          <w:szCs w:val="16"/>
          <w:lang w:eastAsia="es-CO"/>
        </w:rPr>
        <w:t>**</w:t>
      </w:r>
      <w:r w:rsidRPr="003C1F5D">
        <w:rPr>
          <w:rFonts w:ascii="Verdana" w:eastAsiaTheme="minorEastAsia" w:hAnsi="Verdana"/>
          <w:color w:val="000000" w:themeColor="text1"/>
          <w:kern w:val="24"/>
          <w:sz w:val="16"/>
          <w:szCs w:val="16"/>
          <w:lang w:eastAsia="es-CO"/>
        </w:rPr>
        <w:t>En las transferencias corrientes también se contemplan recursos para el rubro “Otras transferencias - Distribución previo concepto DGPPN”, orientados a atender las contingencias que se presentan durante la vigencia en las entidades que hacen parte del Presupuesto General de la Nación con cargo al presupuesto de gastos de funcionamiento.</w:t>
      </w:r>
    </w:p>
    <w:p w14:paraId="3E49E839" w14:textId="77777777" w:rsidR="00BB4E9D" w:rsidRPr="003C1F5D" w:rsidRDefault="00BB4E9D" w:rsidP="00BB4E9D">
      <w:pPr>
        <w:spacing w:line="256" w:lineRule="auto"/>
        <w:rPr>
          <w:rFonts w:ascii="Verdana" w:eastAsia="Times New Roman" w:hAnsi="Verdana" w:cs="Times New Roman"/>
          <w:sz w:val="16"/>
          <w:szCs w:val="16"/>
          <w:lang w:eastAsia="es-CO"/>
        </w:rPr>
      </w:pPr>
      <w:r w:rsidRPr="003C1F5D">
        <w:rPr>
          <w:rFonts w:ascii="Verdana" w:eastAsiaTheme="minorEastAsia" w:hAnsi="Verdana"/>
          <w:b/>
          <w:bCs/>
          <w:kern w:val="24"/>
          <w:sz w:val="16"/>
          <w:szCs w:val="16"/>
          <w:lang w:eastAsia="es-CO"/>
        </w:rPr>
        <w:t>Notas</w:t>
      </w:r>
      <w:r w:rsidRPr="003C1F5D">
        <w:rPr>
          <w:rFonts w:ascii="Verdana" w:eastAsiaTheme="minorEastAsia" w:hAnsi="Verdana"/>
          <w:kern w:val="24"/>
          <w:sz w:val="16"/>
          <w:szCs w:val="16"/>
          <w:lang w:eastAsia="es-CO"/>
        </w:rPr>
        <w:t>:</w:t>
      </w:r>
    </w:p>
    <w:p w14:paraId="345EB04B" w14:textId="77777777" w:rsidR="00BB4E9D" w:rsidRPr="00784ACC" w:rsidRDefault="00BB4E9D" w:rsidP="00BB4E9D">
      <w:pPr>
        <w:pStyle w:val="Prrafodelista"/>
        <w:numPr>
          <w:ilvl w:val="0"/>
          <w:numId w:val="48"/>
        </w:numPr>
        <w:spacing w:after="0" w:line="240" w:lineRule="auto"/>
        <w:jc w:val="both"/>
        <w:rPr>
          <w:rFonts w:ascii="Verdana" w:eastAsia="Times New Roman" w:hAnsi="Verdana" w:cs="Times New Roman"/>
          <w:sz w:val="16"/>
          <w:szCs w:val="16"/>
          <w:lang w:eastAsia="es-CO"/>
        </w:rPr>
      </w:pPr>
      <w:r w:rsidRPr="00784ACC">
        <w:rPr>
          <w:rFonts w:ascii="Verdana" w:eastAsiaTheme="minorEastAsia" w:hAnsi="Verdana"/>
          <w:kern w:val="24"/>
          <w:sz w:val="16"/>
          <w:szCs w:val="16"/>
          <w:lang w:eastAsia="es-CO"/>
        </w:rPr>
        <w:lastRenderedPageBreak/>
        <w:t>La Superintendencia de la Economía Solidaria presenta recursos bloqueados por $457.400.000 en rubros de Funcionamiento de los cuales $328 millones corresponden a Otros gastos de personal – Distribución previo Concepto DGPPN y $129.400.000 a Otras transferencias Distribución previo Concepto DGPPN).</w:t>
      </w:r>
    </w:p>
    <w:p w14:paraId="2F9E0211" w14:textId="77777777" w:rsidR="00BB4E9D" w:rsidRPr="00784ACC" w:rsidRDefault="00BB4E9D" w:rsidP="00BB4E9D">
      <w:pPr>
        <w:pStyle w:val="Prrafodelista"/>
        <w:numPr>
          <w:ilvl w:val="0"/>
          <w:numId w:val="48"/>
        </w:numPr>
        <w:spacing w:after="0" w:line="240" w:lineRule="auto"/>
        <w:jc w:val="both"/>
        <w:rPr>
          <w:rFonts w:ascii="Verdana" w:eastAsiaTheme="minorEastAsia" w:hAnsi="Verdana"/>
          <w:kern w:val="24"/>
          <w:sz w:val="16"/>
          <w:szCs w:val="16"/>
          <w:lang w:eastAsia="es-CO"/>
        </w:rPr>
      </w:pPr>
      <w:r w:rsidRPr="00784ACC">
        <w:rPr>
          <w:rFonts w:ascii="Verdana" w:eastAsiaTheme="minorEastAsia" w:hAnsi="Verdana"/>
          <w:kern w:val="24"/>
          <w:sz w:val="16"/>
          <w:szCs w:val="16"/>
          <w:lang w:eastAsia="es-CO"/>
        </w:rPr>
        <w:t>El porcentaje de participación de cada concepto de gasto para la Entidad, se obtiene de dividir la apropiación vigente de cada concepto, sobre el total de la Entidad.</w:t>
      </w:r>
    </w:p>
    <w:p w14:paraId="5BC21154" w14:textId="77777777" w:rsidR="00BB4E9D" w:rsidRPr="00784ACC" w:rsidRDefault="00BB4E9D" w:rsidP="00BB4E9D">
      <w:pPr>
        <w:pStyle w:val="Prrafodelista"/>
        <w:numPr>
          <w:ilvl w:val="0"/>
          <w:numId w:val="48"/>
        </w:numPr>
        <w:spacing w:after="0" w:line="240" w:lineRule="auto"/>
        <w:jc w:val="both"/>
        <w:rPr>
          <w:rFonts w:ascii="Verdana" w:eastAsia="Times New Roman" w:hAnsi="Verdana" w:cs="Times New Roman"/>
          <w:sz w:val="16"/>
          <w:szCs w:val="16"/>
          <w:lang w:eastAsia="es-CO"/>
        </w:rPr>
      </w:pPr>
      <w:r w:rsidRPr="00784ACC">
        <w:rPr>
          <w:rFonts w:ascii="Verdana" w:eastAsiaTheme="minorEastAsia" w:hAnsi="Verdana"/>
          <w:kern w:val="24"/>
          <w:sz w:val="16"/>
          <w:szCs w:val="16"/>
          <w:lang w:eastAsia="es-CO"/>
        </w:rPr>
        <w:t xml:space="preserve">El porcentaje de los compromisos y obligaciones </w:t>
      </w:r>
      <w:r w:rsidRPr="00784ACC">
        <w:rPr>
          <w:rFonts w:ascii="Verdana" w:eastAsiaTheme="minorEastAsia" w:hAnsi="Verdana" w:cs="Arial"/>
          <w:kern w:val="24"/>
          <w:sz w:val="16"/>
          <w:szCs w:val="16"/>
          <w:lang w:eastAsia="es-CO"/>
        </w:rPr>
        <w:t>ejecutadas a la fecha</w:t>
      </w:r>
      <w:r w:rsidRPr="00784ACC">
        <w:rPr>
          <w:rFonts w:ascii="Verdana" w:eastAsiaTheme="minorEastAsia" w:hAnsi="Verdana"/>
          <w:kern w:val="24"/>
          <w:sz w:val="16"/>
          <w:szCs w:val="16"/>
          <w:lang w:eastAsia="es-CO"/>
        </w:rPr>
        <w:t xml:space="preserve"> se obtiene dividiendo los compromisos y obligaciones de cada concepto, sobre su apropiación vigente. </w:t>
      </w:r>
    </w:p>
    <w:p w14:paraId="56D993EF" w14:textId="77777777" w:rsidR="00BB4E9D" w:rsidRPr="00803254" w:rsidRDefault="00BB4E9D" w:rsidP="00BB4E9D">
      <w:pPr>
        <w:spacing w:before="100" w:beforeAutospacing="1" w:after="100" w:afterAutospacing="1"/>
        <w:ind w:right="616"/>
        <w:contextualSpacing/>
        <w:jc w:val="both"/>
        <w:rPr>
          <w:rFonts w:ascii="Verdana" w:hAnsi="Verdana" w:cs="Arial"/>
        </w:rPr>
      </w:pPr>
      <w:r w:rsidRPr="00803254">
        <w:rPr>
          <w:rFonts w:ascii="Verdana" w:hAnsi="Verdana" w:cs="Arial"/>
        </w:rPr>
        <w:t>A continuación, se presentan los principales rubros presupuestales y resultados misionales de</w:t>
      </w:r>
      <w:r>
        <w:rPr>
          <w:rFonts w:ascii="Verdana" w:hAnsi="Verdana" w:cs="Arial"/>
        </w:rPr>
        <w:t xml:space="preserve"> la Superintendencia de la Economía Solidaria </w:t>
      </w:r>
      <w:r w:rsidRPr="00803254">
        <w:rPr>
          <w:rFonts w:ascii="Verdana" w:hAnsi="Verdana" w:cs="Arial"/>
        </w:rPr>
        <w:t>en el año 202</w:t>
      </w:r>
      <w:r>
        <w:rPr>
          <w:rFonts w:ascii="Verdana" w:hAnsi="Verdana" w:cs="Arial"/>
        </w:rPr>
        <w:t>3</w:t>
      </w:r>
      <w:r w:rsidRPr="00803254">
        <w:rPr>
          <w:rFonts w:ascii="Verdana" w:hAnsi="Verdana" w:cs="Arial"/>
        </w:rPr>
        <w:t>:</w:t>
      </w:r>
    </w:p>
    <w:p w14:paraId="740D29A3" w14:textId="77777777" w:rsidR="00BB4E9D" w:rsidRPr="00803254" w:rsidRDefault="00BB4E9D" w:rsidP="00BB4E9D">
      <w:pPr>
        <w:spacing w:before="100" w:beforeAutospacing="1" w:after="100" w:afterAutospacing="1"/>
        <w:contextualSpacing/>
        <w:jc w:val="both"/>
        <w:rPr>
          <w:rFonts w:ascii="Verdana" w:hAnsi="Verdana" w:cs="Arial"/>
        </w:rPr>
      </w:pPr>
    </w:p>
    <w:p w14:paraId="38034F0C" w14:textId="77777777" w:rsidR="00BB4E9D" w:rsidRPr="00803254" w:rsidRDefault="00BB4E9D" w:rsidP="00BB4E9D">
      <w:pPr>
        <w:spacing w:before="100" w:beforeAutospacing="1" w:after="100" w:afterAutospacing="1"/>
        <w:contextualSpacing/>
        <w:jc w:val="both"/>
        <w:rPr>
          <w:rFonts w:ascii="Verdana" w:hAnsi="Verdana" w:cs="Arial"/>
          <w:b/>
          <w:u w:val="single"/>
        </w:rPr>
      </w:pPr>
    </w:p>
    <w:p w14:paraId="71FC4A82" w14:textId="77777777" w:rsidR="00BB4E9D" w:rsidRPr="00B31141" w:rsidRDefault="00BB4E9D" w:rsidP="00BB4E9D">
      <w:pPr>
        <w:spacing w:before="100" w:beforeAutospacing="1" w:after="100" w:afterAutospacing="1"/>
        <w:contextualSpacing/>
        <w:jc w:val="both"/>
        <w:rPr>
          <w:rFonts w:ascii="Verdana" w:hAnsi="Verdana" w:cs="Arial"/>
          <w:b/>
          <w:u w:val="single"/>
        </w:rPr>
      </w:pPr>
      <w:r w:rsidRPr="00B31141">
        <w:rPr>
          <w:rFonts w:ascii="Verdana" w:hAnsi="Verdana" w:cs="Arial"/>
          <w:b/>
          <w:u w:val="single"/>
        </w:rPr>
        <w:t>Año 202</w:t>
      </w:r>
      <w:r>
        <w:rPr>
          <w:rFonts w:ascii="Verdana" w:hAnsi="Verdana" w:cs="Arial"/>
          <w:b/>
          <w:u w:val="single"/>
        </w:rPr>
        <w:t>3</w:t>
      </w:r>
      <w:r w:rsidRPr="00B31141">
        <w:rPr>
          <w:rFonts w:ascii="Verdana" w:hAnsi="Verdana" w:cs="Arial"/>
          <w:b/>
          <w:u w:val="single"/>
        </w:rPr>
        <w:t>:</w:t>
      </w:r>
    </w:p>
    <w:p w14:paraId="76C3648B" w14:textId="77777777" w:rsidR="00BB4E9D" w:rsidRPr="00B31141" w:rsidRDefault="00BB4E9D" w:rsidP="00BB4E9D">
      <w:pPr>
        <w:spacing w:before="100" w:beforeAutospacing="1" w:after="100" w:afterAutospacing="1"/>
        <w:contextualSpacing/>
        <w:jc w:val="both"/>
        <w:rPr>
          <w:rFonts w:ascii="Verdana" w:hAnsi="Verdana" w:cs="Arial"/>
          <w:b/>
          <w:u w:val="single"/>
        </w:rPr>
      </w:pPr>
    </w:p>
    <w:tbl>
      <w:tblPr>
        <w:tblStyle w:val="Tablaconcuadrcula"/>
        <w:tblW w:w="0" w:type="auto"/>
        <w:jc w:val="center"/>
        <w:tblLayout w:type="fixed"/>
        <w:tblLook w:val="04A0" w:firstRow="1" w:lastRow="0" w:firstColumn="1" w:lastColumn="0" w:noHBand="0" w:noVBand="1"/>
      </w:tblPr>
      <w:tblGrid>
        <w:gridCol w:w="1413"/>
        <w:gridCol w:w="1701"/>
        <w:gridCol w:w="5714"/>
      </w:tblGrid>
      <w:tr w:rsidR="00BB4E9D" w:rsidRPr="00B31141" w14:paraId="4FB9CDDA" w14:textId="77777777" w:rsidTr="00DC4E06">
        <w:trPr>
          <w:trHeight w:val="649"/>
          <w:tblHeader/>
          <w:jc w:val="center"/>
        </w:trPr>
        <w:tc>
          <w:tcPr>
            <w:tcW w:w="1413" w:type="dxa"/>
            <w:shd w:val="clear" w:color="auto" w:fill="auto"/>
            <w:vAlign w:val="center"/>
          </w:tcPr>
          <w:p w14:paraId="40F52A7F" w14:textId="77777777" w:rsidR="00BB4E9D" w:rsidRPr="00B31141" w:rsidRDefault="00BB4E9D" w:rsidP="00DC4E06">
            <w:pPr>
              <w:jc w:val="center"/>
              <w:textAlignment w:val="center"/>
              <w:rPr>
                <w:rFonts w:ascii="Verdana" w:hAnsi="Verdana" w:cs="Arial"/>
                <w:b/>
                <w:bCs/>
                <w:kern w:val="24"/>
                <w:sz w:val="18"/>
                <w:szCs w:val="18"/>
              </w:rPr>
            </w:pPr>
            <w:r w:rsidRPr="00B31141">
              <w:rPr>
                <w:rFonts w:ascii="Verdana" w:hAnsi="Verdana" w:cs="Arial"/>
                <w:b/>
                <w:bCs/>
                <w:kern w:val="24"/>
                <w:sz w:val="18"/>
                <w:szCs w:val="18"/>
              </w:rPr>
              <w:t>CONCEPTO</w:t>
            </w:r>
          </w:p>
        </w:tc>
        <w:tc>
          <w:tcPr>
            <w:tcW w:w="1701" w:type="dxa"/>
            <w:shd w:val="clear" w:color="auto" w:fill="auto"/>
            <w:vAlign w:val="center"/>
          </w:tcPr>
          <w:p w14:paraId="186C29AC" w14:textId="77777777" w:rsidR="00BB4E9D" w:rsidRPr="00B31141" w:rsidRDefault="00BB4E9D" w:rsidP="00DC4E06">
            <w:pPr>
              <w:jc w:val="center"/>
              <w:textAlignment w:val="center"/>
              <w:rPr>
                <w:rFonts w:ascii="Verdana" w:hAnsi="Verdana" w:cs="Arial"/>
                <w:b/>
                <w:bCs/>
                <w:kern w:val="24"/>
                <w:sz w:val="18"/>
                <w:szCs w:val="18"/>
              </w:rPr>
            </w:pPr>
            <w:r w:rsidRPr="00B31141">
              <w:rPr>
                <w:rFonts w:ascii="Verdana" w:hAnsi="Verdana" w:cs="Arial"/>
                <w:b/>
                <w:bCs/>
                <w:kern w:val="24"/>
                <w:sz w:val="18"/>
                <w:szCs w:val="18"/>
              </w:rPr>
              <w:t>PRINCIPALES RUBROS PRESUPUESTALES</w:t>
            </w:r>
          </w:p>
        </w:tc>
        <w:tc>
          <w:tcPr>
            <w:tcW w:w="5714" w:type="dxa"/>
            <w:shd w:val="clear" w:color="auto" w:fill="auto"/>
            <w:vAlign w:val="center"/>
          </w:tcPr>
          <w:p w14:paraId="088775AB" w14:textId="77777777" w:rsidR="00BB4E9D" w:rsidRPr="00B31141" w:rsidRDefault="00BB4E9D" w:rsidP="00DC4E06">
            <w:pPr>
              <w:jc w:val="center"/>
              <w:textAlignment w:val="center"/>
              <w:rPr>
                <w:rFonts w:ascii="Verdana" w:hAnsi="Verdana" w:cs="Arial"/>
                <w:b/>
                <w:bCs/>
                <w:kern w:val="24"/>
                <w:sz w:val="18"/>
                <w:szCs w:val="18"/>
              </w:rPr>
            </w:pPr>
            <w:r w:rsidRPr="00B31141">
              <w:rPr>
                <w:rFonts w:ascii="Verdana" w:hAnsi="Verdana" w:cs="Arial"/>
                <w:b/>
                <w:bCs/>
                <w:kern w:val="24"/>
                <w:sz w:val="18"/>
                <w:szCs w:val="18"/>
              </w:rPr>
              <w:t>RESULTADO MISIONAL</w:t>
            </w:r>
          </w:p>
        </w:tc>
      </w:tr>
      <w:tr w:rsidR="00BB4E9D" w:rsidRPr="00B31141" w14:paraId="771733D7" w14:textId="77777777" w:rsidTr="00DC4E06">
        <w:trPr>
          <w:tblHeader/>
          <w:jc w:val="center"/>
        </w:trPr>
        <w:tc>
          <w:tcPr>
            <w:tcW w:w="8828" w:type="dxa"/>
            <w:gridSpan w:val="3"/>
            <w:vAlign w:val="center"/>
          </w:tcPr>
          <w:p w14:paraId="261B0EE5" w14:textId="77777777" w:rsidR="00BB4E9D" w:rsidRPr="00B31141" w:rsidRDefault="00BB4E9D" w:rsidP="00DC4E06">
            <w:pPr>
              <w:spacing w:before="100" w:beforeAutospacing="1" w:after="100" w:afterAutospacing="1"/>
              <w:contextualSpacing/>
              <w:jc w:val="center"/>
              <w:rPr>
                <w:rFonts w:ascii="Verdana" w:hAnsi="Verdana" w:cs="Arial"/>
                <w:sz w:val="18"/>
                <w:szCs w:val="18"/>
              </w:rPr>
            </w:pPr>
            <w:r w:rsidRPr="00B31141">
              <w:rPr>
                <w:rFonts w:ascii="Verdana" w:hAnsi="Verdana" w:cs="Arial"/>
                <w:b/>
                <w:sz w:val="18"/>
                <w:szCs w:val="18"/>
              </w:rPr>
              <w:t>FUNCIONAMIENTO</w:t>
            </w:r>
          </w:p>
        </w:tc>
      </w:tr>
      <w:tr w:rsidR="00BB4E9D" w:rsidRPr="00B31141" w14:paraId="0DEF9E6A" w14:textId="77777777" w:rsidTr="00DC4E06">
        <w:trPr>
          <w:trHeight w:val="1390"/>
          <w:jc w:val="center"/>
        </w:trPr>
        <w:tc>
          <w:tcPr>
            <w:tcW w:w="1413" w:type="dxa"/>
          </w:tcPr>
          <w:p w14:paraId="502CB857" w14:textId="77777777" w:rsidR="00BB4E9D" w:rsidRPr="007A258E" w:rsidRDefault="00BB4E9D" w:rsidP="00DC4E06">
            <w:pPr>
              <w:spacing w:before="100" w:beforeAutospacing="1" w:after="100" w:afterAutospacing="1"/>
              <w:contextualSpacing/>
              <w:jc w:val="both"/>
              <w:rPr>
                <w:rFonts w:ascii="Verdana" w:hAnsi="Verdana" w:cs="Arial"/>
                <w:sz w:val="20"/>
                <w:szCs w:val="20"/>
              </w:rPr>
            </w:pPr>
            <w:r w:rsidRPr="007A258E">
              <w:rPr>
                <w:rFonts w:ascii="Verdana" w:hAnsi="Verdana" w:cs="Arial"/>
                <w:sz w:val="20"/>
                <w:szCs w:val="20"/>
              </w:rPr>
              <w:t>Gastos de Personal / Propios</w:t>
            </w:r>
          </w:p>
        </w:tc>
        <w:tc>
          <w:tcPr>
            <w:tcW w:w="1701" w:type="dxa"/>
          </w:tcPr>
          <w:p w14:paraId="5EA8B78C" w14:textId="77777777" w:rsidR="00BB4E9D" w:rsidRDefault="00BB4E9D" w:rsidP="00DC4E06">
            <w:pPr>
              <w:spacing w:before="100" w:beforeAutospacing="1" w:after="100" w:afterAutospacing="1"/>
              <w:contextualSpacing/>
              <w:jc w:val="both"/>
              <w:rPr>
                <w:rFonts w:ascii="Verdana" w:hAnsi="Verdana" w:cs="Arial"/>
                <w:sz w:val="20"/>
                <w:szCs w:val="20"/>
              </w:rPr>
            </w:pPr>
            <w:r w:rsidRPr="007A258E">
              <w:rPr>
                <w:rFonts w:ascii="Verdana" w:hAnsi="Verdana" w:cs="Arial"/>
                <w:sz w:val="20"/>
                <w:szCs w:val="20"/>
              </w:rPr>
              <w:t>Otros Gastos de Personal – Distribución Previo Concepto DGPPN</w:t>
            </w:r>
          </w:p>
          <w:p w14:paraId="09965CD1" w14:textId="77777777" w:rsidR="00BB4E9D" w:rsidRPr="007A258E" w:rsidRDefault="00BB4E9D" w:rsidP="00DC4E06">
            <w:pPr>
              <w:spacing w:before="100" w:beforeAutospacing="1" w:after="100" w:afterAutospacing="1"/>
              <w:contextualSpacing/>
              <w:jc w:val="both"/>
              <w:rPr>
                <w:rFonts w:ascii="Verdana" w:hAnsi="Verdana" w:cs="Arial"/>
                <w:sz w:val="20"/>
                <w:szCs w:val="20"/>
              </w:rPr>
            </w:pPr>
          </w:p>
        </w:tc>
        <w:tc>
          <w:tcPr>
            <w:tcW w:w="5714" w:type="dxa"/>
          </w:tcPr>
          <w:p w14:paraId="68736111" w14:textId="77777777" w:rsidR="00BB4E9D" w:rsidRPr="007A258E" w:rsidRDefault="00BB4E9D" w:rsidP="00DC4E06">
            <w:pPr>
              <w:spacing w:before="100" w:beforeAutospacing="1" w:after="100" w:afterAutospacing="1"/>
              <w:contextualSpacing/>
              <w:jc w:val="both"/>
              <w:rPr>
                <w:rFonts w:ascii="Verdana" w:eastAsia="Arial Narrow" w:hAnsi="Verdana" w:cs="Arial Narrow"/>
                <w:color w:val="201F1E"/>
                <w:sz w:val="20"/>
                <w:szCs w:val="20"/>
                <w:lang w:val="es"/>
              </w:rPr>
            </w:pPr>
            <w:r w:rsidRPr="007A258E">
              <w:rPr>
                <w:rFonts w:ascii="Verdana" w:eastAsia="Arial Narrow" w:hAnsi="Verdana" w:cs="Arial Narrow"/>
                <w:color w:val="201F1E"/>
                <w:sz w:val="20"/>
                <w:szCs w:val="20"/>
                <w:lang w:val="es"/>
              </w:rPr>
              <w:t xml:space="preserve">Recursos previstos para financiar el valor del incremento salarial decretado por el Gobierno nacional para la vigencia 2023. </w:t>
            </w:r>
          </w:p>
          <w:p w14:paraId="2D5FAA49" w14:textId="77777777" w:rsidR="00BB4E9D" w:rsidRPr="007A258E" w:rsidRDefault="00BB4E9D" w:rsidP="00DC4E06">
            <w:pPr>
              <w:spacing w:before="100" w:beforeAutospacing="1" w:after="100" w:afterAutospacing="1"/>
              <w:contextualSpacing/>
              <w:jc w:val="both"/>
              <w:rPr>
                <w:rFonts w:ascii="Verdana" w:eastAsia="Arial Narrow" w:hAnsi="Verdana" w:cs="Arial Narrow"/>
                <w:color w:val="201F1E"/>
                <w:sz w:val="20"/>
                <w:szCs w:val="20"/>
                <w:lang w:val="es"/>
              </w:rPr>
            </w:pPr>
          </w:p>
          <w:p w14:paraId="4A147594" w14:textId="77777777" w:rsidR="00BB4E9D" w:rsidRPr="007A258E" w:rsidRDefault="00BB4E9D" w:rsidP="00DC4E06">
            <w:pPr>
              <w:spacing w:before="100" w:beforeAutospacing="1" w:after="100" w:afterAutospacing="1"/>
              <w:contextualSpacing/>
              <w:jc w:val="both"/>
              <w:rPr>
                <w:rFonts w:ascii="Verdana" w:eastAsia="Arial Narrow" w:hAnsi="Verdana" w:cs="Arial Narrow"/>
                <w:color w:val="201F1E"/>
                <w:sz w:val="20"/>
                <w:szCs w:val="20"/>
                <w:lang w:val="es"/>
              </w:rPr>
            </w:pPr>
          </w:p>
        </w:tc>
      </w:tr>
      <w:tr w:rsidR="00BB4E9D" w:rsidRPr="00B31141" w14:paraId="2D0A2E26" w14:textId="77777777" w:rsidTr="00DC4E06">
        <w:trPr>
          <w:trHeight w:val="1390"/>
          <w:jc w:val="center"/>
        </w:trPr>
        <w:tc>
          <w:tcPr>
            <w:tcW w:w="1413" w:type="dxa"/>
          </w:tcPr>
          <w:p w14:paraId="3C9CEE59" w14:textId="77777777" w:rsidR="00BB4E9D" w:rsidRPr="007A258E" w:rsidRDefault="00BB4E9D" w:rsidP="00DC4E06">
            <w:pPr>
              <w:spacing w:before="100" w:beforeAutospacing="1" w:after="100" w:afterAutospacing="1"/>
              <w:contextualSpacing/>
              <w:jc w:val="both"/>
              <w:rPr>
                <w:rFonts w:ascii="Verdana" w:hAnsi="Verdana" w:cs="Arial"/>
                <w:sz w:val="20"/>
                <w:szCs w:val="20"/>
              </w:rPr>
            </w:pPr>
            <w:r w:rsidRPr="007A258E">
              <w:rPr>
                <w:rFonts w:ascii="Verdana" w:hAnsi="Verdana" w:cs="Arial"/>
                <w:sz w:val="20"/>
                <w:szCs w:val="20"/>
              </w:rPr>
              <w:t>Adquisición de bienes  y servicios</w:t>
            </w:r>
          </w:p>
        </w:tc>
        <w:tc>
          <w:tcPr>
            <w:tcW w:w="1701" w:type="dxa"/>
          </w:tcPr>
          <w:p w14:paraId="6B709BC1" w14:textId="77777777" w:rsidR="00BB4E9D" w:rsidRPr="007A258E" w:rsidRDefault="00BB4E9D" w:rsidP="00DC4E06">
            <w:pPr>
              <w:spacing w:before="100" w:beforeAutospacing="1" w:after="100" w:afterAutospacing="1"/>
              <w:contextualSpacing/>
              <w:jc w:val="both"/>
              <w:rPr>
                <w:rFonts w:ascii="Verdana" w:hAnsi="Verdana" w:cs="Arial"/>
                <w:sz w:val="20"/>
                <w:szCs w:val="20"/>
              </w:rPr>
            </w:pPr>
            <w:r w:rsidRPr="007A258E">
              <w:rPr>
                <w:rFonts w:ascii="Verdana" w:hAnsi="Verdana" w:cs="Arial"/>
                <w:sz w:val="20"/>
                <w:szCs w:val="20"/>
              </w:rPr>
              <w:t>Adquisición de bienes  y servicios</w:t>
            </w:r>
          </w:p>
        </w:tc>
        <w:tc>
          <w:tcPr>
            <w:tcW w:w="5714" w:type="dxa"/>
          </w:tcPr>
          <w:p w14:paraId="5A1429A2" w14:textId="77777777" w:rsidR="00BB4E9D" w:rsidRDefault="00BB4E9D" w:rsidP="00DC4E06">
            <w:pPr>
              <w:spacing w:before="100" w:beforeAutospacing="1" w:after="100" w:afterAutospacing="1"/>
              <w:contextualSpacing/>
              <w:jc w:val="both"/>
              <w:rPr>
                <w:rFonts w:ascii="Verdana" w:eastAsia="Arial Narrow" w:hAnsi="Verdana" w:cs="Arial Narrow"/>
                <w:color w:val="201F1E"/>
                <w:sz w:val="20"/>
                <w:szCs w:val="20"/>
                <w:lang w:val="es"/>
              </w:rPr>
            </w:pPr>
            <w:r w:rsidRPr="007A258E">
              <w:rPr>
                <w:rFonts w:ascii="Verdana" w:eastAsia="Arial Narrow" w:hAnsi="Verdana" w:cs="Arial Narrow"/>
                <w:color w:val="201F1E"/>
                <w:sz w:val="20"/>
                <w:szCs w:val="20"/>
                <w:lang w:val="es"/>
              </w:rPr>
              <w:t>Por este rubro se programan recursos que son destinados para atender gastos de funcionamiento, como servicios públicos, pago de administraciones, servicio de aseo y cafetería, vigilancia entre otros servicios esenciales para el debido funcionamiento de la entidad.</w:t>
            </w:r>
          </w:p>
          <w:p w14:paraId="528E02B1" w14:textId="77777777" w:rsidR="00BB4E9D" w:rsidRPr="007A258E" w:rsidRDefault="00BB4E9D" w:rsidP="00DC4E06">
            <w:pPr>
              <w:spacing w:before="100" w:beforeAutospacing="1" w:after="100" w:afterAutospacing="1"/>
              <w:contextualSpacing/>
              <w:jc w:val="both"/>
              <w:rPr>
                <w:rFonts w:ascii="Verdana" w:eastAsia="Arial Narrow" w:hAnsi="Verdana" w:cs="Arial Narrow"/>
                <w:color w:val="201F1E"/>
                <w:sz w:val="20"/>
                <w:szCs w:val="20"/>
                <w:lang w:val="es"/>
              </w:rPr>
            </w:pPr>
          </w:p>
        </w:tc>
      </w:tr>
      <w:tr w:rsidR="00BB4E9D" w:rsidRPr="00B31141" w14:paraId="6608605A" w14:textId="77777777" w:rsidTr="00DC4E06">
        <w:trPr>
          <w:trHeight w:val="1390"/>
          <w:jc w:val="center"/>
        </w:trPr>
        <w:tc>
          <w:tcPr>
            <w:tcW w:w="1413" w:type="dxa"/>
          </w:tcPr>
          <w:p w14:paraId="7A992637" w14:textId="77777777" w:rsidR="00BB4E9D" w:rsidRPr="007A258E" w:rsidRDefault="00BB4E9D" w:rsidP="00DC4E06">
            <w:pPr>
              <w:spacing w:before="100" w:beforeAutospacing="1" w:after="100" w:afterAutospacing="1"/>
              <w:contextualSpacing/>
              <w:jc w:val="both"/>
              <w:rPr>
                <w:rFonts w:ascii="Verdana" w:hAnsi="Verdana" w:cs="Arial"/>
                <w:sz w:val="20"/>
                <w:szCs w:val="20"/>
              </w:rPr>
            </w:pPr>
            <w:r w:rsidRPr="007A258E">
              <w:rPr>
                <w:rFonts w:ascii="Verdana" w:hAnsi="Verdana" w:cs="Arial"/>
                <w:sz w:val="20"/>
                <w:szCs w:val="20"/>
              </w:rPr>
              <w:t>Transferencias corrientes</w:t>
            </w:r>
          </w:p>
        </w:tc>
        <w:tc>
          <w:tcPr>
            <w:tcW w:w="1701" w:type="dxa"/>
          </w:tcPr>
          <w:p w14:paraId="605C17F2" w14:textId="77777777" w:rsidR="00BB4E9D" w:rsidRPr="007A258E" w:rsidRDefault="00BB4E9D" w:rsidP="00DC4E06">
            <w:pPr>
              <w:spacing w:before="100" w:beforeAutospacing="1" w:after="100" w:afterAutospacing="1"/>
              <w:contextualSpacing/>
              <w:jc w:val="both"/>
              <w:rPr>
                <w:rFonts w:ascii="Verdana" w:hAnsi="Verdana"/>
                <w:sz w:val="20"/>
                <w:szCs w:val="20"/>
              </w:rPr>
            </w:pPr>
            <w:r w:rsidRPr="007A258E">
              <w:rPr>
                <w:rFonts w:ascii="Verdana" w:hAnsi="Verdana"/>
                <w:sz w:val="20"/>
                <w:szCs w:val="20"/>
              </w:rPr>
              <w:t>Otras Transferencias Distribución Previo Concepto – DGPPN.</w:t>
            </w:r>
          </w:p>
          <w:p w14:paraId="480F8471" w14:textId="77777777" w:rsidR="00BB4E9D" w:rsidRPr="007A258E" w:rsidRDefault="00BB4E9D" w:rsidP="00DC4E06">
            <w:pPr>
              <w:spacing w:before="100" w:beforeAutospacing="1" w:after="100" w:afterAutospacing="1"/>
              <w:contextualSpacing/>
              <w:jc w:val="both"/>
              <w:rPr>
                <w:rFonts w:ascii="Verdana" w:hAnsi="Verdana" w:cs="Arial"/>
                <w:sz w:val="20"/>
                <w:szCs w:val="20"/>
              </w:rPr>
            </w:pPr>
          </w:p>
        </w:tc>
        <w:tc>
          <w:tcPr>
            <w:tcW w:w="5714" w:type="dxa"/>
          </w:tcPr>
          <w:p w14:paraId="1658C19D" w14:textId="77777777" w:rsidR="00BB4E9D" w:rsidRPr="007A258E" w:rsidRDefault="00BB4E9D" w:rsidP="00DC4E06">
            <w:pPr>
              <w:jc w:val="both"/>
              <w:rPr>
                <w:rFonts w:ascii="Verdana" w:eastAsia="Arial Narrow" w:hAnsi="Verdana" w:cs="Arial Narrow"/>
                <w:color w:val="201F1E"/>
                <w:sz w:val="20"/>
                <w:szCs w:val="20"/>
                <w:lang w:val="es"/>
              </w:rPr>
            </w:pPr>
            <w:r w:rsidRPr="007A258E">
              <w:rPr>
                <w:rFonts w:ascii="Verdana" w:eastAsia="Arial Narrow" w:hAnsi="Verdana" w:cs="Arial Narrow"/>
                <w:color w:val="201F1E"/>
                <w:sz w:val="20"/>
                <w:szCs w:val="20"/>
                <w:lang w:val="es"/>
              </w:rPr>
              <w:t>Por este rubro se programan recursos que son destinados para atender contingencias a través del Presupuesto de Gastos de Funcionamiento.</w:t>
            </w:r>
          </w:p>
        </w:tc>
      </w:tr>
      <w:tr w:rsidR="00BB4E9D" w:rsidRPr="00B31141" w14:paraId="005D9645" w14:textId="77777777" w:rsidTr="00DC4E06">
        <w:trPr>
          <w:trHeight w:val="1390"/>
          <w:jc w:val="center"/>
        </w:trPr>
        <w:tc>
          <w:tcPr>
            <w:tcW w:w="1413" w:type="dxa"/>
          </w:tcPr>
          <w:p w14:paraId="6A653F00" w14:textId="77777777" w:rsidR="00BB4E9D" w:rsidRPr="007A258E" w:rsidRDefault="00BB4E9D" w:rsidP="00DC4E06">
            <w:pPr>
              <w:spacing w:before="100" w:beforeAutospacing="1" w:after="100" w:afterAutospacing="1"/>
              <w:contextualSpacing/>
              <w:jc w:val="both"/>
              <w:rPr>
                <w:rFonts w:ascii="Verdana" w:hAnsi="Verdana" w:cs="Arial"/>
                <w:sz w:val="20"/>
                <w:szCs w:val="20"/>
              </w:rPr>
            </w:pPr>
            <w:r w:rsidRPr="007A258E">
              <w:rPr>
                <w:rFonts w:ascii="Verdana" w:hAnsi="Verdana" w:cs="Arial"/>
                <w:sz w:val="20"/>
                <w:szCs w:val="20"/>
              </w:rPr>
              <w:t>Gastos por tributos, multas, sanciones e intereses de mora</w:t>
            </w:r>
          </w:p>
        </w:tc>
        <w:tc>
          <w:tcPr>
            <w:tcW w:w="1701" w:type="dxa"/>
            <w:vAlign w:val="center"/>
          </w:tcPr>
          <w:p w14:paraId="492EC8D4" w14:textId="77777777" w:rsidR="00BB4E9D" w:rsidRPr="007A258E" w:rsidRDefault="00BB4E9D" w:rsidP="00DC4E06">
            <w:pPr>
              <w:spacing w:after="100" w:afterAutospacing="1"/>
              <w:contextualSpacing/>
              <w:rPr>
                <w:rFonts w:ascii="Verdana" w:hAnsi="Verdana" w:cs="Arial"/>
                <w:sz w:val="20"/>
                <w:szCs w:val="20"/>
              </w:rPr>
            </w:pPr>
            <w:r w:rsidRPr="007A258E">
              <w:rPr>
                <w:rFonts w:ascii="Verdana" w:hAnsi="Verdana" w:cs="Arial"/>
                <w:sz w:val="20"/>
                <w:szCs w:val="20"/>
              </w:rPr>
              <w:t>Impuestos</w:t>
            </w:r>
          </w:p>
          <w:p w14:paraId="22DB4116" w14:textId="77777777" w:rsidR="00BB4E9D" w:rsidRPr="007A258E" w:rsidRDefault="00BB4E9D" w:rsidP="00DC4E06">
            <w:pPr>
              <w:spacing w:before="100" w:beforeAutospacing="1" w:after="100" w:afterAutospacing="1"/>
              <w:contextualSpacing/>
              <w:jc w:val="both"/>
              <w:rPr>
                <w:rFonts w:ascii="Verdana" w:hAnsi="Verdana" w:cs="Arial"/>
                <w:sz w:val="20"/>
                <w:szCs w:val="20"/>
              </w:rPr>
            </w:pPr>
          </w:p>
        </w:tc>
        <w:tc>
          <w:tcPr>
            <w:tcW w:w="5714" w:type="dxa"/>
          </w:tcPr>
          <w:p w14:paraId="505CBB30" w14:textId="77777777" w:rsidR="00BB4E9D" w:rsidRPr="007A258E" w:rsidRDefault="00BB4E9D" w:rsidP="00DC4E06">
            <w:pPr>
              <w:jc w:val="both"/>
              <w:rPr>
                <w:rFonts w:ascii="Verdana" w:hAnsi="Verdana"/>
                <w:sz w:val="20"/>
                <w:szCs w:val="20"/>
              </w:rPr>
            </w:pPr>
            <w:r w:rsidRPr="007A258E">
              <w:rPr>
                <w:rFonts w:ascii="Verdana" w:hAnsi="Verdana"/>
                <w:sz w:val="20"/>
                <w:szCs w:val="20"/>
              </w:rPr>
              <w:t>Con cargo a este rubro se realiza el pago por concepto de impuesto predial de la</w:t>
            </w:r>
            <w:r>
              <w:rPr>
                <w:rFonts w:ascii="Verdana" w:hAnsi="Verdana"/>
                <w:sz w:val="20"/>
                <w:szCs w:val="20"/>
              </w:rPr>
              <w:t xml:space="preserve"> s</w:t>
            </w:r>
            <w:r w:rsidRPr="007A258E">
              <w:rPr>
                <w:rFonts w:ascii="Verdana" w:hAnsi="Verdana"/>
                <w:sz w:val="20"/>
                <w:szCs w:val="20"/>
              </w:rPr>
              <w:t xml:space="preserve">ede de la entidad, cuota de fiscalización y auditaje, impuesto sobre vehículos programados con corte a 31 de </w:t>
            </w:r>
            <w:r>
              <w:rPr>
                <w:rFonts w:ascii="Verdana" w:hAnsi="Verdana"/>
                <w:sz w:val="20"/>
                <w:szCs w:val="20"/>
              </w:rPr>
              <w:t>diciembre</w:t>
            </w:r>
            <w:r w:rsidRPr="007A258E">
              <w:rPr>
                <w:rFonts w:ascii="Verdana" w:hAnsi="Verdana"/>
                <w:sz w:val="20"/>
                <w:szCs w:val="20"/>
              </w:rPr>
              <w:t xml:space="preserve"> de 2023.</w:t>
            </w:r>
          </w:p>
          <w:p w14:paraId="1086043F" w14:textId="77777777" w:rsidR="00BB4E9D" w:rsidRPr="007A258E" w:rsidRDefault="00BB4E9D" w:rsidP="00DC4E06">
            <w:pPr>
              <w:spacing w:before="100" w:beforeAutospacing="1" w:after="100" w:afterAutospacing="1"/>
              <w:contextualSpacing/>
              <w:jc w:val="both"/>
              <w:rPr>
                <w:rFonts w:ascii="Verdana" w:eastAsia="Arial Narrow" w:hAnsi="Verdana" w:cs="Arial Narrow"/>
                <w:color w:val="201F1E"/>
                <w:sz w:val="20"/>
                <w:szCs w:val="20"/>
                <w:lang w:val="es"/>
              </w:rPr>
            </w:pPr>
          </w:p>
        </w:tc>
      </w:tr>
    </w:tbl>
    <w:p w14:paraId="0AE35A15" w14:textId="77777777" w:rsidR="00BB4E9D" w:rsidRDefault="00BB4E9D" w:rsidP="00BE54BC">
      <w:pPr>
        <w:spacing w:before="100" w:beforeAutospacing="1" w:after="100" w:afterAutospacing="1"/>
        <w:contextualSpacing/>
        <w:jc w:val="both"/>
        <w:rPr>
          <w:rFonts w:ascii="Verdana" w:hAnsi="Verdana" w:cs="Arial"/>
          <w:lang w:eastAsia="es-CO"/>
        </w:rPr>
      </w:pPr>
    </w:p>
    <w:p w14:paraId="7182BB6E" w14:textId="77777777" w:rsidR="00582424" w:rsidRDefault="00582424" w:rsidP="00BE54BC">
      <w:pPr>
        <w:spacing w:before="100" w:beforeAutospacing="1" w:after="100" w:afterAutospacing="1"/>
        <w:contextualSpacing/>
        <w:jc w:val="both"/>
        <w:rPr>
          <w:rFonts w:ascii="Verdana" w:hAnsi="Verdana" w:cs="Arial"/>
          <w:lang w:eastAsia="es-CO"/>
        </w:rPr>
      </w:pPr>
    </w:p>
    <w:p w14:paraId="7B725832" w14:textId="77777777" w:rsidR="00582424" w:rsidRDefault="00582424" w:rsidP="00BE54BC">
      <w:pPr>
        <w:spacing w:before="100" w:beforeAutospacing="1" w:after="100" w:afterAutospacing="1"/>
        <w:contextualSpacing/>
        <w:jc w:val="both"/>
        <w:rPr>
          <w:rFonts w:ascii="Verdana" w:hAnsi="Verdana" w:cs="Arial"/>
          <w:lang w:eastAsia="es-CO"/>
        </w:rPr>
      </w:pPr>
    </w:p>
    <w:p w14:paraId="7114898B" w14:textId="77777777" w:rsidR="00BE54BC" w:rsidRDefault="00BE54BC" w:rsidP="00BE54BC">
      <w:pPr>
        <w:spacing w:before="100" w:beforeAutospacing="1" w:after="100" w:afterAutospacing="1"/>
        <w:contextualSpacing/>
        <w:jc w:val="both"/>
        <w:rPr>
          <w:rFonts w:ascii="Verdana" w:hAnsi="Verdana" w:cs="Arial"/>
        </w:rPr>
      </w:pPr>
    </w:p>
    <w:p w14:paraId="1047AEA5" w14:textId="77777777" w:rsidR="00BB4E9D" w:rsidRPr="00803254" w:rsidRDefault="00BB4E9D" w:rsidP="00BE54BC">
      <w:pPr>
        <w:spacing w:before="100" w:beforeAutospacing="1" w:after="100" w:afterAutospacing="1"/>
        <w:contextualSpacing/>
        <w:jc w:val="both"/>
        <w:rPr>
          <w:rFonts w:ascii="Verdana" w:hAnsi="Verdana" w:cs="Arial"/>
        </w:rPr>
      </w:pPr>
    </w:p>
    <w:p w14:paraId="24CC7E2C" w14:textId="4486253A" w:rsidR="00BE54BC" w:rsidRPr="00B31141" w:rsidRDefault="00BE54BC" w:rsidP="00BE54BC">
      <w:pPr>
        <w:spacing w:before="100" w:beforeAutospacing="1" w:after="100" w:afterAutospacing="1"/>
        <w:contextualSpacing/>
        <w:jc w:val="both"/>
        <w:rPr>
          <w:rFonts w:ascii="Verdana" w:hAnsi="Verdana" w:cs="Arial"/>
          <w:b/>
          <w:u w:val="single"/>
        </w:rPr>
      </w:pPr>
      <w:r w:rsidRPr="00B31141">
        <w:rPr>
          <w:rFonts w:ascii="Verdana" w:hAnsi="Verdana" w:cs="Arial"/>
          <w:b/>
          <w:u w:val="single"/>
        </w:rPr>
        <w:lastRenderedPageBreak/>
        <w:t>Año 20</w:t>
      </w:r>
      <w:r w:rsidR="002910A2">
        <w:rPr>
          <w:rFonts w:ascii="Verdana" w:hAnsi="Verdana" w:cs="Arial"/>
          <w:b/>
          <w:u w:val="single"/>
        </w:rPr>
        <w:t>23</w:t>
      </w:r>
      <w:r w:rsidRPr="00B31141">
        <w:rPr>
          <w:rFonts w:ascii="Verdana" w:hAnsi="Verdana" w:cs="Arial"/>
          <w:b/>
          <w:u w:val="single"/>
        </w:rPr>
        <w:t>:</w:t>
      </w:r>
    </w:p>
    <w:p w14:paraId="54113101" w14:textId="77777777" w:rsidR="00BE54BC" w:rsidRDefault="00BE54BC" w:rsidP="00BE54BC">
      <w:pPr>
        <w:spacing w:before="100" w:beforeAutospacing="1" w:after="100" w:afterAutospacing="1"/>
        <w:contextualSpacing/>
        <w:jc w:val="both"/>
        <w:rPr>
          <w:rFonts w:ascii="Verdana" w:hAnsi="Verdana" w:cs="Arial"/>
          <w:b/>
          <w:u w:val="single"/>
        </w:rPr>
      </w:pPr>
    </w:p>
    <w:tbl>
      <w:tblPr>
        <w:tblW w:w="9648" w:type="dxa"/>
        <w:tblCellMar>
          <w:top w:w="15" w:type="dxa"/>
          <w:left w:w="70" w:type="dxa"/>
          <w:right w:w="70" w:type="dxa"/>
        </w:tblCellMar>
        <w:tblLook w:val="04A0" w:firstRow="1" w:lastRow="0" w:firstColumn="1" w:lastColumn="0" w:noHBand="0" w:noVBand="1"/>
      </w:tblPr>
      <w:tblGrid>
        <w:gridCol w:w="2117"/>
        <w:gridCol w:w="2126"/>
        <w:gridCol w:w="5245"/>
        <w:gridCol w:w="160"/>
      </w:tblGrid>
      <w:tr w:rsidR="002910A2" w:rsidRPr="002910A2" w14:paraId="5F5399AD" w14:textId="77777777" w:rsidTr="0078445C">
        <w:trPr>
          <w:gridAfter w:val="1"/>
          <w:wAfter w:w="160" w:type="dxa"/>
          <w:trHeight w:val="450"/>
          <w:tblHeader/>
        </w:trPr>
        <w:tc>
          <w:tcPr>
            <w:tcW w:w="21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195F910" w14:textId="77777777" w:rsidR="002910A2" w:rsidRPr="002910A2" w:rsidRDefault="002910A2" w:rsidP="002910A2">
            <w:pPr>
              <w:spacing w:after="0" w:line="240" w:lineRule="auto"/>
              <w:jc w:val="center"/>
              <w:rPr>
                <w:rFonts w:ascii="Verdana" w:eastAsia="Times New Roman" w:hAnsi="Verdana" w:cs="Calibri"/>
                <w:b/>
                <w:bCs/>
                <w:color w:val="000000"/>
                <w:sz w:val="20"/>
                <w:szCs w:val="20"/>
                <w:lang w:eastAsia="es-CO"/>
              </w:rPr>
            </w:pPr>
            <w:r w:rsidRPr="002910A2">
              <w:rPr>
                <w:rFonts w:ascii="Verdana" w:eastAsia="Times New Roman" w:hAnsi="Verdana" w:cs="Calibri"/>
                <w:b/>
                <w:bCs/>
                <w:color w:val="000000"/>
                <w:sz w:val="20"/>
                <w:szCs w:val="20"/>
                <w:lang w:eastAsia="es-CO"/>
              </w:rPr>
              <w:t>CONCEPTO                                                 (PROGRAMA)</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180D7A5" w14:textId="77777777" w:rsidR="002910A2" w:rsidRPr="002910A2" w:rsidRDefault="002910A2" w:rsidP="002910A2">
            <w:pPr>
              <w:spacing w:after="0" w:line="240" w:lineRule="auto"/>
              <w:jc w:val="center"/>
              <w:rPr>
                <w:rFonts w:ascii="Verdana" w:eastAsia="Times New Roman" w:hAnsi="Verdana" w:cs="Calibri"/>
                <w:b/>
                <w:bCs/>
                <w:color w:val="000000"/>
                <w:sz w:val="20"/>
                <w:szCs w:val="20"/>
                <w:lang w:eastAsia="es-CO"/>
              </w:rPr>
            </w:pPr>
            <w:r w:rsidRPr="002910A2">
              <w:rPr>
                <w:rFonts w:ascii="Verdana" w:eastAsia="Times New Roman" w:hAnsi="Verdana" w:cs="Calibri"/>
                <w:b/>
                <w:bCs/>
                <w:color w:val="000000"/>
                <w:sz w:val="20"/>
                <w:szCs w:val="20"/>
                <w:lang w:eastAsia="es-CO"/>
              </w:rPr>
              <w:t>PROYECTO</w:t>
            </w:r>
          </w:p>
        </w:tc>
        <w:tc>
          <w:tcPr>
            <w:tcW w:w="52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6DDA018" w14:textId="77777777" w:rsidR="002910A2" w:rsidRPr="002910A2" w:rsidRDefault="002910A2" w:rsidP="002910A2">
            <w:pPr>
              <w:spacing w:after="0" w:line="240" w:lineRule="auto"/>
              <w:jc w:val="center"/>
              <w:rPr>
                <w:rFonts w:ascii="Verdana" w:eastAsia="Times New Roman" w:hAnsi="Verdana" w:cs="Calibri"/>
                <w:b/>
                <w:bCs/>
                <w:color w:val="000000"/>
                <w:sz w:val="20"/>
                <w:szCs w:val="20"/>
                <w:lang w:eastAsia="es-CO"/>
              </w:rPr>
            </w:pPr>
            <w:r w:rsidRPr="002910A2">
              <w:rPr>
                <w:rFonts w:ascii="Verdana" w:eastAsia="Times New Roman" w:hAnsi="Verdana" w:cs="Calibri"/>
                <w:b/>
                <w:bCs/>
                <w:color w:val="000000"/>
                <w:sz w:val="20"/>
                <w:szCs w:val="20"/>
                <w:lang w:eastAsia="es-CO"/>
              </w:rPr>
              <w:t>RESULTADO MISIONAL</w:t>
            </w:r>
          </w:p>
        </w:tc>
      </w:tr>
      <w:tr w:rsidR="002910A2" w:rsidRPr="002910A2" w14:paraId="47835B60" w14:textId="77777777" w:rsidTr="0078445C">
        <w:trPr>
          <w:trHeight w:val="375"/>
          <w:tblHeader/>
        </w:trPr>
        <w:tc>
          <w:tcPr>
            <w:tcW w:w="2117" w:type="dxa"/>
            <w:vMerge/>
            <w:tcBorders>
              <w:top w:val="single" w:sz="8" w:space="0" w:color="auto"/>
              <w:left w:val="single" w:sz="8" w:space="0" w:color="auto"/>
              <w:bottom w:val="single" w:sz="8" w:space="0" w:color="000000"/>
              <w:right w:val="single" w:sz="8" w:space="0" w:color="auto"/>
            </w:tcBorders>
            <w:vAlign w:val="center"/>
            <w:hideMark/>
          </w:tcPr>
          <w:p w14:paraId="253B5D56" w14:textId="77777777" w:rsidR="002910A2" w:rsidRPr="002910A2" w:rsidRDefault="002910A2" w:rsidP="002910A2">
            <w:pPr>
              <w:spacing w:after="0" w:line="240" w:lineRule="auto"/>
              <w:rPr>
                <w:rFonts w:ascii="Verdana" w:eastAsia="Times New Roman" w:hAnsi="Verdana" w:cs="Calibri"/>
                <w:b/>
                <w:bCs/>
                <w:color w:val="000000"/>
                <w:sz w:val="20"/>
                <w:szCs w:val="20"/>
                <w:lang w:eastAsia="es-CO"/>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14:paraId="71787DC3" w14:textId="77777777" w:rsidR="002910A2" w:rsidRPr="002910A2" w:rsidRDefault="002910A2" w:rsidP="002910A2">
            <w:pPr>
              <w:spacing w:after="0" w:line="240" w:lineRule="auto"/>
              <w:rPr>
                <w:rFonts w:ascii="Verdana" w:eastAsia="Times New Roman" w:hAnsi="Verdana" w:cs="Calibri"/>
                <w:b/>
                <w:bCs/>
                <w:color w:val="000000"/>
                <w:sz w:val="20"/>
                <w:szCs w:val="20"/>
                <w:lang w:eastAsia="es-CO"/>
              </w:rPr>
            </w:pPr>
          </w:p>
        </w:tc>
        <w:tc>
          <w:tcPr>
            <w:tcW w:w="5245" w:type="dxa"/>
            <w:vMerge/>
            <w:tcBorders>
              <w:top w:val="single" w:sz="8" w:space="0" w:color="auto"/>
              <w:left w:val="single" w:sz="8" w:space="0" w:color="auto"/>
              <w:bottom w:val="single" w:sz="8" w:space="0" w:color="000000"/>
              <w:right w:val="single" w:sz="8" w:space="0" w:color="auto"/>
            </w:tcBorders>
            <w:vAlign w:val="center"/>
            <w:hideMark/>
          </w:tcPr>
          <w:p w14:paraId="367D93A8" w14:textId="77777777" w:rsidR="002910A2" w:rsidRPr="002910A2" w:rsidRDefault="002910A2" w:rsidP="002910A2">
            <w:pPr>
              <w:spacing w:after="0" w:line="240" w:lineRule="auto"/>
              <w:rPr>
                <w:rFonts w:ascii="Verdana" w:eastAsia="Times New Roman" w:hAnsi="Verdana" w:cs="Calibri"/>
                <w:b/>
                <w:bCs/>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A966A94" w14:textId="77777777" w:rsidR="002910A2" w:rsidRPr="002910A2" w:rsidRDefault="002910A2" w:rsidP="002910A2">
            <w:pPr>
              <w:spacing w:after="0" w:line="240" w:lineRule="auto"/>
              <w:jc w:val="center"/>
              <w:rPr>
                <w:rFonts w:ascii="Verdana" w:eastAsia="Times New Roman" w:hAnsi="Verdana" w:cs="Calibri"/>
                <w:b/>
                <w:bCs/>
                <w:color w:val="000000"/>
                <w:sz w:val="20"/>
                <w:szCs w:val="20"/>
                <w:lang w:eastAsia="es-CO"/>
              </w:rPr>
            </w:pPr>
          </w:p>
        </w:tc>
      </w:tr>
      <w:tr w:rsidR="002910A2" w:rsidRPr="002910A2" w14:paraId="3B13B685" w14:textId="77777777" w:rsidTr="002910A2">
        <w:trPr>
          <w:trHeight w:val="315"/>
        </w:trPr>
        <w:tc>
          <w:tcPr>
            <w:tcW w:w="9488"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55540C7" w14:textId="77777777" w:rsidR="002910A2" w:rsidRPr="002910A2" w:rsidRDefault="002910A2" w:rsidP="002910A2">
            <w:pPr>
              <w:spacing w:after="0" w:line="240" w:lineRule="auto"/>
              <w:jc w:val="center"/>
              <w:rPr>
                <w:rFonts w:ascii="Verdana" w:eastAsia="Times New Roman" w:hAnsi="Verdana" w:cs="Calibri"/>
                <w:b/>
                <w:bCs/>
                <w:color w:val="000000"/>
                <w:sz w:val="20"/>
                <w:szCs w:val="20"/>
                <w:lang w:eastAsia="es-CO"/>
              </w:rPr>
            </w:pPr>
            <w:r w:rsidRPr="002910A2">
              <w:rPr>
                <w:rFonts w:ascii="Verdana" w:eastAsia="Times New Roman" w:hAnsi="Verdana" w:cs="Calibri"/>
                <w:b/>
                <w:bCs/>
                <w:color w:val="000000"/>
                <w:sz w:val="20"/>
                <w:szCs w:val="20"/>
                <w:lang w:eastAsia="es-CO"/>
              </w:rPr>
              <w:t>INVERSIÓN</w:t>
            </w:r>
          </w:p>
        </w:tc>
        <w:tc>
          <w:tcPr>
            <w:tcW w:w="160" w:type="dxa"/>
            <w:vAlign w:val="center"/>
            <w:hideMark/>
          </w:tcPr>
          <w:p w14:paraId="02A2D00A"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3C606BE5" w14:textId="77777777" w:rsidTr="0078445C">
        <w:trPr>
          <w:trHeight w:val="300"/>
        </w:trPr>
        <w:tc>
          <w:tcPr>
            <w:tcW w:w="2117" w:type="dxa"/>
            <w:vMerge w:val="restart"/>
            <w:tcBorders>
              <w:top w:val="nil"/>
              <w:left w:val="single" w:sz="8" w:space="0" w:color="auto"/>
              <w:bottom w:val="single" w:sz="4" w:space="0" w:color="000000"/>
              <w:right w:val="nil"/>
            </w:tcBorders>
            <w:shd w:val="clear" w:color="auto" w:fill="auto"/>
            <w:vAlign w:val="center"/>
            <w:hideMark/>
          </w:tcPr>
          <w:p w14:paraId="7E4DF092" w14:textId="77777777" w:rsidR="002910A2" w:rsidRPr="002910A2" w:rsidRDefault="002910A2" w:rsidP="002910A2">
            <w:pPr>
              <w:spacing w:after="0" w:line="240" w:lineRule="auto"/>
              <w:jc w:val="center"/>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Fortalecimiento de la gestión y dirección del sector hacienda</w:t>
            </w:r>
          </w:p>
        </w:tc>
        <w:tc>
          <w:tcPr>
            <w:tcW w:w="2126" w:type="dxa"/>
            <w:vMerge w:val="restart"/>
            <w:tcBorders>
              <w:top w:val="nil"/>
              <w:left w:val="single" w:sz="8" w:space="0" w:color="auto"/>
              <w:bottom w:val="nil"/>
              <w:right w:val="single" w:sz="8" w:space="0" w:color="auto"/>
            </w:tcBorders>
            <w:shd w:val="clear" w:color="auto" w:fill="auto"/>
            <w:vAlign w:val="center"/>
            <w:hideMark/>
          </w:tcPr>
          <w:p w14:paraId="0F13033C" w14:textId="77777777"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Adquisición de una nueva sede integrada para la Supersolidaria en Bogotá</w:t>
            </w:r>
          </w:p>
        </w:tc>
        <w:tc>
          <w:tcPr>
            <w:tcW w:w="5245" w:type="dxa"/>
            <w:vMerge w:val="restart"/>
            <w:tcBorders>
              <w:top w:val="nil"/>
              <w:left w:val="single" w:sz="8" w:space="0" w:color="auto"/>
              <w:bottom w:val="nil"/>
              <w:right w:val="single" w:sz="8" w:space="0" w:color="auto"/>
            </w:tcBorders>
            <w:shd w:val="clear" w:color="auto" w:fill="auto"/>
            <w:vAlign w:val="bottom"/>
            <w:hideMark/>
          </w:tcPr>
          <w:p w14:paraId="16B21809" w14:textId="77777777"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Este proyecto tiene como propósito Adquirir infraestructura para la operación y prestación de los servicios de la Superintendencia de Economía Solidaria.</w:t>
            </w:r>
          </w:p>
          <w:p w14:paraId="3C02D4C4" w14:textId="77777777"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 xml:space="preserve">                                                                  </w:t>
            </w:r>
            <w:r w:rsidRPr="002910A2">
              <w:rPr>
                <w:rFonts w:ascii="Verdana" w:eastAsia="Times New Roman" w:hAnsi="Verdana" w:cs="Calibri"/>
                <w:color w:val="000000"/>
                <w:sz w:val="20"/>
                <w:szCs w:val="20"/>
                <w:lang w:eastAsia="es-CO"/>
              </w:rPr>
              <w:br/>
              <w:t>Dentro de la ejecución del proyecto “Adquisición de una nueva sede integrada para la Supersolidaria en Bogotá”, se pueden destacar los siguientes logros para el horizonte contemplado:</w:t>
            </w:r>
          </w:p>
          <w:p w14:paraId="1B72C4E2" w14:textId="77777777"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 xml:space="preserve"> </w:t>
            </w:r>
            <w:r w:rsidRPr="002910A2">
              <w:rPr>
                <w:rFonts w:ascii="Verdana" w:eastAsia="Times New Roman" w:hAnsi="Verdana" w:cs="Calibri"/>
                <w:color w:val="000000"/>
                <w:sz w:val="20"/>
                <w:szCs w:val="20"/>
                <w:lang w:eastAsia="es-CO"/>
              </w:rPr>
              <w:br/>
              <w:t>• Suscrición de la promesa de compraventa de la nueva sede.</w:t>
            </w:r>
          </w:p>
          <w:p w14:paraId="13C6B2B5" w14:textId="77777777"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 xml:space="preserve"> </w:t>
            </w:r>
            <w:r w:rsidRPr="002910A2">
              <w:rPr>
                <w:rFonts w:ascii="Verdana" w:eastAsia="Times New Roman" w:hAnsi="Verdana" w:cs="Calibri"/>
                <w:color w:val="000000"/>
                <w:sz w:val="20"/>
                <w:szCs w:val="20"/>
                <w:lang w:eastAsia="es-CO"/>
              </w:rPr>
              <w:br/>
              <w:t xml:space="preserve">•Adecuaciones necesarias para el funcionamiento de la entidad en la nueva sede por parte del proveedor del inmueble. </w:t>
            </w:r>
            <w:r w:rsidRPr="002910A2">
              <w:rPr>
                <w:rFonts w:ascii="Verdana" w:eastAsia="Times New Roman" w:hAnsi="Verdana" w:cs="Calibri"/>
                <w:color w:val="000000"/>
                <w:sz w:val="20"/>
                <w:szCs w:val="20"/>
                <w:lang w:eastAsia="es-CO"/>
              </w:rPr>
              <w:br/>
              <w:t>• El traslado de la entidad a la nueva sede se realizó entre el 13 y el 17 de abril de 2023, comenzando la operación plena el día 17 de abril de 2023.</w:t>
            </w:r>
          </w:p>
          <w:p w14:paraId="676FC161" w14:textId="6D2FBC08" w:rsidR="002910A2" w:rsidRPr="002910A2" w:rsidRDefault="002910A2" w:rsidP="002910A2">
            <w:pPr>
              <w:spacing w:after="0" w:line="240" w:lineRule="auto"/>
              <w:jc w:val="both"/>
              <w:rPr>
                <w:rFonts w:ascii="Verdana" w:eastAsia="Times New Roman" w:hAnsi="Verdana" w:cs="Calibri"/>
                <w:color w:val="000000"/>
                <w:sz w:val="20"/>
                <w:szCs w:val="20"/>
                <w:lang w:eastAsia="es-CO"/>
              </w:rPr>
            </w:pPr>
          </w:p>
        </w:tc>
        <w:tc>
          <w:tcPr>
            <w:tcW w:w="160" w:type="dxa"/>
            <w:vAlign w:val="center"/>
            <w:hideMark/>
          </w:tcPr>
          <w:p w14:paraId="455A8300"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34471039" w14:textId="77777777" w:rsidTr="0078445C">
        <w:trPr>
          <w:trHeight w:val="300"/>
        </w:trPr>
        <w:tc>
          <w:tcPr>
            <w:tcW w:w="2117" w:type="dxa"/>
            <w:vMerge/>
            <w:tcBorders>
              <w:top w:val="nil"/>
              <w:left w:val="single" w:sz="8" w:space="0" w:color="auto"/>
              <w:bottom w:val="single" w:sz="4" w:space="0" w:color="000000"/>
              <w:right w:val="nil"/>
            </w:tcBorders>
            <w:vAlign w:val="center"/>
            <w:hideMark/>
          </w:tcPr>
          <w:p w14:paraId="5A18025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8" w:space="0" w:color="auto"/>
              <w:bottom w:val="nil"/>
              <w:right w:val="single" w:sz="8" w:space="0" w:color="auto"/>
            </w:tcBorders>
            <w:vAlign w:val="center"/>
            <w:hideMark/>
          </w:tcPr>
          <w:p w14:paraId="661D93E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8" w:space="0" w:color="auto"/>
              <w:bottom w:val="nil"/>
              <w:right w:val="single" w:sz="8" w:space="0" w:color="auto"/>
            </w:tcBorders>
            <w:vAlign w:val="center"/>
            <w:hideMark/>
          </w:tcPr>
          <w:p w14:paraId="17BFBA6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315F68DF"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r>
      <w:tr w:rsidR="002910A2" w:rsidRPr="002910A2" w14:paraId="40B8B59D" w14:textId="77777777" w:rsidTr="0078445C">
        <w:trPr>
          <w:trHeight w:val="300"/>
        </w:trPr>
        <w:tc>
          <w:tcPr>
            <w:tcW w:w="2117" w:type="dxa"/>
            <w:vMerge/>
            <w:tcBorders>
              <w:top w:val="nil"/>
              <w:left w:val="single" w:sz="8" w:space="0" w:color="auto"/>
              <w:bottom w:val="single" w:sz="4" w:space="0" w:color="000000"/>
              <w:right w:val="nil"/>
            </w:tcBorders>
            <w:vAlign w:val="center"/>
            <w:hideMark/>
          </w:tcPr>
          <w:p w14:paraId="2546330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8" w:space="0" w:color="auto"/>
              <w:bottom w:val="nil"/>
              <w:right w:val="single" w:sz="8" w:space="0" w:color="auto"/>
            </w:tcBorders>
            <w:vAlign w:val="center"/>
            <w:hideMark/>
          </w:tcPr>
          <w:p w14:paraId="1121331F"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8" w:space="0" w:color="auto"/>
              <w:bottom w:val="nil"/>
              <w:right w:val="single" w:sz="8" w:space="0" w:color="auto"/>
            </w:tcBorders>
            <w:vAlign w:val="center"/>
            <w:hideMark/>
          </w:tcPr>
          <w:p w14:paraId="41B2E4FC"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7075E48"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1A712388" w14:textId="77777777" w:rsidTr="0078445C">
        <w:trPr>
          <w:trHeight w:val="300"/>
        </w:trPr>
        <w:tc>
          <w:tcPr>
            <w:tcW w:w="2117" w:type="dxa"/>
            <w:vMerge/>
            <w:tcBorders>
              <w:top w:val="nil"/>
              <w:left w:val="single" w:sz="8" w:space="0" w:color="auto"/>
              <w:bottom w:val="single" w:sz="4" w:space="0" w:color="000000"/>
              <w:right w:val="nil"/>
            </w:tcBorders>
            <w:vAlign w:val="center"/>
            <w:hideMark/>
          </w:tcPr>
          <w:p w14:paraId="091C307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8" w:space="0" w:color="auto"/>
              <w:bottom w:val="nil"/>
              <w:right w:val="single" w:sz="8" w:space="0" w:color="auto"/>
            </w:tcBorders>
            <w:vAlign w:val="center"/>
            <w:hideMark/>
          </w:tcPr>
          <w:p w14:paraId="197CE6D5"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8" w:space="0" w:color="auto"/>
              <w:bottom w:val="nil"/>
              <w:right w:val="single" w:sz="8" w:space="0" w:color="auto"/>
            </w:tcBorders>
            <w:vAlign w:val="center"/>
            <w:hideMark/>
          </w:tcPr>
          <w:p w14:paraId="67B02E6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6CF1FC83"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70FE1AB4" w14:textId="77777777" w:rsidTr="0078445C">
        <w:trPr>
          <w:trHeight w:val="300"/>
        </w:trPr>
        <w:tc>
          <w:tcPr>
            <w:tcW w:w="2117" w:type="dxa"/>
            <w:vMerge/>
            <w:tcBorders>
              <w:top w:val="nil"/>
              <w:left w:val="single" w:sz="8" w:space="0" w:color="auto"/>
              <w:bottom w:val="single" w:sz="4" w:space="0" w:color="000000"/>
              <w:right w:val="nil"/>
            </w:tcBorders>
            <w:vAlign w:val="center"/>
            <w:hideMark/>
          </w:tcPr>
          <w:p w14:paraId="016CC84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8" w:space="0" w:color="auto"/>
              <w:bottom w:val="nil"/>
              <w:right w:val="single" w:sz="8" w:space="0" w:color="auto"/>
            </w:tcBorders>
            <w:vAlign w:val="center"/>
            <w:hideMark/>
          </w:tcPr>
          <w:p w14:paraId="454C74F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8" w:space="0" w:color="auto"/>
              <w:bottom w:val="nil"/>
              <w:right w:val="single" w:sz="8" w:space="0" w:color="auto"/>
            </w:tcBorders>
            <w:vAlign w:val="center"/>
            <w:hideMark/>
          </w:tcPr>
          <w:p w14:paraId="2130A092"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618CC8BE"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50FEE30B" w14:textId="77777777" w:rsidTr="0078445C">
        <w:trPr>
          <w:trHeight w:val="300"/>
        </w:trPr>
        <w:tc>
          <w:tcPr>
            <w:tcW w:w="2117" w:type="dxa"/>
            <w:vMerge/>
            <w:tcBorders>
              <w:top w:val="nil"/>
              <w:left w:val="single" w:sz="8" w:space="0" w:color="auto"/>
              <w:bottom w:val="single" w:sz="4" w:space="0" w:color="000000"/>
              <w:right w:val="nil"/>
            </w:tcBorders>
            <w:vAlign w:val="center"/>
            <w:hideMark/>
          </w:tcPr>
          <w:p w14:paraId="5F536AFE"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8" w:space="0" w:color="auto"/>
              <w:bottom w:val="nil"/>
              <w:right w:val="single" w:sz="8" w:space="0" w:color="auto"/>
            </w:tcBorders>
            <w:vAlign w:val="center"/>
            <w:hideMark/>
          </w:tcPr>
          <w:p w14:paraId="1E3C790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8" w:space="0" w:color="auto"/>
              <w:bottom w:val="nil"/>
              <w:right w:val="single" w:sz="8" w:space="0" w:color="auto"/>
            </w:tcBorders>
            <w:vAlign w:val="center"/>
            <w:hideMark/>
          </w:tcPr>
          <w:p w14:paraId="10FACFF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108FDD7"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5D5E8EE9" w14:textId="77777777" w:rsidTr="0078445C">
        <w:trPr>
          <w:trHeight w:val="1215"/>
        </w:trPr>
        <w:tc>
          <w:tcPr>
            <w:tcW w:w="2117" w:type="dxa"/>
            <w:vMerge/>
            <w:tcBorders>
              <w:top w:val="nil"/>
              <w:left w:val="single" w:sz="8" w:space="0" w:color="auto"/>
              <w:bottom w:val="single" w:sz="4" w:space="0" w:color="000000"/>
              <w:right w:val="nil"/>
            </w:tcBorders>
            <w:vAlign w:val="center"/>
            <w:hideMark/>
          </w:tcPr>
          <w:p w14:paraId="5D58F0D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8" w:space="0" w:color="auto"/>
              <w:bottom w:val="nil"/>
              <w:right w:val="single" w:sz="8" w:space="0" w:color="auto"/>
            </w:tcBorders>
            <w:vAlign w:val="center"/>
            <w:hideMark/>
          </w:tcPr>
          <w:p w14:paraId="381C573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8" w:space="0" w:color="auto"/>
              <w:bottom w:val="nil"/>
              <w:right w:val="single" w:sz="8" w:space="0" w:color="auto"/>
            </w:tcBorders>
            <w:vAlign w:val="center"/>
            <w:hideMark/>
          </w:tcPr>
          <w:p w14:paraId="324B0DDC"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45F76D5"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51A55C34" w14:textId="77777777" w:rsidTr="0078445C">
        <w:trPr>
          <w:trHeight w:val="1345"/>
        </w:trPr>
        <w:tc>
          <w:tcPr>
            <w:tcW w:w="2117" w:type="dxa"/>
            <w:vMerge/>
            <w:tcBorders>
              <w:top w:val="nil"/>
              <w:left w:val="single" w:sz="8" w:space="0" w:color="auto"/>
              <w:bottom w:val="single" w:sz="4" w:space="0" w:color="000000"/>
              <w:right w:val="nil"/>
            </w:tcBorders>
            <w:vAlign w:val="center"/>
            <w:hideMark/>
          </w:tcPr>
          <w:p w14:paraId="0F9D701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0F37A" w14:textId="77777777"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Administración del acervo documental de la Supersolidaria Bogotá</w:t>
            </w:r>
          </w:p>
        </w:tc>
        <w:tc>
          <w:tcPr>
            <w:tcW w:w="5245" w:type="dxa"/>
            <w:tcBorders>
              <w:top w:val="single" w:sz="4" w:space="0" w:color="auto"/>
              <w:left w:val="nil"/>
              <w:bottom w:val="single" w:sz="4" w:space="0" w:color="auto"/>
              <w:right w:val="single" w:sz="8" w:space="0" w:color="auto"/>
            </w:tcBorders>
            <w:shd w:val="clear" w:color="auto" w:fill="auto"/>
            <w:vAlign w:val="center"/>
            <w:hideMark/>
          </w:tcPr>
          <w:p w14:paraId="67ACF937" w14:textId="77777777"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Este proyecto tiene como propósito: Organizar el acervo documental de la Supersolidaria.</w:t>
            </w:r>
            <w:r w:rsidRPr="002910A2">
              <w:rPr>
                <w:rFonts w:ascii="Verdana" w:eastAsia="Times New Roman" w:hAnsi="Verdana" w:cs="Calibri"/>
                <w:color w:val="000000"/>
                <w:sz w:val="20"/>
                <w:szCs w:val="20"/>
                <w:lang w:eastAsia="es-CO"/>
              </w:rPr>
              <w:br/>
              <w:t xml:space="preserve">Dentro de la ejecución del proyecto “Administración del Acervo Documental de la Supersolidaria Bogotá”, se pueden destacar los siguientes logros para el horizonte contemplado (2019-2023): </w:t>
            </w:r>
            <w:r w:rsidRPr="002910A2">
              <w:rPr>
                <w:rFonts w:ascii="Verdana" w:eastAsia="Times New Roman" w:hAnsi="Verdana" w:cs="Calibri"/>
                <w:color w:val="000000"/>
                <w:sz w:val="20"/>
                <w:szCs w:val="20"/>
                <w:lang w:eastAsia="es-CO"/>
              </w:rPr>
              <w:br/>
              <w:t>• Se avanzó en la actualización de los documentos asociados al proceso dentro del sistema integrado de gestión de la Entidad. Siendo está actualización un avance fundamental para asegurar la eficiencia y eficacia en la gestión de la información dentro de la organización.</w:t>
            </w:r>
          </w:p>
          <w:p w14:paraId="41E944BF" w14:textId="48C2791C"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 xml:space="preserve"> </w:t>
            </w:r>
            <w:r w:rsidRPr="002910A2">
              <w:rPr>
                <w:rFonts w:ascii="Verdana" w:eastAsia="Times New Roman" w:hAnsi="Verdana" w:cs="Calibri"/>
                <w:color w:val="000000"/>
                <w:sz w:val="20"/>
                <w:szCs w:val="20"/>
                <w:lang w:eastAsia="es-CO"/>
              </w:rPr>
              <w:br/>
              <w:t>• Realizar actividades dedicadas a la ejecución e implementación de instrumentos archivísticos. Las cuales tuvieron un enfoque centrado en la organización de los documentos y la elaboración de un inventario documental preciso. Así como, mantener los instrumentos archivísticos actualizados para garantizar el acceso oportuno y la preservación adecuada de la documentación, lo que a su vez contribuye a la transparencia y rendición de cuentas de la entidad.</w:t>
            </w:r>
          </w:p>
        </w:tc>
        <w:tc>
          <w:tcPr>
            <w:tcW w:w="160" w:type="dxa"/>
            <w:vAlign w:val="center"/>
            <w:hideMark/>
          </w:tcPr>
          <w:p w14:paraId="2CFF1A6C"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6F472C23" w14:textId="77777777" w:rsidTr="0078445C">
        <w:trPr>
          <w:trHeight w:val="5381"/>
        </w:trPr>
        <w:tc>
          <w:tcPr>
            <w:tcW w:w="2117" w:type="dxa"/>
            <w:vMerge/>
            <w:tcBorders>
              <w:top w:val="nil"/>
              <w:left w:val="single" w:sz="8" w:space="0" w:color="auto"/>
              <w:bottom w:val="single" w:sz="4" w:space="0" w:color="000000"/>
              <w:right w:val="nil"/>
            </w:tcBorders>
            <w:vAlign w:val="center"/>
            <w:hideMark/>
          </w:tcPr>
          <w:p w14:paraId="4FCF0ED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val="restart"/>
            <w:tcBorders>
              <w:top w:val="nil"/>
              <w:left w:val="single" w:sz="4" w:space="0" w:color="auto"/>
              <w:bottom w:val="single" w:sz="4" w:space="0" w:color="000000"/>
              <w:right w:val="single" w:sz="4" w:space="0" w:color="auto"/>
            </w:tcBorders>
            <w:shd w:val="clear" w:color="auto" w:fill="auto"/>
            <w:vAlign w:val="center"/>
            <w:hideMark/>
          </w:tcPr>
          <w:p w14:paraId="5579CAD6" w14:textId="77777777"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Fortalecimiento de la arquitectura tecnológica de la Supersolidaria en Bogotá</w:t>
            </w:r>
          </w:p>
        </w:tc>
        <w:tc>
          <w:tcPr>
            <w:tcW w:w="5245" w:type="dxa"/>
            <w:vMerge w:val="restart"/>
            <w:tcBorders>
              <w:top w:val="nil"/>
              <w:left w:val="single" w:sz="4" w:space="0" w:color="auto"/>
              <w:bottom w:val="single" w:sz="4" w:space="0" w:color="000000"/>
              <w:right w:val="single" w:sz="8" w:space="0" w:color="auto"/>
            </w:tcBorders>
            <w:shd w:val="clear" w:color="auto" w:fill="auto"/>
            <w:vAlign w:val="center"/>
            <w:hideMark/>
          </w:tcPr>
          <w:p w14:paraId="7A0B8A99" w14:textId="77777777"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Este proyecto tiene como propósito: Fortalecer la generación y entrega de productos de TI.</w:t>
            </w:r>
          </w:p>
          <w:p w14:paraId="1885B8B8" w14:textId="77777777"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br/>
              <w:t xml:space="preserve">El proyecto de Fortalecimiento de la Arquitectura Tecnológica de la Supersolidaria en Bogotá ha logrado importantes avances que han tenido un impacto positivo en la infraestructura tecnológica de la entidad. En ese sentido, se presentan los siguientes obtenidos por cada producto: </w:t>
            </w:r>
            <w:r w:rsidRPr="002910A2">
              <w:rPr>
                <w:rFonts w:ascii="Verdana" w:eastAsia="Times New Roman" w:hAnsi="Verdana" w:cs="Calibri"/>
                <w:color w:val="000000"/>
                <w:sz w:val="20"/>
                <w:szCs w:val="20"/>
                <w:lang w:eastAsia="es-CO"/>
              </w:rPr>
              <w:br/>
              <w:t xml:space="preserve">• Servicios tecnológicos o Mantener las capacidades y soporte de los servicios. </w:t>
            </w:r>
            <w:r w:rsidRPr="002910A2">
              <w:rPr>
                <w:rFonts w:ascii="Verdana" w:eastAsia="Times New Roman" w:hAnsi="Verdana" w:cs="Calibri"/>
                <w:color w:val="000000"/>
                <w:sz w:val="20"/>
                <w:szCs w:val="20"/>
                <w:lang w:eastAsia="es-CO"/>
              </w:rPr>
              <w:br/>
              <w:t xml:space="preserve">• Renovación del licenciamiento y garantía de la solución de </w:t>
            </w:r>
            <w:proofErr w:type="spellStart"/>
            <w:r w:rsidRPr="002910A2">
              <w:rPr>
                <w:rFonts w:ascii="Verdana" w:eastAsia="Times New Roman" w:hAnsi="Verdana" w:cs="Calibri"/>
                <w:color w:val="000000"/>
                <w:sz w:val="20"/>
                <w:szCs w:val="20"/>
                <w:lang w:eastAsia="es-CO"/>
              </w:rPr>
              <w:t>hiperconvergencia</w:t>
            </w:r>
            <w:proofErr w:type="spellEnd"/>
            <w:r w:rsidRPr="002910A2">
              <w:rPr>
                <w:rFonts w:ascii="Verdana" w:eastAsia="Times New Roman" w:hAnsi="Verdana" w:cs="Calibri"/>
                <w:color w:val="000000"/>
                <w:sz w:val="20"/>
                <w:szCs w:val="20"/>
                <w:lang w:eastAsia="es-CO"/>
              </w:rPr>
              <w:t xml:space="preserve">. </w:t>
            </w:r>
            <w:r w:rsidRPr="002910A2">
              <w:rPr>
                <w:rFonts w:ascii="Verdana" w:eastAsia="Times New Roman" w:hAnsi="Verdana" w:cs="Calibri"/>
                <w:color w:val="000000"/>
                <w:sz w:val="20"/>
                <w:szCs w:val="20"/>
                <w:lang w:eastAsia="es-CO"/>
              </w:rPr>
              <w:br/>
              <w:t xml:space="preserve">• Actualización de la solución de antivirus. o Adquisición y renovación de soportes de fábrica del licenciamiento de Veeam </w:t>
            </w:r>
            <w:proofErr w:type="spellStart"/>
            <w:r w:rsidRPr="002910A2">
              <w:rPr>
                <w:rFonts w:ascii="Verdana" w:eastAsia="Times New Roman" w:hAnsi="Verdana" w:cs="Calibri"/>
                <w:color w:val="000000"/>
                <w:sz w:val="20"/>
                <w:szCs w:val="20"/>
                <w:lang w:eastAsia="es-CO"/>
              </w:rPr>
              <w:t>Backup</w:t>
            </w:r>
            <w:proofErr w:type="spellEnd"/>
            <w:r w:rsidRPr="002910A2">
              <w:rPr>
                <w:rFonts w:ascii="Verdana" w:eastAsia="Times New Roman" w:hAnsi="Verdana" w:cs="Calibri"/>
                <w:color w:val="000000"/>
                <w:sz w:val="20"/>
                <w:szCs w:val="20"/>
                <w:lang w:eastAsia="es-CO"/>
              </w:rPr>
              <w:t xml:space="preserve">. </w:t>
            </w:r>
            <w:r w:rsidRPr="002910A2">
              <w:rPr>
                <w:rFonts w:ascii="Verdana" w:eastAsia="Times New Roman" w:hAnsi="Verdana" w:cs="Calibri"/>
                <w:color w:val="000000"/>
                <w:sz w:val="20"/>
                <w:szCs w:val="20"/>
                <w:lang w:eastAsia="es-CO"/>
              </w:rPr>
              <w:br/>
              <w:t>• Prestación del servicio de renovación de licenciamiento Microsoft.</w:t>
            </w:r>
          </w:p>
          <w:p w14:paraId="383E3B92" w14:textId="6F2D6C3F"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 xml:space="preserve"> • Implementación de la prestación del servicio en la nube </w:t>
            </w:r>
            <w:proofErr w:type="spellStart"/>
            <w:r w:rsidRPr="002910A2">
              <w:rPr>
                <w:rFonts w:ascii="Verdana" w:eastAsia="Times New Roman" w:hAnsi="Verdana" w:cs="Calibri"/>
                <w:color w:val="000000"/>
                <w:sz w:val="20"/>
                <w:szCs w:val="20"/>
                <w:lang w:eastAsia="es-CO"/>
              </w:rPr>
              <w:t>SmartKey</w:t>
            </w:r>
            <w:proofErr w:type="spellEnd"/>
            <w:r w:rsidRPr="002910A2">
              <w:rPr>
                <w:rFonts w:ascii="Verdana" w:eastAsia="Times New Roman" w:hAnsi="Verdana" w:cs="Calibri"/>
                <w:color w:val="000000"/>
                <w:sz w:val="20"/>
                <w:szCs w:val="20"/>
                <w:lang w:eastAsia="es-CO"/>
              </w:rPr>
              <w:t xml:space="preserve"> bajo la plataforma Google </w:t>
            </w:r>
            <w:proofErr w:type="spellStart"/>
            <w:r w:rsidRPr="002910A2">
              <w:rPr>
                <w:rFonts w:ascii="Verdana" w:eastAsia="Times New Roman" w:hAnsi="Verdana" w:cs="Calibri"/>
                <w:color w:val="000000"/>
                <w:sz w:val="20"/>
                <w:szCs w:val="20"/>
                <w:lang w:eastAsia="es-CO"/>
              </w:rPr>
              <w:t>Workspace</w:t>
            </w:r>
            <w:proofErr w:type="spellEnd"/>
            <w:r w:rsidRPr="002910A2">
              <w:rPr>
                <w:rFonts w:ascii="Verdana" w:eastAsia="Times New Roman" w:hAnsi="Verdana" w:cs="Calibri"/>
                <w:color w:val="000000"/>
                <w:sz w:val="20"/>
                <w:szCs w:val="20"/>
                <w:lang w:eastAsia="es-CO"/>
              </w:rPr>
              <w:t>.</w:t>
            </w:r>
          </w:p>
          <w:p w14:paraId="3B07AE9D" w14:textId="1DDCC6F8"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lastRenderedPageBreak/>
              <w:t xml:space="preserve"> </w:t>
            </w:r>
            <w:r w:rsidRPr="002910A2">
              <w:rPr>
                <w:rFonts w:ascii="Verdana" w:eastAsia="Times New Roman" w:hAnsi="Verdana" w:cs="Calibri"/>
                <w:color w:val="000000"/>
                <w:sz w:val="20"/>
                <w:szCs w:val="20"/>
                <w:lang w:eastAsia="es-CO"/>
              </w:rPr>
              <w:br/>
              <w:t xml:space="preserve">• Enfoque en la integración eficaz del servicio de Google </w:t>
            </w:r>
            <w:proofErr w:type="spellStart"/>
            <w:r w:rsidRPr="002910A2">
              <w:rPr>
                <w:rFonts w:ascii="Verdana" w:eastAsia="Times New Roman" w:hAnsi="Verdana" w:cs="Calibri"/>
                <w:color w:val="000000"/>
                <w:sz w:val="20"/>
                <w:szCs w:val="20"/>
                <w:lang w:eastAsia="es-CO"/>
              </w:rPr>
              <w:t>Workspace</w:t>
            </w:r>
            <w:proofErr w:type="spellEnd"/>
            <w:r w:rsidRPr="002910A2">
              <w:rPr>
                <w:rFonts w:ascii="Verdana" w:eastAsia="Times New Roman" w:hAnsi="Verdana" w:cs="Calibri"/>
                <w:color w:val="000000"/>
                <w:sz w:val="20"/>
                <w:szCs w:val="20"/>
                <w:lang w:eastAsia="es-CO"/>
              </w:rPr>
              <w:t xml:space="preserve"> para optimizar y fortalecer la operatividad tecnológica global. </w:t>
            </w:r>
            <w:r w:rsidRPr="002910A2">
              <w:rPr>
                <w:rFonts w:ascii="Verdana" w:eastAsia="Times New Roman" w:hAnsi="Verdana" w:cs="Calibri"/>
                <w:color w:val="000000"/>
                <w:sz w:val="20"/>
                <w:szCs w:val="20"/>
                <w:lang w:eastAsia="es-CO"/>
              </w:rPr>
              <w:br/>
              <w:t xml:space="preserve">• Contratación para la adquisición y renovación del licenciamiento y soporte técnico de Fortinet. </w:t>
            </w:r>
            <w:r w:rsidRPr="002910A2">
              <w:rPr>
                <w:rFonts w:ascii="Verdana" w:eastAsia="Times New Roman" w:hAnsi="Verdana" w:cs="Calibri"/>
                <w:color w:val="000000"/>
                <w:sz w:val="20"/>
                <w:szCs w:val="20"/>
                <w:lang w:eastAsia="es-CO"/>
              </w:rPr>
              <w:br/>
              <w:t xml:space="preserve">• Contratación de </w:t>
            </w:r>
            <w:r w:rsidR="00AE1A49">
              <w:rPr>
                <w:rFonts w:ascii="Verdana" w:eastAsia="Times New Roman" w:hAnsi="Verdana" w:cs="Calibri"/>
                <w:color w:val="000000"/>
                <w:sz w:val="20"/>
                <w:szCs w:val="20"/>
                <w:lang w:eastAsia="es-CO"/>
              </w:rPr>
              <w:t xml:space="preserve">profesionales para la </w:t>
            </w:r>
            <w:proofErr w:type="spellStart"/>
            <w:r w:rsidRPr="002910A2">
              <w:rPr>
                <w:rFonts w:ascii="Verdana" w:eastAsia="Times New Roman" w:hAnsi="Verdana" w:cs="Calibri"/>
                <w:color w:val="000000"/>
                <w:sz w:val="20"/>
                <w:szCs w:val="20"/>
                <w:lang w:eastAsia="es-CO"/>
              </w:rPr>
              <w:t>la</w:t>
            </w:r>
            <w:proofErr w:type="spellEnd"/>
            <w:r w:rsidRPr="002910A2">
              <w:rPr>
                <w:rFonts w:ascii="Verdana" w:eastAsia="Times New Roman" w:hAnsi="Verdana" w:cs="Calibri"/>
                <w:color w:val="000000"/>
                <w:sz w:val="20"/>
                <w:szCs w:val="20"/>
                <w:lang w:eastAsia="es-CO"/>
              </w:rPr>
              <w:t xml:space="preserve"> implementación del Modelo de Seguridad y Privacidad de la Información (MSPI) y la instauración de controles conforme a la norma ISO 27001. </w:t>
            </w:r>
            <w:r w:rsidRPr="002910A2">
              <w:rPr>
                <w:rFonts w:ascii="Verdana" w:eastAsia="Times New Roman" w:hAnsi="Verdana" w:cs="Calibri"/>
                <w:color w:val="000000"/>
                <w:sz w:val="20"/>
                <w:szCs w:val="20"/>
                <w:lang w:eastAsia="es-CO"/>
              </w:rPr>
              <w:br/>
              <w:t xml:space="preserve">• Contratación para la renovación, mantenimiento, soporte y actualización del sistema de gestión documental. </w:t>
            </w:r>
            <w:r w:rsidRPr="002910A2">
              <w:rPr>
                <w:rFonts w:ascii="Verdana" w:eastAsia="Times New Roman" w:hAnsi="Verdana" w:cs="Calibri"/>
                <w:color w:val="000000"/>
                <w:sz w:val="20"/>
                <w:szCs w:val="20"/>
                <w:lang w:eastAsia="es-CO"/>
              </w:rPr>
              <w:br/>
              <w:t>• Enfoque en el monitoreo y mantenimiento continuo del sistema para asegurar un rendimiento óptimo.</w:t>
            </w:r>
          </w:p>
          <w:p w14:paraId="329ED282" w14:textId="77777777"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 xml:space="preserve"> </w:t>
            </w:r>
            <w:r w:rsidRPr="002910A2">
              <w:rPr>
                <w:rFonts w:ascii="Verdana" w:eastAsia="Times New Roman" w:hAnsi="Verdana" w:cs="Calibri"/>
                <w:color w:val="000000"/>
                <w:sz w:val="20"/>
                <w:szCs w:val="20"/>
                <w:lang w:eastAsia="es-CO"/>
              </w:rPr>
              <w:br/>
              <w:t>• Servicios de información actualizados o Contratación de servicios profesionales especializados para análisis, diseño, desarrollo, implementación, mantenimiento y soporte técnico de sistemas de información vinculados a las áreas misionales y de apoyo de la entidad.</w:t>
            </w:r>
          </w:p>
          <w:p w14:paraId="6D3AE299" w14:textId="77777777"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 xml:space="preserve"> </w:t>
            </w:r>
            <w:r w:rsidRPr="002910A2">
              <w:rPr>
                <w:rFonts w:ascii="Verdana" w:eastAsia="Times New Roman" w:hAnsi="Verdana" w:cs="Calibri"/>
                <w:color w:val="000000"/>
                <w:sz w:val="20"/>
                <w:szCs w:val="20"/>
                <w:lang w:eastAsia="es-CO"/>
              </w:rPr>
              <w:br/>
              <w:t xml:space="preserve">• Enfoque en el desarrollo, implementación y mejoras de sistemas de información transversales y misionales, como el Banco de Proyectos, el </w:t>
            </w:r>
            <w:proofErr w:type="spellStart"/>
            <w:r w:rsidRPr="002910A2">
              <w:rPr>
                <w:rFonts w:ascii="Verdana" w:eastAsia="Times New Roman" w:hAnsi="Verdana" w:cs="Calibri"/>
                <w:color w:val="000000"/>
                <w:sz w:val="20"/>
                <w:szCs w:val="20"/>
                <w:lang w:eastAsia="es-CO"/>
              </w:rPr>
              <w:t>Strategic</w:t>
            </w:r>
            <w:proofErr w:type="spellEnd"/>
            <w:r w:rsidRPr="002910A2">
              <w:rPr>
                <w:rFonts w:ascii="Verdana" w:eastAsia="Times New Roman" w:hAnsi="Verdana" w:cs="Calibri"/>
                <w:color w:val="000000"/>
                <w:sz w:val="20"/>
                <w:szCs w:val="20"/>
                <w:lang w:eastAsia="es-CO"/>
              </w:rPr>
              <w:t xml:space="preserve"> Plan, el control de cuentas de cobro, el sistema para el control de indicadores de gestión, entre otros. </w:t>
            </w:r>
            <w:r w:rsidRPr="002910A2">
              <w:rPr>
                <w:rFonts w:ascii="Verdana" w:eastAsia="Times New Roman" w:hAnsi="Verdana" w:cs="Calibri"/>
                <w:color w:val="000000"/>
                <w:sz w:val="20"/>
                <w:szCs w:val="20"/>
                <w:lang w:eastAsia="es-CO"/>
              </w:rPr>
              <w:br/>
              <w:t xml:space="preserve">• Inicio de la mejora y actualización en el sistema de información de captura para las entidades vigiladas, como proyecto bandera para la Oficina Asesora de Planeación y Sistemas. </w:t>
            </w:r>
            <w:r w:rsidRPr="002910A2">
              <w:rPr>
                <w:rFonts w:ascii="Verdana" w:eastAsia="Times New Roman" w:hAnsi="Verdana" w:cs="Calibri"/>
                <w:color w:val="000000"/>
                <w:sz w:val="20"/>
                <w:szCs w:val="20"/>
                <w:lang w:eastAsia="es-CO"/>
              </w:rPr>
              <w:br/>
              <w:t>• Documento para la planeación estratégica en TI</w:t>
            </w:r>
          </w:p>
          <w:p w14:paraId="3C67676F" w14:textId="60A180E5"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 xml:space="preserve"> </w:t>
            </w:r>
            <w:r w:rsidRPr="002910A2">
              <w:rPr>
                <w:rFonts w:ascii="Verdana" w:eastAsia="Times New Roman" w:hAnsi="Verdana" w:cs="Calibri"/>
                <w:color w:val="000000"/>
                <w:sz w:val="20"/>
                <w:szCs w:val="20"/>
                <w:lang w:eastAsia="es-CO"/>
              </w:rPr>
              <w:br/>
              <w:t xml:space="preserve">• Elaboración del Plan Estratégico de Tecnologías de Información (PETI) 2023-2026, así como el componente de innovación. </w:t>
            </w:r>
            <w:r w:rsidRPr="002910A2">
              <w:rPr>
                <w:rFonts w:ascii="Verdana" w:eastAsia="Times New Roman" w:hAnsi="Verdana" w:cs="Calibri"/>
                <w:color w:val="000000"/>
                <w:sz w:val="20"/>
                <w:szCs w:val="20"/>
                <w:lang w:eastAsia="es-CO"/>
              </w:rPr>
              <w:br/>
              <w:t>• Contratación de servicios profesionales especializados para la implementación de la Planificación Estratégica 2023-2026,</w:t>
            </w:r>
            <w:r w:rsidR="0078445C" w:rsidRPr="002910A2">
              <w:rPr>
                <w:rFonts w:ascii="Verdana" w:eastAsia="Times New Roman" w:hAnsi="Verdana" w:cs="Calibri"/>
                <w:color w:val="000000"/>
                <w:sz w:val="20"/>
                <w:szCs w:val="20"/>
                <w:lang w:eastAsia="es-CO"/>
              </w:rPr>
              <w:t xml:space="preserve"> </w:t>
            </w:r>
            <w:r w:rsidR="0078445C" w:rsidRPr="002910A2">
              <w:rPr>
                <w:rFonts w:ascii="Verdana" w:eastAsia="Times New Roman" w:hAnsi="Verdana" w:cs="Calibri"/>
                <w:color w:val="000000"/>
                <w:sz w:val="20"/>
                <w:szCs w:val="20"/>
                <w:lang w:eastAsia="es-CO"/>
              </w:rPr>
              <w:t xml:space="preserve">garantizando una planificación estratégica </w:t>
            </w:r>
            <w:r w:rsidR="0078445C">
              <w:rPr>
                <w:rFonts w:ascii="Verdana" w:eastAsia="Times New Roman" w:hAnsi="Verdana" w:cs="Calibri"/>
                <w:color w:val="000000"/>
                <w:sz w:val="20"/>
                <w:szCs w:val="20"/>
                <w:lang w:eastAsia="es-CO"/>
              </w:rPr>
              <w:t>s</w:t>
            </w:r>
            <w:r w:rsidR="0078445C" w:rsidRPr="002910A2">
              <w:rPr>
                <w:rFonts w:ascii="Verdana" w:eastAsia="Times New Roman" w:hAnsi="Verdana" w:cs="Calibri"/>
                <w:color w:val="000000"/>
                <w:sz w:val="20"/>
                <w:szCs w:val="20"/>
                <w:lang w:eastAsia="es-CO"/>
              </w:rPr>
              <w:t>ólida y alineada con los objetivos</w:t>
            </w:r>
            <w:r w:rsidR="00582424">
              <w:rPr>
                <w:rFonts w:ascii="Verdana" w:eastAsia="Times New Roman" w:hAnsi="Verdana" w:cs="Calibri"/>
                <w:color w:val="000000"/>
                <w:sz w:val="20"/>
                <w:szCs w:val="20"/>
                <w:lang w:eastAsia="es-CO"/>
              </w:rPr>
              <w:t>.</w:t>
            </w:r>
          </w:p>
        </w:tc>
        <w:tc>
          <w:tcPr>
            <w:tcW w:w="160" w:type="dxa"/>
            <w:vAlign w:val="center"/>
            <w:hideMark/>
          </w:tcPr>
          <w:p w14:paraId="65F7D22E"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0246E04E" w14:textId="77777777" w:rsidTr="0078445C">
        <w:trPr>
          <w:trHeight w:val="7665"/>
        </w:trPr>
        <w:tc>
          <w:tcPr>
            <w:tcW w:w="2117" w:type="dxa"/>
            <w:vMerge/>
            <w:tcBorders>
              <w:top w:val="nil"/>
              <w:left w:val="single" w:sz="8" w:space="0" w:color="auto"/>
              <w:bottom w:val="single" w:sz="4" w:space="0" w:color="000000"/>
              <w:right w:val="nil"/>
            </w:tcBorders>
            <w:vAlign w:val="center"/>
            <w:hideMark/>
          </w:tcPr>
          <w:p w14:paraId="18753D78"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000000"/>
              <w:right w:val="single" w:sz="4" w:space="0" w:color="auto"/>
            </w:tcBorders>
            <w:vAlign w:val="center"/>
            <w:hideMark/>
          </w:tcPr>
          <w:p w14:paraId="64C3D6B8"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000000"/>
              <w:right w:val="single" w:sz="8" w:space="0" w:color="auto"/>
            </w:tcBorders>
            <w:vAlign w:val="center"/>
            <w:hideMark/>
          </w:tcPr>
          <w:p w14:paraId="48113E8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58990AF9"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r>
      <w:tr w:rsidR="002910A2" w:rsidRPr="002910A2" w14:paraId="4DF615B5" w14:textId="77777777" w:rsidTr="0078445C">
        <w:trPr>
          <w:trHeight w:val="5205"/>
        </w:trPr>
        <w:tc>
          <w:tcPr>
            <w:tcW w:w="2117" w:type="dxa"/>
            <w:vMerge/>
            <w:tcBorders>
              <w:top w:val="nil"/>
              <w:left w:val="single" w:sz="8" w:space="0" w:color="auto"/>
              <w:bottom w:val="single" w:sz="4" w:space="0" w:color="000000"/>
              <w:right w:val="nil"/>
            </w:tcBorders>
            <w:vAlign w:val="center"/>
            <w:hideMark/>
          </w:tcPr>
          <w:p w14:paraId="7417CEC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5063815B" w14:textId="77777777"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Implementación de los Sistemas de Gestión de la Supersolidaria en Bogotá</w:t>
            </w:r>
          </w:p>
        </w:tc>
        <w:tc>
          <w:tcPr>
            <w:tcW w:w="5245" w:type="dxa"/>
            <w:tcBorders>
              <w:top w:val="nil"/>
              <w:left w:val="nil"/>
              <w:bottom w:val="nil"/>
              <w:right w:val="single" w:sz="8" w:space="0" w:color="auto"/>
            </w:tcBorders>
            <w:shd w:val="clear" w:color="auto" w:fill="auto"/>
            <w:vAlign w:val="center"/>
            <w:hideMark/>
          </w:tcPr>
          <w:p w14:paraId="1466564E" w14:textId="77777777"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Este proyecto tiene como propósito: articular sistemas de gestión de la supersolidaria.</w:t>
            </w:r>
            <w:r w:rsidRPr="002910A2">
              <w:rPr>
                <w:rFonts w:ascii="Verdana" w:eastAsia="Times New Roman" w:hAnsi="Verdana" w:cs="Calibri"/>
                <w:color w:val="000000"/>
                <w:sz w:val="20"/>
                <w:szCs w:val="20"/>
                <w:lang w:eastAsia="es-CO"/>
              </w:rPr>
              <w:br/>
              <w:t xml:space="preserve">El proyecto de inversión para la implementación de sistemas de gestión en la Oficina de Planeación y Sistemas de la Supersolidaria se llevó a cabo con éxito. Presentando así los siguientes resultados obtenidos: </w:t>
            </w:r>
            <w:r w:rsidRPr="002910A2">
              <w:rPr>
                <w:rFonts w:ascii="Verdana" w:eastAsia="Times New Roman" w:hAnsi="Verdana" w:cs="Calibri"/>
                <w:color w:val="000000"/>
                <w:sz w:val="20"/>
                <w:szCs w:val="20"/>
                <w:lang w:eastAsia="es-CO"/>
              </w:rPr>
              <w:br/>
              <w:t xml:space="preserve">• Destinación de recursos al servicio de educación informal para la gestión administrativa. </w:t>
            </w:r>
            <w:r w:rsidRPr="002910A2">
              <w:rPr>
                <w:rFonts w:ascii="Verdana" w:eastAsia="Times New Roman" w:hAnsi="Verdana" w:cs="Calibri"/>
                <w:color w:val="000000"/>
                <w:sz w:val="20"/>
                <w:szCs w:val="20"/>
                <w:lang w:eastAsia="es-CO"/>
              </w:rPr>
              <w:br/>
              <w:t xml:space="preserve">• Realización de actividades de sensibilización y capacitación en la actualización y en nuevos sistemas de gestión y metodologías. </w:t>
            </w:r>
            <w:r w:rsidRPr="002910A2">
              <w:rPr>
                <w:rFonts w:ascii="Verdana" w:eastAsia="Times New Roman" w:hAnsi="Verdana" w:cs="Calibri"/>
                <w:color w:val="000000"/>
                <w:sz w:val="20"/>
                <w:szCs w:val="20"/>
                <w:lang w:eastAsia="es-CO"/>
              </w:rPr>
              <w:br/>
              <w:t xml:space="preserve">• Asignación de recursos al servicio de implementación de sistemas de gestión. • Actividades de implementación de metodologías/sistemas de gestión y de medición y control de los mismos. </w:t>
            </w:r>
            <w:r w:rsidRPr="002910A2">
              <w:rPr>
                <w:rFonts w:ascii="Verdana" w:eastAsia="Times New Roman" w:hAnsi="Verdana" w:cs="Calibri"/>
                <w:color w:val="000000"/>
                <w:sz w:val="20"/>
                <w:szCs w:val="20"/>
                <w:lang w:eastAsia="es-CO"/>
              </w:rPr>
              <w:br/>
              <w:t xml:space="preserve">• Implementación de cuatro sistemas de gestión que mejoraron la operatividad de la entidad, alcanzando así el 100% de avance. </w:t>
            </w:r>
            <w:r w:rsidRPr="002910A2">
              <w:rPr>
                <w:rFonts w:ascii="Verdana" w:eastAsia="Times New Roman" w:hAnsi="Verdana" w:cs="Calibri"/>
                <w:color w:val="000000"/>
                <w:sz w:val="20"/>
                <w:szCs w:val="20"/>
                <w:lang w:eastAsia="es-CO"/>
              </w:rPr>
              <w:br/>
              <w:t xml:space="preserve">• Implementación de sistemas de gestión, alcanzando una implementación del 100% de los sistemas planificados. </w:t>
            </w:r>
            <w:r w:rsidRPr="002910A2">
              <w:rPr>
                <w:rFonts w:ascii="Verdana" w:eastAsia="Times New Roman" w:hAnsi="Verdana" w:cs="Calibri"/>
                <w:color w:val="000000"/>
                <w:sz w:val="20"/>
                <w:szCs w:val="20"/>
                <w:lang w:eastAsia="es-CO"/>
              </w:rPr>
              <w:br/>
              <w:t xml:space="preserve">• Creación de indicadores de gestión para medir el cumplimiento de los procesos y la eficacia de los sistemas de gestión implementados. </w:t>
            </w:r>
            <w:r w:rsidRPr="002910A2">
              <w:rPr>
                <w:rFonts w:ascii="Verdana" w:eastAsia="Times New Roman" w:hAnsi="Verdana" w:cs="Calibri"/>
                <w:color w:val="000000"/>
                <w:sz w:val="20"/>
                <w:szCs w:val="20"/>
                <w:lang w:eastAsia="es-CO"/>
              </w:rPr>
              <w:br/>
              <w:t>• Consecución de una auditoría interna para identificar oportunidades de mejora en los procesos y en el cumplimiento de los requisitos definidos por las normas ISO implementadas.</w:t>
            </w:r>
          </w:p>
        </w:tc>
        <w:tc>
          <w:tcPr>
            <w:tcW w:w="160" w:type="dxa"/>
            <w:vAlign w:val="center"/>
            <w:hideMark/>
          </w:tcPr>
          <w:p w14:paraId="3509A46F"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406C64BA" w14:textId="77777777" w:rsidTr="0078445C">
        <w:trPr>
          <w:trHeight w:val="300"/>
        </w:trPr>
        <w:tc>
          <w:tcPr>
            <w:tcW w:w="2117" w:type="dxa"/>
            <w:vMerge w:val="restart"/>
            <w:tcBorders>
              <w:top w:val="nil"/>
              <w:left w:val="single" w:sz="8" w:space="0" w:color="auto"/>
              <w:bottom w:val="single" w:sz="4" w:space="0" w:color="auto"/>
              <w:right w:val="single" w:sz="4" w:space="0" w:color="auto"/>
            </w:tcBorders>
            <w:shd w:val="clear" w:color="auto" w:fill="auto"/>
            <w:vAlign w:val="center"/>
            <w:hideMark/>
          </w:tcPr>
          <w:p w14:paraId="74ABA35B" w14:textId="75BBD8FB" w:rsidR="002910A2" w:rsidRPr="002910A2" w:rsidRDefault="00777007" w:rsidP="002910A2">
            <w:pPr>
              <w:spacing w:after="0" w:line="240" w:lineRule="auto"/>
              <w:jc w:val="center"/>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lastRenderedPageBreak/>
              <w:t>Inspección</w:t>
            </w:r>
            <w:r w:rsidR="002910A2" w:rsidRPr="002910A2">
              <w:rPr>
                <w:rFonts w:ascii="Verdana" w:eastAsia="Times New Roman" w:hAnsi="Verdana" w:cs="Calibri"/>
                <w:color w:val="000000"/>
                <w:sz w:val="20"/>
                <w:szCs w:val="20"/>
                <w:lang w:eastAsia="es-CO"/>
              </w:rPr>
              <w:t xml:space="preserve">, control y vigilancia financiera, solidaria y de recursos </w:t>
            </w:r>
            <w:r w:rsidRPr="002910A2">
              <w:rPr>
                <w:rFonts w:ascii="Verdana" w:eastAsia="Times New Roman" w:hAnsi="Verdana" w:cs="Calibri"/>
                <w:color w:val="000000"/>
                <w:sz w:val="20"/>
                <w:szCs w:val="20"/>
                <w:lang w:eastAsia="es-CO"/>
              </w:rPr>
              <w:t>públicos</w:t>
            </w:r>
            <w:r w:rsidR="002910A2" w:rsidRPr="002910A2">
              <w:rPr>
                <w:rFonts w:ascii="Verdana" w:eastAsia="Times New Roman" w:hAnsi="Verdana" w:cs="Calibri"/>
                <w:color w:val="000000"/>
                <w:sz w:val="20"/>
                <w:szCs w:val="20"/>
                <w:lang w:eastAsia="es-CO"/>
              </w:rPr>
              <w:t>.</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14:paraId="77A6DBC2" w14:textId="77777777"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Fortalecimiento de la supervisión de fondos de empleados y mutuales que ejercen la actividad de ahorro y crédito a nivel Nacional</w:t>
            </w:r>
          </w:p>
        </w:tc>
        <w:tc>
          <w:tcPr>
            <w:tcW w:w="5245" w:type="dxa"/>
            <w:vMerge w:val="restart"/>
            <w:tcBorders>
              <w:top w:val="single" w:sz="4" w:space="0" w:color="auto"/>
              <w:left w:val="single" w:sz="4" w:space="0" w:color="auto"/>
              <w:bottom w:val="nil"/>
              <w:right w:val="single" w:sz="8" w:space="0" w:color="auto"/>
            </w:tcBorders>
            <w:shd w:val="clear" w:color="auto" w:fill="auto"/>
            <w:vAlign w:val="center"/>
            <w:hideMark/>
          </w:tcPr>
          <w:p w14:paraId="57498B80" w14:textId="77777777"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Este proyecto tiene como propósito: Fortalecer la labor de supervisión a fondos de empleados y mutuales.</w:t>
            </w:r>
            <w:r w:rsidRPr="002910A2">
              <w:rPr>
                <w:rFonts w:ascii="Verdana" w:eastAsia="Times New Roman" w:hAnsi="Verdana" w:cs="Calibri"/>
                <w:color w:val="000000"/>
                <w:sz w:val="20"/>
                <w:szCs w:val="20"/>
                <w:lang w:eastAsia="es-CO"/>
              </w:rPr>
              <w:br/>
              <w:t>Dentro de la ejecución del proyecto “fortalecimiento de la supervisión de fondos de empleados y mutuales que ejercen la actividad de ahorro y crédito a nivel nacional”, se pueden destacar los siguientes logros para el horizonte contemplado (2019-2023):</w:t>
            </w:r>
            <w:r w:rsidRPr="002910A2">
              <w:rPr>
                <w:rFonts w:ascii="Verdana" w:eastAsia="Times New Roman" w:hAnsi="Verdana" w:cs="Calibri"/>
                <w:color w:val="000000"/>
                <w:sz w:val="20"/>
                <w:szCs w:val="20"/>
                <w:lang w:eastAsia="es-CO"/>
              </w:rPr>
              <w:br/>
              <w:t>• Se realizó la clasificación del fondo para determina la exigibilidad de indicadores de solidez y límites de crédito. Lo cual requirió de un conocimiento técnico por parte de los supervisores y la actualización del esquema de supervisión previsto para los 1,410 fondos de empleados y 107 asociaciones mutuales reportados hasta junio de 2022.</w:t>
            </w:r>
          </w:p>
        </w:tc>
        <w:tc>
          <w:tcPr>
            <w:tcW w:w="160" w:type="dxa"/>
            <w:vAlign w:val="center"/>
            <w:hideMark/>
          </w:tcPr>
          <w:p w14:paraId="3B79883D"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21D3F199"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196101E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39919ABC"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single" w:sz="4" w:space="0" w:color="auto"/>
              <w:left w:val="single" w:sz="4" w:space="0" w:color="auto"/>
              <w:bottom w:val="nil"/>
              <w:right w:val="single" w:sz="8" w:space="0" w:color="auto"/>
            </w:tcBorders>
            <w:vAlign w:val="center"/>
            <w:hideMark/>
          </w:tcPr>
          <w:p w14:paraId="21E9E628"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252F476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r>
      <w:tr w:rsidR="002910A2" w:rsidRPr="002910A2" w14:paraId="238237BC"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5AE83B9E"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1A440FB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single" w:sz="4" w:space="0" w:color="auto"/>
              <w:left w:val="single" w:sz="4" w:space="0" w:color="auto"/>
              <w:bottom w:val="nil"/>
              <w:right w:val="single" w:sz="8" w:space="0" w:color="auto"/>
            </w:tcBorders>
            <w:vAlign w:val="center"/>
            <w:hideMark/>
          </w:tcPr>
          <w:p w14:paraId="401BA7D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0038E99"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7BC54E7A"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55A0EAF5"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1962A17E"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single" w:sz="4" w:space="0" w:color="auto"/>
              <w:left w:val="single" w:sz="4" w:space="0" w:color="auto"/>
              <w:bottom w:val="nil"/>
              <w:right w:val="single" w:sz="8" w:space="0" w:color="auto"/>
            </w:tcBorders>
            <w:vAlign w:val="center"/>
            <w:hideMark/>
          </w:tcPr>
          <w:p w14:paraId="77DA30E4"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8929E08"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157F9585"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5B6099A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23F374E9"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single" w:sz="4" w:space="0" w:color="auto"/>
              <w:left w:val="single" w:sz="4" w:space="0" w:color="auto"/>
              <w:bottom w:val="nil"/>
              <w:right w:val="single" w:sz="8" w:space="0" w:color="auto"/>
            </w:tcBorders>
            <w:vAlign w:val="center"/>
            <w:hideMark/>
          </w:tcPr>
          <w:p w14:paraId="4DD8CEEF"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11877AD2"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4A982CCD"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5A97D0E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0D351F1C"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single" w:sz="4" w:space="0" w:color="auto"/>
              <w:left w:val="single" w:sz="4" w:space="0" w:color="auto"/>
              <w:bottom w:val="nil"/>
              <w:right w:val="single" w:sz="8" w:space="0" w:color="auto"/>
            </w:tcBorders>
            <w:vAlign w:val="center"/>
            <w:hideMark/>
          </w:tcPr>
          <w:p w14:paraId="49F720B4"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28AE87B0"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0544232E"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4AFB8159"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2D9E1B1C"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single" w:sz="4" w:space="0" w:color="auto"/>
              <w:left w:val="single" w:sz="4" w:space="0" w:color="auto"/>
              <w:bottom w:val="nil"/>
              <w:right w:val="single" w:sz="8" w:space="0" w:color="auto"/>
            </w:tcBorders>
            <w:vAlign w:val="center"/>
            <w:hideMark/>
          </w:tcPr>
          <w:p w14:paraId="2582CA9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25A35016"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1559237F"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22063E4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648F135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single" w:sz="4" w:space="0" w:color="auto"/>
              <w:left w:val="single" w:sz="4" w:space="0" w:color="auto"/>
              <w:bottom w:val="nil"/>
              <w:right w:val="single" w:sz="8" w:space="0" w:color="auto"/>
            </w:tcBorders>
            <w:vAlign w:val="center"/>
            <w:hideMark/>
          </w:tcPr>
          <w:p w14:paraId="5FE5AE45"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95B79B7"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5D3CFBAB"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17B3739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5A66210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single" w:sz="4" w:space="0" w:color="auto"/>
              <w:left w:val="single" w:sz="4" w:space="0" w:color="auto"/>
              <w:bottom w:val="nil"/>
              <w:right w:val="single" w:sz="8" w:space="0" w:color="auto"/>
            </w:tcBorders>
            <w:vAlign w:val="center"/>
            <w:hideMark/>
          </w:tcPr>
          <w:p w14:paraId="1B0DD3B9"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7C80334D"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7672E583"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078FC224"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31178B9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single" w:sz="4" w:space="0" w:color="auto"/>
              <w:left w:val="single" w:sz="4" w:space="0" w:color="auto"/>
              <w:bottom w:val="nil"/>
              <w:right w:val="single" w:sz="8" w:space="0" w:color="auto"/>
            </w:tcBorders>
            <w:vAlign w:val="center"/>
            <w:hideMark/>
          </w:tcPr>
          <w:p w14:paraId="6F52CF48"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56E6FC89"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03C2A4AF"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30DBD95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7D2C9C5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single" w:sz="4" w:space="0" w:color="auto"/>
              <w:left w:val="single" w:sz="4" w:space="0" w:color="auto"/>
              <w:bottom w:val="nil"/>
              <w:right w:val="single" w:sz="8" w:space="0" w:color="auto"/>
            </w:tcBorders>
            <w:vAlign w:val="center"/>
            <w:hideMark/>
          </w:tcPr>
          <w:p w14:paraId="3375A97E"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43F40723"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3F2B9310" w14:textId="77777777" w:rsidTr="0078445C">
        <w:trPr>
          <w:trHeight w:val="135"/>
        </w:trPr>
        <w:tc>
          <w:tcPr>
            <w:tcW w:w="2117" w:type="dxa"/>
            <w:vMerge/>
            <w:tcBorders>
              <w:top w:val="nil"/>
              <w:left w:val="single" w:sz="8" w:space="0" w:color="auto"/>
              <w:bottom w:val="single" w:sz="4" w:space="0" w:color="auto"/>
              <w:right w:val="single" w:sz="4" w:space="0" w:color="auto"/>
            </w:tcBorders>
            <w:vAlign w:val="center"/>
            <w:hideMark/>
          </w:tcPr>
          <w:p w14:paraId="5D346E5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3F7901B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single" w:sz="4" w:space="0" w:color="auto"/>
              <w:left w:val="single" w:sz="4" w:space="0" w:color="auto"/>
              <w:bottom w:val="nil"/>
              <w:right w:val="single" w:sz="8" w:space="0" w:color="auto"/>
            </w:tcBorders>
            <w:vAlign w:val="center"/>
            <w:hideMark/>
          </w:tcPr>
          <w:p w14:paraId="2044106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6E369629"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19AB38B1"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05B5A382"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14:paraId="244E6BC6" w14:textId="77777777"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 xml:space="preserve">Fortalecimiento del buen gobierno en </w:t>
            </w:r>
            <w:r w:rsidRPr="002910A2">
              <w:rPr>
                <w:rFonts w:ascii="Verdana" w:eastAsia="Times New Roman" w:hAnsi="Verdana" w:cs="Calibri"/>
                <w:color w:val="000000"/>
                <w:sz w:val="20"/>
                <w:szCs w:val="20"/>
                <w:lang w:eastAsia="es-CO"/>
              </w:rPr>
              <w:lastRenderedPageBreak/>
              <w:t>las cooperativas de ahorro y crédito a nivel Nacional</w:t>
            </w:r>
          </w:p>
        </w:tc>
        <w:tc>
          <w:tcPr>
            <w:tcW w:w="5245" w:type="dxa"/>
            <w:vMerge w:val="restart"/>
            <w:tcBorders>
              <w:top w:val="nil"/>
              <w:left w:val="single" w:sz="4" w:space="0" w:color="auto"/>
              <w:bottom w:val="single" w:sz="4" w:space="0" w:color="auto"/>
              <w:right w:val="single" w:sz="8" w:space="0" w:color="auto"/>
            </w:tcBorders>
            <w:shd w:val="clear" w:color="auto" w:fill="auto"/>
            <w:vAlign w:val="center"/>
            <w:hideMark/>
          </w:tcPr>
          <w:p w14:paraId="6F895196" w14:textId="77777777"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lastRenderedPageBreak/>
              <w:t xml:space="preserve">Este proyecto tiene como propósito: Fortalecer las estructuras de gobierno en las cooperativas de </w:t>
            </w:r>
            <w:r w:rsidRPr="002910A2">
              <w:rPr>
                <w:rFonts w:ascii="Verdana" w:eastAsia="Times New Roman" w:hAnsi="Verdana" w:cs="Calibri"/>
                <w:color w:val="000000"/>
                <w:sz w:val="20"/>
                <w:szCs w:val="20"/>
                <w:lang w:eastAsia="es-CO"/>
              </w:rPr>
              <w:lastRenderedPageBreak/>
              <w:t>ahorro y crédito.</w:t>
            </w:r>
            <w:r w:rsidRPr="002910A2">
              <w:rPr>
                <w:rFonts w:ascii="Verdana" w:eastAsia="Times New Roman" w:hAnsi="Verdana" w:cs="Calibri"/>
                <w:color w:val="000000"/>
                <w:sz w:val="20"/>
                <w:szCs w:val="20"/>
                <w:lang w:eastAsia="es-CO"/>
              </w:rPr>
              <w:br/>
              <w:t xml:space="preserve">Dentro de la ejecución del proyecto “Fortalecimiento del buen gobierno en las cooperativas de ahorro y crédito a nivel nacional”, se pueden destacar los siguientes logros para el horizonte contemplado (2020-2023): </w:t>
            </w:r>
            <w:r w:rsidRPr="002910A2">
              <w:rPr>
                <w:rFonts w:ascii="Verdana" w:eastAsia="Times New Roman" w:hAnsi="Verdana" w:cs="Calibri"/>
                <w:color w:val="000000"/>
                <w:sz w:val="20"/>
                <w:szCs w:val="20"/>
                <w:lang w:eastAsia="es-CO"/>
              </w:rPr>
              <w:br/>
              <w:t>• La Superintendencia de la Economía Solidaria reconoce que el Buen Gobierno es crucial para controlar los riesgos a los que se enfrentan las organizaciones vigiladas. Por lo tanto, el proyecto permitió fortalecer el compromiso de garantizar que estas cuenten con una estructura de gobierno adecuada a su tamaño, naturaleza, complejidad de operaciones, estrategia y perfil de riesgo.</w:t>
            </w:r>
            <w:r w:rsidRPr="002910A2">
              <w:rPr>
                <w:rFonts w:ascii="Verdana" w:eastAsia="Times New Roman" w:hAnsi="Verdana" w:cs="Calibri"/>
                <w:color w:val="000000"/>
                <w:sz w:val="20"/>
                <w:szCs w:val="20"/>
                <w:lang w:eastAsia="es-CO"/>
              </w:rPr>
              <w:br/>
              <w:t xml:space="preserve">• Con el objetivo de fortalecer la estructura de gobierno de las organizaciones solidarias y alinearse con las prácticas de Gobierno Corporativo a nivel mundial, la Superintendencia revisó la guía de Buen Gobierno emitida en 2013. Esta revisión tuvo en cuenta los principios establecidos en el Decreto 962 de 2018, que regula el buen gobierno aplicable a organizaciones de economía solidaria que prestan servicios financieros. </w:t>
            </w:r>
            <w:r w:rsidRPr="002910A2">
              <w:rPr>
                <w:rFonts w:ascii="Verdana" w:eastAsia="Times New Roman" w:hAnsi="Verdana" w:cs="Calibri"/>
                <w:color w:val="000000"/>
                <w:sz w:val="20"/>
                <w:szCs w:val="20"/>
                <w:lang w:eastAsia="es-CO"/>
              </w:rPr>
              <w:br/>
              <w:t>• La guía de Buen Gobierno proporcionó recomendaciones generales a los gestores de cada organización para mitigar y controlar los riesgos derivados de decisiones inadecuadas.</w:t>
            </w:r>
          </w:p>
        </w:tc>
        <w:tc>
          <w:tcPr>
            <w:tcW w:w="160" w:type="dxa"/>
            <w:vAlign w:val="center"/>
            <w:hideMark/>
          </w:tcPr>
          <w:p w14:paraId="020BCC5A"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4B720450"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58AAA748"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25E062D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2C3D1C0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3F69731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r>
      <w:tr w:rsidR="002910A2" w:rsidRPr="002910A2" w14:paraId="00DAE51D"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701C56A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0A359D4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45DFD82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377439D1"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3D866C4E"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6894495F"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1BCFB86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0AE2F6A8"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401D4254"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48240AD1"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68F5B35E"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34EEFE7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4FA58CA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1D119F96"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5DF85552"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29BFDF2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40E08BDF"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0162C66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45620F78"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36B03322"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1AEE1138"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3A17506F"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2B7589E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5738BCCF"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33FF5F29"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20A6625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2A1765E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5EADB8B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499353B7"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415BDC8C"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66F26CE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7D48BEE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6AD137E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77598BFA"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619BEF85"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7C28C1E5"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42A362A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110B9ED2"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5D89A16"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7D3BD587"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36409DA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67EBFAEF"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63068DAC"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D75DA13"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0969ECFE"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7B7B98F2"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4FA77453"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66266A18"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6AC101AB"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04D9753F"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3FB58704"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32098DE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3394BA05"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6BB11E04"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31202F8B"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257393AE"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5DF550F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27306DB3"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7ED2E91"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68E3CAF6" w14:textId="77777777" w:rsidTr="0078445C">
        <w:trPr>
          <w:trHeight w:val="420"/>
        </w:trPr>
        <w:tc>
          <w:tcPr>
            <w:tcW w:w="2117" w:type="dxa"/>
            <w:vMerge/>
            <w:tcBorders>
              <w:top w:val="nil"/>
              <w:left w:val="single" w:sz="8" w:space="0" w:color="auto"/>
              <w:bottom w:val="single" w:sz="4" w:space="0" w:color="auto"/>
              <w:right w:val="single" w:sz="4" w:space="0" w:color="auto"/>
            </w:tcBorders>
            <w:vAlign w:val="center"/>
            <w:hideMark/>
          </w:tcPr>
          <w:p w14:paraId="3ACCAA2F"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58A999E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7D81072E"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59FD63A0"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6C2E3FAC"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05EE3768"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1ED043CF"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36C62A6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6B566359"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3FEFFE29"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454D8A84"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4AC7CC7C"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6DFC856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B972195"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6A37FC6F"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74F64B19"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14:paraId="27AC06FA" w14:textId="77777777"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 xml:space="preserve">Prevención de los Riesgos Jurídicos y Financieros de las Organizaciones Solidarias a nivel Nacional </w:t>
            </w:r>
          </w:p>
        </w:tc>
        <w:tc>
          <w:tcPr>
            <w:tcW w:w="5245" w:type="dxa"/>
            <w:vMerge w:val="restart"/>
            <w:tcBorders>
              <w:top w:val="nil"/>
              <w:left w:val="single" w:sz="4" w:space="0" w:color="auto"/>
              <w:bottom w:val="single" w:sz="4" w:space="0" w:color="auto"/>
              <w:right w:val="single" w:sz="8" w:space="0" w:color="auto"/>
            </w:tcBorders>
            <w:shd w:val="clear" w:color="auto" w:fill="auto"/>
            <w:vAlign w:val="center"/>
            <w:hideMark/>
          </w:tcPr>
          <w:p w14:paraId="0D947945" w14:textId="77777777"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 xml:space="preserve">Este proyecto tiene como propósito: Ampliar cobertura de supervisión en las organizaciones solidarias del sector real.                               </w:t>
            </w:r>
            <w:r w:rsidRPr="002910A2">
              <w:rPr>
                <w:rFonts w:ascii="Verdana" w:eastAsia="Times New Roman" w:hAnsi="Verdana" w:cs="Calibri"/>
                <w:color w:val="000000"/>
                <w:sz w:val="20"/>
                <w:szCs w:val="20"/>
                <w:lang w:eastAsia="es-CO"/>
              </w:rPr>
              <w:br/>
              <w:t>Dentro de la ejecución del proyecto “prevención de los riesgos jurídicos y financieros de las organizaciones solidarias a nivel nacional”, se pueden destacar los siguientes logros para el horizonte contemplado (2019-2023):</w:t>
            </w:r>
            <w:r w:rsidRPr="002910A2">
              <w:rPr>
                <w:rFonts w:ascii="Verdana" w:eastAsia="Times New Roman" w:hAnsi="Verdana" w:cs="Calibri"/>
                <w:color w:val="000000"/>
                <w:sz w:val="20"/>
                <w:szCs w:val="20"/>
                <w:lang w:eastAsia="es-CO"/>
              </w:rPr>
              <w:br/>
              <w:t xml:space="preserve">• Investigaciones sobre riesgos financieros y jurídicos para garantizar el cumplimiento de la legislación vigente y proteger las actividades económicas, financieras y laborales de estas organizaciones. Lo anterior, con el objetivo de prevenir riesgos que puedan afectar la estabilidad de las cooperativas, fondos de empleados y otras entidades relacionadas. </w:t>
            </w:r>
            <w:r w:rsidRPr="002910A2">
              <w:rPr>
                <w:rFonts w:ascii="Verdana" w:eastAsia="Times New Roman" w:hAnsi="Verdana" w:cs="Calibri"/>
                <w:color w:val="000000"/>
                <w:sz w:val="20"/>
                <w:szCs w:val="20"/>
                <w:lang w:eastAsia="es-CO"/>
              </w:rPr>
              <w:br/>
              <w:t xml:space="preserve">• Establecer un modelo de supervisión por niveles, en donde el enfoque se centra entidades de primer y segundo nivel, dejando las de tercer nivel sin supervisión oportuna, ya que esta se realiza de manera aleatoria. </w:t>
            </w:r>
            <w:r w:rsidRPr="002910A2">
              <w:rPr>
                <w:rFonts w:ascii="Verdana" w:eastAsia="Times New Roman" w:hAnsi="Verdana" w:cs="Calibri"/>
                <w:color w:val="000000"/>
                <w:sz w:val="20"/>
                <w:szCs w:val="20"/>
                <w:lang w:eastAsia="es-CO"/>
              </w:rPr>
              <w:br/>
              <w:t xml:space="preserve">• Realizar acciones de manera previa y preventiva </w:t>
            </w:r>
            <w:r w:rsidRPr="002910A2">
              <w:rPr>
                <w:rFonts w:ascii="Verdana" w:eastAsia="Times New Roman" w:hAnsi="Verdana" w:cs="Calibri"/>
                <w:color w:val="000000"/>
                <w:sz w:val="20"/>
                <w:szCs w:val="20"/>
                <w:lang w:eastAsia="es-CO"/>
              </w:rPr>
              <w:lastRenderedPageBreak/>
              <w:t>dentro de un esquema de persuasión y concertación, antes de proceder a adoptar medidas de control. Donde, se da lugar a la recolección de elementos de prueba, que permitan ampliar, confirmar o desvirtuar los hallazgos obtenidos en los procesos de vigilancia.</w:t>
            </w:r>
          </w:p>
        </w:tc>
        <w:tc>
          <w:tcPr>
            <w:tcW w:w="160" w:type="dxa"/>
            <w:vAlign w:val="center"/>
            <w:hideMark/>
          </w:tcPr>
          <w:p w14:paraId="13FCF461"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150551F5"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00DC2E4E"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19E9231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1FF48234"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233B722"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r>
      <w:tr w:rsidR="002910A2" w:rsidRPr="002910A2" w14:paraId="1F30352A"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0825E17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30483118"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5C903C2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24605882"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30CC6A97"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1774601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6697A919"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633F143F"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5F8B1DF"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10B620DA"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2D21EDA3"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09A6445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4A983A9C"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4D0D4252"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4152DC2F"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3617159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2EA47695"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7666107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44927302"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6A79BDF2"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22D5C35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7DB42A1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03BF7865"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637A6B78"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0DB6B4E3"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5B78E792"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4858B324"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0DDD438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7C741E2E"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02D5A884"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35462AC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5FE3E49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44C65073"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7091775"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1D7D33EB"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59AE8E98"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18A1315E"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7AEFACF3"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57CAE342"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2F52339E"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673D892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3EC35B49"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6791C93F"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5EE26BE6"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3AD02B7C"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7F92FECC"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4545E679"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25A78E4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280AA106"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4DE0F687"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5F2118C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13BF5C63"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2F48054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78FE466F"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1F00B574"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4A5E699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2305A9D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2B504FE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431530DF"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0D77FBF8"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793DDFD4"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55C0CD2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608B958E"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65F5457F"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7BB2DB38" w14:textId="77777777" w:rsidTr="0078445C">
        <w:trPr>
          <w:trHeight w:val="150"/>
        </w:trPr>
        <w:tc>
          <w:tcPr>
            <w:tcW w:w="2117" w:type="dxa"/>
            <w:vMerge/>
            <w:tcBorders>
              <w:top w:val="nil"/>
              <w:left w:val="single" w:sz="8" w:space="0" w:color="auto"/>
              <w:bottom w:val="single" w:sz="4" w:space="0" w:color="auto"/>
              <w:right w:val="single" w:sz="4" w:space="0" w:color="auto"/>
            </w:tcBorders>
            <w:vAlign w:val="center"/>
            <w:hideMark/>
          </w:tcPr>
          <w:p w14:paraId="4F0A22F9"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52EC880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572BE2D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49A93714"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1C474A51"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1790F533"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14:paraId="2F1B50C3" w14:textId="77777777"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Fortalecimiento del sector de la Economía Solidaría en materia normativa y regulatoria a nivel Nacional</w:t>
            </w:r>
          </w:p>
        </w:tc>
        <w:tc>
          <w:tcPr>
            <w:tcW w:w="5245" w:type="dxa"/>
            <w:vMerge w:val="restart"/>
            <w:tcBorders>
              <w:top w:val="nil"/>
              <w:left w:val="single" w:sz="4" w:space="0" w:color="auto"/>
              <w:bottom w:val="single" w:sz="4" w:space="0" w:color="auto"/>
              <w:right w:val="single" w:sz="8" w:space="0" w:color="auto"/>
            </w:tcBorders>
            <w:shd w:val="clear" w:color="auto" w:fill="auto"/>
            <w:vAlign w:val="center"/>
            <w:hideMark/>
          </w:tcPr>
          <w:p w14:paraId="093F6336" w14:textId="77777777"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Este proyecto tiene como propósito: Fortalecer el sector de la economía solidaria en materia normativa y regulatoria.</w:t>
            </w:r>
            <w:r w:rsidRPr="002910A2">
              <w:rPr>
                <w:rFonts w:ascii="Verdana" w:eastAsia="Times New Roman" w:hAnsi="Verdana" w:cs="Calibri"/>
                <w:color w:val="000000"/>
                <w:sz w:val="20"/>
                <w:szCs w:val="20"/>
                <w:lang w:eastAsia="es-CO"/>
              </w:rPr>
              <w:br/>
              <w:t>Desde la aprobación del proyecto de inversión, la Superintendencia de la Economía Solidaria ha logrado cumplir con los objetivos específicos para abordar las debilidades normativas y regulatorias del sector de la economía solidaria. Se han llevado a cabo diversas actividades y líneas estratégicas para estandarizar la regulación, fortalecer la compilación normativa y actualizar el marco normativo. Aquí se detalla la producción normativa y regulatoria en cumplimiento del proyecto:</w:t>
            </w:r>
          </w:p>
          <w:p w14:paraId="7328E990" w14:textId="77777777"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 xml:space="preserve"> </w:t>
            </w:r>
            <w:r w:rsidRPr="002910A2">
              <w:rPr>
                <w:rFonts w:ascii="Verdana" w:eastAsia="Times New Roman" w:hAnsi="Verdana" w:cs="Calibri"/>
                <w:color w:val="000000"/>
                <w:sz w:val="20"/>
                <w:szCs w:val="20"/>
                <w:lang w:eastAsia="es-CO"/>
              </w:rPr>
              <w:br/>
              <w:t xml:space="preserve">• Expedición de la Circular Externa No. 53 de 2023, modificando aspectos relacionados con los requisitos para la elección y autorización de órganos de administración y control. </w:t>
            </w:r>
            <w:r w:rsidRPr="002910A2">
              <w:rPr>
                <w:rFonts w:ascii="Verdana" w:eastAsia="Times New Roman" w:hAnsi="Verdana" w:cs="Calibri"/>
                <w:color w:val="000000"/>
                <w:sz w:val="20"/>
                <w:szCs w:val="20"/>
                <w:lang w:eastAsia="es-CO"/>
              </w:rPr>
              <w:br/>
              <w:t xml:space="preserve">• Circular externa 47 de 2023 - Adición y modificación al Título VI parte II capítulos I y II de la Circular Básica Jurídica, sobre seguimiento a procesos de toma de posesión. </w:t>
            </w:r>
            <w:r w:rsidRPr="002910A2">
              <w:rPr>
                <w:rFonts w:ascii="Verdana" w:eastAsia="Times New Roman" w:hAnsi="Verdana" w:cs="Calibri"/>
                <w:color w:val="000000"/>
                <w:sz w:val="20"/>
                <w:szCs w:val="20"/>
                <w:lang w:eastAsia="es-CO"/>
              </w:rPr>
              <w:br/>
              <w:t xml:space="preserve">• Circular externa 48 de 2023 - Adición al capítulo II título II Circular Básica Contable y Financiera, referente a fechas de presentación de organizaciones de supervisión. </w:t>
            </w:r>
          </w:p>
          <w:p w14:paraId="0AB03E09" w14:textId="77777777"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br/>
              <w:t>• Circular externa 49 de 2023 - Modificación del formulario oficial de rendición de cuentas y lineamientos en la Circular Básica Contable y Financiera.</w:t>
            </w:r>
          </w:p>
          <w:p w14:paraId="7324C69C" w14:textId="77777777"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 xml:space="preserve"> </w:t>
            </w:r>
            <w:r w:rsidRPr="002910A2">
              <w:rPr>
                <w:rFonts w:ascii="Verdana" w:eastAsia="Times New Roman" w:hAnsi="Verdana" w:cs="Calibri"/>
                <w:color w:val="000000"/>
                <w:sz w:val="20"/>
                <w:szCs w:val="20"/>
                <w:lang w:eastAsia="es-CO"/>
              </w:rPr>
              <w:br/>
              <w:t>• Circular externa 50 de 2023 - Adición y modificación de lineamientos en la Circular Básica Contable y Financiera, incluyendo modalidades de crédito definidas en el Decreto 455 de 2023.</w:t>
            </w:r>
          </w:p>
          <w:p w14:paraId="45F61B43" w14:textId="429C0767"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 xml:space="preserve"> </w:t>
            </w:r>
            <w:r w:rsidRPr="002910A2">
              <w:rPr>
                <w:rFonts w:ascii="Verdana" w:eastAsia="Times New Roman" w:hAnsi="Verdana" w:cs="Calibri"/>
                <w:color w:val="000000"/>
                <w:sz w:val="20"/>
                <w:szCs w:val="20"/>
                <w:lang w:eastAsia="es-CO"/>
              </w:rPr>
              <w:br/>
              <w:t xml:space="preserve">• Carta Circular 26 de 2023 Requerimiento de información trimestral sobre solicitudes de productos y servicios financieros en el sector minero. </w:t>
            </w:r>
            <w:r w:rsidRPr="002910A2">
              <w:rPr>
                <w:rFonts w:ascii="Verdana" w:eastAsia="Times New Roman" w:hAnsi="Verdana" w:cs="Calibri"/>
                <w:color w:val="000000"/>
                <w:sz w:val="20"/>
                <w:szCs w:val="20"/>
                <w:lang w:eastAsia="es-CO"/>
              </w:rPr>
              <w:br/>
              <w:t xml:space="preserve">• Carta Circular 27 de 2023 - Precisión sobre el recaudo de créditos a través de la modalidad de </w:t>
            </w:r>
            <w:r w:rsidRPr="002910A2">
              <w:rPr>
                <w:rFonts w:ascii="Verdana" w:eastAsia="Times New Roman" w:hAnsi="Verdana" w:cs="Calibri"/>
                <w:color w:val="000000"/>
                <w:sz w:val="20"/>
                <w:szCs w:val="20"/>
                <w:lang w:eastAsia="es-CO"/>
              </w:rPr>
              <w:lastRenderedPageBreak/>
              <w:t xml:space="preserve">descuento por libranza. </w:t>
            </w:r>
            <w:r w:rsidRPr="002910A2">
              <w:rPr>
                <w:rFonts w:ascii="Verdana" w:eastAsia="Times New Roman" w:hAnsi="Verdana" w:cs="Calibri"/>
                <w:color w:val="000000"/>
                <w:sz w:val="20"/>
                <w:szCs w:val="20"/>
                <w:lang w:eastAsia="es-CO"/>
              </w:rPr>
              <w:br/>
              <w:t xml:space="preserve">• Elaboración de un proyecto de Decreto para modificar el Título 1 de la Parte 11 del Libro 2 del Decreto 1068 de 2015. </w:t>
            </w:r>
            <w:r w:rsidRPr="002910A2">
              <w:rPr>
                <w:rFonts w:ascii="Verdana" w:eastAsia="Times New Roman" w:hAnsi="Verdana" w:cs="Calibri"/>
                <w:color w:val="000000"/>
                <w:sz w:val="20"/>
                <w:szCs w:val="20"/>
                <w:lang w:eastAsia="es-CO"/>
              </w:rPr>
              <w:br/>
              <w:t xml:space="preserve">• Apoyo a entidades responsables en el estudio del marco normativo del sector, especialmente fondos de empleados, asociaciones mutuales y creación de empresas solidarias. </w:t>
            </w:r>
            <w:r w:rsidRPr="002910A2">
              <w:rPr>
                <w:rFonts w:ascii="Verdana" w:eastAsia="Times New Roman" w:hAnsi="Verdana" w:cs="Calibri"/>
                <w:color w:val="000000"/>
                <w:sz w:val="20"/>
                <w:szCs w:val="20"/>
                <w:lang w:eastAsia="es-CO"/>
              </w:rPr>
              <w:br/>
              <w:t xml:space="preserve">• Revisión del proyecto de resolución para adoptar el Programa y Plan de Transparencia y Ética en lo Público en la Superintendencia de la Economía Solidaria. </w:t>
            </w:r>
            <w:r w:rsidRPr="002910A2">
              <w:rPr>
                <w:rFonts w:ascii="Verdana" w:eastAsia="Times New Roman" w:hAnsi="Verdana" w:cs="Calibri"/>
                <w:color w:val="000000"/>
                <w:sz w:val="20"/>
                <w:szCs w:val="20"/>
                <w:lang w:eastAsia="es-CO"/>
              </w:rPr>
              <w:br/>
              <w:t>• Elaboración de un proyecto integral de modificación de la Ley 454 de 1998, abordando varios aspectos relacionados con la economía solidaria.</w:t>
            </w:r>
          </w:p>
        </w:tc>
        <w:tc>
          <w:tcPr>
            <w:tcW w:w="160" w:type="dxa"/>
            <w:vAlign w:val="center"/>
            <w:hideMark/>
          </w:tcPr>
          <w:p w14:paraId="0D80ABB0"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39C4D84B"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75FAD4EC"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32C75739"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2469F85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10697BF3"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r>
      <w:tr w:rsidR="002910A2" w:rsidRPr="002910A2" w14:paraId="189D7F47"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4FAA85DE"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5BDE8092"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01F7429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5C2AE18"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14CCEE47"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6D2885DF"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46A4AAB8"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363629E3"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56F1C986"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1F5EC7AF"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14DDD00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1C82FCF5"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682EF70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6CC6BD73"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61C814F5"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121F556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571CE9B3"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0B3E4D39"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70254B56"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57255CC1"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53D8D87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40F42DEF"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7292FD3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C092D8E"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75DCD8F6"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4F642C7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510B58C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3B58B76F"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5581F690"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29CE9A64"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347C4FB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200B5DE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6F1D22E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4BD0F187"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607A127A"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7605B9B4"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54B2244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5125A0D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2B97252E"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4D3E1EEA"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4623B813"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63597E0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7B43C2A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719070A3"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55D2B66E"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6334E108"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7EA9CA9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52CD14A3"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209D83B7"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24856D7A"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0FAD879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0F372F0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531304F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1BB25C23"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45CB7548"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2DC5B51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14C1100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4D9143EC"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58E78AFA"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20C25D30"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295F2A8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42EFD2B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0574780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602C5B95"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5A48E85E"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5B7DD02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04A76095"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2430E3A3"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2999DD7"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74316371" w14:textId="77777777" w:rsidTr="0078445C">
        <w:trPr>
          <w:trHeight w:val="4470"/>
        </w:trPr>
        <w:tc>
          <w:tcPr>
            <w:tcW w:w="2117" w:type="dxa"/>
            <w:vMerge/>
            <w:tcBorders>
              <w:top w:val="nil"/>
              <w:left w:val="single" w:sz="8" w:space="0" w:color="auto"/>
              <w:bottom w:val="single" w:sz="4" w:space="0" w:color="auto"/>
              <w:right w:val="single" w:sz="4" w:space="0" w:color="auto"/>
            </w:tcBorders>
            <w:vAlign w:val="center"/>
            <w:hideMark/>
          </w:tcPr>
          <w:p w14:paraId="3A073EE2"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4" w:space="0" w:color="auto"/>
              <w:right w:val="single" w:sz="4" w:space="0" w:color="auto"/>
            </w:tcBorders>
            <w:vAlign w:val="center"/>
            <w:hideMark/>
          </w:tcPr>
          <w:p w14:paraId="430441B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4" w:space="0" w:color="auto"/>
              <w:right w:val="single" w:sz="8" w:space="0" w:color="auto"/>
            </w:tcBorders>
            <w:vAlign w:val="center"/>
            <w:hideMark/>
          </w:tcPr>
          <w:p w14:paraId="1558D1C2"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B73CAA2"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25334329"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25C0E7E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val="restart"/>
            <w:tcBorders>
              <w:top w:val="nil"/>
              <w:left w:val="single" w:sz="4" w:space="0" w:color="auto"/>
              <w:bottom w:val="single" w:sz="8" w:space="0" w:color="000000"/>
              <w:right w:val="single" w:sz="4" w:space="0" w:color="auto"/>
            </w:tcBorders>
            <w:shd w:val="clear" w:color="auto" w:fill="auto"/>
            <w:vAlign w:val="center"/>
            <w:hideMark/>
          </w:tcPr>
          <w:p w14:paraId="748D5A83" w14:textId="410C70EA"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Implementación de la Supervisión Basada en Riesgos en la Superintendencia de la Economía Solidaria a nivel Nacional</w:t>
            </w:r>
            <w:r w:rsidRPr="002910A2">
              <w:rPr>
                <w:rFonts w:ascii="Arial" w:eastAsia="Times New Roman" w:hAnsi="Arial" w:cs="Arial"/>
                <w:b/>
                <w:bCs/>
                <w:color w:val="3273DB"/>
                <w:sz w:val="32"/>
                <w:szCs w:val="32"/>
                <w:lang w:eastAsia="es-CO"/>
              </w:rPr>
              <w:t> </w:t>
            </w:r>
          </w:p>
        </w:tc>
        <w:tc>
          <w:tcPr>
            <w:tcW w:w="5245" w:type="dxa"/>
            <w:vMerge w:val="restart"/>
            <w:tcBorders>
              <w:top w:val="nil"/>
              <w:left w:val="single" w:sz="4" w:space="0" w:color="auto"/>
              <w:bottom w:val="single" w:sz="8" w:space="0" w:color="000000"/>
              <w:right w:val="single" w:sz="8" w:space="0" w:color="auto"/>
            </w:tcBorders>
            <w:shd w:val="clear" w:color="auto" w:fill="auto"/>
            <w:vAlign w:val="center"/>
            <w:hideMark/>
          </w:tcPr>
          <w:p w14:paraId="5F38AA21" w14:textId="77777777"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Este proyecto tiene como propósito: Adoptar el sistema de supervisión basada en riesgos en la supersolidaria.</w:t>
            </w:r>
            <w:r w:rsidRPr="002910A2">
              <w:rPr>
                <w:rFonts w:ascii="Verdana" w:eastAsia="Times New Roman" w:hAnsi="Verdana" w:cs="Calibri"/>
                <w:color w:val="000000"/>
                <w:sz w:val="20"/>
                <w:szCs w:val="20"/>
                <w:lang w:eastAsia="es-CO"/>
              </w:rPr>
              <w:br/>
              <w:t>Dentro de la ejecución del proyecto “Implementación de la supervisión basada en riesgos en la Superintendencia de la Economía Solidaria a nivel nacional”, se pueden destacar los siguientes logros para el horizonte contemplado:</w:t>
            </w:r>
          </w:p>
          <w:p w14:paraId="045A48F7" w14:textId="77777777" w:rsid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 xml:space="preserve"> </w:t>
            </w:r>
            <w:r w:rsidRPr="002910A2">
              <w:rPr>
                <w:rFonts w:ascii="Verdana" w:eastAsia="Times New Roman" w:hAnsi="Verdana" w:cs="Calibri"/>
                <w:color w:val="000000"/>
                <w:sz w:val="20"/>
                <w:szCs w:val="20"/>
                <w:lang w:eastAsia="es-CO"/>
              </w:rPr>
              <w:br/>
              <w:t>• Implementación de un nuevo enfoque del Modelo de Supervisión desde las directrices establecidas en los CONPES 4005 de 2020 y 4051 de 2021, el cual está centrado en organizaciones de alto impacto y orientación del resto de entidades vigiladas a través del Marco Integral de Supervisión-MIS.</w:t>
            </w:r>
            <w:r w:rsidRPr="002910A2">
              <w:rPr>
                <w:rFonts w:ascii="Verdana" w:eastAsia="Times New Roman" w:hAnsi="Verdana" w:cs="Calibri"/>
                <w:color w:val="000000"/>
                <w:sz w:val="20"/>
                <w:szCs w:val="20"/>
                <w:lang w:eastAsia="es-CO"/>
              </w:rPr>
              <w:br/>
              <w:t xml:space="preserve">• Generación de alertas, normativas, mesas técnicas y sensibilizaciones para monitorear los diferentes sistemas de administración de riesgos, como lo son: el riesgo de crédito, liquidez, mercado, operativo, lavado de activos y financiación del terrorismo. </w:t>
            </w:r>
            <w:r w:rsidRPr="002910A2">
              <w:rPr>
                <w:rFonts w:ascii="Verdana" w:eastAsia="Times New Roman" w:hAnsi="Verdana" w:cs="Calibri"/>
                <w:color w:val="000000"/>
                <w:sz w:val="20"/>
                <w:szCs w:val="20"/>
                <w:lang w:eastAsia="es-CO"/>
              </w:rPr>
              <w:br/>
            </w:r>
            <w:r w:rsidRPr="002910A2">
              <w:rPr>
                <w:rFonts w:ascii="Verdana" w:eastAsia="Times New Roman" w:hAnsi="Verdana" w:cs="Calibri"/>
                <w:color w:val="000000"/>
                <w:sz w:val="20"/>
                <w:szCs w:val="20"/>
                <w:lang w:eastAsia="es-CO"/>
              </w:rPr>
              <w:lastRenderedPageBreak/>
              <w:t xml:space="preserve">• Actualización y divulgación de circulares. Mediante la construcción de informes periódicos con señales de alerta, suministro de herramientas y reportes específicos. </w:t>
            </w:r>
            <w:r w:rsidRPr="002910A2">
              <w:rPr>
                <w:rFonts w:ascii="Verdana" w:eastAsia="Times New Roman" w:hAnsi="Verdana" w:cs="Calibri"/>
                <w:color w:val="000000"/>
                <w:sz w:val="20"/>
                <w:szCs w:val="20"/>
                <w:lang w:eastAsia="es-CO"/>
              </w:rPr>
              <w:br/>
              <w:t xml:space="preserve">• Diseño e implementación parcial del Nuevo Modelo de Supervisión de Cumplimiento, además de un Modelo Estadístico para identificar alertas en entidades supervisadas. </w:t>
            </w:r>
            <w:r w:rsidRPr="002910A2">
              <w:rPr>
                <w:rFonts w:ascii="Verdana" w:eastAsia="Times New Roman" w:hAnsi="Verdana" w:cs="Calibri"/>
                <w:color w:val="000000"/>
                <w:sz w:val="20"/>
                <w:szCs w:val="20"/>
                <w:lang w:eastAsia="es-CO"/>
              </w:rPr>
              <w:br/>
              <w:t xml:space="preserve">• Diseño y distribución de diversos productos, tales como: revista institucional y piezas comunicativas, las cuales fueron utilizadas para los encuentros solidarios. Además de actualizaciones de logos y la producción de un programa de televisión institucional. </w:t>
            </w:r>
            <w:r w:rsidRPr="002910A2">
              <w:rPr>
                <w:rFonts w:ascii="Verdana" w:eastAsia="Times New Roman" w:hAnsi="Verdana" w:cs="Calibri"/>
                <w:color w:val="000000"/>
                <w:sz w:val="20"/>
                <w:szCs w:val="20"/>
                <w:lang w:eastAsia="es-CO"/>
              </w:rPr>
              <w:br/>
              <w:t>• Se llevo a cabo actividades de divulgación, sensibilización sobre gestión de riesgos y presencia regional.</w:t>
            </w:r>
          </w:p>
          <w:p w14:paraId="6DD64C5F" w14:textId="1BE391BA" w:rsidR="002910A2" w:rsidRPr="002910A2" w:rsidRDefault="002910A2" w:rsidP="002910A2">
            <w:pPr>
              <w:spacing w:after="0" w:line="240" w:lineRule="auto"/>
              <w:jc w:val="both"/>
              <w:rPr>
                <w:rFonts w:ascii="Verdana" w:eastAsia="Times New Roman" w:hAnsi="Verdana" w:cs="Calibri"/>
                <w:color w:val="000000"/>
                <w:sz w:val="20"/>
                <w:szCs w:val="20"/>
                <w:lang w:eastAsia="es-CO"/>
              </w:rPr>
            </w:pPr>
            <w:r w:rsidRPr="002910A2">
              <w:rPr>
                <w:rFonts w:ascii="Verdana" w:eastAsia="Times New Roman" w:hAnsi="Verdana" w:cs="Calibri"/>
                <w:color w:val="000000"/>
                <w:sz w:val="20"/>
                <w:szCs w:val="20"/>
                <w:lang w:eastAsia="es-CO"/>
              </w:rPr>
              <w:t xml:space="preserve"> </w:t>
            </w:r>
            <w:r w:rsidRPr="002910A2">
              <w:rPr>
                <w:rFonts w:ascii="Verdana" w:eastAsia="Times New Roman" w:hAnsi="Verdana" w:cs="Calibri"/>
                <w:color w:val="000000"/>
                <w:sz w:val="20"/>
                <w:szCs w:val="20"/>
                <w:lang w:eastAsia="es-CO"/>
              </w:rPr>
              <w:br/>
              <w:t>• Se realizaron 2.228 publicaciones y ajustes en el portal web de la Superintendencia.</w:t>
            </w:r>
            <w:r w:rsidRPr="002910A2">
              <w:rPr>
                <w:rFonts w:ascii="Verdana" w:eastAsia="Times New Roman" w:hAnsi="Verdana" w:cs="Calibri"/>
                <w:color w:val="000000"/>
                <w:sz w:val="20"/>
                <w:szCs w:val="20"/>
                <w:lang w:eastAsia="es-CO"/>
              </w:rPr>
              <w:br/>
              <w:t xml:space="preserve">• Se diseñó la señalización para la nueva sede y se superó la meta de 79 piezas de comunicación establecidas para el proyecto. </w:t>
            </w:r>
            <w:r w:rsidRPr="002910A2">
              <w:rPr>
                <w:rFonts w:ascii="Verdana" w:eastAsia="Times New Roman" w:hAnsi="Verdana" w:cs="Calibri"/>
                <w:color w:val="000000"/>
                <w:sz w:val="20"/>
                <w:szCs w:val="20"/>
                <w:lang w:eastAsia="es-CO"/>
              </w:rPr>
              <w:br/>
              <w:t>• La conformación del equipo de Comunicaciones, el cual ha contribuido al cumplimiento de metas y objetivos de la Supersolidaria.</w:t>
            </w:r>
          </w:p>
        </w:tc>
        <w:tc>
          <w:tcPr>
            <w:tcW w:w="160" w:type="dxa"/>
            <w:vAlign w:val="center"/>
            <w:hideMark/>
          </w:tcPr>
          <w:p w14:paraId="513CD138"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2A3715A7"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3AA4525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8" w:space="0" w:color="000000"/>
              <w:right w:val="single" w:sz="4" w:space="0" w:color="auto"/>
            </w:tcBorders>
            <w:vAlign w:val="center"/>
            <w:hideMark/>
          </w:tcPr>
          <w:p w14:paraId="4CF884C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8" w:space="0" w:color="000000"/>
              <w:right w:val="single" w:sz="8" w:space="0" w:color="auto"/>
            </w:tcBorders>
            <w:vAlign w:val="center"/>
            <w:hideMark/>
          </w:tcPr>
          <w:p w14:paraId="750B0C6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43E7AF2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r>
      <w:tr w:rsidR="002910A2" w:rsidRPr="002910A2" w14:paraId="361B22FD"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1E468122"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8" w:space="0" w:color="000000"/>
              <w:right w:val="single" w:sz="4" w:space="0" w:color="auto"/>
            </w:tcBorders>
            <w:vAlign w:val="center"/>
            <w:hideMark/>
          </w:tcPr>
          <w:p w14:paraId="11D4CA8C"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8" w:space="0" w:color="000000"/>
              <w:right w:val="single" w:sz="8" w:space="0" w:color="auto"/>
            </w:tcBorders>
            <w:vAlign w:val="center"/>
            <w:hideMark/>
          </w:tcPr>
          <w:p w14:paraId="2B6B247E"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4863C220"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443BC2C6"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4A1A03D3"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8" w:space="0" w:color="000000"/>
              <w:right w:val="single" w:sz="4" w:space="0" w:color="auto"/>
            </w:tcBorders>
            <w:vAlign w:val="center"/>
            <w:hideMark/>
          </w:tcPr>
          <w:p w14:paraId="63118D2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8" w:space="0" w:color="000000"/>
              <w:right w:val="single" w:sz="8" w:space="0" w:color="auto"/>
            </w:tcBorders>
            <w:vAlign w:val="center"/>
            <w:hideMark/>
          </w:tcPr>
          <w:p w14:paraId="33618A75"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40096A31"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3EB67EEF"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43AC122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8" w:space="0" w:color="000000"/>
              <w:right w:val="single" w:sz="4" w:space="0" w:color="auto"/>
            </w:tcBorders>
            <w:vAlign w:val="center"/>
            <w:hideMark/>
          </w:tcPr>
          <w:p w14:paraId="3B403A8E"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8" w:space="0" w:color="000000"/>
              <w:right w:val="single" w:sz="8" w:space="0" w:color="auto"/>
            </w:tcBorders>
            <w:vAlign w:val="center"/>
            <w:hideMark/>
          </w:tcPr>
          <w:p w14:paraId="2A1326C4"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3BC2E420"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3515B420"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7A307275"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8" w:space="0" w:color="000000"/>
              <w:right w:val="single" w:sz="4" w:space="0" w:color="auto"/>
            </w:tcBorders>
            <w:vAlign w:val="center"/>
            <w:hideMark/>
          </w:tcPr>
          <w:p w14:paraId="2FA3F854"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8" w:space="0" w:color="000000"/>
              <w:right w:val="single" w:sz="8" w:space="0" w:color="auto"/>
            </w:tcBorders>
            <w:vAlign w:val="center"/>
            <w:hideMark/>
          </w:tcPr>
          <w:p w14:paraId="407A71E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346F8387"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3E32CD04"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1CAC008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8" w:space="0" w:color="000000"/>
              <w:right w:val="single" w:sz="4" w:space="0" w:color="auto"/>
            </w:tcBorders>
            <w:vAlign w:val="center"/>
            <w:hideMark/>
          </w:tcPr>
          <w:p w14:paraId="0D9DDB4C"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8" w:space="0" w:color="000000"/>
              <w:right w:val="single" w:sz="8" w:space="0" w:color="auto"/>
            </w:tcBorders>
            <w:vAlign w:val="center"/>
            <w:hideMark/>
          </w:tcPr>
          <w:p w14:paraId="7BF29D5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258A1ACC"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7154D21C"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3DEFE22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8" w:space="0" w:color="000000"/>
              <w:right w:val="single" w:sz="4" w:space="0" w:color="auto"/>
            </w:tcBorders>
            <w:vAlign w:val="center"/>
            <w:hideMark/>
          </w:tcPr>
          <w:p w14:paraId="36C4BC6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8" w:space="0" w:color="000000"/>
              <w:right w:val="single" w:sz="8" w:space="0" w:color="auto"/>
            </w:tcBorders>
            <w:vAlign w:val="center"/>
            <w:hideMark/>
          </w:tcPr>
          <w:p w14:paraId="347B9B8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50A25B2"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0D6DB953"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5E0D821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8" w:space="0" w:color="000000"/>
              <w:right w:val="single" w:sz="4" w:space="0" w:color="auto"/>
            </w:tcBorders>
            <w:vAlign w:val="center"/>
            <w:hideMark/>
          </w:tcPr>
          <w:p w14:paraId="4743B6C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8" w:space="0" w:color="000000"/>
              <w:right w:val="single" w:sz="8" w:space="0" w:color="auto"/>
            </w:tcBorders>
            <w:vAlign w:val="center"/>
            <w:hideMark/>
          </w:tcPr>
          <w:p w14:paraId="0BC863D0"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21A9E2C7"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5A4AA97B"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456B4E23"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8" w:space="0" w:color="000000"/>
              <w:right w:val="single" w:sz="4" w:space="0" w:color="auto"/>
            </w:tcBorders>
            <w:vAlign w:val="center"/>
            <w:hideMark/>
          </w:tcPr>
          <w:p w14:paraId="40A17C44"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8" w:space="0" w:color="000000"/>
              <w:right w:val="single" w:sz="8" w:space="0" w:color="auto"/>
            </w:tcBorders>
            <w:vAlign w:val="center"/>
            <w:hideMark/>
          </w:tcPr>
          <w:p w14:paraId="0E291798"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597AE25B"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42E5CA9F"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7D54A72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8" w:space="0" w:color="000000"/>
              <w:right w:val="single" w:sz="4" w:space="0" w:color="auto"/>
            </w:tcBorders>
            <w:vAlign w:val="center"/>
            <w:hideMark/>
          </w:tcPr>
          <w:p w14:paraId="339D6A58"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8" w:space="0" w:color="000000"/>
              <w:right w:val="single" w:sz="8" w:space="0" w:color="auto"/>
            </w:tcBorders>
            <w:vAlign w:val="center"/>
            <w:hideMark/>
          </w:tcPr>
          <w:p w14:paraId="39059074"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25838DDB"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79D5679E"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049B1B38"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8" w:space="0" w:color="000000"/>
              <w:right w:val="single" w:sz="4" w:space="0" w:color="auto"/>
            </w:tcBorders>
            <w:vAlign w:val="center"/>
            <w:hideMark/>
          </w:tcPr>
          <w:p w14:paraId="4D6FE492"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8" w:space="0" w:color="000000"/>
              <w:right w:val="single" w:sz="8" w:space="0" w:color="auto"/>
            </w:tcBorders>
            <w:vAlign w:val="center"/>
            <w:hideMark/>
          </w:tcPr>
          <w:p w14:paraId="58A09BD7"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2487690A"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619780D6"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0AF50114"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8" w:space="0" w:color="000000"/>
              <w:right w:val="single" w:sz="4" w:space="0" w:color="auto"/>
            </w:tcBorders>
            <w:vAlign w:val="center"/>
            <w:hideMark/>
          </w:tcPr>
          <w:p w14:paraId="7437064C"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8" w:space="0" w:color="000000"/>
              <w:right w:val="single" w:sz="8" w:space="0" w:color="auto"/>
            </w:tcBorders>
            <w:vAlign w:val="center"/>
            <w:hideMark/>
          </w:tcPr>
          <w:p w14:paraId="7DF98DFD"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69C910D4"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3FAF234C"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0C367A32"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8" w:space="0" w:color="000000"/>
              <w:right w:val="single" w:sz="4" w:space="0" w:color="auto"/>
            </w:tcBorders>
            <w:vAlign w:val="center"/>
            <w:hideMark/>
          </w:tcPr>
          <w:p w14:paraId="20FA8B9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8" w:space="0" w:color="000000"/>
              <w:right w:val="single" w:sz="8" w:space="0" w:color="auto"/>
            </w:tcBorders>
            <w:vAlign w:val="center"/>
            <w:hideMark/>
          </w:tcPr>
          <w:p w14:paraId="46C9AE8B"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4239D50D"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4127F515" w14:textId="77777777" w:rsidTr="0078445C">
        <w:trPr>
          <w:trHeight w:val="300"/>
        </w:trPr>
        <w:tc>
          <w:tcPr>
            <w:tcW w:w="2117" w:type="dxa"/>
            <w:vMerge/>
            <w:tcBorders>
              <w:top w:val="nil"/>
              <w:left w:val="single" w:sz="8" w:space="0" w:color="auto"/>
              <w:bottom w:val="single" w:sz="4" w:space="0" w:color="auto"/>
              <w:right w:val="single" w:sz="4" w:space="0" w:color="auto"/>
            </w:tcBorders>
            <w:vAlign w:val="center"/>
            <w:hideMark/>
          </w:tcPr>
          <w:p w14:paraId="3CE9F0B4"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8" w:space="0" w:color="000000"/>
              <w:right w:val="single" w:sz="4" w:space="0" w:color="auto"/>
            </w:tcBorders>
            <w:vAlign w:val="center"/>
            <w:hideMark/>
          </w:tcPr>
          <w:p w14:paraId="75C3F7EA"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8" w:space="0" w:color="000000"/>
              <w:right w:val="single" w:sz="8" w:space="0" w:color="auto"/>
            </w:tcBorders>
            <w:vAlign w:val="center"/>
            <w:hideMark/>
          </w:tcPr>
          <w:p w14:paraId="7A0AB3A1"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079A2FC9"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0A3D0C1F" w14:textId="77777777" w:rsidTr="0078445C">
        <w:trPr>
          <w:trHeight w:val="780"/>
        </w:trPr>
        <w:tc>
          <w:tcPr>
            <w:tcW w:w="2117" w:type="dxa"/>
            <w:vMerge/>
            <w:tcBorders>
              <w:top w:val="nil"/>
              <w:left w:val="single" w:sz="8" w:space="0" w:color="auto"/>
              <w:bottom w:val="single" w:sz="4" w:space="0" w:color="auto"/>
              <w:right w:val="single" w:sz="4" w:space="0" w:color="auto"/>
            </w:tcBorders>
            <w:vAlign w:val="center"/>
            <w:hideMark/>
          </w:tcPr>
          <w:p w14:paraId="34F1EFE9"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8" w:space="0" w:color="000000"/>
              <w:right w:val="single" w:sz="4" w:space="0" w:color="auto"/>
            </w:tcBorders>
            <w:vAlign w:val="center"/>
            <w:hideMark/>
          </w:tcPr>
          <w:p w14:paraId="408D89D9"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8" w:space="0" w:color="000000"/>
              <w:right w:val="single" w:sz="8" w:space="0" w:color="auto"/>
            </w:tcBorders>
            <w:vAlign w:val="center"/>
            <w:hideMark/>
          </w:tcPr>
          <w:p w14:paraId="10EE1942"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194BC123"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r w:rsidR="002910A2" w:rsidRPr="002910A2" w14:paraId="5AF84A34" w14:textId="77777777" w:rsidTr="0078445C">
        <w:trPr>
          <w:trHeight w:val="2145"/>
        </w:trPr>
        <w:tc>
          <w:tcPr>
            <w:tcW w:w="2117" w:type="dxa"/>
            <w:vMerge/>
            <w:tcBorders>
              <w:top w:val="nil"/>
              <w:left w:val="single" w:sz="8" w:space="0" w:color="auto"/>
              <w:bottom w:val="single" w:sz="4" w:space="0" w:color="auto"/>
              <w:right w:val="single" w:sz="4" w:space="0" w:color="auto"/>
            </w:tcBorders>
            <w:vAlign w:val="center"/>
            <w:hideMark/>
          </w:tcPr>
          <w:p w14:paraId="6306C1C6"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2126" w:type="dxa"/>
            <w:vMerge/>
            <w:tcBorders>
              <w:top w:val="nil"/>
              <w:left w:val="single" w:sz="4" w:space="0" w:color="auto"/>
              <w:bottom w:val="single" w:sz="8" w:space="0" w:color="000000"/>
              <w:right w:val="single" w:sz="4" w:space="0" w:color="auto"/>
            </w:tcBorders>
            <w:vAlign w:val="center"/>
            <w:hideMark/>
          </w:tcPr>
          <w:p w14:paraId="1544B1D5"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5245" w:type="dxa"/>
            <w:vMerge/>
            <w:tcBorders>
              <w:top w:val="nil"/>
              <w:left w:val="single" w:sz="4" w:space="0" w:color="auto"/>
              <w:bottom w:val="single" w:sz="8" w:space="0" w:color="000000"/>
              <w:right w:val="single" w:sz="8" w:space="0" w:color="auto"/>
            </w:tcBorders>
            <w:vAlign w:val="center"/>
            <w:hideMark/>
          </w:tcPr>
          <w:p w14:paraId="0766F73F" w14:textId="77777777" w:rsidR="002910A2" w:rsidRPr="002910A2" w:rsidRDefault="002910A2" w:rsidP="002910A2">
            <w:pPr>
              <w:spacing w:after="0" w:line="240" w:lineRule="auto"/>
              <w:rPr>
                <w:rFonts w:ascii="Verdana" w:eastAsia="Times New Roman" w:hAnsi="Verdana" w:cs="Calibri"/>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1427EE93" w14:textId="77777777" w:rsidR="002910A2" w:rsidRPr="002910A2" w:rsidRDefault="002910A2" w:rsidP="002910A2">
            <w:pPr>
              <w:spacing w:after="0" w:line="240" w:lineRule="auto"/>
              <w:rPr>
                <w:rFonts w:ascii="Times New Roman" w:eastAsia="Times New Roman" w:hAnsi="Times New Roman" w:cs="Times New Roman"/>
                <w:sz w:val="20"/>
                <w:szCs w:val="20"/>
                <w:lang w:eastAsia="es-CO"/>
              </w:rPr>
            </w:pPr>
          </w:p>
        </w:tc>
      </w:tr>
    </w:tbl>
    <w:p w14:paraId="15767314" w14:textId="77777777" w:rsidR="002910A2" w:rsidRDefault="002910A2" w:rsidP="00BE54BC">
      <w:pPr>
        <w:spacing w:before="100" w:beforeAutospacing="1" w:after="100" w:afterAutospacing="1"/>
        <w:contextualSpacing/>
        <w:jc w:val="both"/>
        <w:rPr>
          <w:rFonts w:ascii="Verdana" w:hAnsi="Verdana" w:cs="Arial"/>
          <w:b/>
          <w:u w:val="single"/>
        </w:rPr>
      </w:pPr>
    </w:p>
    <w:p w14:paraId="34A18DD4" w14:textId="77777777" w:rsidR="0078445C" w:rsidRDefault="0078445C" w:rsidP="00BB4E9D">
      <w:pPr>
        <w:rPr>
          <w:rFonts w:ascii="Verdana" w:hAnsi="Verdana" w:cs="Arial"/>
          <w:b/>
          <w:u w:val="single"/>
        </w:rPr>
      </w:pPr>
    </w:p>
    <w:p w14:paraId="652F3993" w14:textId="77777777" w:rsidR="0078445C" w:rsidRDefault="0078445C" w:rsidP="00BB4E9D">
      <w:pPr>
        <w:rPr>
          <w:rFonts w:ascii="Verdana" w:hAnsi="Verdana" w:cs="Arial"/>
          <w:b/>
          <w:u w:val="single"/>
        </w:rPr>
      </w:pPr>
    </w:p>
    <w:p w14:paraId="7B02D22C" w14:textId="77777777" w:rsidR="0078445C" w:rsidRDefault="0078445C" w:rsidP="00BB4E9D">
      <w:pPr>
        <w:rPr>
          <w:rFonts w:ascii="Verdana" w:hAnsi="Verdana" w:cs="Arial"/>
          <w:b/>
          <w:u w:val="single"/>
        </w:rPr>
      </w:pPr>
    </w:p>
    <w:p w14:paraId="33E60775" w14:textId="77777777" w:rsidR="0078445C" w:rsidRDefault="0078445C" w:rsidP="00BB4E9D">
      <w:pPr>
        <w:rPr>
          <w:rFonts w:ascii="Verdana" w:hAnsi="Verdana" w:cs="Arial"/>
          <w:b/>
          <w:u w:val="single"/>
        </w:rPr>
      </w:pPr>
    </w:p>
    <w:p w14:paraId="442B327E" w14:textId="77777777" w:rsidR="0078445C" w:rsidRDefault="0078445C" w:rsidP="00BB4E9D">
      <w:pPr>
        <w:rPr>
          <w:rFonts w:ascii="Verdana" w:hAnsi="Verdana" w:cs="Arial"/>
          <w:b/>
          <w:u w:val="single"/>
        </w:rPr>
      </w:pPr>
    </w:p>
    <w:p w14:paraId="64865B17" w14:textId="77777777" w:rsidR="0078445C" w:rsidRDefault="0078445C" w:rsidP="00BB4E9D">
      <w:pPr>
        <w:rPr>
          <w:rFonts w:ascii="Verdana" w:hAnsi="Verdana" w:cs="Arial"/>
          <w:b/>
          <w:u w:val="single"/>
        </w:rPr>
      </w:pPr>
    </w:p>
    <w:p w14:paraId="63D6C694" w14:textId="77777777" w:rsidR="0078445C" w:rsidRDefault="0078445C" w:rsidP="00BB4E9D">
      <w:pPr>
        <w:rPr>
          <w:rFonts w:ascii="Verdana" w:hAnsi="Verdana" w:cs="Arial"/>
          <w:b/>
          <w:u w:val="single"/>
        </w:rPr>
      </w:pPr>
    </w:p>
    <w:p w14:paraId="59355BC7" w14:textId="77777777" w:rsidR="0078445C" w:rsidRDefault="0078445C" w:rsidP="00BB4E9D">
      <w:pPr>
        <w:rPr>
          <w:rFonts w:ascii="Verdana" w:hAnsi="Verdana" w:cs="Arial"/>
          <w:b/>
          <w:u w:val="single"/>
        </w:rPr>
      </w:pPr>
    </w:p>
    <w:p w14:paraId="2735CA99" w14:textId="77777777" w:rsidR="0078445C" w:rsidRDefault="0078445C" w:rsidP="00BB4E9D">
      <w:pPr>
        <w:rPr>
          <w:rFonts w:ascii="Verdana" w:hAnsi="Verdana" w:cs="Arial"/>
          <w:b/>
          <w:u w:val="single"/>
        </w:rPr>
      </w:pPr>
    </w:p>
    <w:p w14:paraId="78B6CBED" w14:textId="77777777" w:rsidR="0078445C" w:rsidRDefault="0078445C" w:rsidP="00BB4E9D">
      <w:pPr>
        <w:rPr>
          <w:rFonts w:ascii="Verdana" w:hAnsi="Verdana" w:cs="Arial"/>
          <w:b/>
          <w:u w:val="single"/>
        </w:rPr>
      </w:pPr>
    </w:p>
    <w:p w14:paraId="5D3C4F2B" w14:textId="77777777" w:rsidR="0078445C" w:rsidRDefault="0078445C" w:rsidP="00BB4E9D">
      <w:pPr>
        <w:rPr>
          <w:rFonts w:ascii="Verdana" w:hAnsi="Verdana" w:cs="Arial"/>
          <w:b/>
          <w:u w:val="single"/>
        </w:rPr>
      </w:pPr>
    </w:p>
    <w:p w14:paraId="7E8D3162" w14:textId="77777777" w:rsidR="0078445C" w:rsidRDefault="0078445C" w:rsidP="00BB4E9D">
      <w:pPr>
        <w:rPr>
          <w:rFonts w:ascii="Verdana" w:hAnsi="Verdana" w:cs="Arial"/>
          <w:b/>
          <w:u w:val="single"/>
        </w:rPr>
      </w:pPr>
    </w:p>
    <w:p w14:paraId="6921F654" w14:textId="6DB61D41" w:rsidR="00BB4E9D" w:rsidRPr="00803254" w:rsidRDefault="00BB4E9D" w:rsidP="00BB4E9D">
      <w:pPr>
        <w:rPr>
          <w:rFonts w:ascii="Verdana" w:hAnsi="Verdana" w:cs="Arial"/>
          <w:b/>
          <w:u w:val="single"/>
        </w:rPr>
      </w:pPr>
      <w:r w:rsidRPr="00803254">
        <w:rPr>
          <w:rFonts w:ascii="Verdana" w:hAnsi="Verdana" w:cs="Arial"/>
          <w:b/>
          <w:u w:val="single"/>
        </w:rPr>
        <w:lastRenderedPageBreak/>
        <w:t>Año 202</w:t>
      </w:r>
      <w:r>
        <w:rPr>
          <w:rFonts w:ascii="Verdana" w:hAnsi="Verdana" w:cs="Arial"/>
          <w:b/>
          <w:u w:val="single"/>
        </w:rPr>
        <w:t>4</w:t>
      </w:r>
      <w:r w:rsidRPr="00803254">
        <w:rPr>
          <w:rFonts w:ascii="Verdana" w:hAnsi="Verdana" w:cs="Arial"/>
          <w:b/>
          <w:u w:val="single"/>
        </w:rPr>
        <w:t>:</w:t>
      </w:r>
    </w:p>
    <w:p w14:paraId="56F3E222" w14:textId="77777777" w:rsidR="00BB4E9D" w:rsidRPr="00803254" w:rsidRDefault="00BB4E9D" w:rsidP="00BB4E9D">
      <w:pPr>
        <w:spacing w:before="100" w:beforeAutospacing="1" w:after="100" w:afterAutospacing="1"/>
        <w:contextualSpacing/>
        <w:jc w:val="center"/>
        <w:rPr>
          <w:rFonts w:ascii="Verdana" w:hAnsi="Verdana" w:cs="Arial"/>
        </w:rPr>
      </w:pPr>
    </w:p>
    <w:p w14:paraId="65372896" w14:textId="77777777" w:rsidR="00BB4E9D" w:rsidRDefault="00BB4E9D" w:rsidP="00BB4E9D">
      <w:pPr>
        <w:spacing w:before="100" w:beforeAutospacing="1" w:after="100" w:afterAutospacing="1"/>
        <w:ind w:right="758"/>
        <w:contextualSpacing/>
        <w:jc w:val="both"/>
        <w:rPr>
          <w:rFonts w:ascii="Verdana" w:hAnsi="Verdana" w:cs="Arial"/>
        </w:rPr>
      </w:pPr>
      <w:r w:rsidRPr="00803254">
        <w:rPr>
          <w:rFonts w:ascii="Verdana" w:hAnsi="Verdana" w:cs="Arial"/>
        </w:rPr>
        <w:t>A continuación, se presentan los principales rubros presupuestales y resultados misionales de</w:t>
      </w:r>
      <w:r>
        <w:rPr>
          <w:rFonts w:ascii="Verdana" w:hAnsi="Verdana" w:cs="Arial"/>
        </w:rPr>
        <w:t xml:space="preserve"> la Supersolidaria </w:t>
      </w:r>
      <w:r w:rsidRPr="00803254">
        <w:rPr>
          <w:rFonts w:ascii="Verdana" w:hAnsi="Verdana" w:cs="Arial"/>
        </w:rPr>
        <w:t>en el año 202</w:t>
      </w:r>
      <w:r>
        <w:rPr>
          <w:rFonts w:ascii="Verdana" w:hAnsi="Verdana" w:cs="Arial"/>
        </w:rPr>
        <w:t>4</w:t>
      </w:r>
      <w:r w:rsidRPr="00803254">
        <w:rPr>
          <w:rFonts w:ascii="Verdana" w:hAnsi="Verdana" w:cs="Arial"/>
        </w:rPr>
        <w:t xml:space="preserve"> con corte a 31 de julio:</w:t>
      </w:r>
    </w:p>
    <w:p w14:paraId="101CF476" w14:textId="77777777" w:rsidR="00BB4E9D" w:rsidRDefault="00BB4E9D" w:rsidP="00BB4E9D">
      <w:pPr>
        <w:spacing w:before="100" w:beforeAutospacing="1" w:after="100" w:afterAutospacing="1"/>
        <w:contextualSpacing/>
        <w:jc w:val="center"/>
        <w:rPr>
          <w:rFonts w:ascii="Verdana" w:hAnsi="Verdana" w:cs="Arial"/>
          <w:b/>
        </w:rPr>
      </w:pPr>
      <w:r w:rsidRPr="00803254">
        <w:rPr>
          <w:rFonts w:ascii="Verdana" w:hAnsi="Verdana" w:cs="Arial"/>
          <w:b/>
        </w:rPr>
        <w:t xml:space="preserve">EJECUCIÓN PRESUPUESTAL </w:t>
      </w:r>
    </w:p>
    <w:p w14:paraId="41DB10E8" w14:textId="77777777" w:rsidR="00BB4E9D" w:rsidRPr="00803254" w:rsidRDefault="00BB4E9D" w:rsidP="00BB4E9D">
      <w:pPr>
        <w:spacing w:before="100" w:beforeAutospacing="1" w:after="100" w:afterAutospacing="1"/>
        <w:contextualSpacing/>
        <w:jc w:val="center"/>
        <w:rPr>
          <w:rFonts w:ascii="Verdana" w:hAnsi="Verdana" w:cs="Arial"/>
          <w:b/>
        </w:rPr>
      </w:pPr>
      <w:r w:rsidRPr="00397B55">
        <w:rPr>
          <w:rFonts w:ascii="Verdana" w:hAnsi="Verdana" w:cs="Arial"/>
          <w:b/>
        </w:rPr>
        <w:t xml:space="preserve">SUPERINTENDENCIA DE ECONOMÍA SOLIDARIA </w:t>
      </w:r>
    </w:p>
    <w:p w14:paraId="0C247D69" w14:textId="77777777" w:rsidR="00BB4E9D" w:rsidRDefault="00BB4E9D" w:rsidP="00BB4E9D">
      <w:pPr>
        <w:spacing w:before="100" w:beforeAutospacing="1" w:after="100" w:afterAutospacing="1"/>
        <w:contextualSpacing/>
        <w:jc w:val="center"/>
        <w:rPr>
          <w:rFonts w:ascii="Verdana" w:hAnsi="Verdana" w:cs="Arial"/>
          <w:b/>
        </w:rPr>
      </w:pPr>
      <w:r w:rsidRPr="00803254">
        <w:rPr>
          <w:rFonts w:ascii="Verdana" w:hAnsi="Verdana" w:cs="Arial"/>
          <w:b/>
        </w:rPr>
        <w:t>AÑO 202</w:t>
      </w:r>
      <w:r>
        <w:rPr>
          <w:rFonts w:ascii="Verdana" w:hAnsi="Verdana" w:cs="Arial"/>
          <w:b/>
        </w:rPr>
        <w:t>4</w:t>
      </w:r>
      <w:r w:rsidRPr="00803254">
        <w:rPr>
          <w:rFonts w:ascii="Verdana" w:hAnsi="Verdana" w:cs="Arial"/>
          <w:b/>
        </w:rPr>
        <w:t xml:space="preserve"> (</w:t>
      </w:r>
      <w:r>
        <w:rPr>
          <w:rFonts w:ascii="Verdana" w:hAnsi="Verdana" w:cs="Arial"/>
          <w:b/>
        </w:rPr>
        <w:t>Julio</w:t>
      </w:r>
      <w:r w:rsidRPr="00803254">
        <w:rPr>
          <w:rFonts w:ascii="Verdana" w:hAnsi="Verdana" w:cs="Arial"/>
          <w:b/>
        </w:rPr>
        <w:t>)</w:t>
      </w:r>
    </w:p>
    <w:p w14:paraId="6EEBD28C" w14:textId="77777777" w:rsidR="00BB4E9D" w:rsidRDefault="00BB4E9D" w:rsidP="00BB4E9D">
      <w:pPr>
        <w:spacing w:before="100" w:beforeAutospacing="1" w:after="100" w:afterAutospacing="1"/>
        <w:contextualSpacing/>
        <w:jc w:val="center"/>
        <w:rPr>
          <w:rFonts w:ascii="Verdana" w:hAnsi="Verdana" w:cs="Arial"/>
          <w:b/>
        </w:rPr>
      </w:pPr>
    </w:p>
    <w:p w14:paraId="67F947E8" w14:textId="77777777" w:rsidR="00BB4E9D" w:rsidRPr="00E45830" w:rsidRDefault="00BB4E9D" w:rsidP="00BB4E9D">
      <w:pPr>
        <w:autoSpaceDE w:val="0"/>
        <w:autoSpaceDN w:val="0"/>
        <w:adjustRightInd w:val="0"/>
        <w:spacing w:after="0" w:line="240" w:lineRule="auto"/>
        <w:jc w:val="both"/>
        <w:rPr>
          <w:rFonts w:ascii="Verdana" w:hAnsi="Verdana" w:cs="Arial"/>
          <w:sz w:val="14"/>
          <w:szCs w:val="16"/>
        </w:rPr>
      </w:pPr>
      <w:r w:rsidRPr="00E45830">
        <w:rPr>
          <w:noProof/>
          <w:lang w:eastAsia="es-CO"/>
        </w:rPr>
        <w:drawing>
          <wp:inline distT="0" distB="0" distL="0" distR="0" wp14:anchorId="215DC92C" wp14:editId="25FB63F2">
            <wp:extent cx="6152083" cy="4217581"/>
            <wp:effectExtent l="0" t="0" r="127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58107" cy="4221711"/>
                    </a:xfrm>
                    <a:prstGeom prst="rect">
                      <a:avLst/>
                    </a:prstGeom>
                    <a:noFill/>
                    <a:ln>
                      <a:noFill/>
                    </a:ln>
                  </pic:spPr>
                </pic:pic>
              </a:graphicData>
            </a:graphic>
          </wp:inline>
        </w:drawing>
      </w:r>
      <w:r w:rsidRPr="00E45830">
        <w:rPr>
          <w:rFonts w:ascii="Verdana" w:hAnsi="Verdana" w:cs="Arial"/>
          <w:sz w:val="16"/>
          <w:szCs w:val="16"/>
        </w:rPr>
        <w:t xml:space="preserve"> </w:t>
      </w:r>
      <w:r w:rsidRPr="00E45830">
        <w:rPr>
          <w:rFonts w:ascii="Verdana" w:hAnsi="Verdana" w:cs="Arial"/>
          <w:sz w:val="14"/>
          <w:szCs w:val="16"/>
        </w:rPr>
        <w:t>Fuente: Informe SIIF con corte a 31 de julio de 202</w:t>
      </w:r>
      <w:r>
        <w:rPr>
          <w:rFonts w:ascii="Verdana" w:hAnsi="Verdana" w:cs="Arial"/>
          <w:sz w:val="14"/>
          <w:szCs w:val="16"/>
        </w:rPr>
        <w:t>4</w:t>
      </w:r>
    </w:p>
    <w:p w14:paraId="614883A5" w14:textId="77777777" w:rsidR="00BB4E9D" w:rsidRDefault="00BB4E9D" w:rsidP="00BB4E9D">
      <w:pPr>
        <w:spacing w:before="100" w:beforeAutospacing="1" w:after="100" w:afterAutospacing="1"/>
        <w:contextualSpacing/>
        <w:jc w:val="center"/>
        <w:rPr>
          <w:rFonts w:ascii="Verdana" w:hAnsi="Verdana" w:cs="Arial"/>
          <w:b/>
        </w:rPr>
      </w:pPr>
      <w:r w:rsidRPr="00803254">
        <w:rPr>
          <w:rFonts w:ascii="Verdana" w:hAnsi="Verdana" w:cs="Arial"/>
        </w:rPr>
        <w:tab/>
      </w:r>
    </w:p>
    <w:p w14:paraId="35EF2E27" w14:textId="77777777" w:rsidR="00BB4E9D" w:rsidRPr="00CF4B70" w:rsidRDefault="00BB4E9D" w:rsidP="00BB4E9D">
      <w:pPr>
        <w:spacing w:line="240" w:lineRule="auto"/>
        <w:jc w:val="both"/>
        <w:rPr>
          <w:rFonts w:ascii="Verdana" w:eastAsiaTheme="minorEastAsia" w:hAnsi="Verdana"/>
          <w:color w:val="000000" w:themeColor="text1"/>
          <w:kern w:val="24"/>
          <w:sz w:val="16"/>
          <w:szCs w:val="16"/>
          <w:lang w:val="es-ES" w:eastAsia="es-CO"/>
        </w:rPr>
      </w:pPr>
      <w:r w:rsidRPr="00CF4B70">
        <w:rPr>
          <w:rFonts w:ascii="Verdana" w:eastAsia="Calibri" w:hAnsi="Verdana" w:cs="Times New Roman"/>
          <w:color w:val="000000" w:themeColor="text1"/>
          <w:kern w:val="24"/>
          <w:sz w:val="16"/>
          <w:szCs w:val="16"/>
          <w:lang w:val="es-ES" w:eastAsia="es-CO"/>
        </w:rPr>
        <w:t>*</w:t>
      </w:r>
      <w:r w:rsidRPr="00CF4B70">
        <w:rPr>
          <w:rFonts w:ascii="Verdana" w:eastAsiaTheme="minorEastAsia" w:hAnsi="Verdana"/>
          <w:color w:val="000000" w:themeColor="text1"/>
          <w:kern w:val="24"/>
          <w:sz w:val="16"/>
          <w:szCs w:val="16"/>
          <w:lang w:val="es-ES" w:eastAsia="es-CO"/>
        </w:rPr>
        <w:t xml:space="preserve">Gastos de Personal: Hace referencia al rubro “Otros Gastos </w:t>
      </w:r>
      <w:r>
        <w:rPr>
          <w:rFonts w:ascii="Verdana" w:eastAsiaTheme="minorEastAsia" w:hAnsi="Verdana"/>
          <w:color w:val="000000" w:themeColor="text1"/>
          <w:kern w:val="24"/>
          <w:sz w:val="16"/>
          <w:szCs w:val="16"/>
          <w:lang w:val="es-ES" w:eastAsia="es-CO"/>
        </w:rPr>
        <w:t xml:space="preserve">de </w:t>
      </w:r>
      <w:r w:rsidRPr="00CF4B70">
        <w:rPr>
          <w:rFonts w:ascii="Verdana" w:eastAsiaTheme="minorEastAsia" w:hAnsi="Verdana"/>
          <w:color w:val="000000" w:themeColor="text1"/>
          <w:kern w:val="24"/>
          <w:sz w:val="16"/>
          <w:szCs w:val="16"/>
          <w:lang w:val="es-ES" w:eastAsia="es-CO"/>
        </w:rPr>
        <w:t>Personal – Distribución Previo Concepto DGPPN”, el cual incluye los recursos previstos para financiar el valor del incremento salarial decretado por el Gobierno Nacional para las entidades del Presupuesto General de la Nación, en la vigencia 202</w:t>
      </w:r>
      <w:r>
        <w:rPr>
          <w:rFonts w:ascii="Verdana" w:eastAsiaTheme="minorEastAsia" w:hAnsi="Verdana"/>
          <w:color w:val="000000" w:themeColor="text1"/>
          <w:kern w:val="24"/>
          <w:sz w:val="16"/>
          <w:szCs w:val="16"/>
          <w:lang w:val="es-ES" w:eastAsia="es-CO"/>
        </w:rPr>
        <w:t>4</w:t>
      </w:r>
      <w:r w:rsidRPr="00CF4B70">
        <w:rPr>
          <w:rFonts w:ascii="Verdana" w:eastAsiaTheme="minorEastAsia" w:hAnsi="Verdana"/>
          <w:color w:val="000000" w:themeColor="text1"/>
          <w:kern w:val="24"/>
          <w:sz w:val="16"/>
          <w:szCs w:val="16"/>
          <w:lang w:val="es-ES" w:eastAsia="es-CO"/>
        </w:rPr>
        <w:t>.</w:t>
      </w:r>
    </w:p>
    <w:p w14:paraId="33CA6682" w14:textId="77777777" w:rsidR="00BB4E9D" w:rsidRPr="00CF4B70" w:rsidRDefault="00BB4E9D" w:rsidP="00BB4E9D">
      <w:pPr>
        <w:spacing w:line="240" w:lineRule="auto"/>
        <w:jc w:val="both"/>
        <w:rPr>
          <w:rFonts w:ascii="Verdana" w:eastAsia="Times New Roman" w:hAnsi="Verdana" w:cs="Times New Roman"/>
          <w:sz w:val="16"/>
          <w:szCs w:val="16"/>
          <w:lang w:eastAsia="es-CO"/>
        </w:rPr>
      </w:pPr>
      <w:r w:rsidRPr="00CF4B70">
        <w:rPr>
          <w:rFonts w:ascii="Verdana" w:eastAsiaTheme="minorEastAsia" w:hAnsi="Verdana"/>
          <w:color w:val="000000" w:themeColor="text1"/>
          <w:kern w:val="24"/>
          <w:sz w:val="16"/>
          <w:szCs w:val="16"/>
          <w:lang w:val="es-ES" w:eastAsia="es-CO"/>
        </w:rPr>
        <w:t xml:space="preserve">** </w:t>
      </w:r>
      <w:r>
        <w:rPr>
          <w:rFonts w:ascii="Verdana" w:eastAsiaTheme="minorEastAsia" w:hAnsi="Verdana"/>
          <w:color w:val="000000" w:themeColor="text1"/>
          <w:kern w:val="24"/>
          <w:sz w:val="16"/>
          <w:szCs w:val="16"/>
          <w:lang w:val="es-ES" w:eastAsia="es-CO"/>
        </w:rPr>
        <w:t>Los</w:t>
      </w:r>
      <w:r w:rsidRPr="00CF4B70">
        <w:rPr>
          <w:rFonts w:ascii="Verdana" w:eastAsiaTheme="minorEastAsia" w:hAnsi="Verdana"/>
          <w:color w:val="000000" w:themeColor="text1"/>
          <w:kern w:val="24"/>
          <w:sz w:val="16"/>
          <w:szCs w:val="16"/>
          <w:lang w:val="es-ES" w:eastAsia="es-CO"/>
        </w:rPr>
        <w:t xml:space="preserve"> recursos para la transferencia “Otras transferencias - Distribución previo concepto DGPPN”, </w:t>
      </w:r>
      <w:r>
        <w:rPr>
          <w:rFonts w:ascii="Verdana" w:eastAsiaTheme="minorEastAsia" w:hAnsi="Verdana"/>
          <w:color w:val="000000" w:themeColor="text1"/>
          <w:kern w:val="24"/>
          <w:sz w:val="16"/>
          <w:szCs w:val="16"/>
          <w:lang w:val="es-ES" w:eastAsia="es-CO"/>
        </w:rPr>
        <w:t xml:space="preserve">están </w:t>
      </w:r>
      <w:r w:rsidRPr="00CF4B70">
        <w:rPr>
          <w:rFonts w:ascii="Verdana" w:eastAsiaTheme="minorEastAsia" w:hAnsi="Verdana"/>
          <w:color w:val="000000" w:themeColor="text1"/>
          <w:kern w:val="24"/>
          <w:sz w:val="16"/>
          <w:szCs w:val="16"/>
          <w:lang w:val="es-ES" w:eastAsia="es-CO"/>
        </w:rPr>
        <w:t>orientados a atender las contingencias que se presentan durante la vigencia con cargo al presupuesto de gastos de funcionamiento.</w:t>
      </w:r>
    </w:p>
    <w:p w14:paraId="76CB68FB" w14:textId="77777777" w:rsidR="00BB4E9D" w:rsidRDefault="00BB4E9D" w:rsidP="00BB4E9D">
      <w:pPr>
        <w:spacing w:line="240" w:lineRule="auto"/>
        <w:jc w:val="both"/>
        <w:rPr>
          <w:rFonts w:ascii="Verdana" w:eastAsiaTheme="minorEastAsia" w:hAnsi="Verdana"/>
          <w:b/>
          <w:bCs/>
          <w:color w:val="000000" w:themeColor="text1"/>
          <w:kern w:val="24"/>
          <w:sz w:val="16"/>
          <w:szCs w:val="16"/>
          <w:lang w:eastAsia="es-CO"/>
        </w:rPr>
      </w:pPr>
    </w:p>
    <w:p w14:paraId="74876AA1" w14:textId="77777777" w:rsidR="00BB4E9D" w:rsidRPr="00CF4B70" w:rsidRDefault="00BB4E9D" w:rsidP="00BB4E9D">
      <w:pPr>
        <w:spacing w:line="240" w:lineRule="auto"/>
        <w:jc w:val="both"/>
        <w:rPr>
          <w:rFonts w:ascii="Verdana" w:eastAsia="Times New Roman" w:hAnsi="Verdana" w:cs="Times New Roman"/>
          <w:sz w:val="16"/>
          <w:szCs w:val="16"/>
          <w:lang w:eastAsia="es-CO"/>
        </w:rPr>
      </w:pPr>
      <w:r w:rsidRPr="00CF4B70">
        <w:rPr>
          <w:rFonts w:ascii="Verdana" w:eastAsiaTheme="minorEastAsia" w:hAnsi="Verdana"/>
          <w:b/>
          <w:bCs/>
          <w:color w:val="000000" w:themeColor="text1"/>
          <w:kern w:val="24"/>
          <w:sz w:val="16"/>
          <w:szCs w:val="16"/>
          <w:lang w:eastAsia="es-CO"/>
        </w:rPr>
        <w:t>Notas</w:t>
      </w:r>
      <w:r w:rsidRPr="00CF4B70">
        <w:rPr>
          <w:rFonts w:ascii="Verdana" w:eastAsiaTheme="minorEastAsia" w:hAnsi="Verdana"/>
          <w:color w:val="000000" w:themeColor="text1"/>
          <w:kern w:val="24"/>
          <w:sz w:val="16"/>
          <w:szCs w:val="16"/>
          <w:lang w:eastAsia="es-CO"/>
        </w:rPr>
        <w:t>:</w:t>
      </w:r>
    </w:p>
    <w:p w14:paraId="0A128FAA" w14:textId="77777777" w:rsidR="00BB4E9D" w:rsidRPr="00E03E46" w:rsidRDefault="00BB4E9D" w:rsidP="00BB4E9D">
      <w:pPr>
        <w:pStyle w:val="Prrafodelista"/>
        <w:numPr>
          <w:ilvl w:val="0"/>
          <w:numId w:val="25"/>
        </w:numPr>
        <w:spacing w:after="0" w:line="240" w:lineRule="auto"/>
        <w:jc w:val="both"/>
        <w:rPr>
          <w:rFonts w:ascii="Verdana" w:eastAsia="Times New Roman" w:hAnsi="Verdana" w:cs="Times New Roman"/>
          <w:sz w:val="16"/>
          <w:szCs w:val="16"/>
          <w:lang w:eastAsia="es-CO"/>
        </w:rPr>
      </w:pPr>
      <w:r w:rsidRPr="00784ACC">
        <w:rPr>
          <w:rFonts w:ascii="Verdana" w:eastAsiaTheme="minorEastAsia" w:hAnsi="Verdana"/>
          <w:kern w:val="24"/>
          <w:sz w:val="16"/>
          <w:szCs w:val="16"/>
          <w:lang w:eastAsia="es-CO"/>
        </w:rPr>
        <w:t xml:space="preserve">La Superintendencia de la Economía Solidaria presenta recursos bloqueados </w:t>
      </w:r>
      <w:r>
        <w:rPr>
          <w:rFonts w:ascii="Verdana" w:eastAsiaTheme="minorEastAsia" w:hAnsi="Verdana"/>
          <w:kern w:val="24"/>
          <w:sz w:val="16"/>
          <w:szCs w:val="16"/>
          <w:lang w:eastAsia="es-CO"/>
        </w:rPr>
        <w:t xml:space="preserve">para la vigencia 2024 </w:t>
      </w:r>
      <w:r w:rsidRPr="00784ACC">
        <w:rPr>
          <w:rFonts w:ascii="Verdana" w:eastAsiaTheme="minorEastAsia" w:hAnsi="Verdana"/>
          <w:kern w:val="24"/>
          <w:sz w:val="16"/>
          <w:szCs w:val="16"/>
          <w:lang w:eastAsia="es-CO"/>
        </w:rPr>
        <w:t>por $</w:t>
      </w:r>
      <w:r>
        <w:rPr>
          <w:rFonts w:ascii="Verdana" w:eastAsiaTheme="minorEastAsia" w:hAnsi="Verdana"/>
          <w:kern w:val="24"/>
          <w:sz w:val="16"/>
          <w:szCs w:val="16"/>
          <w:lang w:eastAsia="es-CO"/>
        </w:rPr>
        <w:t>2.798.000</w:t>
      </w:r>
      <w:r w:rsidRPr="00784ACC">
        <w:rPr>
          <w:rFonts w:ascii="Verdana" w:eastAsiaTheme="minorEastAsia" w:hAnsi="Verdana"/>
          <w:kern w:val="24"/>
          <w:sz w:val="16"/>
          <w:szCs w:val="16"/>
          <w:lang w:eastAsia="es-CO"/>
        </w:rPr>
        <w:t>.000</w:t>
      </w:r>
      <w:r>
        <w:rPr>
          <w:rFonts w:ascii="Verdana" w:eastAsiaTheme="minorEastAsia" w:hAnsi="Verdana"/>
          <w:kern w:val="24"/>
          <w:sz w:val="16"/>
          <w:szCs w:val="16"/>
          <w:lang w:eastAsia="es-CO"/>
        </w:rPr>
        <w:t xml:space="preserve">, </w:t>
      </w:r>
      <w:r w:rsidRPr="00CF4B70">
        <w:rPr>
          <w:rFonts w:ascii="Verdana" w:eastAsiaTheme="minorEastAsia" w:hAnsi="Verdana"/>
          <w:color w:val="000000" w:themeColor="text1"/>
          <w:kern w:val="24"/>
          <w:sz w:val="16"/>
          <w:szCs w:val="16"/>
          <w:lang w:eastAsia="es-CO"/>
        </w:rPr>
        <w:t xml:space="preserve">(corresponden a los rubros otros gastos de personal – Distribución previo Concepto DGPPN y otras transferencias Distribución previo Concepto DGPPN) </w:t>
      </w:r>
    </w:p>
    <w:p w14:paraId="051E12E6" w14:textId="77777777" w:rsidR="00BB4E9D" w:rsidRPr="00784ACC" w:rsidRDefault="00BB4E9D" w:rsidP="00BB4E9D">
      <w:pPr>
        <w:pStyle w:val="Prrafodelista"/>
        <w:numPr>
          <w:ilvl w:val="0"/>
          <w:numId w:val="25"/>
        </w:numPr>
        <w:spacing w:after="0" w:line="240" w:lineRule="auto"/>
        <w:jc w:val="both"/>
        <w:rPr>
          <w:rFonts w:ascii="Verdana" w:eastAsiaTheme="minorEastAsia" w:hAnsi="Verdana"/>
          <w:kern w:val="24"/>
          <w:sz w:val="16"/>
          <w:szCs w:val="16"/>
          <w:lang w:eastAsia="es-CO"/>
        </w:rPr>
      </w:pPr>
      <w:r w:rsidRPr="00784ACC">
        <w:rPr>
          <w:rFonts w:ascii="Verdana" w:eastAsiaTheme="minorEastAsia" w:hAnsi="Verdana"/>
          <w:kern w:val="24"/>
          <w:sz w:val="16"/>
          <w:szCs w:val="16"/>
          <w:lang w:eastAsia="es-CO"/>
        </w:rPr>
        <w:lastRenderedPageBreak/>
        <w:t>El porcentaje de participación de cada concepto de gasto para la Entidad, se obtiene de dividir la apropiación vigente de cada concepto, sobre el total de la Entidad.</w:t>
      </w:r>
    </w:p>
    <w:p w14:paraId="6DC7C67C" w14:textId="77777777" w:rsidR="00BB4E9D" w:rsidRPr="00E03E46" w:rsidRDefault="00BB4E9D" w:rsidP="00BB4E9D">
      <w:pPr>
        <w:pStyle w:val="Prrafodelista"/>
        <w:numPr>
          <w:ilvl w:val="0"/>
          <w:numId w:val="25"/>
        </w:numPr>
        <w:spacing w:after="0" w:line="240" w:lineRule="auto"/>
        <w:jc w:val="both"/>
        <w:rPr>
          <w:rFonts w:ascii="Verdana" w:eastAsia="Times New Roman" w:hAnsi="Verdana" w:cs="Times New Roman"/>
          <w:sz w:val="16"/>
          <w:szCs w:val="16"/>
          <w:lang w:eastAsia="es-CO"/>
        </w:rPr>
      </w:pPr>
      <w:r w:rsidRPr="00784ACC">
        <w:rPr>
          <w:rFonts w:ascii="Verdana" w:eastAsiaTheme="minorEastAsia" w:hAnsi="Verdana"/>
          <w:kern w:val="24"/>
          <w:sz w:val="16"/>
          <w:szCs w:val="16"/>
          <w:lang w:eastAsia="es-CO"/>
        </w:rPr>
        <w:t xml:space="preserve">El porcentaje de los compromisos y obligaciones </w:t>
      </w:r>
      <w:r w:rsidRPr="00784ACC">
        <w:rPr>
          <w:rFonts w:ascii="Verdana" w:eastAsiaTheme="minorEastAsia" w:hAnsi="Verdana" w:cs="Arial"/>
          <w:kern w:val="24"/>
          <w:sz w:val="16"/>
          <w:szCs w:val="16"/>
          <w:lang w:eastAsia="es-CO"/>
        </w:rPr>
        <w:t>ejecutadas a la fecha</w:t>
      </w:r>
      <w:r w:rsidRPr="00784ACC">
        <w:rPr>
          <w:rFonts w:ascii="Verdana" w:eastAsiaTheme="minorEastAsia" w:hAnsi="Verdana"/>
          <w:kern w:val="24"/>
          <w:sz w:val="16"/>
          <w:szCs w:val="16"/>
          <w:lang w:eastAsia="es-CO"/>
        </w:rPr>
        <w:t xml:space="preserve"> se obtiene dividiendo los compromisos y obligaciones de cada concepto, sobre su apropiación vigente. </w:t>
      </w:r>
    </w:p>
    <w:p w14:paraId="24168772" w14:textId="77777777" w:rsidR="00BB4E9D" w:rsidRPr="00CF4B70" w:rsidRDefault="00BB4E9D" w:rsidP="00BB4E9D">
      <w:pPr>
        <w:spacing w:after="0" w:line="240" w:lineRule="auto"/>
        <w:ind w:left="720"/>
        <w:contextualSpacing/>
        <w:jc w:val="both"/>
        <w:rPr>
          <w:rFonts w:ascii="Verdana" w:eastAsiaTheme="minorEastAsia" w:hAnsi="Verdana"/>
          <w:color w:val="000000" w:themeColor="text1"/>
          <w:kern w:val="24"/>
          <w:sz w:val="16"/>
          <w:szCs w:val="16"/>
          <w:lang w:eastAsia="es-CO"/>
        </w:rPr>
      </w:pPr>
    </w:p>
    <w:p w14:paraId="0F56F8C2" w14:textId="77777777" w:rsidR="00BB4E9D" w:rsidRPr="00803254" w:rsidRDefault="00BB4E9D" w:rsidP="00BB4E9D">
      <w:pPr>
        <w:spacing w:before="100" w:beforeAutospacing="1" w:after="100" w:afterAutospacing="1"/>
        <w:contextualSpacing/>
        <w:jc w:val="both"/>
        <w:rPr>
          <w:rFonts w:ascii="Verdana" w:hAnsi="Verdana" w:cs="Arial"/>
          <w:highlight w:val="yellow"/>
        </w:rPr>
      </w:pPr>
    </w:p>
    <w:p w14:paraId="1691E3E0" w14:textId="77777777" w:rsidR="00BB4E9D" w:rsidRPr="00803254" w:rsidRDefault="00BB4E9D" w:rsidP="00BB4E9D">
      <w:pPr>
        <w:spacing w:before="100" w:beforeAutospacing="1" w:after="100" w:afterAutospacing="1"/>
        <w:ind w:left="284"/>
        <w:contextualSpacing/>
        <w:jc w:val="both"/>
        <w:rPr>
          <w:rFonts w:ascii="Verdana" w:hAnsi="Verdana" w:cs="Arial"/>
          <w:b/>
          <w:u w:val="single"/>
        </w:rPr>
      </w:pPr>
      <w:r w:rsidRPr="00B31141">
        <w:rPr>
          <w:rFonts w:ascii="Verdana" w:hAnsi="Verdana" w:cs="Arial"/>
          <w:b/>
          <w:u w:val="single"/>
        </w:rPr>
        <w:t>Año 202</w:t>
      </w:r>
      <w:r>
        <w:rPr>
          <w:rFonts w:ascii="Verdana" w:hAnsi="Verdana" w:cs="Arial"/>
          <w:b/>
          <w:u w:val="single"/>
        </w:rPr>
        <w:t>4</w:t>
      </w:r>
      <w:r w:rsidRPr="00B31141">
        <w:rPr>
          <w:rFonts w:ascii="Verdana" w:hAnsi="Verdana" w:cs="Arial"/>
          <w:b/>
          <w:u w:val="single"/>
        </w:rPr>
        <w:t xml:space="preserve"> (Julio 31):</w:t>
      </w:r>
    </w:p>
    <w:p w14:paraId="75DFC118" w14:textId="77777777" w:rsidR="00BB4E9D" w:rsidRDefault="00BB4E9D" w:rsidP="00BB4E9D">
      <w:pPr>
        <w:spacing w:before="100" w:beforeAutospacing="1" w:after="100" w:afterAutospacing="1"/>
        <w:contextualSpacing/>
        <w:jc w:val="both"/>
        <w:rPr>
          <w:rFonts w:ascii="Verdana" w:hAnsi="Verdana" w:cs="Arial"/>
          <w:highlight w:val="yellow"/>
        </w:rPr>
      </w:pPr>
    </w:p>
    <w:p w14:paraId="23FFA2D1" w14:textId="77777777" w:rsidR="00BB4E9D" w:rsidRDefault="00BB4E9D" w:rsidP="00BB4E9D">
      <w:pPr>
        <w:spacing w:before="100" w:beforeAutospacing="1" w:after="100" w:afterAutospacing="1"/>
        <w:contextualSpacing/>
        <w:jc w:val="both"/>
        <w:rPr>
          <w:rFonts w:ascii="Verdana" w:hAnsi="Verdana" w:cs="Arial"/>
          <w:highlight w:val="yellow"/>
        </w:rPr>
      </w:pPr>
    </w:p>
    <w:tbl>
      <w:tblPr>
        <w:tblStyle w:val="Tablaconcuadrcula"/>
        <w:tblW w:w="0" w:type="auto"/>
        <w:jc w:val="center"/>
        <w:tblLayout w:type="fixed"/>
        <w:tblLook w:val="04A0" w:firstRow="1" w:lastRow="0" w:firstColumn="1" w:lastColumn="0" w:noHBand="0" w:noVBand="1"/>
      </w:tblPr>
      <w:tblGrid>
        <w:gridCol w:w="1413"/>
        <w:gridCol w:w="1701"/>
        <w:gridCol w:w="5714"/>
      </w:tblGrid>
      <w:tr w:rsidR="00BB4E9D" w:rsidRPr="00B31141" w14:paraId="1F934147" w14:textId="77777777" w:rsidTr="00DC4E06">
        <w:trPr>
          <w:trHeight w:val="649"/>
          <w:tblHeader/>
          <w:jc w:val="center"/>
        </w:trPr>
        <w:tc>
          <w:tcPr>
            <w:tcW w:w="1413" w:type="dxa"/>
            <w:shd w:val="clear" w:color="auto" w:fill="auto"/>
            <w:vAlign w:val="center"/>
          </w:tcPr>
          <w:p w14:paraId="2115F163" w14:textId="77777777" w:rsidR="00BB4E9D" w:rsidRPr="00B31141" w:rsidRDefault="00BB4E9D" w:rsidP="00DC4E06">
            <w:pPr>
              <w:jc w:val="center"/>
              <w:textAlignment w:val="center"/>
              <w:rPr>
                <w:rFonts w:ascii="Verdana" w:hAnsi="Verdana" w:cs="Arial"/>
                <w:b/>
                <w:bCs/>
                <w:kern w:val="24"/>
                <w:sz w:val="18"/>
                <w:szCs w:val="18"/>
              </w:rPr>
            </w:pPr>
            <w:r w:rsidRPr="00B31141">
              <w:rPr>
                <w:rFonts w:ascii="Verdana" w:hAnsi="Verdana" w:cs="Arial"/>
                <w:b/>
                <w:bCs/>
                <w:kern w:val="24"/>
                <w:sz w:val="18"/>
                <w:szCs w:val="18"/>
              </w:rPr>
              <w:t>CONCEPTO</w:t>
            </w:r>
          </w:p>
        </w:tc>
        <w:tc>
          <w:tcPr>
            <w:tcW w:w="1701" w:type="dxa"/>
            <w:shd w:val="clear" w:color="auto" w:fill="auto"/>
            <w:vAlign w:val="center"/>
          </w:tcPr>
          <w:p w14:paraId="61DA250D" w14:textId="77777777" w:rsidR="00BB4E9D" w:rsidRPr="00B31141" w:rsidRDefault="00BB4E9D" w:rsidP="00DC4E06">
            <w:pPr>
              <w:jc w:val="center"/>
              <w:textAlignment w:val="center"/>
              <w:rPr>
                <w:rFonts w:ascii="Verdana" w:hAnsi="Verdana" w:cs="Arial"/>
                <w:b/>
                <w:bCs/>
                <w:kern w:val="24"/>
                <w:sz w:val="18"/>
                <w:szCs w:val="18"/>
              </w:rPr>
            </w:pPr>
            <w:r w:rsidRPr="00B31141">
              <w:rPr>
                <w:rFonts w:ascii="Verdana" w:hAnsi="Verdana" w:cs="Arial"/>
                <w:b/>
                <w:bCs/>
                <w:kern w:val="24"/>
                <w:sz w:val="18"/>
                <w:szCs w:val="18"/>
              </w:rPr>
              <w:t>PRINCIPALES RUBROS PRESUPUESTALES</w:t>
            </w:r>
          </w:p>
        </w:tc>
        <w:tc>
          <w:tcPr>
            <w:tcW w:w="5714" w:type="dxa"/>
            <w:shd w:val="clear" w:color="auto" w:fill="auto"/>
            <w:vAlign w:val="center"/>
          </w:tcPr>
          <w:p w14:paraId="08CC4582" w14:textId="77777777" w:rsidR="00BB4E9D" w:rsidRPr="00B31141" w:rsidRDefault="00BB4E9D" w:rsidP="00DC4E06">
            <w:pPr>
              <w:jc w:val="center"/>
              <w:textAlignment w:val="center"/>
              <w:rPr>
                <w:rFonts w:ascii="Verdana" w:hAnsi="Verdana" w:cs="Arial"/>
                <w:b/>
                <w:bCs/>
                <w:kern w:val="24"/>
                <w:sz w:val="18"/>
                <w:szCs w:val="18"/>
              </w:rPr>
            </w:pPr>
            <w:r w:rsidRPr="00B31141">
              <w:rPr>
                <w:rFonts w:ascii="Verdana" w:hAnsi="Verdana" w:cs="Arial"/>
                <w:b/>
                <w:bCs/>
                <w:kern w:val="24"/>
                <w:sz w:val="18"/>
                <w:szCs w:val="18"/>
              </w:rPr>
              <w:t>RESULTADO MISIONAL</w:t>
            </w:r>
          </w:p>
        </w:tc>
      </w:tr>
      <w:tr w:rsidR="00BB4E9D" w:rsidRPr="00B31141" w14:paraId="6D8C24E7" w14:textId="77777777" w:rsidTr="00DC4E06">
        <w:trPr>
          <w:tblHeader/>
          <w:jc w:val="center"/>
        </w:trPr>
        <w:tc>
          <w:tcPr>
            <w:tcW w:w="8828" w:type="dxa"/>
            <w:gridSpan w:val="3"/>
            <w:vAlign w:val="center"/>
          </w:tcPr>
          <w:p w14:paraId="6F3C0B58" w14:textId="77777777" w:rsidR="00BB4E9D" w:rsidRPr="00B31141" w:rsidRDefault="00BB4E9D" w:rsidP="00DC4E06">
            <w:pPr>
              <w:spacing w:before="100" w:beforeAutospacing="1" w:after="100" w:afterAutospacing="1"/>
              <w:contextualSpacing/>
              <w:jc w:val="center"/>
              <w:rPr>
                <w:rFonts w:ascii="Verdana" w:hAnsi="Verdana" w:cs="Arial"/>
                <w:sz w:val="18"/>
                <w:szCs w:val="18"/>
              </w:rPr>
            </w:pPr>
            <w:r w:rsidRPr="00B31141">
              <w:rPr>
                <w:rFonts w:ascii="Verdana" w:hAnsi="Verdana" w:cs="Arial"/>
                <w:b/>
                <w:sz w:val="18"/>
                <w:szCs w:val="18"/>
              </w:rPr>
              <w:t>FUNCIONAMIENTO</w:t>
            </w:r>
          </w:p>
        </w:tc>
      </w:tr>
      <w:tr w:rsidR="00BB4E9D" w:rsidRPr="00B31141" w14:paraId="1005EB91" w14:textId="77777777" w:rsidTr="00DC4E06">
        <w:trPr>
          <w:trHeight w:val="1390"/>
          <w:jc w:val="center"/>
        </w:trPr>
        <w:tc>
          <w:tcPr>
            <w:tcW w:w="1413" w:type="dxa"/>
          </w:tcPr>
          <w:p w14:paraId="3470AE86" w14:textId="77777777" w:rsidR="00BB4E9D" w:rsidRPr="007A258E" w:rsidRDefault="00BB4E9D" w:rsidP="00DC4E06">
            <w:pPr>
              <w:spacing w:before="100" w:beforeAutospacing="1" w:after="100" w:afterAutospacing="1"/>
              <w:contextualSpacing/>
              <w:jc w:val="both"/>
              <w:rPr>
                <w:rFonts w:ascii="Verdana" w:hAnsi="Verdana" w:cs="Arial"/>
                <w:sz w:val="20"/>
                <w:szCs w:val="20"/>
              </w:rPr>
            </w:pPr>
            <w:r w:rsidRPr="007A258E">
              <w:rPr>
                <w:rFonts w:ascii="Verdana" w:hAnsi="Verdana" w:cs="Arial"/>
                <w:sz w:val="20"/>
                <w:szCs w:val="20"/>
              </w:rPr>
              <w:t>Gastos de Personal / Propios</w:t>
            </w:r>
          </w:p>
        </w:tc>
        <w:tc>
          <w:tcPr>
            <w:tcW w:w="1701" w:type="dxa"/>
          </w:tcPr>
          <w:p w14:paraId="61E42737" w14:textId="77777777" w:rsidR="00BB4E9D" w:rsidRPr="007A258E" w:rsidRDefault="00BB4E9D" w:rsidP="00DC4E06">
            <w:pPr>
              <w:spacing w:before="100" w:beforeAutospacing="1" w:after="100" w:afterAutospacing="1"/>
              <w:contextualSpacing/>
              <w:jc w:val="both"/>
              <w:rPr>
                <w:rFonts w:ascii="Verdana" w:hAnsi="Verdana" w:cs="Arial"/>
                <w:sz w:val="20"/>
                <w:szCs w:val="20"/>
              </w:rPr>
            </w:pPr>
            <w:r w:rsidRPr="007A258E">
              <w:rPr>
                <w:rFonts w:ascii="Verdana" w:hAnsi="Verdana" w:cs="Arial"/>
                <w:sz w:val="20"/>
                <w:szCs w:val="20"/>
              </w:rPr>
              <w:t>Otros Gastos de Personal – Distribución Previo Concepto DGPPN</w:t>
            </w:r>
          </w:p>
        </w:tc>
        <w:tc>
          <w:tcPr>
            <w:tcW w:w="5714" w:type="dxa"/>
          </w:tcPr>
          <w:p w14:paraId="08C14F56" w14:textId="77777777" w:rsidR="00BB4E9D" w:rsidRPr="007A258E" w:rsidRDefault="00BB4E9D" w:rsidP="00DC4E06">
            <w:pPr>
              <w:spacing w:before="100" w:beforeAutospacing="1" w:after="100" w:afterAutospacing="1"/>
              <w:contextualSpacing/>
              <w:jc w:val="both"/>
              <w:rPr>
                <w:rFonts w:ascii="Verdana" w:eastAsia="Arial Narrow" w:hAnsi="Verdana" w:cs="Arial Narrow"/>
                <w:color w:val="201F1E"/>
                <w:sz w:val="20"/>
                <w:szCs w:val="20"/>
                <w:lang w:val="es"/>
              </w:rPr>
            </w:pPr>
            <w:r w:rsidRPr="007A258E">
              <w:rPr>
                <w:rFonts w:ascii="Verdana" w:eastAsia="Arial Narrow" w:hAnsi="Verdana" w:cs="Arial Narrow"/>
                <w:color w:val="201F1E"/>
                <w:sz w:val="20"/>
                <w:szCs w:val="20"/>
                <w:lang w:val="es"/>
              </w:rPr>
              <w:t>Recursos previstos para financiar el valor del incremento salarial decretado por el Gobierno nacional para la vigencia 202</w:t>
            </w:r>
            <w:r>
              <w:rPr>
                <w:rFonts w:ascii="Verdana" w:eastAsia="Arial Narrow" w:hAnsi="Verdana" w:cs="Arial Narrow"/>
                <w:color w:val="201F1E"/>
                <w:sz w:val="20"/>
                <w:szCs w:val="20"/>
                <w:lang w:val="es"/>
              </w:rPr>
              <w:t>4</w:t>
            </w:r>
            <w:r w:rsidRPr="007A258E">
              <w:rPr>
                <w:rFonts w:ascii="Verdana" w:eastAsia="Arial Narrow" w:hAnsi="Verdana" w:cs="Arial Narrow"/>
                <w:color w:val="201F1E"/>
                <w:sz w:val="20"/>
                <w:szCs w:val="20"/>
                <w:lang w:val="es"/>
              </w:rPr>
              <w:t xml:space="preserve">. </w:t>
            </w:r>
          </w:p>
          <w:p w14:paraId="7B0D4E5C" w14:textId="77777777" w:rsidR="00BB4E9D" w:rsidRPr="007A258E" w:rsidRDefault="00BB4E9D" w:rsidP="00DC4E06">
            <w:pPr>
              <w:spacing w:before="100" w:beforeAutospacing="1" w:after="100" w:afterAutospacing="1"/>
              <w:contextualSpacing/>
              <w:jc w:val="both"/>
              <w:rPr>
                <w:rFonts w:ascii="Verdana" w:eastAsia="Arial Narrow" w:hAnsi="Verdana" w:cs="Arial Narrow"/>
                <w:color w:val="201F1E"/>
                <w:sz w:val="20"/>
                <w:szCs w:val="20"/>
                <w:lang w:val="es"/>
              </w:rPr>
            </w:pPr>
          </w:p>
          <w:p w14:paraId="4884217F" w14:textId="77777777" w:rsidR="00BB4E9D" w:rsidRPr="007A258E" w:rsidRDefault="00BB4E9D" w:rsidP="00DC4E06">
            <w:pPr>
              <w:spacing w:before="100" w:beforeAutospacing="1" w:after="100" w:afterAutospacing="1"/>
              <w:contextualSpacing/>
              <w:jc w:val="both"/>
              <w:rPr>
                <w:rFonts w:ascii="Verdana" w:eastAsia="Arial Narrow" w:hAnsi="Verdana" w:cs="Arial Narrow"/>
                <w:color w:val="201F1E"/>
                <w:sz w:val="20"/>
                <w:szCs w:val="20"/>
                <w:lang w:val="es"/>
              </w:rPr>
            </w:pPr>
          </w:p>
        </w:tc>
      </w:tr>
      <w:tr w:rsidR="00BB4E9D" w:rsidRPr="00B31141" w14:paraId="0D92E2BC" w14:textId="77777777" w:rsidTr="00DC4E06">
        <w:trPr>
          <w:trHeight w:val="1390"/>
          <w:jc w:val="center"/>
        </w:trPr>
        <w:tc>
          <w:tcPr>
            <w:tcW w:w="1413" w:type="dxa"/>
          </w:tcPr>
          <w:p w14:paraId="4E2AD8C4" w14:textId="77777777" w:rsidR="00BB4E9D" w:rsidRPr="007A258E" w:rsidRDefault="00BB4E9D" w:rsidP="00DC4E06">
            <w:pPr>
              <w:spacing w:before="100" w:beforeAutospacing="1" w:after="100" w:afterAutospacing="1"/>
              <w:contextualSpacing/>
              <w:jc w:val="both"/>
              <w:rPr>
                <w:rFonts w:ascii="Verdana" w:hAnsi="Verdana" w:cs="Arial"/>
                <w:sz w:val="20"/>
                <w:szCs w:val="20"/>
              </w:rPr>
            </w:pPr>
            <w:r w:rsidRPr="007A258E">
              <w:rPr>
                <w:rFonts w:ascii="Verdana" w:hAnsi="Verdana" w:cs="Arial"/>
                <w:sz w:val="20"/>
                <w:szCs w:val="20"/>
              </w:rPr>
              <w:t>Adquisición de bienes  y servicios</w:t>
            </w:r>
          </w:p>
        </w:tc>
        <w:tc>
          <w:tcPr>
            <w:tcW w:w="1701" w:type="dxa"/>
          </w:tcPr>
          <w:p w14:paraId="5CCAAECB" w14:textId="77777777" w:rsidR="00BB4E9D" w:rsidRPr="007A258E" w:rsidRDefault="00BB4E9D" w:rsidP="00DC4E06">
            <w:pPr>
              <w:spacing w:before="100" w:beforeAutospacing="1" w:after="100" w:afterAutospacing="1"/>
              <w:contextualSpacing/>
              <w:jc w:val="both"/>
              <w:rPr>
                <w:rFonts w:ascii="Verdana" w:hAnsi="Verdana" w:cs="Arial"/>
                <w:sz w:val="20"/>
                <w:szCs w:val="20"/>
              </w:rPr>
            </w:pPr>
            <w:r w:rsidRPr="007A258E">
              <w:rPr>
                <w:rFonts w:ascii="Verdana" w:hAnsi="Verdana" w:cs="Arial"/>
                <w:sz w:val="20"/>
                <w:szCs w:val="20"/>
              </w:rPr>
              <w:t>Adquisición de bienes  y servicios</w:t>
            </w:r>
          </w:p>
        </w:tc>
        <w:tc>
          <w:tcPr>
            <w:tcW w:w="5714" w:type="dxa"/>
          </w:tcPr>
          <w:p w14:paraId="66A0888C" w14:textId="77777777" w:rsidR="00BB4E9D" w:rsidRDefault="00BB4E9D" w:rsidP="00DC4E06">
            <w:pPr>
              <w:spacing w:before="100" w:beforeAutospacing="1" w:after="100" w:afterAutospacing="1"/>
              <w:contextualSpacing/>
              <w:jc w:val="both"/>
              <w:rPr>
                <w:rFonts w:ascii="Verdana" w:eastAsia="Arial Narrow" w:hAnsi="Verdana" w:cs="Arial Narrow"/>
                <w:color w:val="201F1E"/>
                <w:sz w:val="20"/>
                <w:szCs w:val="20"/>
                <w:lang w:val="es"/>
              </w:rPr>
            </w:pPr>
            <w:r w:rsidRPr="007A258E">
              <w:rPr>
                <w:rFonts w:ascii="Verdana" w:eastAsia="Arial Narrow" w:hAnsi="Verdana" w:cs="Arial Narrow"/>
                <w:color w:val="201F1E"/>
                <w:sz w:val="20"/>
                <w:szCs w:val="20"/>
                <w:lang w:val="es"/>
              </w:rPr>
              <w:t>Por este rubro se programan recursos que son destinados para atender gastos de funcionamiento con corte al 31 de julio de 202</w:t>
            </w:r>
            <w:r>
              <w:rPr>
                <w:rFonts w:ascii="Verdana" w:eastAsia="Arial Narrow" w:hAnsi="Verdana" w:cs="Arial Narrow"/>
                <w:color w:val="201F1E"/>
                <w:sz w:val="20"/>
                <w:szCs w:val="20"/>
                <w:lang w:val="es"/>
              </w:rPr>
              <w:t>4</w:t>
            </w:r>
            <w:r w:rsidRPr="007A258E">
              <w:rPr>
                <w:rFonts w:ascii="Verdana" w:eastAsia="Arial Narrow" w:hAnsi="Verdana" w:cs="Arial Narrow"/>
                <w:color w:val="201F1E"/>
                <w:sz w:val="20"/>
                <w:szCs w:val="20"/>
                <w:lang w:val="es"/>
              </w:rPr>
              <w:t>, como servicios públicos, pago de administraciones, servicio de aseo y cafetería, vigilancia entre otros servicios esenciales para el debido funcionamiento de la entidad.</w:t>
            </w:r>
          </w:p>
          <w:p w14:paraId="37A344CB" w14:textId="77777777" w:rsidR="00BB4E9D" w:rsidRPr="007A258E" w:rsidRDefault="00BB4E9D" w:rsidP="00DC4E06">
            <w:pPr>
              <w:spacing w:before="100" w:beforeAutospacing="1" w:after="100" w:afterAutospacing="1"/>
              <w:contextualSpacing/>
              <w:jc w:val="both"/>
              <w:rPr>
                <w:rFonts w:ascii="Verdana" w:eastAsia="Arial Narrow" w:hAnsi="Verdana" w:cs="Arial Narrow"/>
                <w:color w:val="201F1E"/>
                <w:sz w:val="20"/>
                <w:szCs w:val="20"/>
                <w:lang w:val="es"/>
              </w:rPr>
            </w:pPr>
          </w:p>
        </w:tc>
      </w:tr>
      <w:tr w:rsidR="00BB4E9D" w:rsidRPr="00B31141" w14:paraId="7FDCD49D" w14:textId="77777777" w:rsidTr="00DC4E06">
        <w:trPr>
          <w:trHeight w:val="1390"/>
          <w:jc w:val="center"/>
        </w:trPr>
        <w:tc>
          <w:tcPr>
            <w:tcW w:w="1413" w:type="dxa"/>
          </w:tcPr>
          <w:p w14:paraId="5711089B" w14:textId="77777777" w:rsidR="00BB4E9D" w:rsidRPr="007A258E" w:rsidRDefault="00BB4E9D" w:rsidP="00DC4E06">
            <w:pPr>
              <w:spacing w:before="100" w:beforeAutospacing="1" w:after="100" w:afterAutospacing="1"/>
              <w:contextualSpacing/>
              <w:jc w:val="both"/>
              <w:rPr>
                <w:rFonts w:ascii="Verdana" w:hAnsi="Verdana" w:cs="Arial"/>
                <w:sz w:val="20"/>
                <w:szCs w:val="20"/>
              </w:rPr>
            </w:pPr>
            <w:r w:rsidRPr="007A258E">
              <w:rPr>
                <w:rFonts w:ascii="Verdana" w:hAnsi="Verdana" w:cs="Arial"/>
                <w:sz w:val="20"/>
                <w:szCs w:val="20"/>
              </w:rPr>
              <w:t>Transferencias corrientes</w:t>
            </w:r>
          </w:p>
        </w:tc>
        <w:tc>
          <w:tcPr>
            <w:tcW w:w="1701" w:type="dxa"/>
          </w:tcPr>
          <w:p w14:paraId="438418FF" w14:textId="77777777" w:rsidR="00BB4E9D" w:rsidRPr="007A258E" w:rsidRDefault="00BB4E9D" w:rsidP="00DC4E06">
            <w:pPr>
              <w:spacing w:before="100" w:beforeAutospacing="1" w:after="100" w:afterAutospacing="1"/>
              <w:contextualSpacing/>
              <w:jc w:val="both"/>
              <w:rPr>
                <w:rFonts w:ascii="Verdana" w:hAnsi="Verdana"/>
                <w:sz w:val="20"/>
                <w:szCs w:val="20"/>
              </w:rPr>
            </w:pPr>
            <w:r w:rsidRPr="007A258E">
              <w:rPr>
                <w:rFonts w:ascii="Verdana" w:hAnsi="Verdana"/>
                <w:sz w:val="20"/>
                <w:szCs w:val="20"/>
              </w:rPr>
              <w:t>Otras Transferencias Distribución Previo Concepto – DGPPN.</w:t>
            </w:r>
          </w:p>
        </w:tc>
        <w:tc>
          <w:tcPr>
            <w:tcW w:w="5714" w:type="dxa"/>
          </w:tcPr>
          <w:p w14:paraId="3DBFBDB0" w14:textId="77777777" w:rsidR="00BB4E9D" w:rsidRPr="007A258E" w:rsidRDefault="00BB4E9D" w:rsidP="00DC4E06">
            <w:pPr>
              <w:jc w:val="both"/>
              <w:rPr>
                <w:rFonts w:ascii="Verdana" w:eastAsia="Arial Narrow" w:hAnsi="Verdana" w:cs="Arial Narrow"/>
                <w:color w:val="201F1E"/>
                <w:sz w:val="20"/>
                <w:szCs w:val="20"/>
                <w:lang w:val="es"/>
              </w:rPr>
            </w:pPr>
            <w:r w:rsidRPr="007A258E">
              <w:rPr>
                <w:rFonts w:ascii="Verdana" w:eastAsia="Arial Narrow" w:hAnsi="Verdana" w:cs="Arial Narrow"/>
                <w:color w:val="201F1E"/>
                <w:sz w:val="20"/>
                <w:szCs w:val="20"/>
                <w:lang w:val="es"/>
              </w:rPr>
              <w:t>Por este rubro se programan recursos que son destinados para atender contingencias a través del Presupuesto de Gastos de Funcionamiento.</w:t>
            </w:r>
          </w:p>
        </w:tc>
      </w:tr>
      <w:tr w:rsidR="00BB4E9D" w:rsidRPr="00B31141" w14:paraId="2E58D7DB" w14:textId="77777777" w:rsidTr="00DC4E06">
        <w:trPr>
          <w:trHeight w:val="1390"/>
          <w:jc w:val="center"/>
        </w:trPr>
        <w:tc>
          <w:tcPr>
            <w:tcW w:w="1413" w:type="dxa"/>
          </w:tcPr>
          <w:p w14:paraId="55D57668" w14:textId="77777777" w:rsidR="00BB4E9D" w:rsidRPr="007A258E" w:rsidRDefault="00BB4E9D" w:rsidP="00DC4E06">
            <w:pPr>
              <w:spacing w:before="100" w:beforeAutospacing="1" w:after="100" w:afterAutospacing="1"/>
              <w:contextualSpacing/>
              <w:jc w:val="both"/>
              <w:rPr>
                <w:rFonts w:ascii="Verdana" w:hAnsi="Verdana" w:cs="Arial"/>
                <w:sz w:val="20"/>
                <w:szCs w:val="20"/>
              </w:rPr>
            </w:pPr>
            <w:r w:rsidRPr="007A258E">
              <w:rPr>
                <w:rFonts w:ascii="Verdana" w:hAnsi="Verdana" w:cs="Arial"/>
                <w:sz w:val="20"/>
                <w:szCs w:val="20"/>
              </w:rPr>
              <w:t>Gastos por tributos, multas, sanciones e intereses de mora</w:t>
            </w:r>
          </w:p>
        </w:tc>
        <w:tc>
          <w:tcPr>
            <w:tcW w:w="1701" w:type="dxa"/>
            <w:vAlign w:val="center"/>
          </w:tcPr>
          <w:p w14:paraId="792C58DB" w14:textId="77777777" w:rsidR="00BB4E9D" w:rsidRPr="007A258E" w:rsidRDefault="00BB4E9D" w:rsidP="00DC4E06">
            <w:pPr>
              <w:spacing w:after="100" w:afterAutospacing="1"/>
              <w:contextualSpacing/>
              <w:rPr>
                <w:rFonts w:ascii="Verdana" w:hAnsi="Verdana" w:cs="Arial"/>
                <w:sz w:val="20"/>
                <w:szCs w:val="20"/>
              </w:rPr>
            </w:pPr>
            <w:r w:rsidRPr="007A258E">
              <w:rPr>
                <w:rFonts w:ascii="Verdana" w:hAnsi="Verdana" w:cs="Arial"/>
                <w:sz w:val="20"/>
                <w:szCs w:val="20"/>
              </w:rPr>
              <w:t>Impuestos</w:t>
            </w:r>
          </w:p>
          <w:p w14:paraId="3559CB09" w14:textId="77777777" w:rsidR="00BB4E9D" w:rsidRPr="007A258E" w:rsidRDefault="00BB4E9D" w:rsidP="00DC4E06">
            <w:pPr>
              <w:spacing w:before="100" w:beforeAutospacing="1" w:after="100" w:afterAutospacing="1"/>
              <w:contextualSpacing/>
              <w:jc w:val="both"/>
              <w:rPr>
                <w:rFonts w:ascii="Verdana" w:hAnsi="Verdana" w:cs="Arial"/>
                <w:sz w:val="20"/>
                <w:szCs w:val="20"/>
              </w:rPr>
            </w:pPr>
          </w:p>
        </w:tc>
        <w:tc>
          <w:tcPr>
            <w:tcW w:w="5714" w:type="dxa"/>
          </w:tcPr>
          <w:p w14:paraId="50CEED50" w14:textId="77777777" w:rsidR="00BB4E9D" w:rsidRPr="007A258E" w:rsidRDefault="00BB4E9D" w:rsidP="00DC4E06">
            <w:pPr>
              <w:jc w:val="both"/>
              <w:rPr>
                <w:rFonts w:ascii="Verdana" w:hAnsi="Verdana"/>
                <w:sz w:val="20"/>
                <w:szCs w:val="20"/>
              </w:rPr>
            </w:pPr>
            <w:r w:rsidRPr="007A258E">
              <w:rPr>
                <w:rFonts w:ascii="Verdana" w:hAnsi="Verdana"/>
                <w:sz w:val="20"/>
                <w:szCs w:val="20"/>
              </w:rPr>
              <w:t>Con cargo a este rubro se realiza el pago por concepto de impuesto predial de la</w:t>
            </w:r>
            <w:r>
              <w:rPr>
                <w:rFonts w:ascii="Verdana" w:hAnsi="Verdana"/>
                <w:sz w:val="20"/>
                <w:szCs w:val="20"/>
              </w:rPr>
              <w:t xml:space="preserve"> s</w:t>
            </w:r>
            <w:r w:rsidRPr="007A258E">
              <w:rPr>
                <w:rFonts w:ascii="Verdana" w:hAnsi="Verdana"/>
                <w:sz w:val="20"/>
                <w:szCs w:val="20"/>
              </w:rPr>
              <w:t xml:space="preserve">ede de la entidad, cuota de fiscalización y auditaje, impuesto sobre vehículos programados con corte a 31 de </w:t>
            </w:r>
            <w:r>
              <w:rPr>
                <w:rFonts w:ascii="Verdana" w:hAnsi="Verdana"/>
                <w:sz w:val="20"/>
                <w:szCs w:val="20"/>
              </w:rPr>
              <w:t>julio</w:t>
            </w:r>
            <w:r w:rsidRPr="007A258E">
              <w:rPr>
                <w:rFonts w:ascii="Verdana" w:hAnsi="Verdana"/>
                <w:sz w:val="20"/>
                <w:szCs w:val="20"/>
              </w:rPr>
              <w:t xml:space="preserve"> de 202</w:t>
            </w:r>
            <w:r>
              <w:rPr>
                <w:rFonts w:ascii="Verdana" w:hAnsi="Verdana"/>
                <w:sz w:val="20"/>
                <w:szCs w:val="20"/>
              </w:rPr>
              <w:t>4</w:t>
            </w:r>
            <w:r w:rsidRPr="007A258E">
              <w:rPr>
                <w:rFonts w:ascii="Verdana" w:hAnsi="Verdana"/>
                <w:sz w:val="20"/>
                <w:szCs w:val="20"/>
              </w:rPr>
              <w:t>.</w:t>
            </w:r>
          </w:p>
          <w:p w14:paraId="2D72F61F" w14:textId="77777777" w:rsidR="00BB4E9D" w:rsidRPr="007A258E" w:rsidRDefault="00BB4E9D" w:rsidP="00DC4E06">
            <w:pPr>
              <w:spacing w:before="100" w:beforeAutospacing="1" w:after="100" w:afterAutospacing="1"/>
              <w:contextualSpacing/>
              <w:jc w:val="both"/>
              <w:rPr>
                <w:rFonts w:ascii="Verdana" w:eastAsia="Arial Narrow" w:hAnsi="Verdana" w:cs="Arial Narrow"/>
                <w:color w:val="201F1E"/>
                <w:sz w:val="20"/>
                <w:szCs w:val="20"/>
                <w:lang w:val="es"/>
              </w:rPr>
            </w:pPr>
          </w:p>
        </w:tc>
      </w:tr>
    </w:tbl>
    <w:p w14:paraId="71D38368" w14:textId="21AAB136" w:rsidR="00BE54BC" w:rsidRPr="00CF4B70" w:rsidRDefault="00BE54BC" w:rsidP="008D6563">
      <w:pPr>
        <w:autoSpaceDE w:val="0"/>
        <w:autoSpaceDN w:val="0"/>
        <w:adjustRightInd w:val="0"/>
        <w:spacing w:after="0" w:line="240" w:lineRule="auto"/>
        <w:jc w:val="both"/>
        <w:rPr>
          <w:rFonts w:ascii="Verdana" w:eastAsiaTheme="minorEastAsia" w:hAnsi="Verdana"/>
          <w:color w:val="000000" w:themeColor="text1"/>
          <w:kern w:val="24"/>
          <w:sz w:val="16"/>
          <w:szCs w:val="16"/>
          <w:lang w:eastAsia="es-CO"/>
        </w:rPr>
      </w:pPr>
      <w:bookmarkStart w:id="3" w:name="_Hlk143788047"/>
      <w:bookmarkEnd w:id="2"/>
    </w:p>
    <w:p w14:paraId="5A651741" w14:textId="77777777" w:rsidR="00BE54BC" w:rsidRDefault="00BE54BC" w:rsidP="00BE54BC">
      <w:pPr>
        <w:spacing w:before="100" w:beforeAutospacing="1" w:after="100" w:afterAutospacing="1"/>
        <w:contextualSpacing/>
        <w:jc w:val="both"/>
        <w:rPr>
          <w:rFonts w:ascii="Verdana" w:hAnsi="Verdana" w:cs="Arial"/>
          <w:highlight w:val="yellow"/>
        </w:rPr>
      </w:pPr>
    </w:p>
    <w:p w14:paraId="0AAE7FAE" w14:textId="77777777" w:rsidR="00BB4E9D" w:rsidRDefault="00BB4E9D" w:rsidP="00BE54BC">
      <w:pPr>
        <w:spacing w:before="100" w:beforeAutospacing="1" w:after="100" w:afterAutospacing="1"/>
        <w:contextualSpacing/>
        <w:jc w:val="both"/>
        <w:rPr>
          <w:rFonts w:ascii="Verdana" w:hAnsi="Verdana" w:cs="Arial"/>
          <w:highlight w:val="yellow"/>
        </w:rPr>
      </w:pPr>
    </w:p>
    <w:p w14:paraId="2FDC0854" w14:textId="77777777" w:rsidR="00BB4E9D" w:rsidRDefault="00BB4E9D" w:rsidP="00BE54BC">
      <w:pPr>
        <w:spacing w:before="100" w:beforeAutospacing="1" w:after="100" w:afterAutospacing="1"/>
        <w:contextualSpacing/>
        <w:jc w:val="both"/>
        <w:rPr>
          <w:rFonts w:ascii="Verdana" w:hAnsi="Verdana" w:cs="Arial"/>
          <w:highlight w:val="yellow"/>
        </w:rPr>
      </w:pPr>
    </w:p>
    <w:p w14:paraId="35F06042" w14:textId="77777777" w:rsidR="00BB4E9D" w:rsidRDefault="00BB4E9D" w:rsidP="00BE54BC">
      <w:pPr>
        <w:spacing w:before="100" w:beforeAutospacing="1" w:after="100" w:afterAutospacing="1"/>
        <w:contextualSpacing/>
        <w:jc w:val="both"/>
        <w:rPr>
          <w:rFonts w:ascii="Verdana" w:hAnsi="Verdana" w:cs="Arial"/>
          <w:highlight w:val="yellow"/>
        </w:rPr>
      </w:pPr>
    </w:p>
    <w:p w14:paraId="444BBEC3" w14:textId="77777777" w:rsidR="00BB4E9D" w:rsidRDefault="00BB4E9D" w:rsidP="00BE54BC">
      <w:pPr>
        <w:spacing w:before="100" w:beforeAutospacing="1" w:after="100" w:afterAutospacing="1"/>
        <w:contextualSpacing/>
        <w:jc w:val="both"/>
        <w:rPr>
          <w:rFonts w:ascii="Verdana" w:hAnsi="Verdana" w:cs="Arial"/>
          <w:highlight w:val="yellow"/>
        </w:rPr>
      </w:pPr>
    </w:p>
    <w:p w14:paraId="01F11E62" w14:textId="77777777" w:rsidR="00BB4E9D" w:rsidRDefault="00BB4E9D" w:rsidP="00BE54BC">
      <w:pPr>
        <w:spacing w:before="100" w:beforeAutospacing="1" w:after="100" w:afterAutospacing="1"/>
        <w:contextualSpacing/>
        <w:jc w:val="both"/>
        <w:rPr>
          <w:rFonts w:ascii="Verdana" w:hAnsi="Verdana" w:cs="Arial"/>
          <w:highlight w:val="yellow"/>
        </w:rPr>
      </w:pPr>
    </w:p>
    <w:p w14:paraId="6F14827B" w14:textId="77777777" w:rsidR="00BB4E9D" w:rsidRDefault="00BB4E9D" w:rsidP="00BE54BC">
      <w:pPr>
        <w:spacing w:before="100" w:beforeAutospacing="1" w:after="100" w:afterAutospacing="1"/>
        <w:contextualSpacing/>
        <w:jc w:val="both"/>
        <w:rPr>
          <w:rFonts w:ascii="Verdana" w:hAnsi="Verdana" w:cs="Arial"/>
          <w:highlight w:val="yellow"/>
        </w:rPr>
      </w:pPr>
    </w:p>
    <w:p w14:paraId="790D5DB1" w14:textId="77777777" w:rsidR="00BB4E9D" w:rsidRDefault="00BB4E9D" w:rsidP="00BE54BC">
      <w:pPr>
        <w:spacing w:before="100" w:beforeAutospacing="1" w:after="100" w:afterAutospacing="1"/>
        <w:contextualSpacing/>
        <w:jc w:val="both"/>
        <w:rPr>
          <w:rFonts w:ascii="Verdana" w:hAnsi="Verdana" w:cs="Arial"/>
          <w:highlight w:val="yellow"/>
        </w:rPr>
      </w:pPr>
    </w:p>
    <w:p w14:paraId="21089647" w14:textId="77777777" w:rsidR="00BB4E9D" w:rsidRDefault="00BB4E9D" w:rsidP="00BE54BC">
      <w:pPr>
        <w:spacing w:before="100" w:beforeAutospacing="1" w:after="100" w:afterAutospacing="1"/>
        <w:contextualSpacing/>
        <w:jc w:val="both"/>
        <w:rPr>
          <w:rFonts w:ascii="Verdana" w:hAnsi="Verdana" w:cs="Arial"/>
          <w:highlight w:val="yellow"/>
        </w:rPr>
      </w:pPr>
    </w:p>
    <w:p w14:paraId="1B649951" w14:textId="77777777" w:rsidR="00BB4E9D" w:rsidRDefault="00BB4E9D" w:rsidP="00BE54BC">
      <w:pPr>
        <w:spacing w:before="100" w:beforeAutospacing="1" w:after="100" w:afterAutospacing="1"/>
        <w:contextualSpacing/>
        <w:jc w:val="both"/>
        <w:rPr>
          <w:rFonts w:ascii="Verdana" w:hAnsi="Verdana" w:cs="Arial"/>
          <w:highlight w:val="yellow"/>
        </w:rPr>
      </w:pPr>
    </w:p>
    <w:p w14:paraId="12E717B4" w14:textId="77777777" w:rsidR="00BB4E9D" w:rsidRDefault="00BB4E9D" w:rsidP="00BE54BC">
      <w:pPr>
        <w:spacing w:before="100" w:beforeAutospacing="1" w:after="100" w:afterAutospacing="1"/>
        <w:contextualSpacing/>
        <w:jc w:val="both"/>
        <w:rPr>
          <w:rFonts w:ascii="Verdana" w:hAnsi="Verdana" w:cs="Arial"/>
          <w:highlight w:val="yellow"/>
        </w:rPr>
      </w:pPr>
    </w:p>
    <w:p w14:paraId="786922DE" w14:textId="77777777" w:rsidR="00BB4E9D" w:rsidRDefault="00BB4E9D" w:rsidP="00BE54BC">
      <w:pPr>
        <w:spacing w:before="100" w:beforeAutospacing="1" w:after="100" w:afterAutospacing="1"/>
        <w:contextualSpacing/>
        <w:jc w:val="both"/>
        <w:rPr>
          <w:rFonts w:ascii="Verdana" w:hAnsi="Verdana" w:cs="Arial"/>
          <w:highlight w:val="yellow"/>
        </w:rPr>
      </w:pPr>
    </w:p>
    <w:p w14:paraId="61521093" w14:textId="77777777" w:rsidR="00BB4E9D" w:rsidRDefault="00BB4E9D" w:rsidP="00BE54BC">
      <w:pPr>
        <w:spacing w:before="100" w:beforeAutospacing="1" w:after="100" w:afterAutospacing="1"/>
        <w:contextualSpacing/>
        <w:jc w:val="both"/>
        <w:rPr>
          <w:rFonts w:ascii="Verdana" w:hAnsi="Verdana" w:cs="Arial"/>
          <w:highlight w:val="yellow"/>
        </w:rPr>
      </w:pPr>
    </w:p>
    <w:p w14:paraId="18AD6C6A" w14:textId="77777777" w:rsidR="00BB4E9D" w:rsidRPr="00803254" w:rsidRDefault="00BB4E9D" w:rsidP="00BE54BC">
      <w:pPr>
        <w:spacing w:before="100" w:beforeAutospacing="1" w:after="100" w:afterAutospacing="1"/>
        <w:contextualSpacing/>
        <w:jc w:val="both"/>
        <w:rPr>
          <w:rFonts w:ascii="Verdana" w:hAnsi="Verdana" w:cs="Arial"/>
          <w:highlight w:val="yellow"/>
        </w:rPr>
      </w:pPr>
    </w:p>
    <w:p w14:paraId="7339F6CC" w14:textId="23A71855" w:rsidR="00BE54BC" w:rsidRDefault="00BE54BC" w:rsidP="00BE54BC">
      <w:pPr>
        <w:spacing w:before="100" w:beforeAutospacing="1" w:after="100" w:afterAutospacing="1"/>
        <w:ind w:left="284"/>
        <w:contextualSpacing/>
        <w:jc w:val="both"/>
        <w:rPr>
          <w:rFonts w:ascii="Verdana" w:hAnsi="Verdana" w:cs="Arial"/>
          <w:b/>
          <w:u w:val="single"/>
        </w:rPr>
      </w:pPr>
      <w:r w:rsidRPr="00B31141">
        <w:rPr>
          <w:rFonts w:ascii="Verdana" w:hAnsi="Verdana" w:cs="Arial"/>
          <w:b/>
          <w:u w:val="single"/>
        </w:rPr>
        <w:t>Año 202</w:t>
      </w:r>
      <w:r w:rsidR="008D6563">
        <w:rPr>
          <w:rFonts w:ascii="Verdana" w:hAnsi="Verdana" w:cs="Arial"/>
          <w:b/>
          <w:u w:val="single"/>
        </w:rPr>
        <w:t>4</w:t>
      </w:r>
      <w:r w:rsidRPr="00B31141">
        <w:rPr>
          <w:rFonts w:ascii="Verdana" w:hAnsi="Verdana" w:cs="Arial"/>
          <w:b/>
          <w:u w:val="single"/>
        </w:rPr>
        <w:t xml:space="preserve"> (Julio 31):</w:t>
      </w:r>
    </w:p>
    <w:p w14:paraId="5B9AAE4F" w14:textId="77777777" w:rsidR="008D6563" w:rsidRDefault="008D6563" w:rsidP="00BE54BC">
      <w:pPr>
        <w:spacing w:before="100" w:beforeAutospacing="1" w:after="100" w:afterAutospacing="1"/>
        <w:ind w:left="284"/>
        <w:contextualSpacing/>
        <w:jc w:val="both"/>
        <w:rPr>
          <w:rFonts w:ascii="Verdana" w:hAnsi="Verdana" w:cs="Arial"/>
          <w:b/>
          <w:u w:val="single"/>
        </w:rPr>
      </w:pPr>
    </w:p>
    <w:p w14:paraId="11C563E8" w14:textId="77777777" w:rsidR="008D6563" w:rsidRPr="00803254" w:rsidRDefault="008D6563" w:rsidP="00BE54BC">
      <w:pPr>
        <w:spacing w:before="100" w:beforeAutospacing="1" w:after="100" w:afterAutospacing="1"/>
        <w:ind w:left="284"/>
        <w:contextualSpacing/>
        <w:jc w:val="both"/>
        <w:rPr>
          <w:rFonts w:ascii="Verdana" w:hAnsi="Verdana" w:cs="Arial"/>
          <w:b/>
          <w:u w:val="single"/>
        </w:rPr>
      </w:pPr>
    </w:p>
    <w:p w14:paraId="11BDD651" w14:textId="77777777" w:rsidR="00BE54BC" w:rsidRDefault="00BE54BC" w:rsidP="00BE54BC">
      <w:pPr>
        <w:spacing w:before="100" w:beforeAutospacing="1" w:after="100" w:afterAutospacing="1"/>
        <w:contextualSpacing/>
        <w:jc w:val="both"/>
        <w:rPr>
          <w:rFonts w:ascii="Verdana" w:hAnsi="Verdana" w:cs="Arial"/>
          <w:highlight w:val="yellow"/>
        </w:rPr>
      </w:pPr>
    </w:p>
    <w:tbl>
      <w:tblPr>
        <w:tblW w:w="9506" w:type="dxa"/>
        <w:tblCellMar>
          <w:top w:w="15" w:type="dxa"/>
          <w:left w:w="70" w:type="dxa"/>
          <w:right w:w="70" w:type="dxa"/>
        </w:tblCellMar>
        <w:tblLook w:val="04A0" w:firstRow="1" w:lastRow="0" w:firstColumn="1" w:lastColumn="0" w:noHBand="0" w:noVBand="1"/>
      </w:tblPr>
      <w:tblGrid>
        <w:gridCol w:w="1975"/>
        <w:gridCol w:w="3119"/>
        <w:gridCol w:w="4252"/>
        <w:gridCol w:w="160"/>
      </w:tblGrid>
      <w:tr w:rsidR="008D6563" w:rsidRPr="008D6563" w14:paraId="350914B1" w14:textId="77777777" w:rsidTr="009A131A">
        <w:trPr>
          <w:gridAfter w:val="1"/>
          <w:wAfter w:w="160" w:type="dxa"/>
          <w:trHeight w:val="450"/>
          <w:tblHeader/>
        </w:trPr>
        <w:tc>
          <w:tcPr>
            <w:tcW w:w="1975" w:type="dxa"/>
            <w:vMerge w:val="restart"/>
            <w:tcBorders>
              <w:top w:val="single" w:sz="8" w:space="0" w:color="auto"/>
              <w:left w:val="single" w:sz="8" w:space="0" w:color="auto"/>
              <w:bottom w:val="nil"/>
              <w:right w:val="single" w:sz="8" w:space="0" w:color="auto"/>
            </w:tcBorders>
            <w:shd w:val="clear" w:color="auto" w:fill="auto"/>
            <w:vAlign w:val="center"/>
            <w:hideMark/>
          </w:tcPr>
          <w:p w14:paraId="3B005A01" w14:textId="77777777" w:rsidR="008D6563" w:rsidRPr="008D6563" w:rsidRDefault="008D6563" w:rsidP="008D6563">
            <w:pPr>
              <w:spacing w:after="0" w:line="240" w:lineRule="auto"/>
              <w:jc w:val="center"/>
              <w:rPr>
                <w:rFonts w:ascii="Verdana" w:eastAsia="Times New Roman" w:hAnsi="Verdana" w:cs="Calibri"/>
                <w:b/>
                <w:bCs/>
                <w:color w:val="000000"/>
                <w:sz w:val="20"/>
                <w:szCs w:val="20"/>
                <w:lang w:eastAsia="es-CO"/>
              </w:rPr>
            </w:pPr>
            <w:r w:rsidRPr="008D6563">
              <w:rPr>
                <w:rFonts w:ascii="Verdana" w:eastAsia="Times New Roman" w:hAnsi="Verdana" w:cs="Calibri"/>
                <w:b/>
                <w:bCs/>
                <w:color w:val="000000"/>
                <w:sz w:val="20"/>
                <w:szCs w:val="20"/>
                <w:lang w:eastAsia="es-CO"/>
              </w:rPr>
              <w:t>CONCEPTO                                                 (PROGRAMA)</w:t>
            </w:r>
          </w:p>
        </w:tc>
        <w:tc>
          <w:tcPr>
            <w:tcW w:w="3119" w:type="dxa"/>
            <w:vMerge w:val="restart"/>
            <w:tcBorders>
              <w:top w:val="single" w:sz="8" w:space="0" w:color="auto"/>
              <w:left w:val="single" w:sz="8" w:space="0" w:color="auto"/>
              <w:bottom w:val="nil"/>
              <w:right w:val="single" w:sz="8" w:space="0" w:color="auto"/>
            </w:tcBorders>
            <w:shd w:val="clear" w:color="auto" w:fill="auto"/>
            <w:vAlign w:val="center"/>
            <w:hideMark/>
          </w:tcPr>
          <w:p w14:paraId="1789BB1F" w14:textId="77777777" w:rsidR="008D6563" w:rsidRPr="008D6563" w:rsidRDefault="008D6563" w:rsidP="008D6563">
            <w:pPr>
              <w:spacing w:after="0" w:line="240" w:lineRule="auto"/>
              <w:jc w:val="center"/>
              <w:rPr>
                <w:rFonts w:ascii="Verdana" w:eastAsia="Times New Roman" w:hAnsi="Verdana" w:cs="Calibri"/>
                <w:b/>
                <w:bCs/>
                <w:color w:val="000000"/>
                <w:sz w:val="20"/>
                <w:szCs w:val="20"/>
                <w:lang w:eastAsia="es-CO"/>
              </w:rPr>
            </w:pPr>
            <w:r w:rsidRPr="008D6563">
              <w:rPr>
                <w:rFonts w:ascii="Verdana" w:eastAsia="Times New Roman" w:hAnsi="Verdana" w:cs="Calibri"/>
                <w:b/>
                <w:bCs/>
                <w:color w:val="000000"/>
                <w:sz w:val="20"/>
                <w:szCs w:val="20"/>
                <w:lang w:eastAsia="es-CO"/>
              </w:rPr>
              <w:t>PROYECTO</w:t>
            </w:r>
          </w:p>
        </w:tc>
        <w:tc>
          <w:tcPr>
            <w:tcW w:w="4252" w:type="dxa"/>
            <w:vMerge w:val="restart"/>
            <w:tcBorders>
              <w:top w:val="single" w:sz="8" w:space="0" w:color="auto"/>
              <w:left w:val="single" w:sz="8" w:space="0" w:color="auto"/>
              <w:bottom w:val="nil"/>
              <w:right w:val="single" w:sz="8" w:space="0" w:color="auto"/>
            </w:tcBorders>
            <w:shd w:val="clear" w:color="auto" w:fill="auto"/>
            <w:vAlign w:val="center"/>
            <w:hideMark/>
          </w:tcPr>
          <w:p w14:paraId="19DC572D" w14:textId="77777777" w:rsidR="008D6563" w:rsidRPr="008D6563" w:rsidRDefault="008D6563" w:rsidP="008D6563">
            <w:pPr>
              <w:spacing w:after="0" w:line="240" w:lineRule="auto"/>
              <w:jc w:val="center"/>
              <w:rPr>
                <w:rFonts w:ascii="Verdana" w:eastAsia="Times New Roman" w:hAnsi="Verdana" w:cs="Calibri"/>
                <w:b/>
                <w:bCs/>
                <w:color w:val="000000"/>
                <w:sz w:val="20"/>
                <w:szCs w:val="20"/>
                <w:lang w:eastAsia="es-CO"/>
              </w:rPr>
            </w:pPr>
            <w:r w:rsidRPr="008D6563">
              <w:rPr>
                <w:rFonts w:ascii="Verdana" w:eastAsia="Times New Roman" w:hAnsi="Verdana" w:cs="Calibri"/>
                <w:b/>
                <w:bCs/>
                <w:color w:val="000000"/>
                <w:sz w:val="20"/>
                <w:szCs w:val="20"/>
                <w:lang w:eastAsia="es-CO"/>
              </w:rPr>
              <w:t>RESULTADO MISIONAL</w:t>
            </w:r>
          </w:p>
        </w:tc>
      </w:tr>
      <w:tr w:rsidR="008D6563" w:rsidRPr="008D6563" w14:paraId="18833986" w14:textId="77777777" w:rsidTr="009A131A">
        <w:trPr>
          <w:trHeight w:val="300"/>
          <w:tblHeader/>
        </w:trPr>
        <w:tc>
          <w:tcPr>
            <w:tcW w:w="1975" w:type="dxa"/>
            <w:vMerge/>
            <w:tcBorders>
              <w:top w:val="single" w:sz="8" w:space="0" w:color="auto"/>
              <w:left w:val="single" w:sz="8" w:space="0" w:color="auto"/>
              <w:bottom w:val="nil"/>
              <w:right w:val="single" w:sz="8" w:space="0" w:color="auto"/>
            </w:tcBorders>
            <w:vAlign w:val="center"/>
            <w:hideMark/>
          </w:tcPr>
          <w:p w14:paraId="386B9EBF" w14:textId="77777777" w:rsidR="008D6563" w:rsidRPr="008D6563" w:rsidRDefault="008D6563" w:rsidP="008D6563">
            <w:pPr>
              <w:spacing w:after="0" w:line="240" w:lineRule="auto"/>
              <w:rPr>
                <w:rFonts w:ascii="Verdana" w:eastAsia="Times New Roman" w:hAnsi="Verdana" w:cs="Calibri"/>
                <w:b/>
                <w:bCs/>
                <w:color w:val="000000"/>
                <w:sz w:val="20"/>
                <w:szCs w:val="20"/>
                <w:lang w:eastAsia="es-CO"/>
              </w:rPr>
            </w:pPr>
          </w:p>
        </w:tc>
        <w:tc>
          <w:tcPr>
            <w:tcW w:w="3119" w:type="dxa"/>
            <w:vMerge/>
            <w:tcBorders>
              <w:top w:val="single" w:sz="8" w:space="0" w:color="auto"/>
              <w:left w:val="single" w:sz="8" w:space="0" w:color="auto"/>
              <w:bottom w:val="nil"/>
              <w:right w:val="single" w:sz="8" w:space="0" w:color="auto"/>
            </w:tcBorders>
            <w:vAlign w:val="center"/>
            <w:hideMark/>
          </w:tcPr>
          <w:p w14:paraId="13B5D411" w14:textId="77777777" w:rsidR="008D6563" w:rsidRPr="008D6563" w:rsidRDefault="008D6563" w:rsidP="008D6563">
            <w:pPr>
              <w:spacing w:after="0" w:line="240" w:lineRule="auto"/>
              <w:rPr>
                <w:rFonts w:ascii="Verdana" w:eastAsia="Times New Roman" w:hAnsi="Verdana" w:cs="Calibri"/>
                <w:b/>
                <w:bCs/>
                <w:color w:val="000000"/>
                <w:sz w:val="20"/>
                <w:szCs w:val="20"/>
                <w:lang w:eastAsia="es-CO"/>
              </w:rPr>
            </w:pPr>
          </w:p>
        </w:tc>
        <w:tc>
          <w:tcPr>
            <w:tcW w:w="4252" w:type="dxa"/>
            <w:vMerge/>
            <w:tcBorders>
              <w:top w:val="single" w:sz="8" w:space="0" w:color="auto"/>
              <w:left w:val="single" w:sz="8" w:space="0" w:color="auto"/>
              <w:bottom w:val="nil"/>
              <w:right w:val="single" w:sz="8" w:space="0" w:color="auto"/>
            </w:tcBorders>
            <w:vAlign w:val="center"/>
            <w:hideMark/>
          </w:tcPr>
          <w:p w14:paraId="41953903" w14:textId="77777777" w:rsidR="008D6563" w:rsidRPr="008D6563" w:rsidRDefault="008D6563" w:rsidP="008D6563">
            <w:pPr>
              <w:spacing w:after="0" w:line="240" w:lineRule="auto"/>
              <w:rPr>
                <w:rFonts w:ascii="Verdana" w:eastAsia="Times New Roman" w:hAnsi="Verdana" w:cs="Calibri"/>
                <w:b/>
                <w:bCs/>
                <w:color w:val="000000"/>
                <w:sz w:val="20"/>
                <w:szCs w:val="20"/>
                <w:lang w:eastAsia="es-CO"/>
              </w:rPr>
            </w:pPr>
          </w:p>
        </w:tc>
        <w:tc>
          <w:tcPr>
            <w:tcW w:w="160" w:type="dxa"/>
            <w:tcBorders>
              <w:top w:val="nil"/>
              <w:left w:val="nil"/>
              <w:bottom w:val="nil"/>
              <w:right w:val="nil"/>
            </w:tcBorders>
            <w:shd w:val="clear" w:color="auto" w:fill="auto"/>
            <w:noWrap/>
            <w:vAlign w:val="bottom"/>
            <w:hideMark/>
          </w:tcPr>
          <w:p w14:paraId="14B901B5" w14:textId="77777777" w:rsidR="008D6563" w:rsidRPr="008D6563" w:rsidRDefault="008D6563" w:rsidP="008D6563">
            <w:pPr>
              <w:spacing w:after="0" w:line="240" w:lineRule="auto"/>
              <w:jc w:val="center"/>
              <w:rPr>
                <w:rFonts w:ascii="Verdana" w:eastAsia="Times New Roman" w:hAnsi="Verdana" w:cs="Calibri"/>
                <w:b/>
                <w:bCs/>
                <w:color w:val="000000"/>
                <w:sz w:val="20"/>
                <w:szCs w:val="20"/>
                <w:lang w:eastAsia="es-CO"/>
              </w:rPr>
            </w:pPr>
          </w:p>
        </w:tc>
      </w:tr>
      <w:tr w:rsidR="008D6563" w:rsidRPr="008D6563" w14:paraId="6C031DF8" w14:textId="77777777" w:rsidTr="009A131A">
        <w:trPr>
          <w:trHeight w:val="300"/>
          <w:tblHeader/>
        </w:trPr>
        <w:tc>
          <w:tcPr>
            <w:tcW w:w="934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D428911" w14:textId="77777777" w:rsidR="008D6563" w:rsidRPr="008D6563" w:rsidRDefault="008D6563" w:rsidP="008D6563">
            <w:pPr>
              <w:spacing w:after="0" w:line="240" w:lineRule="auto"/>
              <w:jc w:val="center"/>
              <w:rPr>
                <w:rFonts w:ascii="Verdana" w:eastAsia="Times New Roman" w:hAnsi="Verdana" w:cs="Calibri"/>
                <w:b/>
                <w:bCs/>
                <w:color w:val="000000"/>
                <w:sz w:val="20"/>
                <w:szCs w:val="20"/>
                <w:lang w:eastAsia="es-CO"/>
              </w:rPr>
            </w:pPr>
            <w:r w:rsidRPr="008D6563">
              <w:rPr>
                <w:rFonts w:ascii="Verdana" w:eastAsia="Times New Roman" w:hAnsi="Verdana" w:cs="Calibri"/>
                <w:b/>
                <w:bCs/>
                <w:color w:val="000000"/>
                <w:sz w:val="20"/>
                <w:szCs w:val="20"/>
                <w:lang w:eastAsia="es-CO"/>
              </w:rPr>
              <w:t>INVERSIÓN</w:t>
            </w:r>
          </w:p>
        </w:tc>
        <w:tc>
          <w:tcPr>
            <w:tcW w:w="160" w:type="dxa"/>
            <w:vAlign w:val="center"/>
            <w:hideMark/>
          </w:tcPr>
          <w:p w14:paraId="7C9144A3" w14:textId="77777777" w:rsidR="008D6563" w:rsidRPr="008D6563" w:rsidRDefault="008D6563" w:rsidP="008D6563">
            <w:pPr>
              <w:spacing w:after="0" w:line="240" w:lineRule="auto"/>
              <w:rPr>
                <w:rFonts w:ascii="Times New Roman" w:eastAsia="Times New Roman" w:hAnsi="Times New Roman" w:cs="Times New Roman"/>
                <w:sz w:val="20"/>
                <w:szCs w:val="20"/>
                <w:lang w:eastAsia="es-CO"/>
              </w:rPr>
            </w:pPr>
          </w:p>
        </w:tc>
      </w:tr>
      <w:tr w:rsidR="008D6563" w:rsidRPr="008D6563" w14:paraId="12139AF1" w14:textId="77777777" w:rsidTr="008D6563">
        <w:trPr>
          <w:trHeight w:val="3060"/>
        </w:trPr>
        <w:tc>
          <w:tcPr>
            <w:tcW w:w="1975" w:type="dxa"/>
            <w:vMerge w:val="restart"/>
            <w:tcBorders>
              <w:top w:val="nil"/>
              <w:left w:val="single" w:sz="4" w:space="0" w:color="auto"/>
              <w:bottom w:val="single" w:sz="4" w:space="0" w:color="auto"/>
              <w:right w:val="single" w:sz="4" w:space="0" w:color="auto"/>
            </w:tcBorders>
            <w:shd w:val="clear" w:color="auto" w:fill="auto"/>
            <w:vAlign w:val="center"/>
            <w:hideMark/>
          </w:tcPr>
          <w:p w14:paraId="4EA19D91" w14:textId="77777777" w:rsidR="008D6563" w:rsidRPr="008D6563" w:rsidRDefault="008D6563" w:rsidP="008D6563">
            <w:pPr>
              <w:spacing w:after="0" w:line="240" w:lineRule="auto"/>
              <w:jc w:val="center"/>
              <w:rPr>
                <w:rFonts w:ascii="Verdana" w:eastAsia="Times New Roman" w:hAnsi="Verdana" w:cs="Calibri"/>
                <w:color w:val="000000"/>
                <w:sz w:val="20"/>
                <w:szCs w:val="20"/>
                <w:lang w:eastAsia="es-CO"/>
              </w:rPr>
            </w:pPr>
            <w:r w:rsidRPr="008D6563">
              <w:rPr>
                <w:rFonts w:ascii="Verdana" w:eastAsia="Times New Roman" w:hAnsi="Verdana" w:cs="Calibri"/>
                <w:color w:val="000000"/>
                <w:sz w:val="20"/>
                <w:szCs w:val="20"/>
                <w:lang w:eastAsia="es-CO"/>
              </w:rPr>
              <w:t>Fortalecimiento de la gestión y dirección del sector hacienda</w:t>
            </w:r>
          </w:p>
        </w:tc>
        <w:tc>
          <w:tcPr>
            <w:tcW w:w="3119" w:type="dxa"/>
            <w:tcBorders>
              <w:top w:val="nil"/>
              <w:left w:val="nil"/>
              <w:bottom w:val="single" w:sz="4" w:space="0" w:color="auto"/>
              <w:right w:val="single" w:sz="4" w:space="0" w:color="auto"/>
            </w:tcBorders>
            <w:shd w:val="clear" w:color="auto" w:fill="auto"/>
            <w:vAlign w:val="center"/>
            <w:hideMark/>
          </w:tcPr>
          <w:p w14:paraId="2926A1DD" w14:textId="77777777" w:rsidR="008D6563" w:rsidRPr="008D6563" w:rsidRDefault="008D6563" w:rsidP="008D6563">
            <w:pPr>
              <w:spacing w:after="0" w:line="240" w:lineRule="auto"/>
              <w:jc w:val="both"/>
              <w:rPr>
                <w:rFonts w:ascii="Verdana" w:eastAsia="Times New Roman" w:hAnsi="Verdana" w:cs="Calibri"/>
                <w:color w:val="000000"/>
                <w:sz w:val="20"/>
                <w:szCs w:val="20"/>
                <w:lang w:eastAsia="es-CO"/>
              </w:rPr>
            </w:pPr>
            <w:r w:rsidRPr="008D6563">
              <w:rPr>
                <w:rFonts w:ascii="Verdana" w:eastAsia="Times New Roman" w:hAnsi="Verdana" w:cs="Calibri"/>
                <w:color w:val="000000"/>
                <w:sz w:val="20"/>
                <w:szCs w:val="20"/>
                <w:lang w:eastAsia="es-CO"/>
              </w:rPr>
              <w:t>Fortalecimiento de la infraestructura y servicios tecnológicos de la Superintendencia de la economía solidaria Nacional</w:t>
            </w:r>
          </w:p>
        </w:tc>
        <w:tc>
          <w:tcPr>
            <w:tcW w:w="4252" w:type="dxa"/>
            <w:tcBorders>
              <w:top w:val="nil"/>
              <w:left w:val="nil"/>
              <w:bottom w:val="single" w:sz="4" w:space="0" w:color="auto"/>
              <w:right w:val="single" w:sz="4" w:space="0" w:color="auto"/>
            </w:tcBorders>
            <w:shd w:val="clear" w:color="auto" w:fill="auto"/>
            <w:vAlign w:val="center"/>
            <w:hideMark/>
          </w:tcPr>
          <w:p w14:paraId="4A1C5B20" w14:textId="77777777" w:rsidR="008D6563" w:rsidRPr="008D6563" w:rsidRDefault="008D6563" w:rsidP="008D6563">
            <w:pPr>
              <w:spacing w:after="0" w:line="240" w:lineRule="auto"/>
              <w:jc w:val="both"/>
              <w:rPr>
                <w:rFonts w:ascii="Verdana" w:eastAsia="Times New Roman" w:hAnsi="Verdana" w:cs="Calibri"/>
                <w:color w:val="000000"/>
                <w:sz w:val="20"/>
                <w:szCs w:val="20"/>
                <w:lang w:eastAsia="es-CO"/>
              </w:rPr>
            </w:pPr>
            <w:r w:rsidRPr="008D6563">
              <w:rPr>
                <w:rFonts w:ascii="Verdana" w:eastAsia="Times New Roman" w:hAnsi="Verdana" w:cs="Calibri"/>
                <w:color w:val="000000"/>
                <w:sz w:val="20"/>
                <w:szCs w:val="20"/>
                <w:lang w:eastAsia="es-CO"/>
              </w:rPr>
              <w:t>Este proyecto tiene como propósito: Fortalecer la infraestructura y los Servicios tecnológicos de la Superintendencia de la Economía Solidaria.</w:t>
            </w:r>
            <w:r w:rsidRPr="008D6563">
              <w:rPr>
                <w:rFonts w:ascii="Verdana" w:eastAsia="Times New Roman" w:hAnsi="Verdana" w:cs="Calibri"/>
                <w:color w:val="000000"/>
                <w:sz w:val="20"/>
                <w:szCs w:val="20"/>
                <w:lang w:eastAsia="es-CO"/>
              </w:rPr>
              <w:br/>
            </w:r>
            <w:r w:rsidRPr="008D6563">
              <w:rPr>
                <w:rFonts w:ascii="Verdana" w:eastAsia="Times New Roman" w:hAnsi="Verdana" w:cs="Calibri"/>
                <w:color w:val="000000"/>
                <w:sz w:val="20"/>
                <w:szCs w:val="20"/>
                <w:lang w:eastAsia="es-CO"/>
              </w:rPr>
              <w:br/>
              <w:t>• Se garantiza la continuidad y disponibilidad de los servicios Tecnológicos, así como la capacidad de atención y resolución de incidentes para ofrecer continuidad de la operación y la prestación de todos los servicios de la Entidad y de TI.</w:t>
            </w:r>
          </w:p>
        </w:tc>
        <w:tc>
          <w:tcPr>
            <w:tcW w:w="160" w:type="dxa"/>
            <w:vAlign w:val="center"/>
            <w:hideMark/>
          </w:tcPr>
          <w:p w14:paraId="3CE0AB2C" w14:textId="77777777" w:rsidR="008D6563" w:rsidRPr="008D6563" w:rsidRDefault="008D6563" w:rsidP="008D6563">
            <w:pPr>
              <w:spacing w:after="0" w:line="240" w:lineRule="auto"/>
              <w:rPr>
                <w:rFonts w:ascii="Times New Roman" w:eastAsia="Times New Roman" w:hAnsi="Times New Roman" w:cs="Times New Roman"/>
                <w:sz w:val="20"/>
                <w:szCs w:val="20"/>
                <w:lang w:eastAsia="es-CO"/>
              </w:rPr>
            </w:pPr>
          </w:p>
        </w:tc>
      </w:tr>
      <w:tr w:rsidR="008D6563" w:rsidRPr="008D6563" w14:paraId="282B44DE" w14:textId="77777777" w:rsidTr="008D6563">
        <w:trPr>
          <w:trHeight w:val="3270"/>
        </w:trPr>
        <w:tc>
          <w:tcPr>
            <w:tcW w:w="1975" w:type="dxa"/>
            <w:vMerge/>
            <w:tcBorders>
              <w:top w:val="nil"/>
              <w:left w:val="single" w:sz="4" w:space="0" w:color="auto"/>
              <w:bottom w:val="single" w:sz="4" w:space="0" w:color="auto"/>
              <w:right w:val="single" w:sz="4" w:space="0" w:color="auto"/>
            </w:tcBorders>
            <w:vAlign w:val="center"/>
            <w:hideMark/>
          </w:tcPr>
          <w:p w14:paraId="152BCEDE" w14:textId="77777777" w:rsidR="008D6563" w:rsidRPr="008D6563" w:rsidRDefault="008D6563" w:rsidP="008D6563">
            <w:pPr>
              <w:spacing w:after="0" w:line="240" w:lineRule="auto"/>
              <w:rPr>
                <w:rFonts w:ascii="Verdana" w:eastAsia="Times New Roman" w:hAnsi="Verdana" w:cs="Calibri"/>
                <w:color w:val="000000"/>
                <w:sz w:val="20"/>
                <w:szCs w:val="20"/>
                <w:lang w:eastAsia="es-CO"/>
              </w:rPr>
            </w:pPr>
          </w:p>
        </w:tc>
        <w:tc>
          <w:tcPr>
            <w:tcW w:w="3119" w:type="dxa"/>
            <w:tcBorders>
              <w:top w:val="nil"/>
              <w:left w:val="nil"/>
              <w:bottom w:val="single" w:sz="4" w:space="0" w:color="auto"/>
              <w:right w:val="single" w:sz="4" w:space="0" w:color="auto"/>
            </w:tcBorders>
            <w:shd w:val="clear" w:color="auto" w:fill="auto"/>
            <w:vAlign w:val="center"/>
            <w:hideMark/>
          </w:tcPr>
          <w:p w14:paraId="4CABE0C8" w14:textId="77777777" w:rsidR="008D6563" w:rsidRPr="00777007" w:rsidRDefault="008D6563" w:rsidP="008D6563">
            <w:pPr>
              <w:spacing w:after="0" w:line="240" w:lineRule="auto"/>
              <w:jc w:val="both"/>
              <w:rPr>
                <w:rFonts w:ascii="Verdana" w:eastAsia="Times New Roman" w:hAnsi="Verdana" w:cs="Arial"/>
                <w:color w:val="000000"/>
                <w:sz w:val="20"/>
                <w:szCs w:val="20"/>
                <w:lang w:eastAsia="es-CO"/>
              </w:rPr>
            </w:pPr>
            <w:r w:rsidRPr="00777007">
              <w:rPr>
                <w:rFonts w:ascii="Verdana" w:eastAsia="Times New Roman" w:hAnsi="Verdana" w:cs="Arial"/>
                <w:color w:val="000000"/>
                <w:sz w:val="20"/>
                <w:szCs w:val="20"/>
                <w:lang w:eastAsia="es-CO"/>
              </w:rPr>
              <w:t>Fortalecimiento Institucional para la Generación de Valor Público en el Sector Solidario Nacional</w:t>
            </w:r>
          </w:p>
        </w:tc>
        <w:tc>
          <w:tcPr>
            <w:tcW w:w="4252" w:type="dxa"/>
            <w:tcBorders>
              <w:top w:val="nil"/>
              <w:left w:val="nil"/>
              <w:bottom w:val="single" w:sz="4" w:space="0" w:color="auto"/>
              <w:right w:val="single" w:sz="4" w:space="0" w:color="auto"/>
            </w:tcBorders>
            <w:shd w:val="clear" w:color="auto" w:fill="auto"/>
            <w:vAlign w:val="center"/>
            <w:hideMark/>
          </w:tcPr>
          <w:p w14:paraId="13320DFF" w14:textId="77777777" w:rsidR="008D6563" w:rsidRPr="009A131A" w:rsidRDefault="008D6563" w:rsidP="008D6563">
            <w:pPr>
              <w:spacing w:after="0" w:line="240" w:lineRule="auto"/>
              <w:jc w:val="both"/>
              <w:rPr>
                <w:rFonts w:ascii="Verdana" w:eastAsia="Times New Roman" w:hAnsi="Verdana" w:cs="Arial"/>
                <w:color w:val="000000"/>
                <w:sz w:val="20"/>
                <w:szCs w:val="20"/>
                <w:lang w:eastAsia="es-CO"/>
              </w:rPr>
            </w:pPr>
            <w:r w:rsidRPr="009A131A">
              <w:rPr>
                <w:rFonts w:ascii="Verdana" w:eastAsia="Times New Roman" w:hAnsi="Verdana" w:cs="Arial"/>
                <w:color w:val="000000"/>
                <w:sz w:val="20"/>
                <w:szCs w:val="20"/>
                <w:lang w:eastAsia="es-CO"/>
              </w:rPr>
              <w:t>Este proyecto tiene como propósito: Fortalecer la capacidad de gestión para el desarrollo institucional.</w:t>
            </w:r>
          </w:p>
          <w:p w14:paraId="78DB3317" w14:textId="5C9675CD" w:rsidR="008D6563" w:rsidRPr="009A131A" w:rsidRDefault="008D6563" w:rsidP="008D6563">
            <w:pPr>
              <w:spacing w:after="0" w:line="240" w:lineRule="auto"/>
              <w:jc w:val="both"/>
              <w:rPr>
                <w:rFonts w:ascii="Verdana" w:eastAsia="Times New Roman" w:hAnsi="Verdana" w:cs="Arial"/>
                <w:color w:val="000000"/>
                <w:sz w:val="20"/>
                <w:szCs w:val="20"/>
                <w:lang w:eastAsia="es-CO"/>
              </w:rPr>
            </w:pPr>
            <w:r w:rsidRPr="009A131A">
              <w:rPr>
                <w:rFonts w:ascii="Verdana" w:eastAsia="Times New Roman" w:hAnsi="Verdana" w:cs="Arial"/>
                <w:color w:val="000000"/>
                <w:sz w:val="20"/>
                <w:szCs w:val="20"/>
                <w:lang w:eastAsia="es-CO"/>
              </w:rPr>
              <w:br/>
              <w:t>• Se garantiza la formulación y la articulación de los sistemas de gestión de la entidad, para la entrega oportuna de productos.</w:t>
            </w:r>
            <w:r w:rsidRPr="009A131A">
              <w:rPr>
                <w:rFonts w:ascii="Verdana" w:eastAsia="Times New Roman" w:hAnsi="Verdana" w:cs="Arial"/>
                <w:color w:val="000000"/>
                <w:sz w:val="20"/>
                <w:szCs w:val="20"/>
                <w:lang w:eastAsia="es-CO"/>
              </w:rPr>
              <w:br/>
              <w:t>• Fortalecer el modelo de supervisión, promoviendo buenas prácticas y garantizando los derechos de los asociados.</w:t>
            </w:r>
          </w:p>
        </w:tc>
        <w:tc>
          <w:tcPr>
            <w:tcW w:w="160" w:type="dxa"/>
            <w:vAlign w:val="center"/>
            <w:hideMark/>
          </w:tcPr>
          <w:p w14:paraId="0C4402C7" w14:textId="77777777" w:rsidR="008D6563" w:rsidRPr="008D6563" w:rsidRDefault="008D6563" w:rsidP="008D6563">
            <w:pPr>
              <w:spacing w:after="0" w:line="240" w:lineRule="auto"/>
              <w:rPr>
                <w:rFonts w:ascii="Times New Roman" w:eastAsia="Times New Roman" w:hAnsi="Times New Roman" w:cs="Times New Roman"/>
                <w:sz w:val="20"/>
                <w:szCs w:val="20"/>
                <w:lang w:eastAsia="es-CO"/>
              </w:rPr>
            </w:pPr>
          </w:p>
        </w:tc>
      </w:tr>
      <w:tr w:rsidR="008D6563" w:rsidRPr="008D6563" w14:paraId="684A7005" w14:textId="77777777" w:rsidTr="008D6563">
        <w:trPr>
          <w:trHeight w:val="1500"/>
        </w:trPr>
        <w:tc>
          <w:tcPr>
            <w:tcW w:w="1975" w:type="dxa"/>
            <w:vMerge w:val="restart"/>
            <w:tcBorders>
              <w:top w:val="nil"/>
              <w:left w:val="single" w:sz="4" w:space="0" w:color="auto"/>
              <w:bottom w:val="single" w:sz="4" w:space="0" w:color="auto"/>
              <w:right w:val="single" w:sz="4" w:space="0" w:color="auto"/>
            </w:tcBorders>
            <w:shd w:val="clear" w:color="auto" w:fill="auto"/>
            <w:vAlign w:val="center"/>
            <w:hideMark/>
          </w:tcPr>
          <w:p w14:paraId="1EFDB172" w14:textId="26A9C681" w:rsidR="008D6563" w:rsidRPr="00777007" w:rsidRDefault="008D6563" w:rsidP="008D6563">
            <w:pPr>
              <w:spacing w:after="0" w:line="240" w:lineRule="auto"/>
              <w:jc w:val="center"/>
              <w:rPr>
                <w:rFonts w:ascii="Verdana" w:eastAsia="Times New Roman" w:hAnsi="Verdana" w:cs="Calibri"/>
                <w:color w:val="000000"/>
                <w:sz w:val="20"/>
                <w:szCs w:val="20"/>
                <w:lang w:eastAsia="es-CO"/>
              </w:rPr>
            </w:pPr>
            <w:r w:rsidRPr="00777007">
              <w:rPr>
                <w:rFonts w:ascii="Verdana" w:eastAsia="Times New Roman" w:hAnsi="Verdana" w:cs="Calibri"/>
                <w:color w:val="000000"/>
                <w:sz w:val="20"/>
                <w:szCs w:val="20"/>
                <w:lang w:eastAsia="es-CO"/>
              </w:rPr>
              <w:t>Inspección, control y vigilancia financiera, solidaria y de recursos públicos.</w:t>
            </w:r>
          </w:p>
        </w:tc>
        <w:tc>
          <w:tcPr>
            <w:tcW w:w="3119" w:type="dxa"/>
            <w:vMerge w:val="restart"/>
            <w:tcBorders>
              <w:top w:val="nil"/>
              <w:left w:val="single" w:sz="4" w:space="0" w:color="auto"/>
              <w:bottom w:val="single" w:sz="4" w:space="0" w:color="auto"/>
              <w:right w:val="single" w:sz="4" w:space="0" w:color="auto"/>
            </w:tcBorders>
            <w:shd w:val="clear" w:color="auto" w:fill="auto"/>
            <w:vAlign w:val="center"/>
            <w:hideMark/>
          </w:tcPr>
          <w:p w14:paraId="058D301E" w14:textId="3497DDA0" w:rsidR="008D6563" w:rsidRPr="009A131A" w:rsidRDefault="008D6563" w:rsidP="008D6563">
            <w:pPr>
              <w:spacing w:after="0" w:line="240" w:lineRule="auto"/>
              <w:jc w:val="both"/>
              <w:rPr>
                <w:rFonts w:ascii="Verdana" w:eastAsia="Times New Roman" w:hAnsi="Verdana" w:cs="Calibri"/>
                <w:color w:val="000000"/>
                <w:sz w:val="20"/>
                <w:szCs w:val="20"/>
                <w:lang w:eastAsia="es-CO"/>
              </w:rPr>
            </w:pPr>
            <w:r w:rsidRPr="009A131A">
              <w:rPr>
                <w:rFonts w:ascii="Verdana" w:eastAsia="Times New Roman" w:hAnsi="Verdana" w:cs="Calibri"/>
                <w:color w:val="000000"/>
                <w:sz w:val="20"/>
                <w:szCs w:val="20"/>
                <w:lang w:eastAsia="es-CO"/>
              </w:rPr>
              <w:t xml:space="preserve">Fortalecimiento de las capacidades para ejercer la labor de supervisión a las organizaciones Vigiladas por la Superintendencia de la </w:t>
            </w:r>
            <w:r w:rsidRPr="009A131A">
              <w:rPr>
                <w:rFonts w:ascii="Verdana" w:eastAsia="Times New Roman" w:hAnsi="Verdana" w:cs="Calibri"/>
                <w:color w:val="000000"/>
                <w:sz w:val="20"/>
                <w:szCs w:val="20"/>
                <w:lang w:eastAsia="es-CO"/>
              </w:rPr>
              <w:lastRenderedPageBreak/>
              <w:t>economía solidaria a nivel nacional.</w:t>
            </w:r>
          </w:p>
        </w:tc>
        <w:tc>
          <w:tcPr>
            <w:tcW w:w="4252" w:type="dxa"/>
            <w:vMerge w:val="restart"/>
            <w:tcBorders>
              <w:top w:val="nil"/>
              <w:left w:val="single" w:sz="4" w:space="0" w:color="auto"/>
              <w:bottom w:val="single" w:sz="4" w:space="0" w:color="000000"/>
              <w:right w:val="single" w:sz="4" w:space="0" w:color="auto"/>
            </w:tcBorders>
            <w:shd w:val="clear" w:color="auto" w:fill="auto"/>
            <w:vAlign w:val="center"/>
            <w:hideMark/>
          </w:tcPr>
          <w:p w14:paraId="147BB03D" w14:textId="77777777" w:rsidR="008D6563" w:rsidRPr="009A131A" w:rsidRDefault="008D6563" w:rsidP="008D6563">
            <w:pPr>
              <w:spacing w:after="0" w:line="240" w:lineRule="auto"/>
              <w:jc w:val="both"/>
              <w:rPr>
                <w:rFonts w:ascii="Verdana" w:eastAsia="Times New Roman" w:hAnsi="Verdana" w:cs="Calibri"/>
                <w:color w:val="000000"/>
                <w:sz w:val="20"/>
                <w:szCs w:val="20"/>
                <w:lang w:eastAsia="es-CO"/>
              </w:rPr>
            </w:pPr>
            <w:r w:rsidRPr="009A131A">
              <w:rPr>
                <w:rFonts w:ascii="Verdana" w:eastAsia="Times New Roman" w:hAnsi="Verdana" w:cs="Calibri"/>
                <w:color w:val="000000"/>
                <w:sz w:val="20"/>
                <w:szCs w:val="20"/>
                <w:lang w:eastAsia="es-CO"/>
              </w:rPr>
              <w:lastRenderedPageBreak/>
              <w:t>Este proyecto tiene como propósito: Fortalecer las capacidades para ejercer la labor de supervisión a las organizaciones solidarias.</w:t>
            </w:r>
            <w:r w:rsidRPr="009A131A">
              <w:rPr>
                <w:rFonts w:ascii="Verdana" w:eastAsia="Times New Roman" w:hAnsi="Verdana" w:cs="Calibri"/>
                <w:color w:val="000000"/>
                <w:sz w:val="20"/>
                <w:szCs w:val="20"/>
                <w:lang w:eastAsia="es-CO"/>
              </w:rPr>
              <w:br/>
              <w:t xml:space="preserve">• Fortalecer el modelo de supervisión, promoviendo buenas prácticas y </w:t>
            </w:r>
            <w:r w:rsidRPr="009A131A">
              <w:rPr>
                <w:rFonts w:ascii="Verdana" w:eastAsia="Times New Roman" w:hAnsi="Verdana" w:cs="Calibri"/>
                <w:color w:val="000000"/>
                <w:sz w:val="20"/>
                <w:szCs w:val="20"/>
                <w:lang w:eastAsia="es-CO"/>
              </w:rPr>
              <w:lastRenderedPageBreak/>
              <w:t>garantizando los derechos de los asociados.</w:t>
            </w:r>
            <w:r w:rsidRPr="009A131A">
              <w:rPr>
                <w:rFonts w:ascii="Verdana" w:eastAsia="Times New Roman" w:hAnsi="Verdana" w:cs="Calibri"/>
                <w:color w:val="000000"/>
                <w:sz w:val="20"/>
                <w:szCs w:val="20"/>
                <w:lang w:eastAsia="es-CO"/>
              </w:rPr>
              <w:br/>
              <w:t>• Garantizar una adecuada labor de supervisión con el fin de velar por el adecuado manejo de los recursos en las organizaciones de la economía solidaria y en ultimas, los ahorros de los asociados.</w:t>
            </w:r>
          </w:p>
        </w:tc>
        <w:tc>
          <w:tcPr>
            <w:tcW w:w="160" w:type="dxa"/>
            <w:vAlign w:val="center"/>
            <w:hideMark/>
          </w:tcPr>
          <w:p w14:paraId="6824D69F" w14:textId="77777777" w:rsidR="008D6563" w:rsidRPr="008D6563" w:rsidRDefault="008D6563" w:rsidP="008D6563">
            <w:pPr>
              <w:spacing w:after="0" w:line="240" w:lineRule="auto"/>
              <w:rPr>
                <w:rFonts w:ascii="Times New Roman" w:eastAsia="Times New Roman" w:hAnsi="Times New Roman" w:cs="Times New Roman"/>
                <w:sz w:val="20"/>
                <w:szCs w:val="20"/>
                <w:lang w:eastAsia="es-CO"/>
              </w:rPr>
            </w:pPr>
          </w:p>
        </w:tc>
      </w:tr>
      <w:tr w:rsidR="008D6563" w:rsidRPr="008D6563" w14:paraId="7D84160D" w14:textId="77777777" w:rsidTr="008D6563">
        <w:trPr>
          <w:trHeight w:val="2355"/>
        </w:trPr>
        <w:tc>
          <w:tcPr>
            <w:tcW w:w="1975" w:type="dxa"/>
            <w:vMerge/>
            <w:tcBorders>
              <w:top w:val="nil"/>
              <w:left w:val="single" w:sz="4" w:space="0" w:color="auto"/>
              <w:bottom w:val="single" w:sz="4" w:space="0" w:color="auto"/>
              <w:right w:val="single" w:sz="4" w:space="0" w:color="auto"/>
            </w:tcBorders>
            <w:vAlign w:val="center"/>
            <w:hideMark/>
          </w:tcPr>
          <w:p w14:paraId="0AB85CFE" w14:textId="77777777" w:rsidR="008D6563" w:rsidRPr="008D6563" w:rsidRDefault="008D6563" w:rsidP="008D6563">
            <w:pPr>
              <w:spacing w:after="0" w:line="240" w:lineRule="auto"/>
              <w:rPr>
                <w:rFonts w:ascii="Verdana" w:eastAsia="Times New Roman" w:hAnsi="Verdana" w:cs="Calibri"/>
                <w:color w:val="000000"/>
                <w:sz w:val="20"/>
                <w:szCs w:val="20"/>
                <w:lang w:eastAsia="es-CO"/>
              </w:rPr>
            </w:pPr>
          </w:p>
        </w:tc>
        <w:tc>
          <w:tcPr>
            <w:tcW w:w="3119" w:type="dxa"/>
            <w:vMerge/>
            <w:tcBorders>
              <w:top w:val="nil"/>
              <w:left w:val="single" w:sz="4" w:space="0" w:color="auto"/>
              <w:bottom w:val="single" w:sz="4" w:space="0" w:color="auto"/>
              <w:right w:val="single" w:sz="4" w:space="0" w:color="auto"/>
            </w:tcBorders>
            <w:vAlign w:val="center"/>
            <w:hideMark/>
          </w:tcPr>
          <w:p w14:paraId="5DD42256" w14:textId="77777777" w:rsidR="008D6563" w:rsidRPr="008D6563" w:rsidRDefault="008D6563" w:rsidP="008D6563">
            <w:pPr>
              <w:spacing w:after="0" w:line="240" w:lineRule="auto"/>
              <w:rPr>
                <w:rFonts w:ascii="Calibri" w:eastAsia="Times New Roman" w:hAnsi="Calibri" w:cs="Calibri"/>
                <w:color w:val="000000"/>
                <w:lang w:eastAsia="es-CO"/>
              </w:rPr>
            </w:pPr>
          </w:p>
        </w:tc>
        <w:tc>
          <w:tcPr>
            <w:tcW w:w="4252" w:type="dxa"/>
            <w:vMerge/>
            <w:tcBorders>
              <w:top w:val="nil"/>
              <w:left w:val="single" w:sz="4" w:space="0" w:color="auto"/>
              <w:bottom w:val="single" w:sz="4" w:space="0" w:color="000000"/>
              <w:right w:val="single" w:sz="4" w:space="0" w:color="auto"/>
            </w:tcBorders>
            <w:vAlign w:val="center"/>
            <w:hideMark/>
          </w:tcPr>
          <w:p w14:paraId="2E362193" w14:textId="77777777" w:rsidR="008D6563" w:rsidRPr="008D6563" w:rsidRDefault="008D6563" w:rsidP="008D6563">
            <w:pPr>
              <w:spacing w:after="0" w:line="240" w:lineRule="auto"/>
              <w:rPr>
                <w:rFonts w:ascii="Calibri" w:eastAsia="Times New Roman" w:hAnsi="Calibri" w:cs="Calibri"/>
                <w:color w:val="000000"/>
                <w:lang w:eastAsia="es-CO"/>
              </w:rPr>
            </w:pPr>
          </w:p>
        </w:tc>
        <w:tc>
          <w:tcPr>
            <w:tcW w:w="160" w:type="dxa"/>
            <w:tcBorders>
              <w:top w:val="nil"/>
              <w:left w:val="nil"/>
              <w:bottom w:val="nil"/>
              <w:right w:val="nil"/>
            </w:tcBorders>
            <w:shd w:val="clear" w:color="auto" w:fill="auto"/>
            <w:noWrap/>
            <w:vAlign w:val="bottom"/>
            <w:hideMark/>
          </w:tcPr>
          <w:p w14:paraId="6DB2C031" w14:textId="77777777" w:rsidR="008D6563" w:rsidRPr="008D6563" w:rsidRDefault="008D6563" w:rsidP="008D6563">
            <w:pPr>
              <w:spacing w:after="0" w:line="240" w:lineRule="auto"/>
              <w:rPr>
                <w:rFonts w:ascii="Calibri" w:eastAsia="Times New Roman" w:hAnsi="Calibri" w:cs="Calibri"/>
                <w:color w:val="000000"/>
                <w:lang w:eastAsia="es-CO"/>
              </w:rPr>
            </w:pPr>
          </w:p>
        </w:tc>
      </w:tr>
      <w:bookmarkEnd w:id="3"/>
    </w:tbl>
    <w:p w14:paraId="7CE7BC78" w14:textId="77777777" w:rsidR="008D6563" w:rsidRDefault="008D6563" w:rsidP="00BE54BC">
      <w:pPr>
        <w:spacing w:before="100" w:beforeAutospacing="1" w:after="100" w:afterAutospacing="1"/>
        <w:contextualSpacing/>
        <w:jc w:val="both"/>
        <w:rPr>
          <w:rFonts w:ascii="Verdana" w:hAnsi="Verdana" w:cs="Arial"/>
          <w:highlight w:val="yellow"/>
        </w:rPr>
      </w:pPr>
    </w:p>
    <w:p w14:paraId="2AF4EC9E" w14:textId="77777777" w:rsidR="00BB4E9D" w:rsidRDefault="00BB4E9D" w:rsidP="00BB4E9D">
      <w:pPr>
        <w:pStyle w:val="Cierre"/>
        <w:numPr>
          <w:ilvl w:val="0"/>
          <w:numId w:val="46"/>
        </w:numPr>
        <w:spacing w:before="100" w:beforeAutospacing="1" w:after="100" w:afterAutospacing="1"/>
        <w:contextualSpacing/>
        <w:jc w:val="both"/>
        <w:rPr>
          <w:rFonts w:ascii="Verdana" w:hAnsi="Verdana" w:cs="Arial"/>
          <w:b/>
          <w:sz w:val="22"/>
          <w:szCs w:val="22"/>
        </w:rPr>
      </w:pPr>
      <w:r>
        <w:rPr>
          <w:rFonts w:ascii="Verdana" w:hAnsi="Verdana" w:cs="Arial"/>
          <w:b/>
          <w:sz w:val="22"/>
          <w:szCs w:val="22"/>
        </w:rPr>
        <w:t xml:space="preserve">Sírvase informar los fondos especiales, patrimonios autónomos, parafiscales y otros que tengan relación con su sector y/o se encuentren bajo su administración. Sírvase detallar los montos aprobados en decreto de liquidación y los montos girados a dichos fondos en el año 2023 y los que a la fecha se han girado en el 2024.  </w:t>
      </w:r>
    </w:p>
    <w:p w14:paraId="11262F9C" w14:textId="77777777" w:rsidR="00BB4E9D" w:rsidRPr="0045063D" w:rsidRDefault="00BB4E9D" w:rsidP="00BB4E9D">
      <w:pPr>
        <w:pStyle w:val="Cierre"/>
        <w:spacing w:before="100" w:beforeAutospacing="1" w:after="100" w:afterAutospacing="1"/>
        <w:contextualSpacing/>
        <w:jc w:val="both"/>
        <w:rPr>
          <w:rFonts w:ascii="Verdana" w:hAnsi="Verdana" w:cs="Arial"/>
          <w:b/>
          <w:sz w:val="22"/>
          <w:szCs w:val="22"/>
        </w:rPr>
      </w:pPr>
    </w:p>
    <w:p w14:paraId="0BF6016B" w14:textId="77777777" w:rsidR="00BB4E9D" w:rsidRPr="007A258E" w:rsidRDefault="00BB4E9D" w:rsidP="00BB4E9D">
      <w:pPr>
        <w:autoSpaceDE w:val="0"/>
        <w:autoSpaceDN w:val="0"/>
        <w:adjustRightInd w:val="0"/>
        <w:spacing w:before="100" w:beforeAutospacing="1" w:after="100" w:afterAutospacing="1"/>
        <w:jc w:val="both"/>
        <w:rPr>
          <w:rFonts w:ascii="Verdana" w:hAnsi="Verdana" w:cs="Arial"/>
        </w:rPr>
      </w:pPr>
      <w:r w:rsidRPr="007A258E">
        <w:rPr>
          <w:rFonts w:ascii="Verdana" w:hAnsi="Verdana" w:cs="Arial"/>
        </w:rPr>
        <w:t>La Superintendencia de la Economía Solidaria no cuenta con Fondos especiales, patrimonios autónomos, parafiscales y otros que tengan relación con esta entidad, por lo anterior no se detallan las apropiaciones destinadas para los mismos.</w:t>
      </w:r>
    </w:p>
    <w:p w14:paraId="77A11EAA" w14:textId="77777777" w:rsidR="00BB4E9D" w:rsidRDefault="00BB4E9D" w:rsidP="00BB4E9D">
      <w:pPr>
        <w:autoSpaceDE w:val="0"/>
        <w:autoSpaceDN w:val="0"/>
        <w:adjustRightInd w:val="0"/>
        <w:spacing w:before="100" w:beforeAutospacing="1" w:after="100" w:afterAutospacing="1"/>
        <w:jc w:val="both"/>
        <w:rPr>
          <w:rFonts w:ascii="Arial Narrow" w:hAnsi="Arial Narrow" w:cs="Arial"/>
          <w:sz w:val="23"/>
          <w:szCs w:val="23"/>
          <w:highlight w:val="yellow"/>
        </w:rPr>
      </w:pPr>
    </w:p>
    <w:p w14:paraId="7B225F52" w14:textId="77777777" w:rsidR="00BB4E9D" w:rsidRDefault="00BB4E9D" w:rsidP="00BB4E9D">
      <w:pPr>
        <w:pStyle w:val="Cierre"/>
        <w:numPr>
          <w:ilvl w:val="0"/>
          <w:numId w:val="47"/>
        </w:numPr>
        <w:spacing w:before="100" w:beforeAutospacing="1" w:after="100" w:afterAutospacing="1"/>
        <w:contextualSpacing/>
        <w:jc w:val="both"/>
        <w:rPr>
          <w:rFonts w:ascii="Verdana" w:hAnsi="Verdana" w:cs="Arial"/>
          <w:b/>
          <w:sz w:val="22"/>
          <w:szCs w:val="22"/>
        </w:rPr>
      </w:pPr>
      <w:r>
        <w:rPr>
          <w:rFonts w:ascii="Verdana" w:hAnsi="Verdana" w:cs="Arial"/>
          <w:b/>
          <w:sz w:val="22"/>
          <w:szCs w:val="22"/>
        </w:rPr>
        <w:t xml:space="preserve">Sírvase informar los pagos de su sector y cada una de las entidades adscritas correspondientes a compromisos en vigencias futuras </w:t>
      </w:r>
      <w:r w:rsidRPr="00A26E78">
        <w:rPr>
          <w:rFonts w:ascii="Verdana" w:hAnsi="Verdana" w:cs="Arial"/>
          <w:b/>
          <w:sz w:val="22"/>
          <w:szCs w:val="22"/>
        </w:rPr>
        <w:t>en el año 2023</w:t>
      </w:r>
      <w:r>
        <w:rPr>
          <w:rFonts w:ascii="Verdana" w:hAnsi="Verdana" w:cs="Arial"/>
          <w:b/>
          <w:sz w:val="22"/>
          <w:szCs w:val="22"/>
        </w:rPr>
        <w:t>, los compromisos y pagos en el año 2024 y los compromisos en el año 2025.</w:t>
      </w:r>
    </w:p>
    <w:p w14:paraId="70AFC340" w14:textId="77777777" w:rsidR="00BB4E9D" w:rsidRDefault="00BB4E9D" w:rsidP="00BB4E9D">
      <w:pPr>
        <w:pStyle w:val="Cierre"/>
        <w:spacing w:before="100" w:beforeAutospacing="1" w:after="100" w:afterAutospacing="1"/>
        <w:ind w:left="0"/>
        <w:contextualSpacing/>
        <w:rPr>
          <w:rFonts w:ascii="Verdana" w:hAnsi="Verdana" w:cs="Arial"/>
          <w:b/>
          <w:sz w:val="22"/>
          <w:szCs w:val="22"/>
        </w:rPr>
      </w:pPr>
    </w:p>
    <w:p w14:paraId="21E24ED6" w14:textId="77777777" w:rsidR="00BB4E9D" w:rsidRDefault="00BB4E9D" w:rsidP="00BB4E9D">
      <w:pPr>
        <w:pStyle w:val="Cierre"/>
        <w:numPr>
          <w:ilvl w:val="0"/>
          <w:numId w:val="39"/>
        </w:numPr>
        <w:spacing w:before="100" w:beforeAutospacing="1" w:after="100" w:afterAutospacing="1"/>
        <w:contextualSpacing/>
        <w:jc w:val="both"/>
        <w:rPr>
          <w:rFonts w:ascii="Verdana" w:hAnsi="Verdana" w:cs="Arial"/>
          <w:b/>
          <w:sz w:val="22"/>
          <w:szCs w:val="22"/>
        </w:rPr>
      </w:pPr>
      <w:r>
        <w:rPr>
          <w:rFonts w:ascii="Verdana" w:hAnsi="Verdana" w:cs="Arial"/>
          <w:b/>
          <w:sz w:val="22"/>
          <w:szCs w:val="22"/>
        </w:rPr>
        <w:t>Detalle el programa, proyecto o asunto relacionado con dicha vigencia futura</w:t>
      </w:r>
    </w:p>
    <w:p w14:paraId="01F72078" w14:textId="77777777" w:rsidR="00BB4E9D" w:rsidRDefault="00BB4E9D" w:rsidP="00BB4E9D">
      <w:pPr>
        <w:pStyle w:val="Cierre"/>
        <w:spacing w:before="100" w:beforeAutospacing="1" w:after="100" w:afterAutospacing="1"/>
        <w:ind w:left="1080"/>
        <w:contextualSpacing/>
        <w:jc w:val="both"/>
        <w:rPr>
          <w:rFonts w:ascii="Verdana" w:hAnsi="Verdana" w:cs="Arial"/>
          <w:b/>
          <w:sz w:val="22"/>
          <w:szCs w:val="22"/>
        </w:rPr>
      </w:pPr>
    </w:p>
    <w:p w14:paraId="00A53BF8" w14:textId="77777777" w:rsidR="00BB4E9D" w:rsidRDefault="00BB4E9D" w:rsidP="00BB4E9D">
      <w:pPr>
        <w:pStyle w:val="Cierre"/>
        <w:numPr>
          <w:ilvl w:val="0"/>
          <w:numId w:val="39"/>
        </w:numPr>
        <w:spacing w:before="100" w:beforeAutospacing="1" w:after="100" w:afterAutospacing="1"/>
        <w:contextualSpacing/>
        <w:jc w:val="both"/>
        <w:rPr>
          <w:rFonts w:ascii="Verdana" w:hAnsi="Verdana" w:cs="Arial"/>
          <w:b/>
          <w:sz w:val="22"/>
          <w:szCs w:val="22"/>
        </w:rPr>
      </w:pPr>
      <w:r>
        <w:rPr>
          <w:rFonts w:ascii="Verdana" w:hAnsi="Verdana" w:cs="Arial"/>
          <w:b/>
          <w:sz w:val="22"/>
          <w:szCs w:val="22"/>
        </w:rPr>
        <w:t>Indique el valor total de cada vigencia futura comprometida, cuanto se ha entregado con su respectivo año de pago y compromiso presupuestal de los siguientes años futuros.</w:t>
      </w:r>
    </w:p>
    <w:p w14:paraId="5DFA3831" w14:textId="77777777" w:rsidR="00BB4E9D" w:rsidRDefault="00BB4E9D" w:rsidP="00BB4E9D">
      <w:pPr>
        <w:pStyle w:val="Cierre"/>
        <w:spacing w:before="100" w:beforeAutospacing="1" w:after="100" w:afterAutospacing="1"/>
        <w:ind w:left="0"/>
        <w:contextualSpacing/>
        <w:jc w:val="both"/>
        <w:rPr>
          <w:rFonts w:ascii="Verdana" w:hAnsi="Verdana" w:cs="Arial"/>
          <w:b/>
          <w:sz w:val="22"/>
          <w:szCs w:val="22"/>
        </w:rPr>
      </w:pPr>
    </w:p>
    <w:p w14:paraId="634A88E2" w14:textId="77777777" w:rsidR="00BB4E9D" w:rsidRDefault="00BB4E9D" w:rsidP="00BB4E9D">
      <w:pPr>
        <w:pStyle w:val="Cierre"/>
        <w:spacing w:before="100" w:beforeAutospacing="1" w:after="100" w:afterAutospacing="1"/>
        <w:ind w:left="0"/>
        <w:contextualSpacing/>
        <w:rPr>
          <w:rFonts w:ascii="Verdana" w:hAnsi="Verdana" w:cs="Arial"/>
          <w:b/>
          <w:sz w:val="22"/>
          <w:szCs w:val="22"/>
        </w:rPr>
      </w:pPr>
    </w:p>
    <w:p w14:paraId="60F7D2ED" w14:textId="77777777" w:rsidR="00BB4E9D" w:rsidRDefault="00BB4E9D" w:rsidP="00BB4E9D">
      <w:pPr>
        <w:autoSpaceDE w:val="0"/>
        <w:autoSpaceDN w:val="0"/>
        <w:adjustRightInd w:val="0"/>
        <w:spacing w:before="100" w:beforeAutospacing="1" w:after="100" w:afterAutospacing="1"/>
        <w:jc w:val="both"/>
        <w:rPr>
          <w:rFonts w:ascii="Verdana" w:hAnsi="Verdana" w:cs="Arial"/>
        </w:rPr>
      </w:pPr>
      <w:r>
        <w:rPr>
          <w:rFonts w:ascii="Verdana" w:hAnsi="Verdana" w:cs="Arial"/>
        </w:rPr>
        <w:t>A continuación, se relacionan las Vigencias Futuras del año 2023 y del año 2024 de la S</w:t>
      </w:r>
      <w:r w:rsidRPr="007A258E">
        <w:rPr>
          <w:rFonts w:ascii="Verdana" w:hAnsi="Verdana" w:cs="Arial"/>
        </w:rPr>
        <w:t>uperintendencia de la Economía Solidaria</w:t>
      </w:r>
      <w:r>
        <w:rPr>
          <w:rFonts w:ascii="Verdana" w:hAnsi="Verdana" w:cs="Arial"/>
        </w:rPr>
        <w:t>:</w:t>
      </w:r>
    </w:p>
    <w:p w14:paraId="5B5227C5" w14:textId="77777777" w:rsidR="00BB4E9D" w:rsidRDefault="00BB4E9D" w:rsidP="00BB4E9D">
      <w:pPr>
        <w:rPr>
          <w:rFonts w:ascii="Verdana" w:hAnsi="Verdana" w:cs="Arial"/>
          <w:b/>
          <w:u w:val="single"/>
        </w:rPr>
      </w:pPr>
      <w:r w:rsidRPr="00803254">
        <w:rPr>
          <w:rFonts w:ascii="Verdana" w:hAnsi="Verdana" w:cs="Arial"/>
          <w:b/>
          <w:u w:val="single"/>
        </w:rPr>
        <w:lastRenderedPageBreak/>
        <w:t>Año 202</w:t>
      </w:r>
      <w:r>
        <w:rPr>
          <w:rFonts w:ascii="Verdana" w:hAnsi="Verdana" w:cs="Arial"/>
          <w:b/>
          <w:u w:val="single"/>
        </w:rPr>
        <w:t>3</w:t>
      </w:r>
      <w:r w:rsidRPr="00803254">
        <w:rPr>
          <w:rFonts w:ascii="Verdana" w:hAnsi="Verdana" w:cs="Arial"/>
          <w:b/>
          <w:u w:val="single"/>
        </w:rPr>
        <w:t>:</w:t>
      </w:r>
    </w:p>
    <w:p w14:paraId="79CC8E13" w14:textId="77777777" w:rsidR="00BB4E9D" w:rsidRDefault="00BB4E9D" w:rsidP="00BB4E9D"/>
    <w:p w14:paraId="3773631E" w14:textId="77777777" w:rsidR="00BB4E9D" w:rsidRDefault="00BB4E9D" w:rsidP="00BB4E9D">
      <w:pPr>
        <w:rPr>
          <w:rFonts w:ascii="Verdana" w:hAnsi="Verdana" w:cs="Arial"/>
          <w:b/>
          <w:u w:val="single"/>
        </w:rPr>
      </w:pPr>
      <w:r w:rsidRPr="00E758AF">
        <w:rPr>
          <w:noProof/>
        </w:rPr>
        <w:drawing>
          <wp:inline distT="0" distB="0" distL="0" distR="0" wp14:anchorId="1EE2AB57" wp14:editId="6F0BF0FF">
            <wp:extent cx="6618817" cy="2031255"/>
            <wp:effectExtent l="0" t="0" r="0" b="762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1071" cy="2044222"/>
                    </a:xfrm>
                    <a:prstGeom prst="rect">
                      <a:avLst/>
                    </a:prstGeom>
                    <a:noFill/>
                    <a:ln>
                      <a:noFill/>
                    </a:ln>
                  </pic:spPr>
                </pic:pic>
              </a:graphicData>
            </a:graphic>
          </wp:inline>
        </w:drawing>
      </w:r>
    </w:p>
    <w:p w14:paraId="60AE453F" w14:textId="77777777" w:rsidR="00BB4E9D" w:rsidRPr="00803254" w:rsidRDefault="00BB4E9D" w:rsidP="00BB4E9D">
      <w:pPr>
        <w:rPr>
          <w:rFonts w:ascii="Verdana" w:hAnsi="Verdana" w:cs="Arial"/>
          <w:b/>
          <w:u w:val="single"/>
        </w:rPr>
      </w:pPr>
    </w:p>
    <w:p w14:paraId="18A36971" w14:textId="77777777" w:rsidR="00BB4E9D" w:rsidRDefault="00BB4E9D" w:rsidP="00BB4E9D">
      <w:pPr>
        <w:autoSpaceDE w:val="0"/>
        <w:autoSpaceDN w:val="0"/>
        <w:adjustRightInd w:val="0"/>
        <w:spacing w:before="100" w:beforeAutospacing="1" w:after="100" w:afterAutospacing="1"/>
        <w:jc w:val="both"/>
      </w:pPr>
    </w:p>
    <w:p w14:paraId="1969A61C" w14:textId="77777777" w:rsidR="00BB4E9D" w:rsidRDefault="00BB4E9D" w:rsidP="00BB4E9D">
      <w:pPr>
        <w:autoSpaceDE w:val="0"/>
        <w:autoSpaceDN w:val="0"/>
        <w:adjustRightInd w:val="0"/>
        <w:spacing w:before="100" w:beforeAutospacing="1" w:after="100" w:afterAutospacing="1"/>
        <w:jc w:val="both"/>
      </w:pPr>
    </w:p>
    <w:p w14:paraId="4154E721" w14:textId="77777777" w:rsidR="00BB4E9D" w:rsidRDefault="00BB4E9D" w:rsidP="00BB4E9D">
      <w:pPr>
        <w:autoSpaceDE w:val="0"/>
        <w:autoSpaceDN w:val="0"/>
        <w:adjustRightInd w:val="0"/>
        <w:spacing w:before="100" w:beforeAutospacing="1" w:after="100" w:afterAutospacing="1"/>
        <w:jc w:val="both"/>
      </w:pPr>
    </w:p>
    <w:p w14:paraId="68EB29D2" w14:textId="77777777" w:rsidR="00BB4E9D" w:rsidRDefault="00BB4E9D" w:rsidP="00BB4E9D">
      <w:pPr>
        <w:autoSpaceDE w:val="0"/>
        <w:autoSpaceDN w:val="0"/>
        <w:adjustRightInd w:val="0"/>
        <w:spacing w:before="100" w:beforeAutospacing="1" w:after="100" w:afterAutospacing="1"/>
        <w:jc w:val="both"/>
      </w:pPr>
    </w:p>
    <w:p w14:paraId="28D17E84" w14:textId="77777777" w:rsidR="00BB4E9D" w:rsidRDefault="00BB4E9D" w:rsidP="00BB4E9D">
      <w:pPr>
        <w:autoSpaceDE w:val="0"/>
        <w:autoSpaceDN w:val="0"/>
        <w:adjustRightInd w:val="0"/>
        <w:spacing w:before="100" w:beforeAutospacing="1" w:after="100" w:afterAutospacing="1"/>
        <w:jc w:val="both"/>
      </w:pPr>
    </w:p>
    <w:p w14:paraId="04BE7BD2" w14:textId="77777777" w:rsidR="00BB4E9D" w:rsidRDefault="00BB4E9D" w:rsidP="00BB4E9D">
      <w:pPr>
        <w:autoSpaceDE w:val="0"/>
        <w:autoSpaceDN w:val="0"/>
        <w:adjustRightInd w:val="0"/>
        <w:spacing w:before="100" w:beforeAutospacing="1" w:after="100" w:afterAutospacing="1"/>
        <w:jc w:val="both"/>
      </w:pPr>
    </w:p>
    <w:p w14:paraId="288ADC27" w14:textId="77777777" w:rsidR="00BB4E9D" w:rsidRDefault="00BB4E9D" w:rsidP="00BB4E9D">
      <w:pPr>
        <w:autoSpaceDE w:val="0"/>
        <w:autoSpaceDN w:val="0"/>
        <w:adjustRightInd w:val="0"/>
        <w:spacing w:before="100" w:beforeAutospacing="1" w:after="100" w:afterAutospacing="1"/>
        <w:jc w:val="both"/>
      </w:pPr>
    </w:p>
    <w:p w14:paraId="3146EBF9" w14:textId="77777777" w:rsidR="00BB4E9D" w:rsidRDefault="00BB4E9D" w:rsidP="00BB4E9D">
      <w:pPr>
        <w:autoSpaceDE w:val="0"/>
        <w:autoSpaceDN w:val="0"/>
        <w:adjustRightInd w:val="0"/>
        <w:spacing w:before="100" w:beforeAutospacing="1" w:after="100" w:afterAutospacing="1"/>
        <w:jc w:val="both"/>
      </w:pPr>
    </w:p>
    <w:p w14:paraId="4EEC0398" w14:textId="77777777" w:rsidR="00BB4E9D" w:rsidRDefault="00BB4E9D" w:rsidP="00BB4E9D">
      <w:pPr>
        <w:autoSpaceDE w:val="0"/>
        <w:autoSpaceDN w:val="0"/>
        <w:adjustRightInd w:val="0"/>
        <w:spacing w:before="100" w:beforeAutospacing="1" w:after="100" w:afterAutospacing="1"/>
        <w:jc w:val="both"/>
      </w:pPr>
    </w:p>
    <w:p w14:paraId="31D3BB7D" w14:textId="77777777" w:rsidR="00BB4E9D" w:rsidRDefault="00BB4E9D" w:rsidP="00BB4E9D">
      <w:pPr>
        <w:autoSpaceDE w:val="0"/>
        <w:autoSpaceDN w:val="0"/>
        <w:adjustRightInd w:val="0"/>
        <w:spacing w:before="100" w:beforeAutospacing="1" w:after="100" w:afterAutospacing="1"/>
        <w:jc w:val="both"/>
      </w:pPr>
    </w:p>
    <w:p w14:paraId="169F0F1A" w14:textId="77777777" w:rsidR="00BB4E9D" w:rsidRDefault="00BB4E9D" w:rsidP="00BB4E9D">
      <w:pPr>
        <w:autoSpaceDE w:val="0"/>
        <w:autoSpaceDN w:val="0"/>
        <w:adjustRightInd w:val="0"/>
        <w:spacing w:before="100" w:beforeAutospacing="1" w:after="100" w:afterAutospacing="1"/>
        <w:jc w:val="both"/>
      </w:pPr>
    </w:p>
    <w:p w14:paraId="4C94422D" w14:textId="77777777" w:rsidR="00BB4E9D" w:rsidRDefault="00BB4E9D" w:rsidP="00BB4E9D">
      <w:pPr>
        <w:autoSpaceDE w:val="0"/>
        <w:autoSpaceDN w:val="0"/>
        <w:adjustRightInd w:val="0"/>
        <w:spacing w:before="100" w:beforeAutospacing="1" w:after="100" w:afterAutospacing="1"/>
        <w:jc w:val="both"/>
      </w:pPr>
    </w:p>
    <w:p w14:paraId="2E53FC8F" w14:textId="77777777" w:rsidR="00BB4E9D" w:rsidRDefault="00BB4E9D" w:rsidP="00BB4E9D">
      <w:pPr>
        <w:autoSpaceDE w:val="0"/>
        <w:autoSpaceDN w:val="0"/>
        <w:adjustRightInd w:val="0"/>
        <w:spacing w:before="100" w:beforeAutospacing="1" w:after="100" w:afterAutospacing="1"/>
        <w:jc w:val="both"/>
      </w:pPr>
    </w:p>
    <w:p w14:paraId="6DCA703B" w14:textId="77777777" w:rsidR="00BB4E9D" w:rsidRDefault="00BB4E9D" w:rsidP="00BB4E9D">
      <w:pPr>
        <w:autoSpaceDE w:val="0"/>
        <w:autoSpaceDN w:val="0"/>
        <w:adjustRightInd w:val="0"/>
        <w:spacing w:before="100" w:beforeAutospacing="1" w:after="100" w:afterAutospacing="1"/>
        <w:jc w:val="both"/>
      </w:pPr>
    </w:p>
    <w:p w14:paraId="5010C893" w14:textId="77777777" w:rsidR="00BB4E9D" w:rsidRPr="00803254" w:rsidRDefault="00BB4E9D" w:rsidP="00BB4E9D">
      <w:pPr>
        <w:rPr>
          <w:rFonts w:ascii="Verdana" w:hAnsi="Verdana" w:cs="Arial"/>
          <w:b/>
          <w:u w:val="single"/>
        </w:rPr>
      </w:pPr>
      <w:r w:rsidRPr="00803254">
        <w:rPr>
          <w:rFonts w:ascii="Verdana" w:hAnsi="Verdana" w:cs="Arial"/>
          <w:b/>
          <w:u w:val="single"/>
        </w:rPr>
        <w:lastRenderedPageBreak/>
        <w:t>Año 202</w:t>
      </w:r>
      <w:r>
        <w:rPr>
          <w:rFonts w:ascii="Verdana" w:hAnsi="Verdana" w:cs="Arial"/>
          <w:b/>
          <w:u w:val="single"/>
        </w:rPr>
        <w:t>4</w:t>
      </w:r>
      <w:r w:rsidRPr="00803254">
        <w:rPr>
          <w:rFonts w:ascii="Verdana" w:hAnsi="Verdana" w:cs="Arial"/>
          <w:b/>
          <w:u w:val="single"/>
        </w:rPr>
        <w:t>:</w:t>
      </w:r>
    </w:p>
    <w:p w14:paraId="2EEB95E8" w14:textId="37968BDB" w:rsidR="00BB4E9D" w:rsidRDefault="00BB4E9D" w:rsidP="00BB4E9D">
      <w:pPr>
        <w:autoSpaceDE w:val="0"/>
        <w:autoSpaceDN w:val="0"/>
        <w:adjustRightInd w:val="0"/>
        <w:spacing w:before="100" w:beforeAutospacing="1" w:after="100" w:afterAutospacing="1"/>
      </w:pPr>
      <w:r w:rsidRPr="00BB4E9D">
        <w:rPr>
          <w:noProof/>
          <w:bdr w:val="single" w:sz="4" w:space="0" w:color="auto"/>
        </w:rPr>
        <w:drawing>
          <wp:inline distT="0" distB="0" distL="0" distR="0" wp14:anchorId="258034E4" wp14:editId="2A36CF3A">
            <wp:extent cx="6524724" cy="4257675"/>
            <wp:effectExtent l="0" t="0" r="952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28537" cy="4260163"/>
                    </a:xfrm>
                    <a:prstGeom prst="rect">
                      <a:avLst/>
                    </a:prstGeom>
                    <a:noFill/>
                    <a:ln>
                      <a:noFill/>
                    </a:ln>
                  </pic:spPr>
                </pic:pic>
              </a:graphicData>
            </a:graphic>
          </wp:inline>
        </w:drawing>
      </w:r>
    </w:p>
    <w:p w14:paraId="6FFBD3B0" w14:textId="77777777" w:rsidR="00BB4E9D" w:rsidRPr="00803254" w:rsidRDefault="00BB4E9D" w:rsidP="00BE54BC">
      <w:pPr>
        <w:spacing w:before="100" w:beforeAutospacing="1" w:after="100" w:afterAutospacing="1"/>
        <w:contextualSpacing/>
        <w:jc w:val="both"/>
        <w:rPr>
          <w:rFonts w:ascii="Verdana" w:hAnsi="Verdana" w:cs="Arial"/>
          <w:highlight w:val="yellow"/>
        </w:rPr>
      </w:pPr>
    </w:p>
    <w:sectPr w:rsidR="00BB4E9D" w:rsidRPr="00803254" w:rsidSect="0078445C">
      <w:footerReference w:type="defaul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02788" w14:textId="77777777" w:rsidR="00720E3A" w:rsidRDefault="00720E3A" w:rsidP="00724117">
      <w:pPr>
        <w:spacing w:after="0" w:line="240" w:lineRule="auto"/>
      </w:pPr>
      <w:r>
        <w:separator/>
      </w:r>
    </w:p>
  </w:endnote>
  <w:endnote w:type="continuationSeparator" w:id="0">
    <w:p w14:paraId="70A4A16D" w14:textId="77777777" w:rsidR="00720E3A" w:rsidRDefault="00720E3A" w:rsidP="00724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ork Sans Medium">
    <w:altName w:val="Work Sans Medium"/>
    <w:charset w:val="00"/>
    <w:family w:val="auto"/>
    <w:pitch w:val="variable"/>
    <w:sig w:usb0="A00000FF" w:usb1="5000E07B" w:usb2="00000000" w:usb3="00000000" w:csb0="0000019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1473057"/>
      <w:docPartObj>
        <w:docPartGallery w:val="Page Numbers (Bottom of Page)"/>
        <w:docPartUnique/>
      </w:docPartObj>
    </w:sdtPr>
    <w:sdtContent>
      <w:p w14:paraId="2C46662C" w14:textId="567BC959" w:rsidR="007B3699" w:rsidRDefault="007B3699">
        <w:pPr>
          <w:pStyle w:val="Piedepgina"/>
          <w:jc w:val="right"/>
        </w:pPr>
        <w:r>
          <w:fldChar w:fldCharType="begin"/>
        </w:r>
        <w:r>
          <w:instrText>PAGE   \* MERGEFORMAT</w:instrText>
        </w:r>
        <w:r>
          <w:fldChar w:fldCharType="separate"/>
        </w:r>
        <w:r>
          <w:rPr>
            <w:lang w:val="es-ES"/>
          </w:rPr>
          <w:t>2</w:t>
        </w:r>
        <w:r>
          <w:fldChar w:fldCharType="end"/>
        </w:r>
      </w:p>
    </w:sdtContent>
  </w:sdt>
  <w:p w14:paraId="4E7B012D" w14:textId="77777777" w:rsidR="007B3699" w:rsidRDefault="007B369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EDE9B9" w14:textId="77777777" w:rsidR="00720E3A" w:rsidRDefault="00720E3A" w:rsidP="00724117">
      <w:pPr>
        <w:spacing w:after="0" w:line="240" w:lineRule="auto"/>
      </w:pPr>
      <w:r>
        <w:separator/>
      </w:r>
    </w:p>
  </w:footnote>
  <w:footnote w:type="continuationSeparator" w:id="0">
    <w:p w14:paraId="04854709" w14:textId="77777777" w:rsidR="00720E3A" w:rsidRDefault="00720E3A" w:rsidP="007241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66869"/>
    <w:multiLevelType w:val="hybridMultilevel"/>
    <w:tmpl w:val="07767E8C"/>
    <w:lvl w:ilvl="0" w:tplc="FFFFFFFF">
      <w:start w:val="8"/>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677CDE"/>
    <w:multiLevelType w:val="hybridMultilevel"/>
    <w:tmpl w:val="B02400C2"/>
    <w:lvl w:ilvl="0" w:tplc="970C4404">
      <w:start w:val="1"/>
      <w:numFmt w:val="decimal"/>
      <w:lvlText w:val="%1."/>
      <w:lvlJc w:val="left"/>
      <w:pPr>
        <w:tabs>
          <w:tab w:val="num" w:pos="720"/>
        </w:tabs>
        <w:ind w:left="720" w:hanging="360"/>
      </w:pPr>
    </w:lvl>
    <w:lvl w:ilvl="1" w:tplc="AE36E494" w:tentative="1">
      <w:start w:val="1"/>
      <w:numFmt w:val="decimal"/>
      <w:lvlText w:val="%2."/>
      <w:lvlJc w:val="left"/>
      <w:pPr>
        <w:tabs>
          <w:tab w:val="num" w:pos="1440"/>
        </w:tabs>
        <w:ind w:left="1440" w:hanging="360"/>
      </w:pPr>
    </w:lvl>
    <w:lvl w:ilvl="2" w:tplc="C7AA46AA" w:tentative="1">
      <w:start w:val="1"/>
      <w:numFmt w:val="decimal"/>
      <w:lvlText w:val="%3."/>
      <w:lvlJc w:val="left"/>
      <w:pPr>
        <w:tabs>
          <w:tab w:val="num" w:pos="2160"/>
        </w:tabs>
        <w:ind w:left="2160" w:hanging="360"/>
      </w:pPr>
    </w:lvl>
    <w:lvl w:ilvl="3" w:tplc="39BC4982" w:tentative="1">
      <w:start w:val="1"/>
      <w:numFmt w:val="decimal"/>
      <w:lvlText w:val="%4."/>
      <w:lvlJc w:val="left"/>
      <w:pPr>
        <w:tabs>
          <w:tab w:val="num" w:pos="2880"/>
        </w:tabs>
        <w:ind w:left="2880" w:hanging="360"/>
      </w:pPr>
    </w:lvl>
    <w:lvl w:ilvl="4" w:tplc="70943BA4" w:tentative="1">
      <w:start w:val="1"/>
      <w:numFmt w:val="decimal"/>
      <w:lvlText w:val="%5."/>
      <w:lvlJc w:val="left"/>
      <w:pPr>
        <w:tabs>
          <w:tab w:val="num" w:pos="3600"/>
        </w:tabs>
        <w:ind w:left="3600" w:hanging="360"/>
      </w:pPr>
    </w:lvl>
    <w:lvl w:ilvl="5" w:tplc="8AEAC6C2" w:tentative="1">
      <w:start w:val="1"/>
      <w:numFmt w:val="decimal"/>
      <w:lvlText w:val="%6."/>
      <w:lvlJc w:val="left"/>
      <w:pPr>
        <w:tabs>
          <w:tab w:val="num" w:pos="4320"/>
        </w:tabs>
        <w:ind w:left="4320" w:hanging="360"/>
      </w:pPr>
    </w:lvl>
    <w:lvl w:ilvl="6" w:tplc="744ABB4C" w:tentative="1">
      <w:start w:val="1"/>
      <w:numFmt w:val="decimal"/>
      <w:lvlText w:val="%7."/>
      <w:lvlJc w:val="left"/>
      <w:pPr>
        <w:tabs>
          <w:tab w:val="num" w:pos="5040"/>
        </w:tabs>
        <w:ind w:left="5040" w:hanging="360"/>
      </w:pPr>
    </w:lvl>
    <w:lvl w:ilvl="7" w:tplc="E32A3E36" w:tentative="1">
      <w:start w:val="1"/>
      <w:numFmt w:val="decimal"/>
      <w:lvlText w:val="%8."/>
      <w:lvlJc w:val="left"/>
      <w:pPr>
        <w:tabs>
          <w:tab w:val="num" w:pos="5760"/>
        </w:tabs>
        <w:ind w:left="5760" w:hanging="360"/>
      </w:pPr>
    </w:lvl>
    <w:lvl w:ilvl="8" w:tplc="278C770E" w:tentative="1">
      <w:start w:val="1"/>
      <w:numFmt w:val="decimal"/>
      <w:lvlText w:val="%9."/>
      <w:lvlJc w:val="left"/>
      <w:pPr>
        <w:tabs>
          <w:tab w:val="num" w:pos="6480"/>
        </w:tabs>
        <w:ind w:left="6480" w:hanging="360"/>
      </w:pPr>
    </w:lvl>
  </w:abstractNum>
  <w:abstractNum w:abstractNumId="2" w15:restartNumberingAfterBreak="0">
    <w:nsid w:val="05CB7D0C"/>
    <w:multiLevelType w:val="hybridMultilevel"/>
    <w:tmpl w:val="11E25C4A"/>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3" w15:restartNumberingAfterBreak="0">
    <w:nsid w:val="08C81750"/>
    <w:multiLevelType w:val="hybridMultilevel"/>
    <w:tmpl w:val="32F44930"/>
    <w:lvl w:ilvl="0" w:tplc="240A0001">
      <w:start w:val="1"/>
      <w:numFmt w:val="bullet"/>
      <w:lvlText w:val=""/>
      <w:lvlJc w:val="left"/>
      <w:pPr>
        <w:ind w:left="732" w:hanging="360"/>
      </w:pPr>
      <w:rPr>
        <w:rFonts w:ascii="Symbol" w:hAnsi="Symbol" w:hint="default"/>
      </w:rPr>
    </w:lvl>
    <w:lvl w:ilvl="1" w:tplc="240A0003" w:tentative="1">
      <w:start w:val="1"/>
      <w:numFmt w:val="bullet"/>
      <w:lvlText w:val="o"/>
      <w:lvlJc w:val="left"/>
      <w:pPr>
        <w:ind w:left="1452" w:hanging="360"/>
      </w:pPr>
      <w:rPr>
        <w:rFonts w:ascii="Courier New" w:hAnsi="Courier New" w:cs="Courier New" w:hint="default"/>
      </w:rPr>
    </w:lvl>
    <w:lvl w:ilvl="2" w:tplc="240A0005" w:tentative="1">
      <w:start w:val="1"/>
      <w:numFmt w:val="bullet"/>
      <w:lvlText w:val=""/>
      <w:lvlJc w:val="left"/>
      <w:pPr>
        <w:ind w:left="2172" w:hanging="360"/>
      </w:pPr>
      <w:rPr>
        <w:rFonts w:ascii="Wingdings" w:hAnsi="Wingdings" w:hint="default"/>
      </w:rPr>
    </w:lvl>
    <w:lvl w:ilvl="3" w:tplc="240A0001" w:tentative="1">
      <w:start w:val="1"/>
      <w:numFmt w:val="bullet"/>
      <w:lvlText w:val=""/>
      <w:lvlJc w:val="left"/>
      <w:pPr>
        <w:ind w:left="2892" w:hanging="360"/>
      </w:pPr>
      <w:rPr>
        <w:rFonts w:ascii="Symbol" w:hAnsi="Symbol" w:hint="default"/>
      </w:rPr>
    </w:lvl>
    <w:lvl w:ilvl="4" w:tplc="240A0003" w:tentative="1">
      <w:start w:val="1"/>
      <w:numFmt w:val="bullet"/>
      <w:lvlText w:val="o"/>
      <w:lvlJc w:val="left"/>
      <w:pPr>
        <w:ind w:left="3612" w:hanging="360"/>
      </w:pPr>
      <w:rPr>
        <w:rFonts w:ascii="Courier New" w:hAnsi="Courier New" w:cs="Courier New" w:hint="default"/>
      </w:rPr>
    </w:lvl>
    <w:lvl w:ilvl="5" w:tplc="240A0005" w:tentative="1">
      <w:start w:val="1"/>
      <w:numFmt w:val="bullet"/>
      <w:lvlText w:val=""/>
      <w:lvlJc w:val="left"/>
      <w:pPr>
        <w:ind w:left="4332" w:hanging="360"/>
      </w:pPr>
      <w:rPr>
        <w:rFonts w:ascii="Wingdings" w:hAnsi="Wingdings" w:hint="default"/>
      </w:rPr>
    </w:lvl>
    <w:lvl w:ilvl="6" w:tplc="240A0001" w:tentative="1">
      <w:start w:val="1"/>
      <w:numFmt w:val="bullet"/>
      <w:lvlText w:val=""/>
      <w:lvlJc w:val="left"/>
      <w:pPr>
        <w:ind w:left="5052" w:hanging="360"/>
      </w:pPr>
      <w:rPr>
        <w:rFonts w:ascii="Symbol" w:hAnsi="Symbol" w:hint="default"/>
      </w:rPr>
    </w:lvl>
    <w:lvl w:ilvl="7" w:tplc="240A0003" w:tentative="1">
      <w:start w:val="1"/>
      <w:numFmt w:val="bullet"/>
      <w:lvlText w:val="o"/>
      <w:lvlJc w:val="left"/>
      <w:pPr>
        <w:ind w:left="5772" w:hanging="360"/>
      </w:pPr>
      <w:rPr>
        <w:rFonts w:ascii="Courier New" w:hAnsi="Courier New" w:cs="Courier New" w:hint="default"/>
      </w:rPr>
    </w:lvl>
    <w:lvl w:ilvl="8" w:tplc="240A0005" w:tentative="1">
      <w:start w:val="1"/>
      <w:numFmt w:val="bullet"/>
      <w:lvlText w:val=""/>
      <w:lvlJc w:val="left"/>
      <w:pPr>
        <w:ind w:left="6492" w:hanging="360"/>
      </w:pPr>
      <w:rPr>
        <w:rFonts w:ascii="Wingdings" w:hAnsi="Wingdings" w:hint="default"/>
      </w:rPr>
    </w:lvl>
  </w:abstractNum>
  <w:abstractNum w:abstractNumId="4" w15:restartNumberingAfterBreak="0">
    <w:nsid w:val="11AA4D75"/>
    <w:multiLevelType w:val="multilevel"/>
    <w:tmpl w:val="33CC71D6"/>
    <w:lvl w:ilvl="0">
      <w:start w:val="1"/>
      <w:numFmt w:val="decimal"/>
      <w:lvlText w:val="%1."/>
      <w:lvlJc w:val="left"/>
      <w:pPr>
        <w:ind w:left="720" w:hanging="360"/>
      </w:pPr>
      <w:rPr>
        <w:rFonts w:hint="default"/>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b/>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5" w15:restartNumberingAfterBreak="0">
    <w:nsid w:val="13C4708E"/>
    <w:multiLevelType w:val="hybridMultilevel"/>
    <w:tmpl w:val="7DB89E22"/>
    <w:lvl w:ilvl="0" w:tplc="3B081EC8">
      <w:start w:val="6"/>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6E63A07"/>
    <w:multiLevelType w:val="hybridMultilevel"/>
    <w:tmpl w:val="A9165606"/>
    <w:lvl w:ilvl="0" w:tplc="3C0014B0">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B6B12E6"/>
    <w:multiLevelType w:val="multilevel"/>
    <w:tmpl w:val="CFF481A2"/>
    <w:lvl w:ilvl="0">
      <w:start w:val="1"/>
      <w:numFmt w:val="decimal"/>
      <w:lvlText w:val="%1."/>
      <w:lvlJc w:val="left"/>
      <w:pPr>
        <w:ind w:left="360" w:hanging="360"/>
      </w:pPr>
    </w:lvl>
    <w:lvl w:ilvl="1">
      <w:start w:val="1"/>
      <w:numFmt w:val="decimal"/>
      <w:isLgl/>
      <w:lvlText w:val="%1.%2"/>
      <w:lvlJc w:val="left"/>
      <w:pPr>
        <w:ind w:left="6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580" w:hanging="1080"/>
      </w:pPr>
      <w:rPr>
        <w:rFonts w:hint="default"/>
      </w:rPr>
    </w:lvl>
    <w:lvl w:ilvl="6">
      <w:start w:val="1"/>
      <w:numFmt w:val="decimal"/>
      <w:isLgl/>
      <w:lvlText w:val="%1.%2.%3.%4.%5.%6.%7"/>
      <w:lvlJc w:val="left"/>
      <w:pPr>
        <w:ind w:left="2880" w:hanging="1080"/>
      </w:pPr>
      <w:rPr>
        <w:rFonts w:hint="default"/>
      </w:rPr>
    </w:lvl>
    <w:lvl w:ilvl="7">
      <w:start w:val="1"/>
      <w:numFmt w:val="decimal"/>
      <w:isLgl/>
      <w:lvlText w:val="%1.%2.%3.%4.%5.%6.%7.%8"/>
      <w:lvlJc w:val="left"/>
      <w:pPr>
        <w:ind w:left="3540" w:hanging="1440"/>
      </w:pPr>
      <w:rPr>
        <w:rFonts w:hint="default"/>
      </w:rPr>
    </w:lvl>
    <w:lvl w:ilvl="8">
      <w:start w:val="1"/>
      <w:numFmt w:val="decimal"/>
      <w:isLgl/>
      <w:lvlText w:val="%1.%2.%3.%4.%5.%6.%7.%8.%9"/>
      <w:lvlJc w:val="left"/>
      <w:pPr>
        <w:ind w:left="3840" w:hanging="1440"/>
      </w:pPr>
      <w:rPr>
        <w:rFonts w:hint="default"/>
      </w:rPr>
    </w:lvl>
  </w:abstractNum>
  <w:abstractNum w:abstractNumId="8" w15:restartNumberingAfterBreak="0">
    <w:nsid w:val="1DB154EE"/>
    <w:multiLevelType w:val="hybridMultilevel"/>
    <w:tmpl w:val="DA2E92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EA6066C"/>
    <w:multiLevelType w:val="hybridMultilevel"/>
    <w:tmpl w:val="44DE797C"/>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0" w15:restartNumberingAfterBreak="0">
    <w:nsid w:val="1EC35CFB"/>
    <w:multiLevelType w:val="hybridMultilevel"/>
    <w:tmpl w:val="BD40E906"/>
    <w:lvl w:ilvl="0" w:tplc="54F80B56">
      <w:start w:val="4"/>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1FF40E9B"/>
    <w:multiLevelType w:val="hybridMultilevel"/>
    <w:tmpl w:val="1E309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1601B22"/>
    <w:multiLevelType w:val="hybridMultilevel"/>
    <w:tmpl w:val="EBE67078"/>
    <w:lvl w:ilvl="0" w:tplc="36A00356">
      <w:start w:val="7"/>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37738DC"/>
    <w:multiLevelType w:val="hybridMultilevel"/>
    <w:tmpl w:val="6A584E92"/>
    <w:lvl w:ilvl="0" w:tplc="511E68B4">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56056FE"/>
    <w:multiLevelType w:val="hybridMultilevel"/>
    <w:tmpl w:val="3D0E9158"/>
    <w:lvl w:ilvl="0" w:tplc="5B367C2C">
      <w:start w:val="1"/>
      <w:numFmt w:val="bullet"/>
      <w:lvlText w:val=""/>
      <w:lvlJc w:val="left"/>
      <w:pPr>
        <w:ind w:left="720" w:hanging="360"/>
      </w:pPr>
      <w:rPr>
        <w:rFonts w:ascii="Symbol" w:hAnsi="Symbol" w:hint="default"/>
      </w:rPr>
    </w:lvl>
    <w:lvl w:ilvl="1" w:tplc="3EEE8258">
      <w:start w:val="1"/>
      <w:numFmt w:val="bullet"/>
      <w:lvlText w:val="o"/>
      <w:lvlJc w:val="left"/>
      <w:pPr>
        <w:ind w:left="1440" w:hanging="360"/>
      </w:pPr>
      <w:rPr>
        <w:rFonts w:ascii="Courier New" w:hAnsi="Courier New" w:hint="default"/>
      </w:rPr>
    </w:lvl>
    <w:lvl w:ilvl="2" w:tplc="E0884F9A">
      <w:start w:val="1"/>
      <w:numFmt w:val="bullet"/>
      <w:lvlText w:val=""/>
      <w:lvlJc w:val="left"/>
      <w:pPr>
        <w:ind w:left="2160" w:hanging="360"/>
      </w:pPr>
      <w:rPr>
        <w:rFonts w:ascii="Wingdings" w:hAnsi="Wingdings" w:hint="default"/>
      </w:rPr>
    </w:lvl>
    <w:lvl w:ilvl="3" w:tplc="58A0569A">
      <w:start w:val="1"/>
      <w:numFmt w:val="bullet"/>
      <w:lvlText w:val=""/>
      <w:lvlJc w:val="left"/>
      <w:pPr>
        <w:ind w:left="2880" w:hanging="360"/>
      </w:pPr>
      <w:rPr>
        <w:rFonts w:ascii="Symbol" w:hAnsi="Symbol" w:hint="default"/>
      </w:rPr>
    </w:lvl>
    <w:lvl w:ilvl="4" w:tplc="D11CCEF0">
      <w:start w:val="1"/>
      <w:numFmt w:val="bullet"/>
      <w:lvlText w:val="o"/>
      <w:lvlJc w:val="left"/>
      <w:pPr>
        <w:ind w:left="3600" w:hanging="360"/>
      </w:pPr>
      <w:rPr>
        <w:rFonts w:ascii="Courier New" w:hAnsi="Courier New" w:hint="default"/>
      </w:rPr>
    </w:lvl>
    <w:lvl w:ilvl="5" w:tplc="7F649094">
      <w:start w:val="1"/>
      <w:numFmt w:val="bullet"/>
      <w:lvlText w:val=""/>
      <w:lvlJc w:val="left"/>
      <w:pPr>
        <w:ind w:left="4320" w:hanging="360"/>
      </w:pPr>
      <w:rPr>
        <w:rFonts w:ascii="Wingdings" w:hAnsi="Wingdings" w:hint="default"/>
      </w:rPr>
    </w:lvl>
    <w:lvl w:ilvl="6" w:tplc="F4D066CE">
      <w:start w:val="1"/>
      <w:numFmt w:val="bullet"/>
      <w:lvlText w:val=""/>
      <w:lvlJc w:val="left"/>
      <w:pPr>
        <w:ind w:left="5040" w:hanging="360"/>
      </w:pPr>
      <w:rPr>
        <w:rFonts w:ascii="Symbol" w:hAnsi="Symbol" w:hint="default"/>
      </w:rPr>
    </w:lvl>
    <w:lvl w:ilvl="7" w:tplc="6E008DCA">
      <w:start w:val="1"/>
      <w:numFmt w:val="bullet"/>
      <w:lvlText w:val="o"/>
      <w:lvlJc w:val="left"/>
      <w:pPr>
        <w:ind w:left="5760" w:hanging="360"/>
      </w:pPr>
      <w:rPr>
        <w:rFonts w:ascii="Courier New" w:hAnsi="Courier New" w:hint="default"/>
      </w:rPr>
    </w:lvl>
    <w:lvl w:ilvl="8" w:tplc="2B92C684">
      <w:start w:val="1"/>
      <w:numFmt w:val="bullet"/>
      <w:lvlText w:val=""/>
      <w:lvlJc w:val="left"/>
      <w:pPr>
        <w:ind w:left="6480" w:hanging="360"/>
      </w:pPr>
      <w:rPr>
        <w:rFonts w:ascii="Wingdings" w:hAnsi="Wingdings" w:hint="default"/>
      </w:rPr>
    </w:lvl>
  </w:abstractNum>
  <w:abstractNum w:abstractNumId="15" w15:restartNumberingAfterBreak="0">
    <w:nsid w:val="25E0301B"/>
    <w:multiLevelType w:val="hybridMultilevel"/>
    <w:tmpl w:val="6D049256"/>
    <w:lvl w:ilvl="0" w:tplc="5F746FD2">
      <w:start w:val="1"/>
      <w:numFmt w:val="bullet"/>
      <w:lvlText w:val=""/>
      <w:lvlJc w:val="left"/>
      <w:pPr>
        <w:ind w:left="720" w:hanging="360"/>
      </w:pPr>
      <w:rPr>
        <w:rFonts w:ascii="Symbol" w:hAnsi="Symbol" w:hint="default"/>
      </w:rPr>
    </w:lvl>
    <w:lvl w:ilvl="1" w:tplc="5032E7EA">
      <w:start w:val="1"/>
      <w:numFmt w:val="bullet"/>
      <w:lvlText w:val="o"/>
      <w:lvlJc w:val="left"/>
      <w:pPr>
        <w:ind w:left="1440" w:hanging="360"/>
      </w:pPr>
      <w:rPr>
        <w:rFonts w:ascii="Courier New" w:hAnsi="Courier New" w:hint="default"/>
      </w:rPr>
    </w:lvl>
    <w:lvl w:ilvl="2" w:tplc="AAA299DA">
      <w:start w:val="1"/>
      <w:numFmt w:val="bullet"/>
      <w:lvlText w:val=""/>
      <w:lvlJc w:val="left"/>
      <w:pPr>
        <w:ind w:left="2160" w:hanging="360"/>
      </w:pPr>
      <w:rPr>
        <w:rFonts w:ascii="Wingdings" w:hAnsi="Wingdings" w:hint="default"/>
      </w:rPr>
    </w:lvl>
    <w:lvl w:ilvl="3" w:tplc="D7403340">
      <w:start w:val="1"/>
      <w:numFmt w:val="bullet"/>
      <w:lvlText w:val=""/>
      <w:lvlJc w:val="left"/>
      <w:pPr>
        <w:ind w:left="2880" w:hanging="360"/>
      </w:pPr>
      <w:rPr>
        <w:rFonts w:ascii="Symbol" w:hAnsi="Symbol" w:hint="default"/>
      </w:rPr>
    </w:lvl>
    <w:lvl w:ilvl="4" w:tplc="76F4EEF8">
      <w:start w:val="1"/>
      <w:numFmt w:val="bullet"/>
      <w:lvlText w:val="o"/>
      <w:lvlJc w:val="left"/>
      <w:pPr>
        <w:ind w:left="3600" w:hanging="360"/>
      </w:pPr>
      <w:rPr>
        <w:rFonts w:ascii="Courier New" w:hAnsi="Courier New" w:hint="default"/>
      </w:rPr>
    </w:lvl>
    <w:lvl w:ilvl="5" w:tplc="36D63CB6">
      <w:start w:val="1"/>
      <w:numFmt w:val="bullet"/>
      <w:lvlText w:val=""/>
      <w:lvlJc w:val="left"/>
      <w:pPr>
        <w:ind w:left="4320" w:hanging="360"/>
      </w:pPr>
      <w:rPr>
        <w:rFonts w:ascii="Wingdings" w:hAnsi="Wingdings" w:hint="default"/>
      </w:rPr>
    </w:lvl>
    <w:lvl w:ilvl="6" w:tplc="7602C004">
      <w:start w:val="1"/>
      <w:numFmt w:val="bullet"/>
      <w:lvlText w:val=""/>
      <w:lvlJc w:val="left"/>
      <w:pPr>
        <w:ind w:left="5040" w:hanging="360"/>
      </w:pPr>
      <w:rPr>
        <w:rFonts w:ascii="Symbol" w:hAnsi="Symbol" w:hint="default"/>
      </w:rPr>
    </w:lvl>
    <w:lvl w:ilvl="7" w:tplc="DF2E6DF4">
      <w:start w:val="1"/>
      <w:numFmt w:val="bullet"/>
      <w:lvlText w:val="o"/>
      <w:lvlJc w:val="left"/>
      <w:pPr>
        <w:ind w:left="5760" w:hanging="360"/>
      </w:pPr>
      <w:rPr>
        <w:rFonts w:ascii="Courier New" w:hAnsi="Courier New" w:hint="default"/>
      </w:rPr>
    </w:lvl>
    <w:lvl w:ilvl="8" w:tplc="A03CBF7A">
      <w:start w:val="1"/>
      <w:numFmt w:val="bullet"/>
      <w:lvlText w:val=""/>
      <w:lvlJc w:val="left"/>
      <w:pPr>
        <w:ind w:left="6480" w:hanging="360"/>
      </w:pPr>
      <w:rPr>
        <w:rFonts w:ascii="Wingdings" w:hAnsi="Wingdings" w:hint="default"/>
      </w:rPr>
    </w:lvl>
  </w:abstractNum>
  <w:abstractNum w:abstractNumId="16" w15:restartNumberingAfterBreak="0">
    <w:nsid w:val="27CF58A9"/>
    <w:multiLevelType w:val="hybridMultilevel"/>
    <w:tmpl w:val="7A9E96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A283D7B"/>
    <w:multiLevelType w:val="hybridMultilevel"/>
    <w:tmpl w:val="441C5B3E"/>
    <w:lvl w:ilvl="0" w:tplc="B638F972">
      <w:start w:val="1"/>
      <w:numFmt w:val="bullet"/>
      <w:lvlText w:val=""/>
      <w:lvlJc w:val="left"/>
      <w:pPr>
        <w:ind w:left="720" w:hanging="360"/>
      </w:pPr>
      <w:rPr>
        <w:rFonts w:ascii="Symbol" w:hAnsi="Symbol" w:hint="default"/>
      </w:rPr>
    </w:lvl>
    <w:lvl w:ilvl="1" w:tplc="32569B48">
      <w:start w:val="1"/>
      <w:numFmt w:val="bullet"/>
      <w:lvlText w:val="o"/>
      <w:lvlJc w:val="left"/>
      <w:pPr>
        <w:ind w:left="1440" w:hanging="360"/>
      </w:pPr>
      <w:rPr>
        <w:rFonts w:ascii="Courier New" w:hAnsi="Courier New" w:hint="default"/>
      </w:rPr>
    </w:lvl>
    <w:lvl w:ilvl="2" w:tplc="A4583EC4">
      <w:start w:val="1"/>
      <w:numFmt w:val="bullet"/>
      <w:lvlText w:val=""/>
      <w:lvlJc w:val="left"/>
      <w:pPr>
        <w:ind w:left="2160" w:hanging="360"/>
      </w:pPr>
      <w:rPr>
        <w:rFonts w:ascii="Wingdings" w:hAnsi="Wingdings" w:hint="default"/>
      </w:rPr>
    </w:lvl>
    <w:lvl w:ilvl="3" w:tplc="5E9E6364">
      <w:start w:val="1"/>
      <w:numFmt w:val="bullet"/>
      <w:lvlText w:val=""/>
      <w:lvlJc w:val="left"/>
      <w:pPr>
        <w:ind w:left="2880" w:hanging="360"/>
      </w:pPr>
      <w:rPr>
        <w:rFonts w:ascii="Symbol" w:hAnsi="Symbol" w:hint="default"/>
      </w:rPr>
    </w:lvl>
    <w:lvl w:ilvl="4" w:tplc="660AE60A">
      <w:start w:val="1"/>
      <w:numFmt w:val="bullet"/>
      <w:lvlText w:val="o"/>
      <w:lvlJc w:val="left"/>
      <w:pPr>
        <w:ind w:left="3600" w:hanging="360"/>
      </w:pPr>
      <w:rPr>
        <w:rFonts w:ascii="Courier New" w:hAnsi="Courier New" w:hint="default"/>
      </w:rPr>
    </w:lvl>
    <w:lvl w:ilvl="5" w:tplc="C5B8ADD0">
      <w:start w:val="1"/>
      <w:numFmt w:val="bullet"/>
      <w:lvlText w:val=""/>
      <w:lvlJc w:val="left"/>
      <w:pPr>
        <w:ind w:left="4320" w:hanging="360"/>
      </w:pPr>
      <w:rPr>
        <w:rFonts w:ascii="Wingdings" w:hAnsi="Wingdings" w:hint="default"/>
      </w:rPr>
    </w:lvl>
    <w:lvl w:ilvl="6" w:tplc="AD0C4D00">
      <w:start w:val="1"/>
      <w:numFmt w:val="bullet"/>
      <w:lvlText w:val=""/>
      <w:lvlJc w:val="left"/>
      <w:pPr>
        <w:ind w:left="5040" w:hanging="360"/>
      </w:pPr>
      <w:rPr>
        <w:rFonts w:ascii="Symbol" w:hAnsi="Symbol" w:hint="default"/>
      </w:rPr>
    </w:lvl>
    <w:lvl w:ilvl="7" w:tplc="4CBC3C40">
      <w:start w:val="1"/>
      <w:numFmt w:val="bullet"/>
      <w:lvlText w:val="o"/>
      <w:lvlJc w:val="left"/>
      <w:pPr>
        <w:ind w:left="5760" w:hanging="360"/>
      </w:pPr>
      <w:rPr>
        <w:rFonts w:ascii="Courier New" w:hAnsi="Courier New" w:hint="default"/>
      </w:rPr>
    </w:lvl>
    <w:lvl w:ilvl="8" w:tplc="DE1803A0">
      <w:start w:val="1"/>
      <w:numFmt w:val="bullet"/>
      <w:lvlText w:val=""/>
      <w:lvlJc w:val="left"/>
      <w:pPr>
        <w:ind w:left="6480" w:hanging="360"/>
      </w:pPr>
      <w:rPr>
        <w:rFonts w:ascii="Wingdings" w:hAnsi="Wingdings" w:hint="default"/>
      </w:rPr>
    </w:lvl>
  </w:abstractNum>
  <w:abstractNum w:abstractNumId="18" w15:restartNumberingAfterBreak="0">
    <w:nsid w:val="2B2A262B"/>
    <w:multiLevelType w:val="hybridMultilevel"/>
    <w:tmpl w:val="F042D26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9" w15:restartNumberingAfterBreak="0">
    <w:nsid w:val="2B7F5900"/>
    <w:multiLevelType w:val="hybridMultilevel"/>
    <w:tmpl w:val="A05A4F4E"/>
    <w:lvl w:ilvl="0" w:tplc="74CAE4C2">
      <w:start w:val="1"/>
      <w:numFmt w:val="decimal"/>
      <w:lvlText w:val="%1."/>
      <w:lvlJc w:val="left"/>
      <w:pPr>
        <w:ind w:left="1068" w:hanging="360"/>
      </w:pPr>
      <w:rPr>
        <w:rFonts w:eastAsiaTheme="minorEastAsia" w:cstheme="minorBidi"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0" w15:restartNumberingAfterBreak="0">
    <w:nsid w:val="2E6109A6"/>
    <w:multiLevelType w:val="hybridMultilevel"/>
    <w:tmpl w:val="A9165606"/>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F7D7B9A"/>
    <w:multiLevelType w:val="hybridMultilevel"/>
    <w:tmpl w:val="3384CA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2FCE3637"/>
    <w:multiLevelType w:val="hybridMultilevel"/>
    <w:tmpl w:val="2FD0995A"/>
    <w:lvl w:ilvl="0" w:tplc="DC3C9D22">
      <w:start w:val="11"/>
      <w:numFmt w:val="decimal"/>
      <w:lvlText w:val="%1."/>
      <w:lvlJc w:val="left"/>
      <w:pPr>
        <w:tabs>
          <w:tab w:val="num" w:pos="720"/>
        </w:tabs>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81009B4"/>
    <w:multiLevelType w:val="hybridMultilevel"/>
    <w:tmpl w:val="7C7C3F5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3">
      <w:start w:val="1"/>
      <w:numFmt w:val="bullet"/>
      <w:lvlText w:val="o"/>
      <w:lvlJc w:val="left"/>
      <w:pPr>
        <w:ind w:left="1800" w:hanging="360"/>
      </w:pPr>
      <w:rPr>
        <w:rFonts w:ascii="Courier New" w:hAnsi="Courier New" w:cs="Courier New"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4" w15:restartNumberingAfterBreak="0">
    <w:nsid w:val="43E61A37"/>
    <w:multiLevelType w:val="hybridMultilevel"/>
    <w:tmpl w:val="EDEC3138"/>
    <w:lvl w:ilvl="0" w:tplc="240A0001">
      <w:start w:val="1"/>
      <w:numFmt w:val="bullet"/>
      <w:lvlText w:val=""/>
      <w:lvlJc w:val="left"/>
      <w:pPr>
        <w:ind w:left="814" w:hanging="360"/>
      </w:pPr>
      <w:rPr>
        <w:rFonts w:ascii="Symbol" w:hAnsi="Symbol" w:hint="default"/>
      </w:rPr>
    </w:lvl>
    <w:lvl w:ilvl="1" w:tplc="240A0003" w:tentative="1">
      <w:start w:val="1"/>
      <w:numFmt w:val="bullet"/>
      <w:lvlText w:val="o"/>
      <w:lvlJc w:val="left"/>
      <w:pPr>
        <w:ind w:left="1534" w:hanging="360"/>
      </w:pPr>
      <w:rPr>
        <w:rFonts w:ascii="Courier New" w:hAnsi="Courier New" w:cs="Courier New" w:hint="default"/>
      </w:rPr>
    </w:lvl>
    <w:lvl w:ilvl="2" w:tplc="240A0005" w:tentative="1">
      <w:start w:val="1"/>
      <w:numFmt w:val="bullet"/>
      <w:lvlText w:val=""/>
      <w:lvlJc w:val="left"/>
      <w:pPr>
        <w:ind w:left="2254" w:hanging="360"/>
      </w:pPr>
      <w:rPr>
        <w:rFonts w:ascii="Wingdings" w:hAnsi="Wingdings" w:hint="default"/>
      </w:rPr>
    </w:lvl>
    <w:lvl w:ilvl="3" w:tplc="240A0001" w:tentative="1">
      <w:start w:val="1"/>
      <w:numFmt w:val="bullet"/>
      <w:lvlText w:val=""/>
      <w:lvlJc w:val="left"/>
      <w:pPr>
        <w:ind w:left="2974" w:hanging="360"/>
      </w:pPr>
      <w:rPr>
        <w:rFonts w:ascii="Symbol" w:hAnsi="Symbol" w:hint="default"/>
      </w:rPr>
    </w:lvl>
    <w:lvl w:ilvl="4" w:tplc="240A0003" w:tentative="1">
      <w:start w:val="1"/>
      <w:numFmt w:val="bullet"/>
      <w:lvlText w:val="o"/>
      <w:lvlJc w:val="left"/>
      <w:pPr>
        <w:ind w:left="3694" w:hanging="360"/>
      </w:pPr>
      <w:rPr>
        <w:rFonts w:ascii="Courier New" w:hAnsi="Courier New" w:cs="Courier New" w:hint="default"/>
      </w:rPr>
    </w:lvl>
    <w:lvl w:ilvl="5" w:tplc="240A0005" w:tentative="1">
      <w:start w:val="1"/>
      <w:numFmt w:val="bullet"/>
      <w:lvlText w:val=""/>
      <w:lvlJc w:val="left"/>
      <w:pPr>
        <w:ind w:left="4414" w:hanging="360"/>
      </w:pPr>
      <w:rPr>
        <w:rFonts w:ascii="Wingdings" w:hAnsi="Wingdings" w:hint="default"/>
      </w:rPr>
    </w:lvl>
    <w:lvl w:ilvl="6" w:tplc="240A0001" w:tentative="1">
      <w:start w:val="1"/>
      <w:numFmt w:val="bullet"/>
      <w:lvlText w:val=""/>
      <w:lvlJc w:val="left"/>
      <w:pPr>
        <w:ind w:left="5134" w:hanging="360"/>
      </w:pPr>
      <w:rPr>
        <w:rFonts w:ascii="Symbol" w:hAnsi="Symbol" w:hint="default"/>
      </w:rPr>
    </w:lvl>
    <w:lvl w:ilvl="7" w:tplc="240A0003" w:tentative="1">
      <w:start w:val="1"/>
      <w:numFmt w:val="bullet"/>
      <w:lvlText w:val="o"/>
      <w:lvlJc w:val="left"/>
      <w:pPr>
        <w:ind w:left="5854" w:hanging="360"/>
      </w:pPr>
      <w:rPr>
        <w:rFonts w:ascii="Courier New" w:hAnsi="Courier New" w:cs="Courier New" w:hint="default"/>
      </w:rPr>
    </w:lvl>
    <w:lvl w:ilvl="8" w:tplc="240A0005" w:tentative="1">
      <w:start w:val="1"/>
      <w:numFmt w:val="bullet"/>
      <w:lvlText w:val=""/>
      <w:lvlJc w:val="left"/>
      <w:pPr>
        <w:ind w:left="6574" w:hanging="360"/>
      </w:pPr>
      <w:rPr>
        <w:rFonts w:ascii="Wingdings" w:hAnsi="Wingdings" w:hint="default"/>
      </w:rPr>
    </w:lvl>
  </w:abstractNum>
  <w:abstractNum w:abstractNumId="25" w15:restartNumberingAfterBreak="0">
    <w:nsid w:val="488C66C6"/>
    <w:multiLevelType w:val="hybridMultilevel"/>
    <w:tmpl w:val="CCFC6F6C"/>
    <w:lvl w:ilvl="0" w:tplc="8A626122">
      <w:start w:val="2"/>
      <w:numFmt w:val="bullet"/>
      <w:lvlText w:val="-"/>
      <w:lvlJc w:val="left"/>
      <w:pPr>
        <w:ind w:left="720" w:hanging="360"/>
      </w:pPr>
      <w:rPr>
        <w:rFonts w:ascii="Arial Narrow" w:eastAsia="Times New Roman" w:hAnsi="Arial Narrow"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B30ED33"/>
    <w:multiLevelType w:val="hybridMultilevel"/>
    <w:tmpl w:val="35ECF218"/>
    <w:lvl w:ilvl="0" w:tplc="1F904CA2">
      <w:start w:val="1"/>
      <w:numFmt w:val="bullet"/>
      <w:lvlText w:val=""/>
      <w:lvlJc w:val="left"/>
      <w:pPr>
        <w:ind w:left="720" w:hanging="360"/>
      </w:pPr>
      <w:rPr>
        <w:rFonts w:ascii="Symbol" w:hAnsi="Symbol" w:hint="default"/>
      </w:rPr>
    </w:lvl>
    <w:lvl w:ilvl="1" w:tplc="6F603224">
      <w:start w:val="1"/>
      <w:numFmt w:val="bullet"/>
      <w:lvlText w:val="o"/>
      <w:lvlJc w:val="left"/>
      <w:pPr>
        <w:ind w:left="1440" w:hanging="360"/>
      </w:pPr>
      <w:rPr>
        <w:rFonts w:ascii="Courier New" w:hAnsi="Courier New" w:hint="default"/>
      </w:rPr>
    </w:lvl>
    <w:lvl w:ilvl="2" w:tplc="FAD2CC80">
      <w:start w:val="1"/>
      <w:numFmt w:val="bullet"/>
      <w:lvlText w:val=""/>
      <w:lvlJc w:val="left"/>
      <w:pPr>
        <w:ind w:left="2160" w:hanging="360"/>
      </w:pPr>
      <w:rPr>
        <w:rFonts w:ascii="Wingdings" w:hAnsi="Wingdings" w:hint="default"/>
      </w:rPr>
    </w:lvl>
    <w:lvl w:ilvl="3" w:tplc="FAB6D226">
      <w:start w:val="1"/>
      <w:numFmt w:val="bullet"/>
      <w:lvlText w:val=""/>
      <w:lvlJc w:val="left"/>
      <w:pPr>
        <w:ind w:left="2880" w:hanging="360"/>
      </w:pPr>
      <w:rPr>
        <w:rFonts w:ascii="Symbol" w:hAnsi="Symbol" w:hint="default"/>
      </w:rPr>
    </w:lvl>
    <w:lvl w:ilvl="4" w:tplc="989052AC">
      <w:start w:val="1"/>
      <w:numFmt w:val="bullet"/>
      <w:lvlText w:val="o"/>
      <w:lvlJc w:val="left"/>
      <w:pPr>
        <w:ind w:left="3600" w:hanging="360"/>
      </w:pPr>
      <w:rPr>
        <w:rFonts w:ascii="Courier New" w:hAnsi="Courier New" w:hint="default"/>
      </w:rPr>
    </w:lvl>
    <w:lvl w:ilvl="5" w:tplc="FE8010A4">
      <w:start w:val="1"/>
      <w:numFmt w:val="bullet"/>
      <w:lvlText w:val=""/>
      <w:lvlJc w:val="left"/>
      <w:pPr>
        <w:ind w:left="4320" w:hanging="360"/>
      </w:pPr>
      <w:rPr>
        <w:rFonts w:ascii="Wingdings" w:hAnsi="Wingdings" w:hint="default"/>
      </w:rPr>
    </w:lvl>
    <w:lvl w:ilvl="6" w:tplc="C928954E">
      <w:start w:val="1"/>
      <w:numFmt w:val="bullet"/>
      <w:lvlText w:val=""/>
      <w:lvlJc w:val="left"/>
      <w:pPr>
        <w:ind w:left="5040" w:hanging="360"/>
      </w:pPr>
      <w:rPr>
        <w:rFonts w:ascii="Symbol" w:hAnsi="Symbol" w:hint="default"/>
      </w:rPr>
    </w:lvl>
    <w:lvl w:ilvl="7" w:tplc="3B626722">
      <w:start w:val="1"/>
      <w:numFmt w:val="bullet"/>
      <w:lvlText w:val="o"/>
      <w:lvlJc w:val="left"/>
      <w:pPr>
        <w:ind w:left="5760" w:hanging="360"/>
      </w:pPr>
      <w:rPr>
        <w:rFonts w:ascii="Courier New" w:hAnsi="Courier New" w:hint="default"/>
      </w:rPr>
    </w:lvl>
    <w:lvl w:ilvl="8" w:tplc="F73C39B4">
      <w:start w:val="1"/>
      <w:numFmt w:val="bullet"/>
      <w:lvlText w:val=""/>
      <w:lvlJc w:val="left"/>
      <w:pPr>
        <w:ind w:left="6480" w:hanging="360"/>
      </w:pPr>
      <w:rPr>
        <w:rFonts w:ascii="Wingdings" w:hAnsi="Wingdings" w:hint="default"/>
      </w:rPr>
    </w:lvl>
  </w:abstractNum>
  <w:abstractNum w:abstractNumId="27" w15:restartNumberingAfterBreak="0">
    <w:nsid w:val="4BD74470"/>
    <w:multiLevelType w:val="hybridMultilevel"/>
    <w:tmpl w:val="9E8AA8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4FB51AE6"/>
    <w:multiLevelType w:val="hybridMultilevel"/>
    <w:tmpl w:val="E368950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2D03073"/>
    <w:multiLevelType w:val="multilevel"/>
    <w:tmpl w:val="D1BC9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BE749F"/>
    <w:multiLevelType w:val="hybridMultilevel"/>
    <w:tmpl w:val="A1A028DC"/>
    <w:lvl w:ilvl="0" w:tplc="516AAE9A">
      <w:start w:val="6"/>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54D94521"/>
    <w:multiLevelType w:val="hybridMultilevel"/>
    <w:tmpl w:val="91A27FA6"/>
    <w:lvl w:ilvl="0" w:tplc="DABE2E16">
      <w:start w:val="1"/>
      <w:numFmt w:val="lowerLetter"/>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59ED29FA"/>
    <w:multiLevelType w:val="hybridMultilevel"/>
    <w:tmpl w:val="21F894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A80241A"/>
    <w:multiLevelType w:val="hybridMultilevel"/>
    <w:tmpl w:val="799E11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BD676E0"/>
    <w:multiLevelType w:val="hybridMultilevel"/>
    <w:tmpl w:val="FF108F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E245F6A"/>
    <w:multiLevelType w:val="hybridMultilevel"/>
    <w:tmpl w:val="5CBAB7CE"/>
    <w:lvl w:ilvl="0" w:tplc="2EF4B3B8">
      <w:start w:val="12"/>
      <w:numFmt w:val="decimal"/>
      <w:lvlText w:val="%1."/>
      <w:lvlJc w:val="left"/>
      <w:pPr>
        <w:tabs>
          <w:tab w:val="num" w:pos="720"/>
        </w:tabs>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4A970B2"/>
    <w:multiLevelType w:val="multilevel"/>
    <w:tmpl w:val="949EDFF0"/>
    <w:lvl w:ilvl="0">
      <w:start w:val="1"/>
      <w:numFmt w:val="decimal"/>
      <w:lvlText w:val="%1"/>
      <w:lvlJc w:val="left"/>
      <w:pPr>
        <w:ind w:left="600" w:hanging="600"/>
      </w:pPr>
      <w:rPr>
        <w:rFonts w:hint="default"/>
      </w:rPr>
    </w:lvl>
    <w:lvl w:ilvl="1">
      <w:start w:val="3"/>
      <w:numFmt w:val="decimal"/>
      <w:lvlText w:val="%1.%2"/>
      <w:lvlJc w:val="left"/>
      <w:pPr>
        <w:ind w:left="900" w:hanging="600"/>
      </w:pPr>
      <w:rPr>
        <w:rFonts w:hint="default"/>
      </w:rPr>
    </w:lvl>
    <w:lvl w:ilvl="2">
      <w:start w:val="3"/>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37" w15:restartNumberingAfterBreak="0">
    <w:nsid w:val="65745B2D"/>
    <w:multiLevelType w:val="hybridMultilevel"/>
    <w:tmpl w:val="26723FCC"/>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8" w15:restartNumberingAfterBreak="0">
    <w:nsid w:val="6BAF57AD"/>
    <w:multiLevelType w:val="hybridMultilevel"/>
    <w:tmpl w:val="B4AA73D2"/>
    <w:lvl w:ilvl="0" w:tplc="E3082C68">
      <w:start w:val="1"/>
      <w:numFmt w:val="bullet"/>
      <w:lvlText w:val=""/>
      <w:lvlJc w:val="left"/>
      <w:pPr>
        <w:ind w:left="720" w:hanging="360"/>
      </w:pPr>
      <w:rPr>
        <w:rFonts w:ascii="Symbol" w:hAnsi="Symbol" w:hint="default"/>
      </w:rPr>
    </w:lvl>
    <w:lvl w:ilvl="1" w:tplc="202CC3E8">
      <w:start w:val="1"/>
      <w:numFmt w:val="bullet"/>
      <w:lvlText w:val="o"/>
      <w:lvlJc w:val="left"/>
      <w:pPr>
        <w:ind w:left="1440" w:hanging="360"/>
      </w:pPr>
      <w:rPr>
        <w:rFonts w:ascii="Courier New" w:hAnsi="Courier New" w:hint="default"/>
      </w:rPr>
    </w:lvl>
    <w:lvl w:ilvl="2" w:tplc="54802096">
      <w:start w:val="1"/>
      <w:numFmt w:val="bullet"/>
      <w:lvlText w:val=""/>
      <w:lvlJc w:val="left"/>
      <w:pPr>
        <w:ind w:left="2160" w:hanging="360"/>
      </w:pPr>
      <w:rPr>
        <w:rFonts w:ascii="Wingdings" w:hAnsi="Wingdings" w:hint="default"/>
      </w:rPr>
    </w:lvl>
    <w:lvl w:ilvl="3" w:tplc="61C89B38">
      <w:start w:val="1"/>
      <w:numFmt w:val="bullet"/>
      <w:lvlText w:val=""/>
      <w:lvlJc w:val="left"/>
      <w:pPr>
        <w:ind w:left="2880" w:hanging="360"/>
      </w:pPr>
      <w:rPr>
        <w:rFonts w:ascii="Symbol" w:hAnsi="Symbol" w:hint="default"/>
      </w:rPr>
    </w:lvl>
    <w:lvl w:ilvl="4" w:tplc="516E43AA">
      <w:start w:val="1"/>
      <w:numFmt w:val="bullet"/>
      <w:lvlText w:val="o"/>
      <w:lvlJc w:val="left"/>
      <w:pPr>
        <w:ind w:left="3600" w:hanging="360"/>
      </w:pPr>
      <w:rPr>
        <w:rFonts w:ascii="Courier New" w:hAnsi="Courier New" w:hint="default"/>
      </w:rPr>
    </w:lvl>
    <w:lvl w:ilvl="5" w:tplc="306C1002">
      <w:start w:val="1"/>
      <w:numFmt w:val="bullet"/>
      <w:lvlText w:val=""/>
      <w:lvlJc w:val="left"/>
      <w:pPr>
        <w:ind w:left="4320" w:hanging="360"/>
      </w:pPr>
      <w:rPr>
        <w:rFonts w:ascii="Wingdings" w:hAnsi="Wingdings" w:hint="default"/>
      </w:rPr>
    </w:lvl>
    <w:lvl w:ilvl="6" w:tplc="79064370">
      <w:start w:val="1"/>
      <w:numFmt w:val="bullet"/>
      <w:lvlText w:val=""/>
      <w:lvlJc w:val="left"/>
      <w:pPr>
        <w:ind w:left="5040" w:hanging="360"/>
      </w:pPr>
      <w:rPr>
        <w:rFonts w:ascii="Symbol" w:hAnsi="Symbol" w:hint="default"/>
      </w:rPr>
    </w:lvl>
    <w:lvl w:ilvl="7" w:tplc="70224B92">
      <w:start w:val="1"/>
      <w:numFmt w:val="bullet"/>
      <w:lvlText w:val="o"/>
      <w:lvlJc w:val="left"/>
      <w:pPr>
        <w:ind w:left="5760" w:hanging="360"/>
      </w:pPr>
      <w:rPr>
        <w:rFonts w:ascii="Courier New" w:hAnsi="Courier New" w:hint="default"/>
      </w:rPr>
    </w:lvl>
    <w:lvl w:ilvl="8" w:tplc="952EB068">
      <w:start w:val="1"/>
      <w:numFmt w:val="bullet"/>
      <w:lvlText w:val=""/>
      <w:lvlJc w:val="left"/>
      <w:pPr>
        <w:ind w:left="6480" w:hanging="360"/>
      </w:pPr>
      <w:rPr>
        <w:rFonts w:ascii="Wingdings" w:hAnsi="Wingdings" w:hint="default"/>
      </w:rPr>
    </w:lvl>
  </w:abstractNum>
  <w:abstractNum w:abstractNumId="39" w15:restartNumberingAfterBreak="0">
    <w:nsid w:val="6DA10546"/>
    <w:multiLevelType w:val="multilevel"/>
    <w:tmpl w:val="CFF481A2"/>
    <w:lvl w:ilvl="0">
      <w:start w:val="1"/>
      <w:numFmt w:val="decimal"/>
      <w:lvlText w:val="%1."/>
      <w:lvlJc w:val="left"/>
      <w:pPr>
        <w:ind w:left="360" w:hanging="360"/>
      </w:pPr>
    </w:lvl>
    <w:lvl w:ilvl="1">
      <w:start w:val="1"/>
      <w:numFmt w:val="decimal"/>
      <w:isLgl/>
      <w:lvlText w:val="%1.%2"/>
      <w:lvlJc w:val="left"/>
      <w:pPr>
        <w:ind w:left="6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580" w:hanging="1080"/>
      </w:pPr>
      <w:rPr>
        <w:rFonts w:hint="default"/>
      </w:rPr>
    </w:lvl>
    <w:lvl w:ilvl="6">
      <w:start w:val="1"/>
      <w:numFmt w:val="decimal"/>
      <w:isLgl/>
      <w:lvlText w:val="%1.%2.%3.%4.%5.%6.%7"/>
      <w:lvlJc w:val="left"/>
      <w:pPr>
        <w:ind w:left="2880" w:hanging="1080"/>
      </w:pPr>
      <w:rPr>
        <w:rFonts w:hint="default"/>
      </w:rPr>
    </w:lvl>
    <w:lvl w:ilvl="7">
      <w:start w:val="1"/>
      <w:numFmt w:val="decimal"/>
      <w:isLgl/>
      <w:lvlText w:val="%1.%2.%3.%4.%5.%6.%7.%8"/>
      <w:lvlJc w:val="left"/>
      <w:pPr>
        <w:ind w:left="3540" w:hanging="1440"/>
      </w:pPr>
      <w:rPr>
        <w:rFonts w:hint="default"/>
      </w:rPr>
    </w:lvl>
    <w:lvl w:ilvl="8">
      <w:start w:val="1"/>
      <w:numFmt w:val="decimal"/>
      <w:isLgl/>
      <w:lvlText w:val="%1.%2.%3.%4.%5.%6.%7.%8.%9"/>
      <w:lvlJc w:val="left"/>
      <w:pPr>
        <w:ind w:left="3840" w:hanging="1440"/>
      </w:pPr>
      <w:rPr>
        <w:rFonts w:hint="default"/>
      </w:rPr>
    </w:lvl>
  </w:abstractNum>
  <w:abstractNum w:abstractNumId="40" w15:restartNumberingAfterBreak="0">
    <w:nsid w:val="70D158CF"/>
    <w:multiLevelType w:val="hybridMultilevel"/>
    <w:tmpl w:val="DF02E6F6"/>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1" w15:restartNumberingAfterBreak="0">
    <w:nsid w:val="73F014CA"/>
    <w:multiLevelType w:val="multilevel"/>
    <w:tmpl w:val="949EDFF0"/>
    <w:lvl w:ilvl="0">
      <w:start w:val="1"/>
      <w:numFmt w:val="decimal"/>
      <w:lvlText w:val="%1"/>
      <w:lvlJc w:val="left"/>
      <w:pPr>
        <w:ind w:left="600" w:hanging="600"/>
      </w:pPr>
      <w:rPr>
        <w:rFonts w:hint="default"/>
      </w:rPr>
    </w:lvl>
    <w:lvl w:ilvl="1">
      <w:start w:val="3"/>
      <w:numFmt w:val="decimal"/>
      <w:lvlText w:val="%1.%2"/>
      <w:lvlJc w:val="left"/>
      <w:pPr>
        <w:ind w:left="900" w:hanging="600"/>
      </w:pPr>
      <w:rPr>
        <w:rFonts w:hint="default"/>
      </w:rPr>
    </w:lvl>
    <w:lvl w:ilvl="2">
      <w:start w:val="3"/>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42" w15:restartNumberingAfterBreak="0">
    <w:nsid w:val="74F53C7F"/>
    <w:multiLevelType w:val="hybridMultilevel"/>
    <w:tmpl w:val="07767E8C"/>
    <w:lvl w:ilvl="0" w:tplc="EF7C213C">
      <w:start w:val="8"/>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60E46FB"/>
    <w:multiLevelType w:val="multilevel"/>
    <w:tmpl w:val="97D43832"/>
    <w:lvl w:ilvl="0">
      <w:start w:val="1"/>
      <w:numFmt w:val="decimal"/>
      <w:lvlText w:val="%1"/>
      <w:lvlJc w:val="left"/>
      <w:pPr>
        <w:ind w:left="405" w:hanging="405"/>
      </w:pPr>
      <w:rPr>
        <w:rFonts w:hint="default"/>
      </w:rPr>
    </w:lvl>
    <w:lvl w:ilvl="1">
      <w:start w:val="4"/>
      <w:numFmt w:val="decimal"/>
      <w:lvlText w:val="%1.%2"/>
      <w:lvlJc w:val="left"/>
      <w:pPr>
        <w:ind w:left="705" w:hanging="405"/>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44" w15:restartNumberingAfterBreak="0">
    <w:nsid w:val="7DDF37FB"/>
    <w:multiLevelType w:val="hybridMultilevel"/>
    <w:tmpl w:val="C79C3046"/>
    <w:lvl w:ilvl="0" w:tplc="970C4404">
      <w:start w:val="1"/>
      <w:numFmt w:val="decimal"/>
      <w:lvlText w:val="%1."/>
      <w:lvlJc w:val="left"/>
      <w:pPr>
        <w:tabs>
          <w:tab w:val="num" w:pos="1080"/>
        </w:tabs>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16cid:durableId="152991066">
    <w:abstractNumId w:val="30"/>
  </w:num>
  <w:num w:numId="2" w16cid:durableId="63380025">
    <w:abstractNumId w:val="40"/>
  </w:num>
  <w:num w:numId="3" w16cid:durableId="742214203">
    <w:abstractNumId w:val="21"/>
  </w:num>
  <w:num w:numId="4" w16cid:durableId="1502816284">
    <w:abstractNumId w:val="4"/>
  </w:num>
  <w:num w:numId="5" w16cid:durableId="1642029465">
    <w:abstractNumId w:val="7"/>
  </w:num>
  <w:num w:numId="6" w16cid:durableId="1709529324">
    <w:abstractNumId w:val="41"/>
  </w:num>
  <w:num w:numId="7" w16cid:durableId="425267502">
    <w:abstractNumId w:val="43"/>
  </w:num>
  <w:num w:numId="8" w16cid:durableId="922639503">
    <w:abstractNumId w:val="39"/>
  </w:num>
  <w:num w:numId="9" w16cid:durableId="452987581">
    <w:abstractNumId w:val="28"/>
  </w:num>
  <w:num w:numId="10" w16cid:durableId="929434899">
    <w:abstractNumId w:val="25"/>
  </w:num>
  <w:num w:numId="11" w16cid:durableId="1112750709">
    <w:abstractNumId w:val="10"/>
  </w:num>
  <w:num w:numId="12" w16cid:durableId="1652365963">
    <w:abstractNumId w:val="5"/>
  </w:num>
  <w:num w:numId="13" w16cid:durableId="1778400532">
    <w:abstractNumId w:val="36"/>
  </w:num>
  <w:num w:numId="14" w16cid:durableId="1446652370">
    <w:abstractNumId w:val="11"/>
  </w:num>
  <w:num w:numId="15" w16cid:durableId="365914845">
    <w:abstractNumId w:val="23"/>
  </w:num>
  <w:num w:numId="16" w16cid:durableId="2093892803">
    <w:abstractNumId w:val="16"/>
  </w:num>
  <w:num w:numId="17" w16cid:durableId="600920931">
    <w:abstractNumId w:val="38"/>
  </w:num>
  <w:num w:numId="18" w16cid:durableId="1264731140">
    <w:abstractNumId w:val="14"/>
  </w:num>
  <w:num w:numId="19" w16cid:durableId="184097431">
    <w:abstractNumId w:val="17"/>
  </w:num>
  <w:num w:numId="20" w16cid:durableId="990016788">
    <w:abstractNumId w:val="15"/>
  </w:num>
  <w:num w:numId="21" w16cid:durableId="1430813026">
    <w:abstractNumId w:val="26"/>
  </w:num>
  <w:num w:numId="22" w16cid:durableId="465852171">
    <w:abstractNumId w:val="12"/>
  </w:num>
  <w:num w:numId="23" w16cid:durableId="622077038">
    <w:abstractNumId w:val="13"/>
  </w:num>
  <w:num w:numId="24" w16cid:durableId="1571622188">
    <w:abstractNumId w:val="2"/>
  </w:num>
  <w:num w:numId="25" w16cid:durableId="1169910720">
    <w:abstractNumId w:val="1"/>
  </w:num>
  <w:num w:numId="26" w16cid:durableId="82533624">
    <w:abstractNumId w:val="33"/>
  </w:num>
  <w:num w:numId="27" w16cid:durableId="422144552">
    <w:abstractNumId w:val="32"/>
  </w:num>
  <w:num w:numId="28" w16cid:durableId="417599398">
    <w:abstractNumId w:val="29"/>
  </w:num>
  <w:num w:numId="29" w16cid:durableId="208763819">
    <w:abstractNumId w:val="29"/>
  </w:num>
  <w:num w:numId="30" w16cid:durableId="16782181">
    <w:abstractNumId w:val="18"/>
  </w:num>
  <w:num w:numId="31" w16cid:durableId="1749692100">
    <w:abstractNumId w:val="24"/>
  </w:num>
  <w:num w:numId="32" w16cid:durableId="1931035955">
    <w:abstractNumId w:val="3"/>
  </w:num>
  <w:num w:numId="33" w16cid:durableId="1516580690">
    <w:abstractNumId w:val="8"/>
  </w:num>
  <w:num w:numId="34" w16cid:durableId="936980132">
    <w:abstractNumId w:val="34"/>
  </w:num>
  <w:num w:numId="35" w16cid:durableId="899942649">
    <w:abstractNumId w:val="37"/>
  </w:num>
  <w:num w:numId="36" w16cid:durableId="21851387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02995092">
    <w:abstractNumId w:val="9"/>
  </w:num>
  <w:num w:numId="38" w16cid:durableId="38215214">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21868196">
    <w:abstractNumId w:val="31"/>
  </w:num>
  <w:num w:numId="40" w16cid:durableId="672993762">
    <w:abstractNumId w:val="27"/>
  </w:num>
  <w:num w:numId="41" w16cid:durableId="69890372">
    <w:abstractNumId w:val="6"/>
  </w:num>
  <w:num w:numId="42" w16cid:durableId="1227181327">
    <w:abstractNumId w:val="20"/>
  </w:num>
  <w:num w:numId="43" w16cid:durableId="562449796">
    <w:abstractNumId w:val="42"/>
  </w:num>
  <w:num w:numId="44" w16cid:durableId="1473988535">
    <w:abstractNumId w:val="0"/>
  </w:num>
  <w:num w:numId="45" w16cid:durableId="127162697">
    <w:abstractNumId w:val="44"/>
  </w:num>
  <w:num w:numId="46" w16cid:durableId="1680737137">
    <w:abstractNumId w:val="22"/>
  </w:num>
  <w:num w:numId="47" w16cid:durableId="302002004">
    <w:abstractNumId w:val="35"/>
  </w:num>
  <w:num w:numId="48" w16cid:durableId="179452099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9C6"/>
    <w:rsid w:val="000254D0"/>
    <w:rsid w:val="000278AC"/>
    <w:rsid w:val="00050868"/>
    <w:rsid w:val="000548E4"/>
    <w:rsid w:val="00067873"/>
    <w:rsid w:val="000717F9"/>
    <w:rsid w:val="000738B3"/>
    <w:rsid w:val="00075964"/>
    <w:rsid w:val="00085954"/>
    <w:rsid w:val="000900E2"/>
    <w:rsid w:val="000A1B8B"/>
    <w:rsid w:val="000A2C4A"/>
    <w:rsid w:val="000D353E"/>
    <w:rsid w:val="000F174A"/>
    <w:rsid w:val="000F3E3D"/>
    <w:rsid w:val="000F5C44"/>
    <w:rsid w:val="00103AB8"/>
    <w:rsid w:val="00113459"/>
    <w:rsid w:val="00113528"/>
    <w:rsid w:val="00123A56"/>
    <w:rsid w:val="001319C6"/>
    <w:rsid w:val="00131AAA"/>
    <w:rsid w:val="00150A6A"/>
    <w:rsid w:val="001532AF"/>
    <w:rsid w:val="00164CD7"/>
    <w:rsid w:val="001856E6"/>
    <w:rsid w:val="001A7E72"/>
    <w:rsid w:val="001B2CA9"/>
    <w:rsid w:val="001B35BE"/>
    <w:rsid w:val="001C76B8"/>
    <w:rsid w:val="001E5D7B"/>
    <w:rsid w:val="001F7300"/>
    <w:rsid w:val="001F7B9D"/>
    <w:rsid w:val="00213AB6"/>
    <w:rsid w:val="002226FD"/>
    <w:rsid w:val="002228E5"/>
    <w:rsid w:val="00237F3C"/>
    <w:rsid w:val="002438D2"/>
    <w:rsid w:val="002468D5"/>
    <w:rsid w:val="002507D3"/>
    <w:rsid w:val="002676DC"/>
    <w:rsid w:val="00275DAE"/>
    <w:rsid w:val="00282270"/>
    <w:rsid w:val="00283351"/>
    <w:rsid w:val="002833BA"/>
    <w:rsid w:val="002846AA"/>
    <w:rsid w:val="002910A2"/>
    <w:rsid w:val="002B33EC"/>
    <w:rsid w:val="002D2D4C"/>
    <w:rsid w:val="002D3305"/>
    <w:rsid w:val="003344BF"/>
    <w:rsid w:val="00337D7D"/>
    <w:rsid w:val="00350ABA"/>
    <w:rsid w:val="00361BF2"/>
    <w:rsid w:val="00362B94"/>
    <w:rsid w:val="00367007"/>
    <w:rsid w:val="003729B2"/>
    <w:rsid w:val="003B3278"/>
    <w:rsid w:val="003C1F5D"/>
    <w:rsid w:val="003E2E5B"/>
    <w:rsid w:val="003E2EFF"/>
    <w:rsid w:val="003F25C3"/>
    <w:rsid w:val="003F50AC"/>
    <w:rsid w:val="00411F14"/>
    <w:rsid w:val="004226DB"/>
    <w:rsid w:val="0043242E"/>
    <w:rsid w:val="004438E1"/>
    <w:rsid w:val="00444148"/>
    <w:rsid w:val="0044633F"/>
    <w:rsid w:val="0045063D"/>
    <w:rsid w:val="0045306B"/>
    <w:rsid w:val="00472532"/>
    <w:rsid w:val="00486A21"/>
    <w:rsid w:val="00490AC2"/>
    <w:rsid w:val="004959BE"/>
    <w:rsid w:val="004959DE"/>
    <w:rsid w:val="004B5423"/>
    <w:rsid w:val="004F57BE"/>
    <w:rsid w:val="0052122E"/>
    <w:rsid w:val="00530A7E"/>
    <w:rsid w:val="005463C5"/>
    <w:rsid w:val="00550B09"/>
    <w:rsid w:val="005568A0"/>
    <w:rsid w:val="00570BA6"/>
    <w:rsid w:val="00577037"/>
    <w:rsid w:val="00582424"/>
    <w:rsid w:val="005D308C"/>
    <w:rsid w:val="005D5621"/>
    <w:rsid w:val="005E0051"/>
    <w:rsid w:val="005E691F"/>
    <w:rsid w:val="005F0BF5"/>
    <w:rsid w:val="005F3D12"/>
    <w:rsid w:val="006009F3"/>
    <w:rsid w:val="006021C6"/>
    <w:rsid w:val="006034F0"/>
    <w:rsid w:val="00616435"/>
    <w:rsid w:val="00622654"/>
    <w:rsid w:val="00627102"/>
    <w:rsid w:val="00636C53"/>
    <w:rsid w:val="006416D2"/>
    <w:rsid w:val="006818DB"/>
    <w:rsid w:val="006B084B"/>
    <w:rsid w:val="006C6C73"/>
    <w:rsid w:val="006D3F6E"/>
    <w:rsid w:val="006D5A19"/>
    <w:rsid w:val="006D64D1"/>
    <w:rsid w:val="006D67D5"/>
    <w:rsid w:val="006E7B6B"/>
    <w:rsid w:val="006F41F6"/>
    <w:rsid w:val="00711F8A"/>
    <w:rsid w:val="00720E3A"/>
    <w:rsid w:val="0072151E"/>
    <w:rsid w:val="00724117"/>
    <w:rsid w:val="007478F5"/>
    <w:rsid w:val="00756FF9"/>
    <w:rsid w:val="00757EB2"/>
    <w:rsid w:val="007604CB"/>
    <w:rsid w:val="00777007"/>
    <w:rsid w:val="0078445C"/>
    <w:rsid w:val="00785FD5"/>
    <w:rsid w:val="007A3690"/>
    <w:rsid w:val="007B3699"/>
    <w:rsid w:val="007C7361"/>
    <w:rsid w:val="007E0A12"/>
    <w:rsid w:val="007F440F"/>
    <w:rsid w:val="00803254"/>
    <w:rsid w:val="00803E19"/>
    <w:rsid w:val="008073D3"/>
    <w:rsid w:val="00813EAB"/>
    <w:rsid w:val="00816794"/>
    <w:rsid w:val="008407A5"/>
    <w:rsid w:val="0084374F"/>
    <w:rsid w:val="00847CD2"/>
    <w:rsid w:val="00861714"/>
    <w:rsid w:val="0086303D"/>
    <w:rsid w:val="00890CFB"/>
    <w:rsid w:val="00891F1D"/>
    <w:rsid w:val="008A10C0"/>
    <w:rsid w:val="008A3B58"/>
    <w:rsid w:val="008C402B"/>
    <w:rsid w:val="008D01DF"/>
    <w:rsid w:val="008D0857"/>
    <w:rsid w:val="008D17B7"/>
    <w:rsid w:val="008D6563"/>
    <w:rsid w:val="008D6ABC"/>
    <w:rsid w:val="008E0F50"/>
    <w:rsid w:val="008F37C5"/>
    <w:rsid w:val="00920332"/>
    <w:rsid w:val="009545BD"/>
    <w:rsid w:val="00960419"/>
    <w:rsid w:val="0096539C"/>
    <w:rsid w:val="009A0CDF"/>
    <w:rsid w:val="009A131A"/>
    <w:rsid w:val="009B7ACF"/>
    <w:rsid w:val="009C4BED"/>
    <w:rsid w:val="009C594B"/>
    <w:rsid w:val="009D2544"/>
    <w:rsid w:val="009D304B"/>
    <w:rsid w:val="009F3DFA"/>
    <w:rsid w:val="009F6838"/>
    <w:rsid w:val="00A113CE"/>
    <w:rsid w:val="00A17D35"/>
    <w:rsid w:val="00A26E78"/>
    <w:rsid w:val="00A33B4B"/>
    <w:rsid w:val="00A47678"/>
    <w:rsid w:val="00A82D69"/>
    <w:rsid w:val="00A90458"/>
    <w:rsid w:val="00A90DA4"/>
    <w:rsid w:val="00A94752"/>
    <w:rsid w:val="00A96AA4"/>
    <w:rsid w:val="00A9701A"/>
    <w:rsid w:val="00AB0E90"/>
    <w:rsid w:val="00AB2B2A"/>
    <w:rsid w:val="00AB6920"/>
    <w:rsid w:val="00AC3366"/>
    <w:rsid w:val="00AE1338"/>
    <w:rsid w:val="00AE1A49"/>
    <w:rsid w:val="00AF13C7"/>
    <w:rsid w:val="00B160BE"/>
    <w:rsid w:val="00B16809"/>
    <w:rsid w:val="00B212E2"/>
    <w:rsid w:val="00B3102B"/>
    <w:rsid w:val="00B31141"/>
    <w:rsid w:val="00B31F65"/>
    <w:rsid w:val="00B32D05"/>
    <w:rsid w:val="00B42579"/>
    <w:rsid w:val="00B5261B"/>
    <w:rsid w:val="00B53E1E"/>
    <w:rsid w:val="00B540BE"/>
    <w:rsid w:val="00B71F31"/>
    <w:rsid w:val="00B8007B"/>
    <w:rsid w:val="00B82F31"/>
    <w:rsid w:val="00B95043"/>
    <w:rsid w:val="00BA204D"/>
    <w:rsid w:val="00BA50CD"/>
    <w:rsid w:val="00BB3270"/>
    <w:rsid w:val="00BB4E9D"/>
    <w:rsid w:val="00BD2E6D"/>
    <w:rsid w:val="00BE54BC"/>
    <w:rsid w:val="00BE75C0"/>
    <w:rsid w:val="00BF5011"/>
    <w:rsid w:val="00C20879"/>
    <w:rsid w:val="00C341DD"/>
    <w:rsid w:val="00C45B4A"/>
    <w:rsid w:val="00C51EA5"/>
    <w:rsid w:val="00C51F1A"/>
    <w:rsid w:val="00C55C2C"/>
    <w:rsid w:val="00C57C39"/>
    <w:rsid w:val="00C7194A"/>
    <w:rsid w:val="00CA15ED"/>
    <w:rsid w:val="00CB2F03"/>
    <w:rsid w:val="00CB6450"/>
    <w:rsid w:val="00CD205B"/>
    <w:rsid w:val="00CE2301"/>
    <w:rsid w:val="00CE43F1"/>
    <w:rsid w:val="00CE7EEB"/>
    <w:rsid w:val="00CF4B70"/>
    <w:rsid w:val="00D00DF7"/>
    <w:rsid w:val="00D11C29"/>
    <w:rsid w:val="00D1572D"/>
    <w:rsid w:val="00D16B2F"/>
    <w:rsid w:val="00D25D2F"/>
    <w:rsid w:val="00D26A45"/>
    <w:rsid w:val="00D34953"/>
    <w:rsid w:val="00D40B64"/>
    <w:rsid w:val="00D50952"/>
    <w:rsid w:val="00D74CE1"/>
    <w:rsid w:val="00D771E2"/>
    <w:rsid w:val="00D83125"/>
    <w:rsid w:val="00D90C26"/>
    <w:rsid w:val="00D9705E"/>
    <w:rsid w:val="00DA42DB"/>
    <w:rsid w:val="00DB3BAF"/>
    <w:rsid w:val="00DE1632"/>
    <w:rsid w:val="00DE5ECF"/>
    <w:rsid w:val="00E026D2"/>
    <w:rsid w:val="00E04745"/>
    <w:rsid w:val="00E272EE"/>
    <w:rsid w:val="00E6286B"/>
    <w:rsid w:val="00E67D98"/>
    <w:rsid w:val="00E72F6B"/>
    <w:rsid w:val="00E733E3"/>
    <w:rsid w:val="00E77EF3"/>
    <w:rsid w:val="00E832FC"/>
    <w:rsid w:val="00E83A2D"/>
    <w:rsid w:val="00E83A33"/>
    <w:rsid w:val="00EA107C"/>
    <w:rsid w:val="00EA3C98"/>
    <w:rsid w:val="00ED7B26"/>
    <w:rsid w:val="00EE1434"/>
    <w:rsid w:val="00F07B78"/>
    <w:rsid w:val="00F34824"/>
    <w:rsid w:val="00F408CD"/>
    <w:rsid w:val="00F53D90"/>
    <w:rsid w:val="00F553CE"/>
    <w:rsid w:val="00F74149"/>
    <w:rsid w:val="00F77FA3"/>
    <w:rsid w:val="00FA231C"/>
    <w:rsid w:val="00FA40A4"/>
    <w:rsid w:val="00FA7187"/>
    <w:rsid w:val="00FA7ED7"/>
    <w:rsid w:val="00FB5AB4"/>
    <w:rsid w:val="00FC4484"/>
    <w:rsid w:val="00FC7862"/>
    <w:rsid w:val="00FD0899"/>
    <w:rsid w:val="00FD26A4"/>
    <w:rsid w:val="00FD6F7B"/>
    <w:rsid w:val="00FD7F18"/>
    <w:rsid w:val="00FE3725"/>
    <w:rsid w:val="00FE43D6"/>
    <w:rsid w:val="00FE447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86379"/>
  <w15:chartTrackingRefBased/>
  <w15:docId w15:val="{4BA77A33-F714-40B6-A803-6DDB6C763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24117"/>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val="es-ES" w:eastAsia="es-ES"/>
    </w:rPr>
  </w:style>
  <w:style w:type="paragraph" w:styleId="Ttulo2">
    <w:name w:val="heading 2"/>
    <w:basedOn w:val="Normal"/>
    <w:next w:val="Normal"/>
    <w:link w:val="Ttulo2Car"/>
    <w:uiPriority w:val="9"/>
    <w:semiHidden/>
    <w:unhideWhenUsed/>
    <w:qFormat/>
    <w:rsid w:val="00724117"/>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es-ES" w:eastAsia="es-ES"/>
    </w:rPr>
  </w:style>
  <w:style w:type="paragraph" w:styleId="Ttulo3">
    <w:name w:val="heading 3"/>
    <w:basedOn w:val="Normal"/>
    <w:link w:val="Ttulo3Car"/>
    <w:uiPriority w:val="9"/>
    <w:qFormat/>
    <w:rsid w:val="00724117"/>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paragraph" w:styleId="Ttulo4">
    <w:name w:val="heading 4"/>
    <w:basedOn w:val="Normal"/>
    <w:next w:val="Normal"/>
    <w:link w:val="Ttulo4Car"/>
    <w:uiPriority w:val="9"/>
    <w:semiHidden/>
    <w:unhideWhenUsed/>
    <w:qFormat/>
    <w:rsid w:val="00724117"/>
    <w:pPr>
      <w:keepNext/>
      <w:keepLines/>
      <w:spacing w:before="40" w:after="0" w:line="240" w:lineRule="auto"/>
      <w:outlineLvl w:val="3"/>
    </w:pPr>
    <w:rPr>
      <w:rFonts w:asciiTheme="majorHAnsi" w:eastAsiaTheme="majorEastAsia" w:hAnsiTheme="majorHAnsi" w:cstheme="majorBidi"/>
      <w:i/>
      <w:iCs/>
      <w:color w:val="2F5496" w:themeColor="accent1" w:themeShade="BF"/>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erre">
    <w:name w:val="Closing"/>
    <w:basedOn w:val="Normal"/>
    <w:link w:val="CierreCar"/>
    <w:rsid w:val="001319C6"/>
    <w:pPr>
      <w:spacing w:after="0" w:line="240" w:lineRule="auto"/>
      <w:ind w:left="4252"/>
    </w:pPr>
    <w:rPr>
      <w:rFonts w:ascii="Times New Roman" w:eastAsia="MS Mincho" w:hAnsi="Times New Roman" w:cs="Times New Roman"/>
      <w:sz w:val="24"/>
      <w:szCs w:val="24"/>
      <w:lang w:val="es-ES" w:eastAsia="es-ES"/>
    </w:rPr>
  </w:style>
  <w:style w:type="character" w:customStyle="1" w:styleId="CierreCar">
    <w:name w:val="Cierre Car"/>
    <w:basedOn w:val="Fuentedeprrafopredeter"/>
    <w:link w:val="Cierre"/>
    <w:rsid w:val="001319C6"/>
    <w:rPr>
      <w:rFonts w:ascii="Times New Roman" w:eastAsia="MS Mincho" w:hAnsi="Times New Roman" w:cs="Times New Roman"/>
      <w:sz w:val="24"/>
      <w:szCs w:val="24"/>
      <w:lang w:val="es-ES" w:eastAsia="es-ES"/>
    </w:rPr>
  </w:style>
  <w:style w:type="paragraph" w:customStyle="1" w:styleId="Default">
    <w:name w:val="Default"/>
    <w:rsid w:val="001319C6"/>
    <w:pPr>
      <w:autoSpaceDE w:val="0"/>
      <w:autoSpaceDN w:val="0"/>
      <w:adjustRightInd w:val="0"/>
      <w:spacing w:after="0" w:line="240" w:lineRule="auto"/>
    </w:pPr>
    <w:rPr>
      <w:rFonts w:ascii="Century Gothic" w:hAnsi="Century Gothic" w:cs="Century Gothic"/>
      <w:color w:val="000000"/>
      <w:sz w:val="24"/>
      <w:szCs w:val="24"/>
    </w:rPr>
  </w:style>
  <w:style w:type="paragraph" w:styleId="Prrafodelista">
    <w:name w:val="List Paragraph"/>
    <w:aliases w:val="List,VIÑETA,VIÑETAS,Párrafo de lista2,Viñetas,List Paragraph1,Betulia Título 1,Lista vistosa - Énfasis 13,Fluvial1,titulo 3,Párrafo de lista1,Lista vistosa - Énfasis 11,# pharagraph,Num Bullet 1,LISTA,Párrafo de lista11,List Paragraph"/>
    <w:basedOn w:val="Normal"/>
    <w:link w:val="PrrafodelistaCar"/>
    <w:uiPriority w:val="34"/>
    <w:qFormat/>
    <w:rsid w:val="002B33EC"/>
    <w:pPr>
      <w:ind w:left="720"/>
      <w:contextualSpacing/>
    </w:pPr>
  </w:style>
  <w:style w:type="paragraph" w:styleId="Textonotapie">
    <w:name w:val="footnote text"/>
    <w:aliases w:val="Footnote Text Char Char Char Char Char,Footnote Text Char Char Char Char,Footnote reference,FA Fu,Footnote Text Char Char Char,texto de nota al pie,Texto nota pie Car1,Texto nota pie Car Car,texto de nota al pie Car Car,ft Car Car Car,ft"/>
    <w:basedOn w:val="Normal"/>
    <w:link w:val="TextonotapieCar"/>
    <w:uiPriority w:val="99"/>
    <w:unhideWhenUsed/>
    <w:qFormat/>
    <w:rsid w:val="00724117"/>
    <w:pPr>
      <w:spacing w:after="0" w:line="240" w:lineRule="auto"/>
    </w:pPr>
    <w:rPr>
      <w:rFonts w:ascii="Times New Roman" w:eastAsia="MS Mincho" w:hAnsi="Times New Roman" w:cs="Times New Roman"/>
      <w:sz w:val="20"/>
      <w:szCs w:val="20"/>
      <w:lang w:val="es-ES" w:eastAsia="es-ES"/>
    </w:rPr>
  </w:style>
  <w:style w:type="character" w:customStyle="1" w:styleId="TextonotapieCar">
    <w:name w:val="Texto nota pie Car"/>
    <w:aliases w:val="Footnote Text Char Char Char Char Char Car,Footnote Text Char Char Char Char Car,Footnote reference Car,FA Fu Car,Footnote Text Char Char Char Car,texto de nota al pie Car,Texto nota pie Car1 Car,Texto nota pie Car Car Car,ft Car"/>
    <w:basedOn w:val="Fuentedeprrafopredeter"/>
    <w:link w:val="Textonotapie"/>
    <w:uiPriority w:val="99"/>
    <w:rsid w:val="00724117"/>
    <w:rPr>
      <w:rFonts w:ascii="Times New Roman" w:eastAsia="MS Mincho" w:hAnsi="Times New Roman" w:cs="Times New Roman"/>
      <w:sz w:val="20"/>
      <w:szCs w:val="20"/>
      <w:lang w:val="es-ES" w:eastAsia="es-ES"/>
    </w:rPr>
  </w:style>
  <w:style w:type="character" w:styleId="Refdenotaalpie">
    <w:name w:val="footnote reference"/>
    <w:aliases w:val="referencia nota al pie,FC,Texto de nota al pie,Ref. de nota al pie 2,Footnote symbol,Footnote,BVI fnr,Ref. de nota al pie2,Nota de pie,Ref,de nota al pie,Pie de pagina,Texto nota al pie,Appel note de bas de p,Ref1,Referencia pie PND"/>
    <w:basedOn w:val="Fuentedeprrafopredeter"/>
    <w:uiPriority w:val="99"/>
    <w:unhideWhenUsed/>
    <w:qFormat/>
    <w:rsid w:val="00724117"/>
    <w:rPr>
      <w:vertAlign w:val="superscript"/>
    </w:rPr>
  </w:style>
  <w:style w:type="character" w:customStyle="1" w:styleId="PrrafodelistaCar">
    <w:name w:val="Párrafo de lista Car"/>
    <w:aliases w:val="List Car,VIÑETA Car,VIÑETAS Car,Párrafo de lista2 Car,Viñetas Car,List Paragraph1 Car,Betulia Título 1 Car,Lista vistosa - Énfasis 13 Car,Fluvial1 Car,titulo 3 Car,Párrafo de lista1 Car,Lista vistosa - Énfasis 11 Car,LISTA Car"/>
    <w:link w:val="Prrafodelista"/>
    <w:uiPriority w:val="34"/>
    <w:qFormat/>
    <w:locked/>
    <w:rsid w:val="00724117"/>
  </w:style>
  <w:style w:type="character" w:customStyle="1" w:styleId="Ttulo1Car">
    <w:name w:val="Título 1 Car"/>
    <w:basedOn w:val="Fuentedeprrafopredeter"/>
    <w:link w:val="Ttulo1"/>
    <w:uiPriority w:val="9"/>
    <w:rsid w:val="00724117"/>
    <w:rPr>
      <w:rFonts w:asciiTheme="majorHAnsi" w:eastAsiaTheme="majorEastAsia" w:hAnsiTheme="majorHAnsi" w:cstheme="majorBidi"/>
      <w:color w:val="2F5496" w:themeColor="accent1" w:themeShade="BF"/>
      <w:sz w:val="32"/>
      <w:szCs w:val="32"/>
      <w:lang w:val="es-ES" w:eastAsia="es-ES"/>
    </w:rPr>
  </w:style>
  <w:style w:type="character" w:customStyle="1" w:styleId="Ttulo2Car">
    <w:name w:val="Título 2 Car"/>
    <w:basedOn w:val="Fuentedeprrafopredeter"/>
    <w:link w:val="Ttulo2"/>
    <w:uiPriority w:val="9"/>
    <w:semiHidden/>
    <w:rsid w:val="00724117"/>
    <w:rPr>
      <w:rFonts w:asciiTheme="majorHAnsi" w:eastAsiaTheme="majorEastAsia" w:hAnsiTheme="majorHAnsi" w:cstheme="majorBidi"/>
      <w:color w:val="2F5496" w:themeColor="accent1" w:themeShade="BF"/>
      <w:sz w:val="26"/>
      <w:szCs w:val="26"/>
      <w:lang w:val="es-ES" w:eastAsia="es-ES"/>
    </w:rPr>
  </w:style>
  <w:style w:type="character" w:customStyle="1" w:styleId="Ttulo3Car">
    <w:name w:val="Título 3 Car"/>
    <w:basedOn w:val="Fuentedeprrafopredeter"/>
    <w:link w:val="Ttulo3"/>
    <w:uiPriority w:val="9"/>
    <w:rsid w:val="00724117"/>
    <w:rPr>
      <w:rFonts w:ascii="Times New Roman" w:eastAsia="Times New Roman" w:hAnsi="Times New Roman" w:cs="Times New Roman"/>
      <w:b/>
      <w:bCs/>
      <w:sz w:val="27"/>
      <w:szCs w:val="27"/>
      <w:lang w:eastAsia="es-CO"/>
    </w:rPr>
  </w:style>
  <w:style w:type="character" w:customStyle="1" w:styleId="Ttulo4Car">
    <w:name w:val="Título 4 Car"/>
    <w:basedOn w:val="Fuentedeprrafopredeter"/>
    <w:link w:val="Ttulo4"/>
    <w:uiPriority w:val="9"/>
    <w:semiHidden/>
    <w:rsid w:val="00724117"/>
    <w:rPr>
      <w:rFonts w:asciiTheme="majorHAnsi" w:eastAsiaTheme="majorEastAsia" w:hAnsiTheme="majorHAnsi" w:cstheme="majorBidi"/>
      <w:i/>
      <w:iCs/>
      <w:color w:val="2F5496" w:themeColor="accent1" w:themeShade="BF"/>
      <w:sz w:val="24"/>
      <w:szCs w:val="24"/>
      <w:lang w:val="es-ES" w:eastAsia="es-ES"/>
    </w:rPr>
  </w:style>
  <w:style w:type="paragraph" w:styleId="Encabezado">
    <w:name w:val="header"/>
    <w:basedOn w:val="Normal"/>
    <w:link w:val="EncabezadoCar"/>
    <w:uiPriority w:val="99"/>
    <w:unhideWhenUsed/>
    <w:rsid w:val="007241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24117"/>
  </w:style>
  <w:style w:type="paragraph" w:styleId="Piedepgina">
    <w:name w:val="footer"/>
    <w:basedOn w:val="Normal"/>
    <w:link w:val="PiedepginaCar"/>
    <w:uiPriority w:val="99"/>
    <w:unhideWhenUsed/>
    <w:rsid w:val="007241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24117"/>
  </w:style>
  <w:style w:type="paragraph" w:styleId="Textodeglobo">
    <w:name w:val="Balloon Text"/>
    <w:basedOn w:val="Normal"/>
    <w:link w:val="TextodegloboCar"/>
    <w:uiPriority w:val="99"/>
    <w:semiHidden/>
    <w:unhideWhenUsed/>
    <w:rsid w:val="007241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24117"/>
    <w:rPr>
      <w:rFonts w:ascii="Tahoma" w:hAnsi="Tahoma" w:cs="Tahoma"/>
      <w:sz w:val="16"/>
      <w:szCs w:val="16"/>
    </w:rPr>
  </w:style>
  <w:style w:type="table" w:styleId="Tablaconcuadrcula">
    <w:name w:val="Table Grid"/>
    <w:basedOn w:val="Tablanormal"/>
    <w:uiPriority w:val="39"/>
    <w:rsid w:val="00724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724117"/>
    <w:rPr>
      <w:color w:val="0563C1" w:themeColor="hyperlink"/>
      <w:u w:val="single"/>
    </w:rPr>
  </w:style>
  <w:style w:type="character" w:styleId="Nmerodepgina">
    <w:name w:val="page number"/>
    <w:basedOn w:val="Fuentedeprrafopredeter"/>
    <w:rsid w:val="00724117"/>
  </w:style>
  <w:style w:type="paragraph" w:styleId="Textoindependiente">
    <w:name w:val="Body Text"/>
    <w:basedOn w:val="Normal"/>
    <w:link w:val="TextoindependienteCar"/>
    <w:uiPriority w:val="99"/>
    <w:unhideWhenUsed/>
    <w:rsid w:val="00724117"/>
    <w:pPr>
      <w:spacing w:after="0" w:line="240" w:lineRule="auto"/>
      <w:jc w:val="both"/>
    </w:pPr>
    <w:rPr>
      <w:rFonts w:ascii="Arial Narrow" w:eastAsia="Calibri" w:hAnsi="Arial Narrow" w:cs="Times New Roman"/>
      <w:sz w:val="24"/>
      <w:szCs w:val="21"/>
    </w:rPr>
  </w:style>
  <w:style w:type="character" w:customStyle="1" w:styleId="TextoindependienteCar">
    <w:name w:val="Texto independiente Car"/>
    <w:basedOn w:val="Fuentedeprrafopredeter"/>
    <w:link w:val="Textoindependiente"/>
    <w:uiPriority w:val="99"/>
    <w:rsid w:val="00724117"/>
    <w:rPr>
      <w:rFonts w:ascii="Arial Narrow" w:eastAsia="Calibri" w:hAnsi="Arial Narrow" w:cs="Times New Roman"/>
      <w:sz w:val="24"/>
      <w:szCs w:val="21"/>
    </w:rPr>
  </w:style>
  <w:style w:type="paragraph" w:styleId="NormalWeb">
    <w:name w:val="Normal (Web)"/>
    <w:basedOn w:val="Normal"/>
    <w:uiPriority w:val="99"/>
    <w:unhideWhenUsed/>
    <w:rsid w:val="00724117"/>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724117"/>
    <w:rPr>
      <w:b/>
      <w:bCs/>
    </w:rPr>
  </w:style>
  <w:style w:type="paragraph" w:customStyle="1" w:styleId="CM214">
    <w:name w:val="CM214"/>
    <w:basedOn w:val="Normal"/>
    <w:next w:val="Normal"/>
    <w:uiPriority w:val="99"/>
    <w:rsid w:val="00724117"/>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paragraph" w:customStyle="1" w:styleId="Sangradetindependiente">
    <w:name w:val="Sangría de t. independiente"/>
    <w:basedOn w:val="Normal"/>
    <w:uiPriority w:val="99"/>
    <w:rsid w:val="00724117"/>
    <w:pPr>
      <w:autoSpaceDE w:val="0"/>
      <w:autoSpaceDN w:val="0"/>
      <w:spacing w:after="0" w:line="240" w:lineRule="auto"/>
      <w:ind w:right="-1"/>
      <w:jc w:val="both"/>
    </w:pPr>
    <w:rPr>
      <w:rFonts w:ascii="Times New Roman" w:eastAsia="Times New Roman" w:hAnsi="Times New Roman" w:cs="Times New Roman"/>
      <w:sz w:val="28"/>
      <w:szCs w:val="28"/>
      <w:lang w:eastAsia="es-ES"/>
    </w:rPr>
  </w:style>
  <w:style w:type="character" w:customStyle="1" w:styleId="apple-converted-space">
    <w:name w:val="apple-converted-space"/>
    <w:basedOn w:val="Fuentedeprrafopredeter"/>
    <w:rsid w:val="00724117"/>
    <w:rPr>
      <w:rFonts w:cs="Times New Roman"/>
    </w:rPr>
  </w:style>
  <w:style w:type="paragraph" w:styleId="Textosinformato">
    <w:name w:val="Plain Text"/>
    <w:basedOn w:val="Normal"/>
    <w:link w:val="TextosinformatoCar"/>
    <w:uiPriority w:val="99"/>
    <w:unhideWhenUsed/>
    <w:rsid w:val="00724117"/>
    <w:pPr>
      <w:spacing w:after="0" w:line="240" w:lineRule="auto"/>
    </w:pPr>
    <w:rPr>
      <w:rFonts w:ascii="Calibri" w:hAnsi="Calibri"/>
      <w:szCs w:val="21"/>
    </w:rPr>
  </w:style>
  <w:style w:type="character" w:customStyle="1" w:styleId="TextosinformatoCar">
    <w:name w:val="Texto sin formato Car"/>
    <w:basedOn w:val="Fuentedeprrafopredeter"/>
    <w:link w:val="Textosinformato"/>
    <w:uiPriority w:val="99"/>
    <w:rsid w:val="00724117"/>
    <w:rPr>
      <w:rFonts w:ascii="Calibri" w:hAnsi="Calibri"/>
      <w:szCs w:val="21"/>
    </w:rPr>
  </w:style>
  <w:style w:type="character" w:styleId="Refdecomentario">
    <w:name w:val="annotation reference"/>
    <w:basedOn w:val="Fuentedeprrafopredeter"/>
    <w:uiPriority w:val="99"/>
    <w:semiHidden/>
    <w:unhideWhenUsed/>
    <w:rsid w:val="00724117"/>
    <w:rPr>
      <w:sz w:val="16"/>
      <w:szCs w:val="16"/>
    </w:rPr>
  </w:style>
  <w:style w:type="paragraph" w:styleId="Textocomentario">
    <w:name w:val="annotation text"/>
    <w:basedOn w:val="Normal"/>
    <w:link w:val="TextocomentarioCar"/>
    <w:uiPriority w:val="99"/>
    <w:unhideWhenUsed/>
    <w:rsid w:val="00724117"/>
    <w:pPr>
      <w:spacing w:after="0" w:line="240" w:lineRule="auto"/>
    </w:pPr>
    <w:rPr>
      <w:rFonts w:ascii="Times New Roman" w:eastAsia="MS Mincho"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724117"/>
    <w:rPr>
      <w:rFonts w:ascii="Times New Roman" w:eastAsia="MS Mincho"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724117"/>
    <w:rPr>
      <w:b/>
      <w:bCs/>
    </w:rPr>
  </w:style>
  <w:style w:type="character" w:customStyle="1" w:styleId="AsuntodelcomentarioCar">
    <w:name w:val="Asunto del comentario Car"/>
    <w:basedOn w:val="TextocomentarioCar"/>
    <w:link w:val="Asuntodelcomentario"/>
    <w:uiPriority w:val="99"/>
    <w:semiHidden/>
    <w:rsid w:val="00724117"/>
    <w:rPr>
      <w:rFonts w:ascii="Times New Roman" w:eastAsia="MS Mincho" w:hAnsi="Times New Roman" w:cs="Times New Roman"/>
      <w:b/>
      <w:bCs/>
      <w:sz w:val="20"/>
      <w:szCs w:val="20"/>
      <w:lang w:val="es-ES" w:eastAsia="es-ES"/>
    </w:rPr>
  </w:style>
  <w:style w:type="paragraph" w:styleId="Revisin">
    <w:name w:val="Revision"/>
    <w:hidden/>
    <w:uiPriority w:val="99"/>
    <w:semiHidden/>
    <w:rsid w:val="00724117"/>
    <w:pPr>
      <w:spacing w:after="0" w:line="240" w:lineRule="auto"/>
    </w:pPr>
    <w:rPr>
      <w:rFonts w:ascii="Times New Roman" w:eastAsia="MS Mincho" w:hAnsi="Times New Roman" w:cs="Times New Roman"/>
      <w:sz w:val="24"/>
      <w:szCs w:val="24"/>
      <w:lang w:val="es-ES" w:eastAsia="es-ES"/>
    </w:rPr>
  </w:style>
  <w:style w:type="paragraph" w:styleId="Textoindependiente3">
    <w:name w:val="Body Text 3"/>
    <w:basedOn w:val="Normal"/>
    <w:link w:val="Textoindependiente3Car"/>
    <w:unhideWhenUsed/>
    <w:rsid w:val="00724117"/>
    <w:pPr>
      <w:spacing w:after="120" w:line="240" w:lineRule="auto"/>
    </w:pPr>
    <w:rPr>
      <w:rFonts w:ascii="Times New Roman" w:eastAsia="MS Mincho"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117"/>
    <w:rPr>
      <w:rFonts w:ascii="Times New Roman" w:eastAsia="MS Mincho" w:hAnsi="Times New Roman" w:cs="Times New Roman"/>
      <w:sz w:val="16"/>
      <w:szCs w:val="16"/>
      <w:lang w:val="es-ES" w:eastAsia="es-ES"/>
    </w:rPr>
  </w:style>
  <w:style w:type="paragraph" w:styleId="Textoindependiente2">
    <w:name w:val="Body Text 2"/>
    <w:basedOn w:val="Normal"/>
    <w:link w:val="Textoindependiente2Car"/>
    <w:uiPriority w:val="99"/>
    <w:unhideWhenUsed/>
    <w:rsid w:val="00724117"/>
    <w:pPr>
      <w:spacing w:after="120" w:line="480" w:lineRule="auto"/>
    </w:pPr>
    <w:rPr>
      <w:rFonts w:ascii="Times New Roman" w:eastAsia="MS Mincho"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rsid w:val="00724117"/>
    <w:rPr>
      <w:rFonts w:ascii="Times New Roman" w:eastAsia="MS Mincho" w:hAnsi="Times New Roman" w:cs="Times New Roman"/>
      <w:sz w:val="24"/>
      <w:szCs w:val="24"/>
      <w:lang w:val="es-ES" w:eastAsia="es-ES"/>
    </w:rPr>
  </w:style>
  <w:style w:type="character" w:customStyle="1" w:styleId="iaj1">
    <w:name w:val="i_aj1"/>
    <w:basedOn w:val="Fuentedeprrafopredeter"/>
    <w:rsid w:val="00724117"/>
    <w:rPr>
      <w:i/>
      <w:iCs/>
    </w:rPr>
  </w:style>
  <w:style w:type="table" w:styleId="Tablaconcuadrcula3-nfasis1">
    <w:name w:val="Grid Table 3 Accent 1"/>
    <w:basedOn w:val="Tablanormal"/>
    <w:uiPriority w:val="48"/>
    <w:rsid w:val="00724117"/>
    <w:pPr>
      <w:spacing w:after="0" w:line="240" w:lineRule="auto"/>
    </w:pPr>
    <w:tblPr>
      <w:tblStyleRowBandSize w:val="1"/>
      <w:tblStyleColBandSize w:val="1"/>
      <w:tblInd w:w="0" w:type="nil"/>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styleId="Textonotaalfinal">
    <w:name w:val="endnote text"/>
    <w:basedOn w:val="Normal"/>
    <w:link w:val="TextonotaalfinalCar"/>
    <w:uiPriority w:val="99"/>
    <w:semiHidden/>
    <w:unhideWhenUsed/>
    <w:rsid w:val="00724117"/>
    <w:pPr>
      <w:spacing w:after="0" w:line="240" w:lineRule="auto"/>
    </w:pPr>
    <w:rPr>
      <w:rFonts w:ascii="Times New Roman" w:eastAsia="MS Mincho" w:hAnsi="Times New Roman" w:cs="Times New Roman"/>
      <w:sz w:val="20"/>
      <w:szCs w:val="20"/>
      <w:lang w:val="es-ES" w:eastAsia="es-ES"/>
    </w:rPr>
  </w:style>
  <w:style w:type="character" w:customStyle="1" w:styleId="TextonotaalfinalCar">
    <w:name w:val="Texto nota al final Car"/>
    <w:basedOn w:val="Fuentedeprrafopredeter"/>
    <w:link w:val="Textonotaalfinal"/>
    <w:uiPriority w:val="99"/>
    <w:semiHidden/>
    <w:rsid w:val="00724117"/>
    <w:rPr>
      <w:rFonts w:ascii="Times New Roman" w:eastAsia="MS Mincho" w:hAnsi="Times New Roman" w:cs="Times New Roman"/>
      <w:sz w:val="20"/>
      <w:szCs w:val="20"/>
      <w:lang w:val="es-ES" w:eastAsia="es-ES"/>
    </w:rPr>
  </w:style>
  <w:style w:type="character" w:styleId="Refdenotaalfinal">
    <w:name w:val="endnote reference"/>
    <w:basedOn w:val="Fuentedeprrafopredeter"/>
    <w:uiPriority w:val="99"/>
    <w:semiHidden/>
    <w:unhideWhenUsed/>
    <w:rsid w:val="00724117"/>
    <w:rPr>
      <w:vertAlign w:val="superscript"/>
    </w:rPr>
  </w:style>
  <w:style w:type="paragraph" w:customStyle="1" w:styleId="CM2">
    <w:name w:val="CM2"/>
    <w:basedOn w:val="Default"/>
    <w:next w:val="Default"/>
    <w:uiPriority w:val="99"/>
    <w:rsid w:val="00724117"/>
    <w:pPr>
      <w:spacing w:line="273" w:lineRule="atLeast"/>
    </w:pPr>
    <w:rPr>
      <w:rFonts w:ascii="Arial" w:hAnsi="Arial" w:cs="Arial"/>
      <w:color w:val="auto"/>
    </w:rPr>
  </w:style>
  <w:style w:type="paragraph" w:customStyle="1" w:styleId="Cabezote">
    <w:name w:val="Cabezote"/>
    <w:basedOn w:val="Normal"/>
    <w:qFormat/>
    <w:rsid w:val="00724117"/>
    <w:pPr>
      <w:spacing w:before="40" w:after="40" w:line="240" w:lineRule="auto"/>
      <w:jc w:val="center"/>
    </w:pPr>
    <w:rPr>
      <w:rFonts w:ascii="Work Sans Medium" w:eastAsia="Calibri Light" w:hAnsi="Work Sans Medium" w:cs="Calibri Light"/>
      <w:b/>
      <w:bCs/>
      <w:color w:val="069169"/>
      <w:sz w:val="18"/>
    </w:rPr>
  </w:style>
  <w:style w:type="character" w:styleId="Mencinsinresolver">
    <w:name w:val="Unresolved Mention"/>
    <w:basedOn w:val="Fuentedeprrafopredeter"/>
    <w:uiPriority w:val="99"/>
    <w:semiHidden/>
    <w:unhideWhenUsed/>
    <w:rsid w:val="000F3E3D"/>
    <w:rPr>
      <w:color w:val="605E5C"/>
      <w:shd w:val="clear" w:color="auto" w:fill="E1DFDD"/>
    </w:rPr>
  </w:style>
  <w:style w:type="paragraph" w:styleId="Sinespaciado">
    <w:name w:val="No Spacing"/>
    <w:uiPriority w:val="1"/>
    <w:qFormat/>
    <w:rsid w:val="002676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401509">
      <w:bodyDiv w:val="1"/>
      <w:marLeft w:val="0"/>
      <w:marRight w:val="0"/>
      <w:marTop w:val="0"/>
      <w:marBottom w:val="0"/>
      <w:divBdr>
        <w:top w:val="none" w:sz="0" w:space="0" w:color="auto"/>
        <w:left w:val="none" w:sz="0" w:space="0" w:color="auto"/>
        <w:bottom w:val="none" w:sz="0" w:space="0" w:color="auto"/>
        <w:right w:val="none" w:sz="0" w:space="0" w:color="auto"/>
      </w:divBdr>
    </w:div>
    <w:div w:id="220756240">
      <w:bodyDiv w:val="1"/>
      <w:marLeft w:val="0"/>
      <w:marRight w:val="0"/>
      <w:marTop w:val="0"/>
      <w:marBottom w:val="0"/>
      <w:divBdr>
        <w:top w:val="none" w:sz="0" w:space="0" w:color="auto"/>
        <w:left w:val="none" w:sz="0" w:space="0" w:color="auto"/>
        <w:bottom w:val="none" w:sz="0" w:space="0" w:color="auto"/>
        <w:right w:val="none" w:sz="0" w:space="0" w:color="auto"/>
      </w:divBdr>
    </w:div>
    <w:div w:id="313988959">
      <w:bodyDiv w:val="1"/>
      <w:marLeft w:val="0"/>
      <w:marRight w:val="0"/>
      <w:marTop w:val="0"/>
      <w:marBottom w:val="0"/>
      <w:divBdr>
        <w:top w:val="none" w:sz="0" w:space="0" w:color="auto"/>
        <w:left w:val="none" w:sz="0" w:space="0" w:color="auto"/>
        <w:bottom w:val="none" w:sz="0" w:space="0" w:color="auto"/>
        <w:right w:val="none" w:sz="0" w:space="0" w:color="auto"/>
      </w:divBdr>
    </w:div>
    <w:div w:id="438792312">
      <w:bodyDiv w:val="1"/>
      <w:marLeft w:val="0"/>
      <w:marRight w:val="0"/>
      <w:marTop w:val="0"/>
      <w:marBottom w:val="0"/>
      <w:divBdr>
        <w:top w:val="none" w:sz="0" w:space="0" w:color="auto"/>
        <w:left w:val="none" w:sz="0" w:space="0" w:color="auto"/>
        <w:bottom w:val="none" w:sz="0" w:space="0" w:color="auto"/>
        <w:right w:val="none" w:sz="0" w:space="0" w:color="auto"/>
      </w:divBdr>
    </w:div>
    <w:div w:id="467481532">
      <w:bodyDiv w:val="1"/>
      <w:marLeft w:val="0"/>
      <w:marRight w:val="0"/>
      <w:marTop w:val="0"/>
      <w:marBottom w:val="0"/>
      <w:divBdr>
        <w:top w:val="none" w:sz="0" w:space="0" w:color="auto"/>
        <w:left w:val="none" w:sz="0" w:space="0" w:color="auto"/>
        <w:bottom w:val="none" w:sz="0" w:space="0" w:color="auto"/>
        <w:right w:val="none" w:sz="0" w:space="0" w:color="auto"/>
      </w:divBdr>
    </w:div>
    <w:div w:id="579221333">
      <w:bodyDiv w:val="1"/>
      <w:marLeft w:val="0"/>
      <w:marRight w:val="0"/>
      <w:marTop w:val="0"/>
      <w:marBottom w:val="0"/>
      <w:divBdr>
        <w:top w:val="none" w:sz="0" w:space="0" w:color="auto"/>
        <w:left w:val="none" w:sz="0" w:space="0" w:color="auto"/>
        <w:bottom w:val="none" w:sz="0" w:space="0" w:color="auto"/>
        <w:right w:val="none" w:sz="0" w:space="0" w:color="auto"/>
      </w:divBdr>
    </w:div>
    <w:div w:id="582840785">
      <w:bodyDiv w:val="1"/>
      <w:marLeft w:val="0"/>
      <w:marRight w:val="0"/>
      <w:marTop w:val="0"/>
      <w:marBottom w:val="0"/>
      <w:divBdr>
        <w:top w:val="none" w:sz="0" w:space="0" w:color="auto"/>
        <w:left w:val="none" w:sz="0" w:space="0" w:color="auto"/>
        <w:bottom w:val="none" w:sz="0" w:space="0" w:color="auto"/>
        <w:right w:val="none" w:sz="0" w:space="0" w:color="auto"/>
      </w:divBdr>
    </w:div>
    <w:div w:id="672338508">
      <w:bodyDiv w:val="1"/>
      <w:marLeft w:val="0"/>
      <w:marRight w:val="0"/>
      <w:marTop w:val="0"/>
      <w:marBottom w:val="0"/>
      <w:divBdr>
        <w:top w:val="none" w:sz="0" w:space="0" w:color="auto"/>
        <w:left w:val="none" w:sz="0" w:space="0" w:color="auto"/>
        <w:bottom w:val="none" w:sz="0" w:space="0" w:color="auto"/>
        <w:right w:val="none" w:sz="0" w:space="0" w:color="auto"/>
      </w:divBdr>
    </w:div>
    <w:div w:id="761491934">
      <w:bodyDiv w:val="1"/>
      <w:marLeft w:val="0"/>
      <w:marRight w:val="0"/>
      <w:marTop w:val="0"/>
      <w:marBottom w:val="0"/>
      <w:divBdr>
        <w:top w:val="none" w:sz="0" w:space="0" w:color="auto"/>
        <w:left w:val="none" w:sz="0" w:space="0" w:color="auto"/>
        <w:bottom w:val="none" w:sz="0" w:space="0" w:color="auto"/>
        <w:right w:val="none" w:sz="0" w:space="0" w:color="auto"/>
      </w:divBdr>
    </w:div>
    <w:div w:id="819269149">
      <w:bodyDiv w:val="1"/>
      <w:marLeft w:val="0"/>
      <w:marRight w:val="0"/>
      <w:marTop w:val="0"/>
      <w:marBottom w:val="0"/>
      <w:divBdr>
        <w:top w:val="none" w:sz="0" w:space="0" w:color="auto"/>
        <w:left w:val="none" w:sz="0" w:space="0" w:color="auto"/>
        <w:bottom w:val="none" w:sz="0" w:space="0" w:color="auto"/>
        <w:right w:val="none" w:sz="0" w:space="0" w:color="auto"/>
      </w:divBdr>
    </w:div>
    <w:div w:id="866403966">
      <w:bodyDiv w:val="1"/>
      <w:marLeft w:val="0"/>
      <w:marRight w:val="0"/>
      <w:marTop w:val="0"/>
      <w:marBottom w:val="0"/>
      <w:divBdr>
        <w:top w:val="none" w:sz="0" w:space="0" w:color="auto"/>
        <w:left w:val="none" w:sz="0" w:space="0" w:color="auto"/>
        <w:bottom w:val="none" w:sz="0" w:space="0" w:color="auto"/>
        <w:right w:val="none" w:sz="0" w:space="0" w:color="auto"/>
      </w:divBdr>
    </w:div>
    <w:div w:id="975914304">
      <w:bodyDiv w:val="1"/>
      <w:marLeft w:val="0"/>
      <w:marRight w:val="0"/>
      <w:marTop w:val="0"/>
      <w:marBottom w:val="0"/>
      <w:divBdr>
        <w:top w:val="none" w:sz="0" w:space="0" w:color="auto"/>
        <w:left w:val="none" w:sz="0" w:space="0" w:color="auto"/>
        <w:bottom w:val="none" w:sz="0" w:space="0" w:color="auto"/>
        <w:right w:val="none" w:sz="0" w:space="0" w:color="auto"/>
      </w:divBdr>
    </w:div>
    <w:div w:id="1040283807">
      <w:bodyDiv w:val="1"/>
      <w:marLeft w:val="0"/>
      <w:marRight w:val="0"/>
      <w:marTop w:val="0"/>
      <w:marBottom w:val="0"/>
      <w:divBdr>
        <w:top w:val="none" w:sz="0" w:space="0" w:color="auto"/>
        <w:left w:val="none" w:sz="0" w:space="0" w:color="auto"/>
        <w:bottom w:val="none" w:sz="0" w:space="0" w:color="auto"/>
        <w:right w:val="none" w:sz="0" w:space="0" w:color="auto"/>
      </w:divBdr>
    </w:div>
    <w:div w:id="1079062783">
      <w:bodyDiv w:val="1"/>
      <w:marLeft w:val="0"/>
      <w:marRight w:val="0"/>
      <w:marTop w:val="0"/>
      <w:marBottom w:val="0"/>
      <w:divBdr>
        <w:top w:val="none" w:sz="0" w:space="0" w:color="auto"/>
        <w:left w:val="none" w:sz="0" w:space="0" w:color="auto"/>
        <w:bottom w:val="none" w:sz="0" w:space="0" w:color="auto"/>
        <w:right w:val="none" w:sz="0" w:space="0" w:color="auto"/>
      </w:divBdr>
    </w:div>
    <w:div w:id="1284193138">
      <w:bodyDiv w:val="1"/>
      <w:marLeft w:val="0"/>
      <w:marRight w:val="0"/>
      <w:marTop w:val="0"/>
      <w:marBottom w:val="0"/>
      <w:divBdr>
        <w:top w:val="none" w:sz="0" w:space="0" w:color="auto"/>
        <w:left w:val="none" w:sz="0" w:space="0" w:color="auto"/>
        <w:bottom w:val="none" w:sz="0" w:space="0" w:color="auto"/>
        <w:right w:val="none" w:sz="0" w:space="0" w:color="auto"/>
      </w:divBdr>
    </w:div>
    <w:div w:id="1295601669">
      <w:bodyDiv w:val="1"/>
      <w:marLeft w:val="0"/>
      <w:marRight w:val="0"/>
      <w:marTop w:val="0"/>
      <w:marBottom w:val="0"/>
      <w:divBdr>
        <w:top w:val="none" w:sz="0" w:space="0" w:color="auto"/>
        <w:left w:val="none" w:sz="0" w:space="0" w:color="auto"/>
        <w:bottom w:val="none" w:sz="0" w:space="0" w:color="auto"/>
        <w:right w:val="none" w:sz="0" w:space="0" w:color="auto"/>
      </w:divBdr>
    </w:div>
    <w:div w:id="1411270769">
      <w:bodyDiv w:val="1"/>
      <w:marLeft w:val="0"/>
      <w:marRight w:val="0"/>
      <w:marTop w:val="0"/>
      <w:marBottom w:val="0"/>
      <w:divBdr>
        <w:top w:val="none" w:sz="0" w:space="0" w:color="auto"/>
        <w:left w:val="none" w:sz="0" w:space="0" w:color="auto"/>
        <w:bottom w:val="none" w:sz="0" w:space="0" w:color="auto"/>
        <w:right w:val="none" w:sz="0" w:space="0" w:color="auto"/>
      </w:divBdr>
    </w:div>
    <w:div w:id="1475295360">
      <w:bodyDiv w:val="1"/>
      <w:marLeft w:val="0"/>
      <w:marRight w:val="0"/>
      <w:marTop w:val="0"/>
      <w:marBottom w:val="0"/>
      <w:divBdr>
        <w:top w:val="none" w:sz="0" w:space="0" w:color="auto"/>
        <w:left w:val="none" w:sz="0" w:space="0" w:color="auto"/>
        <w:bottom w:val="none" w:sz="0" w:space="0" w:color="auto"/>
        <w:right w:val="none" w:sz="0" w:space="0" w:color="auto"/>
      </w:divBdr>
    </w:div>
    <w:div w:id="1494293550">
      <w:bodyDiv w:val="1"/>
      <w:marLeft w:val="0"/>
      <w:marRight w:val="0"/>
      <w:marTop w:val="0"/>
      <w:marBottom w:val="0"/>
      <w:divBdr>
        <w:top w:val="none" w:sz="0" w:space="0" w:color="auto"/>
        <w:left w:val="none" w:sz="0" w:space="0" w:color="auto"/>
        <w:bottom w:val="none" w:sz="0" w:space="0" w:color="auto"/>
        <w:right w:val="none" w:sz="0" w:space="0" w:color="auto"/>
      </w:divBdr>
    </w:div>
    <w:div w:id="1648585635">
      <w:bodyDiv w:val="1"/>
      <w:marLeft w:val="0"/>
      <w:marRight w:val="0"/>
      <w:marTop w:val="0"/>
      <w:marBottom w:val="0"/>
      <w:divBdr>
        <w:top w:val="none" w:sz="0" w:space="0" w:color="auto"/>
        <w:left w:val="none" w:sz="0" w:space="0" w:color="auto"/>
        <w:bottom w:val="none" w:sz="0" w:space="0" w:color="auto"/>
        <w:right w:val="none" w:sz="0" w:space="0" w:color="auto"/>
      </w:divBdr>
    </w:div>
    <w:div w:id="1662155750">
      <w:bodyDiv w:val="1"/>
      <w:marLeft w:val="0"/>
      <w:marRight w:val="0"/>
      <w:marTop w:val="0"/>
      <w:marBottom w:val="0"/>
      <w:divBdr>
        <w:top w:val="none" w:sz="0" w:space="0" w:color="auto"/>
        <w:left w:val="none" w:sz="0" w:space="0" w:color="auto"/>
        <w:bottom w:val="none" w:sz="0" w:space="0" w:color="auto"/>
        <w:right w:val="none" w:sz="0" w:space="0" w:color="auto"/>
      </w:divBdr>
    </w:div>
    <w:div w:id="1689746177">
      <w:bodyDiv w:val="1"/>
      <w:marLeft w:val="0"/>
      <w:marRight w:val="0"/>
      <w:marTop w:val="0"/>
      <w:marBottom w:val="0"/>
      <w:divBdr>
        <w:top w:val="none" w:sz="0" w:space="0" w:color="auto"/>
        <w:left w:val="none" w:sz="0" w:space="0" w:color="auto"/>
        <w:bottom w:val="none" w:sz="0" w:space="0" w:color="auto"/>
        <w:right w:val="none" w:sz="0" w:space="0" w:color="auto"/>
      </w:divBdr>
    </w:div>
    <w:div w:id="1800568295">
      <w:bodyDiv w:val="1"/>
      <w:marLeft w:val="0"/>
      <w:marRight w:val="0"/>
      <w:marTop w:val="0"/>
      <w:marBottom w:val="0"/>
      <w:divBdr>
        <w:top w:val="none" w:sz="0" w:space="0" w:color="auto"/>
        <w:left w:val="none" w:sz="0" w:space="0" w:color="auto"/>
        <w:bottom w:val="none" w:sz="0" w:space="0" w:color="auto"/>
        <w:right w:val="none" w:sz="0" w:space="0" w:color="auto"/>
      </w:divBdr>
    </w:div>
    <w:div w:id="1834098960">
      <w:bodyDiv w:val="1"/>
      <w:marLeft w:val="0"/>
      <w:marRight w:val="0"/>
      <w:marTop w:val="0"/>
      <w:marBottom w:val="0"/>
      <w:divBdr>
        <w:top w:val="none" w:sz="0" w:space="0" w:color="auto"/>
        <w:left w:val="none" w:sz="0" w:space="0" w:color="auto"/>
        <w:bottom w:val="none" w:sz="0" w:space="0" w:color="auto"/>
        <w:right w:val="none" w:sz="0" w:space="0" w:color="auto"/>
      </w:divBdr>
    </w:div>
    <w:div w:id="1905019471">
      <w:bodyDiv w:val="1"/>
      <w:marLeft w:val="0"/>
      <w:marRight w:val="0"/>
      <w:marTop w:val="0"/>
      <w:marBottom w:val="0"/>
      <w:divBdr>
        <w:top w:val="none" w:sz="0" w:space="0" w:color="auto"/>
        <w:left w:val="none" w:sz="0" w:space="0" w:color="auto"/>
        <w:bottom w:val="none" w:sz="0" w:space="0" w:color="auto"/>
        <w:right w:val="none" w:sz="0" w:space="0" w:color="auto"/>
      </w:divBdr>
    </w:div>
    <w:div w:id="213405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73223-1564-4A81-985C-D106550E7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24</Pages>
  <Words>6095</Words>
  <Characters>33523</Characters>
  <Application>Microsoft Office Word</Application>
  <DocSecurity>0</DocSecurity>
  <Lines>279</Lines>
  <Paragraphs>79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Ministerio de Hacienda y Credito Publico</Company>
  <LinksUpToDate>false</LinksUpToDate>
  <CharactersWithSpaces>39539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Del Pilar Florido Caicedo</dc:creator>
  <cp:keywords/>
  <dc:description/>
  <cp:lastModifiedBy>Sandra Viviana Mora Romero</cp:lastModifiedBy>
  <cp:revision>5</cp:revision>
  <dcterms:created xsi:type="dcterms:W3CDTF">2024-08-16T17:46:00Z</dcterms:created>
  <dcterms:modified xsi:type="dcterms:W3CDTF">2024-08-16T22:18:00Z</dcterms:modified>
</cp:coreProperties>
</file>