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A6CD3" w14:textId="7E360C22" w:rsidR="0072175F" w:rsidRPr="002A17E0" w:rsidRDefault="00144017" w:rsidP="00B3523E">
      <w:pPr>
        <w:jc w:val="center"/>
        <w:rPr>
          <w:rFonts w:ascii="Verdana" w:hAnsi="Verdana" w:cs="Arial"/>
          <w:b/>
        </w:rPr>
      </w:pPr>
      <w:r w:rsidRPr="002A17E0">
        <w:rPr>
          <w:rFonts w:ascii="Verdana" w:hAnsi="Verdana" w:cs="Arial"/>
          <w:b/>
        </w:rPr>
        <w:t xml:space="preserve">INFORMACIÓN </w:t>
      </w:r>
      <w:r w:rsidR="00B3523E" w:rsidRPr="002A17E0">
        <w:rPr>
          <w:rFonts w:ascii="Verdana" w:hAnsi="Verdana" w:cs="Arial"/>
          <w:b/>
        </w:rPr>
        <w:t>PROPOSICIÓ</w:t>
      </w:r>
      <w:r w:rsidR="00971C20" w:rsidRPr="002A17E0">
        <w:rPr>
          <w:rFonts w:ascii="Verdana" w:hAnsi="Verdana" w:cs="Arial"/>
          <w:b/>
        </w:rPr>
        <w:t>N PRESIDENTE COMISIÓN PRIMERA</w:t>
      </w:r>
      <w:r w:rsidR="00B876EE" w:rsidRPr="002A17E0">
        <w:rPr>
          <w:rFonts w:ascii="Verdana" w:hAnsi="Verdana" w:cs="Arial"/>
          <w:b/>
        </w:rPr>
        <w:t xml:space="preserve"> CÁMARA DE REPRESENTANTES</w:t>
      </w:r>
      <w:r w:rsidR="00971C20" w:rsidRPr="002A17E0">
        <w:rPr>
          <w:rFonts w:ascii="Verdana" w:hAnsi="Verdana" w:cs="Arial"/>
          <w:b/>
        </w:rPr>
        <w:t xml:space="preserve"> (13-AGO-2024)</w:t>
      </w:r>
    </w:p>
    <w:p w14:paraId="2253EFE8" w14:textId="3D15321B" w:rsidR="0072175F" w:rsidRPr="002A17E0" w:rsidRDefault="0072175F" w:rsidP="003D6C05">
      <w:pPr>
        <w:rPr>
          <w:rFonts w:ascii="Verdana" w:hAnsi="Verdana" w:cs="Arial"/>
          <w:b/>
        </w:rPr>
      </w:pPr>
    </w:p>
    <w:p w14:paraId="6085D5C6" w14:textId="643E91AD" w:rsidR="00431B1E" w:rsidRPr="002A17E0" w:rsidRDefault="00A51A45" w:rsidP="00A51A45">
      <w:pPr>
        <w:pStyle w:val="Cierre"/>
        <w:spacing w:before="100" w:beforeAutospacing="1" w:after="27" w:afterAutospacing="1"/>
        <w:ind w:left="0"/>
        <w:contextualSpacing/>
        <w:jc w:val="both"/>
        <w:rPr>
          <w:rFonts w:ascii="Verdana" w:hAnsi="Verdana" w:cs="Arial"/>
          <w:b/>
          <w:sz w:val="22"/>
          <w:szCs w:val="22"/>
        </w:rPr>
      </w:pPr>
      <w:r w:rsidRPr="002A17E0">
        <w:rPr>
          <w:rFonts w:ascii="Verdana" w:hAnsi="Verdana" w:cs="Arial"/>
          <w:b/>
          <w:sz w:val="22"/>
          <w:szCs w:val="22"/>
        </w:rPr>
        <w:t>Pregunta No 2</w:t>
      </w:r>
      <w:r w:rsidR="007B676F" w:rsidRPr="002A17E0">
        <w:rPr>
          <w:rFonts w:ascii="Verdana" w:hAnsi="Verdana" w:cs="Arial"/>
          <w:b/>
          <w:sz w:val="22"/>
          <w:szCs w:val="22"/>
        </w:rPr>
        <w:t xml:space="preserve">. </w:t>
      </w:r>
      <w:r w:rsidR="00431B1E" w:rsidRPr="002A17E0">
        <w:rPr>
          <w:rFonts w:ascii="Verdana" w:hAnsi="Verdana" w:cs="Arial"/>
          <w:b/>
          <w:sz w:val="22"/>
          <w:szCs w:val="22"/>
        </w:rPr>
        <w:t>Sírvase informar el porcentaje y rubro destinado para el pago de los contratos de prestación de servicios y si este corresponde a la partida de inversión o gasto de funcionamiento para las vigencias 2023 y 2024.</w:t>
      </w:r>
    </w:p>
    <w:p w14:paraId="0966F828" w14:textId="77777777" w:rsidR="00431B1E" w:rsidRPr="002A17E0" w:rsidRDefault="00431B1E" w:rsidP="00431B1E">
      <w:pPr>
        <w:pStyle w:val="Cierre"/>
        <w:spacing w:before="100" w:beforeAutospacing="1" w:after="27" w:afterAutospacing="1"/>
        <w:contextualSpacing/>
        <w:jc w:val="both"/>
        <w:rPr>
          <w:rFonts w:ascii="Verdana" w:hAnsi="Verdana" w:cs="Arial"/>
          <w:b/>
          <w:sz w:val="22"/>
          <w:szCs w:val="22"/>
        </w:rPr>
      </w:pPr>
    </w:p>
    <w:p w14:paraId="4E4AC73C" w14:textId="77777777" w:rsidR="00431B1E" w:rsidRPr="002A17E0" w:rsidRDefault="00431B1E" w:rsidP="00431B1E">
      <w:pPr>
        <w:pStyle w:val="Cierre"/>
        <w:spacing w:before="100" w:beforeAutospacing="1" w:after="27" w:afterAutospacing="1"/>
        <w:ind w:left="0"/>
        <w:contextualSpacing/>
        <w:jc w:val="both"/>
        <w:rPr>
          <w:rFonts w:ascii="Verdana" w:hAnsi="Verdana"/>
          <w:b/>
          <w:bCs/>
          <w:sz w:val="22"/>
          <w:szCs w:val="22"/>
        </w:rPr>
      </w:pPr>
      <w:r w:rsidRPr="002A17E0">
        <w:rPr>
          <w:rFonts w:ascii="Verdana" w:hAnsi="Verdana"/>
          <w:b/>
          <w:bCs/>
          <w:sz w:val="22"/>
          <w:szCs w:val="22"/>
        </w:rPr>
        <w:t>Respuesta</w:t>
      </w:r>
    </w:p>
    <w:p w14:paraId="25CA252F" w14:textId="7BA6CBA1" w:rsidR="00431B1E" w:rsidRPr="002A17E0" w:rsidRDefault="00431B1E" w:rsidP="00431B1E">
      <w:pPr>
        <w:pStyle w:val="Cierre"/>
        <w:spacing w:before="100" w:beforeAutospacing="1" w:after="27" w:afterAutospacing="1"/>
        <w:ind w:left="0"/>
        <w:contextualSpacing/>
        <w:jc w:val="both"/>
        <w:rPr>
          <w:rFonts w:ascii="Verdana" w:hAnsi="Verdana"/>
          <w:b/>
          <w:bCs/>
          <w:sz w:val="22"/>
          <w:szCs w:val="22"/>
        </w:rPr>
      </w:pPr>
    </w:p>
    <w:tbl>
      <w:tblPr>
        <w:tblStyle w:val="Tablaconcuadrcula"/>
        <w:tblW w:w="8784" w:type="dxa"/>
        <w:tblLook w:val="04A0" w:firstRow="1" w:lastRow="0" w:firstColumn="1" w:lastColumn="0" w:noHBand="0" w:noVBand="1"/>
      </w:tblPr>
      <w:tblGrid>
        <w:gridCol w:w="1160"/>
        <w:gridCol w:w="2038"/>
        <w:gridCol w:w="1330"/>
        <w:gridCol w:w="1143"/>
        <w:gridCol w:w="1357"/>
        <w:gridCol w:w="1139"/>
        <w:gridCol w:w="617"/>
      </w:tblGrid>
      <w:tr w:rsidR="00F16F1A" w:rsidRPr="002A17E0" w14:paraId="15659511" w14:textId="77777777" w:rsidTr="00F16F1A">
        <w:tc>
          <w:tcPr>
            <w:tcW w:w="1160" w:type="dxa"/>
            <w:shd w:val="clear" w:color="auto" w:fill="E7E6E6" w:themeFill="background2"/>
            <w:vAlign w:val="center"/>
          </w:tcPr>
          <w:p w14:paraId="18A7D2F0"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Código</w:t>
            </w:r>
          </w:p>
        </w:tc>
        <w:tc>
          <w:tcPr>
            <w:tcW w:w="2038" w:type="dxa"/>
            <w:shd w:val="clear" w:color="auto" w:fill="E7E6E6" w:themeFill="background2"/>
            <w:vAlign w:val="center"/>
          </w:tcPr>
          <w:p w14:paraId="7953EF1E"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Rubro</w:t>
            </w:r>
          </w:p>
        </w:tc>
        <w:tc>
          <w:tcPr>
            <w:tcW w:w="1330" w:type="dxa"/>
            <w:shd w:val="clear" w:color="auto" w:fill="E7E6E6" w:themeFill="background2"/>
            <w:vAlign w:val="center"/>
          </w:tcPr>
          <w:p w14:paraId="24095001"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Proyecto de inversión</w:t>
            </w:r>
          </w:p>
        </w:tc>
        <w:tc>
          <w:tcPr>
            <w:tcW w:w="1143" w:type="dxa"/>
            <w:shd w:val="clear" w:color="auto" w:fill="E7E6E6" w:themeFill="background2"/>
            <w:vAlign w:val="center"/>
          </w:tcPr>
          <w:p w14:paraId="144F04D1" w14:textId="41A65093"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proofErr w:type="spellStart"/>
            <w:r w:rsidRPr="002A17E0">
              <w:rPr>
                <w:rFonts w:ascii="Verdana" w:hAnsi="Verdana"/>
                <w:b/>
                <w:bCs/>
                <w:sz w:val="14"/>
                <w:szCs w:val="14"/>
              </w:rPr>
              <w:t>Aprop</w:t>
            </w:r>
            <w:proofErr w:type="spellEnd"/>
            <w:r w:rsidRPr="002A17E0">
              <w:rPr>
                <w:rFonts w:ascii="Verdana" w:hAnsi="Verdana"/>
                <w:b/>
                <w:bCs/>
                <w:sz w:val="14"/>
                <w:szCs w:val="14"/>
              </w:rPr>
              <w:t>. Disponible</w:t>
            </w:r>
            <w:r w:rsidR="005E30F8">
              <w:rPr>
                <w:rFonts w:ascii="Verdana" w:hAnsi="Verdana"/>
                <w:b/>
                <w:bCs/>
                <w:sz w:val="14"/>
                <w:szCs w:val="14"/>
              </w:rPr>
              <w:t>*</w:t>
            </w:r>
          </w:p>
        </w:tc>
        <w:tc>
          <w:tcPr>
            <w:tcW w:w="1357" w:type="dxa"/>
            <w:shd w:val="clear" w:color="auto" w:fill="E7E6E6" w:themeFill="background2"/>
            <w:vAlign w:val="center"/>
          </w:tcPr>
          <w:p w14:paraId="36788039"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No. Contratos por prestación de servicios profesionales especializados</w:t>
            </w:r>
          </w:p>
        </w:tc>
        <w:tc>
          <w:tcPr>
            <w:tcW w:w="1139" w:type="dxa"/>
            <w:shd w:val="clear" w:color="auto" w:fill="E7E6E6" w:themeFill="background2"/>
            <w:vAlign w:val="center"/>
          </w:tcPr>
          <w:p w14:paraId="47DBCA52"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Costo anual</w:t>
            </w:r>
          </w:p>
        </w:tc>
        <w:tc>
          <w:tcPr>
            <w:tcW w:w="617" w:type="dxa"/>
            <w:shd w:val="clear" w:color="auto" w:fill="E7E6E6" w:themeFill="background2"/>
            <w:vAlign w:val="center"/>
          </w:tcPr>
          <w:p w14:paraId="55ED8DCB" w14:textId="77777777" w:rsidR="00915AC1" w:rsidRPr="002A17E0" w:rsidRDefault="00915AC1" w:rsidP="009B4DFC">
            <w:pPr>
              <w:pStyle w:val="Cierre"/>
              <w:spacing w:before="100" w:beforeAutospacing="1" w:after="27" w:afterAutospacing="1"/>
              <w:ind w:left="0"/>
              <w:contextualSpacing/>
              <w:jc w:val="center"/>
              <w:rPr>
                <w:rFonts w:ascii="Verdana" w:hAnsi="Verdana"/>
                <w:b/>
                <w:bCs/>
                <w:sz w:val="14"/>
                <w:szCs w:val="14"/>
              </w:rPr>
            </w:pPr>
            <w:r w:rsidRPr="002A17E0">
              <w:rPr>
                <w:rFonts w:ascii="Verdana" w:hAnsi="Verdana"/>
                <w:b/>
                <w:bCs/>
                <w:sz w:val="14"/>
                <w:szCs w:val="14"/>
              </w:rPr>
              <w:t>%</w:t>
            </w:r>
          </w:p>
        </w:tc>
      </w:tr>
      <w:tr w:rsidR="00F16F1A" w:rsidRPr="002A17E0" w14:paraId="07177F05" w14:textId="77777777" w:rsidTr="00F16F1A">
        <w:tc>
          <w:tcPr>
            <w:tcW w:w="1160" w:type="dxa"/>
          </w:tcPr>
          <w:p w14:paraId="75146B5D" w14:textId="77777777"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sidRPr="002A17E0">
              <w:rPr>
                <w:rFonts w:ascii="Verdana" w:hAnsi="Verdana" w:cstheme="majorHAnsi"/>
                <w:sz w:val="14"/>
                <w:szCs w:val="14"/>
              </w:rPr>
              <w:t>C-1305-1000-6-0-1305018-02-02</w:t>
            </w:r>
          </w:p>
        </w:tc>
        <w:tc>
          <w:tcPr>
            <w:tcW w:w="2038" w:type="dxa"/>
          </w:tcPr>
          <w:p w14:paraId="2B67C5D9" w14:textId="56675A9E"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Pr>
                <w:rFonts w:ascii="Verdana" w:eastAsia="Arial Narrow" w:hAnsi="Verdana" w:cs="Arial Narrow"/>
                <w:color w:val="201F1E"/>
                <w:sz w:val="14"/>
                <w:szCs w:val="14"/>
              </w:rPr>
              <w:t>Diseño e implementación de una estrategia de masificación de la factura electrónica</w:t>
            </w:r>
          </w:p>
        </w:tc>
        <w:tc>
          <w:tcPr>
            <w:tcW w:w="1330" w:type="dxa"/>
          </w:tcPr>
          <w:p w14:paraId="471DE16F" w14:textId="576C10C9"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Pr>
                <w:rFonts w:ascii="Verdana" w:hAnsi="Verdana" w:cstheme="majorHAnsi"/>
                <w:sz w:val="14"/>
                <w:szCs w:val="14"/>
              </w:rPr>
              <w:t>Factura electrónica</w:t>
            </w:r>
          </w:p>
        </w:tc>
        <w:tc>
          <w:tcPr>
            <w:tcW w:w="1143" w:type="dxa"/>
          </w:tcPr>
          <w:p w14:paraId="605E43BA" w14:textId="2077FD32"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$3.000</w:t>
            </w:r>
          </w:p>
        </w:tc>
        <w:tc>
          <w:tcPr>
            <w:tcW w:w="1357" w:type="dxa"/>
          </w:tcPr>
          <w:p w14:paraId="1B591FB3" w14:textId="578DA8E3" w:rsidR="005E30F8" w:rsidRPr="002A17E0" w:rsidRDefault="005E30F8" w:rsidP="005E30F8">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23</w:t>
            </w:r>
          </w:p>
        </w:tc>
        <w:tc>
          <w:tcPr>
            <w:tcW w:w="1139" w:type="dxa"/>
          </w:tcPr>
          <w:p w14:paraId="4521C36F" w14:textId="398C9C65"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$2.816,41</w:t>
            </w:r>
          </w:p>
        </w:tc>
        <w:tc>
          <w:tcPr>
            <w:tcW w:w="617" w:type="dxa"/>
          </w:tcPr>
          <w:p w14:paraId="3B535603" w14:textId="7228E7A7" w:rsidR="005E30F8" w:rsidRPr="002A17E0" w:rsidRDefault="00C5011F" w:rsidP="00C5011F">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94%</w:t>
            </w:r>
          </w:p>
        </w:tc>
      </w:tr>
      <w:tr w:rsidR="00F16F1A" w:rsidRPr="002A17E0" w14:paraId="3E1D3A40" w14:textId="77777777" w:rsidTr="00F16F1A">
        <w:tc>
          <w:tcPr>
            <w:tcW w:w="1160" w:type="dxa"/>
          </w:tcPr>
          <w:p w14:paraId="2B7092B2" w14:textId="77777777"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sidRPr="002A17E0">
              <w:rPr>
                <w:rFonts w:ascii="Verdana" w:hAnsi="Verdana" w:cstheme="majorHAnsi"/>
                <w:sz w:val="14"/>
                <w:szCs w:val="14"/>
              </w:rPr>
              <w:t>C-1305-1000-8-0-1305016-02</w:t>
            </w:r>
          </w:p>
        </w:tc>
        <w:tc>
          <w:tcPr>
            <w:tcW w:w="2038" w:type="dxa"/>
          </w:tcPr>
          <w:p w14:paraId="18B89321" w14:textId="381FEDD8"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sidRPr="002A17E0">
              <w:rPr>
                <w:rFonts w:ascii="Verdana" w:hAnsi="Verdana" w:cstheme="majorHAnsi"/>
                <w:sz w:val="14"/>
                <w:szCs w:val="14"/>
              </w:rPr>
              <w:t>Adquisición de bienes y servicios – Servicios de información actualizados – Implementación del plan de modernización tecnológica en la DIAN a nivel nacional</w:t>
            </w:r>
          </w:p>
        </w:tc>
        <w:tc>
          <w:tcPr>
            <w:tcW w:w="1330" w:type="dxa"/>
          </w:tcPr>
          <w:p w14:paraId="7BF11201" w14:textId="4C9B2E9C"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Pr>
                <w:rFonts w:ascii="Verdana" w:hAnsi="Verdana" w:cstheme="majorHAnsi"/>
                <w:sz w:val="14"/>
                <w:szCs w:val="14"/>
              </w:rPr>
              <w:t xml:space="preserve">Modernización tecnológica </w:t>
            </w:r>
          </w:p>
        </w:tc>
        <w:tc>
          <w:tcPr>
            <w:tcW w:w="1143" w:type="dxa"/>
          </w:tcPr>
          <w:p w14:paraId="6A4CB954" w14:textId="7823E9AC"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$33.000</w:t>
            </w:r>
          </w:p>
        </w:tc>
        <w:tc>
          <w:tcPr>
            <w:tcW w:w="1357" w:type="dxa"/>
          </w:tcPr>
          <w:p w14:paraId="1C6ECD38" w14:textId="1A31BD13" w:rsidR="005E30F8" w:rsidRPr="002A17E0" w:rsidRDefault="005E30F8" w:rsidP="005E30F8">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28</w:t>
            </w:r>
          </w:p>
        </w:tc>
        <w:tc>
          <w:tcPr>
            <w:tcW w:w="1139" w:type="dxa"/>
          </w:tcPr>
          <w:p w14:paraId="61C3A0ED" w14:textId="2CCE3BB7"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$2.185,87</w:t>
            </w:r>
          </w:p>
        </w:tc>
        <w:tc>
          <w:tcPr>
            <w:tcW w:w="617" w:type="dxa"/>
          </w:tcPr>
          <w:p w14:paraId="29019E28" w14:textId="4605CDD9" w:rsidR="005E30F8" w:rsidRPr="002A17E0" w:rsidRDefault="00C5011F" w:rsidP="00C5011F">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7%</w:t>
            </w:r>
          </w:p>
        </w:tc>
      </w:tr>
      <w:tr w:rsidR="00F16F1A" w:rsidRPr="002A17E0" w14:paraId="12030D93" w14:textId="77777777" w:rsidTr="00F16F1A">
        <w:tc>
          <w:tcPr>
            <w:tcW w:w="1160" w:type="dxa"/>
          </w:tcPr>
          <w:p w14:paraId="02507B4D" w14:textId="14451E20"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sidRPr="002A17E0">
              <w:rPr>
                <w:rFonts w:ascii="Verdana" w:hAnsi="Verdana" w:cstheme="majorHAnsi"/>
                <w:sz w:val="14"/>
                <w:szCs w:val="14"/>
              </w:rPr>
              <w:t>A-</w:t>
            </w:r>
            <w:r>
              <w:rPr>
                <w:rFonts w:ascii="Verdana" w:hAnsi="Verdana" w:cstheme="majorHAnsi"/>
                <w:sz w:val="14"/>
                <w:szCs w:val="14"/>
              </w:rPr>
              <w:t>02-02-02-008-002</w:t>
            </w:r>
          </w:p>
        </w:tc>
        <w:tc>
          <w:tcPr>
            <w:tcW w:w="2038" w:type="dxa"/>
          </w:tcPr>
          <w:p w14:paraId="6496E87A" w14:textId="6890D3F5"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Pr>
                <w:rFonts w:ascii="Verdana" w:hAnsi="Verdana" w:cstheme="majorHAnsi"/>
                <w:sz w:val="14"/>
                <w:szCs w:val="14"/>
              </w:rPr>
              <w:t xml:space="preserve">Servicios  jurídicos y contables </w:t>
            </w:r>
          </w:p>
        </w:tc>
        <w:tc>
          <w:tcPr>
            <w:tcW w:w="1330" w:type="dxa"/>
          </w:tcPr>
          <w:p w14:paraId="0C61704F" w14:textId="7138EEC6" w:rsidR="005E30F8" w:rsidRPr="002A17E0" w:rsidRDefault="005E30F8" w:rsidP="005E30F8">
            <w:pPr>
              <w:pStyle w:val="Cierre"/>
              <w:spacing w:before="100" w:beforeAutospacing="1" w:after="27" w:afterAutospacing="1"/>
              <w:ind w:left="0"/>
              <w:contextualSpacing/>
              <w:jc w:val="both"/>
              <w:rPr>
                <w:rFonts w:ascii="Verdana" w:hAnsi="Verdana" w:cstheme="majorHAnsi"/>
                <w:sz w:val="14"/>
                <w:szCs w:val="14"/>
              </w:rPr>
            </w:pPr>
            <w:r>
              <w:rPr>
                <w:rFonts w:ascii="Verdana" w:hAnsi="Verdana" w:cstheme="majorHAnsi"/>
                <w:sz w:val="14"/>
                <w:szCs w:val="14"/>
              </w:rPr>
              <w:t xml:space="preserve">Funcionamiento – Gastos generales </w:t>
            </w:r>
          </w:p>
        </w:tc>
        <w:tc>
          <w:tcPr>
            <w:tcW w:w="1143" w:type="dxa"/>
          </w:tcPr>
          <w:p w14:paraId="111E44F8" w14:textId="7F840B9D"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$344.571</w:t>
            </w:r>
          </w:p>
        </w:tc>
        <w:tc>
          <w:tcPr>
            <w:tcW w:w="1357" w:type="dxa"/>
          </w:tcPr>
          <w:p w14:paraId="51488F65" w14:textId="0A33E685" w:rsidR="005E30F8" w:rsidRPr="002A17E0" w:rsidRDefault="005E30F8" w:rsidP="005E30F8">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35</w:t>
            </w:r>
          </w:p>
        </w:tc>
        <w:tc>
          <w:tcPr>
            <w:tcW w:w="1139" w:type="dxa"/>
          </w:tcPr>
          <w:p w14:paraId="67B20376" w14:textId="70895441" w:rsidR="005E30F8" w:rsidRPr="002A17E0" w:rsidRDefault="005E30F8" w:rsidP="005E30F8">
            <w:pPr>
              <w:pStyle w:val="Cierre"/>
              <w:spacing w:before="100" w:beforeAutospacing="1" w:after="27" w:afterAutospacing="1"/>
              <w:ind w:left="0"/>
              <w:contextualSpacing/>
              <w:jc w:val="right"/>
              <w:rPr>
                <w:rFonts w:ascii="Verdana" w:hAnsi="Verdana" w:cstheme="majorHAnsi"/>
                <w:sz w:val="14"/>
                <w:szCs w:val="14"/>
              </w:rPr>
            </w:pPr>
            <w:r>
              <w:rPr>
                <w:rFonts w:ascii="Verdana" w:hAnsi="Verdana" w:cstheme="majorHAnsi"/>
                <w:sz w:val="14"/>
                <w:szCs w:val="14"/>
              </w:rPr>
              <w:t>$4.145,16</w:t>
            </w:r>
          </w:p>
        </w:tc>
        <w:tc>
          <w:tcPr>
            <w:tcW w:w="617" w:type="dxa"/>
          </w:tcPr>
          <w:p w14:paraId="333BA3AE" w14:textId="6F59B22D" w:rsidR="005E30F8" w:rsidRPr="002A17E0" w:rsidRDefault="00C5011F" w:rsidP="00C5011F">
            <w:pPr>
              <w:pStyle w:val="Cierre"/>
              <w:spacing w:before="100" w:beforeAutospacing="1" w:after="27" w:afterAutospacing="1"/>
              <w:ind w:left="0"/>
              <w:contextualSpacing/>
              <w:jc w:val="center"/>
              <w:rPr>
                <w:rFonts w:ascii="Verdana" w:hAnsi="Verdana" w:cstheme="majorHAnsi"/>
                <w:sz w:val="14"/>
                <w:szCs w:val="14"/>
              </w:rPr>
            </w:pPr>
            <w:r>
              <w:rPr>
                <w:rFonts w:ascii="Verdana" w:hAnsi="Verdana" w:cstheme="majorHAnsi"/>
                <w:sz w:val="14"/>
                <w:szCs w:val="14"/>
              </w:rPr>
              <w:t>1%</w:t>
            </w:r>
          </w:p>
        </w:tc>
      </w:tr>
    </w:tbl>
    <w:p w14:paraId="3B7569A0" w14:textId="7BC5F2EF" w:rsidR="00436755" w:rsidRPr="005E30F8" w:rsidRDefault="005E30F8" w:rsidP="005E30F8">
      <w:pPr>
        <w:pStyle w:val="Cierre"/>
        <w:ind w:left="0"/>
        <w:contextualSpacing/>
        <w:jc w:val="both"/>
        <w:rPr>
          <w:rFonts w:ascii="Verdana" w:hAnsi="Verdana"/>
          <w:sz w:val="12"/>
          <w:szCs w:val="12"/>
        </w:rPr>
      </w:pPr>
      <w:r w:rsidRPr="005E30F8">
        <w:rPr>
          <w:rFonts w:ascii="Verdana" w:hAnsi="Verdana"/>
          <w:sz w:val="12"/>
          <w:szCs w:val="12"/>
        </w:rPr>
        <w:t>*Cifras en millones de pesos</w:t>
      </w:r>
    </w:p>
    <w:p w14:paraId="53FFCB8B" w14:textId="77777777" w:rsidR="00983D44" w:rsidRDefault="00983D44" w:rsidP="00431B1E">
      <w:pPr>
        <w:pStyle w:val="Cierre"/>
        <w:spacing w:before="100" w:beforeAutospacing="1" w:after="27" w:afterAutospacing="1"/>
        <w:ind w:left="0"/>
        <w:contextualSpacing/>
        <w:jc w:val="both"/>
        <w:rPr>
          <w:rFonts w:ascii="Verdana" w:hAnsi="Verdana" w:cs="Arial"/>
          <w:b/>
          <w:sz w:val="22"/>
          <w:szCs w:val="22"/>
        </w:rPr>
      </w:pPr>
    </w:p>
    <w:p w14:paraId="294E0361" w14:textId="0DAFD0EC" w:rsidR="005E30F8" w:rsidRDefault="00983D44" w:rsidP="00431B1E">
      <w:pPr>
        <w:pStyle w:val="Cierre"/>
        <w:spacing w:before="100" w:beforeAutospacing="1" w:after="27" w:afterAutospacing="1"/>
        <w:ind w:left="0"/>
        <w:contextualSpacing/>
        <w:jc w:val="both"/>
        <w:rPr>
          <w:rFonts w:ascii="Verdana" w:hAnsi="Verdana" w:cs="Arial"/>
          <w:b/>
          <w:sz w:val="22"/>
          <w:szCs w:val="22"/>
        </w:rPr>
      </w:pPr>
      <w:r w:rsidRPr="002A17E0">
        <w:rPr>
          <w:rFonts w:ascii="Verdana" w:hAnsi="Verdana" w:cs="Arial"/>
          <w:b/>
          <w:sz w:val="22"/>
          <w:szCs w:val="22"/>
        </w:rPr>
        <w:t xml:space="preserve">Pregunta No </w:t>
      </w:r>
      <w:r>
        <w:rPr>
          <w:rFonts w:ascii="Verdana" w:hAnsi="Verdana" w:cs="Arial"/>
          <w:b/>
          <w:sz w:val="22"/>
          <w:szCs w:val="22"/>
        </w:rPr>
        <w:t xml:space="preserve">5. </w:t>
      </w:r>
      <w:r w:rsidR="00AC0E72" w:rsidRPr="00AC0E72">
        <w:rPr>
          <w:rFonts w:ascii="Verdana" w:hAnsi="Verdana" w:cs="Arial"/>
          <w:b/>
          <w:sz w:val="22"/>
          <w:szCs w:val="22"/>
        </w:rPr>
        <w:t>Sírvase informar, de forma discriminada, el aporte y/o responsabilidad por parte de su sector y entidades adscritas, a los programas sociales estratégicos y el presupuesto requerido para cumplir a cabalidad en 2025.</w:t>
      </w:r>
    </w:p>
    <w:p w14:paraId="2CEEA64F" w14:textId="18BDC847" w:rsidR="003359D5" w:rsidRDefault="003359D5" w:rsidP="00431B1E">
      <w:pPr>
        <w:pStyle w:val="Cierre"/>
        <w:spacing w:before="100" w:beforeAutospacing="1" w:after="27" w:afterAutospacing="1"/>
        <w:ind w:left="0"/>
        <w:contextualSpacing/>
        <w:jc w:val="both"/>
        <w:rPr>
          <w:rFonts w:ascii="Verdana" w:hAnsi="Verdana" w:cs="Arial"/>
          <w:b/>
          <w:sz w:val="22"/>
          <w:szCs w:val="22"/>
        </w:rPr>
      </w:pPr>
    </w:p>
    <w:p w14:paraId="1A7ACBBF" w14:textId="77777777" w:rsidR="0031292E" w:rsidRPr="002A17E0" w:rsidRDefault="0031292E" w:rsidP="0031292E">
      <w:pPr>
        <w:rPr>
          <w:rFonts w:ascii="Verdana" w:hAnsi="Verdana" w:cs="Arial"/>
          <w:b/>
        </w:rPr>
      </w:pPr>
      <w:r w:rsidRPr="002A17E0">
        <w:rPr>
          <w:rFonts w:ascii="Verdana" w:hAnsi="Verdana" w:cs="Arial"/>
          <w:b/>
        </w:rPr>
        <w:t>Respuesta</w:t>
      </w:r>
    </w:p>
    <w:p w14:paraId="6A341ED6" w14:textId="71ABBF1D" w:rsidR="003359D5" w:rsidRPr="005E5BED" w:rsidRDefault="008B576D" w:rsidP="00431B1E">
      <w:pPr>
        <w:pStyle w:val="Cierre"/>
        <w:spacing w:before="100" w:beforeAutospacing="1" w:after="27" w:afterAutospacing="1"/>
        <w:ind w:left="0"/>
        <w:contextualSpacing/>
        <w:jc w:val="both"/>
        <w:rPr>
          <w:rFonts w:ascii="Verdana" w:hAnsi="Verdana"/>
          <w:sz w:val="22"/>
          <w:szCs w:val="22"/>
        </w:rPr>
      </w:pPr>
      <w:r>
        <w:rPr>
          <w:rFonts w:ascii="Verdana" w:hAnsi="Verdana"/>
          <w:sz w:val="22"/>
          <w:szCs w:val="22"/>
        </w:rPr>
        <w:t xml:space="preserve">La DIAN no tiene presupuesto programado para programas sociales estratégicos durante </w:t>
      </w:r>
      <w:r w:rsidRPr="005E5BED">
        <w:rPr>
          <w:rFonts w:ascii="Verdana" w:hAnsi="Verdana"/>
          <w:sz w:val="22"/>
          <w:szCs w:val="22"/>
        </w:rPr>
        <w:t>2025.</w:t>
      </w:r>
    </w:p>
    <w:p w14:paraId="2F335D0F" w14:textId="264B1F52" w:rsidR="00431B1E" w:rsidRDefault="00431B1E" w:rsidP="003D6C05">
      <w:pPr>
        <w:rPr>
          <w:rFonts w:ascii="Verdana" w:hAnsi="Verdana" w:cs="Arial"/>
          <w:b/>
        </w:rPr>
      </w:pPr>
    </w:p>
    <w:p w14:paraId="3948C6C8" w14:textId="77777777" w:rsidR="00D92A60" w:rsidRDefault="00D92A60">
      <w:pPr>
        <w:rPr>
          <w:rFonts w:ascii="Verdana" w:eastAsia="MS Mincho" w:hAnsi="Verdana" w:cs="Arial"/>
          <w:b/>
          <w:lang w:val="es-ES" w:eastAsia="es-ES"/>
        </w:rPr>
      </w:pPr>
      <w:r>
        <w:rPr>
          <w:rFonts w:ascii="Verdana" w:hAnsi="Verdana" w:cs="Arial"/>
          <w:b/>
        </w:rPr>
        <w:lastRenderedPageBreak/>
        <w:br w:type="page"/>
      </w:r>
    </w:p>
    <w:p w14:paraId="1BEEF009" w14:textId="6A8CDEB5" w:rsidR="005E5BED" w:rsidRPr="005E5BED" w:rsidRDefault="00426A23" w:rsidP="00426A23">
      <w:pPr>
        <w:pStyle w:val="Cierre"/>
        <w:spacing w:before="100" w:beforeAutospacing="1" w:after="100" w:afterAutospacing="1"/>
        <w:ind w:left="0"/>
        <w:contextualSpacing/>
        <w:jc w:val="both"/>
        <w:rPr>
          <w:rFonts w:ascii="Verdana" w:hAnsi="Verdana" w:cs="Arial"/>
          <w:b/>
          <w:sz w:val="22"/>
          <w:szCs w:val="22"/>
        </w:rPr>
      </w:pPr>
      <w:r>
        <w:rPr>
          <w:rFonts w:ascii="Verdana" w:hAnsi="Verdana" w:cs="Arial"/>
          <w:b/>
          <w:sz w:val="22"/>
          <w:szCs w:val="22"/>
        </w:rPr>
        <w:t xml:space="preserve">Pregunta 6. </w:t>
      </w:r>
      <w:r w:rsidR="005E5BED" w:rsidRPr="005E5BED">
        <w:rPr>
          <w:rFonts w:ascii="Verdana" w:hAnsi="Verdana" w:cs="Arial"/>
          <w:b/>
          <w:sz w:val="22"/>
          <w:szCs w:val="22"/>
        </w:rPr>
        <w:t>Sírvase informar y explicar si considera que sus necesidades presupuestales están incluidas en el proyecto de Presupuesto del año 2025.</w:t>
      </w:r>
    </w:p>
    <w:p w14:paraId="387B3DCC" w14:textId="77777777" w:rsidR="005E5BED" w:rsidRPr="005E5BED" w:rsidRDefault="005E5BED" w:rsidP="005E5BED">
      <w:pPr>
        <w:pStyle w:val="Cierre"/>
        <w:spacing w:before="100" w:beforeAutospacing="1" w:after="100" w:afterAutospacing="1"/>
        <w:contextualSpacing/>
        <w:jc w:val="both"/>
        <w:rPr>
          <w:rFonts w:ascii="Verdana" w:hAnsi="Verdana" w:cs="Arial"/>
          <w:b/>
          <w:sz w:val="22"/>
          <w:szCs w:val="22"/>
        </w:rPr>
      </w:pPr>
    </w:p>
    <w:p w14:paraId="6AFE7B3F" w14:textId="77777777" w:rsidR="005E5BED" w:rsidRPr="005E5BED" w:rsidRDefault="005E5BED" w:rsidP="005E5BED">
      <w:pPr>
        <w:pStyle w:val="Cierre"/>
        <w:numPr>
          <w:ilvl w:val="0"/>
          <w:numId w:val="4"/>
        </w:numPr>
        <w:spacing w:before="100" w:beforeAutospacing="1" w:after="100" w:afterAutospacing="1"/>
        <w:contextualSpacing/>
        <w:jc w:val="both"/>
        <w:rPr>
          <w:rFonts w:ascii="Verdana" w:hAnsi="Verdana" w:cs="Arial"/>
          <w:b/>
          <w:sz w:val="22"/>
          <w:szCs w:val="22"/>
        </w:rPr>
      </w:pPr>
      <w:r w:rsidRPr="005E5BED">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el proyecto de presupuesto. </w:t>
      </w:r>
    </w:p>
    <w:p w14:paraId="3FCB0C4F" w14:textId="77777777" w:rsidR="005E5BED" w:rsidRPr="005E5BED" w:rsidRDefault="005E5BED" w:rsidP="005E5BED">
      <w:pPr>
        <w:tabs>
          <w:tab w:val="left" w:pos="567"/>
        </w:tabs>
        <w:spacing w:before="100" w:beforeAutospacing="1" w:after="100" w:afterAutospacing="1"/>
        <w:jc w:val="both"/>
        <w:rPr>
          <w:rFonts w:ascii="Verdana" w:hAnsi="Verdana" w:cs="Arial"/>
          <w:i/>
          <w:sz w:val="21"/>
          <w:szCs w:val="21"/>
        </w:rPr>
      </w:pPr>
      <w:r w:rsidRPr="005E5BED">
        <w:rPr>
          <w:rFonts w:ascii="Verdana" w:eastAsia="Calibri" w:hAnsi="Verdana" w:cs="Arial"/>
          <w:sz w:val="23"/>
          <w:szCs w:val="23"/>
          <w:lang w:eastAsia="es-CO"/>
        </w:rPr>
        <w:t>A continuación, se relaciona cuadro de necesidades del Presupuesto de Inversión, para la vigencia fiscal 2025:</w:t>
      </w:r>
    </w:p>
    <w:p w14:paraId="6BA4063E" w14:textId="77777777" w:rsidR="005E5BED" w:rsidRPr="005E5BED" w:rsidRDefault="005E5BED" w:rsidP="005E5BED">
      <w:pPr>
        <w:jc w:val="both"/>
        <w:rPr>
          <w:rStyle w:val="Hipervnculo"/>
          <w:rFonts w:ascii="Verdana" w:eastAsia="Calibri" w:hAnsi="Verdana" w:cs="Arial"/>
          <w:b/>
          <w:sz w:val="18"/>
          <w:szCs w:val="18"/>
          <w:lang w:eastAsia="es-CO"/>
        </w:rPr>
      </w:pPr>
    </w:p>
    <w:p w14:paraId="0E9066AC" w14:textId="77777777" w:rsidR="005E5BED" w:rsidRPr="005E5BED" w:rsidRDefault="005E5BED" w:rsidP="005E5BED">
      <w:pPr>
        <w:jc w:val="both"/>
        <w:rPr>
          <w:rStyle w:val="Hipervnculo"/>
          <w:rFonts w:ascii="Verdana" w:eastAsia="Calibri" w:hAnsi="Verdana" w:cs="Arial"/>
          <w:b/>
          <w:sz w:val="18"/>
          <w:szCs w:val="18"/>
          <w:lang w:eastAsia="es-CO"/>
        </w:rPr>
      </w:pPr>
      <w:r w:rsidRPr="005E5BED">
        <w:rPr>
          <w:rStyle w:val="Hipervnculo"/>
          <w:rFonts w:ascii="Verdana" w:eastAsia="Calibri" w:hAnsi="Verdana" w:cs="Arial"/>
          <w:b/>
          <w:sz w:val="18"/>
          <w:szCs w:val="18"/>
          <w:lang w:eastAsia="es-CO"/>
        </w:rPr>
        <w:t>SECCION PRESUPUESTAL 13 10-00 – DIRECCION DE IMPUESTOS Y ADUANAS NACIONALES</w:t>
      </w:r>
    </w:p>
    <w:p w14:paraId="54BF888F" w14:textId="77777777" w:rsidR="005E5BED" w:rsidRPr="005E5BED" w:rsidRDefault="005E5BED" w:rsidP="005E5BED">
      <w:pPr>
        <w:rPr>
          <w:rFonts w:ascii="Verdana" w:hAnsi="Verdana" w:cs="Arial"/>
          <w:sz w:val="23"/>
          <w:szCs w:val="23"/>
        </w:rPr>
      </w:pPr>
    </w:p>
    <w:tbl>
      <w:tblPr>
        <w:tblW w:w="8974" w:type="dxa"/>
        <w:tblCellMar>
          <w:left w:w="70" w:type="dxa"/>
          <w:right w:w="70" w:type="dxa"/>
        </w:tblCellMar>
        <w:tblLook w:val="04A0" w:firstRow="1" w:lastRow="0" w:firstColumn="1" w:lastColumn="0" w:noHBand="0" w:noVBand="1"/>
      </w:tblPr>
      <w:tblGrid>
        <w:gridCol w:w="2096"/>
        <w:gridCol w:w="2074"/>
        <w:gridCol w:w="1945"/>
        <w:gridCol w:w="1404"/>
        <w:gridCol w:w="1455"/>
      </w:tblGrid>
      <w:tr w:rsidR="005E5BED" w:rsidRPr="005E5BED" w14:paraId="14733082" w14:textId="77777777" w:rsidTr="005E5BED">
        <w:trPr>
          <w:trHeight w:val="205"/>
        </w:trPr>
        <w:tc>
          <w:tcPr>
            <w:tcW w:w="2096" w:type="dxa"/>
            <w:vMerge w:val="restart"/>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2E6B901"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PROYECTO</w:t>
            </w:r>
          </w:p>
        </w:tc>
        <w:tc>
          <w:tcPr>
            <w:tcW w:w="2074" w:type="dxa"/>
            <w:tcBorders>
              <w:top w:val="single" w:sz="4" w:space="0" w:color="auto"/>
              <w:left w:val="nil"/>
              <w:bottom w:val="single" w:sz="4" w:space="0" w:color="auto"/>
              <w:right w:val="single" w:sz="4" w:space="0" w:color="auto"/>
            </w:tcBorders>
            <w:shd w:val="clear" w:color="000000" w:fill="DBDBDB"/>
            <w:vAlign w:val="center"/>
            <w:hideMark/>
          </w:tcPr>
          <w:p w14:paraId="78543A25"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RECURSOS SOLICITADOS 2025</w:t>
            </w:r>
          </w:p>
        </w:tc>
        <w:tc>
          <w:tcPr>
            <w:tcW w:w="1945" w:type="dxa"/>
            <w:tcBorders>
              <w:top w:val="single" w:sz="4" w:space="0" w:color="auto"/>
              <w:left w:val="nil"/>
              <w:bottom w:val="single" w:sz="4" w:space="0" w:color="auto"/>
              <w:right w:val="single" w:sz="4" w:space="0" w:color="auto"/>
            </w:tcBorders>
            <w:shd w:val="clear" w:color="000000" w:fill="DBDBDB"/>
            <w:vAlign w:val="center"/>
            <w:hideMark/>
          </w:tcPr>
          <w:p w14:paraId="52479507"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TOPE ANTEPROYECTO DE PRESUPUESTO 2025</w:t>
            </w:r>
          </w:p>
        </w:tc>
        <w:tc>
          <w:tcPr>
            <w:tcW w:w="1404" w:type="dxa"/>
            <w:tcBorders>
              <w:top w:val="single" w:sz="4" w:space="0" w:color="auto"/>
              <w:left w:val="nil"/>
              <w:bottom w:val="single" w:sz="4" w:space="0" w:color="auto"/>
              <w:right w:val="single" w:sz="4" w:space="0" w:color="auto"/>
            </w:tcBorders>
            <w:shd w:val="clear" w:color="000000" w:fill="DBDBDB"/>
            <w:vAlign w:val="center"/>
            <w:hideMark/>
          </w:tcPr>
          <w:p w14:paraId="1F2D037D"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CUPOS DNP 2025</w:t>
            </w:r>
          </w:p>
        </w:tc>
        <w:tc>
          <w:tcPr>
            <w:tcW w:w="1455" w:type="dxa"/>
            <w:tcBorders>
              <w:top w:val="single" w:sz="4" w:space="0" w:color="auto"/>
              <w:left w:val="nil"/>
              <w:bottom w:val="single" w:sz="4" w:space="0" w:color="auto"/>
              <w:right w:val="single" w:sz="4" w:space="0" w:color="auto"/>
            </w:tcBorders>
            <w:shd w:val="clear" w:color="000000" w:fill="DBDBDB"/>
            <w:vAlign w:val="center"/>
            <w:hideMark/>
          </w:tcPr>
          <w:p w14:paraId="1CEB9300"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RECURSOS FALTANTES</w:t>
            </w:r>
          </w:p>
        </w:tc>
      </w:tr>
      <w:tr w:rsidR="005E5BED" w:rsidRPr="005E5BED" w14:paraId="03CD4B72" w14:textId="77777777" w:rsidTr="005E5BED">
        <w:trPr>
          <w:trHeight w:val="46"/>
        </w:trPr>
        <w:tc>
          <w:tcPr>
            <w:tcW w:w="2096" w:type="dxa"/>
            <w:vMerge/>
            <w:tcBorders>
              <w:top w:val="single" w:sz="4" w:space="0" w:color="auto"/>
              <w:left w:val="single" w:sz="4" w:space="0" w:color="auto"/>
              <w:bottom w:val="single" w:sz="4" w:space="0" w:color="auto"/>
              <w:right w:val="single" w:sz="4" w:space="0" w:color="auto"/>
            </w:tcBorders>
            <w:vAlign w:val="center"/>
            <w:hideMark/>
          </w:tcPr>
          <w:p w14:paraId="2218A5F9" w14:textId="77777777" w:rsidR="005E5BED" w:rsidRPr="005E5BED" w:rsidRDefault="005E5BED" w:rsidP="009B4DFC">
            <w:pPr>
              <w:spacing w:after="0" w:line="240" w:lineRule="auto"/>
              <w:rPr>
                <w:rFonts w:ascii="Verdana" w:eastAsia="Times New Roman" w:hAnsi="Verdana" w:cs="Calibri"/>
                <w:b/>
                <w:bCs/>
                <w:color w:val="000000"/>
                <w:sz w:val="14"/>
                <w:szCs w:val="14"/>
                <w:lang w:eastAsia="es-CO"/>
              </w:rPr>
            </w:pPr>
          </w:p>
        </w:tc>
        <w:tc>
          <w:tcPr>
            <w:tcW w:w="2074" w:type="dxa"/>
            <w:tcBorders>
              <w:top w:val="nil"/>
              <w:left w:val="nil"/>
              <w:bottom w:val="single" w:sz="4" w:space="0" w:color="auto"/>
              <w:right w:val="single" w:sz="4" w:space="0" w:color="auto"/>
            </w:tcBorders>
            <w:shd w:val="clear" w:color="000000" w:fill="DBDBDB"/>
            <w:vAlign w:val="center"/>
            <w:hideMark/>
          </w:tcPr>
          <w:p w14:paraId="26A40485"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(a)</w:t>
            </w:r>
          </w:p>
        </w:tc>
        <w:tc>
          <w:tcPr>
            <w:tcW w:w="1945" w:type="dxa"/>
            <w:tcBorders>
              <w:top w:val="nil"/>
              <w:left w:val="nil"/>
              <w:bottom w:val="single" w:sz="4" w:space="0" w:color="auto"/>
              <w:right w:val="single" w:sz="4" w:space="0" w:color="auto"/>
            </w:tcBorders>
            <w:shd w:val="clear" w:color="000000" w:fill="DBDBDB"/>
            <w:vAlign w:val="center"/>
            <w:hideMark/>
          </w:tcPr>
          <w:p w14:paraId="7D4E2B98"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(b)</w:t>
            </w:r>
          </w:p>
        </w:tc>
        <w:tc>
          <w:tcPr>
            <w:tcW w:w="1404" w:type="dxa"/>
            <w:tcBorders>
              <w:top w:val="nil"/>
              <w:left w:val="nil"/>
              <w:bottom w:val="single" w:sz="4" w:space="0" w:color="auto"/>
              <w:right w:val="single" w:sz="4" w:space="0" w:color="auto"/>
            </w:tcBorders>
            <w:shd w:val="clear" w:color="000000" w:fill="DBDBDB"/>
            <w:vAlign w:val="center"/>
            <w:hideMark/>
          </w:tcPr>
          <w:p w14:paraId="3AEB58C9"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(c)</w:t>
            </w:r>
          </w:p>
        </w:tc>
        <w:tc>
          <w:tcPr>
            <w:tcW w:w="1455" w:type="dxa"/>
            <w:tcBorders>
              <w:top w:val="nil"/>
              <w:left w:val="nil"/>
              <w:bottom w:val="single" w:sz="4" w:space="0" w:color="auto"/>
              <w:right w:val="single" w:sz="4" w:space="0" w:color="auto"/>
            </w:tcBorders>
            <w:shd w:val="clear" w:color="000000" w:fill="DBDBDB"/>
            <w:vAlign w:val="center"/>
            <w:hideMark/>
          </w:tcPr>
          <w:p w14:paraId="71B9E684" w14:textId="77777777" w:rsidR="005E5BED" w:rsidRPr="005E5BED" w:rsidRDefault="005E5BED" w:rsidP="009B4DFC">
            <w:pPr>
              <w:spacing w:after="0" w:line="240" w:lineRule="auto"/>
              <w:jc w:val="center"/>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(d = a-c)</w:t>
            </w:r>
          </w:p>
        </w:tc>
      </w:tr>
      <w:tr w:rsidR="005E5BED" w:rsidRPr="005E5BED" w14:paraId="49AA3C78" w14:textId="77777777" w:rsidTr="005E5BED">
        <w:trPr>
          <w:trHeight w:val="498"/>
        </w:trPr>
        <w:tc>
          <w:tcPr>
            <w:tcW w:w="2096" w:type="dxa"/>
            <w:tcBorders>
              <w:top w:val="nil"/>
              <w:left w:val="single" w:sz="4" w:space="0" w:color="auto"/>
              <w:bottom w:val="single" w:sz="4" w:space="0" w:color="auto"/>
              <w:right w:val="single" w:sz="4" w:space="0" w:color="auto"/>
            </w:tcBorders>
            <w:shd w:val="clear" w:color="auto" w:fill="auto"/>
            <w:vAlign w:val="center"/>
            <w:hideMark/>
          </w:tcPr>
          <w:p w14:paraId="75D400B2" w14:textId="77777777" w:rsidR="005E5BED" w:rsidRPr="005E5BED" w:rsidRDefault="005E5BED" w:rsidP="009B4DFC">
            <w:pPr>
              <w:spacing w:after="0" w:line="240" w:lineRule="auto"/>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Implementación Factura Electrónica</w:t>
            </w:r>
          </w:p>
        </w:tc>
        <w:tc>
          <w:tcPr>
            <w:tcW w:w="2074" w:type="dxa"/>
            <w:tcBorders>
              <w:top w:val="nil"/>
              <w:left w:val="nil"/>
              <w:bottom w:val="single" w:sz="4" w:space="0" w:color="auto"/>
              <w:right w:val="single" w:sz="4" w:space="0" w:color="auto"/>
            </w:tcBorders>
            <w:shd w:val="clear" w:color="auto" w:fill="auto"/>
            <w:noWrap/>
            <w:vAlign w:val="center"/>
            <w:hideMark/>
          </w:tcPr>
          <w:p w14:paraId="612B93EA"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6.400 </w:t>
            </w:r>
          </w:p>
        </w:tc>
        <w:tc>
          <w:tcPr>
            <w:tcW w:w="1945" w:type="dxa"/>
            <w:tcBorders>
              <w:top w:val="nil"/>
              <w:left w:val="nil"/>
              <w:bottom w:val="single" w:sz="4" w:space="0" w:color="auto"/>
              <w:right w:val="single" w:sz="4" w:space="0" w:color="auto"/>
            </w:tcBorders>
            <w:shd w:val="clear" w:color="auto" w:fill="auto"/>
            <w:noWrap/>
            <w:vAlign w:val="center"/>
            <w:hideMark/>
          </w:tcPr>
          <w:p w14:paraId="5FD65D89"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   </w:t>
            </w:r>
          </w:p>
        </w:tc>
        <w:tc>
          <w:tcPr>
            <w:tcW w:w="1404" w:type="dxa"/>
            <w:tcBorders>
              <w:top w:val="nil"/>
              <w:left w:val="nil"/>
              <w:bottom w:val="single" w:sz="4" w:space="0" w:color="auto"/>
              <w:right w:val="single" w:sz="4" w:space="0" w:color="auto"/>
            </w:tcBorders>
            <w:shd w:val="clear" w:color="auto" w:fill="auto"/>
            <w:noWrap/>
            <w:vAlign w:val="center"/>
            <w:hideMark/>
          </w:tcPr>
          <w:p w14:paraId="3DCF2F54"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   </w:t>
            </w:r>
          </w:p>
        </w:tc>
        <w:tc>
          <w:tcPr>
            <w:tcW w:w="1455" w:type="dxa"/>
            <w:tcBorders>
              <w:top w:val="nil"/>
              <w:left w:val="nil"/>
              <w:bottom w:val="single" w:sz="4" w:space="0" w:color="auto"/>
              <w:right w:val="single" w:sz="4" w:space="0" w:color="auto"/>
            </w:tcBorders>
            <w:shd w:val="clear" w:color="auto" w:fill="auto"/>
            <w:noWrap/>
            <w:vAlign w:val="center"/>
            <w:hideMark/>
          </w:tcPr>
          <w:p w14:paraId="50578C32"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6.400 </w:t>
            </w:r>
          </w:p>
        </w:tc>
      </w:tr>
      <w:tr w:rsidR="005E5BED" w:rsidRPr="005E5BED" w14:paraId="4C60BDCC" w14:textId="77777777" w:rsidTr="009B4DFC">
        <w:trPr>
          <w:trHeight w:val="360"/>
        </w:trPr>
        <w:tc>
          <w:tcPr>
            <w:tcW w:w="2096" w:type="dxa"/>
            <w:tcBorders>
              <w:top w:val="nil"/>
              <w:left w:val="single" w:sz="4" w:space="0" w:color="auto"/>
              <w:bottom w:val="single" w:sz="4" w:space="0" w:color="auto"/>
              <w:right w:val="single" w:sz="4" w:space="0" w:color="auto"/>
            </w:tcBorders>
            <w:shd w:val="clear" w:color="auto" w:fill="auto"/>
            <w:vAlign w:val="center"/>
            <w:hideMark/>
          </w:tcPr>
          <w:p w14:paraId="22DEAD6C" w14:textId="77777777" w:rsidR="005E5BED" w:rsidRPr="005E5BED" w:rsidRDefault="005E5BED" w:rsidP="009B4DFC">
            <w:pPr>
              <w:spacing w:after="0" w:line="240" w:lineRule="auto"/>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Implantación plan anual antievasión nacional.</w:t>
            </w:r>
          </w:p>
        </w:tc>
        <w:tc>
          <w:tcPr>
            <w:tcW w:w="2074" w:type="dxa"/>
            <w:tcBorders>
              <w:top w:val="nil"/>
              <w:left w:val="nil"/>
              <w:bottom w:val="single" w:sz="4" w:space="0" w:color="auto"/>
              <w:right w:val="single" w:sz="4" w:space="0" w:color="auto"/>
            </w:tcBorders>
            <w:shd w:val="clear" w:color="auto" w:fill="auto"/>
            <w:noWrap/>
            <w:vAlign w:val="center"/>
            <w:hideMark/>
          </w:tcPr>
          <w:p w14:paraId="53AFDC4E"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76.366 </w:t>
            </w:r>
          </w:p>
        </w:tc>
        <w:tc>
          <w:tcPr>
            <w:tcW w:w="1945" w:type="dxa"/>
            <w:tcBorders>
              <w:top w:val="nil"/>
              <w:left w:val="nil"/>
              <w:bottom w:val="single" w:sz="4" w:space="0" w:color="auto"/>
              <w:right w:val="single" w:sz="4" w:space="0" w:color="auto"/>
            </w:tcBorders>
            <w:shd w:val="clear" w:color="auto" w:fill="auto"/>
            <w:noWrap/>
            <w:vAlign w:val="center"/>
            <w:hideMark/>
          </w:tcPr>
          <w:p w14:paraId="1CA36E89"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58.629 </w:t>
            </w:r>
          </w:p>
        </w:tc>
        <w:tc>
          <w:tcPr>
            <w:tcW w:w="1404" w:type="dxa"/>
            <w:tcBorders>
              <w:top w:val="nil"/>
              <w:left w:val="nil"/>
              <w:bottom w:val="single" w:sz="4" w:space="0" w:color="auto"/>
              <w:right w:val="single" w:sz="4" w:space="0" w:color="auto"/>
            </w:tcBorders>
            <w:shd w:val="clear" w:color="auto" w:fill="auto"/>
            <w:noWrap/>
            <w:vAlign w:val="center"/>
            <w:hideMark/>
          </w:tcPr>
          <w:p w14:paraId="44D43B36"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58.629 </w:t>
            </w:r>
          </w:p>
        </w:tc>
        <w:tc>
          <w:tcPr>
            <w:tcW w:w="1455" w:type="dxa"/>
            <w:tcBorders>
              <w:top w:val="nil"/>
              <w:left w:val="nil"/>
              <w:bottom w:val="single" w:sz="4" w:space="0" w:color="auto"/>
              <w:right w:val="single" w:sz="4" w:space="0" w:color="auto"/>
            </w:tcBorders>
            <w:shd w:val="clear" w:color="auto" w:fill="auto"/>
            <w:noWrap/>
            <w:vAlign w:val="center"/>
            <w:hideMark/>
          </w:tcPr>
          <w:p w14:paraId="1CF05E5C"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17.737 </w:t>
            </w:r>
          </w:p>
        </w:tc>
      </w:tr>
      <w:tr w:rsidR="005E5BED" w:rsidRPr="005E5BED" w14:paraId="293B07E6" w14:textId="77777777" w:rsidTr="009B4DFC">
        <w:trPr>
          <w:trHeight w:val="541"/>
        </w:trPr>
        <w:tc>
          <w:tcPr>
            <w:tcW w:w="2096" w:type="dxa"/>
            <w:tcBorders>
              <w:top w:val="nil"/>
              <w:left w:val="single" w:sz="4" w:space="0" w:color="auto"/>
              <w:bottom w:val="single" w:sz="4" w:space="0" w:color="auto"/>
              <w:right w:val="single" w:sz="4" w:space="0" w:color="auto"/>
            </w:tcBorders>
            <w:shd w:val="clear" w:color="auto" w:fill="auto"/>
            <w:vAlign w:val="center"/>
            <w:hideMark/>
          </w:tcPr>
          <w:p w14:paraId="365E14CD" w14:textId="77777777" w:rsidR="005E5BED" w:rsidRPr="005E5BED" w:rsidRDefault="005E5BED" w:rsidP="009B4DFC">
            <w:pPr>
              <w:spacing w:after="0" w:line="240" w:lineRule="auto"/>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Fortalecimiento de las capacidades en tecnología</w:t>
            </w:r>
          </w:p>
        </w:tc>
        <w:tc>
          <w:tcPr>
            <w:tcW w:w="2074" w:type="dxa"/>
            <w:tcBorders>
              <w:top w:val="nil"/>
              <w:left w:val="nil"/>
              <w:bottom w:val="single" w:sz="4" w:space="0" w:color="auto"/>
              <w:right w:val="single" w:sz="4" w:space="0" w:color="auto"/>
            </w:tcBorders>
            <w:shd w:val="clear" w:color="auto" w:fill="auto"/>
            <w:noWrap/>
            <w:vAlign w:val="center"/>
            <w:hideMark/>
          </w:tcPr>
          <w:p w14:paraId="5250C035"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139.664 </w:t>
            </w:r>
          </w:p>
        </w:tc>
        <w:tc>
          <w:tcPr>
            <w:tcW w:w="1945" w:type="dxa"/>
            <w:tcBorders>
              <w:top w:val="nil"/>
              <w:left w:val="nil"/>
              <w:bottom w:val="single" w:sz="4" w:space="0" w:color="auto"/>
              <w:right w:val="single" w:sz="4" w:space="0" w:color="auto"/>
            </w:tcBorders>
            <w:shd w:val="clear" w:color="auto" w:fill="auto"/>
            <w:noWrap/>
            <w:vAlign w:val="center"/>
            <w:hideMark/>
          </w:tcPr>
          <w:p w14:paraId="7EEA92E2"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13.725 </w:t>
            </w:r>
          </w:p>
        </w:tc>
        <w:tc>
          <w:tcPr>
            <w:tcW w:w="1404" w:type="dxa"/>
            <w:tcBorders>
              <w:top w:val="nil"/>
              <w:left w:val="nil"/>
              <w:bottom w:val="single" w:sz="4" w:space="0" w:color="auto"/>
              <w:right w:val="single" w:sz="4" w:space="0" w:color="auto"/>
            </w:tcBorders>
            <w:shd w:val="clear" w:color="auto" w:fill="auto"/>
            <w:noWrap/>
            <w:vAlign w:val="center"/>
            <w:hideMark/>
          </w:tcPr>
          <w:p w14:paraId="0811DBF2"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20.000 </w:t>
            </w:r>
          </w:p>
        </w:tc>
        <w:tc>
          <w:tcPr>
            <w:tcW w:w="1455" w:type="dxa"/>
            <w:tcBorders>
              <w:top w:val="nil"/>
              <w:left w:val="nil"/>
              <w:bottom w:val="single" w:sz="4" w:space="0" w:color="auto"/>
              <w:right w:val="single" w:sz="4" w:space="0" w:color="auto"/>
            </w:tcBorders>
            <w:shd w:val="clear" w:color="auto" w:fill="auto"/>
            <w:noWrap/>
            <w:vAlign w:val="center"/>
            <w:hideMark/>
          </w:tcPr>
          <w:p w14:paraId="302F7F7F"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119.664 </w:t>
            </w:r>
          </w:p>
        </w:tc>
      </w:tr>
      <w:tr w:rsidR="005E5BED" w:rsidRPr="005E5BED" w14:paraId="34ACEAAF" w14:textId="77777777" w:rsidTr="005E5BED">
        <w:trPr>
          <w:trHeight w:val="491"/>
        </w:trPr>
        <w:tc>
          <w:tcPr>
            <w:tcW w:w="2096" w:type="dxa"/>
            <w:tcBorders>
              <w:top w:val="nil"/>
              <w:left w:val="single" w:sz="4" w:space="0" w:color="auto"/>
              <w:bottom w:val="single" w:sz="4" w:space="0" w:color="auto"/>
              <w:right w:val="single" w:sz="4" w:space="0" w:color="auto"/>
            </w:tcBorders>
            <w:shd w:val="clear" w:color="auto" w:fill="auto"/>
            <w:vAlign w:val="center"/>
            <w:hideMark/>
          </w:tcPr>
          <w:p w14:paraId="58AAD772" w14:textId="77777777" w:rsidR="005E5BED" w:rsidRPr="005E5BED" w:rsidRDefault="005E5BED" w:rsidP="009B4DFC">
            <w:pPr>
              <w:spacing w:after="0" w:line="240" w:lineRule="auto"/>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Mantenimiento y adecuación de la infraestructura física </w:t>
            </w:r>
          </w:p>
        </w:tc>
        <w:tc>
          <w:tcPr>
            <w:tcW w:w="2074" w:type="dxa"/>
            <w:tcBorders>
              <w:top w:val="nil"/>
              <w:left w:val="nil"/>
              <w:bottom w:val="single" w:sz="4" w:space="0" w:color="auto"/>
              <w:right w:val="single" w:sz="4" w:space="0" w:color="auto"/>
            </w:tcBorders>
            <w:shd w:val="clear" w:color="auto" w:fill="auto"/>
            <w:noWrap/>
            <w:vAlign w:val="center"/>
            <w:hideMark/>
          </w:tcPr>
          <w:p w14:paraId="2D1828E6"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181.709 </w:t>
            </w:r>
          </w:p>
        </w:tc>
        <w:tc>
          <w:tcPr>
            <w:tcW w:w="1945" w:type="dxa"/>
            <w:tcBorders>
              <w:top w:val="nil"/>
              <w:left w:val="nil"/>
              <w:bottom w:val="single" w:sz="4" w:space="0" w:color="auto"/>
              <w:right w:val="single" w:sz="4" w:space="0" w:color="auto"/>
            </w:tcBorders>
            <w:shd w:val="clear" w:color="auto" w:fill="auto"/>
            <w:noWrap/>
            <w:vAlign w:val="center"/>
            <w:hideMark/>
          </w:tcPr>
          <w:p w14:paraId="12E5DC65"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8.272 </w:t>
            </w:r>
          </w:p>
        </w:tc>
        <w:tc>
          <w:tcPr>
            <w:tcW w:w="1404" w:type="dxa"/>
            <w:tcBorders>
              <w:top w:val="nil"/>
              <w:left w:val="nil"/>
              <w:bottom w:val="single" w:sz="4" w:space="0" w:color="auto"/>
              <w:right w:val="single" w:sz="4" w:space="0" w:color="auto"/>
            </w:tcBorders>
            <w:shd w:val="clear" w:color="auto" w:fill="auto"/>
            <w:noWrap/>
            <w:vAlign w:val="center"/>
            <w:hideMark/>
          </w:tcPr>
          <w:p w14:paraId="1744C431"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   </w:t>
            </w:r>
          </w:p>
        </w:tc>
        <w:tc>
          <w:tcPr>
            <w:tcW w:w="1455" w:type="dxa"/>
            <w:tcBorders>
              <w:top w:val="nil"/>
              <w:left w:val="nil"/>
              <w:bottom w:val="single" w:sz="4" w:space="0" w:color="auto"/>
              <w:right w:val="single" w:sz="4" w:space="0" w:color="auto"/>
            </w:tcBorders>
            <w:shd w:val="clear" w:color="auto" w:fill="auto"/>
            <w:noWrap/>
            <w:vAlign w:val="center"/>
            <w:hideMark/>
          </w:tcPr>
          <w:p w14:paraId="442759CD"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181.709 </w:t>
            </w:r>
          </w:p>
        </w:tc>
      </w:tr>
      <w:tr w:rsidR="005E5BED" w:rsidRPr="005E5BED" w14:paraId="5BDC6615" w14:textId="77777777" w:rsidTr="005E5BED">
        <w:trPr>
          <w:trHeight w:val="683"/>
        </w:trPr>
        <w:tc>
          <w:tcPr>
            <w:tcW w:w="2096" w:type="dxa"/>
            <w:tcBorders>
              <w:top w:val="nil"/>
              <w:left w:val="single" w:sz="4" w:space="0" w:color="auto"/>
              <w:bottom w:val="single" w:sz="4" w:space="0" w:color="auto"/>
              <w:right w:val="single" w:sz="4" w:space="0" w:color="auto"/>
            </w:tcBorders>
            <w:shd w:val="clear" w:color="auto" w:fill="auto"/>
            <w:vAlign w:val="center"/>
            <w:hideMark/>
          </w:tcPr>
          <w:p w14:paraId="68B413EA" w14:textId="77777777" w:rsidR="005E5BED" w:rsidRPr="005E5BED" w:rsidRDefault="005E5BED" w:rsidP="009B4DFC">
            <w:pPr>
              <w:spacing w:after="0" w:line="240" w:lineRule="auto"/>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Adquisición de una sede física para el funcionamiento de las direcciones seccionales de DIAN Bogotá D.C.</w:t>
            </w:r>
          </w:p>
        </w:tc>
        <w:tc>
          <w:tcPr>
            <w:tcW w:w="2074" w:type="dxa"/>
            <w:tcBorders>
              <w:top w:val="nil"/>
              <w:left w:val="nil"/>
              <w:bottom w:val="single" w:sz="4" w:space="0" w:color="auto"/>
              <w:right w:val="single" w:sz="4" w:space="0" w:color="auto"/>
            </w:tcBorders>
            <w:shd w:val="clear" w:color="auto" w:fill="auto"/>
            <w:noWrap/>
            <w:vAlign w:val="center"/>
            <w:hideMark/>
          </w:tcPr>
          <w:p w14:paraId="5F6CD7C4"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325.140 </w:t>
            </w:r>
          </w:p>
        </w:tc>
        <w:tc>
          <w:tcPr>
            <w:tcW w:w="1945" w:type="dxa"/>
            <w:tcBorders>
              <w:top w:val="nil"/>
              <w:left w:val="nil"/>
              <w:bottom w:val="single" w:sz="4" w:space="0" w:color="auto"/>
              <w:right w:val="single" w:sz="4" w:space="0" w:color="auto"/>
            </w:tcBorders>
            <w:shd w:val="clear" w:color="auto" w:fill="auto"/>
            <w:noWrap/>
            <w:vAlign w:val="center"/>
            <w:hideMark/>
          </w:tcPr>
          <w:p w14:paraId="6D9E5949"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   </w:t>
            </w:r>
          </w:p>
        </w:tc>
        <w:tc>
          <w:tcPr>
            <w:tcW w:w="1404" w:type="dxa"/>
            <w:tcBorders>
              <w:top w:val="nil"/>
              <w:left w:val="nil"/>
              <w:bottom w:val="single" w:sz="4" w:space="0" w:color="auto"/>
              <w:right w:val="single" w:sz="4" w:space="0" w:color="auto"/>
            </w:tcBorders>
            <w:shd w:val="clear" w:color="auto" w:fill="auto"/>
            <w:noWrap/>
            <w:vAlign w:val="center"/>
            <w:hideMark/>
          </w:tcPr>
          <w:p w14:paraId="6ED4329D"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   </w:t>
            </w:r>
          </w:p>
        </w:tc>
        <w:tc>
          <w:tcPr>
            <w:tcW w:w="1455" w:type="dxa"/>
            <w:tcBorders>
              <w:top w:val="nil"/>
              <w:left w:val="nil"/>
              <w:bottom w:val="single" w:sz="4" w:space="0" w:color="auto"/>
              <w:right w:val="single" w:sz="4" w:space="0" w:color="auto"/>
            </w:tcBorders>
            <w:shd w:val="clear" w:color="auto" w:fill="auto"/>
            <w:noWrap/>
            <w:vAlign w:val="center"/>
            <w:hideMark/>
          </w:tcPr>
          <w:p w14:paraId="5DA69CDB" w14:textId="77777777" w:rsidR="005E5BED" w:rsidRPr="005E5BED" w:rsidRDefault="005E5BED" w:rsidP="009B4DFC">
            <w:pPr>
              <w:spacing w:after="0" w:line="240" w:lineRule="auto"/>
              <w:jc w:val="right"/>
              <w:rPr>
                <w:rFonts w:ascii="Verdana" w:eastAsia="Times New Roman" w:hAnsi="Verdana" w:cs="Calibri"/>
                <w:color w:val="000000"/>
                <w:sz w:val="14"/>
                <w:szCs w:val="14"/>
                <w:lang w:eastAsia="es-CO"/>
              </w:rPr>
            </w:pPr>
            <w:r w:rsidRPr="005E5BED">
              <w:rPr>
                <w:rFonts w:ascii="Verdana" w:eastAsia="Times New Roman" w:hAnsi="Verdana" w:cs="Calibri"/>
                <w:color w:val="000000"/>
                <w:sz w:val="14"/>
                <w:szCs w:val="14"/>
                <w:lang w:eastAsia="es-CO"/>
              </w:rPr>
              <w:t xml:space="preserve">                     325.140 </w:t>
            </w:r>
          </w:p>
        </w:tc>
      </w:tr>
      <w:tr w:rsidR="005E5BED" w:rsidRPr="005E5BED" w14:paraId="173B8F7C" w14:textId="77777777" w:rsidTr="009B4DFC">
        <w:trPr>
          <w:trHeight w:val="360"/>
        </w:trPr>
        <w:tc>
          <w:tcPr>
            <w:tcW w:w="2096" w:type="dxa"/>
            <w:tcBorders>
              <w:top w:val="nil"/>
              <w:left w:val="single" w:sz="4" w:space="0" w:color="auto"/>
              <w:bottom w:val="single" w:sz="4" w:space="0" w:color="auto"/>
              <w:right w:val="single" w:sz="4" w:space="0" w:color="auto"/>
            </w:tcBorders>
            <w:shd w:val="clear" w:color="000000" w:fill="EDEDED"/>
            <w:noWrap/>
            <w:vAlign w:val="center"/>
            <w:hideMark/>
          </w:tcPr>
          <w:p w14:paraId="31451C61" w14:textId="77777777" w:rsidR="005E5BED" w:rsidRPr="005E5BED" w:rsidRDefault="005E5BED" w:rsidP="009B4DFC">
            <w:pPr>
              <w:spacing w:after="0" w:line="240" w:lineRule="auto"/>
              <w:jc w:val="center"/>
              <w:rPr>
                <w:rFonts w:ascii="Verdana" w:eastAsia="Times New Roman" w:hAnsi="Verdana" w:cs="Calibri"/>
                <w:b/>
                <w:bCs/>
                <w:color w:val="000000"/>
                <w:sz w:val="14"/>
                <w:szCs w:val="14"/>
                <w:u w:val="single"/>
                <w:lang w:eastAsia="es-CO"/>
              </w:rPr>
            </w:pPr>
          </w:p>
        </w:tc>
        <w:tc>
          <w:tcPr>
            <w:tcW w:w="2074" w:type="dxa"/>
            <w:tcBorders>
              <w:top w:val="nil"/>
              <w:left w:val="nil"/>
              <w:bottom w:val="single" w:sz="4" w:space="0" w:color="auto"/>
              <w:right w:val="single" w:sz="4" w:space="0" w:color="auto"/>
            </w:tcBorders>
            <w:shd w:val="clear" w:color="000000" w:fill="EDEDED"/>
            <w:noWrap/>
            <w:vAlign w:val="center"/>
            <w:hideMark/>
          </w:tcPr>
          <w:p w14:paraId="435E8C88" w14:textId="77777777" w:rsidR="005E5BED" w:rsidRPr="005E5BED" w:rsidRDefault="005E5BED" w:rsidP="009B4DFC">
            <w:pPr>
              <w:spacing w:after="0" w:line="240" w:lineRule="auto"/>
              <w:jc w:val="right"/>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 xml:space="preserve">                729.279,00 </w:t>
            </w:r>
          </w:p>
        </w:tc>
        <w:tc>
          <w:tcPr>
            <w:tcW w:w="1945" w:type="dxa"/>
            <w:tcBorders>
              <w:top w:val="nil"/>
              <w:left w:val="nil"/>
              <w:bottom w:val="single" w:sz="4" w:space="0" w:color="auto"/>
              <w:right w:val="single" w:sz="4" w:space="0" w:color="auto"/>
            </w:tcBorders>
            <w:shd w:val="clear" w:color="000000" w:fill="EDEDED"/>
            <w:noWrap/>
            <w:vAlign w:val="center"/>
            <w:hideMark/>
          </w:tcPr>
          <w:p w14:paraId="1D420856" w14:textId="77777777" w:rsidR="005E5BED" w:rsidRPr="005E5BED" w:rsidRDefault="005E5BED" w:rsidP="009B4DFC">
            <w:pPr>
              <w:spacing w:after="0" w:line="240" w:lineRule="auto"/>
              <w:jc w:val="right"/>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 xml:space="preserve">                80.626,00 </w:t>
            </w:r>
          </w:p>
        </w:tc>
        <w:tc>
          <w:tcPr>
            <w:tcW w:w="1404" w:type="dxa"/>
            <w:tcBorders>
              <w:top w:val="nil"/>
              <w:left w:val="nil"/>
              <w:bottom w:val="single" w:sz="4" w:space="0" w:color="auto"/>
              <w:right w:val="single" w:sz="4" w:space="0" w:color="auto"/>
            </w:tcBorders>
            <w:shd w:val="clear" w:color="000000" w:fill="EDEDED"/>
            <w:noWrap/>
            <w:vAlign w:val="center"/>
            <w:hideMark/>
          </w:tcPr>
          <w:p w14:paraId="0946974C" w14:textId="77777777" w:rsidR="005E5BED" w:rsidRPr="005E5BED" w:rsidRDefault="005E5BED" w:rsidP="009B4DFC">
            <w:pPr>
              <w:spacing w:after="0" w:line="240" w:lineRule="auto"/>
              <w:jc w:val="right"/>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 xml:space="preserve">       78.629,00 </w:t>
            </w:r>
          </w:p>
        </w:tc>
        <w:tc>
          <w:tcPr>
            <w:tcW w:w="1455" w:type="dxa"/>
            <w:tcBorders>
              <w:top w:val="nil"/>
              <w:left w:val="nil"/>
              <w:bottom w:val="single" w:sz="4" w:space="0" w:color="auto"/>
              <w:right w:val="single" w:sz="4" w:space="0" w:color="auto"/>
            </w:tcBorders>
            <w:shd w:val="clear" w:color="000000" w:fill="EDEDED"/>
            <w:noWrap/>
            <w:vAlign w:val="center"/>
            <w:hideMark/>
          </w:tcPr>
          <w:p w14:paraId="74270018" w14:textId="77777777" w:rsidR="005E5BED" w:rsidRPr="005E5BED" w:rsidRDefault="005E5BED" w:rsidP="009B4DFC">
            <w:pPr>
              <w:spacing w:after="0" w:line="240" w:lineRule="auto"/>
              <w:jc w:val="right"/>
              <w:rPr>
                <w:rFonts w:ascii="Verdana" w:eastAsia="Times New Roman" w:hAnsi="Verdana" w:cs="Calibri"/>
                <w:b/>
                <w:bCs/>
                <w:color w:val="000000"/>
                <w:sz w:val="14"/>
                <w:szCs w:val="14"/>
                <w:lang w:eastAsia="es-CO"/>
              </w:rPr>
            </w:pPr>
            <w:r w:rsidRPr="005E5BED">
              <w:rPr>
                <w:rFonts w:ascii="Verdana" w:eastAsia="Times New Roman" w:hAnsi="Verdana" w:cs="Calibri"/>
                <w:b/>
                <w:bCs/>
                <w:color w:val="000000"/>
                <w:sz w:val="14"/>
                <w:szCs w:val="14"/>
                <w:lang w:eastAsia="es-CO"/>
              </w:rPr>
              <w:t xml:space="preserve">     650.650,00 </w:t>
            </w:r>
          </w:p>
        </w:tc>
      </w:tr>
    </w:tbl>
    <w:p w14:paraId="62FC37C6" w14:textId="30B987AA" w:rsidR="005E5BED" w:rsidRPr="005E5BED" w:rsidRDefault="005E5BED" w:rsidP="005E5BED">
      <w:pPr>
        <w:rPr>
          <w:rFonts w:ascii="Verdana" w:hAnsi="Verdana" w:cs="Arial"/>
          <w:sz w:val="12"/>
          <w:szCs w:val="12"/>
        </w:rPr>
      </w:pPr>
      <w:r w:rsidRPr="005E5BED">
        <w:rPr>
          <w:rFonts w:ascii="Verdana" w:hAnsi="Verdana" w:cs="Arial"/>
          <w:sz w:val="12"/>
          <w:szCs w:val="12"/>
        </w:rPr>
        <w:t>Cifras en millones de pesos</w:t>
      </w:r>
    </w:p>
    <w:p w14:paraId="00F49BD2" w14:textId="77777777" w:rsidR="005E5BED" w:rsidRPr="00A7185B" w:rsidRDefault="005E5BED" w:rsidP="005E5BED">
      <w:pPr>
        <w:spacing w:before="100" w:beforeAutospacing="1" w:after="100" w:afterAutospacing="1"/>
        <w:jc w:val="both"/>
        <w:rPr>
          <w:rFonts w:ascii="Verdana" w:hAnsi="Verdana" w:cs="Arial"/>
        </w:rPr>
      </w:pPr>
      <w:r w:rsidRPr="005E5BED">
        <w:rPr>
          <w:rFonts w:ascii="Verdana" w:hAnsi="Verdana" w:cs="Arial"/>
          <w:sz w:val="23"/>
          <w:szCs w:val="23"/>
        </w:rPr>
        <w:t xml:space="preserve">Los proyectos impactados para la vigencia fiscal 2025 por el recorte de </w:t>
      </w:r>
      <w:r w:rsidRPr="00A7185B">
        <w:rPr>
          <w:rFonts w:ascii="Verdana" w:hAnsi="Verdana" w:cs="Arial"/>
        </w:rPr>
        <w:t>recursos son:</w:t>
      </w:r>
    </w:p>
    <w:p w14:paraId="3BF15DB9" w14:textId="229F8762" w:rsidR="00E32F34" w:rsidRPr="00A7185B" w:rsidRDefault="00E32F34" w:rsidP="005E5BED">
      <w:pPr>
        <w:spacing w:before="100" w:beforeAutospacing="1" w:after="100" w:afterAutospacing="1"/>
        <w:jc w:val="both"/>
        <w:rPr>
          <w:rFonts w:ascii="Verdana" w:hAnsi="Verdana" w:cs="Arial"/>
          <w:b/>
          <w:bCs/>
        </w:rPr>
      </w:pPr>
      <w:r w:rsidRPr="00A7185B">
        <w:rPr>
          <w:rFonts w:ascii="Verdana" w:hAnsi="Verdana" w:cs="Arial"/>
          <w:b/>
          <w:bCs/>
        </w:rPr>
        <w:t xml:space="preserve">Programa Presupuestal </w:t>
      </w:r>
      <w:r w:rsidR="005E5BED" w:rsidRPr="00A7185B">
        <w:rPr>
          <w:rFonts w:ascii="Verdana" w:hAnsi="Verdana" w:cs="Arial"/>
          <w:b/>
          <w:bCs/>
        </w:rPr>
        <w:t>1305 Fortalecimiento del Recaudo y Tributación</w:t>
      </w:r>
    </w:p>
    <w:p w14:paraId="430A888D" w14:textId="1BEF0722" w:rsidR="005E5BED" w:rsidRPr="00A7185B" w:rsidRDefault="005E5BED" w:rsidP="005E5BED">
      <w:pPr>
        <w:spacing w:before="100" w:beforeAutospacing="1" w:after="100" w:afterAutospacing="1"/>
        <w:jc w:val="both"/>
        <w:rPr>
          <w:rFonts w:ascii="Verdana" w:hAnsi="Verdana" w:cs="Arial"/>
          <w:b/>
          <w:bCs/>
        </w:rPr>
      </w:pPr>
      <w:r w:rsidRPr="00A7185B">
        <w:rPr>
          <w:rFonts w:ascii="Verdana" w:hAnsi="Verdana" w:cs="Arial"/>
          <w:b/>
          <w:bCs/>
        </w:rPr>
        <w:lastRenderedPageBreak/>
        <w:t>Proyecto: Implantación Plan Anual Antievasión Nacional - BPIN: 2018011000875</w:t>
      </w:r>
    </w:p>
    <w:p w14:paraId="06256B16"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El objetivo de este proyecto es fortalecer la capacidad operativa, que permita la disminución de los niveles de evasión, elusión y contrabando existentes en el país, toda vez que, la lucha contra la evasión y el contrabando forman parte de la misión institucional de la DIAN, sin embargo, para que esta labor rinda los frutos que requiere la sociedad, es preciso contar con recursos que financien las actividades propias de las acciones de control.</w:t>
      </w:r>
    </w:p>
    <w:p w14:paraId="6489CC1C" w14:textId="59FF49D5" w:rsidR="005E5BED" w:rsidRPr="00A7185B" w:rsidRDefault="005E5BED" w:rsidP="005E5BED">
      <w:pPr>
        <w:spacing w:before="100" w:beforeAutospacing="1" w:after="100" w:afterAutospacing="1"/>
        <w:jc w:val="both"/>
        <w:rPr>
          <w:rFonts w:ascii="Verdana" w:hAnsi="Verdana" w:cs="Arial"/>
          <w:b/>
          <w:bCs/>
        </w:rPr>
      </w:pPr>
      <w:r w:rsidRPr="00A7185B">
        <w:rPr>
          <w:rFonts w:ascii="Verdana" w:hAnsi="Verdana" w:cs="Arial"/>
          <w:b/>
          <w:bCs/>
        </w:rPr>
        <w:t>Proyecto: Fortalecimiento de las capacidades en tecnologías de la información en la DIAN</w:t>
      </w:r>
      <w:r w:rsidR="00C86C7A" w:rsidRPr="00A7185B">
        <w:rPr>
          <w:rFonts w:ascii="Verdana" w:hAnsi="Verdana" w:cs="Arial"/>
          <w:b/>
          <w:bCs/>
        </w:rPr>
        <w:t xml:space="preserve"> -</w:t>
      </w:r>
      <w:r w:rsidRPr="00A7185B">
        <w:rPr>
          <w:rFonts w:ascii="Verdana" w:hAnsi="Verdana" w:cs="Arial"/>
          <w:b/>
          <w:bCs/>
        </w:rPr>
        <w:t xml:space="preserve"> BPIN: 202400000000058</w:t>
      </w:r>
    </w:p>
    <w:p w14:paraId="156832F4"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La formulación del proyecto está orientada al mejoramiento de la capacidad tecnológica de la entidad, resaltando la importancia de implementar un modelo de gestión institucional efectiva, alineado con los modelos de administración tributaria y aduanera moderna y soportada en tecnologías de la información; toda vez que, la infraestructura tecnológica actual no está alineada con los estándares contemporáneos, lo que impide la implementación eficaz de políticas y procesos fiscales y aduaneros. Sumado a lo anterior, la carencia de políticas de TI que reflejen prácticas modernas afecta considerablemente en la planeación y ejecución de TI, que cumplan con las expectativas de una economía digital en rápida evolución.</w:t>
      </w:r>
    </w:p>
    <w:p w14:paraId="597779E1" w14:textId="262A04F5" w:rsidR="005E5BED" w:rsidRPr="00A7185B" w:rsidRDefault="005E5BED" w:rsidP="005E5BED">
      <w:pPr>
        <w:spacing w:before="100" w:beforeAutospacing="1" w:after="100" w:afterAutospacing="1"/>
        <w:jc w:val="both"/>
        <w:rPr>
          <w:rFonts w:ascii="Verdana" w:hAnsi="Verdana" w:cs="Arial"/>
          <w:b/>
          <w:bCs/>
        </w:rPr>
      </w:pPr>
      <w:r w:rsidRPr="00A7185B">
        <w:rPr>
          <w:rFonts w:ascii="Verdana" w:hAnsi="Verdana" w:cs="Arial"/>
          <w:b/>
          <w:bCs/>
        </w:rPr>
        <w:t xml:space="preserve">Proyectos: Mantenimiento y Adecuación de la Infraestructura Física de la Dirección de Impuestos y Aduanas Nacionales a Nivel Nacional </w:t>
      </w:r>
      <w:r w:rsidR="00B15EC5" w:rsidRPr="00A7185B">
        <w:rPr>
          <w:rFonts w:ascii="Verdana" w:hAnsi="Verdana" w:cs="Arial"/>
          <w:b/>
          <w:bCs/>
        </w:rPr>
        <w:t xml:space="preserve">- </w:t>
      </w:r>
      <w:r w:rsidRPr="00A7185B">
        <w:rPr>
          <w:rFonts w:ascii="Verdana" w:hAnsi="Verdana" w:cs="Arial"/>
          <w:b/>
          <w:bCs/>
        </w:rPr>
        <w:t>BPIN: 2018011000315 - 202400000000211</w:t>
      </w:r>
    </w:p>
    <w:p w14:paraId="578B9244"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 xml:space="preserve">A través de estos proyectos se pretende optimizar el estado de la infraestructura física de la DIAN a nivel nacional, con la intervención de las sedes en busca de brindar la suficiente calidad a las áreas requeridas para la interacción con la población usuaria de la entidad, a su vez, este proyecto redundará en la calidad de vida de los funcionarios de la Dian, aunado al cumplimiento de las metas de recaudo establecidas para la entidad desde el gobierno central. </w:t>
      </w:r>
    </w:p>
    <w:p w14:paraId="20771944"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 xml:space="preserve">Por ello se pretende realizar intervenciones de adecuación y de mantenimiento, tanto correctivo como preventivo, en las sedes de la entidad ubicadas en 40 ciudades; El citado compilado de intervenciones que ejecutará este proyecto, comprende todas las diversas actividades relacionadas con la ejecución de las obras civiles como: renovación de pintura, eliminación de goteras, remplazo de </w:t>
      </w:r>
      <w:r w:rsidRPr="00A7185B">
        <w:rPr>
          <w:rFonts w:ascii="Verdana" w:hAnsi="Verdana" w:cs="Arial"/>
        </w:rPr>
        <w:lastRenderedPageBreak/>
        <w:t xml:space="preserve">piezas en mal estado, actualización y mantenimiento de los sistemas de drenaje, actualización y mantenimiento de las redes inteligentes y eléctricas, cambio de mobiliarios, control de humedades y mantenimiento de cubiertas mediante cambio se sistemas, reposición de tejas e impermeabilizaciones superficiales, mejoramiento de espacios, del mismo modo, en la media en la que se requiera actualizar el equipamiento electromecánico adosado a las edificaciones, esté proyecto procurará adquirir los equipos de aire acondicionados, plantas eléctricas, las bombas hidráulicas y ascensores, con la finalidad única de mantener y conservar las sedes en correcto funcionamiento. </w:t>
      </w:r>
    </w:p>
    <w:p w14:paraId="14110206"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De igual forma, la UAE DIAN, tiene la necesidad en la ciudad de Bogotá de contar con un edificio propio, en el cual, funcionen las actuales Direcciones Seccionales de Impuestos y de Aduanas que hoy vienen prestando sus servicios de manera separada y en edificios arrendados.</w:t>
      </w:r>
    </w:p>
    <w:p w14:paraId="6B875C1F"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La primera de ellas, a valores de 2024, efectúa pagos por arrendamiento de $1.499.666.</w:t>
      </w:r>
      <w:proofErr w:type="gramStart"/>
      <w:r w:rsidRPr="00A7185B">
        <w:rPr>
          <w:rFonts w:ascii="Verdana" w:hAnsi="Verdana" w:cs="Arial"/>
        </w:rPr>
        <w:t>568,oo</w:t>
      </w:r>
      <w:proofErr w:type="gramEnd"/>
      <w:r w:rsidRPr="00A7185B">
        <w:rPr>
          <w:rFonts w:ascii="Verdana" w:hAnsi="Verdana" w:cs="Arial"/>
        </w:rPr>
        <w:t xml:space="preserve"> mensuales, cifra que al año presenta un valor de $17.995.998.816,oo; en cuanto a la segunda, igualmente para la vigencia 2024, efectúa pagos por arrendamientos de $523.494.098,oo mensuales, cifra que al año presenta un valor de $6.297.633.999,oo.</w:t>
      </w:r>
    </w:p>
    <w:p w14:paraId="42E5F717"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Es por esta razón que, la entidad registró en el Departamento Nacional de Planeación -DNP- un proyecto de inversión que posibilite la adquisición de un inmueble, el cual, deberá contar con cerca de 32.000 M2 y una capacidad para 3.000 funcionarios laborando físicamente en él.</w:t>
      </w:r>
    </w:p>
    <w:p w14:paraId="0B450181" w14:textId="77777777" w:rsidR="005E5BED" w:rsidRPr="00A7185B" w:rsidRDefault="005E5BED" w:rsidP="005E5BED">
      <w:pPr>
        <w:spacing w:before="100" w:beforeAutospacing="1" w:after="100" w:afterAutospacing="1"/>
        <w:jc w:val="both"/>
        <w:rPr>
          <w:rFonts w:ascii="Verdana" w:hAnsi="Verdana" w:cs="Arial"/>
        </w:rPr>
      </w:pPr>
      <w:r w:rsidRPr="00A7185B">
        <w:rPr>
          <w:rFonts w:ascii="Verdana" w:hAnsi="Verdana" w:cs="Arial"/>
        </w:rPr>
        <w:t>El valor estimado para dicha adquisición, de acuerdo con su ubicación e infraestructura, debe corresponder a una cifra de $325.140.000.000, teniendo en cuenta entre muchos factores el cumplimiento de la Norma Sismo Resistente NSR-10.</w:t>
      </w:r>
    </w:p>
    <w:p w14:paraId="33A0451F" w14:textId="26889054" w:rsidR="005E5BED" w:rsidRPr="00A7185B" w:rsidRDefault="005E5BED" w:rsidP="003D6C05">
      <w:pPr>
        <w:rPr>
          <w:rFonts w:ascii="Verdana" w:hAnsi="Verdana" w:cs="Arial"/>
          <w:b/>
        </w:rPr>
      </w:pPr>
    </w:p>
    <w:p w14:paraId="6015A6BA" w14:textId="39AA20F6" w:rsidR="005E5BED" w:rsidRPr="00A7185B" w:rsidRDefault="005E5BED" w:rsidP="003D6C05">
      <w:pPr>
        <w:rPr>
          <w:rFonts w:ascii="Verdana" w:hAnsi="Verdana" w:cs="Arial"/>
          <w:b/>
        </w:rPr>
      </w:pPr>
    </w:p>
    <w:p w14:paraId="4EBF4CB7" w14:textId="77777777" w:rsidR="005E5BED" w:rsidRPr="00A7185B" w:rsidRDefault="005E5BED" w:rsidP="003D6C05">
      <w:pPr>
        <w:rPr>
          <w:rFonts w:ascii="Verdana" w:hAnsi="Verdana" w:cs="Arial"/>
          <w:b/>
        </w:rPr>
      </w:pPr>
    </w:p>
    <w:p w14:paraId="41EF6809" w14:textId="77777777" w:rsidR="00D92A60" w:rsidRDefault="00D92A60">
      <w:pPr>
        <w:rPr>
          <w:rFonts w:ascii="Verdana" w:hAnsi="Verdana" w:cs="Arial"/>
          <w:b/>
        </w:rPr>
      </w:pPr>
      <w:r>
        <w:rPr>
          <w:rFonts w:ascii="Verdana" w:hAnsi="Verdana" w:cs="Arial"/>
          <w:b/>
        </w:rPr>
        <w:br w:type="page"/>
      </w:r>
    </w:p>
    <w:p w14:paraId="0678F40D" w14:textId="37FEB841" w:rsidR="00426A23" w:rsidRPr="00A7185B" w:rsidRDefault="00426A23" w:rsidP="00426A23">
      <w:pPr>
        <w:spacing w:before="100" w:beforeAutospacing="1" w:after="100" w:afterAutospacing="1"/>
        <w:contextualSpacing/>
        <w:jc w:val="both"/>
        <w:rPr>
          <w:rFonts w:ascii="Verdana" w:hAnsi="Verdana" w:cs="Arial"/>
          <w:b/>
        </w:rPr>
      </w:pPr>
      <w:r w:rsidRPr="00A7185B">
        <w:rPr>
          <w:rFonts w:ascii="Verdana" w:hAnsi="Verdana" w:cs="Arial"/>
          <w:b/>
        </w:rPr>
        <w:t xml:space="preserve">Pregunta 8. Sírvase informar la ejecución presupuestal y resultados misionales de los años 2023 y lo que va corrido del año 2024, por componentes y principales rubros presupuestales o programas, de cada </w:t>
      </w:r>
      <w:r w:rsidRPr="00A7185B">
        <w:rPr>
          <w:rFonts w:ascii="Verdana" w:hAnsi="Verdana" w:cs="Arial"/>
          <w:b/>
        </w:rPr>
        <w:lastRenderedPageBreak/>
        <w:t>una de las entidades que Usted dirige (por componentes de funcionamiento e inversión los rubros más importantes)</w:t>
      </w:r>
    </w:p>
    <w:p w14:paraId="2A195899" w14:textId="77777777" w:rsidR="0086105D" w:rsidRPr="00A7185B" w:rsidRDefault="0086105D" w:rsidP="0086105D">
      <w:pPr>
        <w:spacing w:after="0"/>
        <w:rPr>
          <w:rFonts w:ascii="Verdana" w:hAnsi="Verdana" w:cs="Arial"/>
          <w:b/>
        </w:rPr>
      </w:pPr>
    </w:p>
    <w:p w14:paraId="4033F114" w14:textId="009D357B" w:rsidR="003D6C05" w:rsidRPr="00A7185B" w:rsidRDefault="003D6C05" w:rsidP="003D6C05">
      <w:pPr>
        <w:rPr>
          <w:rFonts w:ascii="Verdana" w:hAnsi="Verdana" w:cs="Arial"/>
          <w:b/>
        </w:rPr>
      </w:pPr>
      <w:r w:rsidRPr="00A7185B">
        <w:rPr>
          <w:rFonts w:ascii="Verdana" w:hAnsi="Verdana" w:cs="Arial"/>
          <w:b/>
        </w:rPr>
        <w:t>Respuesta</w:t>
      </w:r>
    </w:p>
    <w:p w14:paraId="0EAD639D" w14:textId="750097E3" w:rsidR="00E65C40" w:rsidRPr="00A7185B" w:rsidRDefault="00E65C40" w:rsidP="00E65C40">
      <w:pPr>
        <w:spacing w:before="100" w:beforeAutospacing="1" w:after="100" w:afterAutospacing="1"/>
        <w:contextualSpacing/>
        <w:jc w:val="center"/>
        <w:rPr>
          <w:rFonts w:ascii="Verdana" w:hAnsi="Verdana" w:cs="Arial"/>
          <w:b/>
          <w:sz w:val="18"/>
          <w:szCs w:val="18"/>
        </w:rPr>
      </w:pPr>
      <w:r w:rsidRPr="00A7185B">
        <w:rPr>
          <w:rFonts w:ascii="Verdana" w:hAnsi="Verdana" w:cs="Arial"/>
          <w:b/>
          <w:sz w:val="18"/>
          <w:szCs w:val="18"/>
        </w:rPr>
        <w:t xml:space="preserve">EJECUCIÓN PRESUPUESTAL UNIDAD ADMINISTRATIVA ESPECIAL DIRECCIÓN </w:t>
      </w:r>
      <w:r w:rsidR="00CE0A9C" w:rsidRPr="00A7185B">
        <w:rPr>
          <w:rFonts w:ascii="Verdana" w:hAnsi="Verdana" w:cs="Arial"/>
          <w:b/>
          <w:sz w:val="18"/>
          <w:szCs w:val="18"/>
        </w:rPr>
        <w:t>DE IMPUESTOS Y ADUANAS NACIONALES (DIAN)</w:t>
      </w:r>
    </w:p>
    <w:p w14:paraId="16BCEC75" w14:textId="77777777" w:rsidR="0086105D" w:rsidRPr="00A7185B" w:rsidRDefault="0086105D" w:rsidP="00E65C40">
      <w:pPr>
        <w:spacing w:before="100" w:beforeAutospacing="1" w:after="100" w:afterAutospacing="1"/>
        <w:contextualSpacing/>
        <w:jc w:val="center"/>
        <w:rPr>
          <w:rFonts w:ascii="Verdana" w:hAnsi="Verdana" w:cs="Arial"/>
          <w:b/>
        </w:rPr>
      </w:pPr>
    </w:p>
    <w:p w14:paraId="4BD9938E" w14:textId="6179BFB8" w:rsidR="00C452D8" w:rsidRPr="00A7185B" w:rsidRDefault="00C452D8" w:rsidP="00E65C40">
      <w:pPr>
        <w:spacing w:before="100" w:beforeAutospacing="1" w:after="100" w:afterAutospacing="1"/>
        <w:contextualSpacing/>
        <w:jc w:val="center"/>
        <w:rPr>
          <w:rFonts w:ascii="Verdana" w:hAnsi="Verdana" w:cs="Arial"/>
          <w:b/>
          <w:sz w:val="20"/>
          <w:szCs w:val="20"/>
        </w:rPr>
      </w:pPr>
      <w:r w:rsidRPr="00A7185B">
        <w:rPr>
          <w:rFonts w:ascii="Verdana" w:hAnsi="Verdana" w:cs="Arial"/>
          <w:b/>
          <w:sz w:val="20"/>
          <w:szCs w:val="20"/>
        </w:rPr>
        <w:t>AÑO</w:t>
      </w:r>
      <w:r w:rsidR="00A0654B" w:rsidRPr="00A7185B">
        <w:rPr>
          <w:rFonts w:ascii="Verdana" w:hAnsi="Verdana" w:cs="Arial"/>
          <w:b/>
          <w:sz w:val="20"/>
          <w:szCs w:val="20"/>
        </w:rPr>
        <w:t xml:space="preserve"> 2023</w:t>
      </w:r>
    </w:p>
    <w:tbl>
      <w:tblPr>
        <w:tblW w:w="5447" w:type="pct"/>
        <w:tblCellMar>
          <w:left w:w="70" w:type="dxa"/>
          <w:right w:w="70" w:type="dxa"/>
        </w:tblCellMar>
        <w:tblLook w:val="04A0" w:firstRow="1" w:lastRow="0" w:firstColumn="1" w:lastColumn="0" w:noHBand="0" w:noVBand="1"/>
      </w:tblPr>
      <w:tblGrid>
        <w:gridCol w:w="1680"/>
        <w:gridCol w:w="1286"/>
        <w:gridCol w:w="1285"/>
        <w:gridCol w:w="726"/>
        <w:gridCol w:w="1285"/>
        <w:gridCol w:w="1139"/>
        <w:gridCol w:w="532"/>
        <w:gridCol w:w="1139"/>
        <w:gridCol w:w="534"/>
      </w:tblGrid>
      <w:tr w:rsidR="002034AA" w:rsidRPr="00C46432" w14:paraId="2ED00302" w14:textId="77777777" w:rsidTr="0086105D">
        <w:trPr>
          <w:trHeight w:val="201"/>
        </w:trPr>
        <w:tc>
          <w:tcPr>
            <w:tcW w:w="5000" w:type="pct"/>
            <w:gridSpan w:val="9"/>
            <w:tcBorders>
              <w:top w:val="single" w:sz="8" w:space="0" w:color="auto"/>
              <w:left w:val="single" w:sz="8" w:space="0" w:color="auto"/>
              <w:bottom w:val="single" w:sz="8" w:space="0" w:color="auto"/>
              <w:right w:val="single" w:sz="8" w:space="0" w:color="000000"/>
            </w:tcBorders>
            <w:shd w:val="clear" w:color="000000" w:fill="C65911"/>
            <w:vAlign w:val="center"/>
            <w:hideMark/>
          </w:tcPr>
          <w:p w14:paraId="3D98ED2F"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EJECUCIÓN PRESUPUESTAL - DIAN- DICIEMBRE DE 2023</w:t>
            </w:r>
          </w:p>
        </w:tc>
      </w:tr>
      <w:tr w:rsidR="0086105D" w:rsidRPr="00C46432" w14:paraId="4125091E" w14:textId="77777777" w:rsidTr="0086105D">
        <w:trPr>
          <w:trHeight w:val="201"/>
        </w:trPr>
        <w:tc>
          <w:tcPr>
            <w:tcW w:w="874" w:type="pct"/>
            <w:vMerge w:val="restart"/>
            <w:tcBorders>
              <w:top w:val="nil"/>
              <w:left w:val="single" w:sz="8" w:space="0" w:color="auto"/>
              <w:bottom w:val="single" w:sz="8" w:space="0" w:color="000000"/>
              <w:right w:val="single" w:sz="8" w:space="0" w:color="auto"/>
            </w:tcBorders>
            <w:shd w:val="clear" w:color="000000" w:fill="C65911"/>
            <w:vAlign w:val="center"/>
            <w:hideMark/>
          </w:tcPr>
          <w:p w14:paraId="7D1042E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CONCEPTO</w:t>
            </w:r>
          </w:p>
        </w:tc>
        <w:tc>
          <w:tcPr>
            <w:tcW w:w="669" w:type="pct"/>
            <w:vMerge w:val="restart"/>
            <w:tcBorders>
              <w:top w:val="nil"/>
              <w:left w:val="single" w:sz="8" w:space="0" w:color="auto"/>
              <w:bottom w:val="single" w:sz="8" w:space="0" w:color="000000"/>
              <w:right w:val="single" w:sz="8" w:space="0" w:color="auto"/>
            </w:tcBorders>
            <w:shd w:val="clear" w:color="000000" w:fill="C65911"/>
            <w:vAlign w:val="center"/>
            <w:hideMark/>
          </w:tcPr>
          <w:p w14:paraId="73E2CC2A"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APROPIACION INICIAL 2023</w:t>
            </w:r>
          </w:p>
        </w:tc>
        <w:tc>
          <w:tcPr>
            <w:tcW w:w="669" w:type="pct"/>
            <w:vMerge w:val="restart"/>
            <w:tcBorders>
              <w:top w:val="nil"/>
              <w:left w:val="single" w:sz="8" w:space="0" w:color="auto"/>
              <w:bottom w:val="single" w:sz="8" w:space="0" w:color="000000"/>
              <w:right w:val="single" w:sz="8" w:space="0" w:color="auto"/>
            </w:tcBorders>
            <w:shd w:val="clear" w:color="000000" w:fill="C65911"/>
            <w:vAlign w:val="center"/>
            <w:hideMark/>
          </w:tcPr>
          <w:p w14:paraId="5EBF4F08"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APROPIACION VIGENTE 2023</w:t>
            </w:r>
          </w:p>
        </w:tc>
        <w:tc>
          <w:tcPr>
            <w:tcW w:w="378" w:type="pct"/>
            <w:vMerge w:val="restart"/>
            <w:tcBorders>
              <w:top w:val="nil"/>
              <w:left w:val="single" w:sz="8" w:space="0" w:color="auto"/>
              <w:bottom w:val="single" w:sz="8" w:space="0" w:color="000000"/>
              <w:right w:val="single" w:sz="8" w:space="0" w:color="auto"/>
            </w:tcBorders>
            <w:shd w:val="clear" w:color="000000" w:fill="C65911"/>
            <w:vAlign w:val="center"/>
            <w:hideMark/>
          </w:tcPr>
          <w:p w14:paraId="6C47D5C6"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PART.</w:t>
            </w:r>
          </w:p>
        </w:tc>
        <w:tc>
          <w:tcPr>
            <w:tcW w:w="669" w:type="pct"/>
            <w:vMerge w:val="restart"/>
            <w:tcBorders>
              <w:top w:val="nil"/>
              <w:left w:val="single" w:sz="8" w:space="0" w:color="auto"/>
              <w:bottom w:val="single" w:sz="8" w:space="0" w:color="000000"/>
              <w:right w:val="single" w:sz="8" w:space="0" w:color="auto"/>
            </w:tcBorders>
            <w:shd w:val="clear" w:color="000000" w:fill="C65911"/>
            <w:vAlign w:val="center"/>
            <w:hideMark/>
          </w:tcPr>
          <w:p w14:paraId="1AE0EE0A"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APROPIACIÓN BLOQUEADA</w:t>
            </w:r>
          </w:p>
        </w:tc>
        <w:tc>
          <w:tcPr>
            <w:tcW w:w="870" w:type="pct"/>
            <w:gridSpan w:val="2"/>
            <w:tcBorders>
              <w:top w:val="single" w:sz="8" w:space="0" w:color="auto"/>
              <w:left w:val="nil"/>
              <w:bottom w:val="single" w:sz="8" w:space="0" w:color="auto"/>
              <w:right w:val="single" w:sz="8" w:space="0" w:color="000000"/>
            </w:tcBorders>
            <w:shd w:val="clear" w:color="000000" w:fill="C65911"/>
            <w:vAlign w:val="center"/>
            <w:hideMark/>
          </w:tcPr>
          <w:p w14:paraId="4218B8B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COMPROMISOS 2023</w:t>
            </w:r>
          </w:p>
        </w:tc>
        <w:tc>
          <w:tcPr>
            <w:tcW w:w="871" w:type="pct"/>
            <w:gridSpan w:val="2"/>
            <w:tcBorders>
              <w:top w:val="single" w:sz="8" w:space="0" w:color="auto"/>
              <w:left w:val="nil"/>
              <w:bottom w:val="single" w:sz="8" w:space="0" w:color="auto"/>
              <w:right w:val="single" w:sz="8" w:space="0" w:color="000000"/>
            </w:tcBorders>
            <w:shd w:val="clear" w:color="000000" w:fill="C65911"/>
            <w:vAlign w:val="center"/>
            <w:hideMark/>
          </w:tcPr>
          <w:p w14:paraId="49724DF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OBLIGACIONES 2023</w:t>
            </w:r>
          </w:p>
        </w:tc>
      </w:tr>
      <w:tr w:rsidR="0086105D" w:rsidRPr="00C46432" w14:paraId="64898BE1" w14:textId="77777777" w:rsidTr="0086105D">
        <w:trPr>
          <w:trHeight w:val="201"/>
        </w:trPr>
        <w:tc>
          <w:tcPr>
            <w:tcW w:w="874" w:type="pct"/>
            <w:vMerge/>
            <w:tcBorders>
              <w:top w:val="nil"/>
              <w:left w:val="single" w:sz="8" w:space="0" w:color="auto"/>
              <w:bottom w:val="single" w:sz="8" w:space="0" w:color="000000"/>
              <w:right w:val="single" w:sz="8" w:space="0" w:color="auto"/>
            </w:tcBorders>
            <w:vAlign w:val="center"/>
            <w:hideMark/>
          </w:tcPr>
          <w:p w14:paraId="44DB9353" w14:textId="77777777" w:rsidR="002034AA" w:rsidRPr="00C46432" w:rsidRDefault="002034AA">
            <w:pPr>
              <w:spacing w:after="0" w:line="240" w:lineRule="auto"/>
              <w:rPr>
                <w:rFonts w:ascii="Verdana" w:eastAsia="Times New Roman" w:hAnsi="Verdana" w:cstheme="majorHAnsi"/>
                <w:b/>
                <w:color w:val="000000"/>
                <w:sz w:val="12"/>
                <w:szCs w:val="12"/>
                <w:lang w:eastAsia="es-CO"/>
              </w:rPr>
            </w:pPr>
          </w:p>
        </w:tc>
        <w:tc>
          <w:tcPr>
            <w:tcW w:w="669" w:type="pct"/>
            <w:vMerge/>
            <w:tcBorders>
              <w:top w:val="nil"/>
              <w:left w:val="single" w:sz="8" w:space="0" w:color="auto"/>
              <w:bottom w:val="single" w:sz="8" w:space="0" w:color="000000"/>
              <w:right w:val="single" w:sz="8" w:space="0" w:color="auto"/>
            </w:tcBorders>
            <w:vAlign w:val="center"/>
            <w:hideMark/>
          </w:tcPr>
          <w:p w14:paraId="36AF9F4F" w14:textId="77777777" w:rsidR="002034AA" w:rsidRPr="00C46432" w:rsidRDefault="002034AA">
            <w:pPr>
              <w:spacing w:after="0" w:line="240" w:lineRule="auto"/>
              <w:rPr>
                <w:rFonts w:ascii="Verdana" w:eastAsia="Times New Roman" w:hAnsi="Verdana" w:cstheme="majorHAnsi"/>
                <w:b/>
                <w:color w:val="000000"/>
                <w:sz w:val="12"/>
                <w:szCs w:val="12"/>
                <w:lang w:eastAsia="es-CO"/>
              </w:rPr>
            </w:pPr>
          </w:p>
        </w:tc>
        <w:tc>
          <w:tcPr>
            <w:tcW w:w="669" w:type="pct"/>
            <w:vMerge/>
            <w:tcBorders>
              <w:top w:val="nil"/>
              <w:left w:val="single" w:sz="8" w:space="0" w:color="auto"/>
              <w:bottom w:val="single" w:sz="8" w:space="0" w:color="000000"/>
              <w:right w:val="single" w:sz="8" w:space="0" w:color="auto"/>
            </w:tcBorders>
            <w:vAlign w:val="center"/>
            <w:hideMark/>
          </w:tcPr>
          <w:p w14:paraId="0A7F7078" w14:textId="77777777" w:rsidR="002034AA" w:rsidRPr="00C46432" w:rsidRDefault="002034AA">
            <w:pPr>
              <w:spacing w:after="0" w:line="240" w:lineRule="auto"/>
              <w:rPr>
                <w:rFonts w:ascii="Verdana" w:eastAsia="Times New Roman" w:hAnsi="Verdana" w:cstheme="majorHAnsi"/>
                <w:b/>
                <w:color w:val="000000"/>
                <w:sz w:val="12"/>
                <w:szCs w:val="12"/>
                <w:lang w:eastAsia="es-CO"/>
              </w:rPr>
            </w:pPr>
          </w:p>
        </w:tc>
        <w:tc>
          <w:tcPr>
            <w:tcW w:w="378" w:type="pct"/>
            <w:vMerge/>
            <w:tcBorders>
              <w:top w:val="nil"/>
              <w:left w:val="single" w:sz="8" w:space="0" w:color="auto"/>
              <w:bottom w:val="single" w:sz="8" w:space="0" w:color="000000"/>
              <w:right w:val="single" w:sz="8" w:space="0" w:color="auto"/>
            </w:tcBorders>
            <w:vAlign w:val="center"/>
            <w:hideMark/>
          </w:tcPr>
          <w:p w14:paraId="560A6C1B" w14:textId="77777777" w:rsidR="002034AA" w:rsidRPr="00C46432" w:rsidRDefault="002034AA">
            <w:pPr>
              <w:spacing w:after="0" w:line="240" w:lineRule="auto"/>
              <w:rPr>
                <w:rFonts w:ascii="Verdana" w:eastAsia="Times New Roman" w:hAnsi="Verdana" w:cstheme="majorHAnsi"/>
                <w:b/>
                <w:color w:val="000000"/>
                <w:sz w:val="12"/>
                <w:szCs w:val="12"/>
                <w:lang w:eastAsia="es-CO"/>
              </w:rPr>
            </w:pPr>
          </w:p>
        </w:tc>
        <w:tc>
          <w:tcPr>
            <w:tcW w:w="669" w:type="pct"/>
            <w:vMerge/>
            <w:tcBorders>
              <w:top w:val="nil"/>
              <w:left w:val="single" w:sz="8" w:space="0" w:color="auto"/>
              <w:bottom w:val="single" w:sz="8" w:space="0" w:color="000000"/>
              <w:right w:val="single" w:sz="8" w:space="0" w:color="auto"/>
            </w:tcBorders>
            <w:vAlign w:val="center"/>
            <w:hideMark/>
          </w:tcPr>
          <w:p w14:paraId="68E230B5" w14:textId="77777777" w:rsidR="002034AA" w:rsidRPr="00C46432" w:rsidRDefault="002034AA">
            <w:pPr>
              <w:spacing w:after="0" w:line="240" w:lineRule="auto"/>
              <w:rPr>
                <w:rFonts w:ascii="Verdana" w:eastAsia="Times New Roman" w:hAnsi="Verdana" w:cstheme="majorHAnsi"/>
                <w:b/>
                <w:color w:val="000000"/>
                <w:sz w:val="12"/>
                <w:szCs w:val="12"/>
                <w:lang w:eastAsia="es-CO"/>
              </w:rPr>
            </w:pPr>
          </w:p>
        </w:tc>
        <w:tc>
          <w:tcPr>
            <w:tcW w:w="593" w:type="pct"/>
            <w:tcBorders>
              <w:top w:val="nil"/>
              <w:left w:val="nil"/>
              <w:bottom w:val="single" w:sz="8" w:space="0" w:color="auto"/>
              <w:right w:val="single" w:sz="8" w:space="0" w:color="auto"/>
            </w:tcBorders>
            <w:shd w:val="clear" w:color="000000" w:fill="C65911"/>
            <w:vAlign w:val="center"/>
            <w:hideMark/>
          </w:tcPr>
          <w:p w14:paraId="487374FB"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Valor</w:t>
            </w:r>
          </w:p>
        </w:tc>
        <w:tc>
          <w:tcPr>
            <w:tcW w:w="277" w:type="pct"/>
            <w:tcBorders>
              <w:top w:val="nil"/>
              <w:left w:val="nil"/>
              <w:bottom w:val="single" w:sz="8" w:space="0" w:color="auto"/>
              <w:right w:val="single" w:sz="8" w:space="0" w:color="auto"/>
            </w:tcBorders>
            <w:shd w:val="clear" w:color="000000" w:fill="C65911"/>
            <w:vAlign w:val="center"/>
            <w:hideMark/>
          </w:tcPr>
          <w:p w14:paraId="105BAA3C"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xml:space="preserve">% </w:t>
            </w:r>
          </w:p>
        </w:tc>
        <w:tc>
          <w:tcPr>
            <w:tcW w:w="593" w:type="pct"/>
            <w:tcBorders>
              <w:top w:val="nil"/>
              <w:left w:val="nil"/>
              <w:bottom w:val="single" w:sz="8" w:space="0" w:color="auto"/>
              <w:right w:val="single" w:sz="8" w:space="0" w:color="auto"/>
            </w:tcBorders>
            <w:shd w:val="clear" w:color="000000" w:fill="C65911"/>
            <w:vAlign w:val="center"/>
            <w:hideMark/>
          </w:tcPr>
          <w:p w14:paraId="279E8C9A"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Valor</w:t>
            </w:r>
          </w:p>
        </w:tc>
        <w:tc>
          <w:tcPr>
            <w:tcW w:w="278" w:type="pct"/>
            <w:tcBorders>
              <w:top w:val="nil"/>
              <w:left w:val="nil"/>
              <w:bottom w:val="single" w:sz="8" w:space="0" w:color="auto"/>
              <w:right w:val="single" w:sz="8" w:space="0" w:color="auto"/>
            </w:tcBorders>
            <w:shd w:val="clear" w:color="000000" w:fill="C65911"/>
            <w:vAlign w:val="center"/>
            <w:hideMark/>
          </w:tcPr>
          <w:p w14:paraId="0884AA65"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xml:space="preserve">% </w:t>
            </w:r>
          </w:p>
        </w:tc>
      </w:tr>
      <w:tr w:rsidR="0086105D" w:rsidRPr="00C46432" w14:paraId="3EBA3F26" w14:textId="77777777" w:rsidTr="0086105D">
        <w:trPr>
          <w:trHeight w:val="201"/>
        </w:trPr>
        <w:tc>
          <w:tcPr>
            <w:tcW w:w="874" w:type="pct"/>
            <w:tcBorders>
              <w:top w:val="nil"/>
              <w:left w:val="single" w:sz="8" w:space="0" w:color="auto"/>
              <w:bottom w:val="single" w:sz="8" w:space="0" w:color="auto"/>
              <w:right w:val="single" w:sz="8" w:space="0" w:color="auto"/>
            </w:tcBorders>
            <w:shd w:val="clear" w:color="000000" w:fill="FFCC66"/>
            <w:vAlign w:val="center"/>
            <w:hideMark/>
          </w:tcPr>
          <w:p w14:paraId="0BC8108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FUNCIONAMIENTO</w:t>
            </w:r>
          </w:p>
        </w:tc>
        <w:tc>
          <w:tcPr>
            <w:tcW w:w="669" w:type="pct"/>
            <w:tcBorders>
              <w:top w:val="nil"/>
              <w:left w:val="nil"/>
              <w:bottom w:val="single" w:sz="8" w:space="0" w:color="auto"/>
              <w:right w:val="single" w:sz="8" w:space="0" w:color="auto"/>
            </w:tcBorders>
            <w:shd w:val="clear" w:color="000000" w:fill="FFCC66"/>
            <w:vAlign w:val="center"/>
            <w:hideMark/>
          </w:tcPr>
          <w:p w14:paraId="152DEF9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2.019.287,00</w:t>
            </w:r>
          </w:p>
        </w:tc>
        <w:tc>
          <w:tcPr>
            <w:tcW w:w="669" w:type="pct"/>
            <w:tcBorders>
              <w:top w:val="nil"/>
              <w:left w:val="nil"/>
              <w:bottom w:val="single" w:sz="8" w:space="0" w:color="auto"/>
              <w:right w:val="single" w:sz="8" w:space="0" w:color="auto"/>
            </w:tcBorders>
            <w:shd w:val="clear" w:color="000000" w:fill="FFCC66"/>
            <w:vAlign w:val="center"/>
            <w:hideMark/>
          </w:tcPr>
          <w:p w14:paraId="1E4C6B30"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2.428.216,40</w:t>
            </w:r>
          </w:p>
        </w:tc>
        <w:tc>
          <w:tcPr>
            <w:tcW w:w="378" w:type="pct"/>
            <w:tcBorders>
              <w:top w:val="nil"/>
              <w:left w:val="nil"/>
              <w:bottom w:val="single" w:sz="8" w:space="0" w:color="auto"/>
              <w:right w:val="single" w:sz="8" w:space="0" w:color="auto"/>
            </w:tcBorders>
            <w:shd w:val="clear" w:color="000000" w:fill="FFCC66"/>
            <w:vAlign w:val="center"/>
            <w:hideMark/>
          </w:tcPr>
          <w:p w14:paraId="74B8DE49"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95,58%</w:t>
            </w:r>
          </w:p>
        </w:tc>
        <w:tc>
          <w:tcPr>
            <w:tcW w:w="669" w:type="pct"/>
            <w:tcBorders>
              <w:top w:val="nil"/>
              <w:left w:val="nil"/>
              <w:bottom w:val="single" w:sz="8" w:space="0" w:color="auto"/>
              <w:right w:val="single" w:sz="8" w:space="0" w:color="auto"/>
            </w:tcBorders>
            <w:shd w:val="clear" w:color="000000" w:fill="FFCC66"/>
            <w:vAlign w:val="center"/>
            <w:hideMark/>
          </w:tcPr>
          <w:p w14:paraId="73348C27"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593" w:type="pct"/>
            <w:tcBorders>
              <w:top w:val="nil"/>
              <w:left w:val="nil"/>
              <w:bottom w:val="single" w:sz="8" w:space="0" w:color="auto"/>
              <w:right w:val="single" w:sz="8" w:space="0" w:color="auto"/>
            </w:tcBorders>
            <w:shd w:val="clear" w:color="000000" w:fill="FFCC66"/>
            <w:vAlign w:val="center"/>
            <w:hideMark/>
          </w:tcPr>
          <w:p w14:paraId="41F1BB4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2.280.606,24</w:t>
            </w:r>
          </w:p>
        </w:tc>
        <w:tc>
          <w:tcPr>
            <w:tcW w:w="277" w:type="pct"/>
            <w:tcBorders>
              <w:top w:val="nil"/>
              <w:left w:val="nil"/>
              <w:bottom w:val="single" w:sz="8" w:space="0" w:color="auto"/>
              <w:right w:val="single" w:sz="8" w:space="0" w:color="auto"/>
            </w:tcBorders>
            <w:shd w:val="clear" w:color="000000" w:fill="FFCC66"/>
            <w:vAlign w:val="center"/>
            <w:hideMark/>
          </w:tcPr>
          <w:p w14:paraId="71A9E65C"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94%</w:t>
            </w:r>
          </w:p>
        </w:tc>
        <w:tc>
          <w:tcPr>
            <w:tcW w:w="593" w:type="pct"/>
            <w:tcBorders>
              <w:top w:val="nil"/>
              <w:left w:val="nil"/>
              <w:bottom w:val="single" w:sz="8" w:space="0" w:color="auto"/>
              <w:right w:val="single" w:sz="8" w:space="0" w:color="auto"/>
            </w:tcBorders>
            <w:shd w:val="clear" w:color="000000" w:fill="FFCC66"/>
            <w:vAlign w:val="center"/>
            <w:hideMark/>
          </w:tcPr>
          <w:p w14:paraId="1DF73C47"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2.112.871,16</w:t>
            </w:r>
          </w:p>
        </w:tc>
        <w:tc>
          <w:tcPr>
            <w:tcW w:w="278" w:type="pct"/>
            <w:tcBorders>
              <w:top w:val="nil"/>
              <w:left w:val="nil"/>
              <w:bottom w:val="single" w:sz="8" w:space="0" w:color="auto"/>
              <w:right w:val="single" w:sz="8" w:space="0" w:color="auto"/>
            </w:tcBorders>
            <w:shd w:val="clear" w:color="000000" w:fill="FFCC66"/>
            <w:vAlign w:val="center"/>
            <w:hideMark/>
          </w:tcPr>
          <w:p w14:paraId="30D03627"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87%</w:t>
            </w:r>
          </w:p>
        </w:tc>
      </w:tr>
      <w:tr w:rsidR="0086105D" w:rsidRPr="00C46432" w14:paraId="6723876D" w14:textId="77777777" w:rsidTr="0086105D">
        <w:trPr>
          <w:trHeight w:val="240"/>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0A156B80"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GASTOS DE PERSONAL</w:t>
            </w:r>
          </w:p>
        </w:tc>
        <w:tc>
          <w:tcPr>
            <w:tcW w:w="669" w:type="pct"/>
            <w:tcBorders>
              <w:top w:val="nil"/>
              <w:left w:val="nil"/>
              <w:bottom w:val="single" w:sz="8" w:space="0" w:color="auto"/>
              <w:right w:val="single" w:sz="8" w:space="0" w:color="auto"/>
            </w:tcBorders>
            <w:shd w:val="clear" w:color="auto" w:fill="auto"/>
            <w:vAlign w:val="center"/>
            <w:hideMark/>
          </w:tcPr>
          <w:p w14:paraId="72C9C70B"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1.727.641,00</w:t>
            </w:r>
          </w:p>
        </w:tc>
        <w:tc>
          <w:tcPr>
            <w:tcW w:w="669" w:type="pct"/>
            <w:tcBorders>
              <w:top w:val="nil"/>
              <w:left w:val="nil"/>
              <w:bottom w:val="single" w:sz="8" w:space="0" w:color="auto"/>
              <w:right w:val="single" w:sz="8" w:space="0" w:color="auto"/>
            </w:tcBorders>
            <w:shd w:val="clear" w:color="auto" w:fill="auto"/>
            <w:vAlign w:val="center"/>
            <w:hideMark/>
          </w:tcPr>
          <w:p w14:paraId="41E5DE04"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1.845.348,00</w:t>
            </w:r>
          </w:p>
        </w:tc>
        <w:tc>
          <w:tcPr>
            <w:tcW w:w="378" w:type="pct"/>
            <w:tcBorders>
              <w:top w:val="nil"/>
              <w:left w:val="nil"/>
              <w:bottom w:val="single" w:sz="8" w:space="0" w:color="auto"/>
              <w:right w:val="single" w:sz="8" w:space="0" w:color="auto"/>
            </w:tcBorders>
            <w:shd w:val="clear" w:color="auto" w:fill="auto"/>
            <w:vAlign w:val="center"/>
            <w:hideMark/>
          </w:tcPr>
          <w:p w14:paraId="2A83246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72,64%</w:t>
            </w:r>
          </w:p>
        </w:tc>
        <w:tc>
          <w:tcPr>
            <w:tcW w:w="669" w:type="pct"/>
            <w:tcBorders>
              <w:top w:val="nil"/>
              <w:left w:val="nil"/>
              <w:bottom w:val="single" w:sz="8" w:space="0" w:color="auto"/>
              <w:right w:val="single" w:sz="8" w:space="0" w:color="auto"/>
            </w:tcBorders>
            <w:shd w:val="clear" w:color="auto" w:fill="auto"/>
            <w:vAlign w:val="center"/>
            <w:hideMark/>
          </w:tcPr>
          <w:p w14:paraId="041790C8"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1719FF95"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1.727.314,59</w:t>
            </w:r>
          </w:p>
        </w:tc>
        <w:tc>
          <w:tcPr>
            <w:tcW w:w="277" w:type="pct"/>
            <w:tcBorders>
              <w:top w:val="nil"/>
              <w:left w:val="nil"/>
              <w:bottom w:val="single" w:sz="8" w:space="0" w:color="auto"/>
              <w:right w:val="single" w:sz="8" w:space="0" w:color="auto"/>
            </w:tcBorders>
            <w:shd w:val="clear" w:color="000000" w:fill="FFFFFF"/>
            <w:vAlign w:val="center"/>
            <w:hideMark/>
          </w:tcPr>
          <w:p w14:paraId="5B6EB013"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94%</w:t>
            </w:r>
          </w:p>
        </w:tc>
        <w:tc>
          <w:tcPr>
            <w:tcW w:w="593" w:type="pct"/>
            <w:tcBorders>
              <w:top w:val="nil"/>
              <w:left w:val="nil"/>
              <w:bottom w:val="single" w:sz="8" w:space="0" w:color="auto"/>
              <w:right w:val="single" w:sz="8" w:space="0" w:color="auto"/>
            </w:tcBorders>
            <w:shd w:val="clear" w:color="auto" w:fill="auto"/>
            <w:vAlign w:val="center"/>
            <w:hideMark/>
          </w:tcPr>
          <w:p w14:paraId="4065A48A"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1.727.244,12</w:t>
            </w:r>
          </w:p>
        </w:tc>
        <w:tc>
          <w:tcPr>
            <w:tcW w:w="278" w:type="pct"/>
            <w:tcBorders>
              <w:top w:val="nil"/>
              <w:left w:val="nil"/>
              <w:bottom w:val="single" w:sz="8" w:space="0" w:color="auto"/>
              <w:right w:val="single" w:sz="8" w:space="0" w:color="auto"/>
            </w:tcBorders>
            <w:shd w:val="clear" w:color="000000" w:fill="FFFFFF"/>
            <w:vAlign w:val="center"/>
            <w:hideMark/>
          </w:tcPr>
          <w:p w14:paraId="16662198"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94%</w:t>
            </w:r>
          </w:p>
        </w:tc>
      </w:tr>
      <w:tr w:rsidR="0086105D" w:rsidRPr="00C46432" w14:paraId="4C9C5C22" w14:textId="77777777" w:rsidTr="0086105D">
        <w:trPr>
          <w:trHeight w:val="240"/>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590F5E2D"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ADQUISICIÓN DE BIENES Y SERVICIOS</w:t>
            </w:r>
          </w:p>
        </w:tc>
        <w:tc>
          <w:tcPr>
            <w:tcW w:w="669" w:type="pct"/>
            <w:tcBorders>
              <w:top w:val="nil"/>
              <w:left w:val="nil"/>
              <w:bottom w:val="single" w:sz="8" w:space="0" w:color="auto"/>
              <w:right w:val="single" w:sz="8" w:space="0" w:color="auto"/>
            </w:tcBorders>
            <w:shd w:val="clear" w:color="auto" w:fill="auto"/>
            <w:vAlign w:val="center"/>
            <w:hideMark/>
          </w:tcPr>
          <w:p w14:paraId="3D9CCEAC"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207.351,00</w:t>
            </w:r>
          </w:p>
        </w:tc>
        <w:tc>
          <w:tcPr>
            <w:tcW w:w="669" w:type="pct"/>
            <w:tcBorders>
              <w:top w:val="nil"/>
              <w:left w:val="nil"/>
              <w:bottom w:val="single" w:sz="8" w:space="0" w:color="auto"/>
              <w:right w:val="single" w:sz="8" w:space="0" w:color="auto"/>
            </w:tcBorders>
            <w:shd w:val="clear" w:color="auto" w:fill="auto"/>
            <w:vAlign w:val="center"/>
            <w:hideMark/>
          </w:tcPr>
          <w:p w14:paraId="43B16CA8"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378.010,33</w:t>
            </w:r>
          </w:p>
        </w:tc>
        <w:tc>
          <w:tcPr>
            <w:tcW w:w="378" w:type="pct"/>
            <w:tcBorders>
              <w:top w:val="nil"/>
              <w:left w:val="nil"/>
              <w:bottom w:val="single" w:sz="8" w:space="0" w:color="auto"/>
              <w:right w:val="single" w:sz="8" w:space="0" w:color="auto"/>
            </w:tcBorders>
            <w:shd w:val="clear" w:color="auto" w:fill="auto"/>
            <w:vAlign w:val="center"/>
            <w:hideMark/>
          </w:tcPr>
          <w:p w14:paraId="08A25083"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14,88%</w:t>
            </w:r>
          </w:p>
        </w:tc>
        <w:tc>
          <w:tcPr>
            <w:tcW w:w="669" w:type="pct"/>
            <w:tcBorders>
              <w:top w:val="nil"/>
              <w:left w:val="nil"/>
              <w:bottom w:val="single" w:sz="8" w:space="0" w:color="auto"/>
              <w:right w:val="single" w:sz="8" w:space="0" w:color="auto"/>
            </w:tcBorders>
            <w:shd w:val="clear" w:color="auto" w:fill="auto"/>
            <w:vAlign w:val="center"/>
            <w:hideMark/>
          </w:tcPr>
          <w:p w14:paraId="55F75F25"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0E09F911"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360.398,73</w:t>
            </w:r>
          </w:p>
        </w:tc>
        <w:tc>
          <w:tcPr>
            <w:tcW w:w="277" w:type="pct"/>
            <w:tcBorders>
              <w:top w:val="nil"/>
              <w:left w:val="nil"/>
              <w:bottom w:val="single" w:sz="8" w:space="0" w:color="auto"/>
              <w:right w:val="single" w:sz="8" w:space="0" w:color="auto"/>
            </w:tcBorders>
            <w:shd w:val="clear" w:color="000000" w:fill="FFFFFF"/>
            <w:vAlign w:val="center"/>
            <w:hideMark/>
          </w:tcPr>
          <w:p w14:paraId="2FA4C6DC"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95%</w:t>
            </w:r>
          </w:p>
        </w:tc>
        <w:tc>
          <w:tcPr>
            <w:tcW w:w="593" w:type="pct"/>
            <w:tcBorders>
              <w:top w:val="nil"/>
              <w:left w:val="nil"/>
              <w:bottom w:val="single" w:sz="8" w:space="0" w:color="auto"/>
              <w:right w:val="single" w:sz="8" w:space="0" w:color="auto"/>
            </w:tcBorders>
            <w:shd w:val="clear" w:color="auto" w:fill="auto"/>
            <w:vAlign w:val="center"/>
            <w:hideMark/>
          </w:tcPr>
          <w:p w14:paraId="5F6DBCE9"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234.352,90</w:t>
            </w:r>
          </w:p>
        </w:tc>
        <w:tc>
          <w:tcPr>
            <w:tcW w:w="278" w:type="pct"/>
            <w:tcBorders>
              <w:top w:val="nil"/>
              <w:left w:val="nil"/>
              <w:bottom w:val="single" w:sz="8" w:space="0" w:color="auto"/>
              <w:right w:val="single" w:sz="8" w:space="0" w:color="auto"/>
            </w:tcBorders>
            <w:shd w:val="clear" w:color="000000" w:fill="FFFFFF"/>
            <w:vAlign w:val="center"/>
            <w:hideMark/>
          </w:tcPr>
          <w:p w14:paraId="0FF5326E"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62%</w:t>
            </w:r>
          </w:p>
        </w:tc>
      </w:tr>
      <w:tr w:rsidR="0086105D" w:rsidRPr="00C46432" w14:paraId="5F61CDFE" w14:textId="77777777" w:rsidTr="0086105D">
        <w:trPr>
          <w:trHeight w:val="201"/>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25876AB5"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TRANSFERENCIAS</w:t>
            </w:r>
          </w:p>
        </w:tc>
        <w:tc>
          <w:tcPr>
            <w:tcW w:w="669" w:type="pct"/>
            <w:tcBorders>
              <w:top w:val="nil"/>
              <w:left w:val="nil"/>
              <w:bottom w:val="single" w:sz="8" w:space="0" w:color="auto"/>
              <w:right w:val="single" w:sz="8" w:space="0" w:color="auto"/>
            </w:tcBorders>
            <w:shd w:val="clear" w:color="auto" w:fill="auto"/>
            <w:vAlign w:val="center"/>
            <w:hideMark/>
          </w:tcPr>
          <w:p w14:paraId="571559E0"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79.280,00</w:t>
            </w:r>
          </w:p>
        </w:tc>
        <w:tc>
          <w:tcPr>
            <w:tcW w:w="669" w:type="pct"/>
            <w:tcBorders>
              <w:top w:val="nil"/>
              <w:left w:val="nil"/>
              <w:bottom w:val="single" w:sz="8" w:space="0" w:color="auto"/>
              <w:right w:val="single" w:sz="8" w:space="0" w:color="auto"/>
            </w:tcBorders>
            <w:shd w:val="clear" w:color="auto" w:fill="auto"/>
            <w:vAlign w:val="center"/>
            <w:hideMark/>
          </w:tcPr>
          <w:p w14:paraId="6925C216"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198.515,89</w:t>
            </w:r>
          </w:p>
        </w:tc>
        <w:tc>
          <w:tcPr>
            <w:tcW w:w="378" w:type="pct"/>
            <w:tcBorders>
              <w:top w:val="nil"/>
              <w:left w:val="nil"/>
              <w:bottom w:val="single" w:sz="8" w:space="0" w:color="auto"/>
              <w:right w:val="single" w:sz="8" w:space="0" w:color="auto"/>
            </w:tcBorders>
            <w:shd w:val="clear" w:color="auto" w:fill="auto"/>
            <w:vAlign w:val="center"/>
            <w:hideMark/>
          </w:tcPr>
          <w:p w14:paraId="6893AC6B"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7,81%</w:t>
            </w:r>
          </w:p>
        </w:tc>
        <w:tc>
          <w:tcPr>
            <w:tcW w:w="669" w:type="pct"/>
            <w:tcBorders>
              <w:top w:val="nil"/>
              <w:left w:val="nil"/>
              <w:bottom w:val="single" w:sz="8" w:space="0" w:color="auto"/>
              <w:right w:val="single" w:sz="8" w:space="0" w:color="auto"/>
            </w:tcBorders>
            <w:shd w:val="clear" w:color="auto" w:fill="auto"/>
            <w:vAlign w:val="center"/>
            <w:hideMark/>
          </w:tcPr>
          <w:p w14:paraId="044A6A5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35DDC9BF"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187.174,46</w:t>
            </w:r>
          </w:p>
        </w:tc>
        <w:tc>
          <w:tcPr>
            <w:tcW w:w="277" w:type="pct"/>
            <w:tcBorders>
              <w:top w:val="nil"/>
              <w:left w:val="nil"/>
              <w:bottom w:val="single" w:sz="8" w:space="0" w:color="auto"/>
              <w:right w:val="single" w:sz="8" w:space="0" w:color="auto"/>
            </w:tcBorders>
            <w:shd w:val="clear" w:color="000000" w:fill="FFFFFF"/>
            <w:vAlign w:val="center"/>
            <w:hideMark/>
          </w:tcPr>
          <w:p w14:paraId="189164D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94%</w:t>
            </w:r>
          </w:p>
        </w:tc>
        <w:tc>
          <w:tcPr>
            <w:tcW w:w="593" w:type="pct"/>
            <w:tcBorders>
              <w:top w:val="nil"/>
              <w:left w:val="nil"/>
              <w:bottom w:val="single" w:sz="8" w:space="0" w:color="auto"/>
              <w:right w:val="single" w:sz="8" w:space="0" w:color="auto"/>
            </w:tcBorders>
            <w:shd w:val="clear" w:color="auto" w:fill="auto"/>
            <w:vAlign w:val="center"/>
            <w:hideMark/>
          </w:tcPr>
          <w:p w14:paraId="1CD5D496"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145.560,85</w:t>
            </w:r>
          </w:p>
        </w:tc>
        <w:tc>
          <w:tcPr>
            <w:tcW w:w="278" w:type="pct"/>
            <w:tcBorders>
              <w:top w:val="nil"/>
              <w:left w:val="nil"/>
              <w:bottom w:val="single" w:sz="8" w:space="0" w:color="auto"/>
              <w:right w:val="single" w:sz="8" w:space="0" w:color="auto"/>
            </w:tcBorders>
            <w:shd w:val="clear" w:color="000000" w:fill="FFFFFF"/>
            <w:vAlign w:val="center"/>
            <w:hideMark/>
          </w:tcPr>
          <w:p w14:paraId="5249417A"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73%</w:t>
            </w:r>
          </w:p>
        </w:tc>
      </w:tr>
      <w:tr w:rsidR="0086105D" w:rsidRPr="00C46432" w14:paraId="653D74DE" w14:textId="77777777" w:rsidTr="0086105D">
        <w:trPr>
          <w:trHeight w:val="354"/>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46287FF6"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ADQUISICIÓN DE ACTIVOS FINANCIEROS</w:t>
            </w:r>
          </w:p>
        </w:tc>
        <w:tc>
          <w:tcPr>
            <w:tcW w:w="669" w:type="pct"/>
            <w:tcBorders>
              <w:top w:val="nil"/>
              <w:left w:val="nil"/>
              <w:bottom w:val="single" w:sz="8" w:space="0" w:color="auto"/>
              <w:right w:val="single" w:sz="8" w:space="0" w:color="auto"/>
            </w:tcBorders>
            <w:shd w:val="clear" w:color="auto" w:fill="auto"/>
            <w:vAlign w:val="center"/>
            <w:hideMark/>
          </w:tcPr>
          <w:p w14:paraId="1AC1CF6B"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0,00</w:t>
            </w:r>
          </w:p>
        </w:tc>
        <w:tc>
          <w:tcPr>
            <w:tcW w:w="669" w:type="pct"/>
            <w:tcBorders>
              <w:top w:val="nil"/>
              <w:left w:val="nil"/>
              <w:bottom w:val="single" w:sz="8" w:space="0" w:color="auto"/>
              <w:right w:val="single" w:sz="8" w:space="0" w:color="auto"/>
            </w:tcBorders>
            <w:shd w:val="clear" w:color="auto" w:fill="auto"/>
            <w:vAlign w:val="center"/>
            <w:hideMark/>
          </w:tcPr>
          <w:p w14:paraId="183F078D"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0,00</w:t>
            </w:r>
          </w:p>
        </w:tc>
        <w:tc>
          <w:tcPr>
            <w:tcW w:w="378" w:type="pct"/>
            <w:tcBorders>
              <w:top w:val="nil"/>
              <w:left w:val="nil"/>
              <w:bottom w:val="single" w:sz="8" w:space="0" w:color="auto"/>
              <w:right w:val="single" w:sz="8" w:space="0" w:color="auto"/>
            </w:tcBorders>
            <w:shd w:val="clear" w:color="auto" w:fill="auto"/>
            <w:vAlign w:val="center"/>
            <w:hideMark/>
          </w:tcPr>
          <w:p w14:paraId="4511713B"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669" w:type="pct"/>
            <w:tcBorders>
              <w:top w:val="nil"/>
              <w:left w:val="nil"/>
              <w:bottom w:val="single" w:sz="8" w:space="0" w:color="auto"/>
              <w:right w:val="single" w:sz="8" w:space="0" w:color="auto"/>
            </w:tcBorders>
            <w:shd w:val="clear" w:color="auto" w:fill="auto"/>
            <w:vAlign w:val="center"/>
            <w:hideMark/>
          </w:tcPr>
          <w:p w14:paraId="4931C970"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1609A1D6"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0,00</w:t>
            </w:r>
          </w:p>
        </w:tc>
        <w:tc>
          <w:tcPr>
            <w:tcW w:w="277" w:type="pct"/>
            <w:tcBorders>
              <w:top w:val="nil"/>
              <w:left w:val="nil"/>
              <w:bottom w:val="single" w:sz="8" w:space="0" w:color="auto"/>
              <w:right w:val="single" w:sz="8" w:space="0" w:color="auto"/>
            </w:tcBorders>
            <w:shd w:val="clear" w:color="000000" w:fill="FFFFFF"/>
            <w:vAlign w:val="center"/>
            <w:hideMark/>
          </w:tcPr>
          <w:p w14:paraId="0A92418C"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w:t>
            </w:r>
          </w:p>
        </w:tc>
        <w:tc>
          <w:tcPr>
            <w:tcW w:w="593" w:type="pct"/>
            <w:tcBorders>
              <w:top w:val="nil"/>
              <w:left w:val="nil"/>
              <w:bottom w:val="single" w:sz="8" w:space="0" w:color="auto"/>
              <w:right w:val="single" w:sz="8" w:space="0" w:color="auto"/>
            </w:tcBorders>
            <w:shd w:val="clear" w:color="auto" w:fill="auto"/>
            <w:vAlign w:val="center"/>
            <w:hideMark/>
          </w:tcPr>
          <w:p w14:paraId="27E9512E"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0,00</w:t>
            </w:r>
          </w:p>
        </w:tc>
        <w:tc>
          <w:tcPr>
            <w:tcW w:w="278" w:type="pct"/>
            <w:tcBorders>
              <w:top w:val="nil"/>
              <w:left w:val="nil"/>
              <w:bottom w:val="single" w:sz="8" w:space="0" w:color="auto"/>
              <w:right w:val="single" w:sz="8" w:space="0" w:color="auto"/>
            </w:tcBorders>
            <w:shd w:val="clear" w:color="000000" w:fill="FFFFFF"/>
            <w:vAlign w:val="center"/>
            <w:hideMark/>
          </w:tcPr>
          <w:p w14:paraId="3CDC29D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w:t>
            </w:r>
          </w:p>
        </w:tc>
      </w:tr>
      <w:tr w:rsidR="0086105D" w:rsidRPr="00C46432" w14:paraId="17D9E698" w14:textId="77777777" w:rsidTr="0086105D">
        <w:trPr>
          <w:trHeight w:val="469"/>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01B9541A"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GASTOS POR TRIBUTOS, MULTAS, SANCIONES E INTERES DE MORA</w:t>
            </w:r>
          </w:p>
        </w:tc>
        <w:tc>
          <w:tcPr>
            <w:tcW w:w="669" w:type="pct"/>
            <w:tcBorders>
              <w:top w:val="nil"/>
              <w:left w:val="nil"/>
              <w:bottom w:val="single" w:sz="8" w:space="0" w:color="auto"/>
              <w:right w:val="single" w:sz="8" w:space="0" w:color="auto"/>
            </w:tcBorders>
            <w:shd w:val="clear" w:color="auto" w:fill="auto"/>
            <w:vAlign w:val="center"/>
            <w:hideMark/>
          </w:tcPr>
          <w:p w14:paraId="3DDC08B1"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5.015,00</w:t>
            </w:r>
          </w:p>
        </w:tc>
        <w:tc>
          <w:tcPr>
            <w:tcW w:w="669" w:type="pct"/>
            <w:tcBorders>
              <w:top w:val="nil"/>
              <w:left w:val="nil"/>
              <w:bottom w:val="single" w:sz="8" w:space="0" w:color="auto"/>
              <w:right w:val="single" w:sz="8" w:space="0" w:color="auto"/>
            </w:tcBorders>
            <w:shd w:val="clear" w:color="auto" w:fill="auto"/>
            <w:vAlign w:val="center"/>
            <w:hideMark/>
          </w:tcPr>
          <w:p w14:paraId="3D463E54"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6.342,17</w:t>
            </w:r>
          </w:p>
        </w:tc>
        <w:tc>
          <w:tcPr>
            <w:tcW w:w="378" w:type="pct"/>
            <w:tcBorders>
              <w:top w:val="nil"/>
              <w:left w:val="nil"/>
              <w:bottom w:val="single" w:sz="8" w:space="0" w:color="auto"/>
              <w:right w:val="single" w:sz="8" w:space="0" w:color="auto"/>
            </w:tcBorders>
            <w:shd w:val="clear" w:color="auto" w:fill="auto"/>
            <w:vAlign w:val="center"/>
            <w:hideMark/>
          </w:tcPr>
          <w:p w14:paraId="4AD1E6B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0,25%</w:t>
            </w:r>
          </w:p>
        </w:tc>
        <w:tc>
          <w:tcPr>
            <w:tcW w:w="669" w:type="pct"/>
            <w:tcBorders>
              <w:top w:val="nil"/>
              <w:left w:val="nil"/>
              <w:bottom w:val="single" w:sz="8" w:space="0" w:color="auto"/>
              <w:right w:val="single" w:sz="8" w:space="0" w:color="auto"/>
            </w:tcBorders>
            <w:shd w:val="clear" w:color="auto" w:fill="auto"/>
            <w:vAlign w:val="center"/>
            <w:hideMark/>
          </w:tcPr>
          <w:p w14:paraId="718C0DC2"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24F8B62D"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5.718,46</w:t>
            </w:r>
          </w:p>
        </w:tc>
        <w:tc>
          <w:tcPr>
            <w:tcW w:w="277" w:type="pct"/>
            <w:tcBorders>
              <w:top w:val="nil"/>
              <w:left w:val="nil"/>
              <w:bottom w:val="single" w:sz="8" w:space="0" w:color="auto"/>
              <w:right w:val="single" w:sz="8" w:space="0" w:color="auto"/>
            </w:tcBorders>
            <w:shd w:val="clear" w:color="000000" w:fill="FFFFFF"/>
            <w:vAlign w:val="center"/>
            <w:hideMark/>
          </w:tcPr>
          <w:p w14:paraId="7471A8FF"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90%</w:t>
            </w:r>
          </w:p>
        </w:tc>
        <w:tc>
          <w:tcPr>
            <w:tcW w:w="593" w:type="pct"/>
            <w:tcBorders>
              <w:top w:val="nil"/>
              <w:left w:val="nil"/>
              <w:bottom w:val="single" w:sz="8" w:space="0" w:color="auto"/>
              <w:right w:val="single" w:sz="8" w:space="0" w:color="auto"/>
            </w:tcBorders>
            <w:shd w:val="clear" w:color="auto" w:fill="auto"/>
            <w:vAlign w:val="center"/>
            <w:hideMark/>
          </w:tcPr>
          <w:p w14:paraId="476D37DF" w14:textId="77777777" w:rsidR="002034AA" w:rsidRPr="00C46432" w:rsidRDefault="002034AA">
            <w:pPr>
              <w:spacing w:after="0" w:line="240" w:lineRule="auto"/>
              <w:jc w:val="center"/>
              <w:rPr>
                <w:rFonts w:ascii="Verdana" w:eastAsia="Times New Roman" w:hAnsi="Verdana" w:cstheme="majorHAnsi"/>
                <w:color w:val="000000"/>
                <w:sz w:val="12"/>
                <w:szCs w:val="12"/>
                <w:lang w:eastAsia="es-CO"/>
              </w:rPr>
            </w:pPr>
            <w:r w:rsidRPr="00C46432">
              <w:rPr>
                <w:rFonts w:ascii="Verdana" w:eastAsia="Times New Roman" w:hAnsi="Verdana" w:cstheme="majorHAnsi"/>
                <w:color w:val="000000"/>
                <w:sz w:val="12"/>
                <w:szCs w:val="12"/>
                <w:lang w:eastAsia="es-CO"/>
              </w:rPr>
              <w:t>5.713,29</w:t>
            </w:r>
          </w:p>
        </w:tc>
        <w:tc>
          <w:tcPr>
            <w:tcW w:w="278" w:type="pct"/>
            <w:tcBorders>
              <w:top w:val="nil"/>
              <w:left w:val="nil"/>
              <w:bottom w:val="single" w:sz="8" w:space="0" w:color="auto"/>
              <w:right w:val="single" w:sz="8" w:space="0" w:color="auto"/>
            </w:tcBorders>
            <w:shd w:val="clear" w:color="000000" w:fill="FFFFFF"/>
            <w:vAlign w:val="center"/>
            <w:hideMark/>
          </w:tcPr>
          <w:p w14:paraId="44053BF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90%</w:t>
            </w:r>
          </w:p>
        </w:tc>
      </w:tr>
      <w:tr w:rsidR="0086105D" w:rsidRPr="00C46432" w14:paraId="46F027CB" w14:textId="77777777" w:rsidTr="0086105D">
        <w:trPr>
          <w:trHeight w:val="240"/>
        </w:trPr>
        <w:tc>
          <w:tcPr>
            <w:tcW w:w="874" w:type="pct"/>
            <w:tcBorders>
              <w:top w:val="nil"/>
              <w:left w:val="single" w:sz="8" w:space="0" w:color="auto"/>
              <w:bottom w:val="single" w:sz="8" w:space="0" w:color="auto"/>
              <w:right w:val="single" w:sz="8" w:space="0" w:color="auto"/>
            </w:tcBorders>
            <w:shd w:val="clear" w:color="auto" w:fill="auto"/>
            <w:vAlign w:val="center"/>
            <w:hideMark/>
          </w:tcPr>
          <w:p w14:paraId="1D701EBA" w14:textId="77777777" w:rsidR="002034AA" w:rsidRPr="00C46432" w:rsidRDefault="002034AA">
            <w:pPr>
              <w:spacing w:after="0" w:line="240" w:lineRule="auto"/>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SERVICIO DEUDA PUBLICA</w:t>
            </w:r>
          </w:p>
        </w:tc>
        <w:tc>
          <w:tcPr>
            <w:tcW w:w="669" w:type="pct"/>
            <w:tcBorders>
              <w:top w:val="nil"/>
              <w:left w:val="nil"/>
              <w:bottom w:val="single" w:sz="8" w:space="0" w:color="auto"/>
              <w:right w:val="single" w:sz="8" w:space="0" w:color="auto"/>
            </w:tcBorders>
            <w:shd w:val="clear" w:color="auto" w:fill="auto"/>
            <w:vAlign w:val="center"/>
            <w:hideMark/>
          </w:tcPr>
          <w:p w14:paraId="71578050"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669" w:type="pct"/>
            <w:tcBorders>
              <w:top w:val="nil"/>
              <w:left w:val="nil"/>
              <w:bottom w:val="single" w:sz="8" w:space="0" w:color="auto"/>
              <w:right w:val="single" w:sz="8" w:space="0" w:color="auto"/>
            </w:tcBorders>
            <w:shd w:val="clear" w:color="auto" w:fill="auto"/>
            <w:vAlign w:val="center"/>
            <w:hideMark/>
          </w:tcPr>
          <w:p w14:paraId="44E2667D"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378" w:type="pct"/>
            <w:tcBorders>
              <w:top w:val="nil"/>
              <w:left w:val="nil"/>
              <w:bottom w:val="single" w:sz="8" w:space="0" w:color="auto"/>
              <w:right w:val="single" w:sz="8" w:space="0" w:color="auto"/>
            </w:tcBorders>
            <w:shd w:val="clear" w:color="auto" w:fill="auto"/>
            <w:vAlign w:val="center"/>
            <w:hideMark/>
          </w:tcPr>
          <w:p w14:paraId="3C8292C4"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669" w:type="pct"/>
            <w:tcBorders>
              <w:top w:val="nil"/>
              <w:left w:val="nil"/>
              <w:bottom w:val="single" w:sz="8" w:space="0" w:color="auto"/>
              <w:right w:val="single" w:sz="8" w:space="0" w:color="auto"/>
            </w:tcBorders>
            <w:shd w:val="clear" w:color="auto" w:fill="auto"/>
            <w:vAlign w:val="center"/>
            <w:hideMark/>
          </w:tcPr>
          <w:p w14:paraId="78453C5F"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w:t>
            </w:r>
          </w:p>
        </w:tc>
        <w:tc>
          <w:tcPr>
            <w:tcW w:w="593" w:type="pct"/>
            <w:tcBorders>
              <w:top w:val="nil"/>
              <w:left w:val="nil"/>
              <w:bottom w:val="single" w:sz="8" w:space="0" w:color="auto"/>
              <w:right w:val="single" w:sz="8" w:space="0" w:color="auto"/>
            </w:tcBorders>
            <w:shd w:val="clear" w:color="auto" w:fill="auto"/>
            <w:vAlign w:val="center"/>
            <w:hideMark/>
          </w:tcPr>
          <w:p w14:paraId="1329FA2E"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277" w:type="pct"/>
            <w:tcBorders>
              <w:top w:val="nil"/>
              <w:left w:val="nil"/>
              <w:bottom w:val="single" w:sz="8" w:space="0" w:color="auto"/>
              <w:right w:val="single" w:sz="8" w:space="0" w:color="auto"/>
            </w:tcBorders>
            <w:shd w:val="clear" w:color="auto" w:fill="auto"/>
            <w:vAlign w:val="center"/>
            <w:hideMark/>
          </w:tcPr>
          <w:p w14:paraId="4C6F7F51"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w:t>
            </w:r>
          </w:p>
        </w:tc>
        <w:tc>
          <w:tcPr>
            <w:tcW w:w="593" w:type="pct"/>
            <w:tcBorders>
              <w:top w:val="nil"/>
              <w:left w:val="nil"/>
              <w:bottom w:val="single" w:sz="8" w:space="0" w:color="auto"/>
              <w:right w:val="single" w:sz="8" w:space="0" w:color="auto"/>
            </w:tcBorders>
            <w:shd w:val="clear" w:color="auto" w:fill="auto"/>
            <w:vAlign w:val="center"/>
            <w:hideMark/>
          </w:tcPr>
          <w:p w14:paraId="6C7420A3"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0,00</w:t>
            </w:r>
          </w:p>
        </w:tc>
        <w:tc>
          <w:tcPr>
            <w:tcW w:w="278" w:type="pct"/>
            <w:tcBorders>
              <w:top w:val="nil"/>
              <w:left w:val="nil"/>
              <w:bottom w:val="single" w:sz="8" w:space="0" w:color="auto"/>
              <w:right w:val="single" w:sz="8" w:space="0" w:color="auto"/>
            </w:tcBorders>
            <w:shd w:val="clear" w:color="000000" w:fill="FFFFFF"/>
            <w:vAlign w:val="center"/>
            <w:hideMark/>
          </w:tcPr>
          <w:p w14:paraId="3E1501BB"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0,0%</w:t>
            </w:r>
          </w:p>
        </w:tc>
      </w:tr>
      <w:tr w:rsidR="0086105D" w:rsidRPr="00C46432" w14:paraId="4B847F11" w14:textId="77777777" w:rsidTr="0086105D">
        <w:trPr>
          <w:trHeight w:val="201"/>
        </w:trPr>
        <w:tc>
          <w:tcPr>
            <w:tcW w:w="874" w:type="pct"/>
            <w:tcBorders>
              <w:top w:val="nil"/>
              <w:left w:val="single" w:sz="8" w:space="0" w:color="auto"/>
              <w:bottom w:val="single" w:sz="8" w:space="0" w:color="auto"/>
              <w:right w:val="single" w:sz="8" w:space="0" w:color="auto"/>
            </w:tcBorders>
            <w:shd w:val="clear" w:color="000000" w:fill="FFCC66"/>
            <w:vAlign w:val="center"/>
            <w:hideMark/>
          </w:tcPr>
          <w:p w14:paraId="06336DD1"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INVERSION</w:t>
            </w:r>
          </w:p>
        </w:tc>
        <w:tc>
          <w:tcPr>
            <w:tcW w:w="669" w:type="pct"/>
            <w:tcBorders>
              <w:top w:val="nil"/>
              <w:left w:val="nil"/>
              <w:bottom w:val="single" w:sz="8" w:space="0" w:color="auto"/>
              <w:right w:val="single" w:sz="8" w:space="0" w:color="auto"/>
            </w:tcBorders>
            <w:shd w:val="clear" w:color="000000" w:fill="FFCC66"/>
            <w:vAlign w:val="center"/>
            <w:hideMark/>
          </w:tcPr>
          <w:p w14:paraId="7E08A0F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112.200,00</w:t>
            </w:r>
          </w:p>
        </w:tc>
        <w:tc>
          <w:tcPr>
            <w:tcW w:w="669" w:type="pct"/>
            <w:tcBorders>
              <w:top w:val="nil"/>
              <w:left w:val="nil"/>
              <w:bottom w:val="single" w:sz="8" w:space="0" w:color="auto"/>
              <w:right w:val="single" w:sz="8" w:space="0" w:color="auto"/>
            </w:tcBorders>
            <w:shd w:val="clear" w:color="000000" w:fill="FFCC66"/>
            <w:vAlign w:val="center"/>
            <w:hideMark/>
          </w:tcPr>
          <w:p w14:paraId="2C1362B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112.200,00</w:t>
            </w:r>
          </w:p>
        </w:tc>
        <w:tc>
          <w:tcPr>
            <w:tcW w:w="378" w:type="pct"/>
            <w:tcBorders>
              <w:top w:val="nil"/>
              <w:left w:val="nil"/>
              <w:bottom w:val="single" w:sz="8" w:space="0" w:color="auto"/>
              <w:right w:val="single" w:sz="8" w:space="0" w:color="auto"/>
            </w:tcBorders>
            <w:shd w:val="clear" w:color="000000" w:fill="FFCC66"/>
            <w:vAlign w:val="center"/>
            <w:hideMark/>
          </w:tcPr>
          <w:p w14:paraId="7EBE0706"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4,42%</w:t>
            </w:r>
          </w:p>
        </w:tc>
        <w:tc>
          <w:tcPr>
            <w:tcW w:w="669" w:type="pct"/>
            <w:tcBorders>
              <w:top w:val="nil"/>
              <w:left w:val="nil"/>
              <w:bottom w:val="single" w:sz="8" w:space="0" w:color="auto"/>
              <w:right w:val="single" w:sz="8" w:space="0" w:color="auto"/>
            </w:tcBorders>
            <w:shd w:val="clear" w:color="000000" w:fill="FFCC66"/>
            <w:vAlign w:val="center"/>
            <w:hideMark/>
          </w:tcPr>
          <w:p w14:paraId="5B207281"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0</w:t>
            </w:r>
          </w:p>
        </w:tc>
        <w:tc>
          <w:tcPr>
            <w:tcW w:w="593" w:type="pct"/>
            <w:tcBorders>
              <w:top w:val="nil"/>
              <w:left w:val="nil"/>
              <w:bottom w:val="single" w:sz="8" w:space="0" w:color="auto"/>
              <w:right w:val="single" w:sz="8" w:space="0" w:color="auto"/>
            </w:tcBorders>
            <w:shd w:val="clear" w:color="000000" w:fill="FFCC66"/>
            <w:vAlign w:val="center"/>
            <w:hideMark/>
          </w:tcPr>
          <w:p w14:paraId="06D5AC7D"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104.640,51</w:t>
            </w:r>
          </w:p>
        </w:tc>
        <w:tc>
          <w:tcPr>
            <w:tcW w:w="277" w:type="pct"/>
            <w:tcBorders>
              <w:top w:val="nil"/>
              <w:left w:val="nil"/>
              <w:bottom w:val="single" w:sz="8" w:space="0" w:color="auto"/>
              <w:right w:val="single" w:sz="8" w:space="0" w:color="auto"/>
            </w:tcBorders>
            <w:shd w:val="clear" w:color="000000" w:fill="FFCC66"/>
            <w:vAlign w:val="center"/>
            <w:hideMark/>
          </w:tcPr>
          <w:p w14:paraId="4E46E0EB"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93%</w:t>
            </w:r>
          </w:p>
        </w:tc>
        <w:tc>
          <w:tcPr>
            <w:tcW w:w="593" w:type="pct"/>
            <w:tcBorders>
              <w:top w:val="nil"/>
              <w:left w:val="nil"/>
              <w:bottom w:val="single" w:sz="8" w:space="0" w:color="auto"/>
              <w:right w:val="single" w:sz="8" w:space="0" w:color="auto"/>
            </w:tcBorders>
            <w:shd w:val="clear" w:color="000000" w:fill="FFCC66"/>
            <w:vAlign w:val="center"/>
            <w:hideMark/>
          </w:tcPr>
          <w:p w14:paraId="102F8957"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65.616,84</w:t>
            </w:r>
          </w:p>
        </w:tc>
        <w:tc>
          <w:tcPr>
            <w:tcW w:w="278" w:type="pct"/>
            <w:tcBorders>
              <w:top w:val="nil"/>
              <w:left w:val="nil"/>
              <w:bottom w:val="single" w:sz="8" w:space="0" w:color="auto"/>
              <w:right w:val="single" w:sz="8" w:space="0" w:color="auto"/>
            </w:tcBorders>
            <w:shd w:val="clear" w:color="000000" w:fill="FFCC66"/>
            <w:vAlign w:val="center"/>
            <w:hideMark/>
          </w:tcPr>
          <w:p w14:paraId="0AB48CA6"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58%</w:t>
            </w:r>
          </w:p>
        </w:tc>
      </w:tr>
      <w:tr w:rsidR="0086105D" w:rsidRPr="00C46432" w14:paraId="3048E810" w14:textId="77777777" w:rsidTr="0086105D">
        <w:trPr>
          <w:trHeight w:val="201"/>
        </w:trPr>
        <w:tc>
          <w:tcPr>
            <w:tcW w:w="874" w:type="pct"/>
            <w:tcBorders>
              <w:top w:val="nil"/>
              <w:left w:val="single" w:sz="8" w:space="0" w:color="auto"/>
              <w:bottom w:val="single" w:sz="8" w:space="0" w:color="auto"/>
              <w:right w:val="single" w:sz="8" w:space="0" w:color="auto"/>
            </w:tcBorders>
            <w:shd w:val="clear" w:color="000000" w:fill="C65911"/>
            <w:vAlign w:val="center"/>
            <w:hideMark/>
          </w:tcPr>
          <w:p w14:paraId="350B82F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TOTAL</w:t>
            </w:r>
          </w:p>
        </w:tc>
        <w:tc>
          <w:tcPr>
            <w:tcW w:w="669" w:type="pct"/>
            <w:tcBorders>
              <w:top w:val="nil"/>
              <w:left w:val="nil"/>
              <w:bottom w:val="single" w:sz="8" w:space="0" w:color="auto"/>
              <w:right w:val="single" w:sz="8" w:space="0" w:color="auto"/>
            </w:tcBorders>
            <w:shd w:val="clear" w:color="000000" w:fill="C65911"/>
            <w:vAlign w:val="center"/>
            <w:hideMark/>
          </w:tcPr>
          <w:p w14:paraId="15AB5A9A"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2.131.487,00</w:t>
            </w:r>
          </w:p>
        </w:tc>
        <w:tc>
          <w:tcPr>
            <w:tcW w:w="669" w:type="pct"/>
            <w:tcBorders>
              <w:top w:val="nil"/>
              <w:left w:val="nil"/>
              <w:bottom w:val="single" w:sz="8" w:space="0" w:color="auto"/>
              <w:right w:val="single" w:sz="8" w:space="0" w:color="auto"/>
            </w:tcBorders>
            <w:shd w:val="clear" w:color="000000" w:fill="C65911"/>
            <w:vAlign w:val="center"/>
            <w:hideMark/>
          </w:tcPr>
          <w:p w14:paraId="69BF93DE"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2.540.416,40</w:t>
            </w:r>
          </w:p>
        </w:tc>
        <w:tc>
          <w:tcPr>
            <w:tcW w:w="378" w:type="pct"/>
            <w:tcBorders>
              <w:top w:val="nil"/>
              <w:left w:val="nil"/>
              <w:bottom w:val="single" w:sz="8" w:space="0" w:color="auto"/>
              <w:right w:val="single" w:sz="8" w:space="0" w:color="auto"/>
            </w:tcBorders>
            <w:shd w:val="clear" w:color="000000" w:fill="C65911"/>
            <w:vAlign w:val="center"/>
            <w:hideMark/>
          </w:tcPr>
          <w:p w14:paraId="7598A840"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w:t>
            </w:r>
          </w:p>
        </w:tc>
        <w:tc>
          <w:tcPr>
            <w:tcW w:w="669" w:type="pct"/>
            <w:tcBorders>
              <w:top w:val="nil"/>
              <w:left w:val="nil"/>
              <w:bottom w:val="single" w:sz="8" w:space="0" w:color="auto"/>
              <w:right w:val="single" w:sz="8" w:space="0" w:color="auto"/>
            </w:tcBorders>
            <w:shd w:val="clear" w:color="000000" w:fill="C65911"/>
            <w:vAlign w:val="center"/>
            <w:hideMark/>
          </w:tcPr>
          <w:p w14:paraId="7C7BA212"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 </w:t>
            </w:r>
          </w:p>
        </w:tc>
        <w:tc>
          <w:tcPr>
            <w:tcW w:w="593" w:type="pct"/>
            <w:tcBorders>
              <w:top w:val="nil"/>
              <w:left w:val="nil"/>
              <w:bottom w:val="single" w:sz="8" w:space="0" w:color="auto"/>
              <w:right w:val="single" w:sz="8" w:space="0" w:color="auto"/>
            </w:tcBorders>
            <w:shd w:val="clear" w:color="000000" w:fill="C65911"/>
            <w:vAlign w:val="center"/>
            <w:hideMark/>
          </w:tcPr>
          <w:p w14:paraId="2E059270"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2.385.246,75</w:t>
            </w:r>
          </w:p>
        </w:tc>
        <w:tc>
          <w:tcPr>
            <w:tcW w:w="277" w:type="pct"/>
            <w:tcBorders>
              <w:top w:val="nil"/>
              <w:left w:val="nil"/>
              <w:bottom w:val="single" w:sz="8" w:space="0" w:color="auto"/>
              <w:right w:val="single" w:sz="8" w:space="0" w:color="auto"/>
            </w:tcBorders>
            <w:shd w:val="clear" w:color="000000" w:fill="C65911"/>
            <w:vAlign w:val="center"/>
            <w:hideMark/>
          </w:tcPr>
          <w:p w14:paraId="26CF9CF1"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94%</w:t>
            </w:r>
          </w:p>
        </w:tc>
        <w:tc>
          <w:tcPr>
            <w:tcW w:w="593" w:type="pct"/>
            <w:tcBorders>
              <w:top w:val="nil"/>
              <w:left w:val="nil"/>
              <w:bottom w:val="single" w:sz="8" w:space="0" w:color="auto"/>
              <w:right w:val="single" w:sz="8" w:space="0" w:color="auto"/>
            </w:tcBorders>
            <w:shd w:val="clear" w:color="000000" w:fill="C65911"/>
            <w:vAlign w:val="center"/>
            <w:hideMark/>
          </w:tcPr>
          <w:p w14:paraId="05C4A39E"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2.178.488,00</w:t>
            </w:r>
          </w:p>
        </w:tc>
        <w:tc>
          <w:tcPr>
            <w:tcW w:w="278" w:type="pct"/>
            <w:tcBorders>
              <w:top w:val="nil"/>
              <w:left w:val="nil"/>
              <w:bottom w:val="single" w:sz="8" w:space="0" w:color="auto"/>
              <w:right w:val="single" w:sz="8" w:space="0" w:color="auto"/>
            </w:tcBorders>
            <w:shd w:val="clear" w:color="000000" w:fill="C65911"/>
            <w:vAlign w:val="center"/>
            <w:hideMark/>
          </w:tcPr>
          <w:p w14:paraId="63C5A49C" w14:textId="77777777" w:rsidR="002034AA" w:rsidRPr="00C46432" w:rsidRDefault="002034AA">
            <w:pPr>
              <w:spacing w:after="0" w:line="240" w:lineRule="auto"/>
              <w:jc w:val="center"/>
              <w:rPr>
                <w:rFonts w:ascii="Verdana" w:eastAsia="Times New Roman" w:hAnsi="Verdana" w:cstheme="majorHAnsi"/>
                <w:b/>
                <w:color w:val="000000"/>
                <w:sz w:val="12"/>
                <w:szCs w:val="12"/>
                <w:lang w:eastAsia="es-CO"/>
              </w:rPr>
            </w:pPr>
            <w:r w:rsidRPr="00C46432">
              <w:rPr>
                <w:rFonts w:ascii="Verdana" w:eastAsia="Times New Roman" w:hAnsi="Verdana" w:cstheme="majorHAnsi"/>
                <w:b/>
                <w:color w:val="000000"/>
                <w:sz w:val="12"/>
                <w:szCs w:val="12"/>
                <w:lang w:eastAsia="es-CO"/>
              </w:rPr>
              <w:t>86%</w:t>
            </w:r>
          </w:p>
        </w:tc>
      </w:tr>
    </w:tbl>
    <w:p w14:paraId="05777259" w14:textId="77777777" w:rsidR="0023767F" w:rsidRPr="0086105D" w:rsidRDefault="0023767F" w:rsidP="0023767F">
      <w:pPr>
        <w:jc w:val="both"/>
        <w:rPr>
          <w:rFonts w:ascii="Verdana" w:hAnsi="Verdana" w:cs="Arial"/>
          <w:bCs/>
          <w:sz w:val="12"/>
          <w:szCs w:val="12"/>
        </w:rPr>
      </w:pPr>
      <w:r w:rsidRPr="0086105D">
        <w:rPr>
          <w:rFonts w:ascii="Verdana" w:hAnsi="Verdana" w:cs="Arial"/>
          <w:bCs/>
          <w:sz w:val="12"/>
          <w:szCs w:val="12"/>
        </w:rPr>
        <w:t>Fuente: Reporte SIIF Nación con corte 16 agosto de 2024</w:t>
      </w:r>
    </w:p>
    <w:p w14:paraId="5E1044BE" w14:textId="0336805B" w:rsidR="000557F9" w:rsidRPr="00A7185B" w:rsidRDefault="000557F9" w:rsidP="000557F9">
      <w:pPr>
        <w:spacing w:before="100" w:beforeAutospacing="1" w:after="100" w:afterAutospacing="1"/>
        <w:contextualSpacing/>
        <w:jc w:val="center"/>
        <w:rPr>
          <w:rFonts w:ascii="Verdana" w:hAnsi="Verdana" w:cs="Arial"/>
          <w:b/>
          <w:sz w:val="20"/>
          <w:szCs w:val="20"/>
        </w:rPr>
      </w:pPr>
      <w:r w:rsidRPr="00A7185B">
        <w:rPr>
          <w:rFonts w:ascii="Verdana" w:hAnsi="Verdana" w:cs="Arial"/>
          <w:b/>
          <w:sz w:val="20"/>
          <w:szCs w:val="20"/>
        </w:rPr>
        <w:t>AÑO 2024</w:t>
      </w:r>
    </w:p>
    <w:tbl>
      <w:tblPr>
        <w:tblW w:w="5276" w:type="pct"/>
        <w:tblCellMar>
          <w:left w:w="70" w:type="dxa"/>
          <w:right w:w="70" w:type="dxa"/>
        </w:tblCellMar>
        <w:tblLook w:val="04A0" w:firstRow="1" w:lastRow="0" w:firstColumn="1" w:lastColumn="0" w:noHBand="0" w:noVBand="1"/>
      </w:tblPr>
      <w:tblGrid>
        <w:gridCol w:w="1462"/>
        <w:gridCol w:w="1128"/>
        <w:gridCol w:w="1128"/>
        <w:gridCol w:w="1152"/>
        <w:gridCol w:w="1319"/>
        <w:gridCol w:w="860"/>
        <w:gridCol w:w="683"/>
        <w:gridCol w:w="888"/>
        <w:gridCol w:w="685"/>
      </w:tblGrid>
      <w:tr w:rsidR="000557F9" w:rsidRPr="008A514D" w14:paraId="0CD5E614" w14:textId="77777777" w:rsidTr="0086105D">
        <w:trPr>
          <w:trHeight w:val="188"/>
        </w:trPr>
        <w:tc>
          <w:tcPr>
            <w:tcW w:w="5000" w:type="pct"/>
            <w:gridSpan w:val="9"/>
            <w:tcBorders>
              <w:top w:val="single" w:sz="8" w:space="0" w:color="auto"/>
              <w:left w:val="single" w:sz="8" w:space="0" w:color="auto"/>
              <w:bottom w:val="single" w:sz="8" w:space="0" w:color="auto"/>
              <w:right w:val="single" w:sz="8" w:space="0" w:color="000000"/>
            </w:tcBorders>
            <w:shd w:val="clear" w:color="000000" w:fill="B18940"/>
            <w:vAlign w:val="center"/>
            <w:hideMark/>
          </w:tcPr>
          <w:p w14:paraId="15E8537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EJECUCIÓN PRESUPUESTAL - DIAN- 20240816</w:t>
            </w:r>
          </w:p>
        </w:tc>
      </w:tr>
      <w:tr w:rsidR="000557F9" w:rsidRPr="008A514D" w14:paraId="0DB96B4E" w14:textId="77777777" w:rsidTr="0086105D">
        <w:trPr>
          <w:trHeight w:val="188"/>
        </w:trPr>
        <w:tc>
          <w:tcPr>
            <w:tcW w:w="786" w:type="pct"/>
            <w:vMerge w:val="restart"/>
            <w:tcBorders>
              <w:top w:val="nil"/>
              <w:left w:val="single" w:sz="8" w:space="0" w:color="auto"/>
              <w:bottom w:val="single" w:sz="8" w:space="0" w:color="000000"/>
              <w:right w:val="single" w:sz="8" w:space="0" w:color="auto"/>
            </w:tcBorders>
            <w:shd w:val="clear" w:color="000000" w:fill="B18940"/>
            <w:vAlign w:val="center"/>
            <w:hideMark/>
          </w:tcPr>
          <w:p w14:paraId="04E84072"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CONCEPTO</w:t>
            </w:r>
          </w:p>
        </w:tc>
        <w:tc>
          <w:tcPr>
            <w:tcW w:w="606" w:type="pct"/>
            <w:vMerge w:val="restart"/>
            <w:tcBorders>
              <w:top w:val="nil"/>
              <w:left w:val="single" w:sz="8" w:space="0" w:color="auto"/>
              <w:bottom w:val="single" w:sz="8" w:space="0" w:color="000000"/>
              <w:right w:val="single" w:sz="8" w:space="0" w:color="auto"/>
            </w:tcBorders>
            <w:shd w:val="clear" w:color="000000" w:fill="B18940"/>
            <w:vAlign w:val="center"/>
            <w:hideMark/>
          </w:tcPr>
          <w:p w14:paraId="5CFD0B36"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APROPIACION INICIAL 2024</w:t>
            </w:r>
          </w:p>
        </w:tc>
        <w:tc>
          <w:tcPr>
            <w:tcW w:w="606" w:type="pct"/>
            <w:vMerge w:val="restart"/>
            <w:tcBorders>
              <w:top w:val="nil"/>
              <w:left w:val="single" w:sz="8" w:space="0" w:color="auto"/>
              <w:bottom w:val="single" w:sz="8" w:space="0" w:color="000000"/>
              <w:right w:val="single" w:sz="8" w:space="0" w:color="auto"/>
            </w:tcBorders>
            <w:shd w:val="clear" w:color="000000" w:fill="B18940"/>
            <w:vAlign w:val="center"/>
            <w:hideMark/>
          </w:tcPr>
          <w:p w14:paraId="72A4007D"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APROPIACION VIGENTE 2024</w:t>
            </w:r>
          </w:p>
        </w:tc>
        <w:tc>
          <w:tcPr>
            <w:tcW w:w="619" w:type="pct"/>
            <w:vMerge w:val="restart"/>
            <w:tcBorders>
              <w:top w:val="nil"/>
              <w:left w:val="single" w:sz="8" w:space="0" w:color="auto"/>
              <w:bottom w:val="single" w:sz="8" w:space="0" w:color="000000"/>
              <w:right w:val="single" w:sz="8" w:space="0" w:color="auto"/>
            </w:tcBorders>
            <w:shd w:val="clear" w:color="000000" w:fill="B18940"/>
            <w:vAlign w:val="center"/>
            <w:hideMark/>
          </w:tcPr>
          <w:p w14:paraId="18B3AE8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PART.</w:t>
            </w:r>
          </w:p>
        </w:tc>
        <w:tc>
          <w:tcPr>
            <w:tcW w:w="709" w:type="pct"/>
            <w:vMerge w:val="restart"/>
            <w:tcBorders>
              <w:top w:val="nil"/>
              <w:left w:val="single" w:sz="8" w:space="0" w:color="auto"/>
              <w:bottom w:val="single" w:sz="8" w:space="0" w:color="000000"/>
              <w:right w:val="single" w:sz="8" w:space="0" w:color="auto"/>
            </w:tcBorders>
            <w:shd w:val="clear" w:color="000000" w:fill="B18940"/>
            <w:vAlign w:val="center"/>
            <w:hideMark/>
          </w:tcPr>
          <w:p w14:paraId="403A3E57"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APROPIACIÓN BLOQUEADA</w:t>
            </w:r>
          </w:p>
        </w:tc>
        <w:tc>
          <w:tcPr>
            <w:tcW w:w="829" w:type="pct"/>
            <w:gridSpan w:val="2"/>
            <w:tcBorders>
              <w:top w:val="single" w:sz="8" w:space="0" w:color="auto"/>
              <w:left w:val="nil"/>
              <w:bottom w:val="single" w:sz="8" w:space="0" w:color="auto"/>
              <w:right w:val="single" w:sz="8" w:space="0" w:color="000000"/>
            </w:tcBorders>
            <w:shd w:val="clear" w:color="000000" w:fill="B18940"/>
            <w:vAlign w:val="center"/>
            <w:hideMark/>
          </w:tcPr>
          <w:p w14:paraId="15766148"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COMPROMISOS A 20240816</w:t>
            </w:r>
          </w:p>
        </w:tc>
        <w:tc>
          <w:tcPr>
            <w:tcW w:w="845" w:type="pct"/>
            <w:gridSpan w:val="2"/>
            <w:tcBorders>
              <w:top w:val="single" w:sz="8" w:space="0" w:color="auto"/>
              <w:left w:val="nil"/>
              <w:bottom w:val="single" w:sz="8" w:space="0" w:color="auto"/>
              <w:right w:val="single" w:sz="8" w:space="0" w:color="000000"/>
            </w:tcBorders>
            <w:shd w:val="clear" w:color="000000" w:fill="B18940"/>
            <w:vAlign w:val="center"/>
            <w:hideMark/>
          </w:tcPr>
          <w:p w14:paraId="797EBA2E"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OBLIGACIONES A 20240816</w:t>
            </w:r>
          </w:p>
        </w:tc>
      </w:tr>
      <w:tr w:rsidR="0086105D" w:rsidRPr="008A514D" w14:paraId="1CB4B4C1" w14:textId="77777777" w:rsidTr="0086105D">
        <w:trPr>
          <w:trHeight w:val="188"/>
        </w:trPr>
        <w:tc>
          <w:tcPr>
            <w:tcW w:w="786" w:type="pct"/>
            <w:vMerge/>
            <w:tcBorders>
              <w:top w:val="nil"/>
              <w:left w:val="single" w:sz="8" w:space="0" w:color="auto"/>
              <w:bottom w:val="single" w:sz="8" w:space="0" w:color="000000"/>
              <w:right w:val="single" w:sz="8" w:space="0" w:color="auto"/>
            </w:tcBorders>
            <w:vAlign w:val="center"/>
            <w:hideMark/>
          </w:tcPr>
          <w:p w14:paraId="1D5634BA"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p>
        </w:tc>
        <w:tc>
          <w:tcPr>
            <w:tcW w:w="606" w:type="pct"/>
            <w:vMerge/>
            <w:tcBorders>
              <w:top w:val="nil"/>
              <w:left w:val="single" w:sz="8" w:space="0" w:color="auto"/>
              <w:bottom w:val="single" w:sz="8" w:space="0" w:color="000000"/>
              <w:right w:val="single" w:sz="8" w:space="0" w:color="auto"/>
            </w:tcBorders>
            <w:vAlign w:val="center"/>
            <w:hideMark/>
          </w:tcPr>
          <w:p w14:paraId="0F318F8D"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p>
        </w:tc>
        <w:tc>
          <w:tcPr>
            <w:tcW w:w="606" w:type="pct"/>
            <w:vMerge/>
            <w:tcBorders>
              <w:top w:val="nil"/>
              <w:left w:val="single" w:sz="8" w:space="0" w:color="auto"/>
              <w:bottom w:val="single" w:sz="8" w:space="0" w:color="000000"/>
              <w:right w:val="single" w:sz="8" w:space="0" w:color="auto"/>
            </w:tcBorders>
            <w:vAlign w:val="center"/>
            <w:hideMark/>
          </w:tcPr>
          <w:p w14:paraId="7B5CCEBD"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p>
        </w:tc>
        <w:tc>
          <w:tcPr>
            <w:tcW w:w="619" w:type="pct"/>
            <w:vMerge/>
            <w:tcBorders>
              <w:top w:val="nil"/>
              <w:left w:val="single" w:sz="8" w:space="0" w:color="auto"/>
              <w:bottom w:val="single" w:sz="8" w:space="0" w:color="000000"/>
              <w:right w:val="single" w:sz="8" w:space="0" w:color="auto"/>
            </w:tcBorders>
            <w:vAlign w:val="center"/>
            <w:hideMark/>
          </w:tcPr>
          <w:p w14:paraId="3274238B"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p>
        </w:tc>
        <w:tc>
          <w:tcPr>
            <w:tcW w:w="709" w:type="pct"/>
            <w:vMerge/>
            <w:tcBorders>
              <w:top w:val="nil"/>
              <w:left w:val="single" w:sz="8" w:space="0" w:color="auto"/>
              <w:bottom w:val="single" w:sz="8" w:space="0" w:color="000000"/>
              <w:right w:val="single" w:sz="8" w:space="0" w:color="auto"/>
            </w:tcBorders>
            <w:vAlign w:val="center"/>
            <w:hideMark/>
          </w:tcPr>
          <w:p w14:paraId="2C846124"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p>
        </w:tc>
        <w:tc>
          <w:tcPr>
            <w:tcW w:w="462" w:type="pct"/>
            <w:tcBorders>
              <w:top w:val="nil"/>
              <w:left w:val="nil"/>
              <w:bottom w:val="single" w:sz="8" w:space="0" w:color="auto"/>
              <w:right w:val="single" w:sz="8" w:space="0" w:color="auto"/>
            </w:tcBorders>
            <w:shd w:val="clear" w:color="000000" w:fill="B18940"/>
            <w:vAlign w:val="center"/>
            <w:hideMark/>
          </w:tcPr>
          <w:p w14:paraId="6D8F6D27"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Valor</w:t>
            </w:r>
          </w:p>
        </w:tc>
        <w:tc>
          <w:tcPr>
            <w:tcW w:w="367" w:type="pct"/>
            <w:tcBorders>
              <w:top w:val="nil"/>
              <w:left w:val="nil"/>
              <w:bottom w:val="single" w:sz="8" w:space="0" w:color="auto"/>
              <w:right w:val="single" w:sz="8" w:space="0" w:color="auto"/>
            </w:tcBorders>
            <w:shd w:val="clear" w:color="000000" w:fill="B18940"/>
            <w:vAlign w:val="center"/>
            <w:hideMark/>
          </w:tcPr>
          <w:p w14:paraId="325B7185"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xml:space="preserve">% </w:t>
            </w:r>
          </w:p>
        </w:tc>
        <w:tc>
          <w:tcPr>
            <w:tcW w:w="477" w:type="pct"/>
            <w:tcBorders>
              <w:top w:val="nil"/>
              <w:left w:val="nil"/>
              <w:bottom w:val="single" w:sz="8" w:space="0" w:color="auto"/>
              <w:right w:val="single" w:sz="8" w:space="0" w:color="auto"/>
            </w:tcBorders>
            <w:shd w:val="clear" w:color="000000" w:fill="B18940"/>
            <w:vAlign w:val="center"/>
            <w:hideMark/>
          </w:tcPr>
          <w:p w14:paraId="791EDAFF"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Valor</w:t>
            </w:r>
          </w:p>
        </w:tc>
        <w:tc>
          <w:tcPr>
            <w:tcW w:w="368" w:type="pct"/>
            <w:tcBorders>
              <w:top w:val="nil"/>
              <w:left w:val="nil"/>
              <w:bottom w:val="single" w:sz="8" w:space="0" w:color="auto"/>
              <w:right w:val="single" w:sz="8" w:space="0" w:color="auto"/>
            </w:tcBorders>
            <w:shd w:val="clear" w:color="000000" w:fill="B18940"/>
            <w:vAlign w:val="center"/>
            <w:hideMark/>
          </w:tcPr>
          <w:p w14:paraId="2FC4671E"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xml:space="preserve">% </w:t>
            </w:r>
          </w:p>
        </w:tc>
      </w:tr>
      <w:tr w:rsidR="0086105D" w:rsidRPr="008A514D" w14:paraId="6BB150FF" w14:textId="77777777" w:rsidTr="0086105D">
        <w:trPr>
          <w:trHeight w:val="188"/>
        </w:trPr>
        <w:tc>
          <w:tcPr>
            <w:tcW w:w="786" w:type="pct"/>
            <w:tcBorders>
              <w:top w:val="nil"/>
              <w:left w:val="single" w:sz="8" w:space="0" w:color="auto"/>
              <w:bottom w:val="single" w:sz="8" w:space="0" w:color="auto"/>
              <w:right w:val="single" w:sz="8" w:space="0" w:color="auto"/>
            </w:tcBorders>
            <w:shd w:val="clear" w:color="000000" w:fill="FFCC66"/>
            <w:vAlign w:val="center"/>
            <w:hideMark/>
          </w:tcPr>
          <w:p w14:paraId="5B871532"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FUNCIONAMIENTO</w:t>
            </w:r>
          </w:p>
        </w:tc>
        <w:tc>
          <w:tcPr>
            <w:tcW w:w="606" w:type="pct"/>
            <w:tcBorders>
              <w:top w:val="nil"/>
              <w:left w:val="nil"/>
              <w:bottom w:val="single" w:sz="8" w:space="0" w:color="auto"/>
              <w:right w:val="single" w:sz="8" w:space="0" w:color="auto"/>
            </w:tcBorders>
            <w:shd w:val="clear" w:color="000000" w:fill="FFCC66"/>
            <w:vAlign w:val="center"/>
            <w:hideMark/>
          </w:tcPr>
          <w:p w14:paraId="68450B22"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4.060.829</w:t>
            </w:r>
          </w:p>
        </w:tc>
        <w:tc>
          <w:tcPr>
            <w:tcW w:w="606" w:type="pct"/>
            <w:tcBorders>
              <w:top w:val="nil"/>
              <w:left w:val="nil"/>
              <w:bottom w:val="single" w:sz="8" w:space="0" w:color="auto"/>
              <w:right w:val="single" w:sz="8" w:space="0" w:color="auto"/>
            </w:tcBorders>
            <w:shd w:val="clear" w:color="000000" w:fill="FFCC66"/>
            <w:vAlign w:val="center"/>
            <w:hideMark/>
          </w:tcPr>
          <w:p w14:paraId="3BC90DBD"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4.060.829</w:t>
            </w:r>
          </w:p>
        </w:tc>
        <w:tc>
          <w:tcPr>
            <w:tcW w:w="619" w:type="pct"/>
            <w:tcBorders>
              <w:top w:val="nil"/>
              <w:left w:val="nil"/>
              <w:bottom w:val="single" w:sz="8" w:space="0" w:color="auto"/>
              <w:right w:val="single" w:sz="8" w:space="0" w:color="auto"/>
            </w:tcBorders>
            <w:shd w:val="clear" w:color="000000" w:fill="FFCC66"/>
            <w:vAlign w:val="center"/>
            <w:hideMark/>
          </w:tcPr>
          <w:p w14:paraId="2B20E533"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97,33%</w:t>
            </w:r>
          </w:p>
        </w:tc>
        <w:tc>
          <w:tcPr>
            <w:tcW w:w="709" w:type="pct"/>
            <w:tcBorders>
              <w:top w:val="nil"/>
              <w:left w:val="nil"/>
              <w:bottom w:val="single" w:sz="8" w:space="0" w:color="auto"/>
              <w:right w:val="single" w:sz="8" w:space="0" w:color="auto"/>
            </w:tcBorders>
            <w:shd w:val="clear" w:color="000000" w:fill="FFCC66"/>
            <w:vAlign w:val="center"/>
            <w:hideMark/>
          </w:tcPr>
          <w:p w14:paraId="2805B1B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1.208.750</w:t>
            </w:r>
          </w:p>
        </w:tc>
        <w:tc>
          <w:tcPr>
            <w:tcW w:w="462" w:type="pct"/>
            <w:tcBorders>
              <w:top w:val="nil"/>
              <w:left w:val="nil"/>
              <w:bottom w:val="single" w:sz="8" w:space="0" w:color="auto"/>
              <w:right w:val="single" w:sz="8" w:space="0" w:color="auto"/>
            </w:tcBorders>
            <w:shd w:val="clear" w:color="000000" w:fill="FFCC66"/>
            <w:vAlign w:val="center"/>
            <w:hideMark/>
          </w:tcPr>
          <w:p w14:paraId="7D7E96CF"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1.533.786</w:t>
            </w:r>
          </w:p>
        </w:tc>
        <w:tc>
          <w:tcPr>
            <w:tcW w:w="367" w:type="pct"/>
            <w:tcBorders>
              <w:top w:val="nil"/>
              <w:left w:val="nil"/>
              <w:bottom w:val="single" w:sz="8" w:space="0" w:color="auto"/>
              <w:right w:val="single" w:sz="8" w:space="0" w:color="auto"/>
            </w:tcBorders>
            <w:shd w:val="clear" w:color="000000" w:fill="FFCC66"/>
            <w:vAlign w:val="center"/>
            <w:hideMark/>
          </w:tcPr>
          <w:p w14:paraId="7C6C7649"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37,77%</w:t>
            </w:r>
          </w:p>
        </w:tc>
        <w:tc>
          <w:tcPr>
            <w:tcW w:w="477" w:type="pct"/>
            <w:tcBorders>
              <w:top w:val="nil"/>
              <w:left w:val="nil"/>
              <w:bottom w:val="single" w:sz="8" w:space="0" w:color="auto"/>
              <w:right w:val="single" w:sz="8" w:space="0" w:color="auto"/>
            </w:tcBorders>
            <w:shd w:val="clear" w:color="000000" w:fill="FFCC66"/>
            <w:vAlign w:val="center"/>
            <w:hideMark/>
          </w:tcPr>
          <w:p w14:paraId="6802CEB8"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1.305.457</w:t>
            </w:r>
          </w:p>
        </w:tc>
        <w:tc>
          <w:tcPr>
            <w:tcW w:w="368" w:type="pct"/>
            <w:tcBorders>
              <w:top w:val="nil"/>
              <w:left w:val="nil"/>
              <w:bottom w:val="single" w:sz="8" w:space="0" w:color="auto"/>
              <w:right w:val="single" w:sz="8" w:space="0" w:color="auto"/>
            </w:tcBorders>
            <w:shd w:val="clear" w:color="000000" w:fill="FFCC66"/>
            <w:vAlign w:val="center"/>
            <w:hideMark/>
          </w:tcPr>
          <w:p w14:paraId="4EC160F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32,15%</w:t>
            </w:r>
          </w:p>
        </w:tc>
      </w:tr>
      <w:tr w:rsidR="0086105D" w:rsidRPr="008A514D" w14:paraId="62E5BD9E" w14:textId="77777777" w:rsidTr="0086105D">
        <w:trPr>
          <w:trHeight w:val="224"/>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0C7D371C"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GASTOS DE PERSONAL</w:t>
            </w:r>
          </w:p>
        </w:tc>
        <w:tc>
          <w:tcPr>
            <w:tcW w:w="606" w:type="pct"/>
            <w:tcBorders>
              <w:top w:val="nil"/>
              <w:left w:val="nil"/>
              <w:bottom w:val="single" w:sz="8" w:space="0" w:color="auto"/>
              <w:right w:val="single" w:sz="8" w:space="0" w:color="auto"/>
            </w:tcBorders>
            <w:shd w:val="clear" w:color="auto" w:fill="auto"/>
            <w:vAlign w:val="center"/>
            <w:hideMark/>
          </w:tcPr>
          <w:p w14:paraId="3AB7D303"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3.483.413</w:t>
            </w:r>
          </w:p>
        </w:tc>
        <w:tc>
          <w:tcPr>
            <w:tcW w:w="606" w:type="pct"/>
            <w:tcBorders>
              <w:top w:val="nil"/>
              <w:left w:val="nil"/>
              <w:bottom w:val="single" w:sz="8" w:space="0" w:color="auto"/>
              <w:right w:val="single" w:sz="8" w:space="0" w:color="auto"/>
            </w:tcBorders>
            <w:shd w:val="clear" w:color="auto" w:fill="auto"/>
            <w:vAlign w:val="center"/>
            <w:hideMark/>
          </w:tcPr>
          <w:p w14:paraId="3926E984"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3.483.413</w:t>
            </w:r>
          </w:p>
        </w:tc>
        <w:tc>
          <w:tcPr>
            <w:tcW w:w="619" w:type="pct"/>
            <w:tcBorders>
              <w:top w:val="nil"/>
              <w:left w:val="nil"/>
              <w:bottom w:val="single" w:sz="8" w:space="0" w:color="auto"/>
              <w:right w:val="single" w:sz="8" w:space="0" w:color="auto"/>
            </w:tcBorders>
            <w:shd w:val="clear" w:color="auto" w:fill="auto"/>
            <w:vAlign w:val="center"/>
            <w:hideMark/>
          </w:tcPr>
          <w:p w14:paraId="24D9351C"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83,49%</w:t>
            </w:r>
          </w:p>
        </w:tc>
        <w:tc>
          <w:tcPr>
            <w:tcW w:w="709" w:type="pct"/>
            <w:tcBorders>
              <w:top w:val="nil"/>
              <w:left w:val="nil"/>
              <w:bottom w:val="single" w:sz="8" w:space="0" w:color="auto"/>
              <w:right w:val="single" w:sz="8" w:space="0" w:color="auto"/>
            </w:tcBorders>
            <w:shd w:val="clear" w:color="auto" w:fill="auto"/>
            <w:vAlign w:val="center"/>
            <w:hideMark/>
          </w:tcPr>
          <w:p w14:paraId="3BD749F0"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1.065.672</w:t>
            </w:r>
          </w:p>
        </w:tc>
        <w:tc>
          <w:tcPr>
            <w:tcW w:w="462" w:type="pct"/>
            <w:tcBorders>
              <w:top w:val="nil"/>
              <w:left w:val="nil"/>
              <w:bottom w:val="single" w:sz="8" w:space="0" w:color="auto"/>
              <w:right w:val="single" w:sz="8" w:space="0" w:color="auto"/>
            </w:tcBorders>
            <w:shd w:val="clear" w:color="auto" w:fill="auto"/>
            <w:vAlign w:val="center"/>
            <w:hideMark/>
          </w:tcPr>
          <w:p w14:paraId="4D3C6310"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1.220.030</w:t>
            </w:r>
          </w:p>
        </w:tc>
        <w:tc>
          <w:tcPr>
            <w:tcW w:w="367" w:type="pct"/>
            <w:tcBorders>
              <w:top w:val="nil"/>
              <w:left w:val="nil"/>
              <w:bottom w:val="single" w:sz="8" w:space="0" w:color="auto"/>
              <w:right w:val="single" w:sz="8" w:space="0" w:color="auto"/>
            </w:tcBorders>
            <w:shd w:val="clear" w:color="000000" w:fill="FFFFFF"/>
            <w:vAlign w:val="center"/>
            <w:hideMark/>
          </w:tcPr>
          <w:p w14:paraId="20B145B7"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35,02%</w:t>
            </w:r>
          </w:p>
        </w:tc>
        <w:tc>
          <w:tcPr>
            <w:tcW w:w="477" w:type="pct"/>
            <w:tcBorders>
              <w:top w:val="nil"/>
              <w:left w:val="nil"/>
              <w:bottom w:val="single" w:sz="8" w:space="0" w:color="auto"/>
              <w:right w:val="single" w:sz="8" w:space="0" w:color="auto"/>
            </w:tcBorders>
            <w:shd w:val="clear" w:color="auto" w:fill="auto"/>
            <w:vAlign w:val="center"/>
            <w:hideMark/>
          </w:tcPr>
          <w:p w14:paraId="4BCC3C58"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1.125.182</w:t>
            </w:r>
          </w:p>
        </w:tc>
        <w:tc>
          <w:tcPr>
            <w:tcW w:w="368" w:type="pct"/>
            <w:tcBorders>
              <w:top w:val="nil"/>
              <w:left w:val="nil"/>
              <w:bottom w:val="single" w:sz="8" w:space="0" w:color="auto"/>
              <w:right w:val="single" w:sz="8" w:space="0" w:color="auto"/>
            </w:tcBorders>
            <w:shd w:val="clear" w:color="000000" w:fill="FFFFFF"/>
            <w:vAlign w:val="center"/>
            <w:hideMark/>
          </w:tcPr>
          <w:p w14:paraId="7533E50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32,30%</w:t>
            </w:r>
          </w:p>
        </w:tc>
      </w:tr>
      <w:tr w:rsidR="0086105D" w:rsidRPr="008A514D" w14:paraId="76F62F26" w14:textId="77777777" w:rsidTr="0086105D">
        <w:trPr>
          <w:trHeight w:val="224"/>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22A83748"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ADQUISICIÓN DE BIENES Y SERVICIOS</w:t>
            </w:r>
          </w:p>
        </w:tc>
        <w:tc>
          <w:tcPr>
            <w:tcW w:w="606" w:type="pct"/>
            <w:tcBorders>
              <w:top w:val="nil"/>
              <w:left w:val="nil"/>
              <w:bottom w:val="single" w:sz="8" w:space="0" w:color="auto"/>
              <w:right w:val="single" w:sz="8" w:space="0" w:color="auto"/>
            </w:tcBorders>
            <w:shd w:val="clear" w:color="auto" w:fill="auto"/>
            <w:vAlign w:val="center"/>
            <w:hideMark/>
          </w:tcPr>
          <w:p w14:paraId="2A5D99AD"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342.571</w:t>
            </w:r>
          </w:p>
        </w:tc>
        <w:tc>
          <w:tcPr>
            <w:tcW w:w="606" w:type="pct"/>
            <w:tcBorders>
              <w:top w:val="nil"/>
              <w:left w:val="nil"/>
              <w:bottom w:val="single" w:sz="8" w:space="0" w:color="auto"/>
              <w:right w:val="single" w:sz="8" w:space="0" w:color="auto"/>
            </w:tcBorders>
            <w:shd w:val="clear" w:color="auto" w:fill="auto"/>
            <w:vAlign w:val="center"/>
            <w:hideMark/>
          </w:tcPr>
          <w:p w14:paraId="63DD577D"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344.571</w:t>
            </w:r>
          </w:p>
        </w:tc>
        <w:tc>
          <w:tcPr>
            <w:tcW w:w="619" w:type="pct"/>
            <w:tcBorders>
              <w:top w:val="nil"/>
              <w:left w:val="nil"/>
              <w:bottom w:val="single" w:sz="8" w:space="0" w:color="auto"/>
              <w:right w:val="single" w:sz="8" w:space="0" w:color="auto"/>
            </w:tcBorders>
            <w:shd w:val="clear" w:color="auto" w:fill="auto"/>
            <w:vAlign w:val="center"/>
            <w:hideMark/>
          </w:tcPr>
          <w:p w14:paraId="3D7247DA"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8,26%</w:t>
            </w:r>
          </w:p>
        </w:tc>
        <w:tc>
          <w:tcPr>
            <w:tcW w:w="709" w:type="pct"/>
            <w:tcBorders>
              <w:top w:val="nil"/>
              <w:left w:val="nil"/>
              <w:bottom w:val="single" w:sz="8" w:space="0" w:color="auto"/>
              <w:right w:val="single" w:sz="8" w:space="0" w:color="auto"/>
            </w:tcBorders>
            <w:shd w:val="clear" w:color="auto" w:fill="auto"/>
            <w:vAlign w:val="center"/>
            <w:hideMark/>
          </w:tcPr>
          <w:p w14:paraId="643B502F"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462" w:type="pct"/>
            <w:tcBorders>
              <w:top w:val="nil"/>
              <w:left w:val="nil"/>
              <w:bottom w:val="single" w:sz="8" w:space="0" w:color="auto"/>
              <w:right w:val="single" w:sz="8" w:space="0" w:color="auto"/>
            </w:tcBorders>
            <w:shd w:val="clear" w:color="auto" w:fill="auto"/>
            <w:vAlign w:val="center"/>
            <w:hideMark/>
          </w:tcPr>
          <w:p w14:paraId="527FFAAF"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259.290</w:t>
            </w:r>
          </w:p>
        </w:tc>
        <w:tc>
          <w:tcPr>
            <w:tcW w:w="367" w:type="pct"/>
            <w:tcBorders>
              <w:top w:val="nil"/>
              <w:left w:val="nil"/>
              <w:bottom w:val="single" w:sz="8" w:space="0" w:color="auto"/>
              <w:right w:val="single" w:sz="8" w:space="0" w:color="auto"/>
            </w:tcBorders>
            <w:shd w:val="clear" w:color="000000" w:fill="FFFFFF"/>
            <w:vAlign w:val="center"/>
            <w:hideMark/>
          </w:tcPr>
          <w:p w14:paraId="12C0DCBA"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75,25%</w:t>
            </w:r>
          </w:p>
        </w:tc>
        <w:tc>
          <w:tcPr>
            <w:tcW w:w="477" w:type="pct"/>
            <w:tcBorders>
              <w:top w:val="nil"/>
              <w:left w:val="nil"/>
              <w:bottom w:val="single" w:sz="8" w:space="0" w:color="auto"/>
              <w:right w:val="single" w:sz="8" w:space="0" w:color="auto"/>
            </w:tcBorders>
            <w:shd w:val="clear" w:color="auto" w:fill="auto"/>
            <w:vAlign w:val="center"/>
            <w:hideMark/>
          </w:tcPr>
          <w:p w14:paraId="0BE0742F"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132.284</w:t>
            </w:r>
          </w:p>
        </w:tc>
        <w:tc>
          <w:tcPr>
            <w:tcW w:w="368" w:type="pct"/>
            <w:tcBorders>
              <w:top w:val="nil"/>
              <w:left w:val="nil"/>
              <w:bottom w:val="single" w:sz="8" w:space="0" w:color="auto"/>
              <w:right w:val="single" w:sz="8" w:space="0" w:color="auto"/>
            </w:tcBorders>
            <w:shd w:val="clear" w:color="000000" w:fill="FFFFFF"/>
            <w:vAlign w:val="center"/>
            <w:hideMark/>
          </w:tcPr>
          <w:p w14:paraId="3CD5F3C9"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38,39%</w:t>
            </w:r>
          </w:p>
        </w:tc>
      </w:tr>
      <w:tr w:rsidR="0086105D" w:rsidRPr="008A514D" w14:paraId="7DAD2DCE" w14:textId="77777777" w:rsidTr="0086105D">
        <w:trPr>
          <w:trHeight w:val="188"/>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5D7BA96F"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TRANSFERENCIAS</w:t>
            </w:r>
          </w:p>
        </w:tc>
        <w:tc>
          <w:tcPr>
            <w:tcW w:w="606" w:type="pct"/>
            <w:tcBorders>
              <w:top w:val="nil"/>
              <w:left w:val="nil"/>
              <w:bottom w:val="single" w:sz="8" w:space="0" w:color="auto"/>
              <w:right w:val="single" w:sz="8" w:space="0" w:color="auto"/>
            </w:tcBorders>
            <w:shd w:val="clear" w:color="auto" w:fill="auto"/>
            <w:vAlign w:val="center"/>
            <w:hideMark/>
          </w:tcPr>
          <w:p w14:paraId="6C1FDF10"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229.367</w:t>
            </w:r>
          </w:p>
        </w:tc>
        <w:tc>
          <w:tcPr>
            <w:tcW w:w="606" w:type="pct"/>
            <w:tcBorders>
              <w:top w:val="nil"/>
              <w:left w:val="nil"/>
              <w:bottom w:val="single" w:sz="8" w:space="0" w:color="auto"/>
              <w:right w:val="single" w:sz="8" w:space="0" w:color="auto"/>
            </w:tcBorders>
            <w:shd w:val="clear" w:color="auto" w:fill="auto"/>
            <w:vAlign w:val="center"/>
            <w:hideMark/>
          </w:tcPr>
          <w:p w14:paraId="1DBD5D8E"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226.367</w:t>
            </w:r>
          </w:p>
        </w:tc>
        <w:tc>
          <w:tcPr>
            <w:tcW w:w="619" w:type="pct"/>
            <w:tcBorders>
              <w:top w:val="nil"/>
              <w:left w:val="nil"/>
              <w:bottom w:val="single" w:sz="8" w:space="0" w:color="auto"/>
              <w:right w:val="single" w:sz="8" w:space="0" w:color="auto"/>
            </w:tcBorders>
            <w:shd w:val="clear" w:color="auto" w:fill="auto"/>
            <w:vAlign w:val="center"/>
            <w:hideMark/>
          </w:tcPr>
          <w:p w14:paraId="04BAC41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5,43%</w:t>
            </w:r>
          </w:p>
        </w:tc>
        <w:tc>
          <w:tcPr>
            <w:tcW w:w="709" w:type="pct"/>
            <w:tcBorders>
              <w:top w:val="nil"/>
              <w:left w:val="nil"/>
              <w:bottom w:val="single" w:sz="8" w:space="0" w:color="auto"/>
              <w:right w:val="single" w:sz="8" w:space="0" w:color="auto"/>
            </w:tcBorders>
            <w:shd w:val="clear" w:color="auto" w:fill="auto"/>
            <w:vAlign w:val="center"/>
            <w:hideMark/>
          </w:tcPr>
          <w:p w14:paraId="0C006B7D"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143.078</w:t>
            </w:r>
          </w:p>
        </w:tc>
        <w:tc>
          <w:tcPr>
            <w:tcW w:w="462" w:type="pct"/>
            <w:tcBorders>
              <w:top w:val="nil"/>
              <w:left w:val="nil"/>
              <w:bottom w:val="single" w:sz="8" w:space="0" w:color="auto"/>
              <w:right w:val="single" w:sz="8" w:space="0" w:color="auto"/>
            </w:tcBorders>
            <w:shd w:val="clear" w:color="auto" w:fill="auto"/>
            <w:vAlign w:val="center"/>
            <w:hideMark/>
          </w:tcPr>
          <w:p w14:paraId="07284D71"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49.335</w:t>
            </w:r>
          </w:p>
        </w:tc>
        <w:tc>
          <w:tcPr>
            <w:tcW w:w="367" w:type="pct"/>
            <w:tcBorders>
              <w:top w:val="nil"/>
              <w:left w:val="nil"/>
              <w:bottom w:val="single" w:sz="8" w:space="0" w:color="auto"/>
              <w:right w:val="single" w:sz="8" w:space="0" w:color="auto"/>
            </w:tcBorders>
            <w:shd w:val="clear" w:color="000000" w:fill="FFFFFF"/>
            <w:vAlign w:val="center"/>
            <w:hideMark/>
          </w:tcPr>
          <w:p w14:paraId="302F8FEA"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21,79%</w:t>
            </w:r>
          </w:p>
        </w:tc>
        <w:tc>
          <w:tcPr>
            <w:tcW w:w="477" w:type="pct"/>
            <w:tcBorders>
              <w:top w:val="nil"/>
              <w:left w:val="nil"/>
              <w:bottom w:val="single" w:sz="8" w:space="0" w:color="auto"/>
              <w:right w:val="single" w:sz="8" w:space="0" w:color="auto"/>
            </w:tcBorders>
            <w:shd w:val="clear" w:color="auto" w:fill="auto"/>
            <w:vAlign w:val="center"/>
            <w:hideMark/>
          </w:tcPr>
          <w:p w14:paraId="2BB0CFC3"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42.868</w:t>
            </w:r>
          </w:p>
        </w:tc>
        <w:tc>
          <w:tcPr>
            <w:tcW w:w="368" w:type="pct"/>
            <w:tcBorders>
              <w:top w:val="nil"/>
              <w:left w:val="nil"/>
              <w:bottom w:val="single" w:sz="8" w:space="0" w:color="auto"/>
              <w:right w:val="single" w:sz="8" w:space="0" w:color="auto"/>
            </w:tcBorders>
            <w:shd w:val="clear" w:color="000000" w:fill="FFFFFF"/>
            <w:vAlign w:val="center"/>
            <w:hideMark/>
          </w:tcPr>
          <w:p w14:paraId="391F37D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18,94%</w:t>
            </w:r>
          </w:p>
        </w:tc>
      </w:tr>
      <w:tr w:rsidR="0086105D" w:rsidRPr="008A514D" w14:paraId="5031BB0D" w14:textId="77777777" w:rsidTr="0086105D">
        <w:trPr>
          <w:trHeight w:val="332"/>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77C332B7"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ADQUISICIÓN DE ACTIVOS FINANCIEROS</w:t>
            </w:r>
          </w:p>
        </w:tc>
        <w:tc>
          <w:tcPr>
            <w:tcW w:w="606" w:type="pct"/>
            <w:tcBorders>
              <w:top w:val="nil"/>
              <w:left w:val="nil"/>
              <w:bottom w:val="single" w:sz="8" w:space="0" w:color="auto"/>
              <w:right w:val="single" w:sz="8" w:space="0" w:color="auto"/>
            </w:tcBorders>
            <w:shd w:val="clear" w:color="auto" w:fill="auto"/>
            <w:vAlign w:val="center"/>
            <w:hideMark/>
          </w:tcPr>
          <w:p w14:paraId="167D927D"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606" w:type="pct"/>
            <w:tcBorders>
              <w:top w:val="nil"/>
              <w:left w:val="nil"/>
              <w:bottom w:val="single" w:sz="8" w:space="0" w:color="auto"/>
              <w:right w:val="single" w:sz="8" w:space="0" w:color="auto"/>
            </w:tcBorders>
            <w:shd w:val="clear" w:color="auto" w:fill="auto"/>
            <w:vAlign w:val="center"/>
            <w:hideMark/>
          </w:tcPr>
          <w:p w14:paraId="6A699090"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619" w:type="pct"/>
            <w:tcBorders>
              <w:top w:val="nil"/>
              <w:left w:val="nil"/>
              <w:bottom w:val="single" w:sz="8" w:space="0" w:color="auto"/>
              <w:right w:val="single" w:sz="8" w:space="0" w:color="auto"/>
            </w:tcBorders>
            <w:shd w:val="clear" w:color="auto" w:fill="auto"/>
            <w:vAlign w:val="center"/>
            <w:hideMark/>
          </w:tcPr>
          <w:p w14:paraId="6EDBC54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0,00%</w:t>
            </w:r>
          </w:p>
        </w:tc>
        <w:tc>
          <w:tcPr>
            <w:tcW w:w="709" w:type="pct"/>
            <w:tcBorders>
              <w:top w:val="nil"/>
              <w:left w:val="nil"/>
              <w:bottom w:val="single" w:sz="8" w:space="0" w:color="auto"/>
              <w:right w:val="single" w:sz="8" w:space="0" w:color="auto"/>
            </w:tcBorders>
            <w:shd w:val="clear" w:color="auto" w:fill="auto"/>
            <w:vAlign w:val="center"/>
            <w:hideMark/>
          </w:tcPr>
          <w:p w14:paraId="002BC38F"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462" w:type="pct"/>
            <w:tcBorders>
              <w:top w:val="nil"/>
              <w:left w:val="nil"/>
              <w:bottom w:val="single" w:sz="8" w:space="0" w:color="auto"/>
              <w:right w:val="single" w:sz="8" w:space="0" w:color="auto"/>
            </w:tcBorders>
            <w:shd w:val="clear" w:color="auto" w:fill="auto"/>
            <w:vAlign w:val="center"/>
            <w:hideMark/>
          </w:tcPr>
          <w:p w14:paraId="29F9F02F"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367" w:type="pct"/>
            <w:tcBorders>
              <w:top w:val="nil"/>
              <w:left w:val="nil"/>
              <w:bottom w:val="single" w:sz="8" w:space="0" w:color="auto"/>
              <w:right w:val="single" w:sz="8" w:space="0" w:color="auto"/>
            </w:tcBorders>
            <w:shd w:val="clear" w:color="000000" w:fill="FFFFFF"/>
            <w:vAlign w:val="center"/>
            <w:hideMark/>
          </w:tcPr>
          <w:p w14:paraId="74800D7E"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w:t>
            </w:r>
          </w:p>
        </w:tc>
        <w:tc>
          <w:tcPr>
            <w:tcW w:w="477" w:type="pct"/>
            <w:tcBorders>
              <w:top w:val="nil"/>
              <w:left w:val="nil"/>
              <w:bottom w:val="single" w:sz="8" w:space="0" w:color="auto"/>
              <w:right w:val="single" w:sz="8" w:space="0" w:color="auto"/>
            </w:tcBorders>
            <w:shd w:val="clear" w:color="auto" w:fill="auto"/>
            <w:vAlign w:val="center"/>
            <w:hideMark/>
          </w:tcPr>
          <w:p w14:paraId="6F92A1DE"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368" w:type="pct"/>
            <w:tcBorders>
              <w:top w:val="nil"/>
              <w:left w:val="nil"/>
              <w:bottom w:val="single" w:sz="8" w:space="0" w:color="auto"/>
              <w:right w:val="single" w:sz="8" w:space="0" w:color="auto"/>
            </w:tcBorders>
            <w:shd w:val="clear" w:color="000000" w:fill="FFFFFF"/>
            <w:vAlign w:val="center"/>
            <w:hideMark/>
          </w:tcPr>
          <w:p w14:paraId="6758AEAB"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0,00%</w:t>
            </w:r>
          </w:p>
        </w:tc>
      </w:tr>
      <w:tr w:rsidR="0086105D" w:rsidRPr="008A514D" w14:paraId="22C382B5" w14:textId="77777777" w:rsidTr="0086105D">
        <w:trPr>
          <w:trHeight w:val="440"/>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1EE1AEE7"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GASTOS POR TRIBUTOS, MULTAS, SANCIONES E INTERES DE MORA</w:t>
            </w:r>
          </w:p>
        </w:tc>
        <w:tc>
          <w:tcPr>
            <w:tcW w:w="606" w:type="pct"/>
            <w:tcBorders>
              <w:top w:val="nil"/>
              <w:left w:val="nil"/>
              <w:bottom w:val="single" w:sz="8" w:space="0" w:color="auto"/>
              <w:right w:val="single" w:sz="8" w:space="0" w:color="auto"/>
            </w:tcBorders>
            <w:shd w:val="clear" w:color="auto" w:fill="auto"/>
            <w:vAlign w:val="center"/>
            <w:hideMark/>
          </w:tcPr>
          <w:p w14:paraId="52FF8AD7"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5.478</w:t>
            </w:r>
          </w:p>
        </w:tc>
        <w:tc>
          <w:tcPr>
            <w:tcW w:w="606" w:type="pct"/>
            <w:tcBorders>
              <w:top w:val="nil"/>
              <w:left w:val="nil"/>
              <w:bottom w:val="single" w:sz="8" w:space="0" w:color="auto"/>
              <w:right w:val="single" w:sz="8" w:space="0" w:color="auto"/>
            </w:tcBorders>
            <w:shd w:val="clear" w:color="auto" w:fill="auto"/>
            <w:vAlign w:val="center"/>
            <w:hideMark/>
          </w:tcPr>
          <w:p w14:paraId="307E396A"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6.478</w:t>
            </w:r>
          </w:p>
        </w:tc>
        <w:tc>
          <w:tcPr>
            <w:tcW w:w="619" w:type="pct"/>
            <w:tcBorders>
              <w:top w:val="nil"/>
              <w:left w:val="nil"/>
              <w:bottom w:val="single" w:sz="8" w:space="0" w:color="auto"/>
              <w:right w:val="single" w:sz="8" w:space="0" w:color="auto"/>
            </w:tcBorders>
            <w:shd w:val="clear" w:color="auto" w:fill="auto"/>
            <w:vAlign w:val="center"/>
            <w:hideMark/>
          </w:tcPr>
          <w:p w14:paraId="756D732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0,16%</w:t>
            </w:r>
          </w:p>
        </w:tc>
        <w:tc>
          <w:tcPr>
            <w:tcW w:w="709" w:type="pct"/>
            <w:tcBorders>
              <w:top w:val="nil"/>
              <w:left w:val="nil"/>
              <w:bottom w:val="single" w:sz="8" w:space="0" w:color="auto"/>
              <w:right w:val="single" w:sz="8" w:space="0" w:color="auto"/>
            </w:tcBorders>
            <w:shd w:val="clear" w:color="auto" w:fill="auto"/>
            <w:vAlign w:val="center"/>
            <w:hideMark/>
          </w:tcPr>
          <w:p w14:paraId="02E731E7"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0</w:t>
            </w:r>
          </w:p>
        </w:tc>
        <w:tc>
          <w:tcPr>
            <w:tcW w:w="462" w:type="pct"/>
            <w:tcBorders>
              <w:top w:val="nil"/>
              <w:left w:val="nil"/>
              <w:bottom w:val="single" w:sz="8" w:space="0" w:color="auto"/>
              <w:right w:val="single" w:sz="8" w:space="0" w:color="auto"/>
            </w:tcBorders>
            <w:shd w:val="clear" w:color="auto" w:fill="auto"/>
            <w:vAlign w:val="center"/>
            <w:hideMark/>
          </w:tcPr>
          <w:p w14:paraId="7A722E46"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5.131</w:t>
            </w:r>
          </w:p>
        </w:tc>
        <w:tc>
          <w:tcPr>
            <w:tcW w:w="367" w:type="pct"/>
            <w:tcBorders>
              <w:top w:val="nil"/>
              <w:left w:val="nil"/>
              <w:bottom w:val="single" w:sz="8" w:space="0" w:color="auto"/>
              <w:right w:val="single" w:sz="8" w:space="0" w:color="auto"/>
            </w:tcBorders>
            <w:shd w:val="clear" w:color="000000" w:fill="FFFFFF"/>
            <w:vAlign w:val="center"/>
            <w:hideMark/>
          </w:tcPr>
          <w:p w14:paraId="09663EF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79,20%</w:t>
            </w:r>
          </w:p>
        </w:tc>
        <w:tc>
          <w:tcPr>
            <w:tcW w:w="477" w:type="pct"/>
            <w:tcBorders>
              <w:top w:val="nil"/>
              <w:left w:val="nil"/>
              <w:bottom w:val="single" w:sz="8" w:space="0" w:color="auto"/>
              <w:right w:val="single" w:sz="8" w:space="0" w:color="auto"/>
            </w:tcBorders>
            <w:shd w:val="clear" w:color="auto" w:fill="auto"/>
            <w:vAlign w:val="center"/>
            <w:hideMark/>
          </w:tcPr>
          <w:p w14:paraId="3289C313" w14:textId="77777777" w:rsidR="000557F9" w:rsidRPr="008A514D" w:rsidRDefault="000557F9" w:rsidP="000557F9">
            <w:pPr>
              <w:spacing w:after="0" w:line="240" w:lineRule="auto"/>
              <w:jc w:val="center"/>
              <w:rPr>
                <w:rFonts w:ascii="Verdana" w:eastAsia="Times New Roman" w:hAnsi="Verdana" w:cstheme="majorHAnsi"/>
                <w:color w:val="000000"/>
                <w:sz w:val="12"/>
                <w:szCs w:val="12"/>
                <w:lang w:eastAsia="es-CO"/>
              </w:rPr>
            </w:pPr>
            <w:r w:rsidRPr="008A514D">
              <w:rPr>
                <w:rFonts w:ascii="Verdana" w:eastAsia="Times New Roman" w:hAnsi="Verdana" w:cstheme="majorHAnsi"/>
                <w:color w:val="000000"/>
                <w:sz w:val="12"/>
                <w:szCs w:val="12"/>
                <w:lang w:eastAsia="es-CO"/>
              </w:rPr>
              <w:t>5.123</w:t>
            </w:r>
          </w:p>
        </w:tc>
        <w:tc>
          <w:tcPr>
            <w:tcW w:w="368" w:type="pct"/>
            <w:tcBorders>
              <w:top w:val="nil"/>
              <w:left w:val="nil"/>
              <w:bottom w:val="single" w:sz="8" w:space="0" w:color="auto"/>
              <w:right w:val="single" w:sz="8" w:space="0" w:color="auto"/>
            </w:tcBorders>
            <w:shd w:val="clear" w:color="000000" w:fill="FFFFFF"/>
            <w:vAlign w:val="center"/>
            <w:hideMark/>
          </w:tcPr>
          <w:p w14:paraId="6A0D7EBA"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79,08%</w:t>
            </w:r>
          </w:p>
        </w:tc>
      </w:tr>
      <w:tr w:rsidR="0086105D" w:rsidRPr="008A514D" w14:paraId="22F1641F" w14:textId="77777777" w:rsidTr="0086105D">
        <w:trPr>
          <w:trHeight w:val="224"/>
        </w:trPr>
        <w:tc>
          <w:tcPr>
            <w:tcW w:w="786" w:type="pct"/>
            <w:tcBorders>
              <w:top w:val="nil"/>
              <w:left w:val="single" w:sz="8" w:space="0" w:color="auto"/>
              <w:bottom w:val="single" w:sz="8" w:space="0" w:color="auto"/>
              <w:right w:val="single" w:sz="8" w:space="0" w:color="auto"/>
            </w:tcBorders>
            <w:shd w:val="clear" w:color="auto" w:fill="auto"/>
            <w:vAlign w:val="center"/>
            <w:hideMark/>
          </w:tcPr>
          <w:p w14:paraId="417A2B20" w14:textId="77777777" w:rsidR="000557F9" w:rsidRPr="008A514D" w:rsidRDefault="000557F9" w:rsidP="000557F9">
            <w:pPr>
              <w:spacing w:after="0" w:line="240" w:lineRule="auto"/>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SERVICIO DEUDA PUBLICA</w:t>
            </w:r>
          </w:p>
        </w:tc>
        <w:tc>
          <w:tcPr>
            <w:tcW w:w="606" w:type="pct"/>
            <w:tcBorders>
              <w:top w:val="nil"/>
              <w:left w:val="nil"/>
              <w:bottom w:val="single" w:sz="8" w:space="0" w:color="auto"/>
              <w:right w:val="single" w:sz="8" w:space="0" w:color="auto"/>
            </w:tcBorders>
            <w:shd w:val="clear" w:color="auto" w:fill="auto"/>
            <w:vAlign w:val="center"/>
            <w:hideMark/>
          </w:tcPr>
          <w:p w14:paraId="06D54E82"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606" w:type="pct"/>
            <w:tcBorders>
              <w:top w:val="nil"/>
              <w:left w:val="nil"/>
              <w:bottom w:val="single" w:sz="8" w:space="0" w:color="auto"/>
              <w:right w:val="single" w:sz="8" w:space="0" w:color="auto"/>
            </w:tcBorders>
            <w:shd w:val="clear" w:color="auto" w:fill="auto"/>
            <w:vAlign w:val="center"/>
            <w:hideMark/>
          </w:tcPr>
          <w:p w14:paraId="40318993"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619" w:type="pct"/>
            <w:tcBorders>
              <w:top w:val="nil"/>
              <w:left w:val="nil"/>
              <w:bottom w:val="single" w:sz="8" w:space="0" w:color="auto"/>
              <w:right w:val="single" w:sz="8" w:space="0" w:color="auto"/>
            </w:tcBorders>
            <w:shd w:val="clear" w:color="auto" w:fill="auto"/>
            <w:vAlign w:val="center"/>
            <w:hideMark/>
          </w:tcPr>
          <w:p w14:paraId="477796A8"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0,00%</w:t>
            </w:r>
          </w:p>
        </w:tc>
        <w:tc>
          <w:tcPr>
            <w:tcW w:w="709" w:type="pct"/>
            <w:tcBorders>
              <w:top w:val="nil"/>
              <w:left w:val="nil"/>
              <w:bottom w:val="single" w:sz="8" w:space="0" w:color="auto"/>
              <w:right w:val="single" w:sz="8" w:space="0" w:color="auto"/>
            </w:tcBorders>
            <w:shd w:val="clear" w:color="auto" w:fill="auto"/>
            <w:vAlign w:val="center"/>
            <w:hideMark/>
          </w:tcPr>
          <w:p w14:paraId="51DB8518"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462" w:type="pct"/>
            <w:tcBorders>
              <w:top w:val="nil"/>
              <w:left w:val="nil"/>
              <w:bottom w:val="single" w:sz="8" w:space="0" w:color="auto"/>
              <w:right w:val="single" w:sz="8" w:space="0" w:color="auto"/>
            </w:tcBorders>
            <w:shd w:val="clear" w:color="auto" w:fill="auto"/>
            <w:vAlign w:val="center"/>
            <w:hideMark/>
          </w:tcPr>
          <w:p w14:paraId="6D8DD04B"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367" w:type="pct"/>
            <w:tcBorders>
              <w:top w:val="nil"/>
              <w:left w:val="nil"/>
              <w:bottom w:val="single" w:sz="8" w:space="0" w:color="auto"/>
              <w:right w:val="single" w:sz="8" w:space="0" w:color="auto"/>
            </w:tcBorders>
            <w:shd w:val="clear" w:color="auto" w:fill="auto"/>
            <w:vAlign w:val="center"/>
            <w:hideMark/>
          </w:tcPr>
          <w:p w14:paraId="747CC0A2"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0,0%</w:t>
            </w:r>
          </w:p>
        </w:tc>
        <w:tc>
          <w:tcPr>
            <w:tcW w:w="477" w:type="pct"/>
            <w:tcBorders>
              <w:top w:val="nil"/>
              <w:left w:val="nil"/>
              <w:bottom w:val="single" w:sz="8" w:space="0" w:color="auto"/>
              <w:right w:val="single" w:sz="8" w:space="0" w:color="auto"/>
            </w:tcBorders>
            <w:shd w:val="clear" w:color="auto" w:fill="auto"/>
            <w:vAlign w:val="center"/>
            <w:hideMark/>
          </w:tcPr>
          <w:p w14:paraId="70F6FC9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368" w:type="pct"/>
            <w:tcBorders>
              <w:top w:val="nil"/>
              <w:left w:val="nil"/>
              <w:bottom w:val="single" w:sz="8" w:space="0" w:color="auto"/>
              <w:right w:val="single" w:sz="8" w:space="0" w:color="auto"/>
            </w:tcBorders>
            <w:shd w:val="clear" w:color="000000" w:fill="FFFFFF"/>
            <w:vAlign w:val="center"/>
            <w:hideMark/>
          </w:tcPr>
          <w:p w14:paraId="4E4407F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0,0%</w:t>
            </w:r>
          </w:p>
        </w:tc>
      </w:tr>
      <w:tr w:rsidR="0086105D" w:rsidRPr="008A514D" w14:paraId="7C876366" w14:textId="77777777" w:rsidTr="0086105D">
        <w:trPr>
          <w:trHeight w:val="188"/>
        </w:trPr>
        <w:tc>
          <w:tcPr>
            <w:tcW w:w="786" w:type="pct"/>
            <w:tcBorders>
              <w:top w:val="nil"/>
              <w:left w:val="single" w:sz="8" w:space="0" w:color="auto"/>
              <w:bottom w:val="single" w:sz="8" w:space="0" w:color="auto"/>
              <w:right w:val="single" w:sz="8" w:space="0" w:color="auto"/>
            </w:tcBorders>
            <w:shd w:val="clear" w:color="000000" w:fill="FFCC66"/>
            <w:vAlign w:val="center"/>
            <w:hideMark/>
          </w:tcPr>
          <w:p w14:paraId="219ABC4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INVERSION</w:t>
            </w:r>
          </w:p>
        </w:tc>
        <w:tc>
          <w:tcPr>
            <w:tcW w:w="606" w:type="pct"/>
            <w:tcBorders>
              <w:top w:val="nil"/>
              <w:left w:val="nil"/>
              <w:bottom w:val="single" w:sz="8" w:space="0" w:color="auto"/>
              <w:right w:val="single" w:sz="8" w:space="0" w:color="auto"/>
            </w:tcBorders>
            <w:shd w:val="clear" w:color="000000" w:fill="FFCC66"/>
            <w:vAlign w:val="center"/>
            <w:hideMark/>
          </w:tcPr>
          <w:p w14:paraId="4834A59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111.480</w:t>
            </w:r>
          </w:p>
        </w:tc>
        <w:tc>
          <w:tcPr>
            <w:tcW w:w="606" w:type="pct"/>
            <w:tcBorders>
              <w:top w:val="nil"/>
              <w:left w:val="nil"/>
              <w:bottom w:val="single" w:sz="8" w:space="0" w:color="auto"/>
              <w:right w:val="single" w:sz="8" w:space="0" w:color="auto"/>
            </w:tcBorders>
            <w:shd w:val="clear" w:color="000000" w:fill="FFCC66"/>
            <w:vAlign w:val="center"/>
            <w:hideMark/>
          </w:tcPr>
          <w:p w14:paraId="26C055A3"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111.480</w:t>
            </w:r>
          </w:p>
        </w:tc>
        <w:tc>
          <w:tcPr>
            <w:tcW w:w="619" w:type="pct"/>
            <w:tcBorders>
              <w:top w:val="nil"/>
              <w:left w:val="nil"/>
              <w:bottom w:val="single" w:sz="8" w:space="0" w:color="auto"/>
              <w:right w:val="single" w:sz="8" w:space="0" w:color="auto"/>
            </w:tcBorders>
            <w:shd w:val="clear" w:color="000000" w:fill="FFCC66"/>
            <w:vAlign w:val="center"/>
            <w:hideMark/>
          </w:tcPr>
          <w:p w14:paraId="3BA21D4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2,67%</w:t>
            </w:r>
          </w:p>
        </w:tc>
        <w:tc>
          <w:tcPr>
            <w:tcW w:w="709" w:type="pct"/>
            <w:tcBorders>
              <w:top w:val="nil"/>
              <w:left w:val="nil"/>
              <w:bottom w:val="single" w:sz="8" w:space="0" w:color="auto"/>
              <w:right w:val="single" w:sz="8" w:space="0" w:color="auto"/>
            </w:tcBorders>
            <w:shd w:val="clear" w:color="000000" w:fill="FFCC66"/>
            <w:vAlign w:val="center"/>
            <w:hideMark/>
          </w:tcPr>
          <w:p w14:paraId="5549856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0</w:t>
            </w:r>
          </w:p>
        </w:tc>
        <w:tc>
          <w:tcPr>
            <w:tcW w:w="462" w:type="pct"/>
            <w:tcBorders>
              <w:top w:val="nil"/>
              <w:left w:val="nil"/>
              <w:bottom w:val="single" w:sz="8" w:space="0" w:color="auto"/>
              <w:right w:val="single" w:sz="8" w:space="0" w:color="auto"/>
            </w:tcBorders>
            <w:shd w:val="clear" w:color="000000" w:fill="FFCC66"/>
            <w:vAlign w:val="center"/>
            <w:hideMark/>
          </w:tcPr>
          <w:p w14:paraId="008EC59D"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88.005</w:t>
            </w:r>
          </w:p>
        </w:tc>
        <w:tc>
          <w:tcPr>
            <w:tcW w:w="367" w:type="pct"/>
            <w:tcBorders>
              <w:top w:val="nil"/>
              <w:left w:val="nil"/>
              <w:bottom w:val="single" w:sz="8" w:space="0" w:color="auto"/>
              <w:right w:val="single" w:sz="8" w:space="0" w:color="auto"/>
            </w:tcBorders>
            <w:shd w:val="clear" w:color="000000" w:fill="FFC000"/>
            <w:vAlign w:val="center"/>
            <w:hideMark/>
          </w:tcPr>
          <w:p w14:paraId="003FD6AE"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78,94%</w:t>
            </w:r>
          </w:p>
        </w:tc>
        <w:tc>
          <w:tcPr>
            <w:tcW w:w="477" w:type="pct"/>
            <w:tcBorders>
              <w:top w:val="nil"/>
              <w:left w:val="nil"/>
              <w:bottom w:val="single" w:sz="8" w:space="0" w:color="auto"/>
              <w:right w:val="single" w:sz="8" w:space="0" w:color="auto"/>
            </w:tcBorders>
            <w:shd w:val="clear" w:color="000000" w:fill="FFCC66"/>
            <w:vAlign w:val="center"/>
            <w:hideMark/>
          </w:tcPr>
          <w:p w14:paraId="2C1B7EFF"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35.270</w:t>
            </w:r>
          </w:p>
        </w:tc>
        <w:tc>
          <w:tcPr>
            <w:tcW w:w="368" w:type="pct"/>
            <w:tcBorders>
              <w:top w:val="nil"/>
              <w:left w:val="nil"/>
              <w:bottom w:val="single" w:sz="8" w:space="0" w:color="auto"/>
              <w:right w:val="single" w:sz="8" w:space="0" w:color="auto"/>
            </w:tcBorders>
            <w:shd w:val="clear" w:color="000000" w:fill="FFC000"/>
            <w:vAlign w:val="center"/>
            <w:hideMark/>
          </w:tcPr>
          <w:p w14:paraId="35E3BAF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31,64%</w:t>
            </w:r>
          </w:p>
        </w:tc>
      </w:tr>
      <w:tr w:rsidR="0086105D" w:rsidRPr="008A514D" w14:paraId="67BFDD88" w14:textId="77777777" w:rsidTr="0086105D">
        <w:trPr>
          <w:trHeight w:val="188"/>
        </w:trPr>
        <w:tc>
          <w:tcPr>
            <w:tcW w:w="786" w:type="pct"/>
            <w:tcBorders>
              <w:top w:val="nil"/>
              <w:left w:val="single" w:sz="8" w:space="0" w:color="auto"/>
              <w:bottom w:val="single" w:sz="8" w:space="0" w:color="auto"/>
              <w:right w:val="single" w:sz="8" w:space="0" w:color="auto"/>
            </w:tcBorders>
            <w:shd w:val="clear" w:color="000000" w:fill="B18940"/>
            <w:vAlign w:val="center"/>
            <w:hideMark/>
          </w:tcPr>
          <w:p w14:paraId="70FD3491"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TOTAL</w:t>
            </w:r>
          </w:p>
        </w:tc>
        <w:tc>
          <w:tcPr>
            <w:tcW w:w="606" w:type="pct"/>
            <w:tcBorders>
              <w:top w:val="nil"/>
              <w:left w:val="nil"/>
              <w:bottom w:val="single" w:sz="8" w:space="0" w:color="auto"/>
              <w:right w:val="single" w:sz="8" w:space="0" w:color="auto"/>
            </w:tcBorders>
            <w:shd w:val="clear" w:color="000000" w:fill="B18940"/>
            <w:vAlign w:val="center"/>
            <w:hideMark/>
          </w:tcPr>
          <w:p w14:paraId="3CD689E6"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4.172.309</w:t>
            </w:r>
          </w:p>
        </w:tc>
        <w:tc>
          <w:tcPr>
            <w:tcW w:w="606" w:type="pct"/>
            <w:tcBorders>
              <w:top w:val="nil"/>
              <w:left w:val="nil"/>
              <w:bottom w:val="single" w:sz="8" w:space="0" w:color="auto"/>
              <w:right w:val="single" w:sz="8" w:space="0" w:color="auto"/>
            </w:tcBorders>
            <w:shd w:val="clear" w:color="000000" w:fill="B18940"/>
            <w:vAlign w:val="center"/>
            <w:hideMark/>
          </w:tcPr>
          <w:p w14:paraId="0D7513B3"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4.172.309</w:t>
            </w:r>
          </w:p>
        </w:tc>
        <w:tc>
          <w:tcPr>
            <w:tcW w:w="619" w:type="pct"/>
            <w:tcBorders>
              <w:top w:val="nil"/>
              <w:left w:val="nil"/>
              <w:bottom w:val="single" w:sz="8" w:space="0" w:color="auto"/>
              <w:right w:val="single" w:sz="8" w:space="0" w:color="auto"/>
            </w:tcBorders>
            <w:shd w:val="clear" w:color="000000" w:fill="B18940"/>
            <w:vAlign w:val="center"/>
            <w:hideMark/>
          </w:tcPr>
          <w:p w14:paraId="5F817704"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w:t>
            </w:r>
          </w:p>
        </w:tc>
        <w:tc>
          <w:tcPr>
            <w:tcW w:w="709" w:type="pct"/>
            <w:tcBorders>
              <w:top w:val="nil"/>
              <w:left w:val="nil"/>
              <w:bottom w:val="single" w:sz="8" w:space="0" w:color="auto"/>
              <w:right w:val="single" w:sz="8" w:space="0" w:color="auto"/>
            </w:tcBorders>
            <w:shd w:val="clear" w:color="000000" w:fill="B18940"/>
            <w:vAlign w:val="center"/>
            <w:hideMark/>
          </w:tcPr>
          <w:p w14:paraId="04BFCF1D"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1.208.750</w:t>
            </w:r>
          </w:p>
        </w:tc>
        <w:tc>
          <w:tcPr>
            <w:tcW w:w="462" w:type="pct"/>
            <w:tcBorders>
              <w:top w:val="nil"/>
              <w:left w:val="nil"/>
              <w:bottom w:val="single" w:sz="8" w:space="0" w:color="auto"/>
              <w:right w:val="single" w:sz="8" w:space="0" w:color="auto"/>
            </w:tcBorders>
            <w:shd w:val="clear" w:color="000000" w:fill="B18940"/>
            <w:vAlign w:val="center"/>
            <w:hideMark/>
          </w:tcPr>
          <w:p w14:paraId="4D794C46"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1.621.791</w:t>
            </w:r>
          </w:p>
        </w:tc>
        <w:tc>
          <w:tcPr>
            <w:tcW w:w="367" w:type="pct"/>
            <w:tcBorders>
              <w:top w:val="nil"/>
              <w:left w:val="nil"/>
              <w:bottom w:val="single" w:sz="8" w:space="0" w:color="auto"/>
              <w:right w:val="single" w:sz="8" w:space="0" w:color="auto"/>
            </w:tcBorders>
            <w:shd w:val="clear" w:color="000000" w:fill="B18940"/>
            <w:vAlign w:val="center"/>
            <w:hideMark/>
          </w:tcPr>
          <w:p w14:paraId="416FF0DF"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 </w:t>
            </w:r>
          </w:p>
        </w:tc>
        <w:tc>
          <w:tcPr>
            <w:tcW w:w="477" w:type="pct"/>
            <w:tcBorders>
              <w:top w:val="nil"/>
              <w:left w:val="nil"/>
              <w:bottom w:val="single" w:sz="8" w:space="0" w:color="auto"/>
              <w:right w:val="single" w:sz="8" w:space="0" w:color="auto"/>
            </w:tcBorders>
            <w:shd w:val="clear" w:color="000000" w:fill="B18940"/>
            <w:vAlign w:val="center"/>
            <w:hideMark/>
          </w:tcPr>
          <w:p w14:paraId="7E7873E0"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1.340.727</w:t>
            </w:r>
          </w:p>
        </w:tc>
        <w:tc>
          <w:tcPr>
            <w:tcW w:w="368" w:type="pct"/>
            <w:tcBorders>
              <w:top w:val="nil"/>
              <w:left w:val="nil"/>
              <w:bottom w:val="single" w:sz="8" w:space="0" w:color="auto"/>
              <w:right w:val="single" w:sz="8" w:space="0" w:color="auto"/>
            </w:tcBorders>
            <w:shd w:val="clear" w:color="000000" w:fill="B18940"/>
            <w:vAlign w:val="center"/>
            <w:hideMark/>
          </w:tcPr>
          <w:p w14:paraId="6E02428C" w14:textId="77777777" w:rsidR="000557F9" w:rsidRPr="008A514D" w:rsidRDefault="000557F9" w:rsidP="000557F9">
            <w:pPr>
              <w:spacing w:after="0" w:line="240" w:lineRule="auto"/>
              <w:jc w:val="center"/>
              <w:rPr>
                <w:rFonts w:ascii="Verdana" w:eastAsia="Times New Roman" w:hAnsi="Verdana" w:cstheme="majorHAnsi"/>
                <w:b/>
                <w:color w:val="000000"/>
                <w:sz w:val="12"/>
                <w:szCs w:val="12"/>
                <w:lang w:eastAsia="es-CO"/>
              </w:rPr>
            </w:pPr>
            <w:r w:rsidRPr="008A514D">
              <w:rPr>
                <w:rFonts w:ascii="Verdana" w:eastAsia="Times New Roman" w:hAnsi="Verdana" w:cstheme="majorHAnsi"/>
                <w:b/>
                <w:color w:val="000000"/>
                <w:sz w:val="12"/>
                <w:szCs w:val="12"/>
                <w:lang w:eastAsia="es-CO"/>
              </w:rPr>
              <w:t>29,5%</w:t>
            </w:r>
          </w:p>
        </w:tc>
      </w:tr>
    </w:tbl>
    <w:p w14:paraId="4BBC479F" w14:textId="77777777" w:rsidR="0083707D" w:rsidRPr="0086105D" w:rsidRDefault="001C763F" w:rsidP="003D6C05">
      <w:pPr>
        <w:jc w:val="both"/>
        <w:rPr>
          <w:rFonts w:ascii="Verdana" w:hAnsi="Verdana" w:cs="Arial"/>
          <w:sz w:val="12"/>
          <w:szCs w:val="12"/>
        </w:rPr>
      </w:pPr>
      <w:r w:rsidRPr="0086105D">
        <w:rPr>
          <w:rFonts w:ascii="Verdana" w:hAnsi="Verdana" w:cs="Arial"/>
          <w:sz w:val="12"/>
          <w:szCs w:val="12"/>
        </w:rPr>
        <w:t xml:space="preserve">Fuente: </w:t>
      </w:r>
      <w:r w:rsidR="005E2416" w:rsidRPr="0086105D">
        <w:rPr>
          <w:rFonts w:ascii="Verdana" w:hAnsi="Verdana" w:cs="Arial"/>
          <w:sz w:val="12"/>
          <w:szCs w:val="12"/>
        </w:rPr>
        <w:t>Reporte SIIF Nación con corte 16 agosto de 2024</w:t>
      </w:r>
    </w:p>
    <w:p w14:paraId="34D8E97C" w14:textId="3DBD612F" w:rsidR="00305698" w:rsidRPr="00D92A60" w:rsidRDefault="007F1DA4" w:rsidP="00D92A60">
      <w:pPr>
        <w:spacing w:before="100" w:beforeAutospacing="1" w:after="0"/>
        <w:contextualSpacing/>
        <w:jc w:val="both"/>
        <w:rPr>
          <w:rFonts w:ascii="Verdana" w:hAnsi="Verdana" w:cs="Arial"/>
          <w:b/>
          <w:u w:val="single"/>
        </w:rPr>
      </w:pPr>
      <w:r w:rsidRPr="002A17E0">
        <w:rPr>
          <w:rFonts w:ascii="Verdana" w:hAnsi="Verdana" w:cs="Arial"/>
          <w:b/>
          <w:u w:val="single"/>
        </w:rPr>
        <w:t>Año 2023:</w:t>
      </w:r>
    </w:p>
    <w:tbl>
      <w:tblPr>
        <w:tblStyle w:val="Tablaconcuadrcula"/>
        <w:tblpPr w:leftFromText="141" w:rightFromText="141" w:vertAnchor="text" w:horzAnchor="margin" w:tblpY="1510"/>
        <w:tblW w:w="0" w:type="auto"/>
        <w:tblLayout w:type="fixed"/>
        <w:tblLook w:val="04A0" w:firstRow="1" w:lastRow="0" w:firstColumn="1" w:lastColumn="0" w:noHBand="0" w:noVBand="1"/>
      </w:tblPr>
      <w:tblGrid>
        <w:gridCol w:w="1980"/>
        <w:gridCol w:w="2268"/>
        <w:gridCol w:w="4580"/>
      </w:tblGrid>
      <w:tr w:rsidR="00BA6664" w:rsidRPr="002A17E0" w14:paraId="435808CC" w14:textId="77777777">
        <w:trPr>
          <w:trHeight w:val="649"/>
          <w:tblHeader/>
        </w:trPr>
        <w:tc>
          <w:tcPr>
            <w:tcW w:w="1980" w:type="dxa"/>
            <w:shd w:val="clear" w:color="auto" w:fill="auto"/>
            <w:vAlign w:val="center"/>
          </w:tcPr>
          <w:p w14:paraId="0A49B906" w14:textId="77777777" w:rsidR="00BA6664" w:rsidRPr="002A17E0" w:rsidRDefault="00BA6664">
            <w:pPr>
              <w:jc w:val="center"/>
              <w:textAlignment w:val="center"/>
              <w:rPr>
                <w:rFonts w:ascii="Verdana" w:hAnsi="Verdana" w:cs="Arial"/>
                <w:b/>
                <w:bCs/>
                <w:kern w:val="24"/>
                <w:sz w:val="18"/>
                <w:szCs w:val="18"/>
              </w:rPr>
            </w:pPr>
            <w:r w:rsidRPr="002A17E0">
              <w:rPr>
                <w:rFonts w:ascii="Verdana" w:hAnsi="Verdana" w:cs="Arial"/>
                <w:b/>
                <w:bCs/>
                <w:kern w:val="24"/>
                <w:sz w:val="18"/>
                <w:szCs w:val="18"/>
              </w:rPr>
              <w:t>CONCEPTO</w:t>
            </w:r>
          </w:p>
        </w:tc>
        <w:tc>
          <w:tcPr>
            <w:tcW w:w="2268" w:type="dxa"/>
            <w:shd w:val="clear" w:color="auto" w:fill="auto"/>
            <w:vAlign w:val="center"/>
          </w:tcPr>
          <w:p w14:paraId="494BD420" w14:textId="77777777" w:rsidR="00BA6664" w:rsidRPr="002A17E0" w:rsidRDefault="00BA6664">
            <w:pPr>
              <w:jc w:val="center"/>
              <w:textAlignment w:val="center"/>
              <w:rPr>
                <w:rFonts w:ascii="Verdana" w:hAnsi="Verdana" w:cs="Arial"/>
                <w:b/>
                <w:bCs/>
                <w:kern w:val="24"/>
                <w:sz w:val="18"/>
                <w:szCs w:val="18"/>
              </w:rPr>
            </w:pPr>
            <w:r w:rsidRPr="002A17E0">
              <w:rPr>
                <w:rFonts w:ascii="Verdana" w:hAnsi="Verdana" w:cs="Arial"/>
                <w:b/>
                <w:bCs/>
                <w:kern w:val="24"/>
                <w:sz w:val="18"/>
                <w:szCs w:val="18"/>
              </w:rPr>
              <w:t>PRINCIPALES RUBROS PRESUPUESTALES</w:t>
            </w:r>
          </w:p>
        </w:tc>
        <w:tc>
          <w:tcPr>
            <w:tcW w:w="4580" w:type="dxa"/>
            <w:shd w:val="clear" w:color="auto" w:fill="auto"/>
            <w:vAlign w:val="center"/>
          </w:tcPr>
          <w:p w14:paraId="7D15AB42" w14:textId="77777777" w:rsidR="00BA6664" w:rsidRPr="002A17E0" w:rsidRDefault="00BA6664">
            <w:pPr>
              <w:jc w:val="center"/>
              <w:textAlignment w:val="center"/>
              <w:rPr>
                <w:rFonts w:ascii="Verdana" w:hAnsi="Verdana" w:cs="Arial"/>
                <w:b/>
                <w:bCs/>
                <w:kern w:val="24"/>
                <w:sz w:val="18"/>
                <w:szCs w:val="18"/>
              </w:rPr>
            </w:pPr>
            <w:r w:rsidRPr="002A17E0">
              <w:rPr>
                <w:rFonts w:ascii="Verdana" w:hAnsi="Verdana" w:cs="Arial"/>
                <w:b/>
                <w:bCs/>
                <w:kern w:val="24"/>
                <w:sz w:val="18"/>
                <w:szCs w:val="18"/>
              </w:rPr>
              <w:t>RESULTADO MISIONAL</w:t>
            </w:r>
          </w:p>
        </w:tc>
      </w:tr>
      <w:tr w:rsidR="00BA6664" w:rsidRPr="002A17E0" w14:paraId="4440C788" w14:textId="77777777">
        <w:trPr>
          <w:tblHeader/>
        </w:trPr>
        <w:tc>
          <w:tcPr>
            <w:tcW w:w="8828" w:type="dxa"/>
            <w:gridSpan w:val="3"/>
            <w:vAlign w:val="center"/>
          </w:tcPr>
          <w:p w14:paraId="235663D6" w14:textId="4BFAC401" w:rsidR="00BA6664" w:rsidRPr="002A17E0" w:rsidRDefault="00E63A71" w:rsidP="00C572F0">
            <w:pPr>
              <w:spacing w:before="100" w:beforeAutospacing="1" w:after="100" w:afterAutospacing="1"/>
              <w:contextualSpacing/>
              <w:jc w:val="center"/>
              <w:rPr>
                <w:rFonts w:ascii="Verdana" w:hAnsi="Verdana" w:cs="Arial"/>
                <w:b/>
                <w:sz w:val="18"/>
                <w:szCs w:val="18"/>
              </w:rPr>
            </w:pPr>
            <w:r w:rsidRPr="002A17E0">
              <w:rPr>
                <w:rFonts w:ascii="Verdana" w:hAnsi="Verdana" w:cs="Arial"/>
                <w:b/>
                <w:bCs/>
                <w:sz w:val="18"/>
                <w:szCs w:val="18"/>
              </w:rPr>
              <w:t>FUNCIONAMI</w:t>
            </w:r>
            <w:r w:rsidR="00C572F0" w:rsidRPr="002A17E0">
              <w:rPr>
                <w:rFonts w:ascii="Verdana" w:hAnsi="Verdana" w:cs="Arial"/>
                <w:b/>
                <w:bCs/>
                <w:sz w:val="18"/>
                <w:szCs w:val="18"/>
              </w:rPr>
              <w:t>ENTO</w:t>
            </w:r>
          </w:p>
        </w:tc>
      </w:tr>
      <w:tr w:rsidR="00BA6664" w:rsidRPr="002A17E0" w14:paraId="3C0EB5D8" w14:textId="77777777" w:rsidTr="00B660B6">
        <w:trPr>
          <w:trHeight w:val="614"/>
        </w:trPr>
        <w:tc>
          <w:tcPr>
            <w:tcW w:w="1980" w:type="dxa"/>
            <w:vAlign w:val="center"/>
          </w:tcPr>
          <w:p w14:paraId="04338E7E" w14:textId="6245C281" w:rsidR="00BA6664" w:rsidRPr="002A17E0" w:rsidRDefault="00BA6664"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Recaudo bruto</w:t>
            </w:r>
          </w:p>
        </w:tc>
        <w:tc>
          <w:tcPr>
            <w:tcW w:w="2268" w:type="dxa"/>
            <w:vAlign w:val="center"/>
          </w:tcPr>
          <w:p w14:paraId="48EE2255" w14:textId="0B55953E" w:rsidR="00BA6664" w:rsidRPr="002A17E0" w:rsidRDefault="00C572F0"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72A7F74F" w14:textId="2943BD3C"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Durante el año 2023, se alcanza un cumplimiento del 96,3% correspondiente a 279.38 billones de pesos recaudados, frente a una meta establecida de 290.06 billones.</w:t>
            </w:r>
          </w:p>
          <w:p w14:paraId="30C78923"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71E4CBDE" w14:textId="26BF7B18"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Se destaca que al final del periodo el monto recaudado por declaraciones de renta supero la meta de 50,1 billones en un 102% al recaudar 51,2 billones, no obstante, las retenciones realizadas de este impuesto no llegaron a la meta de 102,7 billones, sino que alcanzaron un 93,9% de cumplimiento con un recaudo de 96,4 billones, de esta manera el impuesto sobre la renta y complementarios llegó a un 96,6% de cumplimiento con 147,6 billones sobre una meta de 152,8 billones.</w:t>
            </w:r>
          </w:p>
          <w:p w14:paraId="716E00C7"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2420B952" w14:textId="1AE20876"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Por su parte el impuesto sobre las ventas IVA alcanzó el 98,8% de cumplimiento al recaudar 66,3 billones sobre una meta de 67,1 billones.</w:t>
            </w:r>
          </w:p>
          <w:p w14:paraId="16724F57"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6E651FD9"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Por último, los impuestos aduaneros llegaron al 97,3% de cumplimiento, al recaudar 41,6 billones, sobre una meta de 44,5 billones. Estos tres impuestos tienen una participación del 91,5% del total recaudado.</w:t>
            </w:r>
          </w:p>
          <w:p w14:paraId="30DD6731" w14:textId="77777777" w:rsidR="00860ED4" w:rsidRPr="002A17E0" w:rsidRDefault="00860ED4">
            <w:pPr>
              <w:spacing w:before="100" w:beforeAutospacing="1" w:after="100" w:afterAutospacing="1"/>
              <w:contextualSpacing/>
              <w:jc w:val="both"/>
              <w:rPr>
                <w:rFonts w:ascii="Verdana" w:eastAsia="Arial Narrow" w:hAnsi="Verdana" w:cs="Arial Narrow"/>
                <w:color w:val="201F1E"/>
                <w:sz w:val="18"/>
                <w:szCs w:val="18"/>
                <w:lang w:val="es"/>
              </w:rPr>
            </w:pPr>
          </w:p>
          <w:p w14:paraId="3A5A7A32" w14:textId="4B45F73E" w:rsidR="00BA6664" w:rsidRPr="002A17E0" w:rsidRDefault="00860ED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Fuente: </w:t>
            </w:r>
            <w:hyperlink r:id="rId8" w:history="1">
              <w:r w:rsidRPr="002A17E0">
                <w:rPr>
                  <w:rStyle w:val="Hipervnculo"/>
                  <w:rFonts w:ascii="Verdana" w:eastAsia="Arial Narrow" w:hAnsi="Verdana" w:cs="Arial Narrow"/>
                  <w:sz w:val="18"/>
                  <w:szCs w:val="18"/>
                  <w:lang w:val="es"/>
                </w:rPr>
                <w:t>Informe de Gestión DIAN 2023</w:t>
              </w:r>
            </w:hyperlink>
          </w:p>
        </w:tc>
      </w:tr>
      <w:tr w:rsidR="00BA6664" w:rsidRPr="002A17E0" w14:paraId="7E986CD0" w14:textId="77777777" w:rsidTr="00B660B6">
        <w:trPr>
          <w:trHeight w:val="614"/>
        </w:trPr>
        <w:tc>
          <w:tcPr>
            <w:tcW w:w="1980" w:type="dxa"/>
            <w:vAlign w:val="center"/>
          </w:tcPr>
          <w:p w14:paraId="1B62E59B" w14:textId="6C6B47F1" w:rsidR="00BA6664" w:rsidRPr="002A17E0" w:rsidRDefault="00BA6664"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Recaudo Neto</w:t>
            </w:r>
          </w:p>
        </w:tc>
        <w:tc>
          <w:tcPr>
            <w:tcW w:w="2268" w:type="dxa"/>
            <w:vAlign w:val="center"/>
          </w:tcPr>
          <w:p w14:paraId="3C0F1F62" w14:textId="740767E7" w:rsidR="00BA6664" w:rsidRPr="002A17E0" w:rsidRDefault="00300E18"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2B33D5A9" w14:textId="3CD12FEA" w:rsidR="00BA6664" w:rsidRPr="002A17E0" w:rsidRDefault="00A37526">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Según información consolidada por la coordinación </w:t>
            </w:r>
            <w:r w:rsidR="002B56E7" w:rsidRPr="002A17E0">
              <w:rPr>
                <w:rFonts w:ascii="Verdana" w:eastAsia="Arial Narrow" w:hAnsi="Verdana" w:cs="Arial Narrow"/>
                <w:color w:val="201F1E"/>
                <w:sz w:val="18"/>
                <w:szCs w:val="18"/>
                <w:lang w:val="es"/>
              </w:rPr>
              <w:t xml:space="preserve">de control a entidades recaudatorias </w:t>
            </w:r>
            <w:r w:rsidR="007F347A" w:rsidRPr="002A17E0">
              <w:rPr>
                <w:rFonts w:ascii="Verdana" w:eastAsia="Arial Narrow" w:hAnsi="Verdana" w:cs="Arial Narrow"/>
                <w:color w:val="201F1E"/>
                <w:sz w:val="18"/>
                <w:szCs w:val="18"/>
                <w:lang w:val="es"/>
              </w:rPr>
              <w:t xml:space="preserve">de la Subdirección de Recaudo, se obtuvo un recaudo neto por valor </w:t>
            </w:r>
            <w:r w:rsidR="00C76C8D" w:rsidRPr="002A17E0">
              <w:rPr>
                <w:rFonts w:ascii="Verdana" w:eastAsia="Arial Narrow" w:hAnsi="Verdana" w:cs="Arial Narrow"/>
                <w:color w:val="201F1E"/>
                <w:sz w:val="18"/>
                <w:szCs w:val="18"/>
                <w:lang w:val="es"/>
              </w:rPr>
              <w:t xml:space="preserve">$262,1 billones de pesos de una meta </w:t>
            </w:r>
            <w:r w:rsidR="003F6662" w:rsidRPr="002A17E0">
              <w:rPr>
                <w:rFonts w:ascii="Verdana" w:eastAsia="Arial Narrow" w:hAnsi="Verdana" w:cs="Arial Narrow"/>
                <w:color w:val="201F1E"/>
                <w:sz w:val="18"/>
                <w:szCs w:val="18"/>
                <w:lang w:val="es"/>
              </w:rPr>
              <w:t>$265,3 billones correspondiente al 98,8% de cumplimiento de la meta</w:t>
            </w:r>
            <w:r w:rsidR="00A55ADE" w:rsidRPr="002A17E0">
              <w:rPr>
                <w:rFonts w:ascii="Verdana" w:eastAsia="Arial Narrow" w:hAnsi="Verdana" w:cs="Arial Narrow"/>
                <w:color w:val="201F1E"/>
                <w:sz w:val="18"/>
                <w:szCs w:val="18"/>
                <w:lang w:val="es"/>
              </w:rPr>
              <w:t xml:space="preserve"> para la vigencia 2023.</w:t>
            </w:r>
          </w:p>
        </w:tc>
      </w:tr>
      <w:tr w:rsidR="00BA6664" w:rsidRPr="002A17E0" w14:paraId="3FB52BF1" w14:textId="77777777" w:rsidTr="00B660B6">
        <w:trPr>
          <w:trHeight w:val="614"/>
        </w:trPr>
        <w:tc>
          <w:tcPr>
            <w:tcW w:w="1980" w:type="dxa"/>
            <w:vAlign w:val="center"/>
          </w:tcPr>
          <w:p w14:paraId="38935F26" w14:textId="6AB3E7C7" w:rsidR="00BA6664" w:rsidRPr="002A17E0" w:rsidRDefault="00BA6664"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Gestión de Fiscalización</w:t>
            </w:r>
          </w:p>
        </w:tc>
        <w:tc>
          <w:tcPr>
            <w:tcW w:w="2268" w:type="dxa"/>
            <w:vAlign w:val="center"/>
          </w:tcPr>
          <w:p w14:paraId="08B60AC0" w14:textId="1180A25D" w:rsidR="00BA6664" w:rsidRPr="002A17E0" w:rsidRDefault="00F9269E"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4AC72856"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Producto del trabajo mancomunado con las Subdirecciones de Fiscalización Tributaria, Aduanera, Cambiaria e Internacional, se logró </w:t>
            </w:r>
            <w:r w:rsidRPr="002A17E0">
              <w:rPr>
                <w:rFonts w:ascii="Verdana" w:eastAsia="Arial Narrow" w:hAnsi="Verdana" w:cs="Arial Narrow"/>
                <w:color w:val="201F1E"/>
                <w:sz w:val="18"/>
                <w:szCs w:val="18"/>
                <w:lang w:val="es"/>
              </w:rPr>
              <w:lastRenderedPageBreak/>
              <w:t>una gestión aceptada de fiscalización por valor de $7,59 billones logrando un cumplimiento de la meta para la vigencia equivalente al 129,8%</w:t>
            </w:r>
          </w:p>
          <w:p w14:paraId="55635B1C"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5FAB2247"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La gestión efectiva de fiscalización (tributaria, aduanera, cambiaria e internacional) alcanzó un monto de $14,98 billones (Esta gestión incluye los actos administrativos que aún están en discusión porque el procedimiento administrativo se encuentra en curso). El resultado se da producto de la gestión a las resoluciones proferidas en materia aduanera, a las investigaciones en Precios de Transferencia adelantadas, al seguimiento a la gestión tributaria y a la gestión de resoluciones proferidas en materia cambiaria.</w:t>
            </w:r>
          </w:p>
          <w:p w14:paraId="434EE738"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450918A0"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454 mil millones por decomiso de mercancías, cifra que se da producto del seguimiento al avance de los procesos de decomisos ordinarios que adelantan los grupos de Investigaciones Aduaneras para expedir en el menor tiempo posible las Resoluciones de decomiso, que repercuten en la contribución directa a la gestión. Por otro lado, se están adelantando controles documentales para realizar acciones de control posterior de alto impacto. Con esta cifra se logró un cumplimiento de 113,6% de la meta programada (400 mil millones).</w:t>
            </w:r>
          </w:p>
          <w:p w14:paraId="09027E55"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tc>
      </w:tr>
      <w:tr w:rsidR="00BA6664" w:rsidRPr="002A17E0" w14:paraId="7E93B36D" w14:textId="77777777" w:rsidTr="00B660B6">
        <w:trPr>
          <w:trHeight w:val="614"/>
        </w:trPr>
        <w:tc>
          <w:tcPr>
            <w:tcW w:w="1980" w:type="dxa"/>
            <w:vAlign w:val="center"/>
          </w:tcPr>
          <w:p w14:paraId="246384B5" w14:textId="12CFA79F" w:rsidR="00BA6664" w:rsidRPr="002A17E0" w:rsidRDefault="00BA6664"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lastRenderedPageBreak/>
              <w:t>Recuperación de cartera</w:t>
            </w:r>
          </w:p>
        </w:tc>
        <w:tc>
          <w:tcPr>
            <w:tcW w:w="2268" w:type="dxa"/>
            <w:vAlign w:val="center"/>
          </w:tcPr>
          <w:p w14:paraId="18E6EA86" w14:textId="59B48CA8" w:rsidR="00BA6664" w:rsidRPr="002A17E0" w:rsidRDefault="00671875"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6DBFD731" w14:textId="435E2892"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Cumplimiento del 105,6% del recaudo tributario por gestión de cartera equivalente a $34,8 billones.</w:t>
            </w:r>
          </w:p>
          <w:p w14:paraId="73AF5BB3"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295DC742"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Las 03 estrategias más importantes desarrolladas en la vigencia para el cumplimiento de esta meta corresponden a: Recaudo por Gestión Tributaria (Cobranzas, Persuasiva, Campañas, Acciones de Control) que aporta el 58,71% de la gestión, Sugerida IVA con una participación del 18,30% de la gestión y Perceptiva Renta AG 2022 aporta el 9,79%.</w:t>
            </w:r>
          </w:p>
          <w:p w14:paraId="0DB1F1BE"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tc>
      </w:tr>
      <w:tr w:rsidR="00BA6664" w:rsidRPr="002A17E0" w14:paraId="3D67E297" w14:textId="77777777" w:rsidTr="00B660B6">
        <w:trPr>
          <w:trHeight w:val="614"/>
        </w:trPr>
        <w:tc>
          <w:tcPr>
            <w:tcW w:w="1980" w:type="dxa"/>
            <w:vAlign w:val="center"/>
          </w:tcPr>
          <w:p w14:paraId="03575FA7" w14:textId="0E475085" w:rsidR="00BA6664" w:rsidRPr="002A17E0" w:rsidRDefault="00BA6664"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Gestión de Aduanas</w:t>
            </w:r>
          </w:p>
        </w:tc>
        <w:tc>
          <w:tcPr>
            <w:tcW w:w="2268" w:type="dxa"/>
            <w:vAlign w:val="center"/>
          </w:tcPr>
          <w:p w14:paraId="49FD314E" w14:textId="33F9939C" w:rsidR="00BA6664" w:rsidRPr="002A17E0" w:rsidRDefault="00EF1326" w:rsidP="00B660B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11595A8D"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Los mecanismos establecidos por la administración en materia de facilitación para propiciar el cumplimiento voluntario de las obligaciones aduaneras han reflejado resultados positivos frente a la contribución de los tributos </w:t>
            </w:r>
            <w:r w:rsidRPr="002A17E0">
              <w:rPr>
                <w:rFonts w:ascii="Verdana" w:eastAsia="Arial Narrow" w:hAnsi="Verdana" w:cs="Arial Narrow"/>
                <w:color w:val="201F1E"/>
                <w:sz w:val="18"/>
                <w:szCs w:val="18"/>
                <w:lang w:val="es"/>
              </w:rPr>
              <w:lastRenderedPageBreak/>
              <w:t>externos, la estrategia integral de cercanía al ciudadano ha representado que los usuarios del comercio exterior sientan una aduana que los acompaña en función de corregir y subsanar la liquidación de tributos aduaneros de manera correcta. El recaudo total de aduanas corresponde a $41.504.880 millones.</w:t>
            </w:r>
          </w:p>
          <w:p w14:paraId="2BF38534"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3849D549"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La participación de la Dirección de Gestión de Aduanas en el recaudo total con base en las importaciones se mantuvo en promedio en 15,5% lo que indica un cumplimiento de 96,7% de la meta programada para la vigencia.</w:t>
            </w:r>
          </w:p>
          <w:p w14:paraId="0388309C"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p w14:paraId="1ABD710B"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El recaudo por controles previos y simultáneos en las áreas de operación aduanera carga y pasajeros fue de $122.927 millones. Este resultado equivale a un cumplimiento del 144,3% frente a la meta programada.</w:t>
            </w:r>
          </w:p>
          <w:p w14:paraId="70A67874" w14:textId="77777777" w:rsidR="00BA6664" w:rsidRPr="002A17E0" w:rsidRDefault="00BA6664">
            <w:pPr>
              <w:spacing w:before="100" w:beforeAutospacing="1" w:after="100" w:afterAutospacing="1"/>
              <w:contextualSpacing/>
              <w:jc w:val="both"/>
              <w:rPr>
                <w:rFonts w:ascii="Verdana" w:eastAsia="Arial Narrow" w:hAnsi="Verdana" w:cs="Arial Narrow"/>
                <w:color w:val="201F1E"/>
                <w:sz w:val="18"/>
                <w:szCs w:val="18"/>
                <w:lang w:val="es"/>
              </w:rPr>
            </w:pPr>
          </w:p>
        </w:tc>
      </w:tr>
    </w:tbl>
    <w:p w14:paraId="73642663" w14:textId="728DE21B" w:rsidR="0068774C" w:rsidRDefault="0068774C" w:rsidP="007B6D6A">
      <w:pPr>
        <w:rPr>
          <w:rFonts w:ascii="Verdana" w:hAnsi="Verdana"/>
        </w:rPr>
      </w:pPr>
    </w:p>
    <w:p w14:paraId="48280D10" w14:textId="4389E95E" w:rsidR="00C739B8" w:rsidRDefault="00C739B8" w:rsidP="007B6D6A">
      <w:pPr>
        <w:rPr>
          <w:rFonts w:ascii="Verdana" w:hAnsi="Verdana"/>
        </w:rPr>
      </w:pPr>
    </w:p>
    <w:tbl>
      <w:tblPr>
        <w:tblStyle w:val="Tablaconcuadrcula"/>
        <w:tblW w:w="8828" w:type="dxa"/>
        <w:tblLook w:val="04A0" w:firstRow="1" w:lastRow="0" w:firstColumn="1" w:lastColumn="0" w:noHBand="0" w:noVBand="1"/>
      </w:tblPr>
      <w:tblGrid>
        <w:gridCol w:w="1965"/>
        <w:gridCol w:w="2043"/>
        <w:gridCol w:w="4820"/>
      </w:tblGrid>
      <w:tr w:rsidR="00C739B8" w:rsidRPr="002A17E0" w14:paraId="6DB67AB2" w14:textId="77777777" w:rsidTr="00A437C7">
        <w:trPr>
          <w:trHeight w:val="649"/>
          <w:tblHeader/>
        </w:trPr>
        <w:tc>
          <w:tcPr>
            <w:tcW w:w="1965" w:type="dxa"/>
            <w:shd w:val="clear" w:color="auto" w:fill="auto"/>
            <w:vAlign w:val="center"/>
          </w:tcPr>
          <w:p w14:paraId="2138B14D" w14:textId="77777777" w:rsidR="00C739B8" w:rsidRPr="002A17E0" w:rsidRDefault="00C739B8" w:rsidP="00A437C7">
            <w:pPr>
              <w:jc w:val="center"/>
              <w:rPr>
                <w:rFonts w:ascii="Verdana" w:hAnsi="Verdana" w:cs="Arial"/>
                <w:b/>
                <w:bCs/>
                <w:sz w:val="18"/>
                <w:szCs w:val="18"/>
              </w:rPr>
            </w:pPr>
            <w:r w:rsidRPr="002A17E0">
              <w:rPr>
                <w:rFonts w:ascii="Verdana" w:hAnsi="Verdana" w:cs="Arial"/>
                <w:b/>
                <w:bCs/>
                <w:sz w:val="18"/>
                <w:szCs w:val="18"/>
              </w:rPr>
              <w:t>CONCEPTO</w:t>
            </w:r>
          </w:p>
        </w:tc>
        <w:tc>
          <w:tcPr>
            <w:tcW w:w="2043" w:type="dxa"/>
            <w:shd w:val="clear" w:color="auto" w:fill="auto"/>
            <w:vAlign w:val="center"/>
          </w:tcPr>
          <w:p w14:paraId="16F6A580" w14:textId="77777777" w:rsidR="00C739B8" w:rsidRPr="002A17E0" w:rsidRDefault="00C739B8" w:rsidP="00A437C7">
            <w:pPr>
              <w:jc w:val="center"/>
              <w:rPr>
                <w:rFonts w:ascii="Verdana" w:hAnsi="Verdana" w:cs="Arial"/>
                <w:b/>
                <w:bCs/>
                <w:sz w:val="18"/>
                <w:szCs w:val="18"/>
              </w:rPr>
            </w:pPr>
            <w:r w:rsidRPr="002A17E0">
              <w:rPr>
                <w:rFonts w:ascii="Verdana" w:hAnsi="Verdana" w:cs="Arial"/>
                <w:b/>
                <w:bCs/>
                <w:sz w:val="18"/>
                <w:szCs w:val="18"/>
              </w:rPr>
              <w:t>PRINCIPALES RUBROS PRESUPUESTALES</w:t>
            </w:r>
          </w:p>
        </w:tc>
        <w:tc>
          <w:tcPr>
            <w:tcW w:w="4820" w:type="dxa"/>
            <w:shd w:val="clear" w:color="auto" w:fill="auto"/>
            <w:vAlign w:val="center"/>
          </w:tcPr>
          <w:p w14:paraId="0F37E0C4" w14:textId="77777777" w:rsidR="00C739B8" w:rsidRPr="002A17E0" w:rsidRDefault="00C739B8" w:rsidP="00A437C7">
            <w:pPr>
              <w:jc w:val="center"/>
              <w:rPr>
                <w:rFonts w:ascii="Verdana" w:hAnsi="Verdana" w:cs="Arial"/>
                <w:b/>
                <w:bCs/>
                <w:sz w:val="18"/>
                <w:szCs w:val="18"/>
              </w:rPr>
            </w:pPr>
            <w:r w:rsidRPr="002A17E0">
              <w:rPr>
                <w:rFonts w:ascii="Verdana" w:hAnsi="Verdana" w:cs="Arial"/>
                <w:b/>
                <w:bCs/>
                <w:sz w:val="18"/>
                <w:szCs w:val="18"/>
              </w:rPr>
              <w:t>RESULTADO MISIONAL</w:t>
            </w:r>
          </w:p>
        </w:tc>
      </w:tr>
      <w:tr w:rsidR="00C739B8" w:rsidRPr="002A17E0" w14:paraId="39FF4FDE" w14:textId="77777777" w:rsidTr="00A437C7">
        <w:trPr>
          <w:trHeight w:val="300"/>
        </w:trPr>
        <w:tc>
          <w:tcPr>
            <w:tcW w:w="8828" w:type="dxa"/>
            <w:gridSpan w:val="3"/>
            <w:vAlign w:val="center"/>
          </w:tcPr>
          <w:p w14:paraId="0C8DE10C" w14:textId="77777777" w:rsidR="00C739B8" w:rsidRPr="002A17E0" w:rsidRDefault="00C739B8" w:rsidP="00A437C7">
            <w:pPr>
              <w:spacing w:beforeAutospacing="1" w:afterAutospacing="1"/>
              <w:contextualSpacing/>
              <w:jc w:val="center"/>
              <w:rPr>
                <w:rFonts w:ascii="Verdana" w:hAnsi="Verdana" w:cs="Arial"/>
                <w:b/>
                <w:bCs/>
                <w:sz w:val="18"/>
                <w:szCs w:val="18"/>
              </w:rPr>
            </w:pPr>
            <w:r w:rsidRPr="002A17E0">
              <w:rPr>
                <w:rFonts w:ascii="Verdana" w:hAnsi="Verdana" w:cs="Arial"/>
                <w:b/>
                <w:bCs/>
                <w:sz w:val="18"/>
                <w:szCs w:val="18"/>
              </w:rPr>
              <w:t>INVERSIÓN</w:t>
            </w:r>
          </w:p>
        </w:tc>
      </w:tr>
      <w:tr w:rsidR="00C739B8" w:rsidRPr="002A17E0" w14:paraId="0A33C76F" w14:textId="77777777" w:rsidTr="00A437C7">
        <w:trPr>
          <w:trHeight w:val="614"/>
        </w:trPr>
        <w:tc>
          <w:tcPr>
            <w:tcW w:w="1965" w:type="dxa"/>
            <w:vMerge w:val="restart"/>
            <w:vAlign w:val="center"/>
          </w:tcPr>
          <w:p w14:paraId="12A7CE91"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PROGRAMA PRESUPUESTAL 1305 FORTALECIMIENTO DEL RECAUDO Y TRIBUTACIÓN</w:t>
            </w:r>
          </w:p>
        </w:tc>
        <w:tc>
          <w:tcPr>
            <w:tcW w:w="2043" w:type="dxa"/>
            <w:vAlign w:val="center"/>
          </w:tcPr>
          <w:p w14:paraId="4AAC5F20"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ES"/>
              </w:rPr>
              <w:t>IMPLEMENTACIÓN IMPULSO Y MASIFICACIÓN DE LA FACTURA ELECTRÓNICA EN COLOMBIA</w:t>
            </w:r>
          </w:p>
        </w:tc>
        <w:tc>
          <w:tcPr>
            <w:tcW w:w="4820" w:type="dxa"/>
          </w:tcPr>
          <w:p w14:paraId="51CA2F48"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El proyecto tiene como objetivo mejorar las herramientas y mecanismos utilizados para el control fiscal.</w:t>
            </w:r>
          </w:p>
          <w:p w14:paraId="5484C322"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p>
          <w:p w14:paraId="043ED15D"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Durante 2023 se logró la actualización del sistema de información y la habilitación de 187.242 sujetos como facturadores electrónicos.</w:t>
            </w:r>
          </w:p>
          <w:p w14:paraId="78F2805F" w14:textId="77777777" w:rsidR="00C739B8" w:rsidRPr="00C739B8" w:rsidRDefault="00C739B8" w:rsidP="00A437C7">
            <w:pPr>
              <w:spacing w:beforeAutospacing="1" w:afterAutospacing="1"/>
              <w:contextualSpacing/>
              <w:jc w:val="both"/>
              <w:rPr>
                <w:rFonts w:ascii="Verdana" w:eastAsia="Arial Narrow" w:hAnsi="Verdana" w:cs="Arial Narrow"/>
                <w:color w:val="201F1E"/>
                <w:sz w:val="18"/>
                <w:szCs w:val="18"/>
                <w:lang w:val="es"/>
              </w:rPr>
            </w:pPr>
            <w:r w:rsidRPr="00C739B8">
              <w:rPr>
                <w:rStyle w:val="normaltextrun"/>
                <w:rFonts w:ascii="Verdana" w:hAnsi="Verdana" w:cs="Calibri"/>
                <w:color w:val="000000"/>
                <w:sz w:val="18"/>
                <w:szCs w:val="18"/>
                <w:bdr w:val="none" w:sz="0" w:space="0" w:color="auto" w:frame="1"/>
              </w:rPr>
              <w:t>De otra parte, se habilitó una solución informática para la facturación electrónica y se elaboraron los documentos normativos respectivos.</w:t>
            </w:r>
          </w:p>
        </w:tc>
      </w:tr>
      <w:tr w:rsidR="00C739B8" w:rsidRPr="002A17E0" w14:paraId="6B44A26C" w14:textId="77777777" w:rsidTr="00A437C7">
        <w:trPr>
          <w:trHeight w:val="614"/>
        </w:trPr>
        <w:tc>
          <w:tcPr>
            <w:tcW w:w="1965" w:type="dxa"/>
            <w:vMerge/>
            <w:vAlign w:val="center"/>
          </w:tcPr>
          <w:p w14:paraId="7F7697CE"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p>
        </w:tc>
        <w:tc>
          <w:tcPr>
            <w:tcW w:w="2043" w:type="dxa"/>
            <w:vAlign w:val="center"/>
          </w:tcPr>
          <w:p w14:paraId="03AAB9AB"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ES"/>
              </w:rPr>
            </w:pPr>
            <w:r w:rsidRPr="00C739B8">
              <w:rPr>
                <w:rFonts w:ascii="Verdana" w:eastAsia="Arial Narrow" w:hAnsi="Verdana" w:cs="Arial Narrow"/>
                <w:color w:val="201F1E"/>
                <w:sz w:val="18"/>
                <w:szCs w:val="18"/>
                <w:lang w:val="es-ES"/>
              </w:rPr>
              <w:t>IMPLANTACIÓN PLAN ANUAL ANTIEVASION  NACIONAL</w:t>
            </w:r>
          </w:p>
        </w:tc>
        <w:tc>
          <w:tcPr>
            <w:tcW w:w="4820" w:type="dxa"/>
          </w:tcPr>
          <w:p w14:paraId="47A1841A"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El proyecto busca fortalecer la capacidad operativa, que permita la disminución de los niveles de evasión, elusión y contrabando existentes en el país.</w:t>
            </w:r>
          </w:p>
          <w:p w14:paraId="1A55AF04"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p>
          <w:p w14:paraId="6427F090" w14:textId="77777777" w:rsidR="00C739B8" w:rsidRPr="00C739B8" w:rsidRDefault="00C739B8" w:rsidP="00A437C7">
            <w:pPr>
              <w:spacing w:beforeAutospacing="1" w:afterAutospacing="1"/>
              <w:contextualSpacing/>
              <w:jc w:val="both"/>
              <w:rPr>
                <w:rFonts w:ascii="Verdana" w:eastAsia="Arial Narrow" w:hAnsi="Verdana" w:cs="Arial Narrow"/>
                <w:color w:val="201F1E"/>
                <w:sz w:val="18"/>
                <w:szCs w:val="18"/>
                <w:lang w:val="es"/>
              </w:rPr>
            </w:pPr>
            <w:r w:rsidRPr="00C739B8">
              <w:rPr>
                <w:rStyle w:val="normaltextrun"/>
                <w:rFonts w:ascii="Verdana" w:hAnsi="Verdana" w:cs="Calibri"/>
                <w:color w:val="000000"/>
                <w:sz w:val="18"/>
                <w:szCs w:val="18"/>
                <w:bdr w:val="none" w:sz="0" w:space="0" w:color="auto" w:frame="1"/>
              </w:rPr>
              <w:t>Durante 2023 se logró la realización de 54 controles tributarios, aduaneros y cambiarios, 119 procesos de verificación de mercancía y 95 procesos de aprehensión. Adicionalmente, se ejecutaron 21 diligencias de registro.</w:t>
            </w:r>
          </w:p>
        </w:tc>
      </w:tr>
      <w:tr w:rsidR="00C739B8" w:rsidRPr="002A17E0" w14:paraId="128BAA1A" w14:textId="77777777" w:rsidTr="00A437C7">
        <w:trPr>
          <w:trHeight w:val="614"/>
        </w:trPr>
        <w:tc>
          <w:tcPr>
            <w:tcW w:w="1965" w:type="dxa"/>
            <w:vMerge/>
            <w:vAlign w:val="center"/>
          </w:tcPr>
          <w:p w14:paraId="4317E878"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p>
        </w:tc>
        <w:tc>
          <w:tcPr>
            <w:tcW w:w="2043" w:type="dxa"/>
            <w:vAlign w:val="center"/>
          </w:tcPr>
          <w:p w14:paraId="073E1857"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FORTALECIMIENTO Y DOTACION DEL LABORATORIO NACIONAL DE ADUANAS</w:t>
            </w:r>
          </w:p>
        </w:tc>
        <w:tc>
          <w:tcPr>
            <w:tcW w:w="4820" w:type="dxa"/>
          </w:tcPr>
          <w:p w14:paraId="743885CA"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El proyecto tiene como objetivo mejorar la oportunidad en la atención de las solicitudes de análisis físico químico de mercancías para control aduanero.</w:t>
            </w:r>
          </w:p>
          <w:p w14:paraId="37717B76"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p>
          <w:p w14:paraId="179A390F"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Durante 2023 se logró m</w:t>
            </w:r>
            <w:r w:rsidRPr="00C739B8">
              <w:rPr>
                <w:rStyle w:val="normaltextrun"/>
                <w:rFonts w:ascii="Verdana" w:hAnsi="Verdana" w:cs="Calibri"/>
                <w:color w:val="000000"/>
                <w:sz w:val="18"/>
                <w:szCs w:val="18"/>
                <w:shd w:val="clear" w:color="auto" w:fill="FFFFFF"/>
              </w:rPr>
              <w:t xml:space="preserve">ejorar el servicio de análisis físico químico de las mercancías, fortalecer la capacidad técnica en la atención a los requerimientos, </w:t>
            </w:r>
            <w:r w:rsidRPr="00C739B8">
              <w:rPr>
                <w:rStyle w:val="eop"/>
                <w:rFonts w:ascii="Verdana" w:hAnsi="Verdana"/>
                <w:sz w:val="18"/>
                <w:szCs w:val="18"/>
              </w:rPr>
              <w:t xml:space="preserve">así como mejorar </w:t>
            </w:r>
            <w:r w:rsidRPr="00C739B8">
              <w:rPr>
                <w:rStyle w:val="normaltextrun"/>
                <w:rFonts w:ascii="Verdana" w:hAnsi="Verdana" w:cs="Calibri"/>
                <w:color w:val="000000"/>
                <w:sz w:val="18"/>
                <w:szCs w:val="18"/>
                <w:shd w:val="clear" w:color="auto" w:fill="FFFFFF"/>
              </w:rPr>
              <w:t>la trazabilidad de los procedimientos técnicos al interior del laboratorio.</w:t>
            </w:r>
          </w:p>
        </w:tc>
      </w:tr>
      <w:tr w:rsidR="00C739B8" w:rsidRPr="002A17E0" w14:paraId="7F61C2DE" w14:textId="77777777" w:rsidTr="00A437C7">
        <w:trPr>
          <w:trHeight w:val="614"/>
        </w:trPr>
        <w:tc>
          <w:tcPr>
            <w:tcW w:w="1965" w:type="dxa"/>
            <w:vMerge/>
            <w:vAlign w:val="center"/>
          </w:tcPr>
          <w:p w14:paraId="13095D06"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p>
        </w:tc>
        <w:tc>
          <w:tcPr>
            <w:tcW w:w="2043" w:type="dxa"/>
            <w:vAlign w:val="center"/>
          </w:tcPr>
          <w:p w14:paraId="69425DC8"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FORTALECIMIENTO DE CAPACIDADES EN TECNOLOGÍAS DE LA INFORMACIÓN EN LA DIAN</w:t>
            </w:r>
          </w:p>
        </w:tc>
        <w:tc>
          <w:tcPr>
            <w:tcW w:w="4820" w:type="dxa"/>
          </w:tcPr>
          <w:p w14:paraId="3214C11C"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El proyecto tiene como objetivo optimizar la gestión de la información a nivel institucional.</w:t>
            </w:r>
          </w:p>
          <w:p w14:paraId="614127E3"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p>
          <w:p w14:paraId="1BA40BB4"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Durante 2023 se logró la actualización de 6 sistemas de información y se obtuvo un Índice de Prestación de los Servicios Tecnológicos de  95%.</w:t>
            </w:r>
          </w:p>
        </w:tc>
      </w:tr>
      <w:tr w:rsidR="00C739B8" w:rsidRPr="002A17E0" w14:paraId="3A2F6AEB" w14:textId="77777777" w:rsidTr="00A437C7">
        <w:trPr>
          <w:trHeight w:val="614"/>
        </w:trPr>
        <w:tc>
          <w:tcPr>
            <w:tcW w:w="1965" w:type="dxa"/>
            <w:vMerge w:val="restart"/>
            <w:vAlign w:val="center"/>
          </w:tcPr>
          <w:p w14:paraId="647DAD9E"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PROGRAMA PRESUPUESTAL 1399 FORTALECIMIENTO DE LA GESTIÓN Y DIRECCIÓN DEL SECTOR HACIENDA</w:t>
            </w:r>
          </w:p>
          <w:p w14:paraId="447A60B0" w14:textId="77777777" w:rsidR="00C739B8" w:rsidRPr="00C739B8" w:rsidRDefault="00C739B8" w:rsidP="00A437C7">
            <w:pPr>
              <w:spacing w:beforeAutospacing="1" w:afterAutospacing="1"/>
              <w:contextualSpacing/>
              <w:jc w:val="center"/>
              <w:rPr>
                <w:rFonts w:ascii="Verdana" w:eastAsia="Arial Narrow" w:hAnsi="Verdana" w:cs="Arial Narrow"/>
                <w:color w:val="201F1E"/>
                <w:sz w:val="18"/>
                <w:szCs w:val="18"/>
                <w:lang w:val="es"/>
              </w:rPr>
            </w:pPr>
          </w:p>
        </w:tc>
        <w:tc>
          <w:tcPr>
            <w:tcW w:w="2043" w:type="dxa"/>
            <w:vAlign w:val="center"/>
          </w:tcPr>
          <w:p w14:paraId="25DC150F" w14:textId="77777777" w:rsidR="00C739B8" w:rsidRPr="00C739B8" w:rsidRDefault="00C739B8" w:rsidP="00A437C7">
            <w:pPr>
              <w:spacing w:beforeAutospacing="1" w:after="160" w:afterAutospacing="1" w:line="259" w:lineRule="auto"/>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MANTENIMIENTO Y ADECUACIÓN DE LA INFRAESTRUCTURA FÍSICA DE LA DIRECCIÓN DE IMPUESTOS Y ADUANAS NACIONALES A NIVEL NACIONAL</w:t>
            </w:r>
          </w:p>
        </w:tc>
        <w:tc>
          <w:tcPr>
            <w:tcW w:w="4820" w:type="dxa"/>
          </w:tcPr>
          <w:p w14:paraId="0720A11E"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 xml:space="preserve">El proyecto tiene como objetivo optimizar el estado de la </w:t>
            </w:r>
            <w:r w:rsidRPr="00C739B8">
              <w:rPr>
                <w:rStyle w:val="normaltextrun"/>
                <w:rFonts w:ascii="Verdana" w:hAnsi="Verdana"/>
                <w:sz w:val="18"/>
                <w:szCs w:val="18"/>
                <w:bdr w:val="none" w:sz="0" w:space="0" w:color="auto" w:frame="1"/>
              </w:rPr>
              <w:t>infraest</w:t>
            </w:r>
            <w:r w:rsidRPr="00C739B8">
              <w:rPr>
                <w:rStyle w:val="normaltextrun"/>
                <w:rFonts w:ascii="Verdana" w:hAnsi="Verdana" w:cs="Calibri"/>
                <w:color w:val="000000"/>
                <w:sz w:val="18"/>
                <w:szCs w:val="18"/>
                <w:bdr w:val="none" w:sz="0" w:space="0" w:color="auto" w:frame="1"/>
              </w:rPr>
              <w:t>ructura física de la entidad.</w:t>
            </w:r>
          </w:p>
          <w:p w14:paraId="09D1A603"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p>
          <w:p w14:paraId="4ADA77B6" w14:textId="77777777" w:rsidR="00C739B8" w:rsidRPr="00C739B8" w:rsidRDefault="00C739B8" w:rsidP="00A437C7">
            <w:pPr>
              <w:spacing w:beforeAutospacing="1" w:afterAutospacing="1"/>
              <w:contextualSpacing/>
              <w:jc w:val="both"/>
              <w:rPr>
                <w:rStyle w:val="normaltextrun"/>
                <w:rFonts w:ascii="Verdana" w:hAnsi="Verdana" w:cs="Calibri"/>
                <w:color w:val="000000"/>
                <w:sz w:val="18"/>
                <w:szCs w:val="18"/>
                <w:bdr w:val="none" w:sz="0" w:space="0" w:color="auto" w:frame="1"/>
              </w:rPr>
            </w:pPr>
            <w:r w:rsidRPr="00C739B8">
              <w:rPr>
                <w:rStyle w:val="normaltextrun"/>
                <w:rFonts w:ascii="Verdana" w:hAnsi="Verdana" w:cs="Calibri"/>
                <w:color w:val="000000"/>
                <w:sz w:val="18"/>
                <w:szCs w:val="18"/>
                <w:bdr w:val="none" w:sz="0" w:space="0" w:color="auto" w:frame="1"/>
              </w:rPr>
              <w:t>Durante 2023 se avanzó en la mejora a las condiciones de la infraestructura física de 12 sedes de la DIAN a nivel nacional.</w:t>
            </w:r>
          </w:p>
        </w:tc>
      </w:tr>
      <w:tr w:rsidR="00C739B8" w:rsidRPr="002A17E0" w14:paraId="39E6DB12" w14:textId="77777777" w:rsidTr="00A437C7">
        <w:trPr>
          <w:trHeight w:val="614"/>
        </w:trPr>
        <w:tc>
          <w:tcPr>
            <w:tcW w:w="1965" w:type="dxa"/>
            <w:vMerge/>
            <w:vAlign w:val="center"/>
          </w:tcPr>
          <w:p w14:paraId="48257F21" w14:textId="77777777" w:rsidR="00C739B8" w:rsidRPr="00C739B8" w:rsidRDefault="00C739B8" w:rsidP="00A437C7">
            <w:pPr>
              <w:spacing w:beforeAutospacing="1" w:after="160" w:afterAutospacing="1" w:line="259" w:lineRule="auto"/>
              <w:contextualSpacing/>
              <w:jc w:val="center"/>
              <w:rPr>
                <w:rFonts w:ascii="Verdana" w:eastAsia="Arial Narrow" w:hAnsi="Verdana" w:cs="Arial Narrow"/>
                <w:color w:val="201F1E"/>
                <w:sz w:val="18"/>
                <w:szCs w:val="18"/>
                <w:lang w:val="es"/>
              </w:rPr>
            </w:pPr>
          </w:p>
        </w:tc>
        <w:tc>
          <w:tcPr>
            <w:tcW w:w="2043" w:type="dxa"/>
            <w:vAlign w:val="center"/>
          </w:tcPr>
          <w:p w14:paraId="618AF2F2" w14:textId="77777777" w:rsidR="00C739B8" w:rsidRPr="00C739B8" w:rsidRDefault="00C739B8" w:rsidP="00A437C7">
            <w:pPr>
              <w:spacing w:beforeAutospacing="1" w:after="160" w:afterAutospacing="1" w:line="259" w:lineRule="auto"/>
              <w:contextualSpacing/>
              <w:jc w:val="center"/>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ADQUISICIÓN DE INMUEBLE (S) PARA LA AMPLIACIÓN DE LA SEDE DE LA DIRECCIÓN SECCIONAL DE IMPUESTOS Y ADUANAS DE LA U.A.E DIAN EN LA CIUDAD DE VALLEDUPAR</w:t>
            </w:r>
          </w:p>
        </w:tc>
        <w:tc>
          <w:tcPr>
            <w:tcW w:w="4820" w:type="dxa"/>
          </w:tcPr>
          <w:p w14:paraId="2A972594" w14:textId="77777777" w:rsidR="00C739B8" w:rsidRPr="00C739B8" w:rsidRDefault="00C739B8" w:rsidP="00A437C7">
            <w:pPr>
              <w:spacing w:beforeAutospacing="1" w:after="160" w:afterAutospacing="1" w:line="259" w:lineRule="auto"/>
              <w:contextualSpacing/>
              <w:jc w:val="both"/>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El proyecto busca adquirir infraestructura física para la ampliación de la Dirección Seccional en la ciudad de Valledupar.</w:t>
            </w:r>
          </w:p>
          <w:p w14:paraId="03895551" w14:textId="77777777" w:rsidR="00C739B8" w:rsidRPr="00C739B8" w:rsidRDefault="00C739B8" w:rsidP="00A437C7">
            <w:pPr>
              <w:spacing w:beforeAutospacing="1" w:after="160" w:afterAutospacing="1" w:line="259" w:lineRule="auto"/>
              <w:contextualSpacing/>
              <w:jc w:val="both"/>
              <w:rPr>
                <w:rFonts w:ascii="Verdana" w:eastAsia="Arial Narrow" w:hAnsi="Verdana" w:cs="Arial Narrow"/>
                <w:color w:val="201F1E"/>
                <w:sz w:val="18"/>
                <w:szCs w:val="18"/>
                <w:lang w:val="es"/>
              </w:rPr>
            </w:pPr>
          </w:p>
          <w:p w14:paraId="469AC0E5" w14:textId="77777777" w:rsidR="00C739B8" w:rsidRPr="00C739B8" w:rsidRDefault="00C739B8" w:rsidP="00A437C7">
            <w:pPr>
              <w:spacing w:beforeAutospacing="1" w:after="160" w:afterAutospacing="1" w:line="259" w:lineRule="auto"/>
              <w:contextualSpacing/>
              <w:jc w:val="both"/>
              <w:rPr>
                <w:rFonts w:ascii="Verdana" w:eastAsia="Arial Narrow" w:hAnsi="Verdana" w:cs="Arial Narrow"/>
                <w:color w:val="201F1E"/>
                <w:sz w:val="18"/>
                <w:szCs w:val="18"/>
                <w:lang w:val="es"/>
              </w:rPr>
            </w:pPr>
            <w:r w:rsidRPr="00C739B8">
              <w:rPr>
                <w:rFonts w:ascii="Verdana" w:eastAsia="Arial Narrow" w:hAnsi="Verdana" w:cs="Arial Narrow"/>
                <w:color w:val="201F1E"/>
                <w:sz w:val="18"/>
                <w:szCs w:val="18"/>
                <w:lang w:val="es"/>
              </w:rPr>
              <w:t>Durante 2023 se logró el objetivo y se cuenta con una sede ampliada que permitió proveer los espacios de trabajo adecuados para 314 colaboradores (85 nuevos y 228 que ya se encontraban vinculado a la entidad).</w:t>
            </w:r>
          </w:p>
        </w:tc>
      </w:tr>
    </w:tbl>
    <w:p w14:paraId="1CCA8ABA" w14:textId="77777777" w:rsidR="00C739B8" w:rsidRPr="002A17E0" w:rsidRDefault="00C739B8" w:rsidP="007B6D6A">
      <w:pPr>
        <w:rPr>
          <w:rFonts w:ascii="Verdana" w:hAnsi="Verdana"/>
        </w:rPr>
      </w:pPr>
    </w:p>
    <w:p w14:paraId="6CD825DF" w14:textId="77777777" w:rsidR="00C739B8" w:rsidRDefault="00C739B8" w:rsidP="00C739B8">
      <w:pPr>
        <w:rPr>
          <w:rFonts w:ascii="Verdana" w:hAnsi="Verdana"/>
          <w:b/>
          <w:bCs/>
          <w:u w:val="single"/>
        </w:rPr>
      </w:pPr>
    </w:p>
    <w:p w14:paraId="020DE4D7" w14:textId="77777777" w:rsidR="00C739B8" w:rsidRDefault="00C739B8" w:rsidP="00C739B8">
      <w:pPr>
        <w:rPr>
          <w:rFonts w:ascii="Verdana" w:hAnsi="Verdana"/>
          <w:b/>
          <w:bCs/>
          <w:u w:val="single"/>
        </w:rPr>
      </w:pPr>
    </w:p>
    <w:p w14:paraId="1D5C4248" w14:textId="77777777" w:rsidR="00C739B8" w:rsidRDefault="00C739B8" w:rsidP="00C739B8">
      <w:pPr>
        <w:rPr>
          <w:rFonts w:ascii="Verdana" w:hAnsi="Verdana"/>
          <w:b/>
          <w:bCs/>
          <w:u w:val="single"/>
        </w:rPr>
      </w:pPr>
    </w:p>
    <w:p w14:paraId="0AB69318" w14:textId="6A10B0D1" w:rsidR="0052318A" w:rsidRPr="00C739B8" w:rsidRDefault="00C739B8" w:rsidP="00C739B8">
      <w:pPr>
        <w:rPr>
          <w:rFonts w:ascii="Verdana" w:hAnsi="Verdana"/>
          <w:b/>
          <w:bCs/>
          <w:u w:val="single"/>
        </w:rPr>
      </w:pPr>
      <w:r>
        <w:rPr>
          <w:rFonts w:ascii="Verdana" w:hAnsi="Verdana"/>
          <w:b/>
          <w:bCs/>
          <w:u w:val="single"/>
        </w:rPr>
        <w:t>AÑO 2024</w:t>
      </w:r>
    </w:p>
    <w:tbl>
      <w:tblPr>
        <w:tblStyle w:val="Tablaconcuadrcula"/>
        <w:tblpPr w:leftFromText="141" w:rightFromText="141" w:vertAnchor="text" w:horzAnchor="margin" w:tblpY="1510"/>
        <w:tblW w:w="0" w:type="auto"/>
        <w:tblLayout w:type="fixed"/>
        <w:tblLook w:val="04A0" w:firstRow="1" w:lastRow="0" w:firstColumn="1" w:lastColumn="0" w:noHBand="0" w:noVBand="1"/>
      </w:tblPr>
      <w:tblGrid>
        <w:gridCol w:w="1980"/>
        <w:gridCol w:w="2268"/>
        <w:gridCol w:w="4580"/>
      </w:tblGrid>
      <w:tr w:rsidR="0052318A" w:rsidRPr="002A17E0" w14:paraId="66351A13" w14:textId="77777777">
        <w:trPr>
          <w:trHeight w:val="649"/>
          <w:tblHeader/>
        </w:trPr>
        <w:tc>
          <w:tcPr>
            <w:tcW w:w="1980" w:type="dxa"/>
            <w:shd w:val="clear" w:color="auto" w:fill="auto"/>
            <w:vAlign w:val="center"/>
          </w:tcPr>
          <w:p w14:paraId="7B100C47" w14:textId="77777777" w:rsidR="0052318A" w:rsidRPr="002A17E0" w:rsidRDefault="0052318A">
            <w:pPr>
              <w:jc w:val="center"/>
              <w:textAlignment w:val="center"/>
              <w:rPr>
                <w:rFonts w:ascii="Verdana" w:hAnsi="Verdana" w:cs="Arial"/>
                <w:b/>
                <w:bCs/>
                <w:kern w:val="24"/>
                <w:sz w:val="18"/>
                <w:szCs w:val="18"/>
              </w:rPr>
            </w:pPr>
            <w:r w:rsidRPr="002A17E0">
              <w:rPr>
                <w:rFonts w:ascii="Verdana" w:hAnsi="Verdana" w:cs="Arial"/>
                <w:b/>
                <w:bCs/>
                <w:kern w:val="24"/>
                <w:sz w:val="18"/>
                <w:szCs w:val="18"/>
              </w:rPr>
              <w:t>CONCEPTO</w:t>
            </w:r>
          </w:p>
        </w:tc>
        <w:tc>
          <w:tcPr>
            <w:tcW w:w="2268" w:type="dxa"/>
            <w:shd w:val="clear" w:color="auto" w:fill="auto"/>
            <w:vAlign w:val="center"/>
          </w:tcPr>
          <w:p w14:paraId="31B3ED6A" w14:textId="77777777" w:rsidR="0052318A" w:rsidRPr="002A17E0" w:rsidRDefault="0052318A">
            <w:pPr>
              <w:jc w:val="center"/>
              <w:textAlignment w:val="center"/>
              <w:rPr>
                <w:rFonts w:ascii="Verdana" w:hAnsi="Verdana" w:cs="Arial"/>
                <w:b/>
                <w:bCs/>
                <w:kern w:val="24"/>
                <w:sz w:val="18"/>
                <w:szCs w:val="18"/>
              </w:rPr>
            </w:pPr>
            <w:r w:rsidRPr="002A17E0">
              <w:rPr>
                <w:rFonts w:ascii="Verdana" w:hAnsi="Verdana" w:cs="Arial"/>
                <w:b/>
                <w:bCs/>
                <w:kern w:val="24"/>
                <w:sz w:val="18"/>
                <w:szCs w:val="18"/>
              </w:rPr>
              <w:t>PRINCIPALES RUBROS PRESUPUESTALES</w:t>
            </w:r>
          </w:p>
        </w:tc>
        <w:tc>
          <w:tcPr>
            <w:tcW w:w="4580" w:type="dxa"/>
            <w:shd w:val="clear" w:color="auto" w:fill="auto"/>
            <w:vAlign w:val="center"/>
          </w:tcPr>
          <w:p w14:paraId="5EA7CB74" w14:textId="77777777" w:rsidR="0052318A" w:rsidRPr="002A17E0" w:rsidRDefault="0052318A">
            <w:pPr>
              <w:jc w:val="center"/>
              <w:textAlignment w:val="center"/>
              <w:rPr>
                <w:rFonts w:ascii="Verdana" w:hAnsi="Verdana" w:cs="Arial"/>
                <w:b/>
                <w:bCs/>
                <w:kern w:val="24"/>
                <w:sz w:val="18"/>
                <w:szCs w:val="18"/>
              </w:rPr>
            </w:pPr>
            <w:r w:rsidRPr="002A17E0">
              <w:rPr>
                <w:rFonts w:ascii="Verdana" w:hAnsi="Verdana" w:cs="Arial"/>
                <w:b/>
                <w:bCs/>
                <w:kern w:val="24"/>
                <w:sz w:val="18"/>
                <w:szCs w:val="18"/>
              </w:rPr>
              <w:t>RESULTADO MISIONAL</w:t>
            </w:r>
          </w:p>
        </w:tc>
      </w:tr>
      <w:tr w:rsidR="0052318A" w:rsidRPr="002A17E0" w14:paraId="1F239393" w14:textId="77777777">
        <w:trPr>
          <w:tblHeader/>
        </w:trPr>
        <w:tc>
          <w:tcPr>
            <w:tcW w:w="8828" w:type="dxa"/>
            <w:gridSpan w:val="3"/>
            <w:vAlign w:val="center"/>
          </w:tcPr>
          <w:p w14:paraId="1E362B30" w14:textId="77777777" w:rsidR="0052318A" w:rsidRPr="002A17E0" w:rsidRDefault="0052318A">
            <w:pPr>
              <w:spacing w:before="100" w:beforeAutospacing="1" w:after="100" w:afterAutospacing="1"/>
              <w:contextualSpacing/>
              <w:jc w:val="center"/>
              <w:rPr>
                <w:rFonts w:ascii="Verdana" w:hAnsi="Verdana" w:cs="Arial"/>
                <w:b/>
                <w:sz w:val="18"/>
                <w:szCs w:val="18"/>
              </w:rPr>
            </w:pPr>
            <w:r w:rsidRPr="002A17E0">
              <w:rPr>
                <w:rFonts w:ascii="Verdana" w:hAnsi="Verdana" w:cs="Arial"/>
                <w:b/>
                <w:bCs/>
                <w:sz w:val="18"/>
                <w:szCs w:val="18"/>
              </w:rPr>
              <w:t>FUNCIONAMIENTO</w:t>
            </w:r>
          </w:p>
        </w:tc>
      </w:tr>
      <w:tr w:rsidR="0052318A" w:rsidRPr="002A17E0" w14:paraId="0F02DB98" w14:textId="77777777" w:rsidTr="00DB0036">
        <w:trPr>
          <w:trHeight w:val="1936"/>
        </w:trPr>
        <w:tc>
          <w:tcPr>
            <w:tcW w:w="1980" w:type="dxa"/>
            <w:vAlign w:val="center"/>
          </w:tcPr>
          <w:p w14:paraId="32E13EA7"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Recaudo bruto</w:t>
            </w:r>
          </w:p>
        </w:tc>
        <w:tc>
          <w:tcPr>
            <w:tcW w:w="2268" w:type="dxa"/>
            <w:vAlign w:val="center"/>
          </w:tcPr>
          <w:p w14:paraId="062D54C1"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3D01F438" w14:textId="364229B4" w:rsidR="0052318A" w:rsidRPr="002A17E0" w:rsidRDefault="00DB0036">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Según información consolidada por la coordinación de control a entidades recaudatorias de la Subdirección de Recaudo, </w:t>
            </w:r>
            <w:r w:rsidR="00E606FA" w:rsidRPr="002A17E0">
              <w:rPr>
                <w:rFonts w:ascii="Verdana" w:eastAsia="Arial Narrow" w:hAnsi="Verdana" w:cs="Arial Narrow"/>
                <w:color w:val="201F1E"/>
                <w:sz w:val="18"/>
                <w:szCs w:val="18"/>
                <w:lang w:val="es"/>
              </w:rPr>
              <w:t xml:space="preserve">con corte a julio de 2024 se </w:t>
            </w:r>
            <w:r w:rsidR="002B5420" w:rsidRPr="002A17E0">
              <w:rPr>
                <w:rFonts w:ascii="Verdana" w:eastAsia="Arial Narrow" w:hAnsi="Verdana" w:cs="Arial Narrow"/>
                <w:color w:val="201F1E"/>
                <w:sz w:val="18"/>
                <w:szCs w:val="18"/>
                <w:lang w:val="es"/>
              </w:rPr>
              <w:t>obtuvo un</w:t>
            </w:r>
            <w:r w:rsidR="00E606FA" w:rsidRPr="002A17E0">
              <w:rPr>
                <w:rFonts w:ascii="Verdana" w:eastAsia="Arial Narrow" w:hAnsi="Verdana" w:cs="Arial Narrow"/>
                <w:color w:val="201F1E"/>
                <w:sz w:val="18"/>
                <w:szCs w:val="18"/>
                <w:lang w:val="es"/>
              </w:rPr>
              <w:t xml:space="preserve"> recaudo bruto por valor de $</w:t>
            </w:r>
            <w:r w:rsidR="000A1CB6" w:rsidRPr="002A17E0">
              <w:rPr>
                <w:rFonts w:ascii="Verdana" w:eastAsia="Arial Narrow" w:hAnsi="Verdana" w:cs="Arial Narrow"/>
                <w:color w:val="201F1E"/>
                <w:sz w:val="18"/>
                <w:szCs w:val="18"/>
                <w:lang w:val="es"/>
              </w:rPr>
              <w:t xml:space="preserve">162,5 billones de pesos </w:t>
            </w:r>
            <w:r w:rsidR="00111CF9" w:rsidRPr="002A17E0">
              <w:rPr>
                <w:rFonts w:ascii="Verdana" w:eastAsia="Arial Narrow" w:hAnsi="Verdana" w:cs="Arial Narrow"/>
                <w:color w:val="201F1E"/>
                <w:sz w:val="18"/>
                <w:szCs w:val="18"/>
                <w:lang w:val="es"/>
              </w:rPr>
              <w:t xml:space="preserve">de una meta definida por valor </w:t>
            </w:r>
            <w:r w:rsidR="00B84660" w:rsidRPr="002A17E0">
              <w:rPr>
                <w:rFonts w:ascii="Verdana" w:eastAsia="Arial Narrow" w:hAnsi="Verdana" w:cs="Arial Narrow"/>
                <w:color w:val="201F1E"/>
                <w:sz w:val="18"/>
                <w:szCs w:val="18"/>
                <w:lang w:val="es"/>
              </w:rPr>
              <w:t xml:space="preserve">$178,9 billones de pesos correspondiente al 90,8% de lo programado </w:t>
            </w:r>
            <w:r w:rsidR="00694250" w:rsidRPr="002A17E0">
              <w:rPr>
                <w:rFonts w:ascii="Verdana" w:eastAsia="Arial Narrow" w:hAnsi="Verdana" w:cs="Arial Narrow"/>
                <w:color w:val="201F1E"/>
                <w:sz w:val="18"/>
                <w:szCs w:val="18"/>
                <w:lang w:val="es"/>
              </w:rPr>
              <w:t xml:space="preserve">de enero a julio de </w:t>
            </w:r>
            <w:r w:rsidR="00B84660" w:rsidRPr="002A17E0">
              <w:rPr>
                <w:rFonts w:ascii="Verdana" w:eastAsia="Arial Narrow" w:hAnsi="Verdana" w:cs="Arial Narrow"/>
                <w:color w:val="201F1E"/>
                <w:sz w:val="18"/>
                <w:szCs w:val="18"/>
                <w:lang w:val="es"/>
              </w:rPr>
              <w:t>la vigencia 2024.</w:t>
            </w:r>
            <w:r w:rsidRPr="002A17E0">
              <w:rPr>
                <w:rFonts w:ascii="Verdana" w:eastAsia="Arial Narrow" w:hAnsi="Verdana" w:cs="Arial Narrow"/>
                <w:color w:val="201F1E"/>
                <w:sz w:val="18"/>
                <w:szCs w:val="18"/>
                <w:lang w:val="es"/>
              </w:rPr>
              <w:t xml:space="preserve"> </w:t>
            </w:r>
          </w:p>
        </w:tc>
      </w:tr>
      <w:tr w:rsidR="0052318A" w:rsidRPr="002A17E0" w14:paraId="08C8B779" w14:textId="77777777" w:rsidTr="008862B7">
        <w:trPr>
          <w:trHeight w:val="2248"/>
        </w:trPr>
        <w:tc>
          <w:tcPr>
            <w:tcW w:w="1980" w:type="dxa"/>
            <w:vAlign w:val="center"/>
          </w:tcPr>
          <w:p w14:paraId="7BAF0220"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lastRenderedPageBreak/>
              <w:t>Recaudo Neto</w:t>
            </w:r>
          </w:p>
        </w:tc>
        <w:tc>
          <w:tcPr>
            <w:tcW w:w="2268" w:type="dxa"/>
            <w:vAlign w:val="center"/>
          </w:tcPr>
          <w:p w14:paraId="03F17067"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6071CCBF" w14:textId="4ABF27B2" w:rsidR="0052318A" w:rsidRPr="002A17E0" w:rsidRDefault="00DB0036">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Según información consolidada por la coordinación de control a entidades recaudatorias de la Subdirección de Recaudo, </w:t>
            </w:r>
            <w:r w:rsidR="008862B7" w:rsidRPr="002A17E0">
              <w:rPr>
                <w:rFonts w:ascii="Verdana" w:eastAsia="Arial Narrow" w:hAnsi="Verdana" w:cs="Arial Narrow"/>
                <w:color w:val="201F1E"/>
                <w:sz w:val="18"/>
                <w:szCs w:val="18"/>
                <w:lang w:val="es"/>
              </w:rPr>
              <w:t xml:space="preserve">con corte a julio de 2024 se obtuvo </w:t>
            </w:r>
            <w:r w:rsidR="002B5420" w:rsidRPr="002A17E0">
              <w:rPr>
                <w:rFonts w:ascii="Verdana" w:eastAsia="Arial Narrow" w:hAnsi="Verdana" w:cs="Arial Narrow"/>
                <w:color w:val="201F1E"/>
                <w:sz w:val="18"/>
                <w:szCs w:val="18"/>
                <w:lang w:val="es"/>
              </w:rPr>
              <w:t>un</w:t>
            </w:r>
            <w:r w:rsidRPr="002A17E0">
              <w:rPr>
                <w:rFonts w:ascii="Verdana" w:eastAsia="Arial Narrow" w:hAnsi="Verdana" w:cs="Arial Narrow"/>
                <w:color w:val="201F1E"/>
                <w:sz w:val="18"/>
                <w:szCs w:val="18"/>
                <w:lang w:val="es"/>
              </w:rPr>
              <w:t xml:space="preserve"> recaudo </w:t>
            </w:r>
            <w:r w:rsidR="002B5420" w:rsidRPr="002A17E0">
              <w:rPr>
                <w:rFonts w:ascii="Verdana" w:eastAsia="Arial Narrow" w:hAnsi="Verdana" w:cs="Arial Narrow"/>
                <w:color w:val="201F1E"/>
                <w:sz w:val="18"/>
                <w:szCs w:val="18"/>
                <w:lang w:val="es"/>
              </w:rPr>
              <w:t>neto</w:t>
            </w:r>
            <w:r w:rsidRPr="002A17E0">
              <w:rPr>
                <w:rFonts w:ascii="Verdana" w:eastAsia="Arial Narrow" w:hAnsi="Verdana" w:cs="Arial Narrow"/>
                <w:color w:val="201F1E"/>
                <w:sz w:val="18"/>
                <w:szCs w:val="18"/>
                <w:lang w:val="es"/>
              </w:rPr>
              <w:t xml:space="preserve"> por valor </w:t>
            </w:r>
            <w:r w:rsidR="008862B7" w:rsidRPr="002A17E0">
              <w:rPr>
                <w:rFonts w:ascii="Verdana" w:eastAsia="Arial Narrow" w:hAnsi="Verdana" w:cs="Arial Narrow"/>
                <w:color w:val="201F1E"/>
                <w:sz w:val="18"/>
                <w:szCs w:val="18"/>
                <w:lang w:val="es"/>
              </w:rPr>
              <w:t>de $1</w:t>
            </w:r>
            <w:r w:rsidR="009908B8" w:rsidRPr="002A17E0">
              <w:rPr>
                <w:rFonts w:ascii="Verdana" w:eastAsia="Arial Narrow" w:hAnsi="Verdana" w:cs="Arial Narrow"/>
                <w:color w:val="201F1E"/>
                <w:sz w:val="18"/>
                <w:szCs w:val="18"/>
                <w:lang w:val="es"/>
              </w:rPr>
              <w:t>52</w:t>
            </w:r>
            <w:r w:rsidR="008862B7" w:rsidRPr="002A17E0">
              <w:rPr>
                <w:rFonts w:ascii="Verdana" w:eastAsia="Arial Narrow" w:hAnsi="Verdana" w:cs="Arial Narrow"/>
                <w:color w:val="201F1E"/>
                <w:sz w:val="18"/>
                <w:szCs w:val="18"/>
                <w:lang w:val="es"/>
              </w:rPr>
              <w:t>,</w:t>
            </w:r>
            <w:r w:rsidR="009908B8" w:rsidRPr="002A17E0">
              <w:rPr>
                <w:rFonts w:ascii="Verdana" w:eastAsia="Arial Narrow" w:hAnsi="Verdana" w:cs="Arial Narrow"/>
                <w:color w:val="201F1E"/>
                <w:sz w:val="18"/>
                <w:szCs w:val="18"/>
                <w:lang w:val="es"/>
              </w:rPr>
              <w:t>8</w:t>
            </w:r>
            <w:r w:rsidRPr="002A17E0">
              <w:rPr>
                <w:rFonts w:ascii="Verdana" w:eastAsia="Arial Narrow" w:hAnsi="Verdana" w:cs="Arial Narrow"/>
                <w:color w:val="201F1E"/>
                <w:sz w:val="18"/>
                <w:szCs w:val="18"/>
                <w:lang w:val="es"/>
              </w:rPr>
              <w:t xml:space="preserve"> billones de pesos de una meta </w:t>
            </w:r>
            <w:r w:rsidR="008862B7" w:rsidRPr="002A17E0">
              <w:rPr>
                <w:rFonts w:ascii="Verdana" w:eastAsia="Arial Narrow" w:hAnsi="Verdana" w:cs="Arial Narrow"/>
                <w:color w:val="201F1E"/>
                <w:sz w:val="18"/>
                <w:szCs w:val="18"/>
                <w:lang w:val="es"/>
              </w:rPr>
              <w:t>definida por valor $1</w:t>
            </w:r>
            <w:r w:rsidR="009908B8" w:rsidRPr="002A17E0">
              <w:rPr>
                <w:rFonts w:ascii="Verdana" w:eastAsia="Arial Narrow" w:hAnsi="Verdana" w:cs="Arial Narrow"/>
                <w:color w:val="201F1E"/>
                <w:sz w:val="18"/>
                <w:szCs w:val="18"/>
                <w:lang w:val="es"/>
              </w:rPr>
              <w:t>6</w:t>
            </w:r>
            <w:r w:rsidR="008862B7" w:rsidRPr="002A17E0">
              <w:rPr>
                <w:rFonts w:ascii="Verdana" w:eastAsia="Arial Narrow" w:hAnsi="Verdana" w:cs="Arial Narrow"/>
                <w:color w:val="201F1E"/>
                <w:sz w:val="18"/>
                <w:szCs w:val="18"/>
                <w:lang w:val="es"/>
              </w:rPr>
              <w:t>8,</w:t>
            </w:r>
            <w:r w:rsidR="009908B8" w:rsidRPr="002A17E0">
              <w:rPr>
                <w:rFonts w:ascii="Verdana" w:eastAsia="Arial Narrow" w:hAnsi="Verdana" w:cs="Arial Narrow"/>
                <w:color w:val="201F1E"/>
                <w:sz w:val="18"/>
                <w:szCs w:val="18"/>
                <w:lang w:val="es"/>
              </w:rPr>
              <w:t>8</w:t>
            </w:r>
            <w:r w:rsidRPr="002A17E0">
              <w:rPr>
                <w:rFonts w:ascii="Verdana" w:eastAsia="Arial Narrow" w:hAnsi="Verdana" w:cs="Arial Narrow"/>
                <w:color w:val="201F1E"/>
                <w:sz w:val="18"/>
                <w:szCs w:val="18"/>
                <w:lang w:val="es"/>
              </w:rPr>
              <w:t xml:space="preserve"> billones </w:t>
            </w:r>
            <w:r w:rsidR="008862B7" w:rsidRPr="002A17E0">
              <w:rPr>
                <w:rFonts w:ascii="Verdana" w:eastAsia="Arial Narrow" w:hAnsi="Verdana" w:cs="Arial Narrow"/>
                <w:color w:val="201F1E"/>
                <w:sz w:val="18"/>
                <w:szCs w:val="18"/>
                <w:lang w:val="es"/>
              </w:rPr>
              <w:t xml:space="preserve">de pesos </w:t>
            </w:r>
            <w:r w:rsidRPr="002A17E0">
              <w:rPr>
                <w:rFonts w:ascii="Verdana" w:eastAsia="Arial Narrow" w:hAnsi="Verdana" w:cs="Arial Narrow"/>
                <w:color w:val="201F1E"/>
                <w:sz w:val="18"/>
                <w:szCs w:val="18"/>
                <w:lang w:val="es"/>
              </w:rPr>
              <w:t xml:space="preserve">correspondiente al </w:t>
            </w:r>
            <w:r w:rsidR="008862B7" w:rsidRPr="002A17E0">
              <w:rPr>
                <w:rFonts w:ascii="Verdana" w:eastAsia="Arial Narrow" w:hAnsi="Verdana" w:cs="Arial Narrow"/>
                <w:color w:val="201F1E"/>
                <w:sz w:val="18"/>
                <w:szCs w:val="18"/>
                <w:lang w:val="es"/>
              </w:rPr>
              <w:t>90</w:t>
            </w:r>
            <w:r w:rsidRPr="002A17E0">
              <w:rPr>
                <w:rFonts w:ascii="Verdana" w:eastAsia="Arial Narrow" w:hAnsi="Verdana" w:cs="Arial Narrow"/>
                <w:color w:val="201F1E"/>
                <w:sz w:val="18"/>
                <w:szCs w:val="18"/>
                <w:lang w:val="es"/>
              </w:rPr>
              <w:t>,</w:t>
            </w:r>
            <w:r w:rsidR="009908B8" w:rsidRPr="002A17E0">
              <w:rPr>
                <w:rFonts w:ascii="Verdana" w:eastAsia="Arial Narrow" w:hAnsi="Verdana" w:cs="Arial Narrow"/>
                <w:color w:val="201F1E"/>
                <w:sz w:val="18"/>
                <w:szCs w:val="18"/>
                <w:lang w:val="es"/>
              </w:rPr>
              <w:t>5</w:t>
            </w:r>
            <w:r w:rsidRPr="002A17E0">
              <w:rPr>
                <w:rFonts w:ascii="Verdana" w:eastAsia="Arial Narrow" w:hAnsi="Verdana" w:cs="Arial Narrow"/>
                <w:color w:val="201F1E"/>
                <w:sz w:val="18"/>
                <w:szCs w:val="18"/>
                <w:lang w:val="es"/>
              </w:rPr>
              <w:t xml:space="preserve">% de </w:t>
            </w:r>
            <w:r w:rsidR="008862B7" w:rsidRPr="002A17E0">
              <w:rPr>
                <w:rFonts w:ascii="Verdana" w:eastAsia="Arial Narrow" w:hAnsi="Verdana" w:cs="Arial Narrow"/>
                <w:color w:val="201F1E"/>
                <w:sz w:val="18"/>
                <w:szCs w:val="18"/>
                <w:lang w:val="es"/>
              </w:rPr>
              <w:t>lo programado de enero a julio</w:t>
            </w:r>
            <w:r w:rsidRPr="002A17E0">
              <w:rPr>
                <w:rFonts w:ascii="Verdana" w:eastAsia="Arial Narrow" w:hAnsi="Verdana" w:cs="Arial Narrow"/>
                <w:color w:val="201F1E"/>
                <w:sz w:val="18"/>
                <w:szCs w:val="18"/>
                <w:lang w:val="es"/>
              </w:rPr>
              <w:t xml:space="preserve"> de la vigencia </w:t>
            </w:r>
            <w:r w:rsidR="008862B7" w:rsidRPr="002A17E0">
              <w:rPr>
                <w:rFonts w:ascii="Verdana" w:eastAsia="Arial Narrow" w:hAnsi="Verdana" w:cs="Arial Narrow"/>
                <w:color w:val="201F1E"/>
                <w:sz w:val="18"/>
                <w:szCs w:val="18"/>
                <w:lang w:val="es"/>
              </w:rPr>
              <w:t xml:space="preserve">2024. </w:t>
            </w:r>
          </w:p>
        </w:tc>
      </w:tr>
      <w:tr w:rsidR="0052318A" w:rsidRPr="002A17E0" w14:paraId="530A8721" w14:textId="77777777">
        <w:trPr>
          <w:trHeight w:val="614"/>
        </w:trPr>
        <w:tc>
          <w:tcPr>
            <w:tcW w:w="1980" w:type="dxa"/>
            <w:vAlign w:val="center"/>
          </w:tcPr>
          <w:p w14:paraId="173348A5"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Gestión de Fiscalización</w:t>
            </w:r>
          </w:p>
        </w:tc>
        <w:tc>
          <w:tcPr>
            <w:tcW w:w="2268" w:type="dxa"/>
            <w:vAlign w:val="center"/>
          </w:tcPr>
          <w:p w14:paraId="25769173" w14:textId="2400A662" w:rsidR="0052318A" w:rsidRPr="002A17E0" w:rsidRDefault="00040F36">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43698ACB" w14:textId="3D4BE4C8" w:rsidR="008862B7" w:rsidRPr="002A17E0" w:rsidRDefault="00AB6D2A" w:rsidP="00AB6D2A">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 xml:space="preserve">De acuerdo con </w:t>
            </w:r>
            <w:r w:rsidR="008F49BA" w:rsidRPr="002A17E0">
              <w:rPr>
                <w:rFonts w:ascii="Verdana" w:eastAsia="Arial Narrow" w:hAnsi="Verdana" w:cs="Arial Narrow"/>
                <w:color w:val="201F1E"/>
                <w:sz w:val="18"/>
                <w:szCs w:val="18"/>
                <w:lang w:val="es"/>
              </w:rPr>
              <w:t xml:space="preserve">los </w:t>
            </w:r>
            <w:hyperlink r:id="rId9" w:history="1">
              <w:r w:rsidR="00040F36" w:rsidRPr="002A17E0">
                <w:rPr>
                  <w:rStyle w:val="Hipervnculo"/>
                  <w:rFonts w:ascii="Verdana" w:eastAsia="Arial Narrow" w:hAnsi="Verdana" w:cs="Arial Narrow"/>
                  <w:sz w:val="18"/>
                  <w:szCs w:val="18"/>
                  <w:lang w:val="es"/>
                </w:rPr>
                <w:t>Informes de Lucha Contra la Evasión y el Contrabando</w:t>
              </w:r>
            </w:hyperlink>
            <w:r w:rsidR="008F49BA" w:rsidRPr="002A17E0">
              <w:rPr>
                <w:rFonts w:ascii="Verdana" w:eastAsia="Arial Narrow" w:hAnsi="Verdana" w:cs="Arial Narrow"/>
                <w:color w:val="201F1E"/>
                <w:sz w:val="18"/>
                <w:szCs w:val="18"/>
                <w:lang w:val="es"/>
              </w:rPr>
              <w:t xml:space="preserve"> correspondientes a los periodos de enero-marzo y de abril-junio de 2024, </w:t>
            </w:r>
            <w:r w:rsidR="00891594" w:rsidRPr="002A17E0">
              <w:rPr>
                <w:rFonts w:ascii="Verdana" w:eastAsia="Arial Narrow" w:hAnsi="Verdana" w:cs="Arial Narrow"/>
                <w:color w:val="201F1E"/>
                <w:sz w:val="18"/>
                <w:szCs w:val="18"/>
                <w:lang w:val="es"/>
              </w:rPr>
              <w:t>a continuación, se relacionan los resultados asociados con la gestión aceptada</w:t>
            </w:r>
            <w:r w:rsidR="00DD03D5" w:rsidRPr="002A17E0">
              <w:rPr>
                <w:rFonts w:ascii="Verdana" w:eastAsia="Arial Narrow" w:hAnsi="Verdana" w:cs="Arial Narrow"/>
                <w:color w:val="201F1E"/>
                <w:sz w:val="18"/>
                <w:szCs w:val="18"/>
                <w:lang w:val="es"/>
              </w:rPr>
              <w:t>*</w:t>
            </w:r>
            <w:r w:rsidR="00891594" w:rsidRPr="002A17E0">
              <w:rPr>
                <w:rFonts w:ascii="Verdana" w:eastAsia="Arial Narrow" w:hAnsi="Verdana" w:cs="Arial Narrow"/>
                <w:color w:val="201F1E"/>
                <w:sz w:val="18"/>
                <w:szCs w:val="18"/>
                <w:lang w:val="es"/>
              </w:rPr>
              <w:t xml:space="preserve"> de fiscalización 2024:</w:t>
            </w:r>
          </w:p>
          <w:p w14:paraId="35B32D56" w14:textId="77777777" w:rsidR="00891594" w:rsidRPr="002A17E0" w:rsidRDefault="00891594" w:rsidP="00AB6D2A">
            <w:pPr>
              <w:spacing w:before="100" w:beforeAutospacing="1" w:after="100" w:afterAutospacing="1"/>
              <w:contextualSpacing/>
              <w:jc w:val="both"/>
              <w:rPr>
                <w:rFonts w:ascii="Verdana" w:eastAsia="Arial Narrow" w:hAnsi="Verdana" w:cs="Arial Narrow"/>
                <w:color w:val="201F1E"/>
                <w:sz w:val="18"/>
                <w:szCs w:val="18"/>
                <w:lang w:val="es"/>
              </w:rPr>
            </w:pPr>
          </w:p>
          <w:tbl>
            <w:tblPr>
              <w:tblStyle w:val="Tablaconcuadrcula"/>
              <w:tblW w:w="0" w:type="auto"/>
              <w:tblLayout w:type="fixed"/>
              <w:tblLook w:val="04A0" w:firstRow="1" w:lastRow="0" w:firstColumn="1" w:lastColumn="0" w:noHBand="0" w:noVBand="1"/>
            </w:tblPr>
            <w:tblGrid>
              <w:gridCol w:w="1451"/>
              <w:gridCol w:w="1451"/>
              <w:gridCol w:w="1452"/>
            </w:tblGrid>
            <w:tr w:rsidR="00A1479B" w:rsidRPr="002A17E0" w14:paraId="0F2C0D7D" w14:textId="77777777" w:rsidTr="64AFA655">
              <w:tc>
                <w:tcPr>
                  <w:tcW w:w="1451" w:type="dxa"/>
                </w:tcPr>
                <w:p w14:paraId="408AE6C1" w14:textId="274D7AD2" w:rsidR="00A1479B" w:rsidRPr="002A17E0" w:rsidRDefault="009453EE"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Fiscalización</w:t>
                  </w:r>
                </w:p>
              </w:tc>
              <w:tc>
                <w:tcPr>
                  <w:tcW w:w="1451" w:type="dxa"/>
                </w:tcPr>
                <w:p w14:paraId="2BC3554D" w14:textId="1DB45F64" w:rsidR="00A1479B" w:rsidRPr="002A17E0" w:rsidRDefault="00A1479B"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ES"/>
                    </w:rPr>
                  </w:pPr>
                  <w:r w:rsidRPr="002A17E0">
                    <w:rPr>
                      <w:rFonts w:ascii="Verdana" w:eastAsia="Arial Narrow" w:hAnsi="Verdana" w:cs="Arial Narrow"/>
                      <w:color w:val="201F1E"/>
                      <w:sz w:val="18"/>
                      <w:szCs w:val="18"/>
                      <w:lang w:val="es-ES"/>
                    </w:rPr>
                    <w:t>Enero-Marzo</w:t>
                  </w:r>
                </w:p>
              </w:tc>
              <w:tc>
                <w:tcPr>
                  <w:tcW w:w="1452" w:type="dxa"/>
                </w:tcPr>
                <w:p w14:paraId="7FAC46FB" w14:textId="6344FA40" w:rsidR="00A1479B" w:rsidRPr="002A17E0" w:rsidRDefault="00A1479B"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ES"/>
                    </w:rPr>
                  </w:pPr>
                  <w:r w:rsidRPr="002A17E0">
                    <w:rPr>
                      <w:rFonts w:ascii="Verdana" w:eastAsia="Arial Narrow" w:hAnsi="Verdana" w:cs="Arial Narrow"/>
                      <w:color w:val="201F1E"/>
                      <w:sz w:val="18"/>
                      <w:szCs w:val="18"/>
                      <w:lang w:val="es-ES"/>
                    </w:rPr>
                    <w:t>Abril-Junio</w:t>
                  </w:r>
                </w:p>
              </w:tc>
            </w:tr>
            <w:tr w:rsidR="00A1479B" w:rsidRPr="002A17E0" w14:paraId="5EA24E0E" w14:textId="77777777" w:rsidTr="0092482F">
              <w:tc>
                <w:tcPr>
                  <w:tcW w:w="1451" w:type="dxa"/>
                  <w:vAlign w:val="center"/>
                </w:tcPr>
                <w:p w14:paraId="280E2318" w14:textId="2F73C895" w:rsidR="00A1479B" w:rsidRPr="002A17E0" w:rsidRDefault="00243E40"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Tributaria</w:t>
                  </w:r>
                </w:p>
              </w:tc>
              <w:tc>
                <w:tcPr>
                  <w:tcW w:w="1451" w:type="dxa"/>
                  <w:vAlign w:val="center"/>
                </w:tcPr>
                <w:p w14:paraId="4165096A" w14:textId="4B673524" w:rsidR="00A1479B" w:rsidRPr="002A17E0" w:rsidRDefault="006C65E3"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$1,32</w:t>
                  </w:r>
                  <w:r w:rsidR="005B7630" w:rsidRPr="002A17E0">
                    <w:rPr>
                      <w:rFonts w:ascii="Verdana" w:eastAsia="Arial Narrow" w:hAnsi="Verdana" w:cs="Arial Narrow"/>
                      <w:color w:val="201F1E"/>
                      <w:sz w:val="18"/>
                      <w:szCs w:val="18"/>
                      <w:lang w:val="es"/>
                    </w:rPr>
                    <w:t xml:space="preserve"> billones</w:t>
                  </w:r>
                </w:p>
              </w:tc>
              <w:tc>
                <w:tcPr>
                  <w:tcW w:w="1452" w:type="dxa"/>
                  <w:vAlign w:val="center"/>
                </w:tcPr>
                <w:p w14:paraId="5C26FC1A" w14:textId="0B4350D7" w:rsidR="00A1479B" w:rsidRPr="002A17E0" w:rsidRDefault="005662DF"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$3,81</w:t>
                  </w:r>
                  <w:r w:rsidR="000D1582" w:rsidRPr="002A17E0">
                    <w:rPr>
                      <w:rFonts w:ascii="Verdana" w:eastAsia="Arial Narrow" w:hAnsi="Verdana" w:cs="Arial Narrow"/>
                      <w:color w:val="201F1E"/>
                      <w:sz w:val="18"/>
                      <w:szCs w:val="18"/>
                      <w:lang w:val="es"/>
                    </w:rPr>
                    <w:t>9</w:t>
                  </w:r>
                  <w:r w:rsidR="005B7630" w:rsidRPr="002A17E0">
                    <w:rPr>
                      <w:rFonts w:ascii="Verdana" w:eastAsia="Arial Narrow" w:hAnsi="Verdana" w:cs="Arial Narrow"/>
                      <w:color w:val="201F1E"/>
                      <w:sz w:val="18"/>
                      <w:szCs w:val="18"/>
                      <w:lang w:val="es"/>
                    </w:rPr>
                    <w:t xml:space="preserve"> billones</w:t>
                  </w:r>
                </w:p>
              </w:tc>
            </w:tr>
            <w:tr w:rsidR="00A1479B" w:rsidRPr="002A17E0" w14:paraId="09FD4507" w14:textId="77777777" w:rsidTr="0092482F">
              <w:tc>
                <w:tcPr>
                  <w:tcW w:w="1451" w:type="dxa"/>
                  <w:vAlign w:val="center"/>
                </w:tcPr>
                <w:p w14:paraId="13995C69" w14:textId="4BA7D750" w:rsidR="00A1479B" w:rsidRPr="002A17E0" w:rsidRDefault="007F63E8"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Aduanera</w:t>
                  </w:r>
                </w:p>
              </w:tc>
              <w:tc>
                <w:tcPr>
                  <w:tcW w:w="1451" w:type="dxa"/>
                  <w:vAlign w:val="center"/>
                </w:tcPr>
                <w:p w14:paraId="7D7ADC24" w14:textId="591DD1D5" w:rsidR="00A1479B" w:rsidRPr="002A17E0" w:rsidRDefault="004864B0"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$193.491 millones</w:t>
                  </w:r>
                </w:p>
              </w:tc>
              <w:tc>
                <w:tcPr>
                  <w:tcW w:w="1452" w:type="dxa"/>
                  <w:vAlign w:val="center"/>
                </w:tcPr>
                <w:p w14:paraId="6D5C5387" w14:textId="75A320E4" w:rsidR="00A1479B" w:rsidRPr="002A17E0" w:rsidRDefault="00FA4C79"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$87.112 millones</w:t>
                  </w:r>
                </w:p>
              </w:tc>
            </w:tr>
            <w:tr w:rsidR="00A1479B" w:rsidRPr="002A17E0" w14:paraId="745D136C" w14:textId="77777777" w:rsidTr="0092482F">
              <w:tc>
                <w:tcPr>
                  <w:tcW w:w="1451" w:type="dxa"/>
                  <w:vAlign w:val="center"/>
                </w:tcPr>
                <w:p w14:paraId="544DCF12" w14:textId="0F33E69D" w:rsidR="00A1479B" w:rsidRPr="002A17E0" w:rsidRDefault="00D55735"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Cambiaria</w:t>
                  </w:r>
                </w:p>
              </w:tc>
              <w:tc>
                <w:tcPr>
                  <w:tcW w:w="1451" w:type="dxa"/>
                  <w:vAlign w:val="center"/>
                </w:tcPr>
                <w:p w14:paraId="480DC1DA" w14:textId="367CED35" w:rsidR="00A1479B" w:rsidRPr="002A17E0" w:rsidRDefault="00C00A3B"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$38.645 millones</w:t>
                  </w:r>
                </w:p>
              </w:tc>
              <w:tc>
                <w:tcPr>
                  <w:tcW w:w="1452" w:type="dxa"/>
                  <w:vAlign w:val="center"/>
                </w:tcPr>
                <w:p w14:paraId="52D299A4" w14:textId="0B4F80C0" w:rsidR="00A1479B" w:rsidRPr="002A17E0" w:rsidRDefault="009453EE"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$60.534 millones</w:t>
                  </w:r>
                </w:p>
              </w:tc>
            </w:tr>
            <w:tr w:rsidR="00C00A3B" w:rsidRPr="002A17E0" w14:paraId="7DF4C50E" w14:textId="77777777" w:rsidTr="0092482F">
              <w:tc>
                <w:tcPr>
                  <w:tcW w:w="1451" w:type="dxa"/>
                  <w:vAlign w:val="center"/>
                </w:tcPr>
                <w:p w14:paraId="6FE5BEEC" w14:textId="31FA20DB" w:rsidR="00C00A3B" w:rsidRPr="002A17E0" w:rsidRDefault="009453EE"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Internacional</w:t>
                  </w:r>
                </w:p>
              </w:tc>
              <w:tc>
                <w:tcPr>
                  <w:tcW w:w="1451" w:type="dxa"/>
                  <w:vAlign w:val="center"/>
                </w:tcPr>
                <w:p w14:paraId="5BDA6356" w14:textId="73CBC455" w:rsidR="00C00A3B" w:rsidRPr="002A17E0" w:rsidRDefault="0031647E"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$414.747 millones</w:t>
                  </w:r>
                </w:p>
              </w:tc>
              <w:tc>
                <w:tcPr>
                  <w:tcW w:w="1452" w:type="dxa"/>
                  <w:vAlign w:val="center"/>
                </w:tcPr>
                <w:p w14:paraId="6421C0F8" w14:textId="1542B36B" w:rsidR="00C00A3B" w:rsidRPr="002A17E0" w:rsidRDefault="0092482F" w:rsidP="00A7185B">
                  <w:pPr>
                    <w:framePr w:hSpace="141" w:wrap="around" w:vAnchor="text" w:hAnchor="margin" w:y="1510"/>
                    <w:spacing w:before="100" w:beforeAutospacing="1" w:after="100" w:afterAutospacing="1"/>
                    <w:contextualSpacing/>
                    <w:jc w:val="center"/>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$10.363 millones</w:t>
                  </w:r>
                </w:p>
              </w:tc>
            </w:tr>
          </w:tbl>
          <w:p w14:paraId="3343DFC3" w14:textId="1D4898EB" w:rsidR="00891594" w:rsidRPr="002A17E0" w:rsidRDefault="00891594" w:rsidP="00AB6D2A">
            <w:pPr>
              <w:spacing w:before="100" w:beforeAutospacing="1" w:after="100" w:afterAutospacing="1"/>
              <w:contextualSpacing/>
              <w:jc w:val="both"/>
              <w:rPr>
                <w:rFonts w:ascii="Verdana" w:eastAsia="Arial Narrow" w:hAnsi="Verdana" w:cs="Arial Narrow"/>
                <w:color w:val="201F1E"/>
                <w:sz w:val="18"/>
                <w:szCs w:val="18"/>
                <w:lang w:val="es"/>
              </w:rPr>
            </w:pPr>
          </w:p>
          <w:p w14:paraId="051F22C7" w14:textId="79333A2E" w:rsidR="003C1F15" w:rsidRPr="002A17E0" w:rsidRDefault="00DD03D5" w:rsidP="00AB6D2A">
            <w:pPr>
              <w:spacing w:before="100" w:beforeAutospacing="1" w:after="100" w:afterAutospacing="1"/>
              <w:contextualSpacing/>
              <w:jc w:val="both"/>
              <w:rPr>
                <w:rFonts w:ascii="Verdana" w:eastAsia="Arial Narrow" w:hAnsi="Verdana" w:cs="Arial Narrow"/>
                <w:i/>
                <w:color w:val="201F1E"/>
                <w:sz w:val="14"/>
                <w:szCs w:val="14"/>
                <w:lang w:val="es-ES"/>
              </w:rPr>
            </w:pPr>
            <w:r w:rsidRPr="002A17E0">
              <w:rPr>
                <w:rFonts w:ascii="Verdana" w:eastAsia="Arial Narrow" w:hAnsi="Verdana" w:cs="Arial Narrow"/>
                <w:color w:val="201F1E"/>
                <w:sz w:val="18"/>
                <w:szCs w:val="18"/>
                <w:lang w:val="es-ES"/>
              </w:rPr>
              <w:t>*</w:t>
            </w:r>
            <w:r w:rsidRPr="002A17E0">
              <w:rPr>
                <w:rFonts w:ascii="Verdana" w:eastAsia="Arial Narrow" w:hAnsi="Verdana" w:cs="Arial Narrow"/>
                <w:i/>
                <w:color w:val="201F1E"/>
                <w:sz w:val="14"/>
                <w:szCs w:val="14"/>
                <w:lang w:val="es-ES"/>
              </w:rPr>
              <w:t>Comprende los actos administrativos que se encuentran en firme. Es decir, cuando el procedimiento administrativo ya ha finalizado.</w:t>
            </w:r>
          </w:p>
          <w:p w14:paraId="1719C796" w14:textId="73342A33" w:rsidR="0052318A" w:rsidRPr="002A17E0" w:rsidRDefault="0052318A">
            <w:pPr>
              <w:spacing w:before="100" w:beforeAutospacing="1" w:after="100" w:afterAutospacing="1"/>
              <w:contextualSpacing/>
              <w:jc w:val="both"/>
              <w:rPr>
                <w:rFonts w:ascii="Verdana" w:eastAsia="Arial Narrow" w:hAnsi="Verdana" w:cs="Arial Narrow"/>
                <w:color w:val="201F1E"/>
                <w:sz w:val="18"/>
                <w:szCs w:val="18"/>
                <w:lang w:val="es"/>
              </w:rPr>
            </w:pPr>
          </w:p>
        </w:tc>
      </w:tr>
      <w:tr w:rsidR="0052318A" w:rsidRPr="002A17E0" w14:paraId="03B34C38" w14:textId="77777777" w:rsidTr="00E85881">
        <w:trPr>
          <w:trHeight w:val="2364"/>
        </w:trPr>
        <w:tc>
          <w:tcPr>
            <w:tcW w:w="1980" w:type="dxa"/>
            <w:vAlign w:val="center"/>
          </w:tcPr>
          <w:p w14:paraId="55EEDB52" w14:textId="77777777" w:rsidR="0052318A" w:rsidRPr="002A17E0" w:rsidRDefault="0052318A">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Recuperación de cartera</w:t>
            </w:r>
          </w:p>
        </w:tc>
        <w:tc>
          <w:tcPr>
            <w:tcW w:w="2268" w:type="dxa"/>
            <w:vAlign w:val="center"/>
          </w:tcPr>
          <w:p w14:paraId="4760CCEE" w14:textId="4733DBB8" w:rsidR="0052318A" w:rsidRPr="002A17E0" w:rsidRDefault="000D021B">
            <w:pPr>
              <w:spacing w:before="100" w:beforeAutospacing="1" w:after="100" w:afterAutospacing="1"/>
              <w:contextualSpacing/>
              <w:jc w:val="center"/>
              <w:rPr>
                <w:rFonts w:ascii="Verdana" w:hAnsi="Verdana" w:cs="Arial"/>
                <w:sz w:val="18"/>
                <w:szCs w:val="18"/>
              </w:rPr>
            </w:pPr>
            <w:r w:rsidRPr="002A17E0">
              <w:rPr>
                <w:rFonts w:ascii="Verdana" w:hAnsi="Verdana" w:cs="Arial"/>
                <w:sz w:val="18"/>
                <w:szCs w:val="18"/>
              </w:rPr>
              <w:t xml:space="preserve">Gastos de Personal </w:t>
            </w:r>
          </w:p>
        </w:tc>
        <w:tc>
          <w:tcPr>
            <w:tcW w:w="4580" w:type="dxa"/>
            <w:vAlign w:val="center"/>
          </w:tcPr>
          <w:p w14:paraId="5C49F3CA" w14:textId="113A5A31" w:rsidR="00C65D2F" w:rsidRPr="002A17E0" w:rsidRDefault="00C65D2F" w:rsidP="00C65D2F">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Cumplimiento del 10</w:t>
            </w:r>
            <w:r w:rsidR="00E11953" w:rsidRPr="002A17E0">
              <w:rPr>
                <w:rFonts w:ascii="Verdana" w:eastAsia="Arial Narrow" w:hAnsi="Verdana" w:cs="Arial Narrow"/>
                <w:color w:val="201F1E"/>
                <w:sz w:val="18"/>
                <w:szCs w:val="18"/>
                <w:lang w:val="es"/>
              </w:rPr>
              <w:t>8</w:t>
            </w:r>
            <w:r w:rsidRPr="002A17E0">
              <w:rPr>
                <w:rFonts w:ascii="Verdana" w:eastAsia="Arial Narrow" w:hAnsi="Verdana" w:cs="Arial Narrow"/>
                <w:color w:val="201F1E"/>
                <w:sz w:val="18"/>
                <w:szCs w:val="18"/>
                <w:lang w:val="es"/>
              </w:rPr>
              <w:t>,</w:t>
            </w:r>
            <w:r w:rsidR="00E11953" w:rsidRPr="002A17E0">
              <w:rPr>
                <w:rFonts w:ascii="Verdana" w:eastAsia="Arial Narrow" w:hAnsi="Verdana" w:cs="Arial Narrow"/>
                <w:color w:val="201F1E"/>
                <w:sz w:val="18"/>
                <w:szCs w:val="18"/>
                <w:lang w:val="es"/>
              </w:rPr>
              <w:t>55</w:t>
            </w:r>
            <w:r w:rsidRPr="002A17E0">
              <w:rPr>
                <w:rFonts w:ascii="Verdana" w:eastAsia="Arial Narrow" w:hAnsi="Verdana" w:cs="Arial Narrow"/>
                <w:color w:val="201F1E"/>
                <w:sz w:val="18"/>
                <w:szCs w:val="18"/>
                <w:lang w:val="es"/>
              </w:rPr>
              <w:t>% del recaudo tributario por gestión de cartera equivalente a $</w:t>
            </w:r>
            <w:r w:rsidR="00170E17" w:rsidRPr="002A17E0">
              <w:rPr>
                <w:rFonts w:ascii="Verdana" w:eastAsia="Arial Narrow" w:hAnsi="Verdana" w:cs="Arial Narrow"/>
                <w:color w:val="201F1E"/>
                <w:sz w:val="18"/>
                <w:szCs w:val="18"/>
                <w:lang w:val="es"/>
              </w:rPr>
              <w:t>22</w:t>
            </w:r>
            <w:r w:rsidRPr="002A17E0">
              <w:rPr>
                <w:rFonts w:ascii="Verdana" w:eastAsia="Arial Narrow" w:hAnsi="Verdana" w:cs="Arial Narrow"/>
                <w:color w:val="201F1E"/>
                <w:sz w:val="18"/>
                <w:szCs w:val="18"/>
                <w:lang w:val="es"/>
              </w:rPr>
              <w:t>,</w:t>
            </w:r>
            <w:r w:rsidR="00170E17" w:rsidRPr="002A17E0">
              <w:rPr>
                <w:rFonts w:ascii="Verdana" w:eastAsia="Arial Narrow" w:hAnsi="Verdana" w:cs="Arial Narrow"/>
                <w:color w:val="201F1E"/>
                <w:sz w:val="18"/>
                <w:szCs w:val="18"/>
                <w:lang w:val="es"/>
              </w:rPr>
              <w:t>6</w:t>
            </w:r>
            <w:r w:rsidRPr="002A17E0">
              <w:rPr>
                <w:rFonts w:ascii="Verdana" w:eastAsia="Arial Narrow" w:hAnsi="Verdana" w:cs="Arial Narrow"/>
                <w:color w:val="201F1E"/>
                <w:sz w:val="18"/>
                <w:szCs w:val="18"/>
                <w:lang w:val="es"/>
              </w:rPr>
              <w:t xml:space="preserve"> billones.</w:t>
            </w:r>
          </w:p>
          <w:p w14:paraId="1C1A847F" w14:textId="77777777" w:rsidR="00C65D2F" w:rsidRPr="002A17E0" w:rsidRDefault="00C65D2F" w:rsidP="00C65D2F">
            <w:pPr>
              <w:spacing w:before="100" w:beforeAutospacing="1" w:after="100" w:afterAutospacing="1"/>
              <w:contextualSpacing/>
              <w:jc w:val="both"/>
              <w:rPr>
                <w:rFonts w:ascii="Verdana" w:eastAsia="Arial Narrow" w:hAnsi="Verdana" w:cs="Arial Narrow"/>
                <w:color w:val="201F1E"/>
                <w:sz w:val="18"/>
                <w:szCs w:val="18"/>
                <w:lang w:val="es"/>
              </w:rPr>
            </w:pPr>
          </w:p>
          <w:p w14:paraId="214C35A9" w14:textId="424FFFA2" w:rsidR="0052318A" w:rsidRPr="002A17E0" w:rsidRDefault="00C65D2F">
            <w:pPr>
              <w:spacing w:before="100" w:beforeAutospacing="1" w:after="100" w:afterAutospacing="1"/>
              <w:contextualSpacing/>
              <w:jc w:val="both"/>
              <w:rPr>
                <w:rFonts w:ascii="Verdana" w:eastAsia="Arial Narrow" w:hAnsi="Verdana" w:cs="Arial Narrow"/>
                <w:color w:val="201F1E"/>
                <w:sz w:val="18"/>
                <w:szCs w:val="18"/>
                <w:lang w:val="es"/>
              </w:rPr>
            </w:pPr>
            <w:r w:rsidRPr="002A17E0">
              <w:rPr>
                <w:rFonts w:ascii="Verdana" w:eastAsia="Arial Narrow" w:hAnsi="Verdana" w:cs="Arial Narrow"/>
                <w:color w:val="201F1E"/>
                <w:sz w:val="18"/>
                <w:szCs w:val="18"/>
                <w:lang w:val="es"/>
              </w:rPr>
              <w:t>Las 0</w:t>
            </w:r>
            <w:r w:rsidR="00CA544D" w:rsidRPr="002A17E0">
              <w:rPr>
                <w:rFonts w:ascii="Verdana" w:eastAsia="Arial Narrow" w:hAnsi="Verdana" w:cs="Arial Narrow"/>
                <w:color w:val="201F1E"/>
                <w:sz w:val="18"/>
                <w:szCs w:val="18"/>
                <w:lang w:val="es"/>
              </w:rPr>
              <w:t>4</w:t>
            </w:r>
            <w:r w:rsidRPr="002A17E0">
              <w:rPr>
                <w:rFonts w:ascii="Verdana" w:eastAsia="Arial Narrow" w:hAnsi="Verdana" w:cs="Arial Narrow"/>
                <w:color w:val="201F1E"/>
                <w:sz w:val="18"/>
                <w:szCs w:val="18"/>
                <w:lang w:val="es"/>
              </w:rPr>
              <w:t xml:space="preserve"> estrategias más importantes desarrolladas en la vigencia para el cumplimiento de esta meta corresponden a: </w:t>
            </w:r>
            <w:r w:rsidR="00A604DE" w:rsidRPr="002A17E0">
              <w:rPr>
                <w:rFonts w:ascii="Verdana" w:eastAsia="Arial Narrow" w:hAnsi="Verdana" w:cs="Arial Narrow"/>
                <w:color w:val="201F1E"/>
                <w:sz w:val="18"/>
                <w:szCs w:val="18"/>
                <w:lang w:val="es"/>
              </w:rPr>
              <w:t xml:space="preserve">Acciones de control </w:t>
            </w:r>
            <w:r w:rsidR="00854E55" w:rsidRPr="002A17E0">
              <w:rPr>
                <w:rFonts w:ascii="Verdana" w:eastAsia="Arial Narrow" w:hAnsi="Verdana" w:cs="Arial Narrow"/>
                <w:color w:val="201F1E"/>
                <w:sz w:val="18"/>
                <w:szCs w:val="18"/>
                <w:lang w:val="es"/>
              </w:rPr>
              <w:t xml:space="preserve">39,72%, </w:t>
            </w:r>
            <w:r w:rsidR="00D32F04" w:rsidRPr="002A17E0">
              <w:rPr>
                <w:rFonts w:ascii="Verdana" w:eastAsia="Arial Narrow" w:hAnsi="Verdana" w:cs="Arial Narrow"/>
                <w:color w:val="201F1E"/>
                <w:sz w:val="18"/>
                <w:szCs w:val="18"/>
                <w:lang w:val="es"/>
              </w:rPr>
              <w:t>persuasivo 15,22%, gestión de expedientes con 37,62% y sugeridas con 17,05%.</w:t>
            </w:r>
          </w:p>
        </w:tc>
      </w:tr>
      <w:tr w:rsidR="0052318A" w:rsidRPr="002A17E0" w14:paraId="33F62823" w14:textId="77777777" w:rsidTr="226F96E2">
        <w:trPr>
          <w:trHeight w:val="1816"/>
        </w:trPr>
        <w:tc>
          <w:tcPr>
            <w:tcW w:w="1980" w:type="dxa"/>
            <w:vAlign w:val="center"/>
          </w:tcPr>
          <w:p w14:paraId="107FC030" w14:textId="77777777" w:rsidR="0052318A" w:rsidRPr="00C739B8" w:rsidRDefault="0052318A">
            <w:pPr>
              <w:spacing w:before="100" w:beforeAutospacing="1" w:after="100" w:afterAutospacing="1"/>
              <w:contextualSpacing/>
              <w:jc w:val="center"/>
              <w:rPr>
                <w:rFonts w:ascii="Verdana" w:hAnsi="Verdana" w:cs="Arial"/>
                <w:sz w:val="18"/>
                <w:szCs w:val="18"/>
              </w:rPr>
            </w:pPr>
            <w:r w:rsidRPr="00C739B8">
              <w:rPr>
                <w:rFonts w:ascii="Verdana" w:hAnsi="Verdana" w:cs="Arial"/>
                <w:sz w:val="18"/>
                <w:szCs w:val="18"/>
              </w:rPr>
              <w:lastRenderedPageBreak/>
              <w:t>Gestión de Aduanas</w:t>
            </w:r>
          </w:p>
        </w:tc>
        <w:tc>
          <w:tcPr>
            <w:tcW w:w="2268" w:type="dxa"/>
            <w:vAlign w:val="center"/>
          </w:tcPr>
          <w:p w14:paraId="0FFC9BA0" w14:textId="599E6005" w:rsidR="0052318A" w:rsidRPr="00C739B8" w:rsidRDefault="00E85881">
            <w:pPr>
              <w:spacing w:before="100" w:beforeAutospacing="1" w:after="100" w:afterAutospacing="1"/>
              <w:contextualSpacing/>
              <w:jc w:val="center"/>
              <w:rPr>
                <w:rFonts w:ascii="Verdana" w:hAnsi="Verdana" w:cs="Arial"/>
                <w:sz w:val="18"/>
                <w:szCs w:val="18"/>
              </w:rPr>
            </w:pPr>
            <w:r w:rsidRPr="00C739B8">
              <w:rPr>
                <w:rFonts w:ascii="Verdana" w:hAnsi="Verdana" w:cs="Arial"/>
                <w:sz w:val="18"/>
                <w:szCs w:val="18"/>
              </w:rPr>
              <w:t xml:space="preserve">Gastos de Personal </w:t>
            </w:r>
          </w:p>
        </w:tc>
        <w:tc>
          <w:tcPr>
            <w:tcW w:w="4580" w:type="dxa"/>
            <w:vAlign w:val="center"/>
          </w:tcPr>
          <w:p w14:paraId="1E30E593" w14:textId="646DA4BA" w:rsidR="00867839" w:rsidRPr="00C739B8" w:rsidRDefault="00867839" w:rsidP="00867839">
            <w:pPr>
              <w:pStyle w:val="xmsonormal"/>
              <w:jc w:val="both"/>
              <w:rPr>
                <w:rFonts w:ascii="Verdana" w:hAnsi="Verdana"/>
                <w:sz w:val="18"/>
                <w:szCs w:val="18"/>
              </w:rPr>
            </w:pPr>
            <w:r w:rsidRPr="00C739B8">
              <w:rPr>
                <w:rFonts w:ascii="Verdana" w:hAnsi="Verdana" w:cs="Arial"/>
                <w:sz w:val="18"/>
                <w:szCs w:val="18"/>
              </w:rPr>
              <w:t>La DIAN a efectos de contribuir con el propósito de promover el comercio y simplificar los trámites aduaneros para facilitar el comercio exterior (y de esta manera impulsar la reactivación económica del país), trabajó en un proyecto de modificación y adición al Decreto 1165 de 2019, el cual tuvo como objetivo optimizar el control previo y simult</w:t>
            </w:r>
            <w:r w:rsidR="00501DAE" w:rsidRPr="00C739B8">
              <w:rPr>
                <w:rFonts w:ascii="Verdana" w:hAnsi="Verdana" w:cs="Arial"/>
                <w:sz w:val="18"/>
                <w:szCs w:val="18"/>
              </w:rPr>
              <w:t>á</w:t>
            </w:r>
            <w:r w:rsidRPr="00C739B8">
              <w:rPr>
                <w:rFonts w:ascii="Verdana" w:hAnsi="Verdana" w:cs="Arial"/>
                <w:sz w:val="18"/>
                <w:szCs w:val="18"/>
              </w:rPr>
              <w:t>neo de los trámites aduaneros en el régimen de importación, adoptando, entre otras medidas, la exigencia de la declaración de importación anticipada y la declaración de ingreso. Proyecto que se materializó en el Decreto 659 del 22 de mayo de 2024.</w:t>
            </w:r>
          </w:p>
          <w:p w14:paraId="54E40B6C" w14:textId="77777777" w:rsidR="00867839" w:rsidRPr="00C739B8" w:rsidRDefault="00867839" w:rsidP="00867839">
            <w:pPr>
              <w:pStyle w:val="xmsonormal"/>
              <w:ind w:left="360"/>
              <w:jc w:val="both"/>
              <w:rPr>
                <w:rFonts w:ascii="Verdana" w:hAnsi="Verdana"/>
                <w:sz w:val="18"/>
                <w:szCs w:val="18"/>
              </w:rPr>
            </w:pPr>
            <w:r w:rsidRPr="00C739B8">
              <w:rPr>
                <w:rFonts w:ascii="Verdana" w:hAnsi="Verdana" w:cs="Arial"/>
                <w:sz w:val="18"/>
                <w:szCs w:val="18"/>
              </w:rPr>
              <w:t> </w:t>
            </w:r>
          </w:p>
          <w:p w14:paraId="4B9711F7" w14:textId="77777777" w:rsidR="00867839" w:rsidRPr="00C739B8" w:rsidRDefault="00867839" w:rsidP="00867839">
            <w:pPr>
              <w:pStyle w:val="xmsonormal"/>
              <w:jc w:val="both"/>
              <w:rPr>
                <w:rFonts w:ascii="Verdana" w:hAnsi="Verdana"/>
                <w:sz w:val="18"/>
                <w:szCs w:val="18"/>
              </w:rPr>
            </w:pPr>
            <w:r w:rsidRPr="00C739B8">
              <w:rPr>
                <w:rFonts w:ascii="Verdana" w:hAnsi="Verdana" w:cs="Arial"/>
                <w:sz w:val="18"/>
                <w:szCs w:val="18"/>
              </w:rPr>
              <w:t>Al respecto, uno de los cambios que trae el nuevo Decreto Aduanero es que la declaración de importación de mercancías que ingresarán al país, salvo unas contadas excepciones, deberá presentarse de forma anticipada y obligatoria. Gracias a esta medida, la DIAN conocerá qué mercancías llegarán 48 horas antes de que entren en los lugares de arribo. Esto reducirá los costos de operación, permitiendo mayor rapidez para disponer de las mercancías. Así mismo, la información reportada a la DIAN permitirá hacer un perfilamiento de riesgo más preciso para la revisión de mercancías, y mejorará la trazabilidad y el control de todo el proceso.</w:t>
            </w:r>
          </w:p>
          <w:p w14:paraId="7D990180" w14:textId="77777777" w:rsidR="00867839" w:rsidRPr="00C739B8" w:rsidRDefault="00867839" w:rsidP="00867839">
            <w:pPr>
              <w:pStyle w:val="xmsonormal"/>
              <w:ind w:left="360"/>
              <w:jc w:val="both"/>
              <w:rPr>
                <w:rFonts w:ascii="Verdana" w:hAnsi="Verdana"/>
                <w:sz w:val="18"/>
                <w:szCs w:val="18"/>
              </w:rPr>
            </w:pPr>
            <w:r w:rsidRPr="00C739B8">
              <w:rPr>
                <w:rFonts w:ascii="Verdana" w:hAnsi="Verdana" w:cs="Arial"/>
                <w:sz w:val="18"/>
                <w:szCs w:val="18"/>
              </w:rPr>
              <w:t> </w:t>
            </w:r>
          </w:p>
          <w:p w14:paraId="0D7196D1" w14:textId="73416C0E" w:rsidR="00867839" w:rsidRPr="00C739B8" w:rsidRDefault="00867839" w:rsidP="00867839">
            <w:pPr>
              <w:pStyle w:val="xmsonormal"/>
              <w:ind w:left="360"/>
              <w:jc w:val="both"/>
              <w:rPr>
                <w:rFonts w:ascii="Verdana" w:hAnsi="Verdana"/>
                <w:sz w:val="18"/>
                <w:szCs w:val="18"/>
              </w:rPr>
            </w:pPr>
          </w:p>
          <w:p w14:paraId="59B377DC" w14:textId="77777777" w:rsidR="00867839" w:rsidRPr="00C739B8" w:rsidRDefault="00867839" w:rsidP="00867839">
            <w:pPr>
              <w:pStyle w:val="xmsonormal"/>
              <w:jc w:val="both"/>
              <w:rPr>
                <w:rFonts w:ascii="Verdana" w:hAnsi="Verdana"/>
                <w:sz w:val="18"/>
                <w:szCs w:val="18"/>
              </w:rPr>
            </w:pPr>
            <w:r w:rsidRPr="00C739B8">
              <w:rPr>
                <w:rFonts w:ascii="Verdana" w:hAnsi="Verdana" w:cs="Arial"/>
                <w:sz w:val="18"/>
                <w:szCs w:val="18"/>
              </w:rPr>
              <w:t xml:space="preserve">Por otra parte, el Decreto 659 de 2024 contempla otras medidas tendientes a </w:t>
            </w:r>
            <w:r w:rsidRPr="00C739B8">
              <w:rPr>
                <w:rFonts w:ascii="Verdana" w:hAnsi="Verdana" w:cs="Arial"/>
                <w:sz w:val="18"/>
                <w:szCs w:val="18"/>
              </w:rPr>
              <w:lastRenderedPageBreak/>
              <w:t>simplificar los trámites aduaneros para facilitar el comercio exterior, como lo son:</w:t>
            </w:r>
          </w:p>
          <w:p w14:paraId="550A2C01" w14:textId="77777777" w:rsidR="00867839" w:rsidRPr="00C739B8" w:rsidRDefault="00867839" w:rsidP="00867839">
            <w:pPr>
              <w:pStyle w:val="xmsonormal"/>
              <w:ind w:left="360"/>
              <w:jc w:val="both"/>
              <w:rPr>
                <w:rFonts w:ascii="Verdana" w:hAnsi="Verdana"/>
                <w:sz w:val="18"/>
                <w:szCs w:val="18"/>
              </w:rPr>
            </w:pPr>
            <w:r w:rsidRPr="00C739B8">
              <w:rPr>
                <w:rFonts w:ascii="Verdana" w:hAnsi="Verdana" w:cs="Arial"/>
                <w:sz w:val="18"/>
                <w:szCs w:val="18"/>
              </w:rPr>
              <w:t> </w:t>
            </w:r>
          </w:p>
          <w:p w14:paraId="02471096" w14:textId="77777777" w:rsidR="00867839" w:rsidRPr="00C739B8" w:rsidRDefault="00867839" w:rsidP="00867839">
            <w:pPr>
              <w:pStyle w:val="xmsonormal"/>
              <w:numPr>
                <w:ilvl w:val="0"/>
                <w:numId w:val="3"/>
              </w:numPr>
              <w:ind w:left="426" w:hanging="426"/>
              <w:jc w:val="both"/>
              <w:rPr>
                <w:rFonts w:ascii="Verdana" w:hAnsi="Verdana" w:cs="Arial"/>
                <w:sz w:val="18"/>
                <w:szCs w:val="18"/>
              </w:rPr>
            </w:pPr>
            <w:r w:rsidRPr="00C739B8">
              <w:rPr>
                <w:rFonts w:ascii="Verdana" w:hAnsi="Verdana" w:cs="Arial"/>
                <w:sz w:val="18"/>
                <w:szCs w:val="18"/>
              </w:rPr>
              <w:t>Promover la inversión y la industria naval, aprovechando la posición geográfica de nuestro país, adoptando medidas para facilitar el ingreso a las instalaciones industriales habilitadas que realizan reparaciones, acondicionamientos y construcción de naves y buques, y de sus partes.</w:t>
            </w:r>
          </w:p>
          <w:p w14:paraId="7B540562" w14:textId="77777777" w:rsidR="00867839" w:rsidRPr="00C739B8" w:rsidRDefault="00867839" w:rsidP="00867839">
            <w:pPr>
              <w:pStyle w:val="xmsonormal"/>
              <w:ind w:left="426"/>
              <w:jc w:val="both"/>
              <w:rPr>
                <w:rFonts w:ascii="Verdana" w:hAnsi="Verdana" w:cs="Arial"/>
                <w:sz w:val="18"/>
                <w:szCs w:val="18"/>
              </w:rPr>
            </w:pPr>
          </w:p>
          <w:p w14:paraId="615F77F7" w14:textId="77777777" w:rsidR="00867839" w:rsidRPr="00C739B8" w:rsidRDefault="00867839" w:rsidP="00867839">
            <w:pPr>
              <w:pStyle w:val="xmsonormal"/>
              <w:numPr>
                <w:ilvl w:val="0"/>
                <w:numId w:val="3"/>
              </w:numPr>
              <w:ind w:left="426" w:hanging="426"/>
              <w:jc w:val="both"/>
              <w:rPr>
                <w:rFonts w:ascii="Verdana" w:hAnsi="Verdana" w:cs="Arial"/>
                <w:sz w:val="18"/>
                <w:szCs w:val="18"/>
              </w:rPr>
            </w:pPr>
            <w:r w:rsidRPr="00C739B8">
              <w:rPr>
                <w:rFonts w:ascii="Verdana" w:hAnsi="Verdana" w:cs="Arial"/>
                <w:sz w:val="18"/>
                <w:szCs w:val="18"/>
              </w:rPr>
              <w:t>Disminuir los términos para proferir las resoluciones de clasificación arancelaria ordinarias, respecto de las solicitudes presentadas por los usuarios aduaneros.</w:t>
            </w:r>
          </w:p>
          <w:p w14:paraId="268A16C6" w14:textId="77777777" w:rsidR="00867839" w:rsidRPr="00C739B8" w:rsidRDefault="00867839" w:rsidP="00867839">
            <w:pPr>
              <w:pStyle w:val="xmsonormal"/>
              <w:ind w:left="360"/>
              <w:jc w:val="both"/>
              <w:rPr>
                <w:rFonts w:ascii="Verdana" w:hAnsi="Verdana"/>
                <w:sz w:val="18"/>
                <w:szCs w:val="18"/>
              </w:rPr>
            </w:pPr>
            <w:r w:rsidRPr="00C739B8">
              <w:rPr>
                <w:rFonts w:ascii="Verdana" w:hAnsi="Verdana" w:cs="Arial"/>
                <w:sz w:val="18"/>
                <w:szCs w:val="18"/>
              </w:rPr>
              <w:t> </w:t>
            </w:r>
          </w:p>
          <w:p w14:paraId="1A986DD1" w14:textId="77777777" w:rsidR="00867839" w:rsidRPr="00C739B8" w:rsidRDefault="00867839" w:rsidP="00867839">
            <w:pPr>
              <w:pStyle w:val="xmsonormal"/>
              <w:jc w:val="both"/>
              <w:rPr>
                <w:rFonts w:ascii="Verdana" w:hAnsi="Verdana"/>
                <w:sz w:val="18"/>
                <w:szCs w:val="18"/>
              </w:rPr>
            </w:pPr>
            <w:r w:rsidRPr="00C739B8">
              <w:rPr>
                <w:rFonts w:ascii="Verdana" w:hAnsi="Verdana" w:cs="Arial"/>
                <w:sz w:val="18"/>
                <w:szCs w:val="18"/>
              </w:rPr>
              <w:t>Así mismo, establecer criterios de clasificación, para la expedición de resoluciones de oficio, que garanticen lineamientos de la Organización Mundial de Aduanas y de la Comunidad Andina, para la aplicación armónica al momento de la clasificación arancelaria, orientado a:</w:t>
            </w:r>
          </w:p>
          <w:p w14:paraId="64B9B421" w14:textId="77777777" w:rsidR="00867839" w:rsidRPr="00C739B8" w:rsidRDefault="00867839" w:rsidP="00867839">
            <w:pPr>
              <w:pStyle w:val="xmsonormal"/>
              <w:ind w:left="360"/>
              <w:jc w:val="both"/>
              <w:rPr>
                <w:rFonts w:ascii="Verdana" w:hAnsi="Verdana"/>
                <w:sz w:val="18"/>
                <w:szCs w:val="18"/>
              </w:rPr>
            </w:pPr>
            <w:r w:rsidRPr="00C739B8">
              <w:rPr>
                <w:rFonts w:ascii="Verdana" w:hAnsi="Verdana" w:cs="Arial"/>
                <w:sz w:val="18"/>
                <w:szCs w:val="18"/>
              </w:rPr>
              <w:t> </w:t>
            </w:r>
          </w:p>
          <w:p w14:paraId="43404196" w14:textId="77777777" w:rsidR="00867839" w:rsidRPr="00C739B8" w:rsidRDefault="00867839" w:rsidP="00867839">
            <w:pPr>
              <w:pStyle w:val="xmsonormal"/>
              <w:numPr>
                <w:ilvl w:val="0"/>
                <w:numId w:val="3"/>
              </w:numPr>
              <w:ind w:left="426" w:hanging="426"/>
              <w:jc w:val="both"/>
              <w:rPr>
                <w:rFonts w:ascii="Verdana" w:hAnsi="Verdana" w:cs="Arial"/>
                <w:sz w:val="18"/>
                <w:szCs w:val="18"/>
              </w:rPr>
            </w:pPr>
            <w:r w:rsidRPr="00C739B8">
              <w:rPr>
                <w:rFonts w:ascii="Verdana" w:hAnsi="Verdana" w:cs="Arial"/>
                <w:sz w:val="18"/>
                <w:szCs w:val="18"/>
              </w:rPr>
              <w:t>Lograr mayores eficiencias en las operaciones aduaneras que se realizarán en el lugar de arribo, implementando progresivamente un esquema que permita realizar las operaciones de comercio exterior, veinticuatro horas al día, siete días a la semana (24/7).</w:t>
            </w:r>
          </w:p>
          <w:p w14:paraId="1320EB0A" w14:textId="77777777" w:rsidR="00867839" w:rsidRPr="00C739B8" w:rsidRDefault="00867839" w:rsidP="00867839">
            <w:pPr>
              <w:pStyle w:val="xmsonormal"/>
              <w:jc w:val="both"/>
              <w:rPr>
                <w:rFonts w:ascii="Verdana" w:hAnsi="Verdana" w:cs="Arial"/>
                <w:sz w:val="18"/>
                <w:szCs w:val="18"/>
              </w:rPr>
            </w:pPr>
          </w:p>
          <w:p w14:paraId="09022FF3" w14:textId="5A792102" w:rsidR="0052318A" w:rsidRPr="00C739B8" w:rsidRDefault="00867839" w:rsidP="00867839">
            <w:pPr>
              <w:pStyle w:val="xmsolistparagraph"/>
              <w:ind w:left="0"/>
              <w:jc w:val="both"/>
              <w:rPr>
                <w:rFonts w:ascii="Verdana" w:eastAsia="Times New Roman" w:hAnsi="Verdana"/>
                <w:sz w:val="18"/>
                <w:szCs w:val="18"/>
              </w:rPr>
            </w:pPr>
            <w:r w:rsidRPr="00C739B8">
              <w:rPr>
                <w:rFonts w:ascii="Verdana" w:hAnsi="Verdana" w:cs="Arial"/>
                <w:sz w:val="18"/>
                <w:szCs w:val="18"/>
              </w:rPr>
              <w:t> </w:t>
            </w:r>
            <w:r w:rsidR="00B10CA5" w:rsidRPr="00C739B8">
              <w:rPr>
                <w:rFonts w:ascii="Verdana" w:hAnsi="Verdana"/>
                <w:sz w:val="18"/>
                <w:szCs w:val="18"/>
              </w:rPr>
              <w:t>Por otro lado, g</w:t>
            </w:r>
            <w:r w:rsidRPr="00C739B8">
              <w:rPr>
                <w:rFonts w:ascii="Verdana" w:eastAsia="Times New Roman" w:hAnsi="Verdana" w:cs="Arial"/>
                <w:sz w:val="18"/>
                <w:szCs w:val="18"/>
              </w:rPr>
              <w:t xml:space="preserve">racias a la Facilitación y Control Inteligente de Aduanas, así </w:t>
            </w:r>
            <w:r w:rsidRPr="00C739B8">
              <w:rPr>
                <w:rFonts w:ascii="Verdana" w:eastAsia="Times New Roman" w:hAnsi="Verdana" w:cs="Arial"/>
                <w:sz w:val="18"/>
                <w:szCs w:val="18"/>
              </w:rPr>
              <w:lastRenderedPageBreak/>
              <w:t>como a la implementación de ajustes a los sistemas y procedimientos aduaneros, se logró una disminución en los tiempos de despacho, lo cual implica disminución en los costos logísticos para los importadores y exportadores colombianos.</w:t>
            </w:r>
          </w:p>
        </w:tc>
      </w:tr>
    </w:tbl>
    <w:p w14:paraId="564CE93C" w14:textId="7619AA75" w:rsidR="00FB122A" w:rsidRPr="002A17E0" w:rsidRDefault="00FB122A" w:rsidP="007B6D6A">
      <w:pPr>
        <w:rPr>
          <w:rFonts w:ascii="Verdana" w:hAnsi="Verdana"/>
          <w:b/>
          <w:bCs/>
        </w:rPr>
      </w:pPr>
    </w:p>
    <w:tbl>
      <w:tblPr>
        <w:tblStyle w:val="Tablaconcuadrcula"/>
        <w:tblW w:w="8828" w:type="dxa"/>
        <w:tblLook w:val="04A0" w:firstRow="1" w:lastRow="0" w:firstColumn="1" w:lastColumn="0" w:noHBand="0" w:noVBand="1"/>
      </w:tblPr>
      <w:tblGrid>
        <w:gridCol w:w="1965"/>
        <w:gridCol w:w="2043"/>
        <w:gridCol w:w="4820"/>
      </w:tblGrid>
      <w:tr w:rsidR="0011677A" w:rsidRPr="002A17E0" w14:paraId="1DBB6A1A" w14:textId="77777777" w:rsidTr="009B4DFC">
        <w:trPr>
          <w:trHeight w:val="649"/>
          <w:tblHeader/>
        </w:trPr>
        <w:tc>
          <w:tcPr>
            <w:tcW w:w="1965" w:type="dxa"/>
            <w:shd w:val="clear" w:color="auto" w:fill="auto"/>
            <w:vAlign w:val="center"/>
          </w:tcPr>
          <w:p w14:paraId="44DAA074" w14:textId="77777777" w:rsidR="0011677A" w:rsidRPr="002A17E0" w:rsidRDefault="0011677A" w:rsidP="009B4DFC">
            <w:pPr>
              <w:jc w:val="center"/>
              <w:rPr>
                <w:rFonts w:ascii="Verdana" w:hAnsi="Verdana" w:cs="Arial"/>
                <w:b/>
                <w:bCs/>
                <w:sz w:val="18"/>
                <w:szCs w:val="18"/>
              </w:rPr>
            </w:pPr>
            <w:r w:rsidRPr="002A17E0">
              <w:rPr>
                <w:rFonts w:ascii="Verdana" w:hAnsi="Verdana" w:cs="Arial"/>
                <w:b/>
                <w:bCs/>
                <w:sz w:val="18"/>
                <w:szCs w:val="18"/>
              </w:rPr>
              <w:t>CONCEPTO</w:t>
            </w:r>
          </w:p>
        </w:tc>
        <w:tc>
          <w:tcPr>
            <w:tcW w:w="2043" w:type="dxa"/>
            <w:shd w:val="clear" w:color="auto" w:fill="auto"/>
            <w:vAlign w:val="center"/>
          </w:tcPr>
          <w:p w14:paraId="124A4F8B" w14:textId="77777777" w:rsidR="0011677A" w:rsidRPr="002A17E0" w:rsidRDefault="0011677A" w:rsidP="009B4DFC">
            <w:pPr>
              <w:jc w:val="center"/>
              <w:rPr>
                <w:rFonts w:ascii="Verdana" w:hAnsi="Verdana" w:cs="Arial"/>
                <w:b/>
                <w:bCs/>
                <w:sz w:val="18"/>
                <w:szCs w:val="18"/>
              </w:rPr>
            </w:pPr>
            <w:r w:rsidRPr="002A17E0">
              <w:rPr>
                <w:rFonts w:ascii="Verdana" w:hAnsi="Verdana" w:cs="Arial"/>
                <w:b/>
                <w:bCs/>
                <w:sz w:val="18"/>
                <w:szCs w:val="18"/>
              </w:rPr>
              <w:t>PRINCIPALES RUBROS PRESUPUESTALES</w:t>
            </w:r>
          </w:p>
        </w:tc>
        <w:tc>
          <w:tcPr>
            <w:tcW w:w="4820" w:type="dxa"/>
            <w:shd w:val="clear" w:color="auto" w:fill="auto"/>
            <w:vAlign w:val="center"/>
          </w:tcPr>
          <w:p w14:paraId="47DA5353" w14:textId="77777777" w:rsidR="0011677A" w:rsidRPr="002A17E0" w:rsidRDefault="0011677A" w:rsidP="009B4DFC">
            <w:pPr>
              <w:jc w:val="center"/>
              <w:rPr>
                <w:rFonts w:ascii="Verdana" w:hAnsi="Verdana" w:cs="Arial"/>
                <w:b/>
                <w:bCs/>
                <w:sz w:val="18"/>
                <w:szCs w:val="18"/>
              </w:rPr>
            </w:pPr>
            <w:r w:rsidRPr="002A17E0">
              <w:rPr>
                <w:rFonts w:ascii="Verdana" w:hAnsi="Verdana" w:cs="Arial"/>
                <w:b/>
                <w:bCs/>
                <w:sz w:val="18"/>
                <w:szCs w:val="18"/>
              </w:rPr>
              <w:t>RESULTADO MISIONAL</w:t>
            </w:r>
          </w:p>
        </w:tc>
      </w:tr>
      <w:tr w:rsidR="0011677A" w:rsidRPr="002A17E0" w14:paraId="329FBC5D" w14:textId="77777777" w:rsidTr="009B4DFC">
        <w:trPr>
          <w:trHeight w:val="300"/>
        </w:trPr>
        <w:tc>
          <w:tcPr>
            <w:tcW w:w="8828" w:type="dxa"/>
            <w:gridSpan w:val="3"/>
            <w:vAlign w:val="center"/>
          </w:tcPr>
          <w:p w14:paraId="39E21DD8" w14:textId="77777777" w:rsidR="0011677A" w:rsidRPr="002A17E0" w:rsidRDefault="0011677A" w:rsidP="009B4DFC">
            <w:pPr>
              <w:spacing w:beforeAutospacing="1" w:afterAutospacing="1"/>
              <w:contextualSpacing/>
              <w:jc w:val="center"/>
              <w:rPr>
                <w:rFonts w:ascii="Verdana" w:hAnsi="Verdana" w:cs="Arial"/>
                <w:b/>
                <w:bCs/>
                <w:sz w:val="18"/>
                <w:szCs w:val="18"/>
              </w:rPr>
            </w:pPr>
            <w:r w:rsidRPr="002A17E0">
              <w:rPr>
                <w:rFonts w:ascii="Verdana" w:hAnsi="Verdana" w:cs="Arial"/>
                <w:b/>
                <w:bCs/>
                <w:sz w:val="18"/>
                <w:szCs w:val="18"/>
              </w:rPr>
              <w:t>INVERSIÓN</w:t>
            </w:r>
          </w:p>
        </w:tc>
      </w:tr>
      <w:tr w:rsidR="0011677A" w:rsidRPr="002A17E0" w14:paraId="0D21C074" w14:textId="77777777" w:rsidTr="00B32D56">
        <w:trPr>
          <w:trHeight w:val="614"/>
        </w:trPr>
        <w:tc>
          <w:tcPr>
            <w:tcW w:w="1965" w:type="dxa"/>
            <w:vMerge w:val="restart"/>
            <w:vAlign w:val="center"/>
          </w:tcPr>
          <w:p w14:paraId="350A0DE8"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
              </w:rPr>
              <w:t>PROGRAMA PRESUPUESTAL 1305 FORTALECIMIENTO DEL RECAUDO Y TRIBUTACIÓN</w:t>
            </w:r>
          </w:p>
        </w:tc>
        <w:tc>
          <w:tcPr>
            <w:tcW w:w="2043" w:type="dxa"/>
            <w:vAlign w:val="center"/>
          </w:tcPr>
          <w:p w14:paraId="5DC45A1E" w14:textId="7834B958" w:rsidR="0011677A" w:rsidRPr="00E4283A" w:rsidRDefault="001436E8" w:rsidP="009B4DFC">
            <w:pPr>
              <w:spacing w:beforeAutospacing="1" w:afterAutospacing="1"/>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ES"/>
              </w:rPr>
              <w:t>IMPLEMENTACIÓN Y MASIFICACIÓN DE NUEVOS DOCUMENTOS ELECTRÓNICOS DEL SISTEMA DE FACTURACIÓN NACIONAL</w:t>
            </w:r>
          </w:p>
        </w:tc>
        <w:tc>
          <w:tcPr>
            <w:tcW w:w="4820" w:type="dxa"/>
          </w:tcPr>
          <w:p w14:paraId="50C20CC3" w14:textId="1FDE8105"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El proyecto tiene como objetivo</w:t>
            </w:r>
            <w:r w:rsidR="005C52D4" w:rsidRPr="00E4283A">
              <w:rPr>
                <w:rStyle w:val="normaltextrun"/>
                <w:rFonts w:ascii="Verdana" w:hAnsi="Verdana" w:cs="Calibri"/>
                <w:color w:val="000000"/>
                <w:sz w:val="16"/>
                <w:szCs w:val="16"/>
                <w:bdr w:val="none" w:sz="0" w:space="0" w:color="auto" w:frame="1"/>
              </w:rPr>
              <w:t xml:space="preserve"> reducir el porcentaje de soportes fiscales en papel que no son electrónicos.</w:t>
            </w:r>
          </w:p>
          <w:p w14:paraId="3F7062D7" w14:textId="77777777"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p>
          <w:p w14:paraId="4227D4F6" w14:textId="4C1FAFC5" w:rsidR="0011677A" w:rsidRPr="00E4283A" w:rsidRDefault="0011677A" w:rsidP="00B32D56">
            <w:pPr>
              <w:spacing w:beforeAutospacing="1" w:afterAutospacing="1"/>
              <w:contextualSpacing/>
              <w:jc w:val="both"/>
              <w:rPr>
                <w:rFonts w:ascii="Verdana" w:eastAsia="Arial Narrow" w:hAnsi="Verdana" w:cs="Arial Narrow"/>
                <w:color w:val="201F1E"/>
                <w:sz w:val="16"/>
                <w:szCs w:val="16"/>
                <w:lang w:val="es"/>
              </w:rPr>
            </w:pPr>
            <w:r w:rsidRPr="00E4283A">
              <w:rPr>
                <w:rStyle w:val="normaltextrun"/>
                <w:rFonts w:ascii="Verdana" w:hAnsi="Verdana" w:cs="Calibri"/>
                <w:color w:val="000000"/>
                <w:sz w:val="16"/>
                <w:szCs w:val="16"/>
                <w:bdr w:val="none" w:sz="0" w:space="0" w:color="auto" w:frame="1"/>
              </w:rPr>
              <w:t>Durante 202</w:t>
            </w:r>
            <w:r w:rsidR="005C52D4" w:rsidRPr="00E4283A">
              <w:rPr>
                <w:rStyle w:val="normaltextrun"/>
                <w:rFonts w:ascii="Verdana" w:hAnsi="Verdana" w:cs="Calibri"/>
                <w:color w:val="000000"/>
                <w:sz w:val="16"/>
                <w:szCs w:val="16"/>
                <w:bdr w:val="none" w:sz="0" w:space="0" w:color="auto" w:frame="1"/>
              </w:rPr>
              <w:t xml:space="preserve">4 se ha avanzado </w:t>
            </w:r>
            <w:r w:rsidR="00BD0EDE" w:rsidRPr="00E4283A">
              <w:rPr>
                <w:rStyle w:val="normaltextrun"/>
                <w:rFonts w:ascii="Verdana" w:hAnsi="Verdana" w:cs="Calibri"/>
                <w:color w:val="000000"/>
                <w:sz w:val="16"/>
                <w:szCs w:val="16"/>
                <w:bdr w:val="none" w:sz="0" w:space="0" w:color="auto" w:frame="1"/>
              </w:rPr>
              <w:t xml:space="preserve">en </w:t>
            </w:r>
            <w:r w:rsidR="00D76250" w:rsidRPr="00E4283A">
              <w:rPr>
                <w:rStyle w:val="normaltextrun"/>
                <w:rFonts w:ascii="Verdana" w:hAnsi="Verdana" w:cs="Calibri"/>
                <w:color w:val="000000"/>
                <w:sz w:val="16"/>
                <w:szCs w:val="16"/>
                <w:bdr w:val="none" w:sz="0" w:space="0" w:color="auto" w:frame="1"/>
              </w:rPr>
              <w:t>la habilitación de 121.431 sujetos como facturadores electrónicos y la elaboración de 2 documentos normativos</w:t>
            </w:r>
            <w:r w:rsidR="00570252" w:rsidRPr="00E4283A">
              <w:rPr>
                <w:rStyle w:val="normaltextrun"/>
                <w:rFonts w:ascii="Verdana" w:hAnsi="Verdana" w:cs="Calibri"/>
                <w:color w:val="000000"/>
                <w:sz w:val="16"/>
                <w:szCs w:val="16"/>
                <w:bdr w:val="none" w:sz="0" w:space="0" w:color="auto" w:frame="1"/>
              </w:rPr>
              <w:t xml:space="preserve"> que permitirán la implementación de nuevos documentos electrónicos en el sistema de facturación.</w:t>
            </w:r>
          </w:p>
        </w:tc>
      </w:tr>
      <w:tr w:rsidR="0011677A" w:rsidRPr="002A17E0" w14:paraId="026EEB3D" w14:textId="77777777" w:rsidTr="00B32D56">
        <w:trPr>
          <w:trHeight w:val="614"/>
        </w:trPr>
        <w:tc>
          <w:tcPr>
            <w:tcW w:w="1965" w:type="dxa"/>
            <w:vMerge/>
            <w:vAlign w:val="center"/>
          </w:tcPr>
          <w:p w14:paraId="62E0E8DF"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p>
        </w:tc>
        <w:tc>
          <w:tcPr>
            <w:tcW w:w="2043" w:type="dxa"/>
            <w:vAlign w:val="center"/>
          </w:tcPr>
          <w:p w14:paraId="69529ED5"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ES"/>
              </w:rPr>
            </w:pPr>
            <w:r w:rsidRPr="00E4283A">
              <w:rPr>
                <w:rFonts w:ascii="Verdana" w:eastAsia="Arial Narrow" w:hAnsi="Verdana" w:cs="Arial Narrow"/>
                <w:color w:val="201F1E"/>
                <w:sz w:val="16"/>
                <w:szCs w:val="16"/>
                <w:lang w:val="es-ES"/>
              </w:rPr>
              <w:t>IMPLANTACIÓN PLAN ANUAL ANTIEVASION  NACIONAL</w:t>
            </w:r>
          </w:p>
        </w:tc>
        <w:tc>
          <w:tcPr>
            <w:tcW w:w="4820" w:type="dxa"/>
          </w:tcPr>
          <w:p w14:paraId="5126D34B" w14:textId="33254C96" w:rsidR="00871C27"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El proyecto busca fortalecer la capacidad operativa, que permita la disminución de los niveles de evasión, elusión y contrabando existentes en el país</w:t>
            </w:r>
            <w:r w:rsidR="00ED3B40" w:rsidRPr="00E4283A">
              <w:rPr>
                <w:rStyle w:val="normaltextrun"/>
                <w:rFonts w:ascii="Verdana" w:hAnsi="Verdana" w:cs="Calibri"/>
                <w:color w:val="000000"/>
                <w:sz w:val="16"/>
                <w:szCs w:val="16"/>
                <w:bdr w:val="none" w:sz="0" w:space="0" w:color="auto" w:frame="1"/>
              </w:rPr>
              <w:t>.</w:t>
            </w:r>
          </w:p>
          <w:p w14:paraId="0B1B4170" w14:textId="77777777" w:rsidR="00D13864" w:rsidRPr="00E4283A" w:rsidRDefault="00D13864" w:rsidP="00B32D56">
            <w:pPr>
              <w:spacing w:beforeAutospacing="1" w:afterAutospacing="1"/>
              <w:contextualSpacing/>
              <w:jc w:val="both"/>
              <w:rPr>
                <w:rStyle w:val="normaltextrun"/>
                <w:rFonts w:ascii="Verdana" w:hAnsi="Verdana" w:cs="Calibri"/>
                <w:color w:val="000000"/>
                <w:sz w:val="16"/>
                <w:szCs w:val="16"/>
                <w:bdr w:val="none" w:sz="0" w:space="0" w:color="auto" w:frame="1"/>
              </w:rPr>
            </w:pPr>
          </w:p>
          <w:p w14:paraId="4A0D7C86" w14:textId="38F7D91B" w:rsidR="00ED3B40" w:rsidRPr="00E4283A" w:rsidRDefault="00871C27" w:rsidP="00B32D56">
            <w:pPr>
              <w:spacing w:beforeAutospacing="1" w:afterAutospacing="1"/>
              <w:contextualSpacing/>
              <w:jc w:val="both"/>
              <w:rPr>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Durante 2024 se avanza en el componente logístico y los productos misionales se encuentran programados para el segundo semestre de la vigencia.</w:t>
            </w:r>
          </w:p>
        </w:tc>
      </w:tr>
      <w:tr w:rsidR="0011677A" w:rsidRPr="002A17E0" w14:paraId="7E3E3F48" w14:textId="77777777" w:rsidTr="00B32D56">
        <w:trPr>
          <w:trHeight w:val="614"/>
        </w:trPr>
        <w:tc>
          <w:tcPr>
            <w:tcW w:w="1965" w:type="dxa"/>
            <w:vMerge/>
            <w:vAlign w:val="center"/>
          </w:tcPr>
          <w:p w14:paraId="74432C5E"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p>
        </w:tc>
        <w:tc>
          <w:tcPr>
            <w:tcW w:w="2043" w:type="dxa"/>
            <w:vAlign w:val="center"/>
          </w:tcPr>
          <w:p w14:paraId="500A0E9B"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
              </w:rPr>
              <w:t>FORTALECIMIENTO Y DOTACION DEL LABORATORIO NACIONAL DE ADUANAS</w:t>
            </w:r>
          </w:p>
        </w:tc>
        <w:tc>
          <w:tcPr>
            <w:tcW w:w="4820" w:type="dxa"/>
          </w:tcPr>
          <w:p w14:paraId="366D39A7" w14:textId="1750A6A5"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El proyecto tiene como objetivo mejorar la oportunidad en la atención de las solicitudes de análisis físico químico de mercancías para control aduanero.</w:t>
            </w:r>
          </w:p>
          <w:p w14:paraId="2AA59CAA" w14:textId="77777777" w:rsidR="00D13864" w:rsidRPr="00E4283A" w:rsidRDefault="00D13864" w:rsidP="00B32D56">
            <w:pPr>
              <w:spacing w:beforeAutospacing="1" w:afterAutospacing="1"/>
              <w:contextualSpacing/>
              <w:jc w:val="both"/>
              <w:rPr>
                <w:rStyle w:val="normaltextrun"/>
                <w:rFonts w:ascii="Verdana" w:hAnsi="Verdana" w:cs="Calibri"/>
                <w:color w:val="000000"/>
                <w:sz w:val="16"/>
                <w:szCs w:val="16"/>
                <w:bdr w:val="none" w:sz="0" w:space="0" w:color="auto" w:frame="1"/>
              </w:rPr>
            </w:pPr>
          </w:p>
          <w:p w14:paraId="17499DFA" w14:textId="75E9EF3F" w:rsidR="0011677A" w:rsidRPr="00E4283A" w:rsidRDefault="00753691"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 xml:space="preserve">Los avances en este </w:t>
            </w:r>
            <w:r w:rsidR="00373202" w:rsidRPr="00E4283A">
              <w:rPr>
                <w:rStyle w:val="normaltextrun"/>
                <w:rFonts w:ascii="Verdana" w:hAnsi="Verdana" w:cs="Calibri"/>
                <w:color w:val="000000"/>
                <w:sz w:val="16"/>
                <w:szCs w:val="16"/>
                <w:bdr w:val="none" w:sz="0" w:space="0" w:color="auto" w:frame="1"/>
              </w:rPr>
              <w:t>proyecto</w:t>
            </w:r>
            <w:r w:rsidRPr="00E4283A">
              <w:rPr>
                <w:rStyle w:val="normaltextrun"/>
                <w:rFonts w:ascii="Verdana" w:hAnsi="Verdana" w:cs="Calibri"/>
                <w:color w:val="000000"/>
                <w:sz w:val="16"/>
                <w:szCs w:val="16"/>
                <w:bdr w:val="none" w:sz="0" w:space="0" w:color="auto" w:frame="1"/>
              </w:rPr>
              <w:t xml:space="preserve"> se </w:t>
            </w:r>
            <w:r w:rsidR="00373202" w:rsidRPr="00E4283A">
              <w:rPr>
                <w:rStyle w:val="normaltextrun"/>
                <w:rFonts w:ascii="Verdana" w:hAnsi="Verdana" w:cs="Calibri"/>
                <w:color w:val="000000"/>
                <w:sz w:val="16"/>
                <w:szCs w:val="16"/>
                <w:bdr w:val="none" w:sz="0" w:space="0" w:color="auto" w:frame="1"/>
              </w:rPr>
              <w:t xml:space="preserve">encuentran programados para el </w:t>
            </w:r>
            <w:r w:rsidRPr="00E4283A">
              <w:rPr>
                <w:rStyle w:val="normaltextrun"/>
                <w:rFonts w:ascii="Verdana" w:hAnsi="Verdana" w:cs="Calibri"/>
                <w:color w:val="000000"/>
                <w:sz w:val="16"/>
                <w:szCs w:val="16"/>
                <w:bdr w:val="none" w:sz="0" w:space="0" w:color="auto" w:frame="1"/>
              </w:rPr>
              <w:t>segundo semestre de 2024.</w:t>
            </w:r>
          </w:p>
        </w:tc>
      </w:tr>
      <w:tr w:rsidR="0011677A" w:rsidRPr="002A17E0" w14:paraId="33777027" w14:textId="77777777" w:rsidTr="00B32D56">
        <w:trPr>
          <w:trHeight w:val="614"/>
        </w:trPr>
        <w:tc>
          <w:tcPr>
            <w:tcW w:w="1965" w:type="dxa"/>
            <w:vMerge/>
            <w:vAlign w:val="center"/>
          </w:tcPr>
          <w:p w14:paraId="350EA797"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p>
        </w:tc>
        <w:tc>
          <w:tcPr>
            <w:tcW w:w="2043" w:type="dxa"/>
            <w:vAlign w:val="center"/>
          </w:tcPr>
          <w:p w14:paraId="0E401E34"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
              </w:rPr>
              <w:t>FORTALECIMIENTO DE CAPACIDADES EN TECNOLOGÍAS DE LA INFORMACIÓN EN LA DIAN</w:t>
            </w:r>
          </w:p>
        </w:tc>
        <w:tc>
          <w:tcPr>
            <w:tcW w:w="4820" w:type="dxa"/>
          </w:tcPr>
          <w:p w14:paraId="4CD37C45" w14:textId="77777777"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El proyecto tiene como objetivo optimizar la gestión de la información a nivel institucional.</w:t>
            </w:r>
          </w:p>
          <w:p w14:paraId="68533290" w14:textId="77777777"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p>
          <w:p w14:paraId="3A49921F" w14:textId="15E507ED"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Durante 202</w:t>
            </w:r>
            <w:r w:rsidR="00B976AD" w:rsidRPr="00E4283A">
              <w:rPr>
                <w:rStyle w:val="normaltextrun"/>
                <w:rFonts w:ascii="Verdana" w:hAnsi="Verdana" w:cs="Calibri"/>
                <w:color w:val="000000"/>
                <w:sz w:val="16"/>
                <w:szCs w:val="16"/>
                <w:bdr w:val="none" w:sz="0" w:space="0" w:color="auto" w:frame="1"/>
              </w:rPr>
              <w:t>4</w:t>
            </w:r>
            <w:r w:rsidRPr="00E4283A">
              <w:rPr>
                <w:rStyle w:val="normaltextrun"/>
                <w:rFonts w:ascii="Verdana" w:hAnsi="Verdana" w:cs="Calibri"/>
                <w:color w:val="000000"/>
                <w:sz w:val="16"/>
                <w:szCs w:val="16"/>
                <w:bdr w:val="none" w:sz="0" w:space="0" w:color="auto" w:frame="1"/>
              </w:rPr>
              <w:t xml:space="preserve"> se</w:t>
            </w:r>
            <w:r w:rsidR="00B976AD" w:rsidRPr="00E4283A">
              <w:rPr>
                <w:rStyle w:val="normaltextrun"/>
                <w:rFonts w:ascii="Verdana" w:hAnsi="Verdana" w:cs="Calibri"/>
                <w:color w:val="000000"/>
                <w:sz w:val="16"/>
                <w:szCs w:val="16"/>
                <w:bdr w:val="none" w:sz="0" w:space="0" w:color="auto" w:frame="1"/>
              </w:rPr>
              <w:t xml:space="preserve"> avanza en </w:t>
            </w:r>
            <w:r w:rsidRPr="00E4283A">
              <w:rPr>
                <w:rStyle w:val="normaltextrun"/>
                <w:rFonts w:ascii="Verdana" w:hAnsi="Verdana" w:cs="Calibri"/>
                <w:color w:val="000000"/>
                <w:sz w:val="16"/>
                <w:szCs w:val="16"/>
                <w:bdr w:val="none" w:sz="0" w:space="0" w:color="auto" w:frame="1"/>
              </w:rPr>
              <w:t xml:space="preserve">la actualización de </w:t>
            </w:r>
            <w:r w:rsidR="00B976AD" w:rsidRPr="00E4283A">
              <w:rPr>
                <w:rStyle w:val="normaltextrun"/>
                <w:rFonts w:ascii="Verdana" w:hAnsi="Verdana" w:cs="Calibri"/>
                <w:color w:val="000000"/>
                <w:sz w:val="16"/>
                <w:szCs w:val="16"/>
                <w:bdr w:val="none" w:sz="0" w:space="0" w:color="auto" w:frame="1"/>
              </w:rPr>
              <w:t>2</w:t>
            </w:r>
            <w:r w:rsidRPr="00E4283A">
              <w:rPr>
                <w:rStyle w:val="normaltextrun"/>
                <w:rFonts w:ascii="Verdana" w:hAnsi="Verdana" w:cs="Calibri"/>
                <w:color w:val="000000"/>
                <w:sz w:val="16"/>
                <w:szCs w:val="16"/>
                <w:bdr w:val="none" w:sz="0" w:space="0" w:color="auto" w:frame="1"/>
              </w:rPr>
              <w:t xml:space="preserve"> sistemas de información y se </w:t>
            </w:r>
            <w:r w:rsidR="00B976AD" w:rsidRPr="00E4283A">
              <w:rPr>
                <w:rStyle w:val="normaltextrun"/>
                <w:rFonts w:ascii="Verdana" w:hAnsi="Verdana" w:cs="Calibri"/>
                <w:color w:val="000000"/>
                <w:sz w:val="16"/>
                <w:szCs w:val="16"/>
                <w:bdr w:val="none" w:sz="0" w:space="0" w:color="auto" w:frame="1"/>
              </w:rPr>
              <w:t xml:space="preserve">ha logrado un </w:t>
            </w:r>
            <w:r w:rsidRPr="00E4283A">
              <w:rPr>
                <w:rStyle w:val="normaltextrun"/>
                <w:rFonts w:ascii="Verdana" w:hAnsi="Verdana" w:cs="Calibri"/>
                <w:color w:val="000000"/>
                <w:sz w:val="16"/>
                <w:szCs w:val="16"/>
                <w:bdr w:val="none" w:sz="0" w:space="0" w:color="auto" w:frame="1"/>
              </w:rPr>
              <w:t>Índice de Prestación de los Servicios Tecnológicos de  9</w:t>
            </w:r>
            <w:r w:rsidR="00B20BD3" w:rsidRPr="00E4283A">
              <w:rPr>
                <w:rStyle w:val="normaltextrun"/>
                <w:rFonts w:ascii="Verdana" w:hAnsi="Verdana" w:cs="Calibri"/>
                <w:color w:val="000000"/>
                <w:sz w:val="16"/>
                <w:szCs w:val="16"/>
                <w:bdr w:val="none" w:sz="0" w:space="0" w:color="auto" w:frame="1"/>
              </w:rPr>
              <w:t>9</w:t>
            </w:r>
            <w:r w:rsidRPr="00E4283A">
              <w:rPr>
                <w:rStyle w:val="normaltextrun"/>
                <w:rFonts w:ascii="Verdana" w:hAnsi="Verdana" w:cs="Calibri"/>
                <w:color w:val="000000"/>
                <w:sz w:val="16"/>
                <w:szCs w:val="16"/>
                <w:bdr w:val="none" w:sz="0" w:space="0" w:color="auto" w:frame="1"/>
              </w:rPr>
              <w:t>%.</w:t>
            </w:r>
          </w:p>
        </w:tc>
      </w:tr>
      <w:tr w:rsidR="0011677A" w:rsidRPr="002A17E0" w14:paraId="47190319" w14:textId="77777777" w:rsidTr="00B32D56">
        <w:trPr>
          <w:trHeight w:val="614"/>
        </w:trPr>
        <w:tc>
          <w:tcPr>
            <w:tcW w:w="1965" w:type="dxa"/>
            <w:vAlign w:val="center"/>
          </w:tcPr>
          <w:p w14:paraId="08164730"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
              </w:rPr>
              <w:lastRenderedPageBreak/>
              <w:t>PROGRAMA PRESUPUESTAL 1399 FORTALECIMIENTO DE LA GESTIÓN Y DIRECCIÓN DEL SECTOR HACIENDA</w:t>
            </w:r>
          </w:p>
          <w:p w14:paraId="59B5A6B2" w14:textId="77777777" w:rsidR="0011677A" w:rsidRPr="00E4283A" w:rsidRDefault="0011677A" w:rsidP="009B4DFC">
            <w:pPr>
              <w:spacing w:beforeAutospacing="1" w:afterAutospacing="1"/>
              <w:contextualSpacing/>
              <w:jc w:val="center"/>
              <w:rPr>
                <w:rFonts w:ascii="Verdana" w:eastAsia="Arial Narrow" w:hAnsi="Verdana" w:cs="Arial Narrow"/>
                <w:color w:val="201F1E"/>
                <w:sz w:val="16"/>
                <w:szCs w:val="16"/>
                <w:lang w:val="es"/>
              </w:rPr>
            </w:pPr>
          </w:p>
        </w:tc>
        <w:tc>
          <w:tcPr>
            <w:tcW w:w="2043" w:type="dxa"/>
            <w:vAlign w:val="center"/>
          </w:tcPr>
          <w:p w14:paraId="3E1C8D0D" w14:textId="612914AA" w:rsidR="0011677A" w:rsidRPr="00E4283A" w:rsidRDefault="0011677A" w:rsidP="00086959">
            <w:pPr>
              <w:spacing w:beforeAutospacing="1" w:after="160" w:afterAutospacing="1" w:line="259" w:lineRule="auto"/>
              <w:contextualSpacing/>
              <w:jc w:val="center"/>
              <w:rPr>
                <w:rFonts w:ascii="Verdana" w:eastAsia="Arial Narrow" w:hAnsi="Verdana" w:cs="Arial Narrow"/>
                <w:color w:val="201F1E"/>
                <w:sz w:val="16"/>
                <w:szCs w:val="16"/>
                <w:lang w:val="es"/>
              </w:rPr>
            </w:pPr>
            <w:r w:rsidRPr="00E4283A">
              <w:rPr>
                <w:rFonts w:ascii="Verdana" w:eastAsia="Arial Narrow" w:hAnsi="Verdana" w:cs="Arial Narrow"/>
                <w:color w:val="201F1E"/>
                <w:sz w:val="16"/>
                <w:szCs w:val="16"/>
                <w:lang w:val="es"/>
              </w:rPr>
              <w:t>MANTENIMIENTO Y ADECUACIÓN DE LA INFRAESTRUCTURA FÍSICA DE LA DIRECCIÓN DE IMPUESTOS Y ADUANAS NACIONALES A NIVEL NACIONAL</w:t>
            </w:r>
          </w:p>
        </w:tc>
        <w:tc>
          <w:tcPr>
            <w:tcW w:w="4820" w:type="dxa"/>
          </w:tcPr>
          <w:p w14:paraId="685BF23A" w14:textId="77777777"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 xml:space="preserve">El proyecto tiene como objetivo optimizar el estado de la </w:t>
            </w:r>
            <w:r w:rsidRPr="00E4283A">
              <w:rPr>
                <w:rStyle w:val="normaltextrun"/>
                <w:rFonts w:ascii="Verdana" w:hAnsi="Verdana"/>
                <w:sz w:val="16"/>
                <w:szCs w:val="16"/>
                <w:bdr w:val="none" w:sz="0" w:space="0" w:color="auto" w:frame="1"/>
              </w:rPr>
              <w:t>infraest</w:t>
            </w:r>
            <w:r w:rsidRPr="00E4283A">
              <w:rPr>
                <w:rStyle w:val="normaltextrun"/>
                <w:rFonts w:ascii="Verdana" w:hAnsi="Verdana" w:cs="Calibri"/>
                <w:color w:val="000000"/>
                <w:sz w:val="16"/>
                <w:szCs w:val="16"/>
                <w:bdr w:val="none" w:sz="0" w:space="0" w:color="auto" w:frame="1"/>
              </w:rPr>
              <w:t>ructura física de la entidad.</w:t>
            </w:r>
          </w:p>
          <w:p w14:paraId="2A68985A" w14:textId="77777777" w:rsidR="0011677A" w:rsidRPr="00E4283A" w:rsidRDefault="0011677A" w:rsidP="00B32D56">
            <w:pPr>
              <w:spacing w:beforeAutospacing="1" w:afterAutospacing="1"/>
              <w:contextualSpacing/>
              <w:jc w:val="both"/>
              <w:rPr>
                <w:rStyle w:val="normaltextrun"/>
                <w:rFonts w:ascii="Verdana" w:hAnsi="Verdana" w:cs="Calibri"/>
                <w:color w:val="000000"/>
                <w:sz w:val="16"/>
                <w:szCs w:val="16"/>
                <w:bdr w:val="none" w:sz="0" w:space="0" w:color="auto" w:frame="1"/>
              </w:rPr>
            </w:pPr>
          </w:p>
          <w:p w14:paraId="09A98326" w14:textId="5FAA3D69" w:rsidR="0011677A" w:rsidRPr="00E4283A" w:rsidRDefault="003E7D66" w:rsidP="00B32D56">
            <w:pPr>
              <w:spacing w:beforeAutospacing="1" w:afterAutospacing="1"/>
              <w:contextualSpacing/>
              <w:jc w:val="both"/>
              <w:rPr>
                <w:rStyle w:val="normaltextrun"/>
                <w:rFonts w:ascii="Verdana" w:hAnsi="Verdana" w:cs="Calibri"/>
                <w:color w:val="000000"/>
                <w:sz w:val="16"/>
                <w:szCs w:val="16"/>
                <w:bdr w:val="none" w:sz="0" w:space="0" w:color="auto" w:frame="1"/>
              </w:rPr>
            </w:pPr>
            <w:r w:rsidRPr="00E4283A">
              <w:rPr>
                <w:rStyle w:val="normaltextrun"/>
                <w:rFonts w:ascii="Verdana" w:hAnsi="Verdana" w:cs="Calibri"/>
                <w:color w:val="000000"/>
                <w:sz w:val="16"/>
                <w:szCs w:val="16"/>
                <w:bdr w:val="none" w:sz="0" w:space="0" w:color="auto" w:frame="1"/>
              </w:rPr>
              <w:t xml:space="preserve">En lo corrido de 2024, </w:t>
            </w:r>
            <w:r w:rsidR="0011677A" w:rsidRPr="00E4283A">
              <w:rPr>
                <w:rStyle w:val="normaltextrun"/>
                <w:rFonts w:ascii="Verdana" w:hAnsi="Verdana" w:cs="Calibri"/>
                <w:color w:val="000000"/>
                <w:sz w:val="16"/>
                <w:szCs w:val="16"/>
                <w:bdr w:val="none" w:sz="0" w:space="0" w:color="auto" w:frame="1"/>
              </w:rPr>
              <w:t xml:space="preserve">se avanzó en la mejora a las condiciones de la infraestructura física de </w:t>
            </w:r>
            <w:r w:rsidRPr="00E4283A">
              <w:rPr>
                <w:rStyle w:val="normaltextrun"/>
                <w:rFonts w:ascii="Verdana" w:hAnsi="Verdana" w:cs="Calibri"/>
                <w:color w:val="000000"/>
                <w:sz w:val="16"/>
                <w:szCs w:val="16"/>
                <w:bdr w:val="none" w:sz="0" w:space="0" w:color="auto" w:frame="1"/>
              </w:rPr>
              <w:t>2</w:t>
            </w:r>
            <w:r w:rsidR="0011677A" w:rsidRPr="00E4283A">
              <w:rPr>
                <w:rStyle w:val="normaltextrun"/>
                <w:rFonts w:ascii="Verdana" w:hAnsi="Verdana" w:cs="Calibri"/>
                <w:color w:val="000000"/>
                <w:sz w:val="16"/>
                <w:szCs w:val="16"/>
                <w:bdr w:val="none" w:sz="0" w:space="0" w:color="auto" w:frame="1"/>
              </w:rPr>
              <w:t xml:space="preserve"> sedes de la DIAN a nivel nacional.</w:t>
            </w:r>
          </w:p>
        </w:tc>
      </w:tr>
    </w:tbl>
    <w:p w14:paraId="6BFD41BA" w14:textId="77777777" w:rsidR="00FB122A" w:rsidRPr="002A17E0" w:rsidRDefault="00FB122A" w:rsidP="007B6D6A">
      <w:pPr>
        <w:rPr>
          <w:rFonts w:ascii="Verdana" w:hAnsi="Verdana"/>
        </w:rPr>
      </w:pPr>
    </w:p>
    <w:p w14:paraId="0C2B9B3B" w14:textId="77777777" w:rsidR="00D92A60" w:rsidRDefault="00D92A60">
      <w:pPr>
        <w:rPr>
          <w:rFonts w:ascii="Verdana" w:eastAsia="Times New Roman" w:hAnsi="Verdana" w:cs="Times New Roman"/>
          <w:b/>
          <w:bCs/>
          <w:color w:val="000000"/>
          <w:lang w:eastAsia="es-CO"/>
        </w:rPr>
      </w:pPr>
      <w:r>
        <w:rPr>
          <w:rFonts w:ascii="Verdana" w:hAnsi="Verdana"/>
          <w:b/>
          <w:bCs/>
          <w:color w:val="000000"/>
        </w:rPr>
        <w:br w:type="page"/>
      </w:r>
    </w:p>
    <w:p w14:paraId="20FD6294" w14:textId="254611F5" w:rsidR="00605ABA" w:rsidRDefault="00605ABA" w:rsidP="00605ABA">
      <w:pPr>
        <w:pStyle w:val="NormalWeb"/>
        <w:jc w:val="both"/>
        <w:rPr>
          <w:rFonts w:ascii="Verdana" w:hAnsi="Verdana"/>
          <w:b/>
          <w:bCs/>
          <w:color w:val="000000"/>
          <w:sz w:val="22"/>
          <w:szCs w:val="22"/>
        </w:rPr>
      </w:pPr>
      <w:r>
        <w:rPr>
          <w:rFonts w:ascii="Verdana" w:hAnsi="Verdana"/>
          <w:b/>
          <w:bCs/>
          <w:color w:val="000000"/>
          <w:sz w:val="22"/>
          <w:szCs w:val="22"/>
        </w:rPr>
        <w:t xml:space="preserve">Pregunta </w:t>
      </w:r>
      <w:r w:rsidRPr="00605ABA">
        <w:rPr>
          <w:rFonts w:ascii="Verdana" w:hAnsi="Verdana"/>
          <w:b/>
          <w:bCs/>
          <w:color w:val="000000"/>
          <w:sz w:val="22"/>
          <w:szCs w:val="22"/>
        </w:rPr>
        <w:t>11. Sírvase informar los fondos especiales, patrimonios autónomos, parafiscales y otros que tengan relación con su sector y/o se encuentren bajo su administración.</w:t>
      </w:r>
    </w:p>
    <w:p w14:paraId="1FD877C1" w14:textId="4221AD2D" w:rsidR="00605ABA" w:rsidRPr="00605ABA" w:rsidRDefault="00605ABA" w:rsidP="00605ABA">
      <w:pPr>
        <w:pStyle w:val="NormalWeb"/>
        <w:jc w:val="both"/>
        <w:rPr>
          <w:rFonts w:ascii="Verdana" w:hAnsi="Verdana"/>
          <w:b/>
          <w:bCs/>
          <w:color w:val="000000"/>
          <w:sz w:val="22"/>
          <w:szCs w:val="22"/>
        </w:rPr>
      </w:pPr>
      <w:r w:rsidRPr="00605ABA">
        <w:rPr>
          <w:rFonts w:ascii="Verdana" w:hAnsi="Verdana"/>
          <w:b/>
          <w:bCs/>
          <w:color w:val="000000"/>
          <w:sz w:val="22"/>
          <w:szCs w:val="22"/>
        </w:rPr>
        <w:t>Sírvase detallar los montos aprobados en decreto de liquidación y los montos girados a dichos fondos en el año 2023 y los que a la fecha se han girado en el 2024.</w:t>
      </w:r>
    </w:p>
    <w:p w14:paraId="3BB278DB" w14:textId="23A8382C" w:rsidR="00605ABA" w:rsidRPr="00605ABA" w:rsidRDefault="00605ABA" w:rsidP="00605ABA">
      <w:pPr>
        <w:pStyle w:val="NormalWeb"/>
        <w:jc w:val="both"/>
        <w:rPr>
          <w:rFonts w:ascii="Verdana" w:hAnsi="Verdana"/>
          <w:b/>
          <w:bCs/>
          <w:color w:val="000000"/>
          <w:sz w:val="22"/>
          <w:szCs w:val="22"/>
        </w:rPr>
      </w:pPr>
      <w:r w:rsidRPr="00605ABA">
        <w:rPr>
          <w:rFonts w:ascii="Verdana" w:hAnsi="Verdana"/>
          <w:b/>
          <w:bCs/>
          <w:color w:val="000000"/>
          <w:sz w:val="22"/>
          <w:szCs w:val="22"/>
        </w:rPr>
        <w:t>Respuesta</w:t>
      </w:r>
    </w:p>
    <w:p w14:paraId="73821A9F" w14:textId="0F1E7A48" w:rsidR="008E0126" w:rsidRDefault="00605ABA" w:rsidP="00A71A2A">
      <w:pPr>
        <w:pStyle w:val="NormalWeb"/>
        <w:jc w:val="both"/>
        <w:rPr>
          <w:rFonts w:ascii="Verdana" w:hAnsi="Verdana"/>
          <w:color w:val="000000"/>
          <w:sz w:val="22"/>
          <w:szCs w:val="22"/>
        </w:rPr>
      </w:pPr>
      <w:r w:rsidRPr="00605ABA">
        <w:rPr>
          <w:rFonts w:ascii="Verdana" w:hAnsi="Verdana"/>
          <w:color w:val="000000"/>
          <w:sz w:val="22"/>
          <w:szCs w:val="22"/>
        </w:rPr>
        <w:t xml:space="preserve">La </w:t>
      </w:r>
      <w:r w:rsidRPr="00605ABA">
        <w:rPr>
          <w:rFonts w:ascii="Verdana" w:hAnsi="Verdana"/>
          <w:color w:val="000000"/>
          <w:sz w:val="22"/>
          <w:szCs w:val="22"/>
        </w:rPr>
        <w:t>Dirección</w:t>
      </w:r>
      <w:r w:rsidRPr="00605ABA">
        <w:rPr>
          <w:rFonts w:ascii="Verdana" w:hAnsi="Verdana"/>
          <w:color w:val="000000"/>
          <w:sz w:val="22"/>
          <w:szCs w:val="22"/>
        </w:rPr>
        <w:t xml:space="preserve"> de Impuestos y Aduanas Nacionales no tiene patrimonios autónomos constituidos con presupuesto general de la nación.</w:t>
      </w:r>
    </w:p>
    <w:p w14:paraId="1F45C884" w14:textId="532A37CF" w:rsidR="00A71A2A" w:rsidRDefault="00A71A2A" w:rsidP="00A71A2A">
      <w:pPr>
        <w:pStyle w:val="NormalWeb"/>
        <w:jc w:val="both"/>
        <w:rPr>
          <w:rFonts w:ascii="Verdana" w:hAnsi="Verdana"/>
          <w:color w:val="000000"/>
          <w:sz w:val="22"/>
          <w:szCs w:val="22"/>
        </w:rPr>
      </w:pPr>
    </w:p>
    <w:p w14:paraId="15ABE176" w14:textId="77777777" w:rsidR="00A71A2A" w:rsidRDefault="00A71A2A" w:rsidP="00A71A2A">
      <w:pPr>
        <w:pStyle w:val="NormalWeb"/>
        <w:jc w:val="both"/>
        <w:rPr>
          <w:rFonts w:ascii="Verdana" w:hAnsi="Verdana"/>
          <w:b/>
          <w:bCs/>
          <w:color w:val="000000"/>
        </w:rPr>
      </w:pPr>
    </w:p>
    <w:p w14:paraId="4563EE36" w14:textId="3EE1B24D" w:rsidR="00605ABA" w:rsidRPr="00605ABA" w:rsidRDefault="00605ABA" w:rsidP="00605ABA">
      <w:pPr>
        <w:pStyle w:val="NormalWeb"/>
        <w:jc w:val="both"/>
        <w:rPr>
          <w:rFonts w:ascii="Verdana" w:hAnsi="Verdana"/>
          <w:b/>
          <w:bCs/>
          <w:color w:val="000000"/>
          <w:sz w:val="22"/>
          <w:szCs w:val="22"/>
        </w:rPr>
      </w:pPr>
      <w:r w:rsidRPr="00605ABA">
        <w:rPr>
          <w:rFonts w:ascii="Verdana" w:hAnsi="Verdana"/>
          <w:b/>
          <w:bCs/>
          <w:color w:val="000000"/>
          <w:sz w:val="22"/>
          <w:szCs w:val="22"/>
        </w:rPr>
        <w:t>12. Sírvase informar los pagos de su sector y cada una de las entidades adscritas correspondientes a compromisos en vigencias futuras en el año 2023, los compromisos y pagos en el año 2024 y los compromisos en el año 2025.</w:t>
      </w:r>
    </w:p>
    <w:p w14:paraId="25B66283" w14:textId="77777777" w:rsidR="00605ABA" w:rsidRPr="00605ABA" w:rsidRDefault="00605ABA" w:rsidP="00605ABA">
      <w:pPr>
        <w:pStyle w:val="NormalWeb"/>
        <w:jc w:val="both"/>
        <w:rPr>
          <w:rFonts w:ascii="Verdana" w:hAnsi="Verdana"/>
          <w:b/>
          <w:bCs/>
          <w:color w:val="000000"/>
          <w:sz w:val="22"/>
          <w:szCs w:val="22"/>
        </w:rPr>
      </w:pPr>
      <w:r w:rsidRPr="00605ABA">
        <w:rPr>
          <w:rFonts w:ascii="Verdana" w:hAnsi="Verdana"/>
          <w:b/>
          <w:bCs/>
          <w:color w:val="000000"/>
          <w:sz w:val="22"/>
          <w:szCs w:val="22"/>
        </w:rPr>
        <w:t>a) Detalle el programa, proyecto o asunto relacionado con dicha vigencia futura</w:t>
      </w:r>
    </w:p>
    <w:p w14:paraId="60EE0DB6" w14:textId="23B1479E" w:rsidR="00605ABA" w:rsidRPr="00605ABA" w:rsidRDefault="00605ABA" w:rsidP="00605ABA">
      <w:pPr>
        <w:pStyle w:val="NormalWeb"/>
        <w:jc w:val="both"/>
        <w:rPr>
          <w:rFonts w:ascii="Verdana" w:hAnsi="Verdana"/>
          <w:b/>
          <w:bCs/>
          <w:color w:val="000000"/>
          <w:sz w:val="22"/>
          <w:szCs w:val="22"/>
        </w:rPr>
      </w:pPr>
      <w:r w:rsidRPr="00605ABA">
        <w:rPr>
          <w:rFonts w:ascii="Verdana" w:hAnsi="Verdana"/>
          <w:b/>
          <w:bCs/>
          <w:color w:val="000000"/>
          <w:sz w:val="22"/>
          <w:szCs w:val="22"/>
        </w:rPr>
        <w:t>b) Indique el valor total de cada vigencia futura comprometida, cuanto se ha entregado con su respectivo año de pago y compromiso presupuestal de los siguientes años futuros.</w:t>
      </w:r>
    </w:p>
    <w:p w14:paraId="6315317E" w14:textId="686D1D9E" w:rsidR="00605ABA" w:rsidRDefault="00625399" w:rsidP="00605ABA">
      <w:pPr>
        <w:pStyle w:val="NormalWeb"/>
        <w:jc w:val="both"/>
        <w:rPr>
          <w:rFonts w:ascii="Verdana" w:hAnsi="Verdana"/>
          <w:color w:val="000000"/>
          <w:sz w:val="22"/>
          <w:szCs w:val="22"/>
        </w:rPr>
      </w:pPr>
      <w:r w:rsidRPr="00625399">
        <w:rPr>
          <w:rFonts w:ascii="Verdana" w:hAnsi="Verdana"/>
          <w:color w:val="000000"/>
          <w:sz w:val="22"/>
          <w:szCs w:val="22"/>
        </w:rPr>
        <w:t>Se adjunta documento Excel con la información de Vigencias futuras según el asunto relacionado, de conformidad con el requerimiento.</w:t>
      </w:r>
    </w:p>
    <w:p w14:paraId="2D99658D" w14:textId="77777777" w:rsidR="00605ABA" w:rsidRPr="00605ABA" w:rsidRDefault="00605ABA" w:rsidP="00605ABA">
      <w:pPr>
        <w:pStyle w:val="NormalWeb"/>
        <w:jc w:val="both"/>
        <w:rPr>
          <w:rFonts w:ascii="Verdana" w:hAnsi="Verdana"/>
          <w:color w:val="000000"/>
          <w:sz w:val="22"/>
          <w:szCs w:val="22"/>
        </w:rPr>
      </w:pPr>
    </w:p>
    <w:p w14:paraId="535F218D" w14:textId="77777777" w:rsidR="00086959" w:rsidRPr="00605ABA" w:rsidRDefault="00086959" w:rsidP="00605ABA">
      <w:pPr>
        <w:jc w:val="both"/>
        <w:rPr>
          <w:rFonts w:ascii="Verdana" w:hAnsi="Verdana"/>
        </w:rPr>
      </w:pPr>
    </w:p>
    <w:sectPr w:rsidR="00086959" w:rsidRPr="00605ABA" w:rsidSect="0086105D">
      <w:headerReference w:type="default" r:id="rId10"/>
      <w:footerReference w:type="default" r:id="rId11"/>
      <w:pgSz w:w="12240" w:h="15840"/>
      <w:pgMar w:top="2382" w:right="1701" w:bottom="1417" w:left="1701"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9D1C8" w14:textId="77777777" w:rsidR="00387A72" w:rsidRDefault="00387A72" w:rsidP="00387A72">
      <w:pPr>
        <w:spacing w:after="0" w:line="240" w:lineRule="auto"/>
      </w:pPr>
      <w:r>
        <w:separator/>
      </w:r>
    </w:p>
  </w:endnote>
  <w:endnote w:type="continuationSeparator" w:id="0">
    <w:p w14:paraId="4BF77193" w14:textId="77777777" w:rsidR="00387A72" w:rsidRDefault="00387A72" w:rsidP="00387A72">
      <w:pPr>
        <w:spacing w:after="0" w:line="240" w:lineRule="auto"/>
      </w:pPr>
      <w:r>
        <w:continuationSeparator/>
      </w:r>
    </w:p>
  </w:endnote>
  <w:endnote w:type="continuationNotice" w:id="1">
    <w:p w14:paraId="45CE5E5A" w14:textId="77777777" w:rsidR="00A826D2" w:rsidRDefault="00A826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CFEE" w14:textId="77777777" w:rsidR="00A91835" w:rsidRPr="00B3523E" w:rsidRDefault="00A91835" w:rsidP="00A91835">
    <w:pPr>
      <w:pStyle w:val="Piedepgina"/>
      <w:rPr>
        <w:b/>
        <w:bCs/>
        <w:sz w:val="18"/>
        <w:szCs w:val="18"/>
      </w:rPr>
    </w:pPr>
    <w:r w:rsidRPr="00B3523E">
      <w:rPr>
        <w:b/>
        <w:bCs/>
        <w:sz w:val="18"/>
        <w:szCs w:val="18"/>
      </w:rPr>
      <w:t>Subdirección de Planeación y Cumplimiento</w:t>
    </w:r>
  </w:p>
  <w:p w14:paraId="53AFB44D" w14:textId="77777777" w:rsidR="00A91835" w:rsidRPr="007857CE" w:rsidRDefault="00A91835" w:rsidP="00A91835">
    <w:pPr>
      <w:pStyle w:val="Piedepgina"/>
      <w:rPr>
        <w:sz w:val="18"/>
        <w:szCs w:val="18"/>
      </w:rPr>
    </w:pPr>
    <w:r w:rsidRPr="007857CE">
      <w:rPr>
        <w:sz w:val="18"/>
        <w:szCs w:val="18"/>
      </w:rPr>
      <w:t>Carrera 7 # 6C-54. Piso 12. Edificio Sendas | (601) 7428973 - 320 490 9819</w:t>
    </w:r>
  </w:p>
  <w:p w14:paraId="16A4DBD2" w14:textId="77777777" w:rsidR="00A91835" w:rsidRPr="007857CE" w:rsidRDefault="00A91835" w:rsidP="00A91835">
    <w:pPr>
      <w:pStyle w:val="Piedepgina"/>
      <w:rPr>
        <w:sz w:val="18"/>
        <w:szCs w:val="18"/>
      </w:rPr>
    </w:pPr>
    <w:r w:rsidRPr="007857CE">
      <w:rPr>
        <w:sz w:val="18"/>
        <w:szCs w:val="18"/>
      </w:rPr>
      <w:t>Código postal 111711</w:t>
    </w:r>
  </w:p>
  <w:p w14:paraId="4D91C5B4" w14:textId="77777777" w:rsidR="00A91835" w:rsidRPr="007857CE" w:rsidRDefault="00A91835" w:rsidP="00A91835">
    <w:pPr>
      <w:pStyle w:val="Piedepgina"/>
      <w:rPr>
        <w:sz w:val="18"/>
        <w:szCs w:val="18"/>
      </w:rPr>
    </w:pPr>
    <w:r w:rsidRPr="007857CE">
      <w:rPr>
        <w:sz w:val="18"/>
        <w:szCs w:val="18"/>
      </w:rPr>
      <w:t>www.dian.gov.co</w:t>
    </w:r>
  </w:p>
  <w:p w14:paraId="7055B76B" w14:textId="618C6FAD" w:rsidR="00A91835" w:rsidRPr="007857CE" w:rsidRDefault="00A91835" w:rsidP="00B3523E">
    <w:pPr>
      <w:pStyle w:val="Piedepgina"/>
      <w:tabs>
        <w:tab w:val="clear" w:pos="8838"/>
        <w:tab w:val="left" w:pos="7158"/>
      </w:tabs>
      <w:rPr>
        <w:sz w:val="18"/>
        <w:szCs w:val="18"/>
      </w:rPr>
    </w:pPr>
    <w:r w:rsidRPr="007857CE">
      <w:rPr>
        <w:sz w:val="18"/>
        <w:szCs w:val="18"/>
      </w:rPr>
      <w:t>Formule su petición, queja, sugerencia o reclamo en el Sistema PQSR de la DIAN</w:t>
    </w:r>
    <w:r w:rsidR="00B3523E">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84AF" w14:textId="77777777" w:rsidR="00387A72" w:rsidRDefault="00387A72" w:rsidP="00387A72">
      <w:pPr>
        <w:spacing w:after="0" w:line="240" w:lineRule="auto"/>
      </w:pPr>
      <w:r>
        <w:separator/>
      </w:r>
    </w:p>
  </w:footnote>
  <w:footnote w:type="continuationSeparator" w:id="0">
    <w:p w14:paraId="43B5CA28" w14:textId="77777777" w:rsidR="00387A72" w:rsidRDefault="00387A72" w:rsidP="00387A72">
      <w:pPr>
        <w:spacing w:after="0" w:line="240" w:lineRule="auto"/>
      </w:pPr>
      <w:r>
        <w:continuationSeparator/>
      </w:r>
    </w:p>
  </w:footnote>
  <w:footnote w:type="continuationNotice" w:id="1">
    <w:p w14:paraId="5290A3CE" w14:textId="77777777" w:rsidR="00A826D2" w:rsidRDefault="00A826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59DA" w14:textId="03F34546" w:rsidR="00387A72" w:rsidRDefault="00387A72">
    <w:pPr>
      <w:pStyle w:val="Encabezado"/>
    </w:pPr>
    <w:r>
      <w:rPr>
        <w:noProof/>
        <w14:ligatures w14:val="standardContextual"/>
      </w:rPr>
      <w:drawing>
        <wp:anchor distT="0" distB="0" distL="114300" distR="114300" simplePos="0" relativeHeight="251657216" behindDoc="1" locked="0" layoutInCell="1" allowOverlap="1" wp14:anchorId="0C3E8442" wp14:editId="34200BFB">
          <wp:simplePos x="0" y="0"/>
          <wp:positionH relativeFrom="column">
            <wp:posOffset>-399367</wp:posOffset>
          </wp:positionH>
          <wp:positionV relativeFrom="paragraph">
            <wp:posOffset>-148248</wp:posOffset>
          </wp:positionV>
          <wp:extent cx="787400" cy="790575"/>
          <wp:effectExtent l="0" t="0" r="0" b="9525"/>
          <wp:wrapNone/>
          <wp:docPr id="20034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 cy="790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2D03073"/>
    <w:multiLevelType w:val="multilevel"/>
    <w:tmpl w:val="D1BC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756150C5"/>
    <w:multiLevelType w:val="hybridMultilevel"/>
    <w:tmpl w:val="3F12F99A"/>
    <w:lvl w:ilvl="0" w:tplc="69041F2A">
      <w:numFmt w:val="bullet"/>
      <w:lvlText w:val="-"/>
      <w:lvlJc w:val="left"/>
      <w:pPr>
        <w:ind w:left="1080" w:hanging="360"/>
      </w:pPr>
      <w:rPr>
        <w:rFonts w:ascii="Trebuchet MS" w:eastAsia="Trebuchet MS" w:hAnsi="Trebuchet MS" w:cs="Trebuchet MS" w:hint="default"/>
        <w:b w:val="0"/>
        <w:bCs w:val="0"/>
        <w:i w:val="0"/>
        <w:iCs w:val="0"/>
        <w:spacing w:val="0"/>
        <w:w w:val="139"/>
        <w:sz w:val="22"/>
        <w:szCs w:val="22"/>
        <w:lang w:val="es-ES"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341782516">
    <w:abstractNumId w:val="3"/>
  </w:num>
  <w:num w:numId="2" w16cid:durableId="1541816984">
    <w:abstractNumId w:val="2"/>
  </w:num>
  <w:num w:numId="3" w16cid:durableId="1032144727">
    <w:abstractNumId w:val="5"/>
  </w:num>
  <w:num w:numId="4" w16cid:durableId="1672835571">
    <w:abstractNumId w:val="1"/>
  </w:num>
  <w:num w:numId="5" w16cid:durableId="894702321">
    <w:abstractNumId w:val="0"/>
  </w:num>
  <w:num w:numId="6" w16cid:durableId="18756521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D6A"/>
    <w:rsid w:val="00021AD2"/>
    <w:rsid w:val="000222B5"/>
    <w:rsid w:val="00032EFF"/>
    <w:rsid w:val="00040F36"/>
    <w:rsid w:val="00050C11"/>
    <w:rsid w:val="000525A8"/>
    <w:rsid w:val="000528DB"/>
    <w:rsid w:val="00052964"/>
    <w:rsid w:val="000557F9"/>
    <w:rsid w:val="0005794B"/>
    <w:rsid w:val="00062962"/>
    <w:rsid w:val="00062F1D"/>
    <w:rsid w:val="0006442D"/>
    <w:rsid w:val="0007229B"/>
    <w:rsid w:val="00086685"/>
    <w:rsid w:val="00086959"/>
    <w:rsid w:val="000908BF"/>
    <w:rsid w:val="000A127A"/>
    <w:rsid w:val="000A1CB6"/>
    <w:rsid w:val="000A49A0"/>
    <w:rsid w:val="000A71CE"/>
    <w:rsid w:val="000C01EE"/>
    <w:rsid w:val="000D021B"/>
    <w:rsid w:val="000D0617"/>
    <w:rsid w:val="000D1582"/>
    <w:rsid w:val="000E3281"/>
    <w:rsid w:val="000F01FB"/>
    <w:rsid w:val="001031EF"/>
    <w:rsid w:val="00111CF9"/>
    <w:rsid w:val="00114452"/>
    <w:rsid w:val="001162C0"/>
    <w:rsid w:val="0011677A"/>
    <w:rsid w:val="001205DC"/>
    <w:rsid w:val="00120E16"/>
    <w:rsid w:val="00125126"/>
    <w:rsid w:val="00135340"/>
    <w:rsid w:val="00135CAA"/>
    <w:rsid w:val="001436E8"/>
    <w:rsid w:val="00144017"/>
    <w:rsid w:val="00170E17"/>
    <w:rsid w:val="001755AE"/>
    <w:rsid w:val="00177811"/>
    <w:rsid w:val="00177C5B"/>
    <w:rsid w:val="00181496"/>
    <w:rsid w:val="001A1B5B"/>
    <w:rsid w:val="001C51E5"/>
    <w:rsid w:val="001C763F"/>
    <w:rsid w:val="001D6600"/>
    <w:rsid w:val="001F2ACE"/>
    <w:rsid w:val="001F72EF"/>
    <w:rsid w:val="00202507"/>
    <w:rsid w:val="002034AA"/>
    <w:rsid w:val="00206221"/>
    <w:rsid w:val="00222D53"/>
    <w:rsid w:val="00230C24"/>
    <w:rsid w:val="0023767F"/>
    <w:rsid w:val="00243E40"/>
    <w:rsid w:val="0025343D"/>
    <w:rsid w:val="00256EE9"/>
    <w:rsid w:val="00264E9F"/>
    <w:rsid w:val="00270C80"/>
    <w:rsid w:val="0027213F"/>
    <w:rsid w:val="0028409F"/>
    <w:rsid w:val="002853B7"/>
    <w:rsid w:val="002856AC"/>
    <w:rsid w:val="002955D7"/>
    <w:rsid w:val="002A15A4"/>
    <w:rsid w:val="002A17E0"/>
    <w:rsid w:val="002B5420"/>
    <w:rsid w:val="002B56E7"/>
    <w:rsid w:val="002B6C57"/>
    <w:rsid w:val="002B7C35"/>
    <w:rsid w:val="002C0082"/>
    <w:rsid w:val="002C6EEC"/>
    <w:rsid w:val="002C7A10"/>
    <w:rsid w:val="00300E18"/>
    <w:rsid w:val="00300E96"/>
    <w:rsid w:val="0030159C"/>
    <w:rsid w:val="00305698"/>
    <w:rsid w:val="0031292E"/>
    <w:rsid w:val="00312C9A"/>
    <w:rsid w:val="00316212"/>
    <w:rsid w:val="0031647E"/>
    <w:rsid w:val="00320606"/>
    <w:rsid w:val="00321439"/>
    <w:rsid w:val="00324C82"/>
    <w:rsid w:val="003352E9"/>
    <w:rsid w:val="003359D5"/>
    <w:rsid w:val="00343364"/>
    <w:rsid w:val="00344537"/>
    <w:rsid w:val="00351499"/>
    <w:rsid w:val="0035592F"/>
    <w:rsid w:val="00357D5A"/>
    <w:rsid w:val="003611E1"/>
    <w:rsid w:val="00373202"/>
    <w:rsid w:val="003744AD"/>
    <w:rsid w:val="003760C1"/>
    <w:rsid w:val="003825B3"/>
    <w:rsid w:val="00387A2C"/>
    <w:rsid w:val="00387A72"/>
    <w:rsid w:val="003A2DF3"/>
    <w:rsid w:val="003B2BFA"/>
    <w:rsid w:val="003C1F15"/>
    <w:rsid w:val="003D6C05"/>
    <w:rsid w:val="003E7D66"/>
    <w:rsid w:val="003E7E1E"/>
    <w:rsid w:val="003F02AE"/>
    <w:rsid w:val="003F6662"/>
    <w:rsid w:val="00405B1B"/>
    <w:rsid w:val="00414561"/>
    <w:rsid w:val="00417BE6"/>
    <w:rsid w:val="00422D71"/>
    <w:rsid w:val="00424312"/>
    <w:rsid w:val="00426A23"/>
    <w:rsid w:val="00431B1E"/>
    <w:rsid w:val="0043361E"/>
    <w:rsid w:val="00434F66"/>
    <w:rsid w:val="00436755"/>
    <w:rsid w:val="0045226C"/>
    <w:rsid w:val="00453367"/>
    <w:rsid w:val="00454622"/>
    <w:rsid w:val="004611A6"/>
    <w:rsid w:val="00462895"/>
    <w:rsid w:val="004633C9"/>
    <w:rsid w:val="00471747"/>
    <w:rsid w:val="00482477"/>
    <w:rsid w:val="004848CB"/>
    <w:rsid w:val="004864B0"/>
    <w:rsid w:val="00490DFE"/>
    <w:rsid w:val="00496D36"/>
    <w:rsid w:val="004A11A2"/>
    <w:rsid w:val="004A2291"/>
    <w:rsid w:val="004A4D3C"/>
    <w:rsid w:val="004A5384"/>
    <w:rsid w:val="004B0FA5"/>
    <w:rsid w:val="004B2408"/>
    <w:rsid w:val="004E30EA"/>
    <w:rsid w:val="004E48E1"/>
    <w:rsid w:val="004E6D94"/>
    <w:rsid w:val="004F2D87"/>
    <w:rsid w:val="005009BF"/>
    <w:rsid w:val="00501DAE"/>
    <w:rsid w:val="0051542C"/>
    <w:rsid w:val="0052318A"/>
    <w:rsid w:val="005265D5"/>
    <w:rsid w:val="005415EA"/>
    <w:rsid w:val="00543059"/>
    <w:rsid w:val="00543159"/>
    <w:rsid w:val="00564A4B"/>
    <w:rsid w:val="005662DF"/>
    <w:rsid w:val="00566BF4"/>
    <w:rsid w:val="00567EBD"/>
    <w:rsid w:val="00570252"/>
    <w:rsid w:val="00591FBD"/>
    <w:rsid w:val="005B7630"/>
    <w:rsid w:val="005C21E2"/>
    <w:rsid w:val="005C4CC6"/>
    <w:rsid w:val="005C52D4"/>
    <w:rsid w:val="005C5973"/>
    <w:rsid w:val="005D0961"/>
    <w:rsid w:val="005E2416"/>
    <w:rsid w:val="005E30F8"/>
    <w:rsid w:val="005E5BED"/>
    <w:rsid w:val="005F4C13"/>
    <w:rsid w:val="00605ABA"/>
    <w:rsid w:val="0061198E"/>
    <w:rsid w:val="00611B8B"/>
    <w:rsid w:val="0061356B"/>
    <w:rsid w:val="00625399"/>
    <w:rsid w:val="0062656C"/>
    <w:rsid w:val="00630167"/>
    <w:rsid w:val="006349A4"/>
    <w:rsid w:val="00641A87"/>
    <w:rsid w:val="006467D7"/>
    <w:rsid w:val="0066117B"/>
    <w:rsid w:val="00666DFA"/>
    <w:rsid w:val="00671875"/>
    <w:rsid w:val="00676975"/>
    <w:rsid w:val="00676BA4"/>
    <w:rsid w:val="0068774C"/>
    <w:rsid w:val="00694250"/>
    <w:rsid w:val="006976ED"/>
    <w:rsid w:val="006C1756"/>
    <w:rsid w:val="006C65E3"/>
    <w:rsid w:val="006D24B4"/>
    <w:rsid w:val="006D4E36"/>
    <w:rsid w:val="006E31E7"/>
    <w:rsid w:val="006F3BDF"/>
    <w:rsid w:val="006F5BF5"/>
    <w:rsid w:val="007012D4"/>
    <w:rsid w:val="0070391B"/>
    <w:rsid w:val="00716A69"/>
    <w:rsid w:val="0072175F"/>
    <w:rsid w:val="00727512"/>
    <w:rsid w:val="00730E71"/>
    <w:rsid w:val="007376C3"/>
    <w:rsid w:val="00742C38"/>
    <w:rsid w:val="00750BBE"/>
    <w:rsid w:val="00753691"/>
    <w:rsid w:val="00754B7B"/>
    <w:rsid w:val="00762CBC"/>
    <w:rsid w:val="007640F7"/>
    <w:rsid w:val="00770865"/>
    <w:rsid w:val="00774C07"/>
    <w:rsid w:val="007857CE"/>
    <w:rsid w:val="007957F9"/>
    <w:rsid w:val="007B676F"/>
    <w:rsid w:val="007B6D6A"/>
    <w:rsid w:val="007C55BC"/>
    <w:rsid w:val="007D0CB6"/>
    <w:rsid w:val="007D4B9E"/>
    <w:rsid w:val="007F1DA4"/>
    <w:rsid w:val="007F347A"/>
    <w:rsid w:val="007F35FC"/>
    <w:rsid w:val="007F63E8"/>
    <w:rsid w:val="007F7E57"/>
    <w:rsid w:val="00803769"/>
    <w:rsid w:val="00804F0B"/>
    <w:rsid w:val="00813BD9"/>
    <w:rsid w:val="00820AD5"/>
    <w:rsid w:val="008221E5"/>
    <w:rsid w:val="00825BBC"/>
    <w:rsid w:val="0083363D"/>
    <w:rsid w:val="0083707D"/>
    <w:rsid w:val="00854E55"/>
    <w:rsid w:val="008562CD"/>
    <w:rsid w:val="00860ED4"/>
    <w:rsid w:val="0086105D"/>
    <w:rsid w:val="00863E01"/>
    <w:rsid w:val="00867839"/>
    <w:rsid w:val="00871C27"/>
    <w:rsid w:val="00874E4D"/>
    <w:rsid w:val="00876046"/>
    <w:rsid w:val="00881E94"/>
    <w:rsid w:val="00885182"/>
    <w:rsid w:val="008862B7"/>
    <w:rsid w:val="00891594"/>
    <w:rsid w:val="008A3897"/>
    <w:rsid w:val="008A514D"/>
    <w:rsid w:val="008A65CA"/>
    <w:rsid w:val="008B259C"/>
    <w:rsid w:val="008B576D"/>
    <w:rsid w:val="008B63E9"/>
    <w:rsid w:val="008C2F23"/>
    <w:rsid w:val="008D2818"/>
    <w:rsid w:val="008E0126"/>
    <w:rsid w:val="008E2CE5"/>
    <w:rsid w:val="008E672A"/>
    <w:rsid w:val="008F3D24"/>
    <w:rsid w:val="008F49BA"/>
    <w:rsid w:val="00902C8D"/>
    <w:rsid w:val="00904464"/>
    <w:rsid w:val="0091143B"/>
    <w:rsid w:val="00915AC1"/>
    <w:rsid w:val="009220EA"/>
    <w:rsid w:val="0092482F"/>
    <w:rsid w:val="00937F59"/>
    <w:rsid w:val="00941BF8"/>
    <w:rsid w:val="00942BAA"/>
    <w:rsid w:val="009453EE"/>
    <w:rsid w:val="00950D40"/>
    <w:rsid w:val="009519BF"/>
    <w:rsid w:val="0095654A"/>
    <w:rsid w:val="0096680E"/>
    <w:rsid w:val="00970C15"/>
    <w:rsid w:val="00971C20"/>
    <w:rsid w:val="009815A0"/>
    <w:rsid w:val="00983D44"/>
    <w:rsid w:val="009908B8"/>
    <w:rsid w:val="0099197F"/>
    <w:rsid w:val="00991AED"/>
    <w:rsid w:val="00996A05"/>
    <w:rsid w:val="009B7641"/>
    <w:rsid w:val="009C1CDE"/>
    <w:rsid w:val="009C7D9B"/>
    <w:rsid w:val="009D16DF"/>
    <w:rsid w:val="009D56E6"/>
    <w:rsid w:val="009D787E"/>
    <w:rsid w:val="009E4B0E"/>
    <w:rsid w:val="009F3687"/>
    <w:rsid w:val="009F6893"/>
    <w:rsid w:val="009F767B"/>
    <w:rsid w:val="00A0521F"/>
    <w:rsid w:val="00A056BE"/>
    <w:rsid w:val="00A059FB"/>
    <w:rsid w:val="00A0654B"/>
    <w:rsid w:val="00A1479B"/>
    <w:rsid w:val="00A23724"/>
    <w:rsid w:val="00A34411"/>
    <w:rsid w:val="00A37526"/>
    <w:rsid w:val="00A430EA"/>
    <w:rsid w:val="00A44F16"/>
    <w:rsid w:val="00A45EFE"/>
    <w:rsid w:val="00A51A45"/>
    <w:rsid w:val="00A55ADE"/>
    <w:rsid w:val="00A604DE"/>
    <w:rsid w:val="00A70CE5"/>
    <w:rsid w:val="00A7185B"/>
    <w:rsid w:val="00A71A2A"/>
    <w:rsid w:val="00A826D2"/>
    <w:rsid w:val="00A91835"/>
    <w:rsid w:val="00A96EA8"/>
    <w:rsid w:val="00AA09CC"/>
    <w:rsid w:val="00AB6D2A"/>
    <w:rsid w:val="00AB747A"/>
    <w:rsid w:val="00AC0E72"/>
    <w:rsid w:val="00AD25F4"/>
    <w:rsid w:val="00AD2902"/>
    <w:rsid w:val="00AD3FEB"/>
    <w:rsid w:val="00AD6AC0"/>
    <w:rsid w:val="00AE5F67"/>
    <w:rsid w:val="00AE753A"/>
    <w:rsid w:val="00AF3F36"/>
    <w:rsid w:val="00B060BB"/>
    <w:rsid w:val="00B10CA5"/>
    <w:rsid w:val="00B10EA0"/>
    <w:rsid w:val="00B15EC5"/>
    <w:rsid w:val="00B20BD3"/>
    <w:rsid w:val="00B32D56"/>
    <w:rsid w:val="00B33B41"/>
    <w:rsid w:val="00B3523E"/>
    <w:rsid w:val="00B36F59"/>
    <w:rsid w:val="00B450B8"/>
    <w:rsid w:val="00B52708"/>
    <w:rsid w:val="00B5701D"/>
    <w:rsid w:val="00B660B6"/>
    <w:rsid w:val="00B7577C"/>
    <w:rsid w:val="00B80ABE"/>
    <w:rsid w:val="00B84660"/>
    <w:rsid w:val="00B876EE"/>
    <w:rsid w:val="00B92E5A"/>
    <w:rsid w:val="00B976AD"/>
    <w:rsid w:val="00BA1EA1"/>
    <w:rsid w:val="00BA53E2"/>
    <w:rsid w:val="00BA5B80"/>
    <w:rsid w:val="00BA6664"/>
    <w:rsid w:val="00BC5E3D"/>
    <w:rsid w:val="00BD0EDE"/>
    <w:rsid w:val="00BE3EA6"/>
    <w:rsid w:val="00BE4506"/>
    <w:rsid w:val="00BF1C28"/>
    <w:rsid w:val="00BF52B2"/>
    <w:rsid w:val="00BF6A52"/>
    <w:rsid w:val="00C00A3B"/>
    <w:rsid w:val="00C02E32"/>
    <w:rsid w:val="00C06291"/>
    <w:rsid w:val="00C10E83"/>
    <w:rsid w:val="00C165DD"/>
    <w:rsid w:val="00C24668"/>
    <w:rsid w:val="00C33079"/>
    <w:rsid w:val="00C36064"/>
    <w:rsid w:val="00C37EA2"/>
    <w:rsid w:val="00C452D8"/>
    <w:rsid w:val="00C46432"/>
    <w:rsid w:val="00C5011F"/>
    <w:rsid w:val="00C515EF"/>
    <w:rsid w:val="00C53AB5"/>
    <w:rsid w:val="00C54B94"/>
    <w:rsid w:val="00C572F0"/>
    <w:rsid w:val="00C57C4F"/>
    <w:rsid w:val="00C64B0F"/>
    <w:rsid w:val="00C65D2F"/>
    <w:rsid w:val="00C66684"/>
    <w:rsid w:val="00C7207D"/>
    <w:rsid w:val="00C739B8"/>
    <w:rsid w:val="00C73A89"/>
    <w:rsid w:val="00C73C63"/>
    <w:rsid w:val="00C76C8D"/>
    <w:rsid w:val="00C7745D"/>
    <w:rsid w:val="00C857D6"/>
    <w:rsid w:val="00C86C7A"/>
    <w:rsid w:val="00C87775"/>
    <w:rsid w:val="00C955B4"/>
    <w:rsid w:val="00C9677E"/>
    <w:rsid w:val="00CA544D"/>
    <w:rsid w:val="00CB474A"/>
    <w:rsid w:val="00CB7536"/>
    <w:rsid w:val="00CC513F"/>
    <w:rsid w:val="00CC5D07"/>
    <w:rsid w:val="00CC670C"/>
    <w:rsid w:val="00CD19CC"/>
    <w:rsid w:val="00CD6464"/>
    <w:rsid w:val="00CE0A9C"/>
    <w:rsid w:val="00CE5C19"/>
    <w:rsid w:val="00CF2927"/>
    <w:rsid w:val="00CF71B8"/>
    <w:rsid w:val="00D02F87"/>
    <w:rsid w:val="00D07FDC"/>
    <w:rsid w:val="00D13864"/>
    <w:rsid w:val="00D32F04"/>
    <w:rsid w:val="00D35AEB"/>
    <w:rsid w:val="00D425F7"/>
    <w:rsid w:val="00D44703"/>
    <w:rsid w:val="00D55735"/>
    <w:rsid w:val="00D60F3D"/>
    <w:rsid w:val="00D70F28"/>
    <w:rsid w:val="00D711BA"/>
    <w:rsid w:val="00D727CE"/>
    <w:rsid w:val="00D7378A"/>
    <w:rsid w:val="00D76250"/>
    <w:rsid w:val="00D815A7"/>
    <w:rsid w:val="00D92A60"/>
    <w:rsid w:val="00DA2623"/>
    <w:rsid w:val="00DA7A7A"/>
    <w:rsid w:val="00DB0036"/>
    <w:rsid w:val="00DB7396"/>
    <w:rsid w:val="00DC368A"/>
    <w:rsid w:val="00DD03D5"/>
    <w:rsid w:val="00DE58A9"/>
    <w:rsid w:val="00DF5251"/>
    <w:rsid w:val="00DF614A"/>
    <w:rsid w:val="00E021EE"/>
    <w:rsid w:val="00E040F5"/>
    <w:rsid w:val="00E11953"/>
    <w:rsid w:val="00E1420F"/>
    <w:rsid w:val="00E25D63"/>
    <w:rsid w:val="00E3247D"/>
    <w:rsid w:val="00E32F34"/>
    <w:rsid w:val="00E34644"/>
    <w:rsid w:val="00E35445"/>
    <w:rsid w:val="00E4283A"/>
    <w:rsid w:val="00E463E9"/>
    <w:rsid w:val="00E467B0"/>
    <w:rsid w:val="00E46A07"/>
    <w:rsid w:val="00E516B3"/>
    <w:rsid w:val="00E52EC0"/>
    <w:rsid w:val="00E606FA"/>
    <w:rsid w:val="00E63A71"/>
    <w:rsid w:val="00E659DA"/>
    <w:rsid w:val="00E65A60"/>
    <w:rsid w:val="00E65C40"/>
    <w:rsid w:val="00E73261"/>
    <w:rsid w:val="00E75FFA"/>
    <w:rsid w:val="00E76386"/>
    <w:rsid w:val="00E81661"/>
    <w:rsid w:val="00E85881"/>
    <w:rsid w:val="00E917AD"/>
    <w:rsid w:val="00E92EBB"/>
    <w:rsid w:val="00E957D2"/>
    <w:rsid w:val="00EA3959"/>
    <w:rsid w:val="00ED07DA"/>
    <w:rsid w:val="00ED3B40"/>
    <w:rsid w:val="00ED5372"/>
    <w:rsid w:val="00EE2216"/>
    <w:rsid w:val="00EE7E04"/>
    <w:rsid w:val="00EF1326"/>
    <w:rsid w:val="00EF1426"/>
    <w:rsid w:val="00F01A2F"/>
    <w:rsid w:val="00F038E1"/>
    <w:rsid w:val="00F1303A"/>
    <w:rsid w:val="00F13A38"/>
    <w:rsid w:val="00F16F1A"/>
    <w:rsid w:val="00F40C44"/>
    <w:rsid w:val="00F44898"/>
    <w:rsid w:val="00F60E16"/>
    <w:rsid w:val="00F6115F"/>
    <w:rsid w:val="00F6448C"/>
    <w:rsid w:val="00F9269E"/>
    <w:rsid w:val="00F946CC"/>
    <w:rsid w:val="00F95880"/>
    <w:rsid w:val="00FA4C79"/>
    <w:rsid w:val="00FA5F09"/>
    <w:rsid w:val="00FB122A"/>
    <w:rsid w:val="00FB72D0"/>
    <w:rsid w:val="00FC7F68"/>
    <w:rsid w:val="00FE7B0B"/>
    <w:rsid w:val="08DA6F17"/>
    <w:rsid w:val="147F55D2"/>
    <w:rsid w:val="188C924D"/>
    <w:rsid w:val="20710C64"/>
    <w:rsid w:val="21D2567C"/>
    <w:rsid w:val="226F96E2"/>
    <w:rsid w:val="3C28795F"/>
    <w:rsid w:val="544AED7D"/>
    <w:rsid w:val="64AFA655"/>
    <w:rsid w:val="6A7917B2"/>
    <w:rsid w:val="717AF117"/>
    <w:rsid w:val="754C22A0"/>
    <w:rsid w:val="79374D8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8A0E96"/>
  <w15:chartTrackingRefBased/>
  <w15:docId w15:val="{2F3ABC99-73B1-44FA-854C-D6822082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D6A"/>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B6D6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7D4B9E"/>
  </w:style>
  <w:style w:type="character" w:styleId="Hipervnculo">
    <w:name w:val="Hyperlink"/>
    <w:basedOn w:val="Fuentedeprrafopredeter"/>
    <w:uiPriority w:val="99"/>
    <w:unhideWhenUsed/>
    <w:rsid w:val="00AD2902"/>
    <w:rPr>
      <w:color w:val="0563C1" w:themeColor="hyperlink"/>
      <w:u w:val="single"/>
    </w:rPr>
  </w:style>
  <w:style w:type="character" w:styleId="Mencinsinresolver">
    <w:name w:val="Unresolved Mention"/>
    <w:basedOn w:val="Fuentedeprrafopredeter"/>
    <w:uiPriority w:val="99"/>
    <w:semiHidden/>
    <w:unhideWhenUsed/>
    <w:rsid w:val="00AD2902"/>
    <w:rPr>
      <w:color w:val="605E5C"/>
      <w:shd w:val="clear" w:color="auto" w:fill="E1DFDD"/>
    </w:rPr>
  </w:style>
  <w:style w:type="character" w:customStyle="1" w:styleId="eop">
    <w:name w:val="eop"/>
    <w:basedOn w:val="Fuentedeprrafopredeter"/>
    <w:rsid w:val="001205DC"/>
  </w:style>
  <w:style w:type="character" w:customStyle="1" w:styleId="ui-provider">
    <w:name w:val="ui-provider"/>
    <w:basedOn w:val="Fuentedeprrafopredeter"/>
    <w:rsid w:val="006F5BF5"/>
  </w:style>
  <w:style w:type="character" w:customStyle="1" w:styleId="findhit">
    <w:name w:val="findhit"/>
    <w:basedOn w:val="Fuentedeprrafopredeter"/>
    <w:rsid w:val="00F13A38"/>
  </w:style>
  <w:style w:type="paragraph" w:styleId="Encabezado">
    <w:name w:val="header"/>
    <w:basedOn w:val="Normal"/>
    <w:link w:val="EncabezadoCar"/>
    <w:uiPriority w:val="99"/>
    <w:unhideWhenUsed/>
    <w:rsid w:val="00387A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7A72"/>
    <w:rPr>
      <w:kern w:val="0"/>
      <w14:ligatures w14:val="none"/>
    </w:rPr>
  </w:style>
  <w:style w:type="paragraph" w:styleId="Piedepgina">
    <w:name w:val="footer"/>
    <w:basedOn w:val="Normal"/>
    <w:link w:val="PiedepginaCar"/>
    <w:uiPriority w:val="99"/>
    <w:unhideWhenUsed/>
    <w:rsid w:val="00387A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7A72"/>
    <w:rPr>
      <w:kern w:val="0"/>
      <w14:ligatures w14:val="none"/>
    </w:rPr>
  </w:style>
  <w:style w:type="paragraph" w:styleId="Cierre">
    <w:name w:val="Closing"/>
    <w:basedOn w:val="Normal"/>
    <w:link w:val="CierreCar"/>
    <w:rsid w:val="00431B1E"/>
    <w:pPr>
      <w:spacing w:after="0" w:line="240" w:lineRule="auto"/>
      <w:ind w:left="4252"/>
    </w:pPr>
    <w:rPr>
      <w:rFonts w:ascii="Times New Roman" w:eastAsia="MS Mincho" w:hAnsi="Times New Roman" w:cs="Times New Roman"/>
      <w:sz w:val="24"/>
      <w:szCs w:val="24"/>
      <w:lang w:val="es-ES" w:eastAsia="es-ES"/>
    </w:rPr>
  </w:style>
  <w:style w:type="character" w:customStyle="1" w:styleId="CierreCar">
    <w:name w:val="Cierre Car"/>
    <w:basedOn w:val="Fuentedeprrafopredeter"/>
    <w:link w:val="Cierre"/>
    <w:rsid w:val="00431B1E"/>
    <w:rPr>
      <w:rFonts w:ascii="Times New Roman" w:eastAsia="MS Mincho" w:hAnsi="Times New Roman" w:cs="Times New Roman"/>
      <w:kern w:val="0"/>
      <w:sz w:val="24"/>
      <w:szCs w:val="24"/>
      <w:lang w:val="es-ES" w:eastAsia="es-ES"/>
      <w14:ligatures w14:val="none"/>
    </w:rPr>
  </w:style>
  <w:style w:type="paragraph" w:customStyle="1" w:styleId="xmsonormal">
    <w:name w:val="x_msonormal"/>
    <w:basedOn w:val="Normal"/>
    <w:rsid w:val="004611A6"/>
    <w:pPr>
      <w:spacing w:after="0" w:line="240" w:lineRule="auto"/>
    </w:pPr>
    <w:rPr>
      <w:rFonts w:ascii="Calibri" w:hAnsi="Calibri" w:cs="Calibri"/>
      <w:lang w:eastAsia="es-CO"/>
    </w:rPr>
  </w:style>
  <w:style w:type="paragraph" w:customStyle="1" w:styleId="xmsolistparagraph">
    <w:name w:val="x_msolistparagraph"/>
    <w:basedOn w:val="Normal"/>
    <w:rsid w:val="004611A6"/>
    <w:pPr>
      <w:spacing w:after="0" w:line="240" w:lineRule="auto"/>
      <w:ind w:left="720"/>
    </w:pPr>
    <w:rPr>
      <w:rFonts w:ascii="Calibri" w:hAnsi="Calibri" w:cs="Calibri"/>
      <w:lang w:eastAsia="es-CO"/>
    </w:rPr>
  </w:style>
  <w:style w:type="paragraph" w:styleId="NormalWeb">
    <w:name w:val="Normal (Web)"/>
    <w:basedOn w:val="Normal"/>
    <w:uiPriority w:val="99"/>
    <w:unhideWhenUsed/>
    <w:rsid w:val="00605ABA"/>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171455">
      <w:bodyDiv w:val="1"/>
      <w:marLeft w:val="0"/>
      <w:marRight w:val="0"/>
      <w:marTop w:val="0"/>
      <w:marBottom w:val="0"/>
      <w:divBdr>
        <w:top w:val="none" w:sz="0" w:space="0" w:color="auto"/>
        <w:left w:val="none" w:sz="0" w:space="0" w:color="auto"/>
        <w:bottom w:val="none" w:sz="0" w:space="0" w:color="auto"/>
        <w:right w:val="none" w:sz="0" w:space="0" w:color="auto"/>
      </w:divBdr>
    </w:div>
    <w:div w:id="528686855">
      <w:bodyDiv w:val="1"/>
      <w:marLeft w:val="0"/>
      <w:marRight w:val="0"/>
      <w:marTop w:val="0"/>
      <w:marBottom w:val="0"/>
      <w:divBdr>
        <w:top w:val="none" w:sz="0" w:space="0" w:color="auto"/>
        <w:left w:val="none" w:sz="0" w:space="0" w:color="auto"/>
        <w:bottom w:val="none" w:sz="0" w:space="0" w:color="auto"/>
        <w:right w:val="none" w:sz="0" w:space="0" w:color="auto"/>
      </w:divBdr>
    </w:div>
    <w:div w:id="927927282">
      <w:bodyDiv w:val="1"/>
      <w:marLeft w:val="0"/>
      <w:marRight w:val="0"/>
      <w:marTop w:val="0"/>
      <w:marBottom w:val="0"/>
      <w:divBdr>
        <w:top w:val="none" w:sz="0" w:space="0" w:color="auto"/>
        <w:left w:val="none" w:sz="0" w:space="0" w:color="auto"/>
        <w:bottom w:val="none" w:sz="0" w:space="0" w:color="auto"/>
        <w:right w:val="none" w:sz="0" w:space="0" w:color="auto"/>
      </w:divBdr>
    </w:div>
    <w:div w:id="1008218942">
      <w:bodyDiv w:val="1"/>
      <w:marLeft w:val="0"/>
      <w:marRight w:val="0"/>
      <w:marTop w:val="0"/>
      <w:marBottom w:val="0"/>
      <w:divBdr>
        <w:top w:val="none" w:sz="0" w:space="0" w:color="auto"/>
        <w:left w:val="none" w:sz="0" w:space="0" w:color="auto"/>
        <w:bottom w:val="none" w:sz="0" w:space="0" w:color="auto"/>
        <w:right w:val="none" w:sz="0" w:space="0" w:color="auto"/>
      </w:divBdr>
    </w:div>
    <w:div w:id="1537229936">
      <w:bodyDiv w:val="1"/>
      <w:marLeft w:val="0"/>
      <w:marRight w:val="0"/>
      <w:marTop w:val="0"/>
      <w:marBottom w:val="0"/>
      <w:divBdr>
        <w:top w:val="none" w:sz="0" w:space="0" w:color="auto"/>
        <w:left w:val="none" w:sz="0" w:space="0" w:color="auto"/>
        <w:bottom w:val="none" w:sz="0" w:space="0" w:color="auto"/>
        <w:right w:val="none" w:sz="0" w:space="0" w:color="auto"/>
      </w:divBdr>
    </w:div>
    <w:div w:id="179204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an.gov.co/atencionciudadano/Documents/Informe-de-Gestion-DIAN-202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ian.gov.co/fizcalizacioncontrol/Documents/Informe-de-lucha-contra-la-evasion-y-el-contrabando-abril-junio-20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CB866-338A-4038-92CD-CB5648E3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3869</Words>
  <Characters>21280</Characters>
  <Application>Microsoft Office Word</Application>
  <DocSecurity>0</DocSecurity>
  <Lines>177</Lines>
  <Paragraphs>50</Paragraphs>
  <ScaleCrop>false</ScaleCrop>
  <Company/>
  <LinksUpToDate>false</LinksUpToDate>
  <CharactersWithSpaces>25099</CharactersWithSpaces>
  <SharedDoc>false</SharedDoc>
  <HLinks>
    <vt:vector size="12" baseType="variant">
      <vt:variant>
        <vt:i4>7864370</vt:i4>
      </vt:variant>
      <vt:variant>
        <vt:i4>3</vt:i4>
      </vt:variant>
      <vt:variant>
        <vt:i4>0</vt:i4>
      </vt:variant>
      <vt:variant>
        <vt:i4>5</vt:i4>
      </vt:variant>
      <vt:variant>
        <vt:lpwstr>https://www.dian.gov.co/fizcalizacioncontrol/Documents/Informe-de-lucha-contra-la-evasion-y-el-contrabando-abril-junio-2024.pdf</vt:lpwstr>
      </vt:variant>
      <vt:variant>
        <vt:lpwstr/>
      </vt:variant>
      <vt:variant>
        <vt:i4>589836</vt:i4>
      </vt:variant>
      <vt:variant>
        <vt:i4>0</vt:i4>
      </vt:variant>
      <vt:variant>
        <vt:i4>0</vt:i4>
      </vt:variant>
      <vt:variant>
        <vt:i4>5</vt:i4>
      </vt:variant>
      <vt:variant>
        <vt:lpwstr>https://www.dian.gov.co/atencionciudadano/Documents/Informe-de-Gestion-DIAN-2023.pdf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Jeimy Paola Ortiz Gracia</dc:creator>
  <cp:keywords/>
  <dc:description/>
  <cp:lastModifiedBy>Angela Marcela Forero Ruiz</cp:lastModifiedBy>
  <cp:revision>11</cp:revision>
  <dcterms:created xsi:type="dcterms:W3CDTF">2024-08-16T23:22:00Z</dcterms:created>
  <dcterms:modified xsi:type="dcterms:W3CDTF">2024-08-16T23:30:00Z</dcterms:modified>
</cp:coreProperties>
</file>