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B55764" w14:textId="64702A8B" w:rsidR="005B0514" w:rsidRPr="00936621" w:rsidRDefault="002C0A72" w:rsidP="002C0A72">
      <w:pPr>
        <w:jc w:val="both"/>
        <w:rPr>
          <w:rFonts w:ascii="Verdana" w:hAnsi="Verdana"/>
        </w:rPr>
      </w:pPr>
      <w:r w:rsidRPr="00936621">
        <w:rPr>
          <w:rFonts w:ascii="Verdana" w:hAnsi="Verdana"/>
        </w:rPr>
        <w:t xml:space="preserve">2. </w:t>
      </w:r>
      <w:r w:rsidRPr="00936621">
        <w:rPr>
          <w:rFonts w:ascii="Verdana" w:hAnsi="Verdana"/>
          <w:b/>
          <w:bCs/>
        </w:rPr>
        <w:t>Sírvase informar el porcentaje y rubro destinado para el pago de contratos de prestación de servicios y si este corresponde a la partida inversión o gasto de funcionamiento para las vigencias 2023 y 2024</w:t>
      </w:r>
    </w:p>
    <w:p w14:paraId="653DA8CA" w14:textId="77777777" w:rsidR="00131B2E" w:rsidRDefault="00131B2E" w:rsidP="0094339B">
      <w:pPr>
        <w:jc w:val="both"/>
        <w:rPr>
          <w:rFonts w:ascii="Verdana" w:hAnsi="Verdana"/>
          <w:b/>
          <w:bCs/>
        </w:rPr>
      </w:pPr>
    </w:p>
    <w:p w14:paraId="0E4729DE" w14:textId="620497BA" w:rsidR="0094339B" w:rsidRDefault="0094339B" w:rsidP="0094339B">
      <w:pPr>
        <w:jc w:val="both"/>
        <w:rPr>
          <w:rFonts w:ascii="Verdana" w:hAnsi="Verdana"/>
        </w:rPr>
      </w:pPr>
      <w:r w:rsidRPr="00936621">
        <w:rPr>
          <w:rFonts w:ascii="Verdana" w:hAnsi="Verdana"/>
          <w:b/>
          <w:bCs/>
        </w:rPr>
        <w:t>Respuesta Agencia ITRC:</w:t>
      </w:r>
      <w:r w:rsidRPr="00936621">
        <w:rPr>
          <w:rFonts w:ascii="Verdana" w:hAnsi="Verdana"/>
        </w:rPr>
        <w:t xml:space="preserve"> </w:t>
      </w:r>
    </w:p>
    <w:p w14:paraId="7A29E6E9" w14:textId="77777777" w:rsidR="00131B2E" w:rsidRDefault="00131B2E" w:rsidP="0094339B">
      <w:pPr>
        <w:jc w:val="both"/>
        <w:rPr>
          <w:rFonts w:ascii="Verdana" w:hAnsi="Verdana"/>
        </w:rPr>
      </w:pPr>
    </w:p>
    <w:p w14:paraId="08A0D5A4" w14:textId="35F1C75F" w:rsidR="00131B2E" w:rsidRPr="00936621" w:rsidRDefault="00131B2E" w:rsidP="0094339B">
      <w:pPr>
        <w:jc w:val="both"/>
        <w:rPr>
          <w:rFonts w:ascii="Verdana" w:hAnsi="Verdana"/>
        </w:rPr>
      </w:pPr>
      <w:r>
        <w:rPr>
          <w:rFonts w:ascii="Verdana" w:hAnsi="Verdana"/>
        </w:rPr>
        <w:t xml:space="preserve">A </w:t>
      </w:r>
      <w:r w:rsidR="00DD4652">
        <w:rPr>
          <w:rFonts w:ascii="Verdana" w:hAnsi="Verdana"/>
        </w:rPr>
        <w:t>continuación,</w:t>
      </w:r>
      <w:r>
        <w:rPr>
          <w:rFonts w:ascii="Verdana" w:hAnsi="Verdana"/>
        </w:rPr>
        <w:t xml:space="preserve"> se presentan los recursos por vigencia y rubro de inversión y funcionamiento:</w:t>
      </w:r>
    </w:p>
    <w:tbl>
      <w:tblPr>
        <w:tblW w:w="9794" w:type="dxa"/>
        <w:jc w:val="center"/>
        <w:tblCellMar>
          <w:left w:w="70" w:type="dxa"/>
          <w:right w:w="70" w:type="dxa"/>
        </w:tblCellMar>
        <w:tblLook w:val="04A0" w:firstRow="1" w:lastRow="0" w:firstColumn="1" w:lastColumn="0" w:noHBand="0" w:noVBand="1"/>
      </w:tblPr>
      <w:tblGrid>
        <w:gridCol w:w="2587"/>
        <w:gridCol w:w="1937"/>
        <w:gridCol w:w="2428"/>
        <w:gridCol w:w="563"/>
        <w:gridCol w:w="1712"/>
        <w:gridCol w:w="567"/>
      </w:tblGrid>
      <w:tr w:rsidR="00131B2E" w:rsidRPr="00131B2E" w14:paraId="1335AFF5" w14:textId="77777777" w:rsidTr="00131B2E">
        <w:trPr>
          <w:trHeight w:val="261"/>
          <w:jc w:val="center"/>
        </w:trPr>
        <w:tc>
          <w:tcPr>
            <w:tcW w:w="9794"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52593A" w14:textId="77777777" w:rsidR="00131B2E" w:rsidRPr="00131B2E" w:rsidRDefault="00131B2E" w:rsidP="007A3BFF">
            <w:pPr>
              <w:spacing w:after="0" w:line="240" w:lineRule="auto"/>
              <w:jc w:val="center"/>
              <w:rPr>
                <w:rFonts w:ascii="Verdana" w:eastAsia="Times New Roman" w:hAnsi="Verdana" w:cs="Times New Roman"/>
                <w:b/>
                <w:bCs/>
                <w:color w:val="000000"/>
                <w:kern w:val="0"/>
                <w:sz w:val="18"/>
                <w:szCs w:val="18"/>
                <w:lang w:eastAsia="es-CO"/>
                <w14:ligatures w14:val="none"/>
              </w:rPr>
            </w:pPr>
            <w:r w:rsidRPr="00131B2E">
              <w:rPr>
                <w:rFonts w:ascii="Verdana" w:eastAsia="Times New Roman" w:hAnsi="Verdana" w:cs="Times New Roman"/>
                <w:b/>
                <w:bCs/>
                <w:color w:val="000000"/>
                <w:kern w:val="0"/>
                <w:sz w:val="18"/>
                <w:szCs w:val="18"/>
                <w:lang w:eastAsia="es-CO"/>
                <w14:ligatures w14:val="none"/>
              </w:rPr>
              <w:t>VIGENCIA 2023</w:t>
            </w:r>
          </w:p>
        </w:tc>
      </w:tr>
      <w:tr w:rsidR="00131B2E" w:rsidRPr="00131B2E" w14:paraId="2BC423BC" w14:textId="77777777" w:rsidTr="00131B2E">
        <w:trPr>
          <w:trHeight w:val="261"/>
          <w:jc w:val="center"/>
        </w:trPr>
        <w:tc>
          <w:tcPr>
            <w:tcW w:w="2587" w:type="dxa"/>
            <w:tcBorders>
              <w:top w:val="nil"/>
              <w:left w:val="single" w:sz="4" w:space="0" w:color="auto"/>
              <w:bottom w:val="single" w:sz="4" w:space="0" w:color="auto"/>
              <w:right w:val="single" w:sz="4" w:space="0" w:color="auto"/>
            </w:tcBorders>
            <w:shd w:val="clear" w:color="auto" w:fill="auto"/>
            <w:noWrap/>
            <w:vAlign w:val="bottom"/>
            <w:hideMark/>
          </w:tcPr>
          <w:p w14:paraId="0DAC1217" w14:textId="77777777" w:rsidR="00131B2E" w:rsidRPr="00131B2E" w:rsidRDefault="00131B2E" w:rsidP="007A3BFF">
            <w:pPr>
              <w:spacing w:after="0" w:line="240" w:lineRule="auto"/>
              <w:jc w:val="center"/>
              <w:rPr>
                <w:rFonts w:ascii="Verdana" w:eastAsia="Times New Roman" w:hAnsi="Verdana" w:cs="Times New Roman"/>
                <w:b/>
                <w:bCs/>
                <w:color w:val="000000"/>
                <w:kern w:val="0"/>
                <w:sz w:val="18"/>
                <w:szCs w:val="18"/>
                <w:lang w:eastAsia="es-CO"/>
                <w14:ligatures w14:val="none"/>
              </w:rPr>
            </w:pPr>
            <w:r w:rsidRPr="00131B2E">
              <w:rPr>
                <w:rFonts w:ascii="Verdana" w:eastAsia="Times New Roman" w:hAnsi="Verdana" w:cs="Times New Roman"/>
                <w:b/>
                <w:bCs/>
                <w:color w:val="000000"/>
                <w:kern w:val="0"/>
                <w:sz w:val="18"/>
                <w:szCs w:val="18"/>
                <w:lang w:eastAsia="es-CO"/>
                <w14:ligatures w14:val="none"/>
              </w:rPr>
              <w:t>CONCEPTO</w:t>
            </w:r>
          </w:p>
        </w:tc>
        <w:tc>
          <w:tcPr>
            <w:tcW w:w="1937" w:type="dxa"/>
            <w:tcBorders>
              <w:top w:val="nil"/>
              <w:left w:val="nil"/>
              <w:bottom w:val="single" w:sz="4" w:space="0" w:color="auto"/>
              <w:right w:val="single" w:sz="4" w:space="0" w:color="auto"/>
            </w:tcBorders>
            <w:shd w:val="clear" w:color="auto" w:fill="auto"/>
            <w:noWrap/>
            <w:vAlign w:val="bottom"/>
            <w:hideMark/>
          </w:tcPr>
          <w:p w14:paraId="1D3EA5CB" w14:textId="77777777" w:rsidR="00131B2E" w:rsidRPr="00131B2E" w:rsidRDefault="00131B2E" w:rsidP="007A3BFF">
            <w:pPr>
              <w:spacing w:after="0" w:line="240" w:lineRule="auto"/>
              <w:jc w:val="center"/>
              <w:rPr>
                <w:rFonts w:ascii="Verdana" w:eastAsia="Times New Roman" w:hAnsi="Verdana" w:cs="Times New Roman"/>
                <w:b/>
                <w:bCs/>
                <w:color w:val="000000"/>
                <w:kern w:val="0"/>
                <w:sz w:val="18"/>
                <w:szCs w:val="18"/>
                <w:lang w:eastAsia="es-CO"/>
                <w14:ligatures w14:val="none"/>
              </w:rPr>
            </w:pPr>
            <w:r w:rsidRPr="00131B2E">
              <w:rPr>
                <w:rFonts w:ascii="Verdana" w:eastAsia="Times New Roman" w:hAnsi="Verdana" w:cs="Times New Roman"/>
                <w:b/>
                <w:bCs/>
                <w:color w:val="000000"/>
                <w:kern w:val="0"/>
                <w:sz w:val="18"/>
                <w:szCs w:val="18"/>
                <w:lang w:eastAsia="es-CO"/>
                <w14:ligatures w14:val="none"/>
              </w:rPr>
              <w:t>VALOR TOTAL</w:t>
            </w:r>
          </w:p>
        </w:tc>
        <w:tc>
          <w:tcPr>
            <w:tcW w:w="2428" w:type="dxa"/>
            <w:tcBorders>
              <w:top w:val="nil"/>
              <w:left w:val="nil"/>
              <w:bottom w:val="single" w:sz="4" w:space="0" w:color="auto"/>
              <w:right w:val="single" w:sz="4" w:space="0" w:color="auto"/>
            </w:tcBorders>
            <w:shd w:val="clear" w:color="auto" w:fill="auto"/>
            <w:noWrap/>
            <w:vAlign w:val="bottom"/>
            <w:hideMark/>
          </w:tcPr>
          <w:p w14:paraId="076B2162" w14:textId="77777777" w:rsidR="00131B2E" w:rsidRPr="00131B2E" w:rsidRDefault="00131B2E" w:rsidP="007A3BFF">
            <w:pPr>
              <w:spacing w:after="0" w:line="240" w:lineRule="auto"/>
              <w:jc w:val="center"/>
              <w:rPr>
                <w:rFonts w:ascii="Verdana" w:eastAsia="Times New Roman" w:hAnsi="Verdana" w:cs="Times New Roman"/>
                <w:b/>
                <w:bCs/>
                <w:color w:val="000000"/>
                <w:kern w:val="0"/>
                <w:sz w:val="18"/>
                <w:szCs w:val="18"/>
                <w:lang w:eastAsia="es-CO"/>
                <w14:ligatures w14:val="none"/>
              </w:rPr>
            </w:pPr>
            <w:r w:rsidRPr="00131B2E">
              <w:rPr>
                <w:rFonts w:ascii="Verdana" w:eastAsia="Times New Roman" w:hAnsi="Verdana" w:cs="Times New Roman"/>
                <w:b/>
                <w:bCs/>
                <w:color w:val="000000"/>
                <w:kern w:val="0"/>
                <w:sz w:val="18"/>
                <w:szCs w:val="18"/>
                <w:lang w:eastAsia="es-CO"/>
                <w14:ligatures w14:val="none"/>
              </w:rPr>
              <w:t>FUNCIONAMIENTO</w:t>
            </w:r>
          </w:p>
        </w:tc>
        <w:tc>
          <w:tcPr>
            <w:tcW w:w="560" w:type="dxa"/>
            <w:tcBorders>
              <w:top w:val="nil"/>
              <w:left w:val="nil"/>
              <w:bottom w:val="single" w:sz="4" w:space="0" w:color="auto"/>
              <w:right w:val="single" w:sz="4" w:space="0" w:color="auto"/>
            </w:tcBorders>
            <w:shd w:val="clear" w:color="auto" w:fill="auto"/>
            <w:noWrap/>
            <w:vAlign w:val="bottom"/>
            <w:hideMark/>
          </w:tcPr>
          <w:p w14:paraId="33EC6EC4" w14:textId="77777777" w:rsidR="00131B2E" w:rsidRPr="00131B2E" w:rsidRDefault="00131B2E" w:rsidP="007A3BFF">
            <w:pPr>
              <w:spacing w:after="0" w:line="240" w:lineRule="auto"/>
              <w:jc w:val="center"/>
              <w:rPr>
                <w:rFonts w:ascii="Verdana" w:eastAsia="Times New Roman" w:hAnsi="Verdana" w:cs="Times New Roman"/>
                <w:b/>
                <w:bCs/>
                <w:color w:val="000000"/>
                <w:kern w:val="0"/>
                <w:sz w:val="18"/>
                <w:szCs w:val="18"/>
                <w:lang w:eastAsia="es-CO"/>
                <w14:ligatures w14:val="none"/>
              </w:rPr>
            </w:pPr>
            <w:r w:rsidRPr="00131B2E">
              <w:rPr>
                <w:rFonts w:ascii="Verdana" w:eastAsia="Times New Roman" w:hAnsi="Verdana" w:cs="Times New Roman"/>
                <w:b/>
                <w:bCs/>
                <w:color w:val="000000"/>
                <w:kern w:val="0"/>
                <w:sz w:val="18"/>
                <w:szCs w:val="18"/>
                <w:lang w:eastAsia="es-CO"/>
                <w14:ligatures w14:val="none"/>
              </w:rPr>
              <w:t>%</w:t>
            </w:r>
          </w:p>
        </w:tc>
        <w:tc>
          <w:tcPr>
            <w:tcW w:w="1712" w:type="dxa"/>
            <w:tcBorders>
              <w:top w:val="nil"/>
              <w:left w:val="nil"/>
              <w:bottom w:val="single" w:sz="4" w:space="0" w:color="auto"/>
              <w:right w:val="single" w:sz="4" w:space="0" w:color="auto"/>
            </w:tcBorders>
            <w:shd w:val="clear" w:color="auto" w:fill="auto"/>
            <w:noWrap/>
            <w:vAlign w:val="bottom"/>
            <w:hideMark/>
          </w:tcPr>
          <w:p w14:paraId="10621798" w14:textId="77777777" w:rsidR="00131B2E" w:rsidRPr="00131B2E" w:rsidRDefault="00131B2E" w:rsidP="007A3BFF">
            <w:pPr>
              <w:spacing w:after="0" w:line="240" w:lineRule="auto"/>
              <w:jc w:val="center"/>
              <w:rPr>
                <w:rFonts w:ascii="Verdana" w:eastAsia="Times New Roman" w:hAnsi="Verdana" w:cs="Times New Roman"/>
                <w:b/>
                <w:bCs/>
                <w:color w:val="000000"/>
                <w:kern w:val="0"/>
                <w:sz w:val="18"/>
                <w:szCs w:val="18"/>
                <w:lang w:eastAsia="es-CO"/>
                <w14:ligatures w14:val="none"/>
              </w:rPr>
            </w:pPr>
            <w:r w:rsidRPr="00131B2E">
              <w:rPr>
                <w:rFonts w:ascii="Verdana" w:eastAsia="Times New Roman" w:hAnsi="Verdana" w:cs="Times New Roman"/>
                <w:b/>
                <w:bCs/>
                <w:color w:val="000000"/>
                <w:kern w:val="0"/>
                <w:sz w:val="18"/>
                <w:szCs w:val="18"/>
                <w:lang w:eastAsia="es-CO"/>
                <w14:ligatures w14:val="none"/>
              </w:rPr>
              <w:t xml:space="preserve">INVERSIÓN </w:t>
            </w:r>
          </w:p>
        </w:tc>
        <w:tc>
          <w:tcPr>
            <w:tcW w:w="567" w:type="dxa"/>
            <w:tcBorders>
              <w:top w:val="nil"/>
              <w:left w:val="nil"/>
              <w:bottom w:val="single" w:sz="4" w:space="0" w:color="auto"/>
              <w:right w:val="single" w:sz="4" w:space="0" w:color="auto"/>
            </w:tcBorders>
            <w:shd w:val="clear" w:color="auto" w:fill="auto"/>
            <w:noWrap/>
            <w:vAlign w:val="bottom"/>
            <w:hideMark/>
          </w:tcPr>
          <w:p w14:paraId="1E2FD326" w14:textId="77777777" w:rsidR="00131B2E" w:rsidRPr="00131B2E" w:rsidRDefault="00131B2E" w:rsidP="007A3BFF">
            <w:pPr>
              <w:spacing w:after="0" w:line="240" w:lineRule="auto"/>
              <w:jc w:val="center"/>
              <w:rPr>
                <w:rFonts w:ascii="Verdana" w:eastAsia="Times New Roman" w:hAnsi="Verdana" w:cs="Times New Roman"/>
                <w:b/>
                <w:bCs/>
                <w:color w:val="000000"/>
                <w:kern w:val="0"/>
                <w:sz w:val="18"/>
                <w:szCs w:val="18"/>
                <w:lang w:eastAsia="es-CO"/>
                <w14:ligatures w14:val="none"/>
              </w:rPr>
            </w:pPr>
            <w:r w:rsidRPr="00131B2E">
              <w:rPr>
                <w:rFonts w:ascii="Verdana" w:eastAsia="Times New Roman" w:hAnsi="Verdana" w:cs="Times New Roman"/>
                <w:b/>
                <w:bCs/>
                <w:color w:val="000000"/>
                <w:kern w:val="0"/>
                <w:sz w:val="18"/>
                <w:szCs w:val="18"/>
                <w:lang w:eastAsia="es-CO"/>
                <w14:ligatures w14:val="none"/>
              </w:rPr>
              <w:t>%</w:t>
            </w:r>
          </w:p>
        </w:tc>
      </w:tr>
      <w:tr w:rsidR="00131B2E" w:rsidRPr="00131B2E" w14:paraId="62F9D43E" w14:textId="77777777" w:rsidTr="00131B2E">
        <w:trPr>
          <w:trHeight w:val="759"/>
          <w:jc w:val="center"/>
        </w:trPr>
        <w:tc>
          <w:tcPr>
            <w:tcW w:w="2587" w:type="dxa"/>
            <w:tcBorders>
              <w:top w:val="nil"/>
              <w:left w:val="single" w:sz="4" w:space="0" w:color="auto"/>
              <w:bottom w:val="single" w:sz="4" w:space="0" w:color="auto"/>
              <w:right w:val="single" w:sz="4" w:space="0" w:color="auto"/>
            </w:tcBorders>
            <w:shd w:val="clear" w:color="auto" w:fill="auto"/>
            <w:vAlign w:val="bottom"/>
            <w:hideMark/>
          </w:tcPr>
          <w:p w14:paraId="1E9BAF5A" w14:textId="77777777" w:rsidR="00131B2E" w:rsidRPr="00131B2E" w:rsidRDefault="00131B2E" w:rsidP="007A3BFF">
            <w:pPr>
              <w:spacing w:after="0" w:line="240" w:lineRule="auto"/>
              <w:rPr>
                <w:rFonts w:ascii="Verdana" w:eastAsia="Times New Roman" w:hAnsi="Verdana" w:cs="Times New Roman"/>
                <w:color w:val="000000"/>
                <w:kern w:val="0"/>
                <w:sz w:val="18"/>
                <w:szCs w:val="18"/>
                <w:lang w:eastAsia="es-CO"/>
                <w14:ligatures w14:val="none"/>
              </w:rPr>
            </w:pPr>
            <w:r w:rsidRPr="00131B2E">
              <w:rPr>
                <w:rFonts w:ascii="Verdana" w:eastAsia="Times New Roman" w:hAnsi="Verdana" w:cs="Times New Roman"/>
                <w:color w:val="000000"/>
                <w:kern w:val="0"/>
                <w:sz w:val="18"/>
                <w:szCs w:val="18"/>
                <w:lang w:eastAsia="es-CO"/>
                <w14:ligatures w14:val="none"/>
              </w:rPr>
              <w:t>CONTRATOS PRESTACIÓN DE SERVICIOS. PROF Y DE APOYO A LA GESTIÓN</w:t>
            </w:r>
          </w:p>
        </w:tc>
        <w:tc>
          <w:tcPr>
            <w:tcW w:w="1937" w:type="dxa"/>
            <w:tcBorders>
              <w:top w:val="nil"/>
              <w:left w:val="nil"/>
              <w:bottom w:val="single" w:sz="4" w:space="0" w:color="auto"/>
              <w:right w:val="single" w:sz="4" w:space="0" w:color="auto"/>
            </w:tcBorders>
            <w:shd w:val="clear" w:color="auto" w:fill="auto"/>
            <w:noWrap/>
            <w:vAlign w:val="bottom"/>
            <w:hideMark/>
          </w:tcPr>
          <w:p w14:paraId="55A2D12F" w14:textId="77777777" w:rsidR="00131B2E" w:rsidRPr="00131B2E" w:rsidRDefault="00131B2E" w:rsidP="007A3BFF">
            <w:pPr>
              <w:spacing w:after="0" w:line="240" w:lineRule="auto"/>
              <w:jc w:val="right"/>
              <w:rPr>
                <w:rFonts w:ascii="Verdana" w:eastAsia="Times New Roman" w:hAnsi="Verdana" w:cs="Times New Roman"/>
                <w:color w:val="000000"/>
                <w:kern w:val="0"/>
                <w:sz w:val="18"/>
                <w:szCs w:val="18"/>
                <w:lang w:eastAsia="es-CO"/>
                <w14:ligatures w14:val="none"/>
              </w:rPr>
            </w:pPr>
            <w:r w:rsidRPr="00131B2E">
              <w:rPr>
                <w:rFonts w:ascii="Verdana" w:eastAsia="Times New Roman" w:hAnsi="Verdana" w:cs="Times New Roman"/>
                <w:color w:val="000000"/>
                <w:kern w:val="0"/>
                <w:sz w:val="18"/>
                <w:szCs w:val="18"/>
                <w:lang w:eastAsia="es-CO"/>
                <w14:ligatures w14:val="none"/>
              </w:rPr>
              <w:t>$ 1.158.960.631</w:t>
            </w:r>
          </w:p>
        </w:tc>
        <w:tc>
          <w:tcPr>
            <w:tcW w:w="2428" w:type="dxa"/>
            <w:tcBorders>
              <w:top w:val="nil"/>
              <w:left w:val="nil"/>
              <w:bottom w:val="single" w:sz="4" w:space="0" w:color="auto"/>
              <w:right w:val="single" w:sz="4" w:space="0" w:color="auto"/>
            </w:tcBorders>
            <w:shd w:val="clear" w:color="auto" w:fill="auto"/>
            <w:noWrap/>
            <w:vAlign w:val="bottom"/>
            <w:hideMark/>
          </w:tcPr>
          <w:p w14:paraId="623FC878" w14:textId="77777777" w:rsidR="00131B2E" w:rsidRPr="00131B2E" w:rsidRDefault="00131B2E" w:rsidP="007A3BFF">
            <w:pPr>
              <w:spacing w:after="0" w:line="240" w:lineRule="auto"/>
              <w:jc w:val="right"/>
              <w:rPr>
                <w:rFonts w:ascii="Verdana" w:eastAsia="Times New Roman" w:hAnsi="Verdana" w:cs="Times New Roman"/>
                <w:color w:val="000000"/>
                <w:kern w:val="0"/>
                <w:sz w:val="18"/>
                <w:szCs w:val="18"/>
                <w:lang w:eastAsia="es-CO"/>
                <w14:ligatures w14:val="none"/>
              </w:rPr>
            </w:pPr>
            <w:r w:rsidRPr="00131B2E">
              <w:rPr>
                <w:rFonts w:ascii="Verdana" w:eastAsia="Times New Roman" w:hAnsi="Verdana" w:cs="Times New Roman"/>
                <w:color w:val="000000"/>
                <w:kern w:val="0"/>
                <w:sz w:val="18"/>
                <w:szCs w:val="18"/>
                <w:lang w:eastAsia="es-CO"/>
                <w14:ligatures w14:val="none"/>
              </w:rPr>
              <w:t>$1.021.227.333 </w:t>
            </w:r>
          </w:p>
        </w:tc>
        <w:tc>
          <w:tcPr>
            <w:tcW w:w="560" w:type="dxa"/>
            <w:tcBorders>
              <w:top w:val="nil"/>
              <w:left w:val="nil"/>
              <w:bottom w:val="single" w:sz="4" w:space="0" w:color="auto"/>
              <w:right w:val="single" w:sz="4" w:space="0" w:color="auto"/>
            </w:tcBorders>
            <w:shd w:val="clear" w:color="auto" w:fill="auto"/>
            <w:noWrap/>
            <w:vAlign w:val="bottom"/>
            <w:hideMark/>
          </w:tcPr>
          <w:p w14:paraId="43FA9FFA" w14:textId="77777777" w:rsidR="00131B2E" w:rsidRPr="00131B2E" w:rsidRDefault="00131B2E" w:rsidP="007A3BFF">
            <w:pPr>
              <w:spacing w:after="0" w:line="240" w:lineRule="auto"/>
              <w:jc w:val="right"/>
              <w:rPr>
                <w:rFonts w:ascii="Verdana" w:eastAsia="Times New Roman" w:hAnsi="Verdana" w:cs="Times New Roman"/>
                <w:color w:val="000000"/>
                <w:kern w:val="0"/>
                <w:sz w:val="18"/>
                <w:szCs w:val="18"/>
                <w:lang w:eastAsia="es-CO"/>
                <w14:ligatures w14:val="none"/>
              </w:rPr>
            </w:pPr>
            <w:r w:rsidRPr="00131B2E">
              <w:rPr>
                <w:rFonts w:ascii="Verdana" w:eastAsia="Times New Roman" w:hAnsi="Verdana" w:cs="Times New Roman"/>
                <w:color w:val="000000"/>
                <w:kern w:val="0"/>
                <w:sz w:val="18"/>
                <w:szCs w:val="18"/>
                <w:lang w:eastAsia="es-CO"/>
                <w14:ligatures w14:val="none"/>
              </w:rPr>
              <w:t>88%</w:t>
            </w:r>
          </w:p>
        </w:tc>
        <w:tc>
          <w:tcPr>
            <w:tcW w:w="1712" w:type="dxa"/>
            <w:tcBorders>
              <w:top w:val="nil"/>
              <w:left w:val="nil"/>
              <w:bottom w:val="single" w:sz="4" w:space="0" w:color="auto"/>
              <w:right w:val="single" w:sz="4" w:space="0" w:color="auto"/>
            </w:tcBorders>
            <w:shd w:val="clear" w:color="auto" w:fill="auto"/>
            <w:noWrap/>
            <w:vAlign w:val="bottom"/>
            <w:hideMark/>
          </w:tcPr>
          <w:p w14:paraId="00D80162" w14:textId="77777777" w:rsidR="00131B2E" w:rsidRPr="00131B2E" w:rsidRDefault="00131B2E" w:rsidP="007A3BFF">
            <w:pPr>
              <w:spacing w:after="0" w:line="240" w:lineRule="auto"/>
              <w:jc w:val="right"/>
              <w:rPr>
                <w:rFonts w:ascii="Verdana" w:eastAsia="Times New Roman" w:hAnsi="Verdana" w:cs="Times New Roman"/>
                <w:color w:val="000000"/>
                <w:kern w:val="0"/>
                <w:sz w:val="18"/>
                <w:szCs w:val="18"/>
                <w:lang w:eastAsia="es-CO"/>
                <w14:ligatures w14:val="none"/>
              </w:rPr>
            </w:pPr>
            <w:r w:rsidRPr="00131B2E">
              <w:rPr>
                <w:rFonts w:ascii="Verdana" w:eastAsia="Times New Roman" w:hAnsi="Verdana" w:cs="Times New Roman"/>
                <w:color w:val="000000"/>
                <w:kern w:val="0"/>
                <w:sz w:val="18"/>
                <w:szCs w:val="18"/>
                <w:lang w:eastAsia="es-CO"/>
                <w14:ligatures w14:val="none"/>
              </w:rPr>
              <w:t>$137.733.298 </w:t>
            </w:r>
          </w:p>
        </w:tc>
        <w:tc>
          <w:tcPr>
            <w:tcW w:w="567" w:type="dxa"/>
            <w:tcBorders>
              <w:top w:val="nil"/>
              <w:left w:val="nil"/>
              <w:bottom w:val="single" w:sz="4" w:space="0" w:color="auto"/>
              <w:right w:val="single" w:sz="4" w:space="0" w:color="auto"/>
            </w:tcBorders>
            <w:shd w:val="clear" w:color="auto" w:fill="auto"/>
            <w:noWrap/>
            <w:vAlign w:val="bottom"/>
            <w:hideMark/>
          </w:tcPr>
          <w:p w14:paraId="79B9AB9E" w14:textId="77777777" w:rsidR="00131B2E" w:rsidRPr="00131B2E" w:rsidRDefault="00131B2E" w:rsidP="007A3BFF">
            <w:pPr>
              <w:spacing w:after="0" w:line="240" w:lineRule="auto"/>
              <w:jc w:val="right"/>
              <w:rPr>
                <w:rFonts w:ascii="Verdana" w:eastAsia="Times New Roman" w:hAnsi="Verdana" w:cs="Times New Roman"/>
                <w:color w:val="000000"/>
                <w:kern w:val="0"/>
                <w:sz w:val="18"/>
                <w:szCs w:val="18"/>
                <w:lang w:eastAsia="es-CO"/>
                <w14:ligatures w14:val="none"/>
              </w:rPr>
            </w:pPr>
            <w:r w:rsidRPr="00131B2E">
              <w:rPr>
                <w:rFonts w:ascii="Verdana" w:eastAsia="Times New Roman" w:hAnsi="Verdana" w:cs="Times New Roman"/>
                <w:color w:val="000000"/>
                <w:kern w:val="0"/>
                <w:sz w:val="18"/>
                <w:szCs w:val="18"/>
                <w:lang w:eastAsia="es-CO"/>
                <w14:ligatures w14:val="none"/>
              </w:rPr>
              <w:t>12%</w:t>
            </w:r>
          </w:p>
        </w:tc>
      </w:tr>
      <w:tr w:rsidR="00131B2E" w:rsidRPr="00131B2E" w14:paraId="7360BA48" w14:textId="77777777" w:rsidTr="00131B2E">
        <w:trPr>
          <w:trHeight w:val="509"/>
          <w:jc w:val="center"/>
        </w:trPr>
        <w:tc>
          <w:tcPr>
            <w:tcW w:w="2587" w:type="dxa"/>
            <w:tcBorders>
              <w:top w:val="nil"/>
              <w:left w:val="single" w:sz="4" w:space="0" w:color="auto"/>
              <w:bottom w:val="single" w:sz="4" w:space="0" w:color="auto"/>
              <w:right w:val="single" w:sz="4" w:space="0" w:color="auto"/>
            </w:tcBorders>
            <w:shd w:val="clear" w:color="auto" w:fill="auto"/>
            <w:vAlign w:val="bottom"/>
            <w:hideMark/>
          </w:tcPr>
          <w:p w14:paraId="2550400B" w14:textId="77777777" w:rsidR="00131B2E" w:rsidRPr="00131B2E" w:rsidRDefault="00131B2E" w:rsidP="007A3BFF">
            <w:pPr>
              <w:spacing w:after="0" w:line="240" w:lineRule="auto"/>
              <w:rPr>
                <w:rFonts w:ascii="Verdana" w:eastAsia="Times New Roman" w:hAnsi="Verdana" w:cs="Times New Roman"/>
                <w:color w:val="000000"/>
                <w:kern w:val="0"/>
                <w:sz w:val="18"/>
                <w:szCs w:val="18"/>
                <w:lang w:eastAsia="es-CO"/>
                <w14:ligatures w14:val="none"/>
              </w:rPr>
            </w:pPr>
            <w:r w:rsidRPr="00131B2E">
              <w:rPr>
                <w:rFonts w:ascii="Verdana" w:eastAsia="Times New Roman" w:hAnsi="Verdana" w:cs="Times New Roman"/>
                <w:color w:val="000000"/>
                <w:kern w:val="0"/>
                <w:sz w:val="18"/>
                <w:szCs w:val="18"/>
                <w:lang w:eastAsia="es-CO"/>
                <w14:ligatures w14:val="none"/>
              </w:rPr>
              <w:t>CONTRATOS DE PRESTACIÓN DE SERVICIOS (otros)</w:t>
            </w:r>
          </w:p>
        </w:tc>
        <w:tc>
          <w:tcPr>
            <w:tcW w:w="1937" w:type="dxa"/>
            <w:tcBorders>
              <w:top w:val="nil"/>
              <w:left w:val="nil"/>
              <w:bottom w:val="single" w:sz="4" w:space="0" w:color="auto"/>
              <w:right w:val="single" w:sz="4" w:space="0" w:color="auto"/>
            </w:tcBorders>
            <w:shd w:val="clear" w:color="auto" w:fill="auto"/>
            <w:noWrap/>
            <w:vAlign w:val="bottom"/>
            <w:hideMark/>
          </w:tcPr>
          <w:p w14:paraId="12B5A098" w14:textId="77777777" w:rsidR="00131B2E" w:rsidRPr="00131B2E" w:rsidRDefault="00131B2E" w:rsidP="007A3BFF">
            <w:pPr>
              <w:spacing w:after="0" w:line="240" w:lineRule="auto"/>
              <w:jc w:val="right"/>
              <w:rPr>
                <w:rFonts w:ascii="Verdana" w:eastAsia="Times New Roman" w:hAnsi="Verdana" w:cs="Times New Roman"/>
                <w:color w:val="000000"/>
                <w:kern w:val="0"/>
                <w:sz w:val="18"/>
                <w:szCs w:val="18"/>
                <w:lang w:eastAsia="es-CO"/>
                <w14:ligatures w14:val="none"/>
              </w:rPr>
            </w:pPr>
            <w:r w:rsidRPr="00131B2E">
              <w:rPr>
                <w:rFonts w:ascii="Verdana" w:eastAsia="Times New Roman" w:hAnsi="Verdana" w:cs="Times New Roman"/>
                <w:color w:val="000000"/>
                <w:kern w:val="0"/>
                <w:sz w:val="18"/>
                <w:szCs w:val="18"/>
                <w:lang w:eastAsia="es-CO"/>
                <w14:ligatures w14:val="none"/>
              </w:rPr>
              <w:t>$ 1.410.461.948</w:t>
            </w:r>
          </w:p>
        </w:tc>
        <w:tc>
          <w:tcPr>
            <w:tcW w:w="2428" w:type="dxa"/>
            <w:tcBorders>
              <w:top w:val="nil"/>
              <w:left w:val="nil"/>
              <w:bottom w:val="single" w:sz="4" w:space="0" w:color="auto"/>
              <w:right w:val="single" w:sz="4" w:space="0" w:color="auto"/>
            </w:tcBorders>
            <w:shd w:val="clear" w:color="auto" w:fill="auto"/>
            <w:noWrap/>
            <w:vAlign w:val="bottom"/>
            <w:hideMark/>
          </w:tcPr>
          <w:p w14:paraId="5CDE9C57" w14:textId="77777777" w:rsidR="00131B2E" w:rsidRPr="00131B2E" w:rsidRDefault="00131B2E" w:rsidP="007A3BFF">
            <w:pPr>
              <w:spacing w:after="0" w:line="240" w:lineRule="auto"/>
              <w:jc w:val="right"/>
              <w:rPr>
                <w:rFonts w:ascii="Verdana" w:eastAsia="Times New Roman" w:hAnsi="Verdana" w:cs="Times New Roman"/>
                <w:color w:val="000000"/>
                <w:kern w:val="0"/>
                <w:sz w:val="18"/>
                <w:szCs w:val="18"/>
                <w:lang w:eastAsia="es-CO"/>
                <w14:ligatures w14:val="none"/>
              </w:rPr>
            </w:pPr>
            <w:r w:rsidRPr="00131B2E">
              <w:rPr>
                <w:rFonts w:ascii="Verdana" w:eastAsia="Times New Roman" w:hAnsi="Verdana" w:cs="Times New Roman"/>
                <w:color w:val="000000"/>
                <w:kern w:val="0"/>
                <w:sz w:val="18"/>
                <w:szCs w:val="18"/>
                <w:lang w:eastAsia="es-CO"/>
                <w14:ligatures w14:val="none"/>
              </w:rPr>
              <w:t>$522.178.121 </w:t>
            </w:r>
          </w:p>
        </w:tc>
        <w:tc>
          <w:tcPr>
            <w:tcW w:w="560" w:type="dxa"/>
            <w:tcBorders>
              <w:top w:val="nil"/>
              <w:left w:val="nil"/>
              <w:bottom w:val="single" w:sz="4" w:space="0" w:color="auto"/>
              <w:right w:val="single" w:sz="4" w:space="0" w:color="auto"/>
            </w:tcBorders>
            <w:shd w:val="clear" w:color="auto" w:fill="auto"/>
            <w:noWrap/>
            <w:vAlign w:val="bottom"/>
            <w:hideMark/>
          </w:tcPr>
          <w:p w14:paraId="6320AD7D" w14:textId="77777777" w:rsidR="00131B2E" w:rsidRPr="00131B2E" w:rsidRDefault="00131B2E" w:rsidP="007A3BFF">
            <w:pPr>
              <w:spacing w:after="0" w:line="240" w:lineRule="auto"/>
              <w:jc w:val="right"/>
              <w:rPr>
                <w:rFonts w:ascii="Verdana" w:eastAsia="Times New Roman" w:hAnsi="Verdana" w:cs="Times New Roman"/>
                <w:color w:val="000000"/>
                <w:kern w:val="0"/>
                <w:sz w:val="18"/>
                <w:szCs w:val="18"/>
                <w:lang w:eastAsia="es-CO"/>
                <w14:ligatures w14:val="none"/>
              </w:rPr>
            </w:pPr>
            <w:r w:rsidRPr="00131B2E">
              <w:rPr>
                <w:rFonts w:ascii="Verdana" w:eastAsia="Times New Roman" w:hAnsi="Verdana" w:cs="Times New Roman"/>
                <w:color w:val="000000"/>
                <w:kern w:val="0"/>
                <w:sz w:val="18"/>
                <w:szCs w:val="18"/>
                <w:lang w:eastAsia="es-CO"/>
                <w14:ligatures w14:val="none"/>
              </w:rPr>
              <w:t>37%</w:t>
            </w:r>
          </w:p>
        </w:tc>
        <w:tc>
          <w:tcPr>
            <w:tcW w:w="1712" w:type="dxa"/>
            <w:tcBorders>
              <w:top w:val="nil"/>
              <w:left w:val="nil"/>
              <w:bottom w:val="single" w:sz="4" w:space="0" w:color="auto"/>
              <w:right w:val="single" w:sz="4" w:space="0" w:color="auto"/>
            </w:tcBorders>
            <w:shd w:val="clear" w:color="auto" w:fill="auto"/>
            <w:noWrap/>
            <w:vAlign w:val="bottom"/>
            <w:hideMark/>
          </w:tcPr>
          <w:p w14:paraId="77AC8639" w14:textId="77777777" w:rsidR="00131B2E" w:rsidRPr="00131B2E" w:rsidRDefault="00131B2E" w:rsidP="007A3BFF">
            <w:pPr>
              <w:spacing w:after="0" w:line="240" w:lineRule="auto"/>
              <w:jc w:val="right"/>
              <w:rPr>
                <w:rFonts w:ascii="Verdana" w:eastAsia="Times New Roman" w:hAnsi="Verdana" w:cs="Times New Roman"/>
                <w:color w:val="000000"/>
                <w:kern w:val="0"/>
                <w:sz w:val="18"/>
                <w:szCs w:val="18"/>
                <w:lang w:eastAsia="es-CO"/>
                <w14:ligatures w14:val="none"/>
              </w:rPr>
            </w:pPr>
            <w:r w:rsidRPr="00131B2E">
              <w:rPr>
                <w:rFonts w:ascii="Verdana" w:eastAsia="Times New Roman" w:hAnsi="Verdana" w:cs="Times New Roman"/>
                <w:color w:val="000000"/>
                <w:kern w:val="0"/>
                <w:sz w:val="18"/>
                <w:szCs w:val="18"/>
                <w:lang w:eastAsia="es-CO"/>
                <w14:ligatures w14:val="none"/>
              </w:rPr>
              <w:t>$888.283.827 </w:t>
            </w:r>
          </w:p>
        </w:tc>
        <w:tc>
          <w:tcPr>
            <w:tcW w:w="567" w:type="dxa"/>
            <w:tcBorders>
              <w:top w:val="nil"/>
              <w:left w:val="nil"/>
              <w:bottom w:val="single" w:sz="4" w:space="0" w:color="auto"/>
              <w:right w:val="single" w:sz="4" w:space="0" w:color="auto"/>
            </w:tcBorders>
            <w:shd w:val="clear" w:color="auto" w:fill="auto"/>
            <w:noWrap/>
            <w:vAlign w:val="bottom"/>
            <w:hideMark/>
          </w:tcPr>
          <w:p w14:paraId="30A6358A" w14:textId="77777777" w:rsidR="00131B2E" w:rsidRPr="00131B2E" w:rsidRDefault="00131B2E" w:rsidP="007A3BFF">
            <w:pPr>
              <w:spacing w:after="0" w:line="240" w:lineRule="auto"/>
              <w:jc w:val="right"/>
              <w:rPr>
                <w:rFonts w:ascii="Verdana" w:eastAsia="Times New Roman" w:hAnsi="Verdana" w:cs="Times New Roman"/>
                <w:color w:val="000000"/>
                <w:kern w:val="0"/>
                <w:sz w:val="18"/>
                <w:szCs w:val="18"/>
                <w:lang w:eastAsia="es-CO"/>
                <w14:ligatures w14:val="none"/>
              </w:rPr>
            </w:pPr>
            <w:r w:rsidRPr="00131B2E">
              <w:rPr>
                <w:rFonts w:ascii="Verdana" w:eastAsia="Times New Roman" w:hAnsi="Verdana" w:cs="Times New Roman"/>
                <w:color w:val="000000"/>
                <w:kern w:val="0"/>
                <w:sz w:val="18"/>
                <w:szCs w:val="18"/>
                <w:lang w:eastAsia="es-CO"/>
                <w14:ligatures w14:val="none"/>
              </w:rPr>
              <w:t>62%</w:t>
            </w:r>
          </w:p>
        </w:tc>
      </w:tr>
    </w:tbl>
    <w:p w14:paraId="4670CCF5" w14:textId="77777777" w:rsidR="002C0A72" w:rsidRDefault="002C0A72" w:rsidP="00A23AFB">
      <w:pPr>
        <w:rPr>
          <w:rFonts w:ascii="Verdana" w:hAnsi="Verdana"/>
        </w:rPr>
      </w:pPr>
    </w:p>
    <w:tbl>
      <w:tblPr>
        <w:tblW w:w="9925" w:type="dxa"/>
        <w:jc w:val="center"/>
        <w:tblCellMar>
          <w:left w:w="70" w:type="dxa"/>
          <w:right w:w="70" w:type="dxa"/>
        </w:tblCellMar>
        <w:tblLook w:val="04A0" w:firstRow="1" w:lastRow="0" w:firstColumn="1" w:lastColumn="0" w:noHBand="0" w:noVBand="1"/>
      </w:tblPr>
      <w:tblGrid>
        <w:gridCol w:w="2555"/>
        <w:gridCol w:w="1909"/>
        <w:gridCol w:w="2396"/>
        <w:gridCol w:w="745"/>
        <w:gridCol w:w="1688"/>
        <w:gridCol w:w="632"/>
      </w:tblGrid>
      <w:tr w:rsidR="00131B2E" w:rsidRPr="00131B2E" w14:paraId="1EC2ACF6" w14:textId="77777777" w:rsidTr="00131B2E">
        <w:trPr>
          <w:trHeight w:val="325"/>
          <w:jc w:val="center"/>
        </w:trPr>
        <w:tc>
          <w:tcPr>
            <w:tcW w:w="992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293AD4" w14:textId="77777777" w:rsidR="00131B2E" w:rsidRPr="00131B2E" w:rsidRDefault="00131B2E" w:rsidP="007A3BFF">
            <w:pPr>
              <w:spacing w:after="0" w:line="240" w:lineRule="auto"/>
              <w:jc w:val="center"/>
              <w:rPr>
                <w:rFonts w:ascii="Verdana" w:eastAsia="Times New Roman" w:hAnsi="Verdana" w:cs="Times New Roman"/>
                <w:b/>
                <w:bCs/>
                <w:color w:val="000000"/>
                <w:kern w:val="0"/>
                <w:sz w:val="18"/>
                <w:szCs w:val="18"/>
                <w:lang w:eastAsia="es-CO"/>
                <w14:ligatures w14:val="none"/>
              </w:rPr>
            </w:pPr>
            <w:r w:rsidRPr="00131B2E">
              <w:rPr>
                <w:rFonts w:ascii="Verdana" w:eastAsia="Times New Roman" w:hAnsi="Verdana" w:cs="Times New Roman"/>
                <w:b/>
                <w:bCs/>
                <w:color w:val="000000"/>
                <w:kern w:val="0"/>
                <w:sz w:val="18"/>
                <w:szCs w:val="18"/>
                <w:lang w:eastAsia="es-CO"/>
                <w14:ligatures w14:val="none"/>
              </w:rPr>
              <w:t>VIGENCIA 2024</w:t>
            </w:r>
          </w:p>
        </w:tc>
      </w:tr>
      <w:tr w:rsidR="00131B2E" w:rsidRPr="00131B2E" w14:paraId="35CD2472" w14:textId="77777777" w:rsidTr="00131B2E">
        <w:trPr>
          <w:trHeight w:val="325"/>
          <w:jc w:val="center"/>
        </w:trPr>
        <w:tc>
          <w:tcPr>
            <w:tcW w:w="2555" w:type="dxa"/>
            <w:tcBorders>
              <w:top w:val="nil"/>
              <w:left w:val="single" w:sz="4" w:space="0" w:color="auto"/>
              <w:bottom w:val="single" w:sz="4" w:space="0" w:color="auto"/>
              <w:right w:val="single" w:sz="4" w:space="0" w:color="auto"/>
            </w:tcBorders>
            <w:shd w:val="clear" w:color="auto" w:fill="auto"/>
            <w:noWrap/>
            <w:vAlign w:val="bottom"/>
            <w:hideMark/>
          </w:tcPr>
          <w:p w14:paraId="2D7219F5" w14:textId="77777777" w:rsidR="00131B2E" w:rsidRPr="00131B2E" w:rsidRDefault="00131B2E" w:rsidP="007A3BFF">
            <w:pPr>
              <w:spacing w:after="0" w:line="240" w:lineRule="auto"/>
              <w:jc w:val="center"/>
              <w:rPr>
                <w:rFonts w:ascii="Verdana" w:eastAsia="Times New Roman" w:hAnsi="Verdana" w:cs="Times New Roman"/>
                <w:b/>
                <w:bCs/>
                <w:color w:val="000000"/>
                <w:kern w:val="0"/>
                <w:sz w:val="18"/>
                <w:szCs w:val="18"/>
                <w:lang w:eastAsia="es-CO"/>
                <w14:ligatures w14:val="none"/>
              </w:rPr>
            </w:pPr>
            <w:r w:rsidRPr="00131B2E">
              <w:rPr>
                <w:rFonts w:ascii="Verdana" w:eastAsia="Times New Roman" w:hAnsi="Verdana" w:cs="Times New Roman"/>
                <w:b/>
                <w:bCs/>
                <w:color w:val="000000"/>
                <w:kern w:val="0"/>
                <w:sz w:val="18"/>
                <w:szCs w:val="18"/>
                <w:lang w:eastAsia="es-CO"/>
                <w14:ligatures w14:val="none"/>
              </w:rPr>
              <w:t>CONCEPTO</w:t>
            </w:r>
          </w:p>
        </w:tc>
        <w:tc>
          <w:tcPr>
            <w:tcW w:w="1909" w:type="dxa"/>
            <w:tcBorders>
              <w:top w:val="nil"/>
              <w:left w:val="nil"/>
              <w:bottom w:val="single" w:sz="4" w:space="0" w:color="auto"/>
              <w:right w:val="single" w:sz="4" w:space="0" w:color="auto"/>
            </w:tcBorders>
            <w:shd w:val="clear" w:color="auto" w:fill="auto"/>
            <w:noWrap/>
            <w:vAlign w:val="bottom"/>
            <w:hideMark/>
          </w:tcPr>
          <w:p w14:paraId="0D5A9583" w14:textId="77777777" w:rsidR="00131B2E" w:rsidRPr="00131B2E" w:rsidRDefault="00131B2E" w:rsidP="007A3BFF">
            <w:pPr>
              <w:spacing w:after="0" w:line="240" w:lineRule="auto"/>
              <w:jc w:val="center"/>
              <w:rPr>
                <w:rFonts w:ascii="Verdana" w:eastAsia="Times New Roman" w:hAnsi="Verdana" w:cs="Times New Roman"/>
                <w:b/>
                <w:bCs/>
                <w:color w:val="000000"/>
                <w:kern w:val="0"/>
                <w:sz w:val="18"/>
                <w:szCs w:val="18"/>
                <w:lang w:eastAsia="es-CO"/>
                <w14:ligatures w14:val="none"/>
              </w:rPr>
            </w:pPr>
            <w:r w:rsidRPr="00131B2E">
              <w:rPr>
                <w:rFonts w:ascii="Verdana" w:eastAsia="Times New Roman" w:hAnsi="Verdana" w:cs="Times New Roman"/>
                <w:b/>
                <w:bCs/>
                <w:color w:val="000000"/>
                <w:kern w:val="0"/>
                <w:sz w:val="18"/>
                <w:szCs w:val="18"/>
                <w:lang w:eastAsia="es-CO"/>
                <w14:ligatures w14:val="none"/>
              </w:rPr>
              <w:t>VALOR TOTAL</w:t>
            </w:r>
          </w:p>
        </w:tc>
        <w:tc>
          <w:tcPr>
            <w:tcW w:w="2396" w:type="dxa"/>
            <w:tcBorders>
              <w:top w:val="nil"/>
              <w:left w:val="nil"/>
              <w:bottom w:val="single" w:sz="4" w:space="0" w:color="auto"/>
              <w:right w:val="single" w:sz="4" w:space="0" w:color="auto"/>
            </w:tcBorders>
            <w:shd w:val="clear" w:color="auto" w:fill="auto"/>
            <w:noWrap/>
            <w:vAlign w:val="bottom"/>
            <w:hideMark/>
          </w:tcPr>
          <w:p w14:paraId="67267D55" w14:textId="77777777" w:rsidR="00131B2E" w:rsidRPr="00131B2E" w:rsidRDefault="00131B2E" w:rsidP="007A3BFF">
            <w:pPr>
              <w:spacing w:after="0" w:line="240" w:lineRule="auto"/>
              <w:jc w:val="center"/>
              <w:rPr>
                <w:rFonts w:ascii="Verdana" w:eastAsia="Times New Roman" w:hAnsi="Verdana" w:cs="Times New Roman"/>
                <w:b/>
                <w:bCs/>
                <w:color w:val="000000"/>
                <w:kern w:val="0"/>
                <w:sz w:val="18"/>
                <w:szCs w:val="18"/>
                <w:lang w:eastAsia="es-CO"/>
                <w14:ligatures w14:val="none"/>
              </w:rPr>
            </w:pPr>
            <w:r w:rsidRPr="00131B2E">
              <w:rPr>
                <w:rFonts w:ascii="Verdana" w:eastAsia="Times New Roman" w:hAnsi="Verdana" w:cs="Times New Roman"/>
                <w:b/>
                <w:bCs/>
                <w:color w:val="000000"/>
                <w:kern w:val="0"/>
                <w:sz w:val="18"/>
                <w:szCs w:val="18"/>
                <w:lang w:eastAsia="es-CO"/>
                <w14:ligatures w14:val="none"/>
              </w:rPr>
              <w:t>FUNCIONAMIENTO</w:t>
            </w:r>
          </w:p>
        </w:tc>
        <w:tc>
          <w:tcPr>
            <w:tcW w:w="745" w:type="dxa"/>
            <w:tcBorders>
              <w:top w:val="nil"/>
              <w:left w:val="nil"/>
              <w:bottom w:val="single" w:sz="4" w:space="0" w:color="auto"/>
              <w:right w:val="single" w:sz="4" w:space="0" w:color="auto"/>
            </w:tcBorders>
            <w:shd w:val="clear" w:color="auto" w:fill="auto"/>
            <w:noWrap/>
            <w:vAlign w:val="bottom"/>
            <w:hideMark/>
          </w:tcPr>
          <w:p w14:paraId="4AA30F4D" w14:textId="77777777" w:rsidR="00131B2E" w:rsidRPr="00131B2E" w:rsidRDefault="00131B2E" w:rsidP="007A3BFF">
            <w:pPr>
              <w:spacing w:after="0" w:line="240" w:lineRule="auto"/>
              <w:jc w:val="center"/>
              <w:rPr>
                <w:rFonts w:ascii="Verdana" w:eastAsia="Times New Roman" w:hAnsi="Verdana" w:cs="Times New Roman"/>
                <w:b/>
                <w:bCs/>
                <w:color w:val="000000"/>
                <w:kern w:val="0"/>
                <w:sz w:val="18"/>
                <w:szCs w:val="18"/>
                <w:lang w:eastAsia="es-CO"/>
                <w14:ligatures w14:val="none"/>
              </w:rPr>
            </w:pPr>
            <w:r w:rsidRPr="00131B2E">
              <w:rPr>
                <w:rFonts w:ascii="Verdana" w:eastAsia="Times New Roman" w:hAnsi="Verdana" w:cs="Times New Roman"/>
                <w:b/>
                <w:bCs/>
                <w:color w:val="000000"/>
                <w:kern w:val="0"/>
                <w:sz w:val="18"/>
                <w:szCs w:val="18"/>
                <w:lang w:eastAsia="es-CO"/>
                <w14:ligatures w14:val="none"/>
              </w:rPr>
              <w:t>%</w:t>
            </w:r>
          </w:p>
        </w:tc>
        <w:tc>
          <w:tcPr>
            <w:tcW w:w="1688" w:type="dxa"/>
            <w:tcBorders>
              <w:top w:val="nil"/>
              <w:left w:val="nil"/>
              <w:bottom w:val="single" w:sz="4" w:space="0" w:color="auto"/>
              <w:right w:val="single" w:sz="4" w:space="0" w:color="auto"/>
            </w:tcBorders>
            <w:shd w:val="clear" w:color="auto" w:fill="auto"/>
            <w:noWrap/>
            <w:vAlign w:val="bottom"/>
            <w:hideMark/>
          </w:tcPr>
          <w:p w14:paraId="6C8EEC9D" w14:textId="77777777" w:rsidR="00131B2E" w:rsidRPr="00131B2E" w:rsidRDefault="00131B2E" w:rsidP="007A3BFF">
            <w:pPr>
              <w:spacing w:after="0" w:line="240" w:lineRule="auto"/>
              <w:jc w:val="center"/>
              <w:rPr>
                <w:rFonts w:ascii="Verdana" w:eastAsia="Times New Roman" w:hAnsi="Verdana" w:cs="Times New Roman"/>
                <w:b/>
                <w:bCs/>
                <w:color w:val="000000"/>
                <w:kern w:val="0"/>
                <w:sz w:val="18"/>
                <w:szCs w:val="18"/>
                <w:lang w:eastAsia="es-CO"/>
                <w14:ligatures w14:val="none"/>
              </w:rPr>
            </w:pPr>
            <w:r w:rsidRPr="00131B2E">
              <w:rPr>
                <w:rFonts w:ascii="Verdana" w:eastAsia="Times New Roman" w:hAnsi="Verdana" w:cs="Times New Roman"/>
                <w:b/>
                <w:bCs/>
                <w:color w:val="000000"/>
                <w:kern w:val="0"/>
                <w:sz w:val="18"/>
                <w:szCs w:val="18"/>
                <w:lang w:eastAsia="es-CO"/>
                <w14:ligatures w14:val="none"/>
              </w:rPr>
              <w:t xml:space="preserve">INVERSIÓN </w:t>
            </w:r>
          </w:p>
        </w:tc>
        <w:tc>
          <w:tcPr>
            <w:tcW w:w="632" w:type="dxa"/>
            <w:tcBorders>
              <w:top w:val="nil"/>
              <w:left w:val="nil"/>
              <w:bottom w:val="single" w:sz="4" w:space="0" w:color="auto"/>
              <w:right w:val="single" w:sz="4" w:space="0" w:color="auto"/>
            </w:tcBorders>
            <w:shd w:val="clear" w:color="auto" w:fill="auto"/>
            <w:noWrap/>
            <w:vAlign w:val="bottom"/>
            <w:hideMark/>
          </w:tcPr>
          <w:p w14:paraId="4218359A" w14:textId="77777777" w:rsidR="00131B2E" w:rsidRPr="00131B2E" w:rsidRDefault="00131B2E" w:rsidP="007A3BFF">
            <w:pPr>
              <w:spacing w:after="0" w:line="240" w:lineRule="auto"/>
              <w:jc w:val="center"/>
              <w:rPr>
                <w:rFonts w:ascii="Verdana" w:eastAsia="Times New Roman" w:hAnsi="Verdana" w:cs="Times New Roman"/>
                <w:b/>
                <w:bCs/>
                <w:color w:val="000000"/>
                <w:kern w:val="0"/>
                <w:sz w:val="18"/>
                <w:szCs w:val="18"/>
                <w:lang w:eastAsia="es-CO"/>
                <w14:ligatures w14:val="none"/>
              </w:rPr>
            </w:pPr>
            <w:r w:rsidRPr="00131B2E">
              <w:rPr>
                <w:rFonts w:ascii="Verdana" w:eastAsia="Times New Roman" w:hAnsi="Verdana" w:cs="Times New Roman"/>
                <w:b/>
                <w:bCs/>
                <w:color w:val="000000"/>
                <w:kern w:val="0"/>
                <w:sz w:val="18"/>
                <w:szCs w:val="18"/>
                <w:lang w:eastAsia="es-CO"/>
                <w14:ligatures w14:val="none"/>
              </w:rPr>
              <w:t>%</w:t>
            </w:r>
          </w:p>
        </w:tc>
      </w:tr>
      <w:tr w:rsidR="00131B2E" w:rsidRPr="00131B2E" w14:paraId="3ADA73E9" w14:textId="77777777" w:rsidTr="00131B2E">
        <w:trPr>
          <w:trHeight w:val="951"/>
          <w:jc w:val="center"/>
        </w:trPr>
        <w:tc>
          <w:tcPr>
            <w:tcW w:w="2555" w:type="dxa"/>
            <w:tcBorders>
              <w:top w:val="nil"/>
              <w:left w:val="single" w:sz="4" w:space="0" w:color="auto"/>
              <w:bottom w:val="single" w:sz="4" w:space="0" w:color="auto"/>
              <w:right w:val="single" w:sz="4" w:space="0" w:color="auto"/>
            </w:tcBorders>
            <w:shd w:val="clear" w:color="auto" w:fill="auto"/>
            <w:vAlign w:val="bottom"/>
            <w:hideMark/>
          </w:tcPr>
          <w:p w14:paraId="19FBF88A" w14:textId="77777777" w:rsidR="00131B2E" w:rsidRPr="00131B2E" w:rsidRDefault="00131B2E" w:rsidP="007A3BFF">
            <w:pPr>
              <w:spacing w:after="0" w:line="240" w:lineRule="auto"/>
              <w:rPr>
                <w:rFonts w:ascii="Verdana" w:eastAsia="Times New Roman" w:hAnsi="Verdana" w:cs="Times New Roman"/>
                <w:color w:val="000000"/>
                <w:kern w:val="0"/>
                <w:sz w:val="18"/>
                <w:szCs w:val="18"/>
                <w:lang w:eastAsia="es-CO"/>
                <w14:ligatures w14:val="none"/>
              </w:rPr>
            </w:pPr>
            <w:r w:rsidRPr="00131B2E">
              <w:rPr>
                <w:rFonts w:ascii="Verdana" w:eastAsia="Times New Roman" w:hAnsi="Verdana" w:cs="Times New Roman"/>
                <w:color w:val="000000"/>
                <w:kern w:val="0"/>
                <w:sz w:val="18"/>
                <w:szCs w:val="18"/>
                <w:lang w:eastAsia="es-CO"/>
                <w14:ligatures w14:val="none"/>
              </w:rPr>
              <w:t>CONTRATOS PRESTACIÓN DE SERVICIOS. PROF Y DE APOYO A LA GESTIÓN</w:t>
            </w:r>
          </w:p>
        </w:tc>
        <w:tc>
          <w:tcPr>
            <w:tcW w:w="1909" w:type="dxa"/>
            <w:tcBorders>
              <w:top w:val="nil"/>
              <w:left w:val="nil"/>
              <w:bottom w:val="single" w:sz="4" w:space="0" w:color="auto"/>
              <w:right w:val="single" w:sz="4" w:space="0" w:color="auto"/>
            </w:tcBorders>
            <w:shd w:val="clear" w:color="auto" w:fill="auto"/>
            <w:noWrap/>
            <w:vAlign w:val="bottom"/>
            <w:hideMark/>
          </w:tcPr>
          <w:p w14:paraId="727A98C7" w14:textId="77777777" w:rsidR="00131B2E" w:rsidRPr="00131B2E" w:rsidRDefault="00131B2E" w:rsidP="007A3BFF">
            <w:pPr>
              <w:spacing w:after="0" w:line="240" w:lineRule="auto"/>
              <w:jc w:val="right"/>
              <w:rPr>
                <w:rFonts w:ascii="Verdana" w:eastAsia="Times New Roman" w:hAnsi="Verdana" w:cs="Times New Roman"/>
                <w:color w:val="000000"/>
                <w:kern w:val="0"/>
                <w:sz w:val="18"/>
                <w:szCs w:val="18"/>
                <w:lang w:eastAsia="es-CO"/>
                <w14:ligatures w14:val="none"/>
              </w:rPr>
            </w:pPr>
            <w:r w:rsidRPr="00131B2E">
              <w:rPr>
                <w:rFonts w:ascii="Verdana" w:eastAsia="Times New Roman" w:hAnsi="Verdana" w:cs="Times New Roman"/>
                <w:color w:val="000000"/>
                <w:kern w:val="0"/>
                <w:sz w:val="18"/>
                <w:szCs w:val="18"/>
                <w:lang w:eastAsia="es-CO"/>
                <w14:ligatures w14:val="none"/>
              </w:rPr>
              <w:t>$ 1.693.546.667</w:t>
            </w:r>
          </w:p>
        </w:tc>
        <w:tc>
          <w:tcPr>
            <w:tcW w:w="2396" w:type="dxa"/>
            <w:tcBorders>
              <w:top w:val="nil"/>
              <w:left w:val="nil"/>
              <w:bottom w:val="single" w:sz="4" w:space="0" w:color="auto"/>
              <w:right w:val="single" w:sz="4" w:space="0" w:color="auto"/>
            </w:tcBorders>
            <w:shd w:val="clear" w:color="auto" w:fill="auto"/>
            <w:noWrap/>
            <w:vAlign w:val="bottom"/>
            <w:hideMark/>
          </w:tcPr>
          <w:p w14:paraId="6443F18B" w14:textId="77777777" w:rsidR="00131B2E" w:rsidRPr="00131B2E" w:rsidRDefault="00131B2E" w:rsidP="007A3BFF">
            <w:pPr>
              <w:spacing w:after="0" w:line="240" w:lineRule="auto"/>
              <w:jc w:val="right"/>
              <w:rPr>
                <w:rFonts w:ascii="Verdana" w:eastAsia="Times New Roman" w:hAnsi="Verdana" w:cs="Times New Roman"/>
                <w:color w:val="000000"/>
                <w:kern w:val="0"/>
                <w:sz w:val="18"/>
                <w:szCs w:val="18"/>
                <w:lang w:eastAsia="es-CO"/>
                <w14:ligatures w14:val="none"/>
              </w:rPr>
            </w:pPr>
            <w:r w:rsidRPr="00131B2E">
              <w:rPr>
                <w:rFonts w:ascii="Verdana" w:eastAsia="Times New Roman" w:hAnsi="Verdana" w:cs="Times New Roman"/>
                <w:color w:val="000000"/>
                <w:kern w:val="0"/>
                <w:sz w:val="18"/>
                <w:szCs w:val="18"/>
                <w:lang w:eastAsia="es-CO"/>
                <w14:ligatures w14:val="none"/>
              </w:rPr>
              <w:t>$1.523.880.000 </w:t>
            </w:r>
          </w:p>
        </w:tc>
        <w:tc>
          <w:tcPr>
            <w:tcW w:w="745" w:type="dxa"/>
            <w:tcBorders>
              <w:top w:val="nil"/>
              <w:left w:val="nil"/>
              <w:bottom w:val="single" w:sz="4" w:space="0" w:color="auto"/>
              <w:right w:val="single" w:sz="4" w:space="0" w:color="auto"/>
            </w:tcBorders>
            <w:shd w:val="clear" w:color="auto" w:fill="auto"/>
            <w:noWrap/>
            <w:vAlign w:val="bottom"/>
            <w:hideMark/>
          </w:tcPr>
          <w:p w14:paraId="1D964707" w14:textId="77777777" w:rsidR="00131B2E" w:rsidRPr="00131B2E" w:rsidRDefault="00131B2E" w:rsidP="007A3BFF">
            <w:pPr>
              <w:spacing w:after="0" w:line="240" w:lineRule="auto"/>
              <w:jc w:val="right"/>
              <w:rPr>
                <w:rFonts w:ascii="Verdana" w:eastAsia="Times New Roman" w:hAnsi="Verdana" w:cs="Times New Roman"/>
                <w:color w:val="000000"/>
                <w:kern w:val="0"/>
                <w:sz w:val="18"/>
                <w:szCs w:val="18"/>
                <w:lang w:eastAsia="es-CO"/>
                <w14:ligatures w14:val="none"/>
              </w:rPr>
            </w:pPr>
            <w:r w:rsidRPr="00131B2E">
              <w:rPr>
                <w:rFonts w:ascii="Verdana" w:eastAsia="Times New Roman" w:hAnsi="Verdana" w:cs="Times New Roman"/>
                <w:color w:val="000000"/>
                <w:kern w:val="0"/>
                <w:sz w:val="18"/>
                <w:szCs w:val="18"/>
                <w:lang w:eastAsia="es-CO"/>
                <w14:ligatures w14:val="none"/>
              </w:rPr>
              <w:t>90%</w:t>
            </w:r>
          </w:p>
        </w:tc>
        <w:tc>
          <w:tcPr>
            <w:tcW w:w="1688" w:type="dxa"/>
            <w:tcBorders>
              <w:top w:val="nil"/>
              <w:left w:val="nil"/>
              <w:bottom w:val="single" w:sz="4" w:space="0" w:color="auto"/>
              <w:right w:val="single" w:sz="4" w:space="0" w:color="auto"/>
            </w:tcBorders>
            <w:shd w:val="clear" w:color="auto" w:fill="auto"/>
            <w:noWrap/>
            <w:vAlign w:val="bottom"/>
            <w:hideMark/>
          </w:tcPr>
          <w:p w14:paraId="292F8FBE" w14:textId="77777777" w:rsidR="00131B2E" w:rsidRPr="00131B2E" w:rsidRDefault="00131B2E" w:rsidP="007A3BFF">
            <w:pPr>
              <w:spacing w:after="0" w:line="240" w:lineRule="auto"/>
              <w:jc w:val="right"/>
              <w:rPr>
                <w:rFonts w:ascii="Verdana" w:eastAsia="Times New Roman" w:hAnsi="Verdana" w:cs="Times New Roman"/>
                <w:color w:val="000000"/>
                <w:kern w:val="0"/>
                <w:sz w:val="18"/>
                <w:szCs w:val="18"/>
                <w:lang w:eastAsia="es-CO"/>
                <w14:ligatures w14:val="none"/>
              </w:rPr>
            </w:pPr>
            <w:r w:rsidRPr="00131B2E">
              <w:rPr>
                <w:rFonts w:ascii="Verdana" w:eastAsia="Times New Roman" w:hAnsi="Verdana" w:cs="Times New Roman"/>
                <w:color w:val="000000"/>
                <w:kern w:val="0"/>
                <w:sz w:val="18"/>
                <w:szCs w:val="18"/>
                <w:lang w:eastAsia="es-CO"/>
                <w14:ligatures w14:val="none"/>
              </w:rPr>
              <w:t>$169.666.667 </w:t>
            </w:r>
          </w:p>
        </w:tc>
        <w:tc>
          <w:tcPr>
            <w:tcW w:w="632" w:type="dxa"/>
            <w:tcBorders>
              <w:top w:val="nil"/>
              <w:left w:val="nil"/>
              <w:bottom w:val="single" w:sz="4" w:space="0" w:color="auto"/>
              <w:right w:val="single" w:sz="4" w:space="0" w:color="auto"/>
            </w:tcBorders>
            <w:shd w:val="clear" w:color="auto" w:fill="auto"/>
            <w:noWrap/>
            <w:vAlign w:val="bottom"/>
            <w:hideMark/>
          </w:tcPr>
          <w:p w14:paraId="20AA2858" w14:textId="77777777" w:rsidR="00131B2E" w:rsidRPr="00131B2E" w:rsidRDefault="00131B2E" w:rsidP="007A3BFF">
            <w:pPr>
              <w:spacing w:after="0" w:line="240" w:lineRule="auto"/>
              <w:jc w:val="right"/>
              <w:rPr>
                <w:rFonts w:ascii="Verdana" w:eastAsia="Times New Roman" w:hAnsi="Verdana" w:cs="Times New Roman"/>
                <w:color w:val="000000"/>
                <w:kern w:val="0"/>
                <w:sz w:val="18"/>
                <w:szCs w:val="18"/>
                <w:lang w:eastAsia="es-CO"/>
                <w14:ligatures w14:val="none"/>
              </w:rPr>
            </w:pPr>
            <w:r w:rsidRPr="00131B2E">
              <w:rPr>
                <w:rFonts w:ascii="Verdana" w:eastAsia="Times New Roman" w:hAnsi="Verdana" w:cs="Times New Roman"/>
                <w:color w:val="000000"/>
                <w:kern w:val="0"/>
                <w:sz w:val="18"/>
                <w:szCs w:val="18"/>
                <w:lang w:eastAsia="es-CO"/>
                <w14:ligatures w14:val="none"/>
              </w:rPr>
              <w:t>10%</w:t>
            </w:r>
          </w:p>
        </w:tc>
      </w:tr>
      <w:tr w:rsidR="00131B2E" w:rsidRPr="00131B2E" w14:paraId="31EE8012" w14:textId="77777777" w:rsidTr="00131B2E">
        <w:trPr>
          <w:trHeight w:val="637"/>
          <w:jc w:val="center"/>
        </w:trPr>
        <w:tc>
          <w:tcPr>
            <w:tcW w:w="2555" w:type="dxa"/>
            <w:tcBorders>
              <w:top w:val="nil"/>
              <w:left w:val="single" w:sz="4" w:space="0" w:color="auto"/>
              <w:bottom w:val="single" w:sz="4" w:space="0" w:color="auto"/>
              <w:right w:val="single" w:sz="4" w:space="0" w:color="auto"/>
            </w:tcBorders>
            <w:shd w:val="clear" w:color="auto" w:fill="auto"/>
            <w:vAlign w:val="bottom"/>
            <w:hideMark/>
          </w:tcPr>
          <w:p w14:paraId="699D9778" w14:textId="77777777" w:rsidR="00131B2E" w:rsidRPr="00131B2E" w:rsidRDefault="00131B2E" w:rsidP="007A3BFF">
            <w:pPr>
              <w:spacing w:after="0" w:line="240" w:lineRule="auto"/>
              <w:rPr>
                <w:rFonts w:ascii="Verdana" w:eastAsia="Times New Roman" w:hAnsi="Verdana" w:cs="Times New Roman"/>
                <w:color w:val="000000"/>
                <w:kern w:val="0"/>
                <w:sz w:val="18"/>
                <w:szCs w:val="18"/>
                <w:lang w:eastAsia="es-CO"/>
                <w14:ligatures w14:val="none"/>
              </w:rPr>
            </w:pPr>
            <w:r w:rsidRPr="00131B2E">
              <w:rPr>
                <w:rFonts w:ascii="Verdana" w:eastAsia="Times New Roman" w:hAnsi="Verdana" w:cs="Times New Roman"/>
                <w:color w:val="000000"/>
                <w:kern w:val="0"/>
                <w:sz w:val="18"/>
                <w:szCs w:val="18"/>
                <w:lang w:eastAsia="es-CO"/>
                <w14:ligatures w14:val="none"/>
              </w:rPr>
              <w:t>CONTRATOS DE PRESTACIÓN DE SERVICIOS (otros)</w:t>
            </w:r>
          </w:p>
        </w:tc>
        <w:tc>
          <w:tcPr>
            <w:tcW w:w="1909" w:type="dxa"/>
            <w:tcBorders>
              <w:top w:val="nil"/>
              <w:left w:val="nil"/>
              <w:bottom w:val="single" w:sz="4" w:space="0" w:color="auto"/>
              <w:right w:val="single" w:sz="4" w:space="0" w:color="auto"/>
            </w:tcBorders>
            <w:shd w:val="clear" w:color="auto" w:fill="auto"/>
            <w:noWrap/>
            <w:vAlign w:val="bottom"/>
            <w:hideMark/>
          </w:tcPr>
          <w:p w14:paraId="5DC8D106" w14:textId="77777777" w:rsidR="00131B2E" w:rsidRPr="00131B2E" w:rsidRDefault="00131B2E" w:rsidP="007A3BFF">
            <w:pPr>
              <w:spacing w:after="0" w:line="240" w:lineRule="auto"/>
              <w:jc w:val="right"/>
              <w:rPr>
                <w:rFonts w:ascii="Verdana" w:eastAsia="Times New Roman" w:hAnsi="Verdana" w:cs="Times New Roman"/>
                <w:color w:val="000000"/>
                <w:kern w:val="0"/>
                <w:sz w:val="18"/>
                <w:szCs w:val="18"/>
                <w:lang w:eastAsia="es-CO"/>
                <w14:ligatures w14:val="none"/>
              </w:rPr>
            </w:pPr>
            <w:r w:rsidRPr="00131B2E">
              <w:rPr>
                <w:rFonts w:ascii="Verdana" w:eastAsia="Times New Roman" w:hAnsi="Verdana" w:cs="Times New Roman"/>
                <w:color w:val="000000"/>
                <w:kern w:val="0"/>
                <w:sz w:val="18"/>
                <w:szCs w:val="18"/>
                <w:lang w:eastAsia="es-CO"/>
                <w14:ligatures w14:val="none"/>
              </w:rPr>
              <w:t>$ 374.354.711</w:t>
            </w:r>
          </w:p>
        </w:tc>
        <w:tc>
          <w:tcPr>
            <w:tcW w:w="2396" w:type="dxa"/>
            <w:tcBorders>
              <w:top w:val="nil"/>
              <w:left w:val="nil"/>
              <w:bottom w:val="single" w:sz="4" w:space="0" w:color="auto"/>
              <w:right w:val="single" w:sz="4" w:space="0" w:color="auto"/>
            </w:tcBorders>
            <w:shd w:val="clear" w:color="auto" w:fill="auto"/>
            <w:noWrap/>
            <w:vAlign w:val="bottom"/>
            <w:hideMark/>
          </w:tcPr>
          <w:p w14:paraId="7C07CBBC" w14:textId="77777777" w:rsidR="00131B2E" w:rsidRPr="00131B2E" w:rsidRDefault="00131B2E" w:rsidP="007A3BFF">
            <w:pPr>
              <w:spacing w:after="0" w:line="240" w:lineRule="auto"/>
              <w:jc w:val="right"/>
              <w:rPr>
                <w:rFonts w:ascii="Verdana" w:eastAsia="Times New Roman" w:hAnsi="Verdana" w:cs="Times New Roman"/>
                <w:color w:val="000000"/>
                <w:kern w:val="0"/>
                <w:sz w:val="18"/>
                <w:szCs w:val="18"/>
                <w:lang w:eastAsia="es-CO"/>
                <w14:ligatures w14:val="none"/>
              </w:rPr>
            </w:pPr>
            <w:r w:rsidRPr="00131B2E">
              <w:rPr>
                <w:rFonts w:ascii="Verdana" w:eastAsia="Times New Roman" w:hAnsi="Verdana" w:cs="Times New Roman"/>
                <w:color w:val="000000"/>
                <w:kern w:val="0"/>
                <w:sz w:val="18"/>
                <w:szCs w:val="18"/>
                <w:lang w:eastAsia="es-CO"/>
                <w14:ligatures w14:val="none"/>
              </w:rPr>
              <w:t>$ 374.354.711</w:t>
            </w:r>
          </w:p>
        </w:tc>
        <w:tc>
          <w:tcPr>
            <w:tcW w:w="745" w:type="dxa"/>
            <w:tcBorders>
              <w:top w:val="nil"/>
              <w:left w:val="nil"/>
              <w:bottom w:val="single" w:sz="4" w:space="0" w:color="auto"/>
              <w:right w:val="single" w:sz="4" w:space="0" w:color="auto"/>
            </w:tcBorders>
            <w:shd w:val="clear" w:color="auto" w:fill="auto"/>
            <w:noWrap/>
            <w:vAlign w:val="bottom"/>
            <w:hideMark/>
          </w:tcPr>
          <w:p w14:paraId="521FF577" w14:textId="77777777" w:rsidR="00131B2E" w:rsidRPr="00131B2E" w:rsidRDefault="00131B2E" w:rsidP="007A3BFF">
            <w:pPr>
              <w:spacing w:after="0" w:line="240" w:lineRule="auto"/>
              <w:jc w:val="right"/>
              <w:rPr>
                <w:rFonts w:ascii="Verdana" w:eastAsia="Times New Roman" w:hAnsi="Verdana" w:cs="Times New Roman"/>
                <w:color w:val="000000"/>
                <w:kern w:val="0"/>
                <w:sz w:val="18"/>
                <w:szCs w:val="18"/>
                <w:lang w:eastAsia="es-CO"/>
                <w14:ligatures w14:val="none"/>
              </w:rPr>
            </w:pPr>
            <w:r w:rsidRPr="00131B2E">
              <w:rPr>
                <w:rFonts w:ascii="Verdana" w:eastAsia="Times New Roman" w:hAnsi="Verdana" w:cs="Times New Roman"/>
                <w:color w:val="000000"/>
                <w:kern w:val="0"/>
                <w:sz w:val="18"/>
                <w:szCs w:val="18"/>
                <w:lang w:eastAsia="es-CO"/>
                <w14:ligatures w14:val="none"/>
              </w:rPr>
              <w:t>100%</w:t>
            </w:r>
          </w:p>
        </w:tc>
        <w:tc>
          <w:tcPr>
            <w:tcW w:w="1688" w:type="dxa"/>
            <w:tcBorders>
              <w:top w:val="nil"/>
              <w:left w:val="nil"/>
              <w:bottom w:val="single" w:sz="4" w:space="0" w:color="auto"/>
              <w:right w:val="single" w:sz="4" w:space="0" w:color="auto"/>
            </w:tcBorders>
            <w:shd w:val="clear" w:color="auto" w:fill="auto"/>
            <w:noWrap/>
            <w:vAlign w:val="bottom"/>
            <w:hideMark/>
          </w:tcPr>
          <w:p w14:paraId="2F18ADF9" w14:textId="77777777" w:rsidR="00131B2E" w:rsidRPr="00131B2E" w:rsidRDefault="00131B2E" w:rsidP="007A3BFF">
            <w:pPr>
              <w:spacing w:after="0" w:line="240" w:lineRule="auto"/>
              <w:jc w:val="right"/>
              <w:rPr>
                <w:rFonts w:ascii="Verdana" w:eastAsia="Times New Roman" w:hAnsi="Verdana" w:cs="Times New Roman"/>
                <w:color w:val="000000"/>
                <w:kern w:val="0"/>
                <w:sz w:val="18"/>
                <w:szCs w:val="18"/>
                <w:lang w:eastAsia="es-CO"/>
                <w14:ligatures w14:val="none"/>
              </w:rPr>
            </w:pPr>
            <w:r w:rsidRPr="00131B2E">
              <w:rPr>
                <w:rFonts w:ascii="Verdana" w:eastAsia="Times New Roman" w:hAnsi="Verdana" w:cs="Times New Roman"/>
                <w:color w:val="000000"/>
                <w:kern w:val="0"/>
                <w:sz w:val="18"/>
                <w:szCs w:val="18"/>
                <w:lang w:eastAsia="es-CO"/>
                <w14:ligatures w14:val="none"/>
              </w:rPr>
              <w:t>$0 </w:t>
            </w:r>
          </w:p>
        </w:tc>
        <w:tc>
          <w:tcPr>
            <w:tcW w:w="632" w:type="dxa"/>
            <w:tcBorders>
              <w:top w:val="nil"/>
              <w:left w:val="nil"/>
              <w:bottom w:val="single" w:sz="4" w:space="0" w:color="auto"/>
              <w:right w:val="single" w:sz="4" w:space="0" w:color="auto"/>
            </w:tcBorders>
            <w:shd w:val="clear" w:color="auto" w:fill="auto"/>
            <w:noWrap/>
            <w:vAlign w:val="bottom"/>
            <w:hideMark/>
          </w:tcPr>
          <w:p w14:paraId="60D6F7D5" w14:textId="77777777" w:rsidR="00131B2E" w:rsidRPr="00131B2E" w:rsidRDefault="00131B2E" w:rsidP="007A3BFF">
            <w:pPr>
              <w:spacing w:after="0" w:line="240" w:lineRule="auto"/>
              <w:jc w:val="right"/>
              <w:rPr>
                <w:rFonts w:ascii="Verdana" w:eastAsia="Times New Roman" w:hAnsi="Verdana" w:cs="Times New Roman"/>
                <w:color w:val="000000"/>
                <w:kern w:val="0"/>
                <w:sz w:val="18"/>
                <w:szCs w:val="18"/>
                <w:lang w:eastAsia="es-CO"/>
                <w14:ligatures w14:val="none"/>
              </w:rPr>
            </w:pPr>
            <w:r w:rsidRPr="00131B2E">
              <w:rPr>
                <w:rFonts w:ascii="Verdana" w:eastAsia="Times New Roman" w:hAnsi="Verdana" w:cs="Times New Roman"/>
                <w:color w:val="000000"/>
                <w:kern w:val="0"/>
                <w:sz w:val="18"/>
                <w:szCs w:val="18"/>
                <w:lang w:eastAsia="es-CO"/>
                <w14:ligatures w14:val="none"/>
              </w:rPr>
              <w:t>0%</w:t>
            </w:r>
          </w:p>
        </w:tc>
      </w:tr>
    </w:tbl>
    <w:p w14:paraId="7F55B01E" w14:textId="77777777" w:rsidR="00131B2E" w:rsidRPr="00936621" w:rsidRDefault="00131B2E" w:rsidP="00A23AFB">
      <w:pPr>
        <w:rPr>
          <w:rFonts w:ascii="Verdana" w:hAnsi="Verdana"/>
        </w:rPr>
      </w:pPr>
    </w:p>
    <w:p w14:paraId="205BD069" w14:textId="77777777" w:rsidR="002C0A72" w:rsidRPr="00936621" w:rsidRDefault="002C0A72" w:rsidP="00A23AFB">
      <w:pPr>
        <w:rPr>
          <w:rFonts w:ascii="Verdana" w:hAnsi="Verdana"/>
        </w:rPr>
      </w:pPr>
    </w:p>
    <w:p w14:paraId="10ACE500" w14:textId="7215B396" w:rsidR="002C0A72" w:rsidRDefault="002C0A72" w:rsidP="002C0A72">
      <w:pPr>
        <w:jc w:val="both"/>
        <w:rPr>
          <w:rFonts w:ascii="Verdana" w:hAnsi="Verdana"/>
          <w:b/>
          <w:bCs/>
        </w:rPr>
      </w:pPr>
      <w:r w:rsidRPr="00936621">
        <w:rPr>
          <w:rFonts w:ascii="Verdana" w:hAnsi="Verdana"/>
        </w:rPr>
        <w:t xml:space="preserve">5. </w:t>
      </w:r>
      <w:r w:rsidRPr="00936621">
        <w:rPr>
          <w:rFonts w:ascii="Verdana" w:hAnsi="Verdana"/>
          <w:b/>
          <w:bCs/>
        </w:rPr>
        <w:t>Sírvase informar, de forma discriminada, el aporte y/o responsabilidad por parte de su sector y entidades adscritas, a los programas sociales estratégicos y el presupuesto requerido para cumplir a cabalidad en 2025.</w:t>
      </w:r>
    </w:p>
    <w:p w14:paraId="6EA6C101" w14:textId="77777777" w:rsidR="0094339B" w:rsidRPr="00936621" w:rsidRDefault="0094339B" w:rsidP="0094339B">
      <w:pPr>
        <w:jc w:val="both"/>
        <w:rPr>
          <w:rFonts w:ascii="Verdana" w:hAnsi="Verdana"/>
        </w:rPr>
      </w:pPr>
      <w:r w:rsidRPr="00936621">
        <w:rPr>
          <w:rFonts w:ascii="Verdana" w:hAnsi="Verdana"/>
          <w:b/>
          <w:bCs/>
        </w:rPr>
        <w:t>Respuesta Agencia ITRC:</w:t>
      </w:r>
      <w:r w:rsidRPr="00936621">
        <w:rPr>
          <w:rFonts w:ascii="Verdana" w:hAnsi="Verdana"/>
        </w:rPr>
        <w:t xml:space="preserve"> </w:t>
      </w:r>
    </w:p>
    <w:p w14:paraId="0255C63B" w14:textId="77777777" w:rsidR="00437840" w:rsidRPr="00936621" w:rsidRDefault="00437840" w:rsidP="00437840">
      <w:pPr>
        <w:spacing w:line="276" w:lineRule="auto"/>
        <w:jc w:val="both"/>
        <w:rPr>
          <w:rFonts w:ascii="Verdana" w:hAnsi="Verdana"/>
        </w:rPr>
      </w:pPr>
      <w:r w:rsidRPr="00936621">
        <w:rPr>
          <w:rFonts w:ascii="Verdana" w:hAnsi="Verdana"/>
        </w:rPr>
        <w:t>La Agencia del Inspector General de Tributos, Rentas y Contribuciones Parafiscales – ITRC, es una entidad del orden Nacional, adscrita al Ministerio de Hacienda y Crédito Público, creada mediante Decreto 4173 de 2011 y posteriormente modificada su estructura, mediante Decreto 985 de 2012 y Decreto 074 de 2022.</w:t>
      </w:r>
    </w:p>
    <w:p w14:paraId="2FA272EB" w14:textId="77777777" w:rsidR="00437840" w:rsidRPr="00936621" w:rsidRDefault="00437840" w:rsidP="00437840">
      <w:pPr>
        <w:spacing w:line="276" w:lineRule="auto"/>
        <w:jc w:val="both"/>
        <w:rPr>
          <w:rFonts w:ascii="Verdana" w:hAnsi="Verdana"/>
        </w:rPr>
      </w:pPr>
      <w:r w:rsidRPr="00936621">
        <w:rPr>
          <w:rFonts w:ascii="Verdana" w:hAnsi="Verdana"/>
        </w:rPr>
        <w:lastRenderedPageBreak/>
        <w:t xml:space="preserve">La Agencia ITRC, cuenta con personal altamente calificado, conformado por más de cien servidores públicos, seleccionados, mediante concurso abierto de méritos, con expertos auditores financieros, jurídicos, de proceso y sistemas, expertos analistas de inteligencia de negocios, abogados, investigadores expertos en derecho disciplinario. Igualmente, cuenta con un equipo de policía judicial, para adelantar investigaciones de manera conjunta con la </w:t>
      </w:r>
      <w:proofErr w:type="gramStart"/>
      <w:r w:rsidRPr="00936621">
        <w:rPr>
          <w:rFonts w:ascii="Verdana" w:hAnsi="Verdana"/>
        </w:rPr>
        <w:t>Fiscalía General</w:t>
      </w:r>
      <w:proofErr w:type="gramEnd"/>
      <w:r w:rsidRPr="00936621">
        <w:rPr>
          <w:rFonts w:ascii="Verdana" w:hAnsi="Verdana"/>
        </w:rPr>
        <w:t xml:space="preserve"> de la Nación, Contraloría General de la República, Procuraduría General de la Nación y demás servidores públicos que cumplen funciones de policía judicial, con lo cual busca la desarticulación de las posibles organizaciones criminales, que se pueden infiltrar en las entidades auditadas.</w:t>
      </w:r>
    </w:p>
    <w:p w14:paraId="7C7F8090" w14:textId="77777777" w:rsidR="00437840" w:rsidRPr="00936621" w:rsidRDefault="00437840" w:rsidP="00437840">
      <w:pPr>
        <w:spacing w:line="276" w:lineRule="auto"/>
        <w:jc w:val="both"/>
        <w:rPr>
          <w:rFonts w:ascii="Verdana" w:hAnsi="Verdana"/>
        </w:rPr>
      </w:pPr>
      <w:r w:rsidRPr="00936621">
        <w:rPr>
          <w:rFonts w:ascii="Verdana" w:hAnsi="Verdana"/>
        </w:rPr>
        <w:t>La Agencia ITRC tiene la facultad de investigar y sancionar las conductas por faltas disciplinarias gravísimas, así como la de auditar los procesos operativos, tecnológicos y administrativos de estas entidades, partiendo de la identificación, análisis y valoración de riesgos que amenacen los procesos, áreas y funcionarios de las entidades objeto de control. Además, promueve las buenas prácticas y detecta las fallas en los procesos y procedimientos, en la seguridad informática y en los recaudos e ingresos, que administran las entidades auditadas, empleando incluso herramientas forenses para cumplir este objetivo.</w:t>
      </w:r>
    </w:p>
    <w:p w14:paraId="1B6873D7" w14:textId="6726C813" w:rsidR="00DA784A" w:rsidRPr="00936621" w:rsidRDefault="00437840" w:rsidP="00DA784A">
      <w:pPr>
        <w:jc w:val="both"/>
        <w:rPr>
          <w:rFonts w:ascii="Verdana" w:hAnsi="Verdana"/>
        </w:rPr>
      </w:pPr>
      <w:r w:rsidRPr="00936621">
        <w:rPr>
          <w:rFonts w:ascii="Verdana" w:hAnsi="Verdana"/>
        </w:rPr>
        <w:t>L</w:t>
      </w:r>
      <w:r w:rsidR="00DA784A" w:rsidRPr="00936621">
        <w:rPr>
          <w:rFonts w:ascii="Verdana" w:hAnsi="Verdana"/>
        </w:rPr>
        <w:t>a Agencia ITRC, en el cumplimiento de su misionalidad, se alinea con la quinta transformación del Plan Nacional de Desarrollo denominada "Convergencia regional". Esta transformación incluye la lucha contra la corrupción y el fortalecimiento de la confianza en las entidades públicas como parte de la contribución a la reducción de las desigualdades sociales y económicas entre los hogares y las regiones del país. Lo anterior, de conformidad con el catalizador de fortalecimiento institucional como motor de cambio para recuperar la confianza de la ciudadanía y el fortalecimiento del vínculo Estado-ciudadanía, avanzando en la construcción de un estado más eficiente, transparente y confiable, que sea capaz de responder a las necesidades de la ciudadanía y promover un desarrollo sostenible y equitativo.</w:t>
      </w:r>
    </w:p>
    <w:p w14:paraId="1130C9E3" w14:textId="77777777" w:rsidR="00DA784A" w:rsidRPr="00936621" w:rsidRDefault="00DA784A" w:rsidP="00DA784A">
      <w:pPr>
        <w:jc w:val="both"/>
        <w:rPr>
          <w:rFonts w:ascii="Verdana" w:hAnsi="Verdana"/>
        </w:rPr>
      </w:pPr>
      <w:r w:rsidRPr="00936621">
        <w:rPr>
          <w:rFonts w:ascii="Verdana" w:hAnsi="Verdana"/>
        </w:rPr>
        <w:t xml:space="preserve">De otra parte, la entidad también busca cumplir con el Catalizador A. “Habilitadores que potencian la seguridad humana y las oportunidades de bienestar” de la Transformación 2 “Seguridad Humana y Justicia Social” del Plan Nacional de Desarrollo, como elemento estructural para garantizar los derechos fundamentales y contar con un entorno en donde predomine la legitimidad, la transparencia y la integridad, implementando, mejorando y optimizando soluciones tecnológicas, como el fortalecimiento de la infraestructura del </w:t>
      </w:r>
      <w:proofErr w:type="spellStart"/>
      <w:r w:rsidRPr="00936621">
        <w:rPr>
          <w:rFonts w:ascii="Verdana" w:hAnsi="Verdana"/>
        </w:rPr>
        <w:t>DataCenter</w:t>
      </w:r>
      <w:proofErr w:type="spellEnd"/>
      <w:r w:rsidRPr="00936621">
        <w:rPr>
          <w:rFonts w:ascii="Verdana" w:hAnsi="Verdana"/>
        </w:rPr>
        <w:t xml:space="preserve"> virtual (Cloud) que soporta la operación, respaldo de información (</w:t>
      </w:r>
      <w:proofErr w:type="spellStart"/>
      <w:r w:rsidRPr="00936621">
        <w:rPr>
          <w:rFonts w:ascii="Verdana" w:hAnsi="Verdana"/>
        </w:rPr>
        <w:t>backups</w:t>
      </w:r>
      <w:proofErr w:type="spellEnd"/>
      <w:r w:rsidRPr="00936621">
        <w:rPr>
          <w:rFonts w:ascii="Verdana" w:hAnsi="Verdana"/>
        </w:rPr>
        <w:t xml:space="preserve">), disponibilidad, monitoreo y seguridad de los datos, </w:t>
      </w:r>
      <w:proofErr w:type="spellStart"/>
      <w:r w:rsidRPr="00936621">
        <w:rPr>
          <w:rFonts w:ascii="Verdana" w:hAnsi="Verdana"/>
        </w:rPr>
        <w:t>ethical</w:t>
      </w:r>
      <w:proofErr w:type="spellEnd"/>
      <w:r w:rsidRPr="00936621">
        <w:rPr>
          <w:rFonts w:ascii="Verdana" w:hAnsi="Verdana"/>
        </w:rPr>
        <w:t xml:space="preserve"> hacking y en general,  el desarrollo de todas las actividades misionales y administrativas </w:t>
      </w:r>
      <w:r w:rsidRPr="00936621">
        <w:rPr>
          <w:rFonts w:ascii="Verdana" w:hAnsi="Verdana"/>
        </w:rPr>
        <w:lastRenderedPageBreak/>
        <w:t>de la Agencia ITRC con el fin de hacer una vigilancia y lucha anticorrupción de manera eficiente.</w:t>
      </w:r>
    </w:p>
    <w:p w14:paraId="2B388AA8" w14:textId="177F7AEC" w:rsidR="00A82DC8" w:rsidRPr="00936621" w:rsidRDefault="00A82DC8" w:rsidP="00A82DC8">
      <w:pPr>
        <w:jc w:val="both"/>
        <w:rPr>
          <w:rFonts w:ascii="Verdana" w:hAnsi="Verdana"/>
        </w:rPr>
      </w:pPr>
      <w:r w:rsidRPr="00936621">
        <w:rPr>
          <w:rFonts w:ascii="Verdana" w:hAnsi="Verdana"/>
        </w:rPr>
        <w:t>Asimismo, se busca atender el Literal g, de este Catalizador “Modernización para incrementar el valor público, la integridad y la transparencia en la seguridad” bajo los principios y enfoques de trasformación digital, seguridad de la información, gestión del conocimiento e innovación, integridad, transparencia, reducción del riesgo de corrupción, vocación por el servicio público y servicio ciudadano.</w:t>
      </w:r>
    </w:p>
    <w:p w14:paraId="618D5AC7" w14:textId="1DA407D9" w:rsidR="00B654C7" w:rsidRPr="00936621" w:rsidRDefault="00DA784A" w:rsidP="00DA784A">
      <w:pPr>
        <w:jc w:val="both"/>
        <w:rPr>
          <w:rFonts w:ascii="Verdana" w:hAnsi="Verdana"/>
        </w:rPr>
      </w:pPr>
      <w:r w:rsidRPr="00936621">
        <w:rPr>
          <w:rFonts w:ascii="Verdana" w:hAnsi="Verdana"/>
        </w:rPr>
        <w:t xml:space="preserve">Lo anterior, se logrará mediante la efectiva </w:t>
      </w:r>
      <w:r w:rsidR="00A82DC8" w:rsidRPr="00936621">
        <w:rPr>
          <w:rFonts w:ascii="Verdana" w:hAnsi="Verdana"/>
        </w:rPr>
        <w:t>asignación de recursos de funcionamiento por valor de $27.041 millones de pesos y recursos para</w:t>
      </w:r>
      <w:r w:rsidRPr="00936621">
        <w:rPr>
          <w:rFonts w:ascii="Verdana" w:hAnsi="Verdana"/>
        </w:rPr>
        <w:t xml:space="preserve"> proyectos de inversión por valor de $1</w:t>
      </w:r>
      <w:r w:rsidR="00A82DC8" w:rsidRPr="00936621">
        <w:rPr>
          <w:rFonts w:ascii="Verdana" w:hAnsi="Verdana"/>
        </w:rPr>
        <w:t>.</w:t>
      </w:r>
      <w:r w:rsidRPr="00936621">
        <w:rPr>
          <w:rFonts w:ascii="Verdana" w:hAnsi="Verdana"/>
        </w:rPr>
        <w:t>336</w:t>
      </w:r>
      <w:r w:rsidR="00A82DC8" w:rsidRPr="00936621">
        <w:rPr>
          <w:rFonts w:ascii="Verdana" w:hAnsi="Verdana"/>
        </w:rPr>
        <w:t xml:space="preserve"> millones de pesos.</w:t>
      </w:r>
    </w:p>
    <w:p w14:paraId="5E57B26E" w14:textId="77777777" w:rsidR="002C0A72" w:rsidRPr="00936621" w:rsidRDefault="002C0A72" w:rsidP="002C0A72">
      <w:pPr>
        <w:jc w:val="both"/>
        <w:rPr>
          <w:rFonts w:ascii="Verdana" w:hAnsi="Verdana"/>
          <w:b/>
          <w:bCs/>
        </w:rPr>
      </w:pPr>
    </w:p>
    <w:p w14:paraId="706279DF" w14:textId="033AEF01" w:rsidR="002C0A72" w:rsidRDefault="002C0A72" w:rsidP="002C0A72">
      <w:pPr>
        <w:jc w:val="both"/>
        <w:rPr>
          <w:rFonts w:ascii="Verdana" w:hAnsi="Verdana"/>
          <w:b/>
          <w:bCs/>
        </w:rPr>
      </w:pPr>
      <w:r w:rsidRPr="00936621">
        <w:rPr>
          <w:rFonts w:ascii="Verdana" w:hAnsi="Verdana"/>
        </w:rPr>
        <w:t>6.</w:t>
      </w:r>
      <w:r w:rsidRPr="00936621">
        <w:rPr>
          <w:rFonts w:ascii="Verdana" w:hAnsi="Verdana"/>
          <w:b/>
          <w:bCs/>
        </w:rPr>
        <w:t xml:space="preserve"> Sírvase informar y explicar si considera que sus necesidades presupuestales están incluidas en el proyecto de Presupuesto del año 2025. </w:t>
      </w:r>
    </w:p>
    <w:p w14:paraId="6F425C7B" w14:textId="6B4FE122" w:rsidR="003A6DEB" w:rsidRDefault="003A6DEB" w:rsidP="002C0A72">
      <w:pPr>
        <w:jc w:val="both"/>
        <w:rPr>
          <w:rFonts w:ascii="Verdana" w:hAnsi="Verdana"/>
          <w:b/>
          <w:bCs/>
        </w:rPr>
      </w:pPr>
      <w:r w:rsidRPr="003A6DEB">
        <w:rPr>
          <w:rFonts w:ascii="Verdana" w:hAnsi="Verdana"/>
        </w:rPr>
        <w:t>a.</w:t>
      </w:r>
      <w:r w:rsidRPr="003A6DEB">
        <w:rPr>
          <w:rFonts w:ascii="Verdana" w:hAnsi="Verdana"/>
          <w:b/>
          <w:bCs/>
        </w:rPr>
        <w:t xml:space="preserve"> </w:t>
      </w:r>
      <w:r w:rsidRPr="00E14932">
        <w:rPr>
          <w:rFonts w:ascii="Verdana" w:hAnsi="Verdana"/>
          <w:i/>
          <w:iCs/>
        </w:rPr>
        <w:t>Sírvase indicar valor, monto y destinación de proyectos de inversión y/o gastos de funcionamiento que su respectiva cartera considera que son prioritarios para el logro de los objetivos misionales de la misma, y que no hayan sido incluidos en el proyecto de Presupuesto del año 2025.</w:t>
      </w:r>
      <w:r w:rsidRPr="00E14932">
        <w:rPr>
          <w:rFonts w:ascii="Verdana" w:hAnsi="Verdana"/>
          <w:i/>
          <w:iCs/>
        </w:rPr>
        <w:br/>
        <w:t>Sírvase explicitar porqué es importante que los mismos sean incluidos en el proyecto de presupuesto</w:t>
      </w:r>
    </w:p>
    <w:p w14:paraId="00C85EFB" w14:textId="77777777" w:rsidR="003A6DEB" w:rsidRPr="00936621" w:rsidRDefault="003A6DEB" w:rsidP="002C0A72">
      <w:pPr>
        <w:jc w:val="both"/>
        <w:rPr>
          <w:rFonts w:ascii="Verdana" w:hAnsi="Verdana"/>
          <w:b/>
          <w:bCs/>
        </w:rPr>
      </w:pPr>
    </w:p>
    <w:p w14:paraId="0DA4C53A" w14:textId="77777777" w:rsidR="00936621" w:rsidRPr="00936621" w:rsidRDefault="00936621" w:rsidP="00936621">
      <w:pPr>
        <w:jc w:val="both"/>
        <w:rPr>
          <w:rFonts w:ascii="Verdana" w:hAnsi="Verdana"/>
        </w:rPr>
      </w:pPr>
      <w:r w:rsidRPr="00936621">
        <w:rPr>
          <w:rFonts w:ascii="Verdana" w:hAnsi="Verdana"/>
          <w:b/>
          <w:bCs/>
        </w:rPr>
        <w:t>Respuesta Agencia ITRC:</w:t>
      </w:r>
      <w:r w:rsidRPr="00936621">
        <w:rPr>
          <w:rFonts w:ascii="Verdana" w:hAnsi="Verdana"/>
        </w:rPr>
        <w:t xml:space="preserve"> </w:t>
      </w:r>
    </w:p>
    <w:p w14:paraId="6B635174" w14:textId="77777777" w:rsidR="003A6DEB" w:rsidRPr="00936621" w:rsidRDefault="003A6DEB" w:rsidP="003A6DEB">
      <w:pPr>
        <w:spacing w:line="276" w:lineRule="auto"/>
        <w:jc w:val="both"/>
        <w:rPr>
          <w:rFonts w:ascii="Verdana" w:hAnsi="Verdana"/>
        </w:rPr>
      </w:pPr>
      <w:r w:rsidRPr="00936621">
        <w:rPr>
          <w:rFonts w:ascii="Verdana" w:hAnsi="Verdana"/>
        </w:rPr>
        <w:t>La Agencia del Inspector General de Tributos, Rentas y Contribuciones Parafiscales – ITRC, es una entidad del orden Nacional, adscrita al Ministerio de Hacienda y Crédito Público, creada mediante Decreto 4173 de 2011 y posteriormente modificada su estructura, mediante Decreto 985 de 2012 y Decreto 074 de 2022.</w:t>
      </w:r>
    </w:p>
    <w:p w14:paraId="07E4F269" w14:textId="77777777" w:rsidR="003A6DEB" w:rsidRPr="00936621" w:rsidRDefault="003A6DEB" w:rsidP="003A6DEB">
      <w:pPr>
        <w:spacing w:line="276" w:lineRule="auto"/>
        <w:jc w:val="both"/>
        <w:rPr>
          <w:rFonts w:ascii="Verdana" w:hAnsi="Verdana"/>
        </w:rPr>
      </w:pPr>
      <w:r w:rsidRPr="00936621">
        <w:rPr>
          <w:rFonts w:ascii="Verdana" w:hAnsi="Verdana"/>
        </w:rPr>
        <w:t>La Agencia ITRC tiene la facultad de investigar y sancionar las conductas por faltas disciplinarias gravísimas, así como la de auditar los procesos operativos, tecnológicos y administrativos de estas entidades, partiendo de la identificación, análisis y valoración de riesgos que amenacen los procesos, áreas y funcionarios de las entidades objeto de control. Además, promueve las buenas prácticas y detecta las fallas en los procesos y procedimientos, en la seguridad informática y en los recaudos e ingresos, que administran las entidades auditadas, empleando incluso herramientas forenses para cumplir este objetivo.</w:t>
      </w:r>
    </w:p>
    <w:p w14:paraId="74171DAA" w14:textId="77777777" w:rsidR="003A6DEB" w:rsidRDefault="003A6DEB" w:rsidP="003A6DEB">
      <w:pPr>
        <w:jc w:val="both"/>
        <w:rPr>
          <w:rFonts w:ascii="Verdana" w:hAnsi="Verdana"/>
        </w:rPr>
      </w:pPr>
      <w:r w:rsidRPr="00936621">
        <w:rPr>
          <w:rFonts w:ascii="Verdana" w:hAnsi="Verdana"/>
        </w:rPr>
        <w:lastRenderedPageBreak/>
        <w:t>La Agencia ITRC, en el cumplimiento de su misionalidad, se alinea con la quinta transformación del Plan Nacional de Desarrollo denominada "Convergencia regional". Esta transformación incluye la lucha contra la corrupción y el fortalecimiento de la confianza en las entidades públicas como parte de la contribución a la reducción de las desigualdades sociales y económicas entre los hogares y las regiones del país. Lo anterior, de conformidad con el catalizador de fortalecimiento institucional como motor de cambio para recuperar la confianza de la ciudadanía y el fortalecimiento del vínculo Estado-ciudadanía, avanzando en la construcción de un estado más eficiente, transparente y confiable, que sea capaz de responder a las necesidades de la ciudadanía y promover un desarrollo sostenible y equitativo.</w:t>
      </w:r>
    </w:p>
    <w:p w14:paraId="01799FD1" w14:textId="5B748EE5" w:rsidR="008F50A1" w:rsidRDefault="008F50A1" w:rsidP="003A6DEB">
      <w:pPr>
        <w:jc w:val="both"/>
        <w:rPr>
          <w:rFonts w:ascii="Verdana" w:hAnsi="Verdana"/>
        </w:rPr>
      </w:pPr>
      <w:r w:rsidRPr="008F50A1">
        <w:rPr>
          <w:rFonts w:ascii="Verdana" w:hAnsi="Verdana"/>
        </w:rPr>
        <w:t>En este mismo sentido,</w:t>
      </w:r>
      <w:r>
        <w:rPr>
          <w:rFonts w:ascii="Verdana" w:hAnsi="Verdana"/>
        </w:rPr>
        <w:t xml:space="preserve"> a través de los proyectos de inversión inscritos en el POAI 2025</w:t>
      </w:r>
      <w:r w:rsidRPr="008F50A1">
        <w:rPr>
          <w:rFonts w:ascii="Verdana" w:hAnsi="Verdana"/>
        </w:rPr>
        <w:t xml:space="preserve"> se ejecutarán acciones para el seguimiento y evaluación de los datos, mejoramiento de la calidad y alcance de la información a través de los datos abiertos, el fortalecimiento de la interoperabilidad con otros sistemas de información, el cumplimiento del Plan Nacional de Infraestructura de datos y la adopción de tecnologías como la analítica de datos para identificar riesgos de corrupción y promover el control social. </w:t>
      </w:r>
      <w:r>
        <w:rPr>
          <w:rFonts w:ascii="Verdana" w:hAnsi="Verdana"/>
        </w:rPr>
        <w:t>Asimismo, se busca</w:t>
      </w:r>
      <w:r w:rsidRPr="006178ED">
        <w:rPr>
          <w:rFonts w:ascii="Verdana" w:hAnsi="Verdana"/>
        </w:rPr>
        <w:t xml:space="preserve"> dar respuesta a las necesidades de usuarios internos y externos, cumpliendo con los propósitos de la función archivística y la Gestión Documental,</w:t>
      </w:r>
      <w:r>
        <w:rPr>
          <w:rFonts w:ascii="Verdana" w:hAnsi="Verdana"/>
        </w:rPr>
        <w:t xml:space="preserve"> </w:t>
      </w:r>
      <w:r w:rsidRPr="006178ED">
        <w:rPr>
          <w:rFonts w:ascii="Verdana" w:hAnsi="Verdana"/>
        </w:rPr>
        <w:t>contribuyendo al fortalecimiento institucional, garantizando labores como organización, digitalización, custodia, manejo del documento y expediente electrónico, cumpliendo con autenticidad, integridad, inalterabilidad, fiabilidad, disponibilidad y conservación.</w:t>
      </w:r>
    </w:p>
    <w:p w14:paraId="1426A6B6" w14:textId="77777777" w:rsidR="008F50A1" w:rsidRDefault="008F50A1" w:rsidP="003A6DEB">
      <w:pPr>
        <w:jc w:val="both"/>
        <w:rPr>
          <w:rFonts w:ascii="Verdana" w:hAnsi="Verdana"/>
        </w:rPr>
      </w:pPr>
    </w:p>
    <w:p w14:paraId="0475E725" w14:textId="0C03F725" w:rsidR="008F50A1" w:rsidRPr="00936621" w:rsidRDefault="008F50A1" w:rsidP="008F50A1">
      <w:pPr>
        <w:jc w:val="both"/>
        <w:rPr>
          <w:rFonts w:ascii="Verdana" w:hAnsi="Verdana"/>
          <w:lang w:val="es-ES"/>
        </w:rPr>
      </w:pPr>
      <w:r>
        <w:rPr>
          <w:rFonts w:ascii="Verdana" w:hAnsi="Verdana"/>
        </w:rPr>
        <w:t xml:space="preserve">De acuerdo con lo anteriormente expuesto y </w:t>
      </w:r>
      <w:r w:rsidRPr="00936621">
        <w:rPr>
          <w:rFonts w:ascii="Verdana" w:hAnsi="Verdana"/>
          <w:lang w:val="es-ES"/>
        </w:rPr>
        <w:t>con base en los topes presupuestales que, le fueron asignados, a través del SIIF Nación, de acuerdo con los supuestos macroeconómicos y directrices del Ministerio de Hacienda y Crédito Público</w:t>
      </w:r>
      <w:r>
        <w:rPr>
          <w:rFonts w:ascii="Verdana" w:hAnsi="Verdana"/>
          <w:lang w:val="es-ES"/>
        </w:rPr>
        <w:t xml:space="preserve">, la Agencia ITRC realizó la proyección de recursos requeridos para la </w:t>
      </w:r>
      <w:r w:rsidRPr="00936621">
        <w:rPr>
          <w:rFonts w:ascii="Verdana" w:hAnsi="Verdana"/>
          <w:lang w:val="es-ES"/>
        </w:rPr>
        <w:t>vigencia 2025</w:t>
      </w:r>
      <w:r w:rsidR="00BA5493">
        <w:rPr>
          <w:rFonts w:ascii="Verdana" w:hAnsi="Verdana"/>
          <w:lang w:val="es-ES"/>
        </w:rPr>
        <w:t>, tanto de funcionamiento como de inversión.</w:t>
      </w:r>
    </w:p>
    <w:p w14:paraId="0C865E03" w14:textId="50645166" w:rsidR="008F50A1" w:rsidRDefault="008F50A1" w:rsidP="0094339B">
      <w:pPr>
        <w:pStyle w:val="Cierre"/>
        <w:spacing w:before="100" w:beforeAutospacing="1" w:after="100" w:afterAutospacing="1"/>
        <w:ind w:left="0"/>
        <w:contextualSpacing/>
        <w:rPr>
          <w:rFonts w:ascii="Verdana" w:hAnsi="Verdana"/>
          <w:sz w:val="22"/>
          <w:szCs w:val="22"/>
          <w:lang w:val="es-ES"/>
        </w:rPr>
      </w:pPr>
      <w:r w:rsidRPr="00936621">
        <w:rPr>
          <w:rFonts w:ascii="Verdana" w:hAnsi="Verdana"/>
          <w:sz w:val="22"/>
          <w:szCs w:val="22"/>
          <w:lang w:val="es-ES"/>
        </w:rPr>
        <w:t>A continuación, se presentan las cifras:</w:t>
      </w:r>
    </w:p>
    <w:p w14:paraId="29CABC46" w14:textId="77777777" w:rsidR="00F30E22" w:rsidRDefault="00F30E22" w:rsidP="0094339B">
      <w:pPr>
        <w:pStyle w:val="Cierre"/>
        <w:spacing w:before="100" w:beforeAutospacing="1" w:after="100" w:afterAutospacing="1"/>
        <w:ind w:left="0"/>
        <w:contextualSpacing/>
        <w:rPr>
          <w:rFonts w:ascii="Verdana" w:hAnsi="Verdana"/>
          <w:sz w:val="22"/>
          <w:szCs w:val="22"/>
          <w:lang w:val="es-ES"/>
        </w:rPr>
      </w:pPr>
    </w:p>
    <w:p w14:paraId="2AD15B9A" w14:textId="77777777" w:rsidR="00F30E22" w:rsidRDefault="00F30E22" w:rsidP="0094339B">
      <w:pPr>
        <w:pStyle w:val="Cierre"/>
        <w:spacing w:before="100" w:beforeAutospacing="1" w:after="100" w:afterAutospacing="1"/>
        <w:ind w:left="0"/>
        <w:contextualSpacing/>
        <w:rPr>
          <w:rFonts w:ascii="Verdana" w:hAnsi="Verdana"/>
          <w:sz w:val="22"/>
          <w:szCs w:val="22"/>
          <w:lang w:val="es-ES"/>
        </w:rPr>
      </w:pPr>
    </w:p>
    <w:p w14:paraId="5D605A6F" w14:textId="77777777" w:rsidR="00F30E22" w:rsidRDefault="00F30E22" w:rsidP="0094339B">
      <w:pPr>
        <w:pStyle w:val="Cierre"/>
        <w:spacing w:before="100" w:beforeAutospacing="1" w:after="100" w:afterAutospacing="1"/>
        <w:ind w:left="0"/>
        <w:contextualSpacing/>
        <w:rPr>
          <w:rFonts w:ascii="Verdana" w:hAnsi="Verdana"/>
          <w:sz w:val="22"/>
          <w:szCs w:val="22"/>
          <w:lang w:val="es-ES"/>
        </w:rPr>
      </w:pPr>
    </w:p>
    <w:p w14:paraId="724924E3" w14:textId="77777777" w:rsidR="00F30E22" w:rsidRPr="00936621" w:rsidRDefault="00F30E22" w:rsidP="0094339B">
      <w:pPr>
        <w:pStyle w:val="Cierre"/>
        <w:spacing w:before="100" w:beforeAutospacing="1" w:after="100" w:afterAutospacing="1"/>
        <w:ind w:left="0"/>
        <w:contextualSpacing/>
        <w:rPr>
          <w:rFonts w:ascii="Verdana" w:hAnsi="Verdana"/>
          <w:b/>
          <w:bCs/>
          <w:lang w:val="es-ES"/>
        </w:rPr>
      </w:pPr>
    </w:p>
    <w:p w14:paraId="19D13FD5" w14:textId="77777777" w:rsidR="008F50A1" w:rsidRPr="00936621" w:rsidRDefault="008F50A1" w:rsidP="008F50A1">
      <w:pPr>
        <w:pStyle w:val="Descripcin"/>
        <w:keepNext/>
        <w:rPr>
          <w:rFonts w:ascii="Verdana" w:hAnsi="Verdana"/>
        </w:rPr>
      </w:pPr>
      <w:r w:rsidRPr="00936621">
        <w:rPr>
          <w:rFonts w:ascii="Verdana" w:hAnsi="Verdana"/>
        </w:rPr>
        <w:lastRenderedPageBreak/>
        <w:t xml:space="preserve">Tabla </w:t>
      </w:r>
      <w:r w:rsidRPr="00936621">
        <w:rPr>
          <w:rFonts w:ascii="Verdana" w:hAnsi="Verdana"/>
        </w:rPr>
        <w:fldChar w:fldCharType="begin"/>
      </w:r>
      <w:r w:rsidRPr="00936621">
        <w:rPr>
          <w:rFonts w:ascii="Verdana" w:hAnsi="Verdana"/>
        </w:rPr>
        <w:instrText xml:space="preserve"> SEQ Tabla \* ARABIC </w:instrText>
      </w:r>
      <w:r w:rsidRPr="00936621">
        <w:rPr>
          <w:rFonts w:ascii="Verdana" w:hAnsi="Verdana"/>
        </w:rPr>
        <w:fldChar w:fldCharType="separate"/>
      </w:r>
      <w:r w:rsidRPr="00936621">
        <w:rPr>
          <w:rFonts w:ascii="Verdana" w:hAnsi="Verdana"/>
          <w:noProof/>
        </w:rPr>
        <w:t>1</w:t>
      </w:r>
      <w:r w:rsidRPr="00936621">
        <w:rPr>
          <w:rFonts w:ascii="Verdana" w:hAnsi="Verdana"/>
        </w:rPr>
        <w:fldChar w:fldCharType="end"/>
      </w:r>
      <w:r w:rsidRPr="00936621">
        <w:rPr>
          <w:rFonts w:ascii="Verdana" w:hAnsi="Verdana"/>
        </w:rPr>
        <w:t xml:space="preserve"> Valores presentados en Anteproyecto de presupuesto 2025 (cifras en millones de pesos)</w:t>
      </w:r>
    </w:p>
    <w:tbl>
      <w:tblPr>
        <w:tblStyle w:val="Tablaconcuadrcula"/>
        <w:tblW w:w="7508" w:type="dxa"/>
        <w:jc w:val="center"/>
        <w:tblLook w:val="04A0" w:firstRow="1" w:lastRow="0" w:firstColumn="1" w:lastColumn="0" w:noHBand="0" w:noVBand="1"/>
      </w:tblPr>
      <w:tblGrid>
        <w:gridCol w:w="3539"/>
        <w:gridCol w:w="3969"/>
      </w:tblGrid>
      <w:tr w:rsidR="008F50A1" w:rsidRPr="0094339B" w14:paraId="11EABFF7" w14:textId="77777777" w:rsidTr="0094339B">
        <w:trPr>
          <w:trHeight w:val="953"/>
          <w:jc w:val="center"/>
        </w:trPr>
        <w:tc>
          <w:tcPr>
            <w:tcW w:w="3539" w:type="dxa"/>
            <w:vAlign w:val="center"/>
            <w:hideMark/>
          </w:tcPr>
          <w:p w14:paraId="0B8A7E56" w14:textId="77777777" w:rsidR="008F50A1" w:rsidRPr="0094339B" w:rsidRDefault="008F50A1" w:rsidP="007A3BFF">
            <w:pPr>
              <w:pStyle w:val="Default"/>
              <w:ind w:left="360"/>
              <w:jc w:val="center"/>
              <w:rPr>
                <w:rFonts w:ascii="Verdana" w:hAnsi="Verdana"/>
                <w:b/>
                <w:bCs/>
                <w:sz w:val="18"/>
                <w:szCs w:val="18"/>
              </w:rPr>
            </w:pPr>
            <w:r w:rsidRPr="0094339B">
              <w:rPr>
                <w:rFonts w:ascii="Verdana" w:hAnsi="Verdana"/>
                <w:b/>
                <w:bCs/>
                <w:sz w:val="18"/>
                <w:szCs w:val="18"/>
              </w:rPr>
              <w:t>Descripción</w:t>
            </w:r>
          </w:p>
        </w:tc>
        <w:tc>
          <w:tcPr>
            <w:tcW w:w="3969" w:type="dxa"/>
            <w:vAlign w:val="center"/>
            <w:hideMark/>
          </w:tcPr>
          <w:p w14:paraId="5B1D664F" w14:textId="77777777" w:rsidR="008F50A1" w:rsidRPr="0094339B" w:rsidRDefault="008F50A1" w:rsidP="007A3BFF">
            <w:pPr>
              <w:pStyle w:val="Default"/>
              <w:ind w:left="360"/>
              <w:jc w:val="center"/>
              <w:rPr>
                <w:rFonts w:ascii="Verdana" w:hAnsi="Verdana"/>
                <w:b/>
                <w:bCs/>
                <w:sz w:val="18"/>
                <w:szCs w:val="18"/>
              </w:rPr>
            </w:pPr>
            <w:r w:rsidRPr="0094339B">
              <w:rPr>
                <w:rFonts w:ascii="Verdana" w:hAnsi="Verdana"/>
                <w:b/>
                <w:bCs/>
                <w:sz w:val="18"/>
                <w:szCs w:val="18"/>
              </w:rPr>
              <w:t>Valores solicitados en Anteproyecto 2025, de acuerdo con Topes presupuestales</w:t>
            </w:r>
          </w:p>
        </w:tc>
      </w:tr>
      <w:tr w:rsidR="008F50A1" w:rsidRPr="0094339B" w14:paraId="5706B826" w14:textId="77777777" w:rsidTr="0094339B">
        <w:trPr>
          <w:trHeight w:val="202"/>
          <w:jc w:val="center"/>
        </w:trPr>
        <w:tc>
          <w:tcPr>
            <w:tcW w:w="3539" w:type="dxa"/>
            <w:vAlign w:val="center"/>
            <w:hideMark/>
          </w:tcPr>
          <w:p w14:paraId="75D32358" w14:textId="77777777" w:rsidR="008F50A1" w:rsidRPr="0094339B" w:rsidRDefault="008F50A1" w:rsidP="007A3BFF">
            <w:pPr>
              <w:pStyle w:val="Default"/>
              <w:ind w:left="360"/>
              <w:jc w:val="center"/>
              <w:rPr>
                <w:rFonts w:ascii="Verdana" w:hAnsi="Verdana"/>
                <w:b/>
                <w:bCs/>
                <w:sz w:val="18"/>
                <w:szCs w:val="18"/>
              </w:rPr>
            </w:pPr>
            <w:r w:rsidRPr="0094339B">
              <w:rPr>
                <w:rFonts w:ascii="Verdana" w:hAnsi="Verdana"/>
                <w:b/>
                <w:bCs/>
                <w:sz w:val="18"/>
                <w:szCs w:val="18"/>
              </w:rPr>
              <w:t>Gastos de Funcionamiento</w:t>
            </w:r>
          </w:p>
        </w:tc>
        <w:tc>
          <w:tcPr>
            <w:tcW w:w="3969" w:type="dxa"/>
            <w:vAlign w:val="center"/>
            <w:hideMark/>
          </w:tcPr>
          <w:p w14:paraId="3FFFE526" w14:textId="77777777" w:rsidR="008F50A1" w:rsidRPr="0094339B" w:rsidRDefault="008F50A1" w:rsidP="007A3BFF">
            <w:pPr>
              <w:pStyle w:val="Default"/>
              <w:ind w:left="360"/>
              <w:jc w:val="center"/>
              <w:rPr>
                <w:rFonts w:ascii="Verdana" w:hAnsi="Verdana"/>
                <w:b/>
                <w:bCs/>
                <w:sz w:val="18"/>
                <w:szCs w:val="18"/>
              </w:rPr>
            </w:pPr>
            <w:r w:rsidRPr="0094339B">
              <w:rPr>
                <w:rFonts w:ascii="Verdana" w:hAnsi="Verdana"/>
                <w:b/>
                <w:bCs/>
                <w:sz w:val="18"/>
                <w:szCs w:val="18"/>
              </w:rPr>
              <w:t>27.040,9</w:t>
            </w:r>
          </w:p>
        </w:tc>
      </w:tr>
      <w:tr w:rsidR="008F50A1" w:rsidRPr="0094339B" w14:paraId="3ECC06A8" w14:textId="77777777" w:rsidTr="0094339B">
        <w:trPr>
          <w:trHeight w:val="202"/>
          <w:jc w:val="center"/>
        </w:trPr>
        <w:tc>
          <w:tcPr>
            <w:tcW w:w="3539" w:type="dxa"/>
            <w:vAlign w:val="center"/>
            <w:hideMark/>
          </w:tcPr>
          <w:p w14:paraId="37D35F60" w14:textId="77777777" w:rsidR="008F50A1" w:rsidRPr="0094339B" w:rsidRDefault="008F50A1" w:rsidP="007A3BFF">
            <w:pPr>
              <w:pStyle w:val="Default"/>
              <w:ind w:left="360"/>
              <w:jc w:val="center"/>
              <w:rPr>
                <w:rFonts w:ascii="Verdana" w:hAnsi="Verdana"/>
                <w:b/>
                <w:bCs/>
                <w:sz w:val="18"/>
                <w:szCs w:val="18"/>
              </w:rPr>
            </w:pPr>
            <w:r w:rsidRPr="0094339B">
              <w:rPr>
                <w:rFonts w:ascii="Verdana" w:hAnsi="Verdana"/>
                <w:b/>
                <w:bCs/>
                <w:sz w:val="18"/>
                <w:szCs w:val="18"/>
              </w:rPr>
              <w:t>Inversión</w:t>
            </w:r>
          </w:p>
        </w:tc>
        <w:tc>
          <w:tcPr>
            <w:tcW w:w="3969" w:type="dxa"/>
            <w:vAlign w:val="center"/>
            <w:hideMark/>
          </w:tcPr>
          <w:p w14:paraId="42FEA9FC" w14:textId="77777777" w:rsidR="008F50A1" w:rsidRPr="0094339B" w:rsidRDefault="008F50A1" w:rsidP="007A3BFF">
            <w:pPr>
              <w:pStyle w:val="Default"/>
              <w:ind w:left="360"/>
              <w:jc w:val="center"/>
              <w:rPr>
                <w:rFonts w:ascii="Verdana" w:hAnsi="Verdana"/>
                <w:b/>
                <w:bCs/>
                <w:sz w:val="18"/>
                <w:szCs w:val="18"/>
              </w:rPr>
            </w:pPr>
            <w:r w:rsidRPr="0094339B">
              <w:rPr>
                <w:rFonts w:ascii="Verdana" w:hAnsi="Verdana"/>
                <w:b/>
                <w:bCs/>
                <w:sz w:val="18"/>
                <w:szCs w:val="18"/>
              </w:rPr>
              <w:t>1.336</w:t>
            </w:r>
          </w:p>
        </w:tc>
      </w:tr>
      <w:tr w:rsidR="008F50A1" w:rsidRPr="0094339B" w14:paraId="499D7B17" w14:textId="77777777" w:rsidTr="0094339B">
        <w:trPr>
          <w:trHeight w:val="1265"/>
          <w:jc w:val="center"/>
        </w:trPr>
        <w:tc>
          <w:tcPr>
            <w:tcW w:w="3539" w:type="dxa"/>
            <w:vAlign w:val="center"/>
            <w:hideMark/>
          </w:tcPr>
          <w:p w14:paraId="34283A44" w14:textId="77777777" w:rsidR="008F50A1" w:rsidRPr="0094339B" w:rsidRDefault="008F50A1" w:rsidP="007A3BFF">
            <w:pPr>
              <w:pStyle w:val="Default"/>
              <w:ind w:left="360"/>
              <w:jc w:val="center"/>
              <w:rPr>
                <w:rFonts w:ascii="Verdana" w:hAnsi="Verdana"/>
                <w:sz w:val="18"/>
                <w:szCs w:val="18"/>
              </w:rPr>
            </w:pPr>
            <w:r w:rsidRPr="0094339B">
              <w:rPr>
                <w:rFonts w:ascii="Verdana" w:hAnsi="Verdana"/>
                <w:sz w:val="18"/>
                <w:szCs w:val="18"/>
              </w:rPr>
              <w:t>Implementación Sistema Integral de Información para la Prevención del Fraude y la Corrupción en las Entidades Vigiladas</w:t>
            </w:r>
          </w:p>
        </w:tc>
        <w:tc>
          <w:tcPr>
            <w:tcW w:w="3969" w:type="dxa"/>
            <w:vAlign w:val="center"/>
            <w:hideMark/>
          </w:tcPr>
          <w:p w14:paraId="06501760" w14:textId="77777777" w:rsidR="008F50A1" w:rsidRPr="0094339B" w:rsidRDefault="008F50A1" w:rsidP="007A3BFF">
            <w:pPr>
              <w:pStyle w:val="Default"/>
              <w:ind w:left="360"/>
              <w:jc w:val="center"/>
              <w:rPr>
                <w:rFonts w:ascii="Verdana" w:hAnsi="Verdana"/>
                <w:sz w:val="18"/>
                <w:szCs w:val="18"/>
              </w:rPr>
            </w:pPr>
            <w:r w:rsidRPr="0094339B">
              <w:rPr>
                <w:rFonts w:ascii="Verdana" w:hAnsi="Verdana"/>
                <w:sz w:val="18"/>
                <w:szCs w:val="18"/>
              </w:rPr>
              <w:t>900</w:t>
            </w:r>
          </w:p>
        </w:tc>
      </w:tr>
      <w:tr w:rsidR="008F50A1" w:rsidRPr="0094339B" w14:paraId="18BD7CB8" w14:textId="77777777" w:rsidTr="0094339B">
        <w:trPr>
          <w:trHeight w:val="728"/>
          <w:jc w:val="center"/>
        </w:trPr>
        <w:tc>
          <w:tcPr>
            <w:tcW w:w="3539" w:type="dxa"/>
            <w:vAlign w:val="center"/>
            <w:hideMark/>
          </w:tcPr>
          <w:p w14:paraId="39880A8E" w14:textId="77777777" w:rsidR="008F50A1" w:rsidRPr="0094339B" w:rsidRDefault="008F50A1" w:rsidP="007A3BFF">
            <w:pPr>
              <w:pStyle w:val="Default"/>
              <w:ind w:left="360"/>
              <w:jc w:val="center"/>
              <w:rPr>
                <w:rFonts w:ascii="Verdana" w:hAnsi="Verdana"/>
                <w:sz w:val="18"/>
                <w:szCs w:val="18"/>
              </w:rPr>
            </w:pPr>
            <w:r w:rsidRPr="0094339B">
              <w:rPr>
                <w:rFonts w:ascii="Verdana" w:hAnsi="Verdana"/>
                <w:sz w:val="18"/>
                <w:szCs w:val="18"/>
              </w:rPr>
              <w:t>Fortalecimiento de la Gestión Documental en la Agencia ITRC</w:t>
            </w:r>
          </w:p>
        </w:tc>
        <w:tc>
          <w:tcPr>
            <w:tcW w:w="3969" w:type="dxa"/>
            <w:vAlign w:val="center"/>
            <w:hideMark/>
          </w:tcPr>
          <w:p w14:paraId="3309C453" w14:textId="77777777" w:rsidR="008F50A1" w:rsidRPr="0094339B" w:rsidRDefault="008F50A1" w:rsidP="007A3BFF">
            <w:pPr>
              <w:pStyle w:val="Default"/>
              <w:ind w:left="360"/>
              <w:jc w:val="center"/>
              <w:rPr>
                <w:rFonts w:ascii="Verdana" w:hAnsi="Verdana"/>
                <w:sz w:val="18"/>
                <w:szCs w:val="18"/>
              </w:rPr>
            </w:pPr>
            <w:r w:rsidRPr="0094339B">
              <w:rPr>
                <w:rFonts w:ascii="Verdana" w:hAnsi="Verdana"/>
                <w:sz w:val="18"/>
                <w:szCs w:val="18"/>
              </w:rPr>
              <w:t>436</w:t>
            </w:r>
          </w:p>
        </w:tc>
      </w:tr>
      <w:tr w:rsidR="008F50A1" w:rsidRPr="0094339B" w14:paraId="6497CE1D" w14:textId="77777777" w:rsidTr="0094339B">
        <w:trPr>
          <w:trHeight w:val="366"/>
          <w:jc w:val="center"/>
        </w:trPr>
        <w:tc>
          <w:tcPr>
            <w:tcW w:w="3539" w:type="dxa"/>
            <w:noWrap/>
            <w:vAlign w:val="center"/>
            <w:hideMark/>
          </w:tcPr>
          <w:p w14:paraId="38666D25" w14:textId="77777777" w:rsidR="008F50A1" w:rsidRPr="0094339B" w:rsidRDefault="008F50A1" w:rsidP="007A3BFF">
            <w:pPr>
              <w:pStyle w:val="Default"/>
              <w:ind w:left="360"/>
              <w:jc w:val="center"/>
              <w:rPr>
                <w:rFonts w:ascii="Verdana" w:hAnsi="Verdana"/>
                <w:b/>
                <w:bCs/>
                <w:sz w:val="18"/>
                <w:szCs w:val="18"/>
              </w:rPr>
            </w:pPr>
            <w:r w:rsidRPr="0094339B">
              <w:rPr>
                <w:rFonts w:ascii="Verdana" w:hAnsi="Verdana"/>
                <w:b/>
                <w:bCs/>
                <w:sz w:val="18"/>
                <w:szCs w:val="18"/>
              </w:rPr>
              <w:t>Totales</w:t>
            </w:r>
          </w:p>
        </w:tc>
        <w:tc>
          <w:tcPr>
            <w:tcW w:w="3969" w:type="dxa"/>
            <w:noWrap/>
            <w:vAlign w:val="center"/>
            <w:hideMark/>
          </w:tcPr>
          <w:p w14:paraId="4C75F729" w14:textId="77777777" w:rsidR="008F50A1" w:rsidRPr="0094339B" w:rsidRDefault="008F50A1" w:rsidP="007A3BFF">
            <w:pPr>
              <w:pStyle w:val="Default"/>
              <w:ind w:left="360"/>
              <w:jc w:val="center"/>
              <w:rPr>
                <w:rFonts w:ascii="Verdana" w:hAnsi="Verdana"/>
                <w:b/>
                <w:bCs/>
                <w:sz w:val="18"/>
                <w:szCs w:val="18"/>
              </w:rPr>
            </w:pPr>
            <w:r w:rsidRPr="0094339B">
              <w:rPr>
                <w:rFonts w:ascii="Verdana" w:hAnsi="Verdana"/>
                <w:b/>
                <w:bCs/>
                <w:sz w:val="18"/>
                <w:szCs w:val="18"/>
              </w:rPr>
              <w:t>28.376,9</w:t>
            </w:r>
          </w:p>
        </w:tc>
      </w:tr>
    </w:tbl>
    <w:p w14:paraId="0EEE38D4" w14:textId="77777777" w:rsidR="005624B4" w:rsidRDefault="005624B4" w:rsidP="002C0A72">
      <w:pPr>
        <w:jc w:val="both"/>
        <w:rPr>
          <w:rFonts w:ascii="Verdana" w:hAnsi="Verdana"/>
          <w:b/>
          <w:bCs/>
        </w:rPr>
      </w:pPr>
    </w:p>
    <w:p w14:paraId="5260D562" w14:textId="77777777" w:rsidR="00CD5AB9" w:rsidRDefault="00CD5AB9" w:rsidP="002C0A72">
      <w:pPr>
        <w:jc w:val="both"/>
        <w:rPr>
          <w:rFonts w:ascii="Verdana" w:hAnsi="Verdana"/>
          <w:b/>
          <w:bCs/>
        </w:rPr>
      </w:pPr>
    </w:p>
    <w:p w14:paraId="49813645" w14:textId="528F8F18" w:rsidR="002C0A72" w:rsidRPr="00936621" w:rsidRDefault="002C0A72" w:rsidP="002C0A72">
      <w:pPr>
        <w:jc w:val="both"/>
        <w:rPr>
          <w:rFonts w:ascii="Verdana" w:hAnsi="Verdana"/>
          <w:b/>
          <w:bCs/>
        </w:rPr>
      </w:pPr>
      <w:r w:rsidRPr="00936621">
        <w:rPr>
          <w:rFonts w:ascii="Verdana" w:hAnsi="Verdana"/>
        </w:rPr>
        <w:t xml:space="preserve">8. </w:t>
      </w:r>
      <w:r w:rsidRPr="00936621">
        <w:rPr>
          <w:rFonts w:ascii="Verdana" w:hAnsi="Verdana"/>
          <w:b/>
          <w:bCs/>
        </w:rPr>
        <w:t>Sírvase informar la ejecución presupuestal y resultados misionales de los años 2023 y lo que va corrido del año 2024, por componentes y principales rubros presupuestales o programas, de cada una de las entidades que Usted dirige (por componentes de funcionamiento e inversión los rubros más importantes)</w:t>
      </w:r>
    </w:p>
    <w:p w14:paraId="644E4F94" w14:textId="76AC79B1" w:rsidR="00B654C7" w:rsidRPr="00936621" w:rsidRDefault="00B654C7" w:rsidP="00B654C7">
      <w:pPr>
        <w:ind w:left="-142" w:right="-708"/>
        <w:rPr>
          <w:rFonts w:ascii="Verdana" w:hAnsi="Verdana"/>
          <w:b/>
          <w:bCs/>
        </w:rPr>
      </w:pPr>
      <w:r w:rsidRPr="00936621">
        <w:rPr>
          <w:rFonts w:ascii="Verdana" w:hAnsi="Verdana"/>
          <w:b/>
          <w:bCs/>
        </w:rPr>
        <w:t>Respuesta Agencia ITRC:</w:t>
      </w:r>
    </w:p>
    <w:p w14:paraId="2B4FD654" w14:textId="14E647DF" w:rsidR="00B654C7" w:rsidRPr="00936621" w:rsidRDefault="00B654C7" w:rsidP="00B654C7">
      <w:pPr>
        <w:ind w:left="-142" w:right="-257"/>
        <w:jc w:val="both"/>
        <w:rPr>
          <w:rFonts w:ascii="Verdana" w:hAnsi="Verdana"/>
        </w:rPr>
      </w:pPr>
      <w:r w:rsidRPr="00936621">
        <w:rPr>
          <w:rFonts w:ascii="Verdana" w:hAnsi="Verdana"/>
        </w:rPr>
        <w:t xml:space="preserve">A continuación, se presenta la ejecución presupuestal y los resultados más relevantes de la labor misional de la Agencia ITRC, </w:t>
      </w:r>
      <w:r w:rsidR="005419C2">
        <w:rPr>
          <w:rFonts w:ascii="Verdana" w:hAnsi="Verdana"/>
        </w:rPr>
        <w:t>de la vigencia 2</w:t>
      </w:r>
      <w:r w:rsidRPr="00936621">
        <w:rPr>
          <w:rFonts w:ascii="Verdana" w:hAnsi="Verdana"/>
        </w:rPr>
        <w:t>023 y lo corrido de la vigencia 2024.</w:t>
      </w:r>
    </w:p>
    <w:p w14:paraId="562C0B66" w14:textId="73BA8D2A" w:rsidR="002C0A72" w:rsidRPr="00936621" w:rsidRDefault="002C0A72" w:rsidP="002C0A72">
      <w:pPr>
        <w:jc w:val="both"/>
        <w:rPr>
          <w:rFonts w:ascii="Verdana" w:hAnsi="Verdana"/>
          <w:b/>
          <w:bCs/>
        </w:rPr>
      </w:pPr>
      <w:r w:rsidRPr="00936621">
        <w:rPr>
          <w:rFonts w:ascii="Verdana" w:hAnsi="Verdana"/>
          <w:b/>
          <w:bCs/>
        </w:rPr>
        <w:t>8.1 VIGENCIA 2023</w:t>
      </w:r>
    </w:p>
    <w:p w14:paraId="7D5D4B31" w14:textId="77777777" w:rsidR="00CD5AB9" w:rsidRPr="005F7380" w:rsidRDefault="00CD5AB9" w:rsidP="00CD5AB9">
      <w:pPr>
        <w:pStyle w:val="Descripcin"/>
        <w:keepNext/>
        <w:rPr>
          <w:rFonts w:ascii="Verdana" w:eastAsiaTheme="minorEastAsia" w:hAnsi="Verdana"/>
        </w:rPr>
      </w:pPr>
      <w:r w:rsidRPr="005F7380">
        <w:rPr>
          <w:rFonts w:ascii="Verdana" w:hAnsi="Verdana"/>
        </w:rPr>
        <w:t>Ejecución presupuestal Vigencia 202</w:t>
      </w:r>
      <w:r>
        <w:rPr>
          <w:rFonts w:ascii="Verdana" w:hAnsi="Verdana"/>
        </w:rPr>
        <w:t>3</w:t>
      </w:r>
      <w:r w:rsidRPr="005F7380">
        <w:rPr>
          <w:rFonts w:ascii="Verdana" w:hAnsi="Verdana"/>
        </w:rPr>
        <w:t xml:space="preserve"> (cifras presentadas en millones de pesos)</w:t>
      </w: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61"/>
        <w:gridCol w:w="1422"/>
        <w:gridCol w:w="1422"/>
        <w:gridCol w:w="1687"/>
        <w:gridCol w:w="1522"/>
        <w:gridCol w:w="903"/>
        <w:gridCol w:w="1095"/>
        <w:gridCol w:w="903"/>
      </w:tblGrid>
      <w:tr w:rsidR="00CD5AB9" w:rsidRPr="001C54C6" w14:paraId="3CD826C7" w14:textId="77777777" w:rsidTr="007A3BFF">
        <w:trPr>
          <w:trHeight w:val="300"/>
          <w:jc w:val="center"/>
        </w:trPr>
        <w:tc>
          <w:tcPr>
            <w:tcW w:w="1717" w:type="dxa"/>
            <w:vMerge w:val="restart"/>
            <w:tcBorders>
              <w:top w:val="nil"/>
              <w:left w:val="nil"/>
              <w:bottom w:val="nil"/>
              <w:right w:val="single" w:sz="4" w:space="0" w:color="auto"/>
            </w:tcBorders>
            <w:shd w:val="clear" w:color="auto" w:fill="auto"/>
            <w:vAlign w:val="center"/>
            <w:hideMark/>
          </w:tcPr>
          <w:p w14:paraId="7F1A9055" w14:textId="77777777" w:rsidR="00CD5AB9" w:rsidRPr="001C54C6" w:rsidRDefault="00CD5AB9" w:rsidP="007A3BFF">
            <w:pPr>
              <w:spacing w:after="0" w:line="240" w:lineRule="auto"/>
              <w:jc w:val="center"/>
              <w:rPr>
                <w:rFonts w:ascii="Verdana" w:eastAsia="Times New Roman" w:hAnsi="Verdana" w:cs="Calibri"/>
                <w:color w:val="000000"/>
                <w:kern w:val="0"/>
                <w:sz w:val="18"/>
                <w:szCs w:val="18"/>
                <w:lang w:eastAsia="es-CO"/>
                <w14:ligatures w14:val="none"/>
              </w:rPr>
            </w:pPr>
          </w:p>
        </w:tc>
        <w:tc>
          <w:tcPr>
            <w:tcW w:w="1468" w:type="dxa"/>
            <w:vMerge w:val="restart"/>
            <w:tcBorders>
              <w:left w:val="single" w:sz="4" w:space="0" w:color="auto"/>
            </w:tcBorders>
            <w:shd w:val="clear" w:color="auto" w:fill="auto"/>
            <w:vAlign w:val="center"/>
            <w:hideMark/>
          </w:tcPr>
          <w:p w14:paraId="391FFEB2" w14:textId="77777777" w:rsidR="00CD5AB9" w:rsidRPr="001C54C6" w:rsidRDefault="00CD5AB9" w:rsidP="007A3BFF">
            <w:pPr>
              <w:spacing w:after="0" w:line="240" w:lineRule="auto"/>
              <w:jc w:val="center"/>
              <w:rPr>
                <w:rFonts w:ascii="Verdana" w:eastAsia="Times New Roman" w:hAnsi="Verdana" w:cs="Calibri"/>
                <w:b/>
                <w:bCs/>
                <w:kern w:val="0"/>
                <w:sz w:val="18"/>
                <w:szCs w:val="18"/>
                <w:lang w:eastAsia="es-CO"/>
                <w14:ligatures w14:val="none"/>
              </w:rPr>
            </w:pPr>
            <w:r w:rsidRPr="001C54C6">
              <w:rPr>
                <w:rFonts w:ascii="Verdana" w:eastAsia="Times New Roman" w:hAnsi="Verdana" w:cs="Calibri"/>
                <w:b/>
                <w:bCs/>
                <w:kern w:val="0"/>
                <w:sz w:val="18"/>
                <w:szCs w:val="18"/>
                <w:lang w:eastAsia="es-CO"/>
                <w14:ligatures w14:val="none"/>
              </w:rPr>
              <w:t>Apropiación Inicial</w:t>
            </w:r>
          </w:p>
        </w:tc>
        <w:tc>
          <w:tcPr>
            <w:tcW w:w="1468" w:type="dxa"/>
            <w:vMerge w:val="restart"/>
            <w:shd w:val="clear" w:color="auto" w:fill="auto"/>
            <w:vAlign w:val="center"/>
            <w:hideMark/>
          </w:tcPr>
          <w:p w14:paraId="1B7AC935" w14:textId="77777777" w:rsidR="00CD5AB9" w:rsidRPr="001C54C6" w:rsidRDefault="00CD5AB9" w:rsidP="007A3BFF">
            <w:pPr>
              <w:spacing w:after="0" w:line="240" w:lineRule="auto"/>
              <w:jc w:val="center"/>
              <w:rPr>
                <w:rFonts w:ascii="Verdana" w:eastAsia="Times New Roman" w:hAnsi="Verdana" w:cs="Calibri"/>
                <w:b/>
                <w:bCs/>
                <w:kern w:val="0"/>
                <w:sz w:val="18"/>
                <w:szCs w:val="18"/>
                <w:lang w:eastAsia="es-CO"/>
                <w14:ligatures w14:val="none"/>
              </w:rPr>
            </w:pPr>
            <w:r w:rsidRPr="001C54C6">
              <w:rPr>
                <w:rFonts w:ascii="Verdana" w:eastAsia="Times New Roman" w:hAnsi="Verdana" w:cs="Calibri"/>
                <w:b/>
                <w:bCs/>
                <w:kern w:val="0"/>
                <w:sz w:val="18"/>
                <w:szCs w:val="18"/>
                <w:lang w:eastAsia="es-CO"/>
                <w14:ligatures w14:val="none"/>
              </w:rPr>
              <w:t>Apropiación Vigente</w:t>
            </w:r>
          </w:p>
        </w:tc>
        <w:tc>
          <w:tcPr>
            <w:tcW w:w="1159" w:type="dxa"/>
            <w:vMerge w:val="restart"/>
            <w:shd w:val="clear" w:color="auto" w:fill="auto"/>
            <w:vAlign w:val="center"/>
            <w:hideMark/>
          </w:tcPr>
          <w:p w14:paraId="5085C83A" w14:textId="77777777" w:rsidR="00CD5AB9" w:rsidRPr="001C54C6" w:rsidRDefault="00CD5AB9" w:rsidP="007A3BFF">
            <w:pPr>
              <w:spacing w:after="0" w:line="240" w:lineRule="auto"/>
              <w:jc w:val="center"/>
              <w:rPr>
                <w:rFonts w:ascii="Verdana" w:eastAsia="Times New Roman" w:hAnsi="Verdana" w:cs="Calibri"/>
                <w:b/>
                <w:bCs/>
                <w:kern w:val="0"/>
                <w:sz w:val="18"/>
                <w:szCs w:val="18"/>
                <w:lang w:eastAsia="es-CO"/>
                <w14:ligatures w14:val="none"/>
              </w:rPr>
            </w:pPr>
            <w:r w:rsidRPr="001C54C6">
              <w:rPr>
                <w:rFonts w:ascii="Verdana" w:eastAsia="Times New Roman" w:hAnsi="Verdana" w:cs="Calibri"/>
                <w:b/>
                <w:bCs/>
                <w:kern w:val="0"/>
                <w:sz w:val="18"/>
                <w:szCs w:val="18"/>
                <w:lang w:eastAsia="es-CO"/>
                <w14:ligatures w14:val="none"/>
              </w:rPr>
              <w:t>%Participación</w:t>
            </w:r>
          </w:p>
        </w:tc>
        <w:tc>
          <w:tcPr>
            <w:tcW w:w="2744" w:type="dxa"/>
            <w:gridSpan w:val="2"/>
            <w:shd w:val="clear" w:color="auto" w:fill="auto"/>
            <w:vAlign w:val="center"/>
            <w:hideMark/>
          </w:tcPr>
          <w:p w14:paraId="375F27F8" w14:textId="77777777" w:rsidR="00CD5AB9" w:rsidRPr="001C54C6" w:rsidRDefault="00CD5AB9" w:rsidP="007A3BFF">
            <w:pPr>
              <w:spacing w:after="0" w:line="240" w:lineRule="auto"/>
              <w:jc w:val="center"/>
              <w:rPr>
                <w:rFonts w:ascii="Verdana" w:eastAsia="Times New Roman" w:hAnsi="Verdana" w:cs="Calibri"/>
                <w:b/>
                <w:bCs/>
                <w:kern w:val="0"/>
                <w:sz w:val="18"/>
                <w:szCs w:val="18"/>
                <w:lang w:eastAsia="es-CO"/>
                <w14:ligatures w14:val="none"/>
              </w:rPr>
            </w:pPr>
            <w:r w:rsidRPr="001C54C6">
              <w:rPr>
                <w:rFonts w:ascii="Verdana" w:eastAsia="Times New Roman" w:hAnsi="Verdana" w:cs="Calibri"/>
                <w:b/>
                <w:bCs/>
                <w:kern w:val="0"/>
                <w:sz w:val="18"/>
                <w:szCs w:val="18"/>
                <w:lang w:eastAsia="es-CO"/>
                <w14:ligatures w14:val="none"/>
              </w:rPr>
              <w:t>Compromisos</w:t>
            </w:r>
          </w:p>
        </w:tc>
        <w:tc>
          <w:tcPr>
            <w:tcW w:w="2059" w:type="dxa"/>
            <w:gridSpan w:val="2"/>
            <w:shd w:val="clear" w:color="auto" w:fill="auto"/>
            <w:vAlign w:val="center"/>
            <w:hideMark/>
          </w:tcPr>
          <w:p w14:paraId="588D3932" w14:textId="77777777" w:rsidR="00CD5AB9" w:rsidRPr="001C54C6" w:rsidRDefault="00CD5AB9" w:rsidP="007A3BFF">
            <w:pPr>
              <w:spacing w:after="0" w:line="240" w:lineRule="auto"/>
              <w:jc w:val="center"/>
              <w:rPr>
                <w:rFonts w:ascii="Verdana" w:eastAsia="Times New Roman" w:hAnsi="Verdana" w:cs="Calibri"/>
                <w:b/>
                <w:bCs/>
                <w:kern w:val="0"/>
                <w:sz w:val="18"/>
                <w:szCs w:val="18"/>
                <w:lang w:eastAsia="es-CO"/>
                <w14:ligatures w14:val="none"/>
              </w:rPr>
            </w:pPr>
            <w:r w:rsidRPr="001C54C6">
              <w:rPr>
                <w:rFonts w:ascii="Verdana" w:eastAsia="Times New Roman" w:hAnsi="Verdana" w:cs="Calibri"/>
                <w:b/>
                <w:bCs/>
                <w:kern w:val="0"/>
                <w:sz w:val="18"/>
                <w:szCs w:val="18"/>
                <w:lang w:eastAsia="es-CO"/>
                <w14:ligatures w14:val="none"/>
              </w:rPr>
              <w:t>Obligaciones</w:t>
            </w:r>
          </w:p>
        </w:tc>
      </w:tr>
      <w:tr w:rsidR="00CD5AB9" w:rsidRPr="001C54C6" w14:paraId="57FF37F4" w14:textId="77777777" w:rsidTr="007A3BFF">
        <w:trPr>
          <w:trHeight w:val="240"/>
          <w:jc w:val="center"/>
        </w:trPr>
        <w:tc>
          <w:tcPr>
            <w:tcW w:w="1717" w:type="dxa"/>
            <w:vMerge/>
            <w:tcBorders>
              <w:top w:val="nil"/>
              <w:left w:val="nil"/>
              <w:bottom w:val="single" w:sz="4" w:space="0" w:color="auto"/>
              <w:right w:val="single" w:sz="4" w:space="0" w:color="auto"/>
            </w:tcBorders>
            <w:vAlign w:val="center"/>
            <w:hideMark/>
          </w:tcPr>
          <w:p w14:paraId="4B54848C" w14:textId="77777777" w:rsidR="00CD5AB9" w:rsidRPr="001C54C6" w:rsidRDefault="00CD5AB9" w:rsidP="007A3BFF">
            <w:pPr>
              <w:spacing w:after="0" w:line="240" w:lineRule="auto"/>
              <w:jc w:val="center"/>
              <w:rPr>
                <w:rFonts w:ascii="Verdana" w:eastAsia="Times New Roman" w:hAnsi="Verdana" w:cs="Calibri"/>
                <w:color w:val="000000"/>
                <w:kern w:val="0"/>
                <w:sz w:val="18"/>
                <w:szCs w:val="18"/>
                <w:lang w:eastAsia="es-CO"/>
                <w14:ligatures w14:val="none"/>
              </w:rPr>
            </w:pPr>
          </w:p>
        </w:tc>
        <w:tc>
          <w:tcPr>
            <w:tcW w:w="1468" w:type="dxa"/>
            <w:vMerge/>
            <w:tcBorders>
              <w:left w:val="single" w:sz="4" w:space="0" w:color="auto"/>
            </w:tcBorders>
            <w:shd w:val="clear" w:color="auto" w:fill="auto"/>
            <w:vAlign w:val="center"/>
            <w:hideMark/>
          </w:tcPr>
          <w:p w14:paraId="046DCA0D" w14:textId="77777777" w:rsidR="00CD5AB9" w:rsidRPr="001C54C6" w:rsidRDefault="00CD5AB9" w:rsidP="007A3BFF">
            <w:pPr>
              <w:spacing w:after="0" w:line="240" w:lineRule="auto"/>
              <w:jc w:val="center"/>
              <w:rPr>
                <w:rFonts w:ascii="Verdana" w:eastAsia="Times New Roman" w:hAnsi="Verdana" w:cs="Calibri"/>
                <w:kern w:val="0"/>
                <w:sz w:val="18"/>
                <w:szCs w:val="18"/>
                <w:lang w:eastAsia="es-CO"/>
                <w14:ligatures w14:val="none"/>
              </w:rPr>
            </w:pPr>
          </w:p>
        </w:tc>
        <w:tc>
          <w:tcPr>
            <w:tcW w:w="1468" w:type="dxa"/>
            <w:vMerge/>
            <w:shd w:val="clear" w:color="auto" w:fill="auto"/>
            <w:vAlign w:val="center"/>
            <w:hideMark/>
          </w:tcPr>
          <w:p w14:paraId="02ED0A60" w14:textId="77777777" w:rsidR="00CD5AB9" w:rsidRPr="001C54C6" w:rsidRDefault="00CD5AB9" w:rsidP="007A3BFF">
            <w:pPr>
              <w:spacing w:after="0" w:line="240" w:lineRule="auto"/>
              <w:jc w:val="center"/>
              <w:rPr>
                <w:rFonts w:ascii="Verdana" w:eastAsia="Times New Roman" w:hAnsi="Verdana" w:cs="Calibri"/>
                <w:kern w:val="0"/>
                <w:sz w:val="18"/>
                <w:szCs w:val="18"/>
                <w:lang w:eastAsia="es-CO"/>
                <w14:ligatures w14:val="none"/>
              </w:rPr>
            </w:pPr>
          </w:p>
        </w:tc>
        <w:tc>
          <w:tcPr>
            <w:tcW w:w="1159" w:type="dxa"/>
            <w:vMerge/>
            <w:shd w:val="clear" w:color="auto" w:fill="auto"/>
            <w:vAlign w:val="center"/>
            <w:hideMark/>
          </w:tcPr>
          <w:p w14:paraId="5AB3BA73" w14:textId="77777777" w:rsidR="00CD5AB9" w:rsidRPr="001C54C6" w:rsidRDefault="00CD5AB9" w:rsidP="007A3BFF">
            <w:pPr>
              <w:spacing w:after="0" w:line="240" w:lineRule="auto"/>
              <w:jc w:val="center"/>
              <w:rPr>
                <w:rFonts w:ascii="Verdana" w:eastAsia="Times New Roman" w:hAnsi="Verdana" w:cs="Calibri"/>
                <w:kern w:val="0"/>
                <w:sz w:val="18"/>
                <w:szCs w:val="18"/>
                <w:lang w:eastAsia="es-CO"/>
                <w14:ligatures w14:val="none"/>
              </w:rPr>
            </w:pPr>
          </w:p>
        </w:tc>
        <w:tc>
          <w:tcPr>
            <w:tcW w:w="1814" w:type="dxa"/>
            <w:shd w:val="clear" w:color="auto" w:fill="auto"/>
            <w:vAlign w:val="center"/>
            <w:hideMark/>
          </w:tcPr>
          <w:p w14:paraId="3C04A2C0" w14:textId="77777777" w:rsidR="00CD5AB9" w:rsidRPr="001C54C6" w:rsidRDefault="00CD5AB9" w:rsidP="007A3BFF">
            <w:pPr>
              <w:spacing w:after="0" w:line="240" w:lineRule="auto"/>
              <w:jc w:val="center"/>
              <w:rPr>
                <w:rFonts w:ascii="Verdana" w:eastAsia="Times New Roman" w:hAnsi="Verdana" w:cs="Calibri"/>
                <w:b/>
                <w:bCs/>
                <w:kern w:val="0"/>
                <w:sz w:val="18"/>
                <w:szCs w:val="18"/>
                <w:lang w:eastAsia="es-CO"/>
                <w14:ligatures w14:val="none"/>
              </w:rPr>
            </w:pPr>
            <w:r w:rsidRPr="001C54C6">
              <w:rPr>
                <w:rFonts w:ascii="Verdana" w:eastAsia="Times New Roman" w:hAnsi="Verdana" w:cs="Calibri"/>
                <w:b/>
                <w:bCs/>
                <w:kern w:val="0"/>
                <w:sz w:val="18"/>
                <w:szCs w:val="18"/>
                <w:lang w:eastAsia="es-CO"/>
                <w14:ligatures w14:val="none"/>
              </w:rPr>
              <w:t>Valor</w:t>
            </w:r>
          </w:p>
        </w:tc>
        <w:tc>
          <w:tcPr>
            <w:tcW w:w="930" w:type="dxa"/>
            <w:shd w:val="clear" w:color="auto" w:fill="auto"/>
            <w:vAlign w:val="center"/>
            <w:hideMark/>
          </w:tcPr>
          <w:p w14:paraId="18E4697B" w14:textId="77777777" w:rsidR="00CD5AB9" w:rsidRPr="001C54C6" w:rsidRDefault="00CD5AB9" w:rsidP="007A3BFF">
            <w:pPr>
              <w:spacing w:after="0" w:line="240" w:lineRule="auto"/>
              <w:jc w:val="center"/>
              <w:rPr>
                <w:rFonts w:ascii="Verdana" w:eastAsia="Times New Roman" w:hAnsi="Verdana" w:cs="Calibri"/>
                <w:b/>
                <w:bCs/>
                <w:kern w:val="0"/>
                <w:sz w:val="18"/>
                <w:szCs w:val="18"/>
                <w:lang w:eastAsia="es-CO"/>
                <w14:ligatures w14:val="none"/>
              </w:rPr>
            </w:pPr>
            <w:r w:rsidRPr="001C54C6">
              <w:rPr>
                <w:rFonts w:ascii="Verdana" w:eastAsia="Times New Roman" w:hAnsi="Verdana" w:cs="Calibri"/>
                <w:b/>
                <w:bCs/>
                <w:kern w:val="0"/>
                <w:sz w:val="18"/>
                <w:szCs w:val="18"/>
                <w:lang w:eastAsia="es-CO"/>
                <w14:ligatures w14:val="none"/>
              </w:rPr>
              <w:t>%</w:t>
            </w:r>
          </w:p>
        </w:tc>
        <w:tc>
          <w:tcPr>
            <w:tcW w:w="1129" w:type="dxa"/>
            <w:shd w:val="clear" w:color="auto" w:fill="auto"/>
            <w:vAlign w:val="center"/>
            <w:hideMark/>
          </w:tcPr>
          <w:p w14:paraId="0DAF6356" w14:textId="77777777" w:rsidR="00CD5AB9" w:rsidRPr="001C54C6" w:rsidRDefault="00CD5AB9" w:rsidP="007A3BFF">
            <w:pPr>
              <w:spacing w:after="0" w:line="240" w:lineRule="auto"/>
              <w:jc w:val="center"/>
              <w:rPr>
                <w:rFonts w:ascii="Verdana" w:eastAsia="Times New Roman" w:hAnsi="Verdana" w:cs="Calibri"/>
                <w:b/>
                <w:bCs/>
                <w:kern w:val="0"/>
                <w:sz w:val="18"/>
                <w:szCs w:val="18"/>
                <w:lang w:eastAsia="es-CO"/>
                <w14:ligatures w14:val="none"/>
              </w:rPr>
            </w:pPr>
            <w:r w:rsidRPr="001C54C6">
              <w:rPr>
                <w:rFonts w:ascii="Verdana" w:eastAsia="Times New Roman" w:hAnsi="Verdana" w:cs="Calibri"/>
                <w:b/>
                <w:bCs/>
                <w:kern w:val="0"/>
                <w:sz w:val="18"/>
                <w:szCs w:val="18"/>
                <w:lang w:eastAsia="es-CO"/>
                <w14:ligatures w14:val="none"/>
              </w:rPr>
              <w:t>Valor</w:t>
            </w:r>
          </w:p>
        </w:tc>
        <w:tc>
          <w:tcPr>
            <w:tcW w:w="930" w:type="dxa"/>
            <w:shd w:val="clear" w:color="auto" w:fill="auto"/>
            <w:vAlign w:val="center"/>
            <w:hideMark/>
          </w:tcPr>
          <w:p w14:paraId="1C8290F1" w14:textId="77777777" w:rsidR="00CD5AB9" w:rsidRPr="001C54C6" w:rsidRDefault="00CD5AB9" w:rsidP="007A3BFF">
            <w:pPr>
              <w:spacing w:after="0" w:line="240" w:lineRule="auto"/>
              <w:jc w:val="center"/>
              <w:rPr>
                <w:rFonts w:ascii="Verdana" w:eastAsia="Times New Roman" w:hAnsi="Verdana" w:cs="Calibri"/>
                <w:b/>
                <w:bCs/>
                <w:kern w:val="0"/>
                <w:sz w:val="18"/>
                <w:szCs w:val="18"/>
                <w:lang w:eastAsia="es-CO"/>
                <w14:ligatures w14:val="none"/>
              </w:rPr>
            </w:pPr>
            <w:r w:rsidRPr="001C54C6">
              <w:rPr>
                <w:rFonts w:ascii="Verdana" w:eastAsia="Times New Roman" w:hAnsi="Verdana" w:cs="Calibri"/>
                <w:b/>
                <w:bCs/>
                <w:kern w:val="0"/>
                <w:sz w:val="18"/>
                <w:szCs w:val="18"/>
                <w:lang w:eastAsia="es-CO"/>
                <w14:ligatures w14:val="none"/>
              </w:rPr>
              <w:t>%</w:t>
            </w:r>
          </w:p>
        </w:tc>
      </w:tr>
      <w:tr w:rsidR="00CD5AB9" w:rsidRPr="001C54C6" w14:paraId="38ACA698" w14:textId="77777777" w:rsidTr="007A3BFF">
        <w:trPr>
          <w:trHeight w:val="630"/>
          <w:jc w:val="center"/>
        </w:trPr>
        <w:tc>
          <w:tcPr>
            <w:tcW w:w="1717" w:type="dxa"/>
            <w:tcBorders>
              <w:top w:val="single" w:sz="4" w:space="0" w:color="auto"/>
            </w:tcBorders>
            <w:shd w:val="clear" w:color="auto" w:fill="auto"/>
            <w:vAlign w:val="center"/>
            <w:hideMark/>
          </w:tcPr>
          <w:p w14:paraId="751273A3" w14:textId="77777777" w:rsidR="00CD5AB9" w:rsidRPr="001C54C6" w:rsidRDefault="00CD5AB9" w:rsidP="007A3BFF">
            <w:pPr>
              <w:spacing w:after="0" w:line="240" w:lineRule="auto"/>
              <w:jc w:val="center"/>
              <w:rPr>
                <w:rFonts w:ascii="Verdana" w:eastAsia="Times New Roman" w:hAnsi="Verdana" w:cs="Calibri"/>
                <w:color w:val="000000"/>
                <w:kern w:val="0"/>
                <w:sz w:val="18"/>
                <w:szCs w:val="18"/>
                <w:lang w:eastAsia="es-CO"/>
                <w14:ligatures w14:val="none"/>
              </w:rPr>
            </w:pPr>
            <w:r w:rsidRPr="001C54C6">
              <w:rPr>
                <w:rFonts w:ascii="Verdana" w:eastAsia="Times New Roman" w:hAnsi="Verdana" w:cs="Calibri"/>
                <w:color w:val="000000"/>
                <w:kern w:val="0"/>
                <w:sz w:val="18"/>
                <w:szCs w:val="18"/>
                <w:lang w:eastAsia="es-CO"/>
                <w14:ligatures w14:val="none"/>
              </w:rPr>
              <w:t>Funcionamiento</w:t>
            </w:r>
          </w:p>
        </w:tc>
        <w:tc>
          <w:tcPr>
            <w:tcW w:w="1468" w:type="dxa"/>
            <w:shd w:val="clear" w:color="auto" w:fill="auto"/>
            <w:vAlign w:val="center"/>
            <w:hideMark/>
          </w:tcPr>
          <w:p w14:paraId="5FEB38E9" w14:textId="77777777" w:rsidR="00CD5AB9" w:rsidRPr="001C54C6" w:rsidRDefault="00CD5AB9" w:rsidP="007A3BFF">
            <w:pPr>
              <w:spacing w:after="0" w:line="240" w:lineRule="auto"/>
              <w:jc w:val="center"/>
              <w:rPr>
                <w:rFonts w:ascii="Verdana" w:eastAsia="Times New Roman" w:hAnsi="Verdana" w:cs="Calibri"/>
                <w:color w:val="000000"/>
                <w:kern w:val="0"/>
                <w:sz w:val="18"/>
                <w:szCs w:val="18"/>
                <w:lang w:eastAsia="es-CO"/>
                <w14:ligatures w14:val="none"/>
              </w:rPr>
            </w:pPr>
            <w:r w:rsidRPr="001C54C6">
              <w:rPr>
                <w:rFonts w:ascii="Verdana" w:eastAsia="Times New Roman" w:hAnsi="Verdana" w:cs="Calibri"/>
                <w:color w:val="000000"/>
                <w:kern w:val="0"/>
                <w:sz w:val="18"/>
                <w:szCs w:val="18"/>
                <w:lang w:eastAsia="es-CO"/>
                <w14:ligatures w14:val="none"/>
              </w:rPr>
              <w:t>20.</w:t>
            </w:r>
            <w:r>
              <w:rPr>
                <w:rFonts w:ascii="Verdana" w:eastAsia="Times New Roman" w:hAnsi="Verdana" w:cs="Calibri"/>
                <w:color w:val="000000"/>
                <w:kern w:val="0"/>
                <w:sz w:val="18"/>
                <w:szCs w:val="18"/>
                <w:lang w:eastAsia="es-CO"/>
                <w14:ligatures w14:val="none"/>
              </w:rPr>
              <w:t>804,0</w:t>
            </w:r>
          </w:p>
        </w:tc>
        <w:tc>
          <w:tcPr>
            <w:tcW w:w="1468" w:type="dxa"/>
            <w:shd w:val="clear" w:color="auto" w:fill="auto"/>
            <w:vAlign w:val="center"/>
            <w:hideMark/>
          </w:tcPr>
          <w:p w14:paraId="5DF336DB" w14:textId="77777777" w:rsidR="00CD5AB9" w:rsidRPr="001C54C6" w:rsidRDefault="00CD5AB9" w:rsidP="007A3BFF">
            <w:pPr>
              <w:spacing w:after="0" w:line="240" w:lineRule="auto"/>
              <w:jc w:val="center"/>
              <w:rPr>
                <w:rFonts w:ascii="Verdana" w:eastAsia="Times New Roman" w:hAnsi="Verdana" w:cs="Calibri"/>
                <w:color w:val="000000"/>
                <w:kern w:val="0"/>
                <w:sz w:val="18"/>
                <w:szCs w:val="18"/>
                <w:lang w:eastAsia="es-CO"/>
                <w14:ligatures w14:val="none"/>
              </w:rPr>
            </w:pPr>
            <w:r w:rsidRPr="00284665">
              <w:rPr>
                <w:rFonts w:ascii="Verdana" w:eastAsia="Times New Roman" w:hAnsi="Verdana" w:cs="Calibri"/>
                <w:color w:val="000000"/>
                <w:kern w:val="0"/>
                <w:sz w:val="18"/>
                <w:szCs w:val="18"/>
                <w:lang w:eastAsia="es-CO"/>
                <w14:ligatures w14:val="none"/>
              </w:rPr>
              <w:t>22.454,0</w:t>
            </w:r>
          </w:p>
        </w:tc>
        <w:tc>
          <w:tcPr>
            <w:tcW w:w="1159" w:type="dxa"/>
            <w:shd w:val="clear" w:color="auto" w:fill="auto"/>
            <w:vAlign w:val="center"/>
            <w:hideMark/>
          </w:tcPr>
          <w:p w14:paraId="568C6532" w14:textId="77777777" w:rsidR="00CD5AB9" w:rsidRPr="001C54C6" w:rsidRDefault="00CD5AB9" w:rsidP="007A3BFF">
            <w:pPr>
              <w:spacing w:after="0" w:line="240" w:lineRule="auto"/>
              <w:jc w:val="center"/>
              <w:rPr>
                <w:rFonts w:ascii="Verdana" w:eastAsia="Times New Roman" w:hAnsi="Verdana" w:cs="Calibri"/>
                <w:color w:val="000000"/>
                <w:kern w:val="0"/>
                <w:sz w:val="18"/>
                <w:szCs w:val="18"/>
                <w:lang w:eastAsia="es-CO"/>
                <w14:ligatures w14:val="none"/>
              </w:rPr>
            </w:pPr>
            <w:r w:rsidRPr="001C54C6">
              <w:rPr>
                <w:rFonts w:ascii="Verdana" w:eastAsia="Times New Roman" w:hAnsi="Verdana" w:cs="Calibri"/>
                <w:color w:val="000000"/>
                <w:kern w:val="0"/>
                <w:sz w:val="18"/>
                <w:szCs w:val="18"/>
                <w:lang w:eastAsia="es-CO"/>
                <w14:ligatures w14:val="none"/>
              </w:rPr>
              <w:t>92,</w:t>
            </w:r>
            <w:r>
              <w:rPr>
                <w:rFonts w:ascii="Verdana" w:eastAsia="Times New Roman" w:hAnsi="Verdana" w:cs="Calibri"/>
                <w:color w:val="000000"/>
                <w:kern w:val="0"/>
                <w:sz w:val="18"/>
                <w:szCs w:val="18"/>
                <w:lang w:eastAsia="es-CO"/>
                <w14:ligatures w14:val="none"/>
              </w:rPr>
              <w:t>6</w:t>
            </w:r>
            <w:r w:rsidRPr="001C54C6">
              <w:rPr>
                <w:rFonts w:ascii="Verdana" w:eastAsia="Times New Roman" w:hAnsi="Verdana" w:cs="Calibri"/>
                <w:color w:val="000000"/>
                <w:kern w:val="0"/>
                <w:sz w:val="18"/>
                <w:szCs w:val="18"/>
                <w:lang w:eastAsia="es-CO"/>
                <w14:ligatures w14:val="none"/>
              </w:rPr>
              <w:t>%</w:t>
            </w:r>
          </w:p>
        </w:tc>
        <w:tc>
          <w:tcPr>
            <w:tcW w:w="1814" w:type="dxa"/>
            <w:shd w:val="clear" w:color="auto" w:fill="auto"/>
            <w:vAlign w:val="center"/>
            <w:hideMark/>
          </w:tcPr>
          <w:p w14:paraId="63130FBF" w14:textId="77777777" w:rsidR="00CD5AB9" w:rsidRPr="001C54C6" w:rsidRDefault="00CD5AB9" w:rsidP="007A3BFF">
            <w:pPr>
              <w:spacing w:after="0" w:line="240" w:lineRule="auto"/>
              <w:jc w:val="center"/>
              <w:rPr>
                <w:rFonts w:ascii="Verdana" w:eastAsia="Times New Roman" w:hAnsi="Verdana" w:cs="Calibri"/>
                <w:color w:val="000000"/>
                <w:kern w:val="0"/>
                <w:sz w:val="18"/>
                <w:szCs w:val="18"/>
                <w:lang w:eastAsia="es-CO"/>
                <w14:ligatures w14:val="none"/>
              </w:rPr>
            </w:pPr>
            <w:r w:rsidRPr="001C54C6">
              <w:rPr>
                <w:rFonts w:ascii="Verdana" w:eastAsia="Times New Roman" w:hAnsi="Verdana" w:cs="Calibri"/>
                <w:color w:val="000000"/>
                <w:kern w:val="0"/>
                <w:sz w:val="18"/>
                <w:szCs w:val="18"/>
                <w:lang w:eastAsia="es-CO"/>
                <w14:ligatures w14:val="none"/>
              </w:rPr>
              <w:t>2</w:t>
            </w:r>
            <w:r>
              <w:rPr>
                <w:rFonts w:ascii="Verdana" w:eastAsia="Times New Roman" w:hAnsi="Verdana" w:cs="Calibri"/>
                <w:color w:val="000000"/>
                <w:kern w:val="0"/>
                <w:sz w:val="18"/>
                <w:szCs w:val="18"/>
                <w:lang w:eastAsia="es-CO"/>
                <w14:ligatures w14:val="none"/>
              </w:rPr>
              <w:t>2</w:t>
            </w:r>
            <w:r w:rsidRPr="001C54C6">
              <w:rPr>
                <w:rFonts w:ascii="Verdana" w:eastAsia="Times New Roman" w:hAnsi="Verdana" w:cs="Calibri"/>
                <w:color w:val="000000"/>
                <w:kern w:val="0"/>
                <w:sz w:val="18"/>
                <w:szCs w:val="18"/>
                <w:lang w:eastAsia="es-CO"/>
                <w14:ligatures w14:val="none"/>
              </w:rPr>
              <w:t>.</w:t>
            </w:r>
            <w:r>
              <w:rPr>
                <w:rFonts w:ascii="Verdana" w:eastAsia="Times New Roman" w:hAnsi="Verdana" w:cs="Calibri"/>
                <w:color w:val="000000"/>
                <w:kern w:val="0"/>
                <w:sz w:val="18"/>
                <w:szCs w:val="18"/>
                <w:lang w:eastAsia="es-CO"/>
                <w14:ligatures w14:val="none"/>
              </w:rPr>
              <w:t>036</w:t>
            </w:r>
            <w:r w:rsidRPr="001C54C6">
              <w:rPr>
                <w:rFonts w:ascii="Verdana" w:eastAsia="Times New Roman" w:hAnsi="Verdana" w:cs="Calibri"/>
                <w:color w:val="000000"/>
                <w:kern w:val="0"/>
                <w:sz w:val="18"/>
                <w:szCs w:val="18"/>
                <w:lang w:eastAsia="es-CO"/>
                <w14:ligatures w14:val="none"/>
              </w:rPr>
              <w:t>,</w:t>
            </w:r>
            <w:r>
              <w:rPr>
                <w:rFonts w:ascii="Verdana" w:eastAsia="Times New Roman" w:hAnsi="Verdana" w:cs="Calibri"/>
                <w:color w:val="000000"/>
                <w:kern w:val="0"/>
                <w:sz w:val="18"/>
                <w:szCs w:val="18"/>
                <w:lang w:eastAsia="es-CO"/>
                <w14:ligatures w14:val="none"/>
              </w:rPr>
              <w:t>0</w:t>
            </w:r>
          </w:p>
        </w:tc>
        <w:tc>
          <w:tcPr>
            <w:tcW w:w="930" w:type="dxa"/>
            <w:shd w:val="clear" w:color="auto" w:fill="auto"/>
            <w:vAlign w:val="center"/>
            <w:hideMark/>
          </w:tcPr>
          <w:p w14:paraId="6D4FF165" w14:textId="77777777" w:rsidR="00CD5AB9" w:rsidRPr="001C54C6" w:rsidRDefault="00CD5AB9" w:rsidP="007A3BFF">
            <w:pPr>
              <w:spacing w:after="0" w:line="240" w:lineRule="auto"/>
              <w:jc w:val="center"/>
              <w:rPr>
                <w:rFonts w:ascii="Verdana" w:eastAsia="Times New Roman" w:hAnsi="Verdana" w:cs="Calibri"/>
                <w:color w:val="000000"/>
                <w:kern w:val="0"/>
                <w:sz w:val="18"/>
                <w:szCs w:val="18"/>
                <w:lang w:eastAsia="es-CO"/>
                <w14:ligatures w14:val="none"/>
              </w:rPr>
            </w:pPr>
            <w:r w:rsidRPr="001C54C6">
              <w:rPr>
                <w:rFonts w:ascii="Verdana" w:eastAsia="Times New Roman" w:hAnsi="Verdana" w:cs="Calibri"/>
                <w:color w:val="000000"/>
                <w:kern w:val="0"/>
                <w:sz w:val="18"/>
                <w:szCs w:val="18"/>
                <w:lang w:eastAsia="es-CO"/>
                <w14:ligatures w14:val="none"/>
              </w:rPr>
              <w:t>9</w:t>
            </w:r>
            <w:r>
              <w:rPr>
                <w:rFonts w:ascii="Verdana" w:eastAsia="Times New Roman" w:hAnsi="Verdana" w:cs="Calibri"/>
                <w:color w:val="000000"/>
                <w:kern w:val="0"/>
                <w:sz w:val="18"/>
                <w:szCs w:val="18"/>
                <w:lang w:eastAsia="es-CO"/>
                <w14:ligatures w14:val="none"/>
              </w:rPr>
              <w:t>8</w:t>
            </w:r>
            <w:r w:rsidRPr="001C54C6">
              <w:rPr>
                <w:rFonts w:ascii="Verdana" w:eastAsia="Times New Roman" w:hAnsi="Verdana" w:cs="Calibri"/>
                <w:color w:val="000000"/>
                <w:kern w:val="0"/>
                <w:sz w:val="18"/>
                <w:szCs w:val="18"/>
                <w:lang w:eastAsia="es-CO"/>
                <w14:ligatures w14:val="none"/>
              </w:rPr>
              <w:t>,</w:t>
            </w:r>
            <w:r>
              <w:rPr>
                <w:rFonts w:ascii="Verdana" w:eastAsia="Times New Roman" w:hAnsi="Verdana" w:cs="Calibri"/>
                <w:color w:val="000000"/>
                <w:kern w:val="0"/>
                <w:sz w:val="18"/>
                <w:szCs w:val="18"/>
                <w:lang w:eastAsia="es-CO"/>
                <w14:ligatures w14:val="none"/>
              </w:rPr>
              <w:t>1</w:t>
            </w:r>
            <w:r w:rsidRPr="001C54C6">
              <w:rPr>
                <w:rFonts w:ascii="Verdana" w:eastAsia="Times New Roman" w:hAnsi="Verdana" w:cs="Calibri"/>
                <w:color w:val="000000"/>
                <w:kern w:val="0"/>
                <w:sz w:val="18"/>
                <w:szCs w:val="18"/>
                <w:lang w:eastAsia="es-CO"/>
                <w14:ligatures w14:val="none"/>
              </w:rPr>
              <w:t>%</w:t>
            </w:r>
          </w:p>
        </w:tc>
        <w:tc>
          <w:tcPr>
            <w:tcW w:w="1129" w:type="dxa"/>
            <w:shd w:val="clear" w:color="auto" w:fill="auto"/>
            <w:vAlign w:val="center"/>
            <w:hideMark/>
          </w:tcPr>
          <w:p w14:paraId="2EEC95D2" w14:textId="77777777" w:rsidR="00CD5AB9" w:rsidRPr="001C54C6" w:rsidRDefault="00CD5AB9" w:rsidP="007A3BFF">
            <w:pPr>
              <w:spacing w:after="0" w:line="240" w:lineRule="auto"/>
              <w:jc w:val="center"/>
              <w:rPr>
                <w:rFonts w:ascii="Verdana" w:eastAsia="Times New Roman" w:hAnsi="Verdana" w:cs="Calibri"/>
                <w:color w:val="000000"/>
                <w:kern w:val="0"/>
                <w:sz w:val="18"/>
                <w:szCs w:val="18"/>
                <w:lang w:eastAsia="es-CO"/>
                <w14:ligatures w14:val="none"/>
              </w:rPr>
            </w:pPr>
            <w:r w:rsidRPr="001C54C6">
              <w:rPr>
                <w:rFonts w:ascii="Verdana" w:eastAsia="Times New Roman" w:hAnsi="Verdana" w:cs="Calibri"/>
                <w:color w:val="000000"/>
                <w:kern w:val="0"/>
                <w:sz w:val="18"/>
                <w:szCs w:val="18"/>
                <w:lang w:eastAsia="es-CO"/>
                <w14:ligatures w14:val="none"/>
              </w:rPr>
              <w:t>2</w:t>
            </w:r>
            <w:r>
              <w:rPr>
                <w:rFonts w:ascii="Verdana" w:eastAsia="Times New Roman" w:hAnsi="Verdana" w:cs="Calibri"/>
                <w:color w:val="000000"/>
                <w:kern w:val="0"/>
                <w:sz w:val="18"/>
                <w:szCs w:val="18"/>
                <w:lang w:eastAsia="es-CO"/>
                <w14:ligatures w14:val="none"/>
              </w:rPr>
              <w:t>2</w:t>
            </w:r>
            <w:r w:rsidRPr="001C54C6">
              <w:rPr>
                <w:rFonts w:ascii="Verdana" w:eastAsia="Times New Roman" w:hAnsi="Verdana" w:cs="Calibri"/>
                <w:color w:val="000000"/>
                <w:kern w:val="0"/>
                <w:sz w:val="18"/>
                <w:szCs w:val="18"/>
                <w:lang w:eastAsia="es-CO"/>
                <w14:ligatures w14:val="none"/>
              </w:rPr>
              <w:t>.</w:t>
            </w:r>
            <w:r>
              <w:rPr>
                <w:rFonts w:ascii="Verdana" w:eastAsia="Times New Roman" w:hAnsi="Verdana" w:cs="Calibri"/>
                <w:color w:val="000000"/>
                <w:kern w:val="0"/>
                <w:sz w:val="18"/>
                <w:szCs w:val="18"/>
                <w:lang w:eastAsia="es-CO"/>
                <w14:ligatures w14:val="none"/>
              </w:rPr>
              <w:t>005</w:t>
            </w:r>
            <w:r w:rsidRPr="001C54C6">
              <w:rPr>
                <w:rFonts w:ascii="Verdana" w:eastAsia="Times New Roman" w:hAnsi="Verdana" w:cs="Calibri"/>
                <w:color w:val="000000"/>
                <w:kern w:val="0"/>
                <w:sz w:val="18"/>
                <w:szCs w:val="18"/>
                <w:lang w:eastAsia="es-CO"/>
                <w14:ligatures w14:val="none"/>
              </w:rPr>
              <w:t>,</w:t>
            </w:r>
            <w:r>
              <w:rPr>
                <w:rFonts w:ascii="Verdana" w:eastAsia="Times New Roman" w:hAnsi="Verdana" w:cs="Calibri"/>
                <w:color w:val="000000"/>
                <w:kern w:val="0"/>
                <w:sz w:val="18"/>
                <w:szCs w:val="18"/>
                <w:lang w:eastAsia="es-CO"/>
                <w14:ligatures w14:val="none"/>
              </w:rPr>
              <w:t>3</w:t>
            </w:r>
          </w:p>
        </w:tc>
        <w:tc>
          <w:tcPr>
            <w:tcW w:w="930" w:type="dxa"/>
            <w:shd w:val="clear" w:color="auto" w:fill="auto"/>
            <w:vAlign w:val="center"/>
            <w:hideMark/>
          </w:tcPr>
          <w:p w14:paraId="453C62F2" w14:textId="77777777" w:rsidR="00CD5AB9" w:rsidRPr="001C54C6" w:rsidRDefault="00CD5AB9" w:rsidP="007A3BFF">
            <w:pPr>
              <w:spacing w:after="0" w:line="240" w:lineRule="auto"/>
              <w:jc w:val="center"/>
              <w:rPr>
                <w:rFonts w:ascii="Verdana" w:eastAsia="Times New Roman" w:hAnsi="Verdana" w:cs="Calibri"/>
                <w:color w:val="000000"/>
                <w:kern w:val="0"/>
                <w:sz w:val="18"/>
                <w:szCs w:val="18"/>
                <w:lang w:eastAsia="es-CO"/>
                <w14:ligatures w14:val="none"/>
              </w:rPr>
            </w:pPr>
            <w:r w:rsidRPr="001C54C6">
              <w:rPr>
                <w:rFonts w:ascii="Verdana" w:eastAsia="Times New Roman" w:hAnsi="Verdana" w:cs="Calibri"/>
                <w:color w:val="000000"/>
                <w:kern w:val="0"/>
                <w:sz w:val="18"/>
                <w:szCs w:val="18"/>
                <w:lang w:eastAsia="es-CO"/>
                <w14:ligatures w14:val="none"/>
              </w:rPr>
              <w:t>9</w:t>
            </w:r>
            <w:r>
              <w:rPr>
                <w:rFonts w:ascii="Verdana" w:eastAsia="Times New Roman" w:hAnsi="Verdana" w:cs="Calibri"/>
                <w:color w:val="000000"/>
                <w:kern w:val="0"/>
                <w:sz w:val="18"/>
                <w:szCs w:val="18"/>
                <w:lang w:eastAsia="es-CO"/>
                <w14:ligatures w14:val="none"/>
              </w:rPr>
              <w:t>8</w:t>
            </w:r>
            <w:r w:rsidRPr="001C54C6">
              <w:rPr>
                <w:rFonts w:ascii="Verdana" w:eastAsia="Times New Roman" w:hAnsi="Verdana" w:cs="Calibri"/>
                <w:color w:val="000000"/>
                <w:kern w:val="0"/>
                <w:sz w:val="18"/>
                <w:szCs w:val="18"/>
                <w:lang w:eastAsia="es-CO"/>
                <w14:ligatures w14:val="none"/>
              </w:rPr>
              <w:t>,0%</w:t>
            </w:r>
          </w:p>
        </w:tc>
      </w:tr>
      <w:tr w:rsidR="00CD5AB9" w:rsidRPr="001C54C6" w14:paraId="103D6BC9" w14:textId="77777777" w:rsidTr="007A3BFF">
        <w:trPr>
          <w:trHeight w:val="450"/>
          <w:jc w:val="center"/>
        </w:trPr>
        <w:tc>
          <w:tcPr>
            <w:tcW w:w="1717" w:type="dxa"/>
            <w:shd w:val="clear" w:color="auto" w:fill="auto"/>
            <w:vAlign w:val="center"/>
            <w:hideMark/>
          </w:tcPr>
          <w:p w14:paraId="527FF666" w14:textId="77777777" w:rsidR="00CD5AB9" w:rsidRPr="001C54C6" w:rsidRDefault="00CD5AB9" w:rsidP="007A3BFF">
            <w:pPr>
              <w:spacing w:after="0" w:line="240" w:lineRule="auto"/>
              <w:jc w:val="center"/>
              <w:rPr>
                <w:rFonts w:ascii="Verdana" w:eastAsia="Times New Roman" w:hAnsi="Verdana" w:cs="Calibri"/>
                <w:color w:val="000000"/>
                <w:kern w:val="0"/>
                <w:sz w:val="18"/>
                <w:szCs w:val="18"/>
                <w:lang w:eastAsia="es-CO"/>
                <w14:ligatures w14:val="none"/>
              </w:rPr>
            </w:pPr>
            <w:r w:rsidRPr="001C54C6">
              <w:rPr>
                <w:rFonts w:ascii="Verdana" w:eastAsia="Times New Roman" w:hAnsi="Verdana" w:cs="Calibri"/>
                <w:color w:val="000000"/>
                <w:kern w:val="0"/>
                <w:sz w:val="18"/>
                <w:szCs w:val="18"/>
                <w:lang w:eastAsia="es-CO"/>
                <w14:ligatures w14:val="none"/>
              </w:rPr>
              <w:t>Servicio De La Deuda Pública</w:t>
            </w:r>
          </w:p>
        </w:tc>
        <w:tc>
          <w:tcPr>
            <w:tcW w:w="1468" w:type="dxa"/>
            <w:shd w:val="clear" w:color="auto" w:fill="auto"/>
            <w:vAlign w:val="center"/>
            <w:hideMark/>
          </w:tcPr>
          <w:p w14:paraId="121C9773" w14:textId="77777777" w:rsidR="00CD5AB9" w:rsidRPr="001C54C6" w:rsidRDefault="00CD5AB9" w:rsidP="007A3BFF">
            <w:pPr>
              <w:spacing w:after="0" w:line="240" w:lineRule="auto"/>
              <w:jc w:val="center"/>
              <w:rPr>
                <w:rFonts w:ascii="Verdana" w:eastAsia="Times New Roman" w:hAnsi="Verdana" w:cs="Calibri"/>
                <w:color w:val="000000"/>
                <w:kern w:val="0"/>
                <w:sz w:val="18"/>
                <w:szCs w:val="18"/>
                <w:lang w:eastAsia="es-CO"/>
                <w14:ligatures w14:val="none"/>
              </w:rPr>
            </w:pPr>
            <w:r>
              <w:rPr>
                <w:rFonts w:ascii="Verdana" w:eastAsia="Times New Roman" w:hAnsi="Verdana" w:cs="Calibri"/>
                <w:color w:val="000000"/>
                <w:kern w:val="0"/>
                <w:sz w:val="18"/>
                <w:szCs w:val="18"/>
                <w:lang w:eastAsia="es-CO"/>
                <w14:ligatures w14:val="none"/>
              </w:rPr>
              <w:t>50</w:t>
            </w:r>
            <w:r w:rsidRPr="001C54C6">
              <w:rPr>
                <w:rFonts w:ascii="Verdana" w:eastAsia="Times New Roman" w:hAnsi="Verdana" w:cs="Calibri"/>
                <w:color w:val="000000"/>
                <w:kern w:val="0"/>
                <w:sz w:val="18"/>
                <w:szCs w:val="18"/>
                <w:lang w:eastAsia="es-CO"/>
                <w14:ligatures w14:val="none"/>
              </w:rPr>
              <w:t>,</w:t>
            </w:r>
            <w:r>
              <w:rPr>
                <w:rFonts w:ascii="Verdana" w:eastAsia="Times New Roman" w:hAnsi="Verdana" w:cs="Calibri"/>
                <w:color w:val="000000"/>
                <w:kern w:val="0"/>
                <w:sz w:val="18"/>
                <w:szCs w:val="18"/>
                <w:lang w:eastAsia="es-CO"/>
                <w14:ligatures w14:val="none"/>
              </w:rPr>
              <w:t>9</w:t>
            </w:r>
          </w:p>
        </w:tc>
        <w:tc>
          <w:tcPr>
            <w:tcW w:w="1468" w:type="dxa"/>
            <w:shd w:val="clear" w:color="auto" w:fill="auto"/>
            <w:vAlign w:val="center"/>
            <w:hideMark/>
          </w:tcPr>
          <w:p w14:paraId="6DEADBEF" w14:textId="77777777" w:rsidR="00CD5AB9" w:rsidRPr="001C54C6" w:rsidRDefault="00CD5AB9" w:rsidP="007A3BFF">
            <w:pPr>
              <w:spacing w:after="0" w:line="240" w:lineRule="auto"/>
              <w:jc w:val="center"/>
              <w:rPr>
                <w:rFonts w:ascii="Verdana" w:eastAsia="Times New Roman" w:hAnsi="Verdana" w:cs="Calibri"/>
                <w:color w:val="000000"/>
                <w:kern w:val="0"/>
                <w:sz w:val="18"/>
                <w:szCs w:val="18"/>
                <w:lang w:eastAsia="es-CO"/>
                <w14:ligatures w14:val="none"/>
              </w:rPr>
            </w:pPr>
            <w:r w:rsidRPr="00284665">
              <w:rPr>
                <w:rFonts w:ascii="Verdana" w:eastAsia="Times New Roman" w:hAnsi="Verdana" w:cs="Calibri"/>
                <w:color w:val="000000"/>
                <w:kern w:val="0"/>
                <w:sz w:val="18"/>
                <w:szCs w:val="18"/>
                <w:lang w:eastAsia="es-CO"/>
                <w14:ligatures w14:val="none"/>
              </w:rPr>
              <w:t>50,9</w:t>
            </w:r>
          </w:p>
        </w:tc>
        <w:tc>
          <w:tcPr>
            <w:tcW w:w="1159" w:type="dxa"/>
            <w:shd w:val="clear" w:color="auto" w:fill="auto"/>
            <w:vAlign w:val="center"/>
            <w:hideMark/>
          </w:tcPr>
          <w:p w14:paraId="660452C3" w14:textId="77777777" w:rsidR="00CD5AB9" w:rsidRPr="001C54C6" w:rsidRDefault="00CD5AB9" w:rsidP="007A3BFF">
            <w:pPr>
              <w:spacing w:after="0" w:line="240" w:lineRule="auto"/>
              <w:jc w:val="center"/>
              <w:rPr>
                <w:rFonts w:ascii="Verdana" w:eastAsia="Times New Roman" w:hAnsi="Verdana" w:cs="Calibri"/>
                <w:color w:val="000000"/>
                <w:kern w:val="0"/>
                <w:sz w:val="18"/>
                <w:szCs w:val="18"/>
                <w:lang w:eastAsia="es-CO"/>
                <w14:ligatures w14:val="none"/>
              </w:rPr>
            </w:pPr>
            <w:r w:rsidRPr="001C54C6">
              <w:rPr>
                <w:rFonts w:ascii="Verdana" w:eastAsia="Times New Roman" w:hAnsi="Verdana" w:cs="Calibri"/>
                <w:color w:val="000000"/>
                <w:kern w:val="0"/>
                <w:sz w:val="18"/>
                <w:szCs w:val="18"/>
                <w:lang w:eastAsia="es-CO"/>
                <w14:ligatures w14:val="none"/>
              </w:rPr>
              <w:t>0,</w:t>
            </w:r>
            <w:r>
              <w:rPr>
                <w:rFonts w:ascii="Verdana" w:eastAsia="Times New Roman" w:hAnsi="Verdana" w:cs="Calibri"/>
                <w:color w:val="000000"/>
                <w:kern w:val="0"/>
                <w:sz w:val="18"/>
                <w:szCs w:val="18"/>
                <w:lang w:eastAsia="es-CO"/>
                <w14:ligatures w14:val="none"/>
              </w:rPr>
              <w:t>2</w:t>
            </w:r>
            <w:r w:rsidRPr="001C54C6">
              <w:rPr>
                <w:rFonts w:ascii="Verdana" w:eastAsia="Times New Roman" w:hAnsi="Verdana" w:cs="Calibri"/>
                <w:color w:val="000000"/>
                <w:kern w:val="0"/>
                <w:sz w:val="18"/>
                <w:szCs w:val="18"/>
                <w:lang w:eastAsia="es-CO"/>
                <w14:ligatures w14:val="none"/>
              </w:rPr>
              <w:t>%</w:t>
            </w:r>
          </w:p>
        </w:tc>
        <w:tc>
          <w:tcPr>
            <w:tcW w:w="1814" w:type="dxa"/>
            <w:shd w:val="clear" w:color="auto" w:fill="auto"/>
            <w:vAlign w:val="center"/>
            <w:hideMark/>
          </w:tcPr>
          <w:p w14:paraId="4EE7F541" w14:textId="77777777" w:rsidR="00CD5AB9" w:rsidRPr="001C54C6" w:rsidRDefault="00CD5AB9" w:rsidP="007A3BFF">
            <w:pPr>
              <w:spacing w:after="0" w:line="240" w:lineRule="auto"/>
              <w:jc w:val="center"/>
              <w:rPr>
                <w:rFonts w:ascii="Verdana" w:eastAsia="Times New Roman" w:hAnsi="Verdana" w:cs="Calibri"/>
                <w:color w:val="000000"/>
                <w:kern w:val="0"/>
                <w:sz w:val="18"/>
                <w:szCs w:val="18"/>
                <w:lang w:eastAsia="es-CO"/>
                <w14:ligatures w14:val="none"/>
              </w:rPr>
            </w:pPr>
            <w:r>
              <w:rPr>
                <w:rFonts w:ascii="Verdana" w:eastAsia="Times New Roman" w:hAnsi="Verdana" w:cs="Calibri"/>
                <w:color w:val="000000"/>
                <w:kern w:val="0"/>
                <w:sz w:val="18"/>
                <w:szCs w:val="18"/>
                <w:lang w:eastAsia="es-CO"/>
                <w14:ligatures w14:val="none"/>
              </w:rPr>
              <w:t>50</w:t>
            </w:r>
            <w:r w:rsidRPr="001C54C6">
              <w:rPr>
                <w:rFonts w:ascii="Verdana" w:eastAsia="Times New Roman" w:hAnsi="Verdana" w:cs="Calibri"/>
                <w:color w:val="000000"/>
                <w:kern w:val="0"/>
                <w:sz w:val="18"/>
                <w:szCs w:val="18"/>
                <w:lang w:eastAsia="es-CO"/>
                <w14:ligatures w14:val="none"/>
              </w:rPr>
              <w:t>,</w:t>
            </w:r>
            <w:r>
              <w:rPr>
                <w:rFonts w:ascii="Verdana" w:eastAsia="Times New Roman" w:hAnsi="Verdana" w:cs="Calibri"/>
                <w:color w:val="000000"/>
                <w:kern w:val="0"/>
                <w:sz w:val="18"/>
                <w:szCs w:val="18"/>
                <w:lang w:eastAsia="es-CO"/>
                <w14:ligatures w14:val="none"/>
              </w:rPr>
              <w:t>9</w:t>
            </w:r>
          </w:p>
        </w:tc>
        <w:tc>
          <w:tcPr>
            <w:tcW w:w="930" w:type="dxa"/>
            <w:shd w:val="clear" w:color="auto" w:fill="auto"/>
            <w:vAlign w:val="center"/>
            <w:hideMark/>
          </w:tcPr>
          <w:p w14:paraId="33B8A677" w14:textId="77777777" w:rsidR="00CD5AB9" w:rsidRPr="001C54C6" w:rsidRDefault="00CD5AB9" w:rsidP="007A3BFF">
            <w:pPr>
              <w:spacing w:after="0" w:line="240" w:lineRule="auto"/>
              <w:jc w:val="center"/>
              <w:rPr>
                <w:rFonts w:ascii="Verdana" w:eastAsia="Times New Roman" w:hAnsi="Verdana" w:cs="Calibri"/>
                <w:color w:val="000000"/>
                <w:kern w:val="0"/>
                <w:sz w:val="18"/>
                <w:szCs w:val="18"/>
                <w:lang w:eastAsia="es-CO"/>
                <w14:ligatures w14:val="none"/>
              </w:rPr>
            </w:pPr>
            <w:r w:rsidRPr="001C54C6">
              <w:rPr>
                <w:rFonts w:ascii="Verdana" w:eastAsia="Times New Roman" w:hAnsi="Verdana" w:cs="Calibri"/>
                <w:color w:val="000000"/>
                <w:kern w:val="0"/>
                <w:sz w:val="18"/>
                <w:szCs w:val="18"/>
                <w:lang w:eastAsia="es-CO"/>
                <w14:ligatures w14:val="none"/>
              </w:rPr>
              <w:t>100,0%</w:t>
            </w:r>
          </w:p>
        </w:tc>
        <w:tc>
          <w:tcPr>
            <w:tcW w:w="1129" w:type="dxa"/>
            <w:shd w:val="clear" w:color="auto" w:fill="auto"/>
            <w:vAlign w:val="center"/>
            <w:hideMark/>
          </w:tcPr>
          <w:p w14:paraId="4DD6F3A1" w14:textId="77777777" w:rsidR="00CD5AB9" w:rsidRPr="001C54C6" w:rsidRDefault="00CD5AB9" w:rsidP="007A3BFF">
            <w:pPr>
              <w:spacing w:after="0" w:line="240" w:lineRule="auto"/>
              <w:jc w:val="center"/>
              <w:rPr>
                <w:rFonts w:ascii="Verdana" w:eastAsia="Times New Roman" w:hAnsi="Verdana" w:cs="Calibri"/>
                <w:color w:val="000000"/>
                <w:kern w:val="0"/>
                <w:sz w:val="18"/>
                <w:szCs w:val="18"/>
                <w:lang w:eastAsia="es-CO"/>
                <w14:ligatures w14:val="none"/>
              </w:rPr>
            </w:pPr>
            <w:r>
              <w:rPr>
                <w:rFonts w:ascii="Verdana" w:eastAsia="Times New Roman" w:hAnsi="Verdana" w:cs="Calibri"/>
                <w:color w:val="000000"/>
                <w:kern w:val="0"/>
                <w:sz w:val="18"/>
                <w:szCs w:val="18"/>
                <w:lang w:eastAsia="es-CO"/>
                <w14:ligatures w14:val="none"/>
              </w:rPr>
              <w:t>50</w:t>
            </w:r>
            <w:r w:rsidRPr="001C54C6">
              <w:rPr>
                <w:rFonts w:ascii="Verdana" w:eastAsia="Times New Roman" w:hAnsi="Verdana" w:cs="Calibri"/>
                <w:color w:val="000000"/>
                <w:kern w:val="0"/>
                <w:sz w:val="18"/>
                <w:szCs w:val="18"/>
                <w:lang w:eastAsia="es-CO"/>
                <w14:ligatures w14:val="none"/>
              </w:rPr>
              <w:t>,</w:t>
            </w:r>
            <w:r>
              <w:rPr>
                <w:rFonts w:ascii="Verdana" w:eastAsia="Times New Roman" w:hAnsi="Verdana" w:cs="Calibri"/>
                <w:color w:val="000000"/>
                <w:kern w:val="0"/>
                <w:sz w:val="18"/>
                <w:szCs w:val="18"/>
                <w:lang w:eastAsia="es-CO"/>
                <w14:ligatures w14:val="none"/>
              </w:rPr>
              <w:t>9</w:t>
            </w:r>
          </w:p>
        </w:tc>
        <w:tc>
          <w:tcPr>
            <w:tcW w:w="930" w:type="dxa"/>
            <w:shd w:val="clear" w:color="auto" w:fill="auto"/>
            <w:vAlign w:val="center"/>
            <w:hideMark/>
          </w:tcPr>
          <w:p w14:paraId="4A4D3D81" w14:textId="77777777" w:rsidR="00CD5AB9" w:rsidRPr="001C54C6" w:rsidRDefault="00CD5AB9" w:rsidP="007A3BFF">
            <w:pPr>
              <w:spacing w:after="0" w:line="240" w:lineRule="auto"/>
              <w:jc w:val="center"/>
              <w:rPr>
                <w:rFonts w:ascii="Verdana" w:eastAsia="Times New Roman" w:hAnsi="Verdana" w:cs="Calibri"/>
                <w:color w:val="000000"/>
                <w:kern w:val="0"/>
                <w:sz w:val="18"/>
                <w:szCs w:val="18"/>
                <w:lang w:eastAsia="es-CO"/>
                <w14:ligatures w14:val="none"/>
              </w:rPr>
            </w:pPr>
            <w:r w:rsidRPr="001C54C6">
              <w:rPr>
                <w:rFonts w:ascii="Verdana" w:eastAsia="Times New Roman" w:hAnsi="Verdana" w:cs="Calibri"/>
                <w:color w:val="000000"/>
                <w:kern w:val="0"/>
                <w:sz w:val="18"/>
                <w:szCs w:val="18"/>
                <w:lang w:eastAsia="es-CO"/>
                <w14:ligatures w14:val="none"/>
              </w:rPr>
              <w:t>100,0%</w:t>
            </w:r>
          </w:p>
        </w:tc>
      </w:tr>
      <w:tr w:rsidR="00CD5AB9" w:rsidRPr="001C54C6" w14:paraId="31FB16FA" w14:textId="77777777" w:rsidTr="007A3BFF">
        <w:trPr>
          <w:trHeight w:val="300"/>
          <w:jc w:val="center"/>
        </w:trPr>
        <w:tc>
          <w:tcPr>
            <w:tcW w:w="1717" w:type="dxa"/>
            <w:shd w:val="clear" w:color="auto" w:fill="auto"/>
            <w:vAlign w:val="center"/>
            <w:hideMark/>
          </w:tcPr>
          <w:p w14:paraId="1F5CC368" w14:textId="77777777" w:rsidR="00CD5AB9" w:rsidRPr="001C54C6" w:rsidRDefault="00CD5AB9" w:rsidP="007A3BFF">
            <w:pPr>
              <w:spacing w:after="0" w:line="240" w:lineRule="auto"/>
              <w:jc w:val="center"/>
              <w:rPr>
                <w:rFonts w:ascii="Verdana" w:eastAsia="Times New Roman" w:hAnsi="Verdana" w:cs="Calibri"/>
                <w:color w:val="000000"/>
                <w:kern w:val="0"/>
                <w:sz w:val="18"/>
                <w:szCs w:val="18"/>
                <w:lang w:eastAsia="es-CO"/>
                <w14:ligatures w14:val="none"/>
              </w:rPr>
            </w:pPr>
            <w:r w:rsidRPr="001C54C6">
              <w:rPr>
                <w:rFonts w:ascii="Verdana" w:eastAsia="Times New Roman" w:hAnsi="Verdana" w:cs="Calibri"/>
                <w:color w:val="000000"/>
                <w:kern w:val="0"/>
                <w:sz w:val="18"/>
                <w:szCs w:val="18"/>
                <w:lang w:eastAsia="es-CO"/>
                <w14:ligatures w14:val="none"/>
              </w:rPr>
              <w:t>Inversión</w:t>
            </w:r>
          </w:p>
        </w:tc>
        <w:tc>
          <w:tcPr>
            <w:tcW w:w="1468" w:type="dxa"/>
            <w:shd w:val="clear" w:color="auto" w:fill="auto"/>
            <w:vAlign w:val="center"/>
            <w:hideMark/>
          </w:tcPr>
          <w:p w14:paraId="44C127E6" w14:textId="77777777" w:rsidR="00CD5AB9" w:rsidRPr="001C54C6" w:rsidRDefault="00CD5AB9" w:rsidP="007A3BFF">
            <w:pPr>
              <w:spacing w:after="0" w:line="240" w:lineRule="auto"/>
              <w:jc w:val="center"/>
              <w:rPr>
                <w:rFonts w:ascii="Verdana" w:eastAsia="Times New Roman" w:hAnsi="Verdana" w:cs="Calibri"/>
                <w:color w:val="000000"/>
                <w:kern w:val="0"/>
                <w:sz w:val="18"/>
                <w:szCs w:val="18"/>
                <w:lang w:eastAsia="es-CO"/>
                <w14:ligatures w14:val="none"/>
              </w:rPr>
            </w:pPr>
            <w:r w:rsidRPr="001C54C6">
              <w:rPr>
                <w:rFonts w:ascii="Verdana" w:eastAsia="Times New Roman" w:hAnsi="Verdana" w:cs="Calibri"/>
                <w:color w:val="000000"/>
                <w:kern w:val="0"/>
                <w:sz w:val="18"/>
                <w:szCs w:val="18"/>
                <w:lang w:eastAsia="es-CO"/>
                <w14:ligatures w14:val="none"/>
              </w:rPr>
              <w:t>1.</w:t>
            </w:r>
            <w:r>
              <w:rPr>
                <w:rFonts w:ascii="Verdana" w:eastAsia="Times New Roman" w:hAnsi="Verdana" w:cs="Calibri"/>
                <w:color w:val="000000"/>
                <w:kern w:val="0"/>
                <w:sz w:val="18"/>
                <w:szCs w:val="18"/>
                <w:lang w:eastAsia="es-CO"/>
                <w14:ligatures w14:val="none"/>
              </w:rPr>
              <w:t>738</w:t>
            </w:r>
            <w:r w:rsidRPr="001C54C6">
              <w:rPr>
                <w:rFonts w:ascii="Verdana" w:eastAsia="Times New Roman" w:hAnsi="Verdana" w:cs="Calibri"/>
                <w:color w:val="000000"/>
                <w:kern w:val="0"/>
                <w:sz w:val="18"/>
                <w:szCs w:val="18"/>
                <w:lang w:eastAsia="es-CO"/>
                <w14:ligatures w14:val="none"/>
              </w:rPr>
              <w:t>,</w:t>
            </w:r>
            <w:r>
              <w:rPr>
                <w:rFonts w:ascii="Verdana" w:eastAsia="Times New Roman" w:hAnsi="Verdana" w:cs="Calibri"/>
                <w:color w:val="000000"/>
                <w:kern w:val="0"/>
                <w:sz w:val="18"/>
                <w:szCs w:val="18"/>
                <w:lang w:eastAsia="es-CO"/>
                <w14:ligatures w14:val="none"/>
              </w:rPr>
              <w:t>0</w:t>
            </w:r>
          </w:p>
        </w:tc>
        <w:tc>
          <w:tcPr>
            <w:tcW w:w="1468" w:type="dxa"/>
            <w:shd w:val="clear" w:color="auto" w:fill="auto"/>
            <w:vAlign w:val="center"/>
            <w:hideMark/>
          </w:tcPr>
          <w:p w14:paraId="41248875" w14:textId="77777777" w:rsidR="00CD5AB9" w:rsidRPr="001C54C6" w:rsidRDefault="00CD5AB9" w:rsidP="007A3BFF">
            <w:pPr>
              <w:spacing w:after="0" w:line="240" w:lineRule="auto"/>
              <w:jc w:val="center"/>
              <w:rPr>
                <w:rFonts w:ascii="Verdana" w:eastAsia="Times New Roman" w:hAnsi="Verdana" w:cs="Calibri"/>
                <w:color w:val="000000"/>
                <w:kern w:val="0"/>
                <w:sz w:val="18"/>
                <w:szCs w:val="18"/>
                <w:lang w:eastAsia="es-CO"/>
                <w14:ligatures w14:val="none"/>
              </w:rPr>
            </w:pPr>
            <w:r w:rsidRPr="001C54C6">
              <w:rPr>
                <w:rFonts w:ascii="Verdana" w:eastAsia="Times New Roman" w:hAnsi="Verdana" w:cs="Calibri"/>
                <w:color w:val="000000"/>
                <w:kern w:val="0"/>
                <w:sz w:val="18"/>
                <w:szCs w:val="18"/>
                <w:lang w:eastAsia="es-CO"/>
                <w14:ligatures w14:val="none"/>
              </w:rPr>
              <w:t>1.</w:t>
            </w:r>
            <w:r>
              <w:rPr>
                <w:rFonts w:ascii="Verdana" w:eastAsia="Times New Roman" w:hAnsi="Verdana" w:cs="Calibri"/>
                <w:color w:val="000000"/>
                <w:kern w:val="0"/>
                <w:sz w:val="18"/>
                <w:szCs w:val="18"/>
                <w:lang w:eastAsia="es-CO"/>
                <w14:ligatures w14:val="none"/>
              </w:rPr>
              <w:t>738</w:t>
            </w:r>
            <w:r w:rsidRPr="001C54C6">
              <w:rPr>
                <w:rFonts w:ascii="Verdana" w:eastAsia="Times New Roman" w:hAnsi="Verdana" w:cs="Calibri"/>
                <w:color w:val="000000"/>
                <w:kern w:val="0"/>
                <w:sz w:val="18"/>
                <w:szCs w:val="18"/>
                <w:lang w:eastAsia="es-CO"/>
                <w14:ligatures w14:val="none"/>
              </w:rPr>
              <w:t>,</w:t>
            </w:r>
            <w:r>
              <w:rPr>
                <w:rFonts w:ascii="Verdana" w:eastAsia="Times New Roman" w:hAnsi="Verdana" w:cs="Calibri"/>
                <w:color w:val="000000"/>
                <w:kern w:val="0"/>
                <w:sz w:val="18"/>
                <w:szCs w:val="18"/>
                <w:lang w:eastAsia="es-CO"/>
                <w14:ligatures w14:val="none"/>
              </w:rPr>
              <w:t>0</w:t>
            </w:r>
          </w:p>
        </w:tc>
        <w:tc>
          <w:tcPr>
            <w:tcW w:w="1159" w:type="dxa"/>
            <w:shd w:val="clear" w:color="auto" w:fill="auto"/>
            <w:vAlign w:val="center"/>
            <w:hideMark/>
          </w:tcPr>
          <w:p w14:paraId="3193CB8B" w14:textId="77777777" w:rsidR="00CD5AB9" w:rsidRPr="001C54C6" w:rsidRDefault="00CD5AB9" w:rsidP="007A3BFF">
            <w:pPr>
              <w:spacing w:after="0" w:line="240" w:lineRule="auto"/>
              <w:jc w:val="center"/>
              <w:rPr>
                <w:rFonts w:ascii="Verdana" w:eastAsia="Times New Roman" w:hAnsi="Verdana" w:cs="Calibri"/>
                <w:color w:val="000000"/>
                <w:kern w:val="0"/>
                <w:sz w:val="18"/>
                <w:szCs w:val="18"/>
                <w:lang w:eastAsia="es-CO"/>
                <w14:ligatures w14:val="none"/>
              </w:rPr>
            </w:pPr>
            <w:r w:rsidRPr="001C54C6">
              <w:rPr>
                <w:rFonts w:ascii="Verdana" w:eastAsia="Times New Roman" w:hAnsi="Verdana" w:cs="Calibri"/>
                <w:color w:val="000000"/>
                <w:kern w:val="0"/>
                <w:sz w:val="18"/>
                <w:szCs w:val="18"/>
                <w:lang w:eastAsia="es-CO"/>
                <w14:ligatures w14:val="none"/>
              </w:rPr>
              <w:t>7,</w:t>
            </w:r>
            <w:r>
              <w:rPr>
                <w:rFonts w:ascii="Verdana" w:eastAsia="Times New Roman" w:hAnsi="Verdana" w:cs="Calibri"/>
                <w:color w:val="000000"/>
                <w:kern w:val="0"/>
                <w:sz w:val="18"/>
                <w:szCs w:val="18"/>
                <w:lang w:eastAsia="es-CO"/>
                <w14:ligatures w14:val="none"/>
              </w:rPr>
              <w:t>2</w:t>
            </w:r>
            <w:r w:rsidRPr="001C54C6">
              <w:rPr>
                <w:rFonts w:ascii="Verdana" w:eastAsia="Times New Roman" w:hAnsi="Verdana" w:cs="Calibri"/>
                <w:color w:val="000000"/>
                <w:kern w:val="0"/>
                <w:sz w:val="18"/>
                <w:szCs w:val="18"/>
                <w:lang w:eastAsia="es-CO"/>
                <w14:ligatures w14:val="none"/>
              </w:rPr>
              <w:t>%</w:t>
            </w:r>
          </w:p>
        </w:tc>
        <w:tc>
          <w:tcPr>
            <w:tcW w:w="1814" w:type="dxa"/>
            <w:shd w:val="clear" w:color="auto" w:fill="auto"/>
            <w:vAlign w:val="center"/>
            <w:hideMark/>
          </w:tcPr>
          <w:p w14:paraId="0DF46193" w14:textId="77777777" w:rsidR="00CD5AB9" w:rsidRPr="001C54C6" w:rsidRDefault="00CD5AB9" w:rsidP="007A3BFF">
            <w:pPr>
              <w:spacing w:after="0" w:line="240" w:lineRule="auto"/>
              <w:jc w:val="center"/>
              <w:rPr>
                <w:rFonts w:ascii="Verdana" w:eastAsia="Times New Roman" w:hAnsi="Verdana" w:cs="Calibri"/>
                <w:color w:val="000000"/>
                <w:kern w:val="0"/>
                <w:sz w:val="18"/>
                <w:szCs w:val="18"/>
                <w:lang w:eastAsia="es-CO"/>
                <w14:ligatures w14:val="none"/>
              </w:rPr>
            </w:pPr>
            <w:r w:rsidRPr="001C54C6">
              <w:rPr>
                <w:rFonts w:ascii="Verdana" w:eastAsia="Times New Roman" w:hAnsi="Verdana" w:cs="Calibri"/>
                <w:color w:val="000000"/>
                <w:kern w:val="0"/>
                <w:sz w:val="18"/>
                <w:szCs w:val="18"/>
                <w:lang w:eastAsia="es-CO"/>
                <w14:ligatures w14:val="none"/>
              </w:rPr>
              <w:t>1.</w:t>
            </w:r>
            <w:r>
              <w:rPr>
                <w:rFonts w:ascii="Verdana" w:eastAsia="Times New Roman" w:hAnsi="Verdana" w:cs="Calibri"/>
                <w:color w:val="000000"/>
                <w:kern w:val="0"/>
                <w:sz w:val="18"/>
                <w:szCs w:val="18"/>
                <w:lang w:eastAsia="es-CO"/>
                <w14:ligatures w14:val="none"/>
              </w:rPr>
              <w:t>549</w:t>
            </w:r>
            <w:r w:rsidRPr="001C54C6">
              <w:rPr>
                <w:rFonts w:ascii="Verdana" w:eastAsia="Times New Roman" w:hAnsi="Verdana" w:cs="Calibri"/>
                <w:color w:val="000000"/>
                <w:kern w:val="0"/>
                <w:sz w:val="18"/>
                <w:szCs w:val="18"/>
                <w:lang w:eastAsia="es-CO"/>
                <w14:ligatures w14:val="none"/>
              </w:rPr>
              <w:t>,</w:t>
            </w:r>
            <w:r>
              <w:rPr>
                <w:rFonts w:ascii="Verdana" w:eastAsia="Times New Roman" w:hAnsi="Verdana" w:cs="Calibri"/>
                <w:color w:val="000000"/>
                <w:kern w:val="0"/>
                <w:sz w:val="18"/>
                <w:szCs w:val="18"/>
                <w:lang w:eastAsia="es-CO"/>
                <w14:ligatures w14:val="none"/>
              </w:rPr>
              <w:t>6</w:t>
            </w:r>
          </w:p>
        </w:tc>
        <w:tc>
          <w:tcPr>
            <w:tcW w:w="930" w:type="dxa"/>
            <w:shd w:val="clear" w:color="auto" w:fill="auto"/>
            <w:vAlign w:val="center"/>
            <w:hideMark/>
          </w:tcPr>
          <w:p w14:paraId="73500237" w14:textId="77777777" w:rsidR="00CD5AB9" w:rsidRPr="001C54C6" w:rsidRDefault="00CD5AB9" w:rsidP="007A3BFF">
            <w:pPr>
              <w:spacing w:after="0" w:line="240" w:lineRule="auto"/>
              <w:jc w:val="center"/>
              <w:rPr>
                <w:rFonts w:ascii="Verdana" w:eastAsia="Times New Roman" w:hAnsi="Verdana" w:cs="Calibri"/>
                <w:color w:val="000000"/>
                <w:kern w:val="0"/>
                <w:sz w:val="18"/>
                <w:szCs w:val="18"/>
                <w:lang w:eastAsia="es-CO"/>
                <w14:ligatures w14:val="none"/>
              </w:rPr>
            </w:pPr>
            <w:r w:rsidRPr="001C54C6">
              <w:rPr>
                <w:rFonts w:ascii="Verdana" w:eastAsia="Times New Roman" w:hAnsi="Verdana" w:cs="Calibri"/>
                <w:color w:val="000000"/>
                <w:kern w:val="0"/>
                <w:sz w:val="18"/>
                <w:szCs w:val="18"/>
                <w:lang w:eastAsia="es-CO"/>
                <w14:ligatures w14:val="none"/>
              </w:rPr>
              <w:t>8</w:t>
            </w:r>
            <w:r>
              <w:rPr>
                <w:rFonts w:ascii="Verdana" w:eastAsia="Times New Roman" w:hAnsi="Verdana" w:cs="Calibri"/>
                <w:color w:val="000000"/>
                <w:kern w:val="0"/>
                <w:sz w:val="18"/>
                <w:szCs w:val="18"/>
                <w:lang w:eastAsia="es-CO"/>
                <w14:ligatures w14:val="none"/>
              </w:rPr>
              <w:t>9</w:t>
            </w:r>
            <w:r w:rsidRPr="001C54C6">
              <w:rPr>
                <w:rFonts w:ascii="Verdana" w:eastAsia="Times New Roman" w:hAnsi="Verdana" w:cs="Calibri"/>
                <w:color w:val="000000"/>
                <w:kern w:val="0"/>
                <w:sz w:val="18"/>
                <w:szCs w:val="18"/>
                <w:lang w:eastAsia="es-CO"/>
                <w14:ligatures w14:val="none"/>
              </w:rPr>
              <w:t>,</w:t>
            </w:r>
            <w:r>
              <w:rPr>
                <w:rFonts w:ascii="Verdana" w:eastAsia="Times New Roman" w:hAnsi="Verdana" w:cs="Calibri"/>
                <w:color w:val="000000"/>
                <w:kern w:val="0"/>
                <w:sz w:val="18"/>
                <w:szCs w:val="18"/>
                <w:lang w:eastAsia="es-CO"/>
                <w14:ligatures w14:val="none"/>
              </w:rPr>
              <w:t>2</w:t>
            </w:r>
            <w:r w:rsidRPr="001C54C6">
              <w:rPr>
                <w:rFonts w:ascii="Verdana" w:eastAsia="Times New Roman" w:hAnsi="Verdana" w:cs="Calibri"/>
                <w:color w:val="000000"/>
                <w:kern w:val="0"/>
                <w:sz w:val="18"/>
                <w:szCs w:val="18"/>
                <w:lang w:eastAsia="es-CO"/>
                <w14:ligatures w14:val="none"/>
              </w:rPr>
              <w:t>%</w:t>
            </w:r>
          </w:p>
        </w:tc>
        <w:tc>
          <w:tcPr>
            <w:tcW w:w="1129" w:type="dxa"/>
            <w:shd w:val="clear" w:color="auto" w:fill="auto"/>
            <w:vAlign w:val="center"/>
            <w:hideMark/>
          </w:tcPr>
          <w:p w14:paraId="5F71F290" w14:textId="77777777" w:rsidR="00CD5AB9" w:rsidRPr="001C54C6" w:rsidRDefault="00CD5AB9" w:rsidP="007A3BFF">
            <w:pPr>
              <w:spacing w:after="0" w:line="240" w:lineRule="auto"/>
              <w:jc w:val="center"/>
              <w:rPr>
                <w:rFonts w:ascii="Verdana" w:eastAsia="Times New Roman" w:hAnsi="Verdana" w:cs="Calibri"/>
                <w:color w:val="000000"/>
                <w:kern w:val="0"/>
                <w:sz w:val="18"/>
                <w:szCs w:val="18"/>
                <w:lang w:eastAsia="es-CO"/>
                <w14:ligatures w14:val="none"/>
              </w:rPr>
            </w:pPr>
            <w:r w:rsidRPr="00284665">
              <w:rPr>
                <w:rFonts w:ascii="Verdana" w:eastAsia="Times New Roman" w:hAnsi="Verdana" w:cs="Calibri"/>
                <w:color w:val="000000"/>
                <w:kern w:val="0"/>
                <w:sz w:val="18"/>
                <w:szCs w:val="18"/>
                <w:lang w:eastAsia="es-CO"/>
                <w14:ligatures w14:val="none"/>
              </w:rPr>
              <w:t>1.493,4</w:t>
            </w:r>
          </w:p>
        </w:tc>
        <w:tc>
          <w:tcPr>
            <w:tcW w:w="930" w:type="dxa"/>
            <w:shd w:val="clear" w:color="auto" w:fill="auto"/>
            <w:vAlign w:val="center"/>
            <w:hideMark/>
          </w:tcPr>
          <w:p w14:paraId="31735E72" w14:textId="77777777" w:rsidR="00CD5AB9" w:rsidRPr="001C54C6" w:rsidRDefault="00CD5AB9" w:rsidP="007A3BFF">
            <w:pPr>
              <w:spacing w:after="0" w:line="240" w:lineRule="auto"/>
              <w:jc w:val="center"/>
              <w:rPr>
                <w:rFonts w:ascii="Verdana" w:eastAsia="Times New Roman" w:hAnsi="Verdana" w:cs="Calibri"/>
                <w:color w:val="000000"/>
                <w:kern w:val="0"/>
                <w:sz w:val="18"/>
                <w:szCs w:val="18"/>
                <w:lang w:eastAsia="es-CO"/>
                <w14:ligatures w14:val="none"/>
              </w:rPr>
            </w:pPr>
            <w:r>
              <w:rPr>
                <w:rFonts w:ascii="Verdana" w:eastAsia="Times New Roman" w:hAnsi="Verdana" w:cs="Calibri"/>
                <w:color w:val="000000"/>
                <w:kern w:val="0"/>
                <w:sz w:val="18"/>
                <w:szCs w:val="18"/>
                <w:lang w:eastAsia="es-CO"/>
                <w14:ligatures w14:val="none"/>
              </w:rPr>
              <w:t>85</w:t>
            </w:r>
            <w:r w:rsidRPr="001C54C6">
              <w:rPr>
                <w:rFonts w:ascii="Verdana" w:eastAsia="Times New Roman" w:hAnsi="Verdana" w:cs="Calibri"/>
                <w:color w:val="000000"/>
                <w:kern w:val="0"/>
                <w:sz w:val="18"/>
                <w:szCs w:val="18"/>
                <w:lang w:eastAsia="es-CO"/>
                <w14:ligatures w14:val="none"/>
              </w:rPr>
              <w:t>,</w:t>
            </w:r>
            <w:r>
              <w:rPr>
                <w:rFonts w:ascii="Verdana" w:eastAsia="Times New Roman" w:hAnsi="Verdana" w:cs="Calibri"/>
                <w:color w:val="000000"/>
                <w:kern w:val="0"/>
                <w:sz w:val="18"/>
                <w:szCs w:val="18"/>
                <w:lang w:eastAsia="es-CO"/>
                <w14:ligatures w14:val="none"/>
              </w:rPr>
              <w:t>9</w:t>
            </w:r>
            <w:r w:rsidRPr="001C54C6">
              <w:rPr>
                <w:rFonts w:ascii="Verdana" w:eastAsia="Times New Roman" w:hAnsi="Verdana" w:cs="Calibri"/>
                <w:color w:val="000000"/>
                <w:kern w:val="0"/>
                <w:sz w:val="18"/>
                <w:szCs w:val="18"/>
                <w:lang w:eastAsia="es-CO"/>
                <w14:ligatures w14:val="none"/>
              </w:rPr>
              <w:t>%</w:t>
            </w:r>
          </w:p>
        </w:tc>
      </w:tr>
      <w:tr w:rsidR="00CD5AB9" w:rsidRPr="001C54C6" w14:paraId="73E5F98C" w14:textId="77777777" w:rsidTr="007A3BFF">
        <w:trPr>
          <w:trHeight w:val="432"/>
          <w:jc w:val="center"/>
        </w:trPr>
        <w:tc>
          <w:tcPr>
            <w:tcW w:w="1717" w:type="dxa"/>
            <w:shd w:val="clear" w:color="auto" w:fill="auto"/>
            <w:vAlign w:val="center"/>
            <w:hideMark/>
          </w:tcPr>
          <w:p w14:paraId="08AD4D50" w14:textId="77777777" w:rsidR="00CD5AB9" w:rsidRPr="001C54C6" w:rsidRDefault="00CD5AB9" w:rsidP="007A3BFF">
            <w:pPr>
              <w:spacing w:after="0" w:line="240" w:lineRule="auto"/>
              <w:jc w:val="center"/>
              <w:rPr>
                <w:rFonts w:ascii="Verdana" w:eastAsia="Times New Roman" w:hAnsi="Verdana" w:cs="Calibri"/>
                <w:b/>
                <w:bCs/>
                <w:color w:val="000000"/>
                <w:kern w:val="0"/>
                <w:sz w:val="18"/>
                <w:szCs w:val="18"/>
                <w:lang w:eastAsia="es-CO"/>
                <w14:ligatures w14:val="none"/>
              </w:rPr>
            </w:pPr>
            <w:r w:rsidRPr="001C54C6">
              <w:rPr>
                <w:rFonts w:ascii="Verdana" w:eastAsia="Times New Roman" w:hAnsi="Verdana" w:cs="Calibri"/>
                <w:b/>
                <w:bCs/>
                <w:color w:val="000000"/>
                <w:kern w:val="0"/>
                <w:sz w:val="18"/>
                <w:szCs w:val="18"/>
                <w:lang w:eastAsia="es-CO"/>
                <w14:ligatures w14:val="none"/>
              </w:rPr>
              <w:t>Totales</w:t>
            </w:r>
          </w:p>
        </w:tc>
        <w:tc>
          <w:tcPr>
            <w:tcW w:w="1468" w:type="dxa"/>
            <w:shd w:val="clear" w:color="auto" w:fill="auto"/>
            <w:vAlign w:val="center"/>
            <w:hideMark/>
          </w:tcPr>
          <w:p w14:paraId="7B7BBD64" w14:textId="77777777" w:rsidR="00CD5AB9" w:rsidRPr="001C54C6" w:rsidRDefault="00CD5AB9" w:rsidP="007A3BFF">
            <w:pPr>
              <w:spacing w:after="0" w:line="240" w:lineRule="auto"/>
              <w:jc w:val="center"/>
              <w:rPr>
                <w:rFonts w:ascii="Verdana" w:eastAsia="Times New Roman" w:hAnsi="Verdana" w:cs="Calibri"/>
                <w:b/>
                <w:bCs/>
                <w:color w:val="000000"/>
                <w:kern w:val="0"/>
                <w:sz w:val="18"/>
                <w:szCs w:val="18"/>
                <w:lang w:eastAsia="es-CO"/>
                <w14:ligatures w14:val="none"/>
              </w:rPr>
            </w:pPr>
            <w:r w:rsidRPr="001C54C6">
              <w:rPr>
                <w:rFonts w:ascii="Verdana" w:eastAsia="Times New Roman" w:hAnsi="Verdana" w:cs="Calibri"/>
                <w:b/>
                <w:bCs/>
                <w:color w:val="000000"/>
                <w:kern w:val="0"/>
                <w:sz w:val="18"/>
                <w:szCs w:val="18"/>
                <w:lang w:eastAsia="es-CO"/>
                <w14:ligatures w14:val="none"/>
              </w:rPr>
              <w:t>22.</w:t>
            </w:r>
            <w:r>
              <w:rPr>
                <w:rFonts w:ascii="Verdana" w:eastAsia="Times New Roman" w:hAnsi="Verdana" w:cs="Calibri"/>
                <w:b/>
                <w:bCs/>
                <w:color w:val="000000"/>
                <w:kern w:val="0"/>
                <w:sz w:val="18"/>
                <w:szCs w:val="18"/>
                <w:lang w:eastAsia="es-CO"/>
                <w14:ligatures w14:val="none"/>
              </w:rPr>
              <w:t>592</w:t>
            </w:r>
            <w:r w:rsidRPr="001C54C6">
              <w:rPr>
                <w:rFonts w:ascii="Verdana" w:eastAsia="Times New Roman" w:hAnsi="Verdana" w:cs="Calibri"/>
                <w:b/>
                <w:bCs/>
                <w:color w:val="000000"/>
                <w:kern w:val="0"/>
                <w:sz w:val="18"/>
                <w:szCs w:val="18"/>
                <w:lang w:eastAsia="es-CO"/>
                <w14:ligatures w14:val="none"/>
              </w:rPr>
              <w:t>,</w:t>
            </w:r>
            <w:r>
              <w:rPr>
                <w:rFonts w:ascii="Verdana" w:eastAsia="Times New Roman" w:hAnsi="Verdana" w:cs="Calibri"/>
                <w:b/>
                <w:bCs/>
                <w:color w:val="000000"/>
                <w:kern w:val="0"/>
                <w:sz w:val="18"/>
                <w:szCs w:val="18"/>
                <w:lang w:eastAsia="es-CO"/>
                <w14:ligatures w14:val="none"/>
              </w:rPr>
              <w:t>9</w:t>
            </w:r>
          </w:p>
        </w:tc>
        <w:tc>
          <w:tcPr>
            <w:tcW w:w="1468" w:type="dxa"/>
            <w:shd w:val="clear" w:color="auto" w:fill="auto"/>
            <w:vAlign w:val="center"/>
            <w:hideMark/>
          </w:tcPr>
          <w:p w14:paraId="551DA288" w14:textId="77777777" w:rsidR="00CD5AB9" w:rsidRPr="001C54C6" w:rsidRDefault="00CD5AB9" w:rsidP="007A3BFF">
            <w:pPr>
              <w:spacing w:after="0" w:line="240" w:lineRule="auto"/>
              <w:jc w:val="center"/>
              <w:rPr>
                <w:rFonts w:ascii="Verdana" w:eastAsia="Times New Roman" w:hAnsi="Verdana" w:cs="Calibri"/>
                <w:b/>
                <w:bCs/>
                <w:color w:val="000000"/>
                <w:kern w:val="0"/>
                <w:sz w:val="18"/>
                <w:szCs w:val="18"/>
                <w:lang w:eastAsia="es-CO"/>
                <w14:ligatures w14:val="none"/>
              </w:rPr>
            </w:pPr>
            <w:r w:rsidRPr="001C54C6">
              <w:rPr>
                <w:rFonts w:ascii="Verdana" w:eastAsia="Times New Roman" w:hAnsi="Verdana" w:cs="Calibri"/>
                <w:b/>
                <w:bCs/>
                <w:color w:val="000000"/>
                <w:kern w:val="0"/>
                <w:sz w:val="18"/>
                <w:szCs w:val="18"/>
                <w:lang w:eastAsia="es-CO"/>
                <w14:ligatures w14:val="none"/>
              </w:rPr>
              <w:t>22.</w:t>
            </w:r>
            <w:r>
              <w:rPr>
                <w:rFonts w:ascii="Verdana" w:eastAsia="Times New Roman" w:hAnsi="Verdana" w:cs="Calibri"/>
                <w:b/>
                <w:bCs/>
                <w:color w:val="000000"/>
                <w:kern w:val="0"/>
                <w:sz w:val="18"/>
                <w:szCs w:val="18"/>
                <w:lang w:eastAsia="es-CO"/>
                <w14:ligatures w14:val="none"/>
              </w:rPr>
              <w:t>242</w:t>
            </w:r>
            <w:r w:rsidRPr="001C54C6">
              <w:rPr>
                <w:rFonts w:ascii="Verdana" w:eastAsia="Times New Roman" w:hAnsi="Verdana" w:cs="Calibri"/>
                <w:b/>
                <w:bCs/>
                <w:color w:val="000000"/>
                <w:kern w:val="0"/>
                <w:sz w:val="18"/>
                <w:szCs w:val="18"/>
                <w:lang w:eastAsia="es-CO"/>
                <w14:ligatures w14:val="none"/>
              </w:rPr>
              <w:t>,</w:t>
            </w:r>
            <w:r>
              <w:rPr>
                <w:rFonts w:ascii="Verdana" w:eastAsia="Times New Roman" w:hAnsi="Verdana" w:cs="Calibri"/>
                <w:b/>
                <w:bCs/>
                <w:color w:val="000000"/>
                <w:kern w:val="0"/>
                <w:sz w:val="18"/>
                <w:szCs w:val="18"/>
                <w:lang w:eastAsia="es-CO"/>
                <w14:ligatures w14:val="none"/>
              </w:rPr>
              <w:t>9</w:t>
            </w:r>
          </w:p>
        </w:tc>
        <w:tc>
          <w:tcPr>
            <w:tcW w:w="1159" w:type="dxa"/>
            <w:shd w:val="clear" w:color="auto" w:fill="auto"/>
            <w:vAlign w:val="center"/>
            <w:hideMark/>
          </w:tcPr>
          <w:p w14:paraId="6CF12953" w14:textId="77777777" w:rsidR="00CD5AB9" w:rsidRPr="001C54C6" w:rsidRDefault="00CD5AB9" w:rsidP="007A3BFF">
            <w:pPr>
              <w:spacing w:after="0" w:line="240" w:lineRule="auto"/>
              <w:jc w:val="center"/>
              <w:rPr>
                <w:rFonts w:ascii="Verdana" w:eastAsia="Times New Roman" w:hAnsi="Verdana" w:cs="Calibri"/>
                <w:b/>
                <w:bCs/>
                <w:color w:val="000000"/>
                <w:kern w:val="0"/>
                <w:sz w:val="18"/>
                <w:szCs w:val="18"/>
                <w:lang w:eastAsia="es-CO"/>
                <w14:ligatures w14:val="none"/>
              </w:rPr>
            </w:pPr>
            <w:r w:rsidRPr="001C54C6">
              <w:rPr>
                <w:rFonts w:ascii="Verdana" w:eastAsia="Times New Roman" w:hAnsi="Verdana" w:cs="Calibri"/>
                <w:b/>
                <w:bCs/>
                <w:color w:val="000000"/>
                <w:kern w:val="0"/>
                <w:sz w:val="18"/>
                <w:szCs w:val="18"/>
                <w:lang w:eastAsia="es-CO"/>
                <w14:ligatures w14:val="none"/>
              </w:rPr>
              <w:t>100%</w:t>
            </w:r>
          </w:p>
        </w:tc>
        <w:tc>
          <w:tcPr>
            <w:tcW w:w="1814" w:type="dxa"/>
            <w:shd w:val="clear" w:color="auto" w:fill="auto"/>
            <w:vAlign w:val="center"/>
            <w:hideMark/>
          </w:tcPr>
          <w:p w14:paraId="7ACB40E5" w14:textId="77777777" w:rsidR="00CD5AB9" w:rsidRPr="001C54C6" w:rsidRDefault="00CD5AB9" w:rsidP="007A3BFF">
            <w:pPr>
              <w:spacing w:after="0" w:line="240" w:lineRule="auto"/>
              <w:jc w:val="center"/>
              <w:rPr>
                <w:rFonts w:ascii="Verdana" w:eastAsia="Times New Roman" w:hAnsi="Verdana" w:cs="Calibri"/>
                <w:b/>
                <w:bCs/>
                <w:color w:val="000000"/>
                <w:kern w:val="0"/>
                <w:sz w:val="18"/>
                <w:szCs w:val="18"/>
                <w:lang w:eastAsia="es-CO"/>
                <w14:ligatures w14:val="none"/>
              </w:rPr>
            </w:pPr>
            <w:r w:rsidRPr="001C54C6">
              <w:rPr>
                <w:rFonts w:ascii="Verdana" w:eastAsia="Times New Roman" w:hAnsi="Verdana" w:cs="Calibri"/>
                <w:b/>
                <w:bCs/>
                <w:color w:val="000000"/>
                <w:kern w:val="0"/>
                <w:sz w:val="18"/>
                <w:szCs w:val="18"/>
                <w:lang w:eastAsia="es-CO"/>
                <w14:ligatures w14:val="none"/>
              </w:rPr>
              <w:t>2</w:t>
            </w:r>
            <w:r>
              <w:rPr>
                <w:rFonts w:ascii="Verdana" w:eastAsia="Times New Roman" w:hAnsi="Verdana" w:cs="Calibri"/>
                <w:b/>
                <w:bCs/>
                <w:color w:val="000000"/>
                <w:kern w:val="0"/>
                <w:sz w:val="18"/>
                <w:szCs w:val="18"/>
                <w:lang w:eastAsia="es-CO"/>
                <w14:ligatures w14:val="none"/>
              </w:rPr>
              <w:t>3</w:t>
            </w:r>
            <w:r w:rsidRPr="001C54C6">
              <w:rPr>
                <w:rFonts w:ascii="Verdana" w:eastAsia="Times New Roman" w:hAnsi="Verdana" w:cs="Calibri"/>
                <w:b/>
                <w:bCs/>
                <w:color w:val="000000"/>
                <w:kern w:val="0"/>
                <w:sz w:val="18"/>
                <w:szCs w:val="18"/>
                <w:lang w:eastAsia="es-CO"/>
                <w14:ligatures w14:val="none"/>
              </w:rPr>
              <w:t>.6</w:t>
            </w:r>
            <w:r>
              <w:rPr>
                <w:rFonts w:ascii="Verdana" w:eastAsia="Times New Roman" w:hAnsi="Verdana" w:cs="Calibri"/>
                <w:b/>
                <w:bCs/>
                <w:color w:val="000000"/>
                <w:kern w:val="0"/>
                <w:sz w:val="18"/>
                <w:szCs w:val="18"/>
                <w:lang w:eastAsia="es-CO"/>
                <w14:ligatures w14:val="none"/>
              </w:rPr>
              <w:t>36</w:t>
            </w:r>
            <w:r w:rsidRPr="001C54C6">
              <w:rPr>
                <w:rFonts w:ascii="Verdana" w:eastAsia="Times New Roman" w:hAnsi="Verdana" w:cs="Calibri"/>
                <w:b/>
                <w:bCs/>
                <w:color w:val="000000"/>
                <w:kern w:val="0"/>
                <w:sz w:val="18"/>
                <w:szCs w:val="18"/>
                <w:lang w:eastAsia="es-CO"/>
                <w14:ligatures w14:val="none"/>
              </w:rPr>
              <w:t>,</w:t>
            </w:r>
            <w:r>
              <w:rPr>
                <w:rFonts w:ascii="Verdana" w:eastAsia="Times New Roman" w:hAnsi="Verdana" w:cs="Calibri"/>
                <w:b/>
                <w:bCs/>
                <w:color w:val="000000"/>
                <w:kern w:val="0"/>
                <w:sz w:val="18"/>
                <w:szCs w:val="18"/>
                <w:lang w:eastAsia="es-CO"/>
                <w14:ligatures w14:val="none"/>
              </w:rPr>
              <w:t>5</w:t>
            </w:r>
          </w:p>
        </w:tc>
        <w:tc>
          <w:tcPr>
            <w:tcW w:w="930" w:type="dxa"/>
            <w:shd w:val="clear" w:color="auto" w:fill="auto"/>
            <w:vAlign w:val="center"/>
            <w:hideMark/>
          </w:tcPr>
          <w:p w14:paraId="6285992F" w14:textId="77777777" w:rsidR="00CD5AB9" w:rsidRPr="001C54C6" w:rsidRDefault="00CD5AB9" w:rsidP="007A3BFF">
            <w:pPr>
              <w:spacing w:after="0" w:line="240" w:lineRule="auto"/>
              <w:jc w:val="center"/>
              <w:rPr>
                <w:rFonts w:ascii="Verdana" w:eastAsia="Times New Roman" w:hAnsi="Verdana" w:cs="Calibri"/>
                <w:b/>
                <w:bCs/>
                <w:color w:val="000000"/>
                <w:kern w:val="0"/>
                <w:sz w:val="18"/>
                <w:szCs w:val="18"/>
                <w:lang w:eastAsia="es-CO"/>
                <w14:ligatures w14:val="none"/>
              </w:rPr>
            </w:pPr>
            <w:r w:rsidRPr="001C54C6">
              <w:rPr>
                <w:rFonts w:ascii="Verdana" w:eastAsia="Times New Roman" w:hAnsi="Verdana" w:cs="Calibri"/>
                <w:b/>
                <w:bCs/>
                <w:color w:val="000000"/>
                <w:kern w:val="0"/>
                <w:sz w:val="18"/>
                <w:szCs w:val="18"/>
                <w:lang w:eastAsia="es-CO"/>
                <w14:ligatures w14:val="none"/>
              </w:rPr>
              <w:t>9</w:t>
            </w:r>
            <w:r>
              <w:rPr>
                <w:rFonts w:ascii="Verdana" w:eastAsia="Times New Roman" w:hAnsi="Verdana" w:cs="Calibri"/>
                <w:b/>
                <w:bCs/>
                <w:color w:val="000000"/>
                <w:kern w:val="0"/>
                <w:sz w:val="18"/>
                <w:szCs w:val="18"/>
                <w:lang w:eastAsia="es-CO"/>
                <w14:ligatures w14:val="none"/>
              </w:rPr>
              <w:t>7</w:t>
            </w:r>
            <w:r w:rsidRPr="001C54C6">
              <w:rPr>
                <w:rFonts w:ascii="Verdana" w:eastAsia="Times New Roman" w:hAnsi="Verdana" w:cs="Calibri"/>
                <w:b/>
                <w:bCs/>
                <w:color w:val="000000"/>
                <w:kern w:val="0"/>
                <w:sz w:val="18"/>
                <w:szCs w:val="18"/>
                <w:lang w:eastAsia="es-CO"/>
                <w14:ligatures w14:val="none"/>
              </w:rPr>
              <w:t>,</w:t>
            </w:r>
            <w:r>
              <w:rPr>
                <w:rFonts w:ascii="Verdana" w:eastAsia="Times New Roman" w:hAnsi="Verdana" w:cs="Calibri"/>
                <w:b/>
                <w:bCs/>
                <w:color w:val="000000"/>
                <w:kern w:val="0"/>
                <w:sz w:val="18"/>
                <w:szCs w:val="18"/>
                <w:lang w:eastAsia="es-CO"/>
                <w14:ligatures w14:val="none"/>
              </w:rPr>
              <w:t>5</w:t>
            </w:r>
            <w:r w:rsidRPr="001C54C6">
              <w:rPr>
                <w:rFonts w:ascii="Verdana" w:eastAsia="Times New Roman" w:hAnsi="Verdana" w:cs="Calibri"/>
                <w:b/>
                <w:bCs/>
                <w:color w:val="000000"/>
                <w:kern w:val="0"/>
                <w:sz w:val="18"/>
                <w:szCs w:val="18"/>
                <w:lang w:eastAsia="es-CO"/>
                <w14:ligatures w14:val="none"/>
              </w:rPr>
              <w:t>%</w:t>
            </w:r>
          </w:p>
        </w:tc>
        <w:tc>
          <w:tcPr>
            <w:tcW w:w="1129" w:type="dxa"/>
            <w:shd w:val="clear" w:color="auto" w:fill="auto"/>
            <w:vAlign w:val="center"/>
            <w:hideMark/>
          </w:tcPr>
          <w:p w14:paraId="3A5293FD" w14:textId="77777777" w:rsidR="00CD5AB9" w:rsidRPr="001C54C6" w:rsidRDefault="00CD5AB9" w:rsidP="007A3BFF">
            <w:pPr>
              <w:spacing w:after="0" w:line="240" w:lineRule="auto"/>
              <w:jc w:val="center"/>
              <w:rPr>
                <w:rFonts w:ascii="Verdana" w:eastAsia="Times New Roman" w:hAnsi="Verdana" w:cs="Calibri"/>
                <w:b/>
                <w:bCs/>
                <w:color w:val="000000"/>
                <w:kern w:val="0"/>
                <w:sz w:val="18"/>
                <w:szCs w:val="18"/>
                <w:lang w:eastAsia="es-CO"/>
                <w14:ligatures w14:val="none"/>
              </w:rPr>
            </w:pPr>
            <w:r w:rsidRPr="001C54C6">
              <w:rPr>
                <w:rFonts w:ascii="Verdana" w:eastAsia="Times New Roman" w:hAnsi="Verdana" w:cs="Calibri"/>
                <w:b/>
                <w:bCs/>
                <w:color w:val="000000"/>
                <w:kern w:val="0"/>
                <w:sz w:val="18"/>
                <w:szCs w:val="18"/>
                <w:lang w:eastAsia="es-CO"/>
                <w14:ligatures w14:val="none"/>
              </w:rPr>
              <w:t>2</w:t>
            </w:r>
            <w:r>
              <w:rPr>
                <w:rFonts w:ascii="Verdana" w:eastAsia="Times New Roman" w:hAnsi="Verdana" w:cs="Calibri"/>
                <w:b/>
                <w:bCs/>
                <w:color w:val="000000"/>
                <w:kern w:val="0"/>
                <w:sz w:val="18"/>
                <w:szCs w:val="18"/>
                <w:lang w:eastAsia="es-CO"/>
                <w14:ligatures w14:val="none"/>
              </w:rPr>
              <w:t>3</w:t>
            </w:r>
            <w:r w:rsidRPr="001C54C6">
              <w:rPr>
                <w:rFonts w:ascii="Verdana" w:eastAsia="Times New Roman" w:hAnsi="Verdana" w:cs="Calibri"/>
                <w:b/>
                <w:bCs/>
                <w:color w:val="000000"/>
                <w:kern w:val="0"/>
                <w:sz w:val="18"/>
                <w:szCs w:val="18"/>
                <w:lang w:eastAsia="es-CO"/>
                <w14:ligatures w14:val="none"/>
              </w:rPr>
              <w:t>.</w:t>
            </w:r>
            <w:r>
              <w:rPr>
                <w:rFonts w:ascii="Verdana" w:eastAsia="Times New Roman" w:hAnsi="Verdana" w:cs="Calibri"/>
                <w:b/>
                <w:bCs/>
                <w:color w:val="000000"/>
                <w:kern w:val="0"/>
                <w:sz w:val="18"/>
                <w:szCs w:val="18"/>
                <w:lang w:eastAsia="es-CO"/>
                <w14:ligatures w14:val="none"/>
              </w:rPr>
              <w:t>549</w:t>
            </w:r>
            <w:r w:rsidRPr="001C54C6">
              <w:rPr>
                <w:rFonts w:ascii="Verdana" w:eastAsia="Times New Roman" w:hAnsi="Verdana" w:cs="Calibri"/>
                <w:b/>
                <w:bCs/>
                <w:color w:val="000000"/>
                <w:kern w:val="0"/>
                <w:sz w:val="18"/>
                <w:szCs w:val="18"/>
                <w:lang w:eastAsia="es-CO"/>
                <w14:ligatures w14:val="none"/>
              </w:rPr>
              <w:t>,</w:t>
            </w:r>
            <w:r>
              <w:rPr>
                <w:rFonts w:ascii="Verdana" w:eastAsia="Times New Roman" w:hAnsi="Verdana" w:cs="Calibri"/>
                <w:b/>
                <w:bCs/>
                <w:color w:val="000000"/>
                <w:kern w:val="0"/>
                <w:sz w:val="18"/>
                <w:szCs w:val="18"/>
                <w:lang w:eastAsia="es-CO"/>
                <w14:ligatures w14:val="none"/>
              </w:rPr>
              <w:t>6</w:t>
            </w:r>
          </w:p>
        </w:tc>
        <w:tc>
          <w:tcPr>
            <w:tcW w:w="930" w:type="dxa"/>
            <w:shd w:val="clear" w:color="auto" w:fill="auto"/>
            <w:vAlign w:val="center"/>
            <w:hideMark/>
          </w:tcPr>
          <w:p w14:paraId="0D042AAD" w14:textId="77777777" w:rsidR="00CD5AB9" w:rsidRPr="001C54C6" w:rsidRDefault="00CD5AB9" w:rsidP="007A3BFF">
            <w:pPr>
              <w:spacing w:after="0" w:line="240" w:lineRule="auto"/>
              <w:jc w:val="center"/>
              <w:rPr>
                <w:rFonts w:ascii="Verdana" w:eastAsia="Times New Roman" w:hAnsi="Verdana" w:cs="Calibri"/>
                <w:b/>
                <w:bCs/>
                <w:color w:val="000000"/>
                <w:kern w:val="0"/>
                <w:sz w:val="18"/>
                <w:szCs w:val="18"/>
                <w:lang w:eastAsia="es-CO"/>
                <w14:ligatures w14:val="none"/>
              </w:rPr>
            </w:pPr>
            <w:r w:rsidRPr="001C54C6">
              <w:rPr>
                <w:rFonts w:ascii="Verdana" w:eastAsia="Times New Roman" w:hAnsi="Verdana" w:cs="Calibri"/>
                <w:b/>
                <w:bCs/>
                <w:color w:val="000000"/>
                <w:kern w:val="0"/>
                <w:sz w:val="18"/>
                <w:szCs w:val="18"/>
                <w:lang w:eastAsia="es-CO"/>
                <w14:ligatures w14:val="none"/>
              </w:rPr>
              <w:t>9</w:t>
            </w:r>
            <w:r>
              <w:rPr>
                <w:rFonts w:ascii="Verdana" w:eastAsia="Times New Roman" w:hAnsi="Verdana" w:cs="Calibri"/>
                <w:b/>
                <w:bCs/>
                <w:color w:val="000000"/>
                <w:kern w:val="0"/>
                <w:sz w:val="18"/>
                <w:szCs w:val="18"/>
                <w:lang w:eastAsia="es-CO"/>
                <w14:ligatures w14:val="none"/>
              </w:rPr>
              <w:t>7</w:t>
            </w:r>
            <w:r w:rsidRPr="001C54C6">
              <w:rPr>
                <w:rFonts w:ascii="Verdana" w:eastAsia="Times New Roman" w:hAnsi="Verdana" w:cs="Calibri"/>
                <w:b/>
                <w:bCs/>
                <w:color w:val="000000"/>
                <w:kern w:val="0"/>
                <w:sz w:val="18"/>
                <w:szCs w:val="18"/>
                <w:lang w:eastAsia="es-CO"/>
                <w14:ligatures w14:val="none"/>
              </w:rPr>
              <w:t>,</w:t>
            </w:r>
            <w:r>
              <w:rPr>
                <w:rFonts w:ascii="Verdana" w:eastAsia="Times New Roman" w:hAnsi="Verdana" w:cs="Calibri"/>
                <w:b/>
                <w:bCs/>
                <w:color w:val="000000"/>
                <w:kern w:val="0"/>
                <w:sz w:val="18"/>
                <w:szCs w:val="18"/>
                <w:lang w:eastAsia="es-CO"/>
                <w14:ligatures w14:val="none"/>
              </w:rPr>
              <w:t>1</w:t>
            </w:r>
            <w:r w:rsidRPr="001C54C6">
              <w:rPr>
                <w:rFonts w:ascii="Verdana" w:eastAsia="Times New Roman" w:hAnsi="Verdana" w:cs="Calibri"/>
                <w:b/>
                <w:bCs/>
                <w:color w:val="000000"/>
                <w:kern w:val="0"/>
                <w:sz w:val="18"/>
                <w:szCs w:val="18"/>
                <w:lang w:eastAsia="es-CO"/>
                <w14:ligatures w14:val="none"/>
              </w:rPr>
              <w:t>%</w:t>
            </w:r>
          </w:p>
        </w:tc>
      </w:tr>
    </w:tbl>
    <w:p w14:paraId="58A373BB" w14:textId="77777777" w:rsidR="00CD5AB9" w:rsidRDefault="00CD5AB9" w:rsidP="00CD5AB9">
      <w:pPr>
        <w:jc w:val="both"/>
        <w:rPr>
          <w:rFonts w:ascii="Verdana" w:hAnsi="Verdana"/>
        </w:rPr>
      </w:pPr>
    </w:p>
    <w:p w14:paraId="736F3852" w14:textId="77777777" w:rsidR="002C0A72" w:rsidRDefault="002C0A72" w:rsidP="002C0A72">
      <w:pPr>
        <w:jc w:val="both"/>
        <w:rPr>
          <w:rFonts w:ascii="Verdana" w:hAnsi="Verdana" w:cs="Arial"/>
        </w:rPr>
      </w:pPr>
      <w:r w:rsidRPr="00936621">
        <w:rPr>
          <w:rFonts w:ascii="Verdana" w:hAnsi="Verdana" w:cs="Arial"/>
        </w:rPr>
        <w:lastRenderedPageBreak/>
        <w:t>A continuación, se presentan los principales resultados misionales de la Agencia del Inspector General de Tributos, Rentas y Contribuciones Parafiscales - ITRC en el año 2023:</w:t>
      </w:r>
    </w:p>
    <w:p w14:paraId="78A8C702" w14:textId="1DE36BB2" w:rsidR="00F30E22" w:rsidRPr="00936621" w:rsidRDefault="00A72CCB" w:rsidP="002C0A72">
      <w:pPr>
        <w:jc w:val="both"/>
        <w:rPr>
          <w:rFonts w:ascii="Verdana" w:hAnsi="Verdana" w:cs="Arial"/>
        </w:rPr>
      </w:pPr>
      <w:r>
        <w:rPr>
          <w:rFonts w:ascii="Verdana" w:hAnsi="Verdana" w:cs="Arial"/>
        </w:rPr>
        <w:tab/>
      </w:r>
    </w:p>
    <w:tbl>
      <w:tblPr>
        <w:tblStyle w:val="Tablaconcuadrcula"/>
        <w:tblW w:w="10631" w:type="dxa"/>
        <w:tblInd w:w="-856" w:type="dxa"/>
        <w:tblLook w:val="04A0" w:firstRow="1" w:lastRow="0" w:firstColumn="1" w:lastColumn="0" w:noHBand="0" w:noVBand="1"/>
      </w:tblPr>
      <w:tblGrid>
        <w:gridCol w:w="2693"/>
        <w:gridCol w:w="7938"/>
      </w:tblGrid>
      <w:tr w:rsidR="002C0A72" w:rsidRPr="00936621" w14:paraId="59BA4974" w14:textId="77777777" w:rsidTr="002C0A72">
        <w:tc>
          <w:tcPr>
            <w:tcW w:w="2693" w:type="dxa"/>
            <w:vAlign w:val="center"/>
          </w:tcPr>
          <w:p w14:paraId="454ABC77" w14:textId="77777777" w:rsidR="002C0A72" w:rsidRPr="00936621" w:rsidRDefault="002C0A72" w:rsidP="007A3BFF">
            <w:pPr>
              <w:jc w:val="center"/>
              <w:rPr>
                <w:rFonts w:ascii="Verdana" w:hAnsi="Verdana"/>
                <w:b/>
                <w:bCs/>
                <w:sz w:val="20"/>
                <w:szCs w:val="20"/>
                <w:lang w:val="es-MX"/>
              </w:rPr>
            </w:pPr>
            <w:r w:rsidRPr="00936621">
              <w:rPr>
                <w:rFonts w:ascii="Verdana" w:hAnsi="Verdana"/>
                <w:b/>
                <w:bCs/>
                <w:sz w:val="20"/>
                <w:szCs w:val="20"/>
                <w:lang w:val="es-MX"/>
              </w:rPr>
              <w:t>RECURSOS DE FUNCIONAMIENTO</w:t>
            </w:r>
          </w:p>
        </w:tc>
        <w:tc>
          <w:tcPr>
            <w:tcW w:w="7938" w:type="dxa"/>
          </w:tcPr>
          <w:p w14:paraId="5F2CEE2E" w14:textId="77777777" w:rsidR="002C0A72" w:rsidRPr="00936621" w:rsidRDefault="002C0A72" w:rsidP="007A3BFF">
            <w:pPr>
              <w:jc w:val="center"/>
              <w:rPr>
                <w:rFonts w:ascii="Verdana" w:hAnsi="Verdana"/>
                <w:b/>
                <w:bCs/>
                <w:sz w:val="20"/>
                <w:szCs w:val="20"/>
                <w:lang w:val="es-MX"/>
              </w:rPr>
            </w:pPr>
            <w:r w:rsidRPr="00936621">
              <w:rPr>
                <w:rFonts w:ascii="Verdana" w:hAnsi="Verdana"/>
                <w:b/>
                <w:bCs/>
                <w:sz w:val="20"/>
                <w:szCs w:val="20"/>
                <w:lang w:val="es-MX"/>
              </w:rPr>
              <w:t>RESULTADOS MISIONALES</w:t>
            </w:r>
          </w:p>
        </w:tc>
      </w:tr>
      <w:tr w:rsidR="009B2DD7" w:rsidRPr="00936621" w14:paraId="5DC03AB1" w14:textId="77777777" w:rsidTr="002C0A72">
        <w:tc>
          <w:tcPr>
            <w:tcW w:w="2693" w:type="dxa"/>
          </w:tcPr>
          <w:p w14:paraId="5AA0D2D0" w14:textId="77777777" w:rsidR="009B2DD7" w:rsidRPr="00936621" w:rsidRDefault="009B2DD7" w:rsidP="009B2DD7">
            <w:pPr>
              <w:jc w:val="center"/>
              <w:rPr>
                <w:rFonts w:ascii="Verdana" w:hAnsi="Verdana"/>
                <w:b/>
                <w:bCs/>
                <w:sz w:val="20"/>
                <w:szCs w:val="20"/>
                <w:lang w:val="es-MX"/>
              </w:rPr>
            </w:pPr>
            <w:r w:rsidRPr="00936621">
              <w:rPr>
                <w:rFonts w:ascii="Verdana" w:hAnsi="Verdana"/>
                <w:b/>
                <w:bCs/>
                <w:sz w:val="20"/>
                <w:szCs w:val="20"/>
                <w:lang w:val="es-MX"/>
              </w:rPr>
              <w:t>LABOR PREVENTIVA</w:t>
            </w:r>
          </w:p>
        </w:tc>
        <w:tc>
          <w:tcPr>
            <w:tcW w:w="7938" w:type="dxa"/>
          </w:tcPr>
          <w:p w14:paraId="5C1922C9" w14:textId="77777777" w:rsidR="007D7AC8" w:rsidRPr="005F7380" w:rsidRDefault="007D7AC8" w:rsidP="007D7AC8">
            <w:pPr>
              <w:jc w:val="both"/>
              <w:rPr>
                <w:rFonts w:ascii="Verdana" w:hAnsi="Verdana" w:cs="Arial"/>
                <w:sz w:val="20"/>
                <w:szCs w:val="20"/>
              </w:rPr>
            </w:pPr>
            <w:r w:rsidRPr="005F7380">
              <w:rPr>
                <w:rFonts w:ascii="Verdana" w:hAnsi="Verdana" w:cs="Arial"/>
                <w:sz w:val="20"/>
                <w:szCs w:val="20"/>
              </w:rPr>
              <w:t>En el marco de la labor preventiva, la Agencia ITRC tiene la facultad de auditar los procesos operativos, tecnológicos y administrativos de la DIAN, UGPP y Coljuegos, partiendo de la identificación, análisis y valoración de riesgos que amenacen los procesos y áreas de las entidades mencionadas, promoviendo las buenas prácticas y detectando fallas en los procesos y procedimientos, en la seguridad informática y en los recaudos e ingresos que administran.</w:t>
            </w:r>
          </w:p>
          <w:p w14:paraId="4B58672A" w14:textId="77777777" w:rsidR="007D7AC8" w:rsidRPr="005F7380" w:rsidRDefault="007D7AC8" w:rsidP="007D7AC8">
            <w:pPr>
              <w:jc w:val="both"/>
              <w:rPr>
                <w:rFonts w:ascii="Verdana" w:hAnsi="Verdana" w:cs="Arial"/>
                <w:sz w:val="20"/>
                <w:szCs w:val="20"/>
              </w:rPr>
            </w:pPr>
          </w:p>
          <w:p w14:paraId="197A908D" w14:textId="77777777" w:rsidR="007D7AC8" w:rsidRDefault="007D7AC8" w:rsidP="007D7AC8">
            <w:pPr>
              <w:jc w:val="both"/>
              <w:rPr>
                <w:rFonts w:ascii="Verdana" w:hAnsi="Verdana" w:cs="Arial"/>
                <w:sz w:val="20"/>
                <w:szCs w:val="20"/>
              </w:rPr>
            </w:pPr>
            <w:r w:rsidRPr="005F7380">
              <w:rPr>
                <w:rFonts w:ascii="Verdana" w:hAnsi="Verdana" w:cs="Arial"/>
                <w:sz w:val="20"/>
                <w:szCs w:val="20"/>
              </w:rPr>
              <w:t>Es así como la Agencia ITRC a través de la Subdirección de Auditoría y Gestión del Riesgo</w:t>
            </w:r>
            <w:r>
              <w:rPr>
                <w:rFonts w:ascii="Verdana" w:hAnsi="Verdana" w:cs="Arial"/>
                <w:sz w:val="20"/>
                <w:szCs w:val="20"/>
              </w:rPr>
              <w:t xml:space="preserve"> </w:t>
            </w:r>
            <w:r w:rsidRPr="009256A9">
              <w:rPr>
                <w:rFonts w:ascii="Verdana" w:hAnsi="Verdana" w:cs="Arial"/>
                <w:sz w:val="20"/>
                <w:szCs w:val="20"/>
              </w:rPr>
              <w:t>ha cumplido el Programa Anual de Inspecciones - PAI 2023; el cual inicialmente se proyectó con 15 inspecciones; no obstante, dadas las diferentes necesidades evaluadas durante la vigencia se priorizó la realización de 16 inspecciones</w:t>
            </w:r>
            <w:r>
              <w:rPr>
                <w:rFonts w:ascii="Verdana" w:hAnsi="Verdana" w:cs="Arial"/>
                <w:sz w:val="20"/>
                <w:szCs w:val="20"/>
              </w:rPr>
              <w:t>,</w:t>
            </w:r>
            <w:r w:rsidRPr="005F7380">
              <w:rPr>
                <w:rFonts w:ascii="Verdana" w:hAnsi="Verdana" w:cs="Arial"/>
                <w:sz w:val="20"/>
                <w:szCs w:val="20"/>
              </w:rPr>
              <w:t xml:space="preserve"> </w:t>
            </w:r>
            <w:r>
              <w:rPr>
                <w:rFonts w:ascii="Verdana" w:hAnsi="Verdana" w:cs="Arial"/>
                <w:sz w:val="20"/>
                <w:szCs w:val="20"/>
              </w:rPr>
              <w:t>8</w:t>
            </w:r>
            <w:r w:rsidRPr="005F7380">
              <w:rPr>
                <w:rFonts w:ascii="Verdana" w:hAnsi="Verdana" w:cs="Arial"/>
                <w:sz w:val="20"/>
                <w:szCs w:val="20"/>
              </w:rPr>
              <w:t xml:space="preserve"> en la DIAN, </w:t>
            </w:r>
            <w:r>
              <w:rPr>
                <w:rFonts w:ascii="Verdana" w:hAnsi="Verdana" w:cs="Arial"/>
                <w:sz w:val="20"/>
                <w:szCs w:val="20"/>
              </w:rPr>
              <w:t>6</w:t>
            </w:r>
            <w:r w:rsidRPr="005F7380">
              <w:rPr>
                <w:rFonts w:ascii="Verdana" w:hAnsi="Verdana" w:cs="Arial"/>
                <w:sz w:val="20"/>
                <w:szCs w:val="20"/>
              </w:rPr>
              <w:t xml:space="preserve"> en Coljuegos</w:t>
            </w:r>
            <w:r>
              <w:rPr>
                <w:rFonts w:ascii="Verdana" w:hAnsi="Verdana" w:cs="Arial"/>
                <w:sz w:val="20"/>
                <w:szCs w:val="20"/>
              </w:rPr>
              <w:t xml:space="preserve"> y 2</w:t>
            </w:r>
            <w:r w:rsidRPr="005F7380">
              <w:rPr>
                <w:rFonts w:ascii="Verdana" w:hAnsi="Verdana" w:cs="Arial"/>
                <w:sz w:val="20"/>
                <w:szCs w:val="20"/>
              </w:rPr>
              <w:t xml:space="preserve"> en la UGPP</w:t>
            </w:r>
            <w:r>
              <w:rPr>
                <w:rFonts w:ascii="Verdana" w:hAnsi="Verdana" w:cs="Arial"/>
                <w:sz w:val="20"/>
                <w:szCs w:val="20"/>
              </w:rPr>
              <w:t>.</w:t>
            </w:r>
          </w:p>
          <w:p w14:paraId="0E081FFB" w14:textId="77777777" w:rsidR="007D7AC8" w:rsidRDefault="007D7AC8" w:rsidP="007D7AC8">
            <w:pPr>
              <w:jc w:val="both"/>
              <w:rPr>
                <w:rFonts w:ascii="Verdana" w:hAnsi="Verdana" w:cs="Arial"/>
                <w:sz w:val="20"/>
                <w:szCs w:val="20"/>
              </w:rPr>
            </w:pPr>
          </w:p>
          <w:p w14:paraId="68BFA0D8" w14:textId="77777777" w:rsidR="007D7AC8" w:rsidRDefault="007D7AC8" w:rsidP="007D7AC8">
            <w:pPr>
              <w:jc w:val="both"/>
              <w:rPr>
                <w:rFonts w:ascii="Verdana" w:hAnsi="Verdana" w:cs="Arial"/>
                <w:sz w:val="20"/>
                <w:szCs w:val="20"/>
              </w:rPr>
            </w:pPr>
            <w:r w:rsidRPr="004D07A9">
              <w:rPr>
                <w:rFonts w:ascii="Verdana" w:hAnsi="Verdana" w:cs="Arial"/>
                <w:sz w:val="20"/>
                <w:szCs w:val="20"/>
              </w:rPr>
              <w:t>Como resultado de los 11 informes liberados a 31 de diciembre de las inspecciones del PAI 2023, se identificaron en la DIAN, Coljuegos y UGPP:  22 riesgos de gestión</w:t>
            </w:r>
            <w:r>
              <w:rPr>
                <w:rFonts w:ascii="Verdana" w:hAnsi="Verdana" w:cs="Arial"/>
                <w:sz w:val="20"/>
                <w:szCs w:val="20"/>
              </w:rPr>
              <w:t xml:space="preserve">, </w:t>
            </w:r>
            <w:r w:rsidRPr="004D07A9">
              <w:rPr>
                <w:rFonts w:ascii="Verdana" w:hAnsi="Verdana" w:cs="Arial"/>
                <w:sz w:val="20"/>
                <w:szCs w:val="20"/>
              </w:rPr>
              <w:t>de fraude y corrupción, 55 hallazgos, 2 indicios de fraude y corrupción, 31 posibles connotaciones disciplinarias, 12 posibles connotaciones fiscales, 2 posibles connotaciones penales y 77 recomendaciones con un porcentaje de acogida del 87% por parte de las entidades.</w:t>
            </w:r>
          </w:p>
          <w:p w14:paraId="1A8A754F" w14:textId="77777777" w:rsidR="007D7AC8" w:rsidRDefault="007D7AC8" w:rsidP="007D7AC8">
            <w:pPr>
              <w:jc w:val="both"/>
              <w:rPr>
                <w:rFonts w:ascii="Verdana" w:hAnsi="Verdana" w:cs="Arial"/>
                <w:sz w:val="20"/>
                <w:szCs w:val="20"/>
              </w:rPr>
            </w:pPr>
          </w:p>
          <w:p w14:paraId="4CC30E52" w14:textId="77777777" w:rsidR="007D7AC8" w:rsidRDefault="007D7AC8" w:rsidP="007D7AC8">
            <w:pPr>
              <w:jc w:val="both"/>
              <w:rPr>
                <w:rFonts w:ascii="Verdana" w:hAnsi="Verdana" w:cs="Arial"/>
                <w:sz w:val="20"/>
                <w:szCs w:val="20"/>
              </w:rPr>
            </w:pPr>
            <w:r w:rsidRPr="005F7380">
              <w:rPr>
                <w:rFonts w:ascii="Verdana" w:hAnsi="Verdana" w:cs="Arial"/>
                <w:sz w:val="20"/>
                <w:szCs w:val="20"/>
              </w:rPr>
              <w:t xml:space="preserve">Así mismo, se formularon </w:t>
            </w:r>
            <w:r>
              <w:rPr>
                <w:rFonts w:ascii="Verdana" w:hAnsi="Verdana" w:cs="Arial"/>
                <w:sz w:val="20"/>
                <w:szCs w:val="20"/>
              </w:rPr>
              <w:t>173</w:t>
            </w:r>
            <w:r w:rsidRPr="005F7380">
              <w:rPr>
                <w:rFonts w:ascii="Verdana" w:hAnsi="Verdana" w:cs="Arial"/>
                <w:sz w:val="20"/>
                <w:szCs w:val="20"/>
              </w:rPr>
              <w:t xml:space="preserve"> acciones preventivas y correctivas en los Planes de Prevención del Fraude y la Corrupción – PPFC suscritos y se ejecutaron 1</w:t>
            </w:r>
            <w:r>
              <w:rPr>
                <w:rFonts w:ascii="Verdana" w:hAnsi="Verdana" w:cs="Arial"/>
                <w:sz w:val="20"/>
                <w:szCs w:val="20"/>
              </w:rPr>
              <w:t>2</w:t>
            </w:r>
            <w:r w:rsidRPr="005F7380">
              <w:rPr>
                <w:rFonts w:ascii="Verdana" w:hAnsi="Verdana" w:cs="Arial"/>
                <w:sz w:val="20"/>
                <w:szCs w:val="20"/>
              </w:rPr>
              <w:t xml:space="preserve"> verificaciones en el año, que permitieron la reducción del nivel de exposición al fraude y la corrupción del 40,</w:t>
            </w:r>
            <w:r>
              <w:rPr>
                <w:rFonts w:ascii="Verdana" w:hAnsi="Verdana" w:cs="Arial"/>
                <w:sz w:val="20"/>
                <w:szCs w:val="20"/>
              </w:rPr>
              <w:t>05</w:t>
            </w:r>
            <w:r w:rsidRPr="005F7380">
              <w:rPr>
                <w:rFonts w:ascii="Verdana" w:hAnsi="Verdana" w:cs="Arial"/>
                <w:sz w:val="20"/>
                <w:szCs w:val="20"/>
              </w:rPr>
              <w:t>% en promedio.</w:t>
            </w:r>
          </w:p>
          <w:p w14:paraId="72094996" w14:textId="77777777" w:rsidR="007D7AC8" w:rsidRPr="005F7380" w:rsidRDefault="007D7AC8" w:rsidP="007D7AC8">
            <w:pPr>
              <w:shd w:val="clear" w:color="auto" w:fill="FFFFFF"/>
              <w:jc w:val="both"/>
              <w:rPr>
                <w:rFonts w:ascii="Verdana" w:eastAsia="Times New Roman" w:hAnsi="Verdana" w:cs="Arial"/>
                <w:color w:val="000000"/>
                <w:sz w:val="20"/>
                <w:szCs w:val="20"/>
                <w:lang w:eastAsia="es-CO"/>
              </w:rPr>
            </w:pPr>
          </w:p>
          <w:p w14:paraId="6958EB9D" w14:textId="77777777" w:rsidR="007D7AC8" w:rsidRPr="005F7380" w:rsidRDefault="007D7AC8" w:rsidP="007D7AC8">
            <w:pPr>
              <w:jc w:val="both"/>
              <w:rPr>
                <w:rFonts w:ascii="Verdana" w:hAnsi="Verdana" w:cs="Arial"/>
                <w:sz w:val="20"/>
                <w:szCs w:val="20"/>
              </w:rPr>
            </w:pPr>
            <w:r w:rsidRPr="005F7380">
              <w:rPr>
                <w:rFonts w:ascii="Verdana" w:hAnsi="Verdana" w:cs="Arial"/>
                <w:sz w:val="20"/>
                <w:szCs w:val="20"/>
              </w:rPr>
              <w:t>Es importante resaltar que, se implementó la generación de informes de alerta por parte de la Agencia a las Entidades auditadas con el fin de proponer, de manera oportuna, la implementación de controles o acciones preventivas y/o correctivas a posibles asuntos delictivos, civiles o administrativos encontrados en las inspecciones.</w:t>
            </w:r>
          </w:p>
          <w:p w14:paraId="1353C413" w14:textId="77777777" w:rsidR="007D7AC8" w:rsidRPr="005F7380" w:rsidRDefault="007D7AC8" w:rsidP="007D7AC8">
            <w:pPr>
              <w:jc w:val="both"/>
              <w:rPr>
                <w:rFonts w:ascii="Verdana" w:hAnsi="Verdana" w:cs="Arial"/>
                <w:sz w:val="20"/>
                <w:szCs w:val="20"/>
              </w:rPr>
            </w:pPr>
          </w:p>
          <w:p w14:paraId="0F95BECF" w14:textId="77777777" w:rsidR="007D7AC8" w:rsidRPr="005F7380" w:rsidRDefault="007D7AC8" w:rsidP="007D7AC8">
            <w:pPr>
              <w:jc w:val="both"/>
              <w:rPr>
                <w:rFonts w:ascii="Verdana" w:hAnsi="Verdana" w:cs="Arial"/>
                <w:sz w:val="20"/>
                <w:szCs w:val="20"/>
              </w:rPr>
            </w:pPr>
            <w:r w:rsidRPr="005F7380">
              <w:rPr>
                <w:rFonts w:ascii="Verdana" w:hAnsi="Verdana" w:cs="Arial"/>
                <w:sz w:val="20"/>
                <w:szCs w:val="20"/>
              </w:rPr>
              <w:t xml:space="preserve">Como implementación de esta estrategia se generaron </w:t>
            </w:r>
            <w:r>
              <w:rPr>
                <w:rFonts w:ascii="Verdana" w:hAnsi="Verdana" w:cs="Arial"/>
                <w:sz w:val="20"/>
                <w:szCs w:val="20"/>
              </w:rPr>
              <w:t xml:space="preserve">tres </w:t>
            </w:r>
            <w:r w:rsidRPr="005F7380">
              <w:rPr>
                <w:rFonts w:ascii="Verdana" w:hAnsi="Verdana" w:cs="Arial"/>
                <w:sz w:val="20"/>
                <w:szCs w:val="20"/>
              </w:rPr>
              <w:t>(</w:t>
            </w:r>
            <w:r>
              <w:rPr>
                <w:rFonts w:ascii="Verdana" w:hAnsi="Verdana" w:cs="Arial"/>
                <w:sz w:val="20"/>
                <w:szCs w:val="20"/>
              </w:rPr>
              <w:t>3</w:t>
            </w:r>
            <w:r w:rsidRPr="005F7380">
              <w:rPr>
                <w:rFonts w:ascii="Verdana" w:hAnsi="Verdana" w:cs="Arial"/>
                <w:sz w:val="20"/>
                <w:szCs w:val="20"/>
              </w:rPr>
              <w:t xml:space="preserve">) informes de alerta, dirigidos a la Dirección de Impuestos y Aduanas Nacionales - DIAN y dos (2) a Coljuegos con el propósito de recomendar la implementación de acciones tendientes a disminuir el nivel de exposición al fraude y la corrupción en temas de alto impacto y que exceden los compromisos previstos en el plan de prevención de fraude y corrupción (PPFC), suscrito con cada Entidad como resultado de la respectiva inspección. Y han promovido la definición de 33 acciones de mejora en atención a las recomendaciones planteadas por la </w:t>
            </w:r>
            <w:r w:rsidRPr="005F7380">
              <w:rPr>
                <w:rFonts w:ascii="Verdana" w:hAnsi="Verdana" w:cs="Arial"/>
                <w:sz w:val="20"/>
                <w:szCs w:val="20"/>
              </w:rPr>
              <w:lastRenderedPageBreak/>
              <w:t>Agencia, las cuales podrán ser monitoreadas por la SAGR en el corto plazo en la DIAN y Coljuegos.</w:t>
            </w:r>
          </w:p>
          <w:p w14:paraId="7EC5BD9F" w14:textId="77777777" w:rsidR="007D7AC8" w:rsidRPr="005F7380" w:rsidRDefault="007D7AC8" w:rsidP="007D7AC8">
            <w:pPr>
              <w:jc w:val="both"/>
              <w:rPr>
                <w:rFonts w:ascii="Verdana" w:hAnsi="Verdana" w:cs="Arial"/>
                <w:sz w:val="20"/>
                <w:szCs w:val="20"/>
              </w:rPr>
            </w:pPr>
          </w:p>
          <w:p w14:paraId="03088656" w14:textId="77777777" w:rsidR="007D7AC8" w:rsidRPr="005F7380" w:rsidRDefault="007D7AC8" w:rsidP="007D7AC8">
            <w:pPr>
              <w:jc w:val="both"/>
              <w:rPr>
                <w:rFonts w:ascii="Verdana" w:hAnsi="Verdana" w:cs="Arial"/>
                <w:sz w:val="20"/>
                <w:szCs w:val="20"/>
              </w:rPr>
            </w:pPr>
            <w:r w:rsidRPr="005F7380">
              <w:rPr>
                <w:rFonts w:ascii="Verdana" w:hAnsi="Verdana" w:cs="Arial"/>
                <w:sz w:val="20"/>
                <w:szCs w:val="20"/>
              </w:rPr>
              <w:t>la Agencia ha considerado los informes de alerta como una buena práctica en la misión preventiva con el propósito de cerrar los espacios de fraude y corrupción detectados. Por ello, se focalizarán esfuerzos en el desarrollo de las actividades de análisis y de evaluación de riesgos para advertir situaciones de impacto que permitan definir tratamientos oportunos que protejan los procesos de las entidades objeto de control y fortalezcan los controles, haciendo cada vez más efectiva la misionalidad de la Agencia ITRC.</w:t>
            </w:r>
          </w:p>
          <w:p w14:paraId="56037584" w14:textId="76D38BAE" w:rsidR="009B2DD7" w:rsidRPr="00936621" w:rsidRDefault="009B2DD7" w:rsidP="009B2DD7">
            <w:pPr>
              <w:jc w:val="both"/>
              <w:rPr>
                <w:rFonts w:ascii="Verdana" w:hAnsi="Verdana"/>
                <w:sz w:val="20"/>
                <w:szCs w:val="20"/>
              </w:rPr>
            </w:pPr>
          </w:p>
        </w:tc>
      </w:tr>
      <w:tr w:rsidR="009B2DD7" w:rsidRPr="00936621" w14:paraId="091FC89F" w14:textId="77777777" w:rsidTr="002C0A72">
        <w:tc>
          <w:tcPr>
            <w:tcW w:w="2693" w:type="dxa"/>
          </w:tcPr>
          <w:p w14:paraId="32988E2A" w14:textId="77777777" w:rsidR="009B2DD7" w:rsidRPr="00936621" w:rsidRDefault="009B2DD7" w:rsidP="009B2DD7">
            <w:pPr>
              <w:rPr>
                <w:rFonts w:ascii="Verdana" w:hAnsi="Verdana"/>
                <w:b/>
                <w:bCs/>
                <w:sz w:val="20"/>
                <w:szCs w:val="20"/>
                <w:lang w:val="es-MX"/>
              </w:rPr>
            </w:pPr>
            <w:r w:rsidRPr="00936621">
              <w:rPr>
                <w:rFonts w:ascii="Verdana" w:hAnsi="Verdana"/>
                <w:b/>
                <w:bCs/>
                <w:sz w:val="20"/>
                <w:szCs w:val="20"/>
                <w:lang w:val="es-MX"/>
              </w:rPr>
              <w:lastRenderedPageBreak/>
              <w:t>LABOR DISCIPLINARIA</w:t>
            </w:r>
          </w:p>
        </w:tc>
        <w:tc>
          <w:tcPr>
            <w:tcW w:w="7938" w:type="dxa"/>
          </w:tcPr>
          <w:p w14:paraId="416D2051" w14:textId="77777777" w:rsidR="00391CAE" w:rsidRPr="006326C4" w:rsidRDefault="00391CAE" w:rsidP="00391CAE">
            <w:pPr>
              <w:shd w:val="clear" w:color="auto" w:fill="FFFFFF"/>
              <w:spacing w:beforeAutospacing="1" w:afterAutospacing="1" w:line="276" w:lineRule="auto"/>
              <w:jc w:val="both"/>
              <w:rPr>
                <w:rFonts w:ascii="Verdana" w:hAnsi="Verdana" w:cs="Arial"/>
                <w:sz w:val="20"/>
                <w:szCs w:val="20"/>
              </w:rPr>
            </w:pPr>
            <w:r w:rsidRPr="006326C4">
              <w:rPr>
                <w:rFonts w:ascii="Verdana" w:hAnsi="Verdana" w:cs="Arial"/>
                <w:sz w:val="20"/>
                <w:szCs w:val="20"/>
              </w:rPr>
              <w:t xml:space="preserve">De conformidad con el Decreto 074 de 2022, la función misional disciplinaria  frente a los servidores públicos de la DIAN, UGPP y COLJUEGOS, por conductas que se relacionen con las faltas gravísimas establecidas en el artículo 48 de la Ley 734 de 2002 (subrogadas por la Ley 1952 de 2019, modificada por la Ley 2094 de 2021) y cuando resulte necesario para la defensa de los recursos públicos, se desarrolla por: la Subdirección de Instrucción Disciplinaria, encargada de gestionar </w:t>
            </w:r>
            <w:r>
              <w:rPr>
                <w:rFonts w:ascii="Verdana" w:hAnsi="Verdana" w:cs="Arial"/>
                <w:sz w:val="20"/>
                <w:szCs w:val="20"/>
              </w:rPr>
              <w:t xml:space="preserve">la fase de instrucción, </w:t>
            </w:r>
            <w:r w:rsidRPr="006326C4">
              <w:rPr>
                <w:rFonts w:ascii="Verdana" w:hAnsi="Verdana" w:cs="Arial"/>
                <w:sz w:val="20"/>
                <w:szCs w:val="20"/>
              </w:rPr>
              <w:t>desde la noticia hasta la notificación del pliego de cargos o archivo de la actuación; y la Subdirección de Asuntos legales, que asume la actuación a partir de ese momento procesal para adelantar la fase de juzgamiento.</w:t>
            </w:r>
          </w:p>
          <w:p w14:paraId="64929E6C" w14:textId="77777777" w:rsidR="00391CAE" w:rsidRDefault="00391CAE" w:rsidP="009B2DD7">
            <w:pPr>
              <w:shd w:val="clear" w:color="auto" w:fill="FFFFFF"/>
              <w:spacing w:beforeAutospacing="1" w:afterAutospacing="1" w:line="276" w:lineRule="auto"/>
              <w:jc w:val="both"/>
              <w:rPr>
                <w:rFonts w:ascii="Verdana" w:hAnsi="Verdana"/>
                <w:b/>
                <w:bCs/>
                <w:sz w:val="20"/>
                <w:szCs w:val="20"/>
              </w:rPr>
            </w:pPr>
          </w:p>
          <w:p w14:paraId="017CC224" w14:textId="03D38499" w:rsidR="009B2DD7" w:rsidRDefault="009B2DD7" w:rsidP="009B2DD7">
            <w:pPr>
              <w:shd w:val="clear" w:color="auto" w:fill="FFFFFF"/>
              <w:spacing w:beforeAutospacing="1" w:afterAutospacing="1" w:line="276" w:lineRule="auto"/>
              <w:jc w:val="both"/>
              <w:rPr>
                <w:rFonts w:ascii="Verdana" w:hAnsi="Verdana"/>
                <w:b/>
                <w:bCs/>
                <w:sz w:val="20"/>
                <w:szCs w:val="20"/>
              </w:rPr>
            </w:pPr>
            <w:r w:rsidRPr="00936621">
              <w:rPr>
                <w:rFonts w:ascii="Verdana" w:hAnsi="Verdana"/>
                <w:b/>
                <w:bCs/>
                <w:sz w:val="20"/>
                <w:szCs w:val="20"/>
              </w:rPr>
              <w:t xml:space="preserve">Subdirección de Instrucción Disciplinaria </w:t>
            </w:r>
            <w:r w:rsidR="002F5646">
              <w:rPr>
                <w:rFonts w:ascii="Verdana" w:hAnsi="Verdana"/>
                <w:b/>
                <w:bCs/>
                <w:sz w:val="20"/>
                <w:szCs w:val="20"/>
              </w:rPr>
              <w:t>–</w:t>
            </w:r>
            <w:r w:rsidRPr="00936621">
              <w:rPr>
                <w:rFonts w:ascii="Verdana" w:hAnsi="Verdana"/>
                <w:b/>
                <w:bCs/>
                <w:sz w:val="20"/>
                <w:szCs w:val="20"/>
              </w:rPr>
              <w:t xml:space="preserve"> SID</w:t>
            </w:r>
          </w:p>
          <w:p w14:paraId="286FA512" w14:textId="77777777" w:rsidR="002F5646" w:rsidRDefault="002F5646" w:rsidP="002F5646">
            <w:pPr>
              <w:shd w:val="clear" w:color="auto" w:fill="FFFFFF"/>
              <w:spacing w:beforeAutospacing="1" w:afterAutospacing="1" w:line="276" w:lineRule="auto"/>
              <w:jc w:val="both"/>
              <w:rPr>
                <w:rFonts w:ascii="Verdana" w:hAnsi="Verdana"/>
                <w:sz w:val="20"/>
                <w:szCs w:val="20"/>
              </w:rPr>
            </w:pPr>
            <w:r w:rsidRPr="008717DF">
              <w:rPr>
                <w:rFonts w:ascii="Verdana" w:hAnsi="Verdana"/>
                <w:sz w:val="20"/>
                <w:szCs w:val="20"/>
              </w:rPr>
              <w:t>La Subdirección de Instrucción Disciplinaria en desarrollo de su gestión misional</w:t>
            </w:r>
            <w:r>
              <w:rPr>
                <w:rFonts w:ascii="Verdana" w:hAnsi="Verdana"/>
                <w:sz w:val="20"/>
                <w:szCs w:val="20"/>
              </w:rPr>
              <w:t xml:space="preserve"> adelanta la </w:t>
            </w:r>
            <w:r w:rsidRPr="008717DF">
              <w:rPr>
                <w:rFonts w:ascii="Verdana" w:hAnsi="Verdana"/>
                <w:sz w:val="20"/>
                <w:szCs w:val="20"/>
              </w:rPr>
              <w:t>etapa de instrucción de conformidad con el Código General Disciplinario</w:t>
            </w:r>
            <w:r>
              <w:rPr>
                <w:rFonts w:ascii="Verdana" w:hAnsi="Verdana"/>
                <w:sz w:val="20"/>
                <w:szCs w:val="20"/>
              </w:rPr>
              <w:t>.</w:t>
            </w:r>
            <w:r w:rsidRPr="008717DF">
              <w:rPr>
                <w:rFonts w:ascii="Verdana" w:hAnsi="Verdana"/>
                <w:sz w:val="20"/>
                <w:szCs w:val="20"/>
              </w:rPr>
              <w:t xml:space="preserve"> </w:t>
            </w:r>
            <w:r>
              <w:rPr>
                <w:rFonts w:ascii="Verdana" w:hAnsi="Verdana"/>
                <w:sz w:val="20"/>
                <w:szCs w:val="20"/>
              </w:rPr>
              <w:t>D</w:t>
            </w:r>
            <w:r w:rsidRPr="008717DF">
              <w:rPr>
                <w:rFonts w:ascii="Verdana" w:hAnsi="Verdana"/>
                <w:sz w:val="20"/>
                <w:szCs w:val="20"/>
              </w:rPr>
              <w:t>urante la vigencia 2023, tramitó un total de 578 procesos disciplinarios; dentro de los cuales, profirió más de 900 decisiones; de estas, 21 corresponden a pliego de cargos en contra de contra de servidores públicos de las entidades vigiladas</w:t>
            </w:r>
            <w:r>
              <w:rPr>
                <w:rFonts w:ascii="Verdana" w:hAnsi="Verdana"/>
                <w:sz w:val="20"/>
                <w:szCs w:val="20"/>
              </w:rPr>
              <w:t>.</w:t>
            </w:r>
          </w:p>
          <w:p w14:paraId="604A8BE6" w14:textId="77777777" w:rsidR="00E57CB3" w:rsidRPr="008717DF" w:rsidRDefault="00E57CB3" w:rsidP="002F5646">
            <w:pPr>
              <w:shd w:val="clear" w:color="auto" w:fill="FFFFFF"/>
              <w:spacing w:beforeAutospacing="1" w:afterAutospacing="1" w:line="276" w:lineRule="auto"/>
              <w:jc w:val="both"/>
              <w:rPr>
                <w:rFonts w:ascii="Verdana" w:hAnsi="Verdana"/>
                <w:sz w:val="20"/>
                <w:szCs w:val="20"/>
              </w:rPr>
            </w:pPr>
          </w:p>
          <w:p w14:paraId="262DCF58" w14:textId="77777777" w:rsidR="009B2DD7" w:rsidRPr="00936621" w:rsidRDefault="009B2DD7" w:rsidP="009B2DD7">
            <w:pPr>
              <w:shd w:val="clear" w:color="auto" w:fill="FFFFFF"/>
              <w:spacing w:beforeAutospacing="1" w:afterAutospacing="1" w:line="276" w:lineRule="auto"/>
              <w:jc w:val="both"/>
              <w:rPr>
                <w:rFonts w:ascii="Verdana" w:hAnsi="Verdana"/>
                <w:b/>
                <w:bCs/>
                <w:sz w:val="20"/>
                <w:szCs w:val="20"/>
              </w:rPr>
            </w:pPr>
            <w:r w:rsidRPr="00936621">
              <w:rPr>
                <w:rFonts w:ascii="Verdana" w:hAnsi="Verdana"/>
                <w:b/>
                <w:bCs/>
                <w:sz w:val="20"/>
                <w:szCs w:val="20"/>
              </w:rPr>
              <w:t>Subdirección de Asuntos Legales</w:t>
            </w:r>
          </w:p>
          <w:p w14:paraId="2054C542" w14:textId="4497100A" w:rsidR="00E57CB3" w:rsidRPr="00E57CB3" w:rsidRDefault="00E57CB3" w:rsidP="00E57CB3">
            <w:pPr>
              <w:pStyle w:val="xmsonormal"/>
              <w:shd w:val="clear" w:color="auto" w:fill="FFFFFF"/>
              <w:spacing w:after="0" w:line="276" w:lineRule="auto"/>
              <w:jc w:val="both"/>
              <w:rPr>
                <w:rFonts w:ascii="Verdana" w:hAnsi="Verdana"/>
                <w:sz w:val="20"/>
                <w:szCs w:val="20"/>
              </w:rPr>
            </w:pPr>
            <w:r w:rsidRPr="00E57CB3">
              <w:rPr>
                <w:rFonts w:ascii="Verdana" w:hAnsi="Verdana"/>
                <w:sz w:val="20"/>
                <w:szCs w:val="20"/>
              </w:rPr>
              <w:t xml:space="preserve">La Subdirección de Asuntos Legales en su gestión misional adelanta la etapa de Juzgamiento de conformidad con el Código General Disciplinario. Durante la Vigencia 2023 se recibieron 33 procesos con pliegos de cargos una vez notificados, dentro de los cuales se adelantó el trámite; se profirieron 936 autos o decisiones interlocutorias o de fondo, práctica de pruebas y audiencias en el quehacer propio de la actuación disciplinaria, sin perjuicio de </w:t>
            </w:r>
            <w:r w:rsidRPr="00E57CB3">
              <w:rPr>
                <w:rFonts w:ascii="Verdana" w:hAnsi="Verdana"/>
                <w:sz w:val="20"/>
                <w:szCs w:val="20"/>
              </w:rPr>
              <w:lastRenderedPageBreak/>
              <w:t>los trámites del proceso verbal y 14 fallos disciplinarios de primera instancia, debidamente ejecutoriados.</w:t>
            </w:r>
          </w:p>
          <w:p w14:paraId="213F0140" w14:textId="6F2025C1" w:rsidR="009B2DD7" w:rsidRPr="00936621" w:rsidRDefault="00E57CB3" w:rsidP="00E57CB3">
            <w:pPr>
              <w:pStyle w:val="xmsonormal"/>
              <w:shd w:val="clear" w:color="auto" w:fill="FFFFFF"/>
              <w:spacing w:before="0" w:beforeAutospacing="0" w:after="0" w:afterAutospacing="0" w:line="276" w:lineRule="auto"/>
              <w:jc w:val="both"/>
              <w:rPr>
                <w:rFonts w:ascii="Verdana" w:hAnsi="Verdana"/>
                <w:sz w:val="20"/>
                <w:szCs w:val="20"/>
              </w:rPr>
            </w:pPr>
            <w:r w:rsidRPr="00E57CB3">
              <w:rPr>
                <w:rFonts w:ascii="Verdana" w:hAnsi="Verdana"/>
                <w:sz w:val="20"/>
                <w:szCs w:val="20"/>
              </w:rPr>
              <w:t>Además la Subdirección de Asuntos legales en la vigencia de 2023; adelantó análisis continuo de la existencia de estructuras criminales y modus operandi complejo, elaborando los respectivos informes; elaboró y público la “Guía de Pruebas en la Etapa de Juzgamiento de los Procesos Disciplinarios de la Subdirección de Asuntos Legales”; y elaboró proyecto de “Guía para la identificación de estructuras criminales y modus operandi complejos”, en tarea conjunta con la Subdirección de Instrucción Disciplinaria. El documento ya ha sido publicado en el SIG de la Entidad.</w:t>
            </w:r>
          </w:p>
        </w:tc>
      </w:tr>
      <w:tr w:rsidR="009B2DD7" w:rsidRPr="00936621" w14:paraId="0299E20B" w14:textId="77777777" w:rsidTr="002C0A72">
        <w:tc>
          <w:tcPr>
            <w:tcW w:w="2693" w:type="dxa"/>
          </w:tcPr>
          <w:p w14:paraId="05610531" w14:textId="0B9829E3" w:rsidR="009B2DD7" w:rsidRPr="00936621" w:rsidRDefault="009B2DD7" w:rsidP="009B2DD7">
            <w:pPr>
              <w:rPr>
                <w:rFonts w:ascii="Verdana" w:hAnsi="Verdana"/>
                <w:b/>
                <w:bCs/>
                <w:sz w:val="20"/>
                <w:szCs w:val="20"/>
                <w:lang w:val="es-MX"/>
              </w:rPr>
            </w:pPr>
            <w:r w:rsidRPr="00936621">
              <w:rPr>
                <w:rFonts w:ascii="Verdana" w:hAnsi="Verdana"/>
                <w:b/>
                <w:bCs/>
                <w:sz w:val="20"/>
                <w:szCs w:val="20"/>
                <w:lang w:val="es-MX"/>
              </w:rPr>
              <w:lastRenderedPageBreak/>
              <w:t>OBSERVATORIO DE FRAUDE Y CORRUPCIÓN</w:t>
            </w:r>
          </w:p>
        </w:tc>
        <w:tc>
          <w:tcPr>
            <w:tcW w:w="7938" w:type="dxa"/>
          </w:tcPr>
          <w:p w14:paraId="16200DBD" w14:textId="77777777" w:rsidR="009B2DD7" w:rsidRPr="00936621" w:rsidRDefault="009B2DD7" w:rsidP="009B2DD7">
            <w:pPr>
              <w:contextualSpacing/>
              <w:jc w:val="both"/>
              <w:rPr>
                <w:rFonts w:ascii="Verdana" w:hAnsi="Verdana"/>
                <w:sz w:val="20"/>
                <w:szCs w:val="20"/>
              </w:rPr>
            </w:pPr>
            <w:r w:rsidRPr="00936621">
              <w:rPr>
                <w:rFonts w:ascii="Verdana" w:hAnsi="Verdana"/>
                <w:sz w:val="20"/>
                <w:szCs w:val="20"/>
              </w:rPr>
              <w:t>A través, de la h</w:t>
            </w:r>
            <w:r w:rsidRPr="00936621">
              <w:rPr>
                <w:rFonts w:ascii="Verdana" w:hAnsi="Verdana" w:cs="Arial"/>
                <w:sz w:val="20"/>
                <w:szCs w:val="20"/>
              </w:rPr>
              <w:t xml:space="preserve">erramienta institucional para la investigación, medición, formación e interacción con la ciudadanía frente a la lucha contra el fraude y la corrupción en la administración de tributos, rentas y contribuciones parafiscales – Observatorio de Fraude y Corrupción de la Agencia ITRC, </w:t>
            </w:r>
            <w:r w:rsidRPr="00936621">
              <w:rPr>
                <w:rFonts w:ascii="Verdana" w:hAnsi="Verdana"/>
                <w:b/>
                <w:bCs/>
                <w:sz w:val="20"/>
                <w:szCs w:val="20"/>
              </w:rPr>
              <w:t xml:space="preserve">en la vigencia 2023 </w:t>
            </w:r>
            <w:r w:rsidRPr="00936621">
              <w:rPr>
                <w:rFonts w:ascii="Verdana" w:hAnsi="Verdana"/>
                <w:sz w:val="20"/>
                <w:szCs w:val="20"/>
              </w:rPr>
              <w:t>se visualizaron los siguientes resultados de la labor misional y se realizó acercamiento a la ciudadanía de acuerdo con su estructura, así:</w:t>
            </w:r>
          </w:p>
          <w:p w14:paraId="66BBCBB9" w14:textId="77777777" w:rsidR="009B2DD7" w:rsidRPr="00936621" w:rsidRDefault="009B2DD7" w:rsidP="009B2DD7">
            <w:pPr>
              <w:contextualSpacing/>
              <w:jc w:val="both"/>
              <w:rPr>
                <w:rFonts w:ascii="Verdana" w:hAnsi="Verdana"/>
                <w:b/>
                <w:bCs/>
                <w:sz w:val="20"/>
                <w:szCs w:val="20"/>
              </w:rPr>
            </w:pPr>
          </w:p>
          <w:p w14:paraId="4D835DA9" w14:textId="77777777" w:rsidR="009B2DD7" w:rsidRPr="00936621" w:rsidRDefault="009B2DD7" w:rsidP="009B2DD7">
            <w:pPr>
              <w:contextualSpacing/>
              <w:jc w:val="both"/>
              <w:rPr>
                <w:rFonts w:ascii="Verdana" w:hAnsi="Verdana"/>
                <w:b/>
                <w:bCs/>
                <w:sz w:val="20"/>
                <w:szCs w:val="20"/>
              </w:rPr>
            </w:pPr>
            <w:r w:rsidRPr="00936621">
              <w:rPr>
                <w:rFonts w:ascii="Verdana" w:hAnsi="Verdana"/>
                <w:b/>
                <w:bCs/>
                <w:sz w:val="20"/>
                <w:szCs w:val="20"/>
              </w:rPr>
              <w:t xml:space="preserve">Eje de Medición: </w:t>
            </w:r>
            <w:r w:rsidRPr="00936621">
              <w:rPr>
                <w:rFonts w:ascii="Verdana" w:hAnsi="Verdana" w:cs="Arial"/>
                <w:sz w:val="20"/>
                <w:szCs w:val="20"/>
              </w:rPr>
              <w:t xml:space="preserve">se actualizan trimestralmente los tableros de Control, que permiten a través de indicadores estructurados, la visualización de resultados obtenidos en desarrollo de la Labor Preventiva y Sancionatoria de la Agencia ITRC de acuerdo con los lineamientos establecidos en documento metodológico, ofreciendo datos confiables para consulta de los ciudadanos. </w:t>
            </w:r>
          </w:p>
          <w:p w14:paraId="43ACF3FC" w14:textId="77777777" w:rsidR="009B2DD7" w:rsidRPr="00936621" w:rsidRDefault="009B2DD7" w:rsidP="009B2DD7">
            <w:pPr>
              <w:jc w:val="both"/>
              <w:textAlignment w:val="baseline"/>
              <w:rPr>
                <w:rFonts w:ascii="Verdana" w:hAnsi="Verdana" w:cs="Arial"/>
                <w:sz w:val="20"/>
                <w:szCs w:val="20"/>
              </w:rPr>
            </w:pPr>
          </w:p>
          <w:p w14:paraId="5D18F159" w14:textId="77777777" w:rsidR="009B2DD7" w:rsidRPr="00936621" w:rsidRDefault="009B2DD7" w:rsidP="009B2DD7">
            <w:pPr>
              <w:contextualSpacing/>
              <w:jc w:val="both"/>
              <w:rPr>
                <w:rFonts w:ascii="Verdana" w:eastAsia="Times New Roman" w:hAnsi="Verdana" w:cs="Arial"/>
                <w:sz w:val="20"/>
                <w:szCs w:val="20"/>
                <w:lang w:eastAsia="es-CO"/>
              </w:rPr>
            </w:pPr>
            <w:r w:rsidRPr="00936621">
              <w:rPr>
                <w:rFonts w:ascii="Verdana" w:hAnsi="Verdana"/>
                <w:b/>
                <w:bCs/>
                <w:sz w:val="20"/>
                <w:szCs w:val="20"/>
              </w:rPr>
              <w:t xml:space="preserve">Eje de Educación: </w:t>
            </w:r>
            <w:r w:rsidRPr="00936621">
              <w:rPr>
                <w:rFonts w:ascii="Verdana" w:eastAsia="Times New Roman" w:hAnsi="Verdana" w:cs="Arial"/>
                <w:sz w:val="20"/>
                <w:szCs w:val="20"/>
                <w:lang w:eastAsia="es-CO"/>
              </w:rPr>
              <w:t xml:space="preserve">se desarrollaron actividades pedagógicas, tales como capacitaciones sobre la misión de la Agencia, orientadas a la vinculación ciudadana en la lucha contra la corrupción para diferentes grupos de interés y de valor incluida niñas, niños y adolescentes, realizando sensibilización al tema de “denuncia efectiva”. Se desarrolló material investigativo y educativo que incluye el uso de herramientas tecnológicas.   </w:t>
            </w:r>
          </w:p>
          <w:p w14:paraId="20EFC544" w14:textId="77777777" w:rsidR="009B2DD7" w:rsidRPr="00936621" w:rsidRDefault="009B2DD7" w:rsidP="009B2DD7">
            <w:pPr>
              <w:contextualSpacing/>
              <w:jc w:val="both"/>
              <w:rPr>
                <w:rFonts w:ascii="Verdana" w:hAnsi="Verdana"/>
                <w:b/>
                <w:bCs/>
                <w:sz w:val="20"/>
                <w:szCs w:val="20"/>
              </w:rPr>
            </w:pPr>
          </w:p>
          <w:p w14:paraId="296F84B1" w14:textId="77777777" w:rsidR="009B2DD7" w:rsidRPr="00936621" w:rsidRDefault="009B2DD7" w:rsidP="009B2DD7">
            <w:pPr>
              <w:contextualSpacing/>
              <w:jc w:val="both"/>
              <w:rPr>
                <w:rFonts w:ascii="Verdana" w:eastAsia="Times New Roman" w:hAnsi="Verdana" w:cs="Arial"/>
                <w:sz w:val="20"/>
                <w:szCs w:val="20"/>
                <w:lang w:eastAsia="es-CO"/>
              </w:rPr>
            </w:pPr>
            <w:r w:rsidRPr="00936621">
              <w:rPr>
                <w:rFonts w:ascii="Verdana" w:hAnsi="Verdana"/>
                <w:b/>
                <w:bCs/>
                <w:sz w:val="20"/>
                <w:szCs w:val="20"/>
              </w:rPr>
              <w:t>Eje de Participación:</w:t>
            </w:r>
            <w:r w:rsidRPr="00936621">
              <w:rPr>
                <w:rFonts w:ascii="Verdana" w:eastAsia="Times New Roman" w:hAnsi="Verdana" w:cs="Arial"/>
                <w:sz w:val="20"/>
                <w:szCs w:val="20"/>
                <w:lang w:eastAsia="es-CO"/>
              </w:rPr>
              <w:t xml:space="preserve"> Se motivó la participación de la ciudadanía mediante talleres regionales impactando zonas geográficas como Leticia (Amazonas), El Archipiélago de San Andrés, Providencia y Santa Catalina, Riohacha (Guajira), Sincelejo (Sucre), Barranquilla (Atlántico).</w:t>
            </w:r>
          </w:p>
          <w:p w14:paraId="36423C9D" w14:textId="77777777" w:rsidR="009B2DD7" w:rsidRPr="00936621" w:rsidRDefault="009B2DD7" w:rsidP="009B2DD7">
            <w:pPr>
              <w:contextualSpacing/>
              <w:jc w:val="both"/>
              <w:rPr>
                <w:rFonts w:ascii="Verdana" w:eastAsia="Times New Roman" w:hAnsi="Verdana" w:cs="Arial"/>
                <w:sz w:val="20"/>
                <w:szCs w:val="20"/>
                <w:lang w:eastAsia="es-CO"/>
              </w:rPr>
            </w:pPr>
          </w:p>
          <w:p w14:paraId="261C235C" w14:textId="77777777" w:rsidR="009B2DD7" w:rsidRPr="00936621" w:rsidRDefault="009B2DD7" w:rsidP="009B2DD7">
            <w:pPr>
              <w:contextualSpacing/>
              <w:jc w:val="both"/>
              <w:rPr>
                <w:rFonts w:ascii="Verdana" w:eastAsia="Times New Roman" w:hAnsi="Verdana" w:cs="Arial"/>
                <w:sz w:val="20"/>
                <w:szCs w:val="20"/>
                <w:lang w:eastAsia="es-CO"/>
              </w:rPr>
            </w:pPr>
            <w:r w:rsidRPr="00936621">
              <w:rPr>
                <w:rFonts w:ascii="Verdana" w:hAnsi="Verdana"/>
                <w:b/>
                <w:bCs/>
                <w:sz w:val="20"/>
                <w:szCs w:val="20"/>
              </w:rPr>
              <w:t xml:space="preserve">Cooperación Interinstitucional: </w:t>
            </w:r>
          </w:p>
          <w:p w14:paraId="20854F79" w14:textId="77777777" w:rsidR="009B2DD7" w:rsidRPr="00936621" w:rsidRDefault="009B2DD7" w:rsidP="009B2DD7">
            <w:pPr>
              <w:contextualSpacing/>
              <w:jc w:val="both"/>
              <w:rPr>
                <w:rFonts w:ascii="Verdana" w:eastAsia="Times New Roman" w:hAnsi="Verdana" w:cs="Arial"/>
                <w:sz w:val="20"/>
                <w:szCs w:val="20"/>
                <w:lang w:eastAsia="es-CO"/>
              </w:rPr>
            </w:pPr>
          </w:p>
          <w:p w14:paraId="3546A0A3" w14:textId="77777777" w:rsidR="009B2DD7" w:rsidRPr="00936621" w:rsidRDefault="009B2DD7" w:rsidP="009B2DD7">
            <w:pPr>
              <w:contextualSpacing/>
              <w:jc w:val="both"/>
              <w:rPr>
                <w:rFonts w:ascii="Verdana" w:eastAsia="Times New Roman" w:hAnsi="Verdana" w:cs="Arial"/>
                <w:sz w:val="20"/>
                <w:szCs w:val="20"/>
                <w:lang w:eastAsia="es-CO"/>
              </w:rPr>
            </w:pPr>
            <w:r w:rsidRPr="00936621">
              <w:rPr>
                <w:rFonts w:ascii="Verdana" w:eastAsia="Times New Roman" w:hAnsi="Verdana" w:cs="Arial"/>
                <w:sz w:val="20"/>
                <w:szCs w:val="20"/>
                <w:lang w:eastAsia="es-CO"/>
              </w:rPr>
              <w:t xml:space="preserve">Se fortalece el relacionamiento con entidades públicas, privadas, gremios, academia; se mantienen las acciones de cooperación en materia de integridad y transparencia internacional con diferentes países del mundo, la Oficina de Asistencia Técnica del Tesoro de los Estados Unidos -OTA, Organización para la Cooperación y Desarrollo Económico -OCDE, Centro Interamericano de Administraciones Tributarias -CIAT, entre otras.  Se realizaron jornadas de asistencia técnica lideradas por la Agencia ITRC para la Unidad de Asuntos Internos del Ministerio de Hacienda de Costa Rica. </w:t>
            </w:r>
          </w:p>
          <w:p w14:paraId="718D5239" w14:textId="77777777" w:rsidR="009B2DD7" w:rsidRPr="00936621" w:rsidRDefault="009B2DD7" w:rsidP="009B2DD7">
            <w:pPr>
              <w:contextualSpacing/>
              <w:jc w:val="both"/>
              <w:rPr>
                <w:rFonts w:ascii="Verdana" w:eastAsia="Times New Roman" w:hAnsi="Verdana" w:cs="Arial"/>
                <w:sz w:val="20"/>
                <w:szCs w:val="20"/>
                <w:lang w:eastAsia="es-CO"/>
              </w:rPr>
            </w:pPr>
          </w:p>
          <w:p w14:paraId="559839B6" w14:textId="77777777" w:rsidR="009B2DD7" w:rsidRPr="00936621" w:rsidRDefault="009B2DD7" w:rsidP="009B2DD7">
            <w:pPr>
              <w:contextualSpacing/>
              <w:jc w:val="both"/>
              <w:rPr>
                <w:rFonts w:ascii="Verdana" w:eastAsia="Times New Roman" w:hAnsi="Verdana" w:cs="Arial"/>
                <w:sz w:val="20"/>
                <w:szCs w:val="20"/>
                <w:lang w:eastAsia="es-CO"/>
              </w:rPr>
            </w:pPr>
            <w:r w:rsidRPr="00936621">
              <w:rPr>
                <w:rFonts w:ascii="Verdana" w:eastAsia="Times New Roman" w:hAnsi="Verdana" w:cs="Arial"/>
                <w:sz w:val="20"/>
                <w:szCs w:val="20"/>
                <w:lang w:eastAsia="es-CO"/>
              </w:rPr>
              <w:lastRenderedPageBreak/>
              <w:t>Asistencia y permanente colaboración con la Red Nacional de Observatorios Anticorrupción – RENOBA, liderado por la secretaria de Transparencia de la Presidencia de la República de conformidad con el artículo 200 del Plan Nacional de Desarrollo</w:t>
            </w:r>
          </w:p>
          <w:p w14:paraId="4BEACF43" w14:textId="77777777" w:rsidR="009B2DD7" w:rsidRPr="00936621" w:rsidRDefault="009B2DD7" w:rsidP="009B2DD7">
            <w:pPr>
              <w:pStyle w:val="Piedepgina"/>
              <w:contextualSpacing/>
              <w:jc w:val="both"/>
              <w:rPr>
                <w:rFonts w:ascii="Verdana" w:eastAsia="Times New Roman" w:hAnsi="Verdana" w:cs="Arial"/>
                <w:sz w:val="20"/>
                <w:szCs w:val="20"/>
                <w:lang w:eastAsia="es-CO"/>
              </w:rPr>
            </w:pPr>
          </w:p>
          <w:p w14:paraId="7610EE7B" w14:textId="0A1E1682" w:rsidR="009B2DD7" w:rsidRPr="00936621" w:rsidRDefault="009B2DD7" w:rsidP="009B2DD7">
            <w:pPr>
              <w:shd w:val="clear" w:color="auto" w:fill="FFFFFF"/>
              <w:spacing w:beforeAutospacing="1" w:afterAutospacing="1" w:line="276" w:lineRule="auto"/>
              <w:jc w:val="both"/>
              <w:rPr>
                <w:rFonts w:ascii="Verdana" w:hAnsi="Verdana"/>
                <w:sz w:val="20"/>
                <w:szCs w:val="20"/>
              </w:rPr>
            </w:pPr>
            <w:r w:rsidRPr="00936621">
              <w:rPr>
                <w:rFonts w:ascii="Verdana" w:eastAsia="Times New Roman" w:hAnsi="Verdana" w:cs="Arial"/>
                <w:sz w:val="20"/>
                <w:szCs w:val="20"/>
                <w:lang w:eastAsia="es-CO"/>
              </w:rPr>
              <w:t>La Agencia ITRC a través del Observatorio de Fraude y Corrupción llegó en 2023 a más de 10.500 ciudadanos.</w:t>
            </w:r>
          </w:p>
        </w:tc>
      </w:tr>
    </w:tbl>
    <w:p w14:paraId="16EC040F" w14:textId="77777777" w:rsidR="002C0A72" w:rsidRPr="00936621" w:rsidRDefault="002C0A72" w:rsidP="002C0A72">
      <w:pPr>
        <w:jc w:val="both"/>
        <w:rPr>
          <w:rFonts w:ascii="Verdana" w:hAnsi="Verdana"/>
          <w:b/>
          <w:bCs/>
        </w:rPr>
      </w:pPr>
    </w:p>
    <w:p w14:paraId="14562972" w14:textId="77777777" w:rsidR="002C0A72" w:rsidRPr="00936621" w:rsidRDefault="002C0A72" w:rsidP="002C0A72">
      <w:pPr>
        <w:jc w:val="both"/>
        <w:rPr>
          <w:rFonts w:ascii="Verdana" w:hAnsi="Verdana"/>
          <w:b/>
          <w:bCs/>
        </w:rPr>
      </w:pPr>
    </w:p>
    <w:tbl>
      <w:tblPr>
        <w:tblStyle w:val="Tablaconcuadrcula"/>
        <w:tblW w:w="10632" w:type="dxa"/>
        <w:tblInd w:w="-856" w:type="dxa"/>
        <w:tblLook w:val="04A0" w:firstRow="1" w:lastRow="0" w:firstColumn="1" w:lastColumn="0" w:noHBand="0" w:noVBand="1"/>
      </w:tblPr>
      <w:tblGrid>
        <w:gridCol w:w="1938"/>
        <w:gridCol w:w="1840"/>
        <w:gridCol w:w="6854"/>
      </w:tblGrid>
      <w:tr w:rsidR="002C0A72" w:rsidRPr="00936621" w14:paraId="275A408F" w14:textId="77777777" w:rsidTr="002C0A72">
        <w:tc>
          <w:tcPr>
            <w:tcW w:w="10632" w:type="dxa"/>
            <w:gridSpan w:val="3"/>
            <w:vAlign w:val="center"/>
          </w:tcPr>
          <w:p w14:paraId="1026460E" w14:textId="77777777" w:rsidR="002C0A72" w:rsidRPr="00936621" w:rsidRDefault="002C0A72" w:rsidP="007A3BFF">
            <w:pPr>
              <w:jc w:val="center"/>
              <w:rPr>
                <w:rFonts w:ascii="Verdana" w:hAnsi="Verdana" w:cs="Arial"/>
                <w:b/>
                <w:bCs/>
                <w:sz w:val="20"/>
                <w:szCs w:val="20"/>
              </w:rPr>
            </w:pPr>
            <w:r w:rsidRPr="00936621">
              <w:rPr>
                <w:rFonts w:ascii="Verdana" w:hAnsi="Verdana" w:cs="Arial"/>
                <w:b/>
                <w:bCs/>
                <w:sz w:val="20"/>
                <w:szCs w:val="20"/>
              </w:rPr>
              <w:t>INVERSIÓN</w:t>
            </w:r>
          </w:p>
        </w:tc>
      </w:tr>
      <w:tr w:rsidR="002C0A72" w:rsidRPr="00936621" w14:paraId="3AD15BC8" w14:textId="77777777" w:rsidTr="002C0A72">
        <w:tc>
          <w:tcPr>
            <w:tcW w:w="1938" w:type="dxa"/>
          </w:tcPr>
          <w:p w14:paraId="4C6B6DA3" w14:textId="77777777" w:rsidR="002C0A72" w:rsidRPr="00936621" w:rsidRDefault="002C0A72" w:rsidP="007A3BFF">
            <w:pPr>
              <w:rPr>
                <w:rFonts w:ascii="Verdana" w:hAnsi="Verdana" w:cs="Arial"/>
                <w:b/>
                <w:bCs/>
                <w:sz w:val="20"/>
                <w:szCs w:val="20"/>
              </w:rPr>
            </w:pPr>
            <w:r w:rsidRPr="00936621">
              <w:rPr>
                <w:rFonts w:ascii="Verdana" w:hAnsi="Verdana" w:cs="Arial"/>
                <w:b/>
                <w:bCs/>
                <w:sz w:val="20"/>
                <w:szCs w:val="20"/>
              </w:rPr>
              <w:t>PROGRAMA</w:t>
            </w:r>
          </w:p>
        </w:tc>
        <w:tc>
          <w:tcPr>
            <w:tcW w:w="1840" w:type="dxa"/>
          </w:tcPr>
          <w:p w14:paraId="5059EF30" w14:textId="77777777" w:rsidR="002C0A72" w:rsidRPr="00936621" w:rsidRDefault="002C0A72" w:rsidP="007A3BFF">
            <w:pPr>
              <w:rPr>
                <w:rFonts w:ascii="Verdana" w:hAnsi="Verdana" w:cs="Arial"/>
                <w:b/>
                <w:bCs/>
                <w:sz w:val="20"/>
                <w:szCs w:val="20"/>
              </w:rPr>
            </w:pPr>
            <w:r w:rsidRPr="00936621">
              <w:rPr>
                <w:rFonts w:ascii="Verdana" w:hAnsi="Verdana" w:cs="Arial"/>
                <w:b/>
                <w:bCs/>
                <w:sz w:val="20"/>
                <w:szCs w:val="20"/>
              </w:rPr>
              <w:t>PROYECTO</w:t>
            </w:r>
          </w:p>
        </w:tc>
        <w:tc>
          <w:tcPr>
            <w:tcW w:w="6854" w:type="dxa"/>
          </w:tcPr>
          <w:p w14:paraId="2539F0A3" w14:textId="77777777" w:rsidR="002C0A72" w:rsidRPr="00936621" w:rsidRDefault="002C0A72" w:rsidP="007A3BFF">
            <w:pPr>
              <w:jc w:val="center"/>
              <w:rPr>
                <w:rFonts w:ascii="Verdana" w:hAnsi="Verdana" w:cs="Arial"/>
                <w:b/>
                <w:bCs/>
                <w:sz w:val="20"/>
                <w:szCs w:val="20"/>
              </w:rPr>
            </w:pPr>
            <w:r w:rsidRPr="00936621">
              <w:rPr>
                <w:rFonts w:ascii="Verdana" w:hAnsi="Verdana" w:cs="Arial"/>
                <w:b/>
                <w:bCs/>
                <w:sz w:val="20"/>
                <w:szCs w:val="20"/>
              </w:rPr>
              <w:t>RESULTADOS</w:t>
            </w:r>
          </w:p>
        </w:tc>
      </w:tr>
      <w:tr w:rsidR="002C0A72" w:rsidRPr="00936621" w14:paraId="45DCDB58" w14:textId="77777777" w:rsidTr="002C0A72">
        <w:tc>
          <w:tcPr>
            <w:tcW w:w="1938" w:type="dxa"/>
          </w:tcPr>
          <w:p w14:paraId="0CBAD4D6" w14:textId="77777777" w:rsidR="002C0A72" w:rsidRPr="00936621" w:rsidRDefault="002C0A72" w:rsidP="007A3BFF">
            <w:pPr>
              <w:rPr>
                <w:rFonts w:ascii="Verdana" w:hAnsi="Verdana" w:cs="Arial"/>
                <w:sz w:val="20"/>
                <w:szCs w:val="20"/>
              </w:rPr>
            </w:pPr>
            <w:r w:rsidRPr="00936621">
              <w:rPr>
                <w:rFonts w:ascii="Verdana" w:hAnsi="Verdana"/>
                <w:color w:val="000000"/>
                <w:sz w:val="20"/>
                <w:szCs w:val="20"/>
                <w:shd w:val="clear" w:color="auto" w:fill="FFFFFF"/>
              </w:rPr>
              <w:t>Inspección, control y vigilancia financiera, solidaria y de recursos públicos (Programa de Gobierno - Fortalecimiento de la gobernanza e institucionalidad)</w:t>
            </w:r>
          </w:p>
        </w:tc>
        <w:tc>
          <w:tcPr>
            <w:tcW w:w="1840" w:type="dxa"/>
          </w:tcPr>
          <w:p w14:paraId="7683CCA9" w14:textId="77777777" w:rsidR="002C0A72" w:rsidRPr="00936621" w:rsidRDefault="002C0A72" w:rsidP="007A3BFF">
            <w:pPr>
              <w:rPr>
                <w:rFonts w:ascii="Verdana" w:hAnsi="Verdana" w:cs="Arial"/>
                <w:sz w:val="20"/>
                <w:szCs w:val="20"/>
              </w:rPr>
            </w:pPr>
            <w:r w:rsidRPr="00936621">
              <w:rPr>
                <w:rFonts w:ascii="Verdana" w:hAnsi="Verdana" w:cs="Arial"/>
                <w:sz w:val="20"/>
                <w:szCs w:val="20"/>
              </w:rPr>
              <w:t>I</w:t>
            </w:r>
            <w:r w:rsidRPr="00936621">
              <w:rPr>
                <w:rStyle w:val="ui-provider"/>
                <w:rFonts w:ascii="Verdana" w:hAnsi="Verdana"/>
                <w:sz w:val="20"/>
                <w:szCs w:val="20"/>
              </w:rPr>
              <w:t>mplementación Sistema Integral de Información para la Prevención del Fraude y la Corrupción en las Entidades Vigiladas</w:t>
            </w:r>
          </w:p>
        </w:tc>
        <w:tc>
          <w:tcPr>
            <w:tcW w:w="6854" w:type="dxa"/>
          </w:tcPr>
          <w:p w14:paraId="16D0B544" w14:textId="4347D983" w:rsidR="009D6BA2" w:rsidRDefault="009D6BA2" w:rsidP="009D6BA2">
            <w:pPr>
              <w:jc w:val="both"/>
              <w:rPr>
                <w:rFonts w:ascii="Verdana" w:hAnsi="Verdana" w:cs="Arial"/>
                <w:sz w:val="20"/>
                <w:szCs w:val="20"/>
              </w:rPr>
            </w:pPr>
            <w:r>
              <w:rPr>
                <w:rFonts w:ascii="Verdana" w:hAnsi="Verdana" w:cs="Arial"/>
                <w:sz w:val="20"/>
                <w:szCs w:val="20"/>
              </w:rPr>
              <w:t>En la vigencia 2023, s</w:t>
            </w:r>
            <w:r w:rsidRPr="009D6BA2">
              <w:rPr>
                <w:rFonts w:ascii="Verdana" w:hAnsi="Verdana" w:cs="Arial"/>
                <w:sz w:val="20"/>
                <w:szCs w:val="20"/>
              </w:rPr>
              <w:t>e realizaron inversiones que hacen parte fundamental de la adecuada ejecución de las funciones misionales de la entidad:</w:t>
            </w:r>
          </w:p>
          <w:p w14:paraId="0E0C7AA9" w14:textId="77777777" w:rsidR="009D6BA2" w:rsidRPr="009D6BA2" w:rsidRDefault="009D6BA2" w:rsidP="009D6BA2">
            <w:pPr>
              <w:jc w:val="both"/>
              <w:rPr>
                <w:rFonts w:ascii="Verdana" w:hAnsi="Verdana" w:cs="Arial"/>
                <w:sz w:val="20"/>
                <w:szCs w:val="20"/>
              </w:rPr>
            </w:pPr>
          </w:p>
          <w:p w14:paraId="5FC69E49" w14:textId="77777777" w:rsidR="009D6BA2" w:rsidRDefault="009D6BA2" w:rsidP="009D6BA2">
            <w:pPr>
              <w:jc w:val="both"/>
              <w:rPr>
                <w:rFonts w:ascii="Verdana" w:hAnsi="Verdana" w:cs="Arial"/>
                <w:sz w:val="20"/>
                <w:szCs w:val="20"/>
              </w:rPr>
            </w:pPr>
            <w:r w:rsidRPr="009D6BA2">
              <w:rPr>
                <w:rFonts w:ascii="Verdana" w:hAnsi="Verdana" w:cs="Arial"/>
                <w:sz w:val="20"/>
                <w:szCs w:val="20"/>
              </w:rPr>
              <w:t>Se han desarrollado actividades y módulos para mejorar y ampliar las funcionalidades del sistema transversal SIGII. Estas mejoras han facilitado la gestión de evidencias documentales y acciones disciplinarias, la implementación de cambios de fallo, y el registro de PQRS. Se incluyeron adecuaciones, diseño y parametrización, pruebas e implementación en materia implementación Expediente Fiscalización y proceso contractual, Reporte nuevo PQRS y actualización de formularios, nuevo Proceso SAGR y Secretaría General- Financiera, Talento Humano y Administrativa, etapas posteriores de la SID hacia la SDL, notificaciones, equipos de trabajo, TRD, Tableros de Control,  entre otros, además de la incorporación del nuevo Código Disciplinario establecido por la ley 1952 de 2019.</w:t>
            </w:r>
          </w:p>
          <w:p w14:paraId="63B9F269" w14:textId="77777777" w:rsidR="009D6BA2" w:rsidRPr="009D6BA2" w:rsidRDefault="009D6BA2" w:rsidP="009D6BA2">
            <w:pPr>
              <w:jc w:val="both"/>
              <w:rPr>
                <w:rFonts w:ascii="Verdana" w:hAnsi="Verdana" w:cs="Arial"/>
                <w:sz w:val="20"/>
                <w:szCs w:val="20"/>
              </w:rPr>
            </w:pPr>
          </w:p>
          <w:p w14:paraId="61B33347" w14:textId="77777777" w:rsidR="009D6BA2" w:rsidRPr="009D6BA2" w:rsidRDefault="009D6BA2" w:rsidP="009D6BA2">
            <w:pPr>
              <w:jc w:val="both"/>
              <w:rPr>
                <w:rFonts w:ascii="Verdana" w:hAnsi="Verdana" w:cs="Arial"/>
                <w:sz w:val="20"/>
                <w:szCs w:val="20"/>
              </w:rPr>
            </w:pPr>
            <w:r w:rsidRPr="009D6BA2">
              <w:rPr>
                <w:rFonts w:ascii="Verdana" w:hAnsi="Verdana" w:cs="Arial"/>
                <w:sz w:val="20"/>
                <w:szCs w:val="20"/>
              </w:rPr>
              <w:t>De otro lado, con los recursos asignados, se fortaleció la infraestructura tecnológica de la entidad mediante la implementación de un centro de datos virtual. Esta solución incluye un esquema robusto de seguridad informática diseñado para proteger la información sensible de la Agencia ITRC, mantener la operación reduciendo los riesgos de indisponibilidad, respaldo de la información, monitoreo permanente y todos los beneficios asociados a las soluciones en la nube, lo cual es vital para mantener la integridad, disponibilidad y confidencialidad de la información relacionada con investigaciones, gestión documental y sujetos procesales, apoyando así las actuaciones disciplinarias de la entidad y el cumplimiento de los objetivos institucionales de la Agencia.</w:t>
            </w:r>
          </w:p>
          <w:p w14:paraId="4EA90976" w14:textId="77777777" w:rsidR="002C0A72" w:rsidRPr="009D6BA2" w:rsidRDefault="002C0A72" w:rsidP="007A3BFF">
            <w:pPr>
              <w:jc w:val="both"/>
              <w:rPr>
                <w:rFonts w:ascii="Verdana" w:hAnsi="Verdana" w:cs="Arial"/>
                <w:sz w:val="20"/>
                <w:szCs w:val="20"/>
              </w:rPr>
            </w:pPr>
          </w:p>
        </w:tc>
      </w:tr>
      <w:tr w:rsidR="002C0A72" w:rsidRPr="00936621" w14:paraId="6E6B671D" w14:textId="77777777" w:rsidTr="002C0A72">
        <w:tc>
          <w:tcPr>
            <w:tcW w:w="1938" w:type="dxa"/>
          </w:tcPr>
          <w:p w14:paraId="44D792E3" w14:textId="77777777" w:rsidR="002C0A72" w:rsidRPr="00936621" w:rsidRDefault="002C0A72" w:rsidP="007A3BFF">
            <w:pPr>
              <w:rPr>
                <w:rFonts w:ascii="Verdana" w:hAnsi="Verdana" w:cs="Arial"/>
                <w:sz w:val="20"/>
                <w:szCs w:val="20"/>
              </w:rPr>
            </w:pPr>
            <w:r w:rsidRPr="00936621">
              <w:rPr>
                <w:rFonts w:ascii="Verdana" w:hAnsi="Verdana" w:cs="Arial"/>
                <w:sz w:val="20"/>
                <w:szCs w:val="20"/>
              </w:rPr>
              <w:t xml:space="preserve">Fortalecimiento de la Gestión Y </w:t>
            </w:r>
            <w:r w:rsidRPr="00936621">
              <w:rPr>
                <w:rFonts w:ascii="Verdana" w:hAnsi="Verdana" w:cs="Arial"/>
                <w:sz w:val="20"/>
                <w:szCs w:val="20"/>
              </w:rPr>
              <w:lastRenderedPageBreak/>
              <w:t>Dirección del Sector Hacienda</w:t>
            </w:r>
          </w:p>
        </w:tc>
        <w:tc>
          <w:tcPr>
            <w:tcW w:w="1840" w:type="dxa"/>
          </w:tcPr>
          <w:p w14:paraId="1D2AF917" w14:textId="77777777" w:rsidR="002C0A72" w:rsidRPr="00936621" w:rsidRDefault="002C0A72" w:rsidP="007A3BFF">
            <w:pPr>
              <w:rPr>
                <w:rFonts w:ascii="Verdana" w:hAnsi="Verdana" w:cs="Arial"/>
                <w:sz w:val="20"/>
                <w:szCs w:val="20"/>
              </w:rPr>
            </w:pPr>
            <w:r w:rsidRPr="00936621">
              <w:rPr>
                <w:rFonts w:ascii="Verdana" w:hAnsi="Verdana" w:cs="Arial"/>
                <w:sz w:val="20"/>
                <w:szCs w:val="20"/>
              </w:rPr>
              <w:lastRenderedPageBreak/>
              <w:t xml:space="preserve">Fortalecimiento de la Gestión </w:t>
            </w:r>
            <w:r w:rsidRPr="00936621">
              <w:rPr>
                <w:rFonts w:ascii="Verdana" w:hAnsi="Verdana" w:cs="Arial"/>
                <w:sz w:val="20"/>
                <w:szCs w:val="20"/>
              </w:rPr>
              <w:lastRenderedPageBreak/>
              <w:t>Documental en la Agencia ITRC</w:t>
            </w:r>
          </w:p>
        </w:tc>
        <w:tc>
          <w:tcPr>
            <w:tcW w:w="6854" w:type="dxa"/>
          </w:tcPr>
          <w:p w14:paraId="74873838" w14:textId="15A0AF4F" w:rsidR="007570AA" w:rsidRPr="007570AA" w:rsidRDefault="007570AA" w:rsidP="007570AA">
            <w:pPr>
              <w:jc w:val="both"/>
              <w:rPr>
                <w:rFonts w:ascii="Verdana" w:hAnsi="Verdana" w:cs="Arial"/>
                <w:sz w:val="20"/>
                <w:szCs w:val="20"/>
              </w:rPr>
            </w:pPr>
            <w:r>
              <w:rPr>
                <w:rFonts w:ascii="Verdana" w:hAnsi="Verdana" w:cs="Arial"/>
                <w:sz w:val="20"/>
                <w:szCs w:val="20"/>
              </w:rPr>
              <w:lastRenderedPageBreak/>
              <w:t>P</w:t>
            </w:r>
            <w:r w:rsidRPr="007570AA">
              <w:rPr>
                <w:rFonts w:ascii="Verdana" w:hAnsi="Verdana" w:cs="Arial"/>
                <w:sz w:val="20"/>
                <w:szCs w:val="20"/>
              </w:rPr>
              <w:t>ara la vigencia 2023, se priorizaron actividades de desarrollo e implementación del documento electrónico de archivo en el marco del SGDEA, en los diferentes procesos de la entidad:</w:t>
            </w:r>
          </w:p>
          <w:p w14:paraId="02849FC7" w14:textId="77777777" w:rsidR="007570AA" w:rsidRPr="007570AA" w:rsidRDefault="007570AA" w:rsidP="007570AA">
            <w:pPr>
              <w:jc w:val="both"/>
              <w:rPr>
                <w:rFonts w:ascii="Verdana" w:hAnsi="Verdana" w:cs="Arial"/>
                <w:sz w:val="20"/>
                <w:szCs w:val="20"/>
              </w:rPr>
            </w:pPr>
            <w:r w:rsidRPr="007570AA">
              <w:rPr>
                <w:rFonts w:ascii="Verdana" w:hAnsi="Verdana" w:cs="Arial"/>
                <w:sz w:val="20"/>
                <w:szCs w:val="20"/>
              </w:rPr>
              <w:lastRenderedPageBreak/>
              <w:t xml:space="preserve"> </w:t>
            </w:r>
          </w:p>
          <w:p w14:paraId="34F24A45" w14:textId="25C77A39" w:rsidR="007570AA" w:rsidRPr="007570AA" w:rsidRDefault="007570AA" w:rsidP="007570AA">
            <w:pPr>
              <w:pStyle w:val="Prrafodelista"/>
              <w:numPr>
                <w:ilvl w:val="0"/>
                <w:numId w:val="7"/>
              </w:numPr>
              <w:jc w:val="both"/>
              <w:rPr>
                <w:rFonts w:ascii="Verdana" w:hAnsi="Verdana" w:cs="Arial"/>
                <w:sz w:val="20"/>
                <w:szCs w:val="20"/>
              </w:rPr>
            </w:pPr>
            <w:r w:rsidRPr="007570AA">
              <w:rPr>
                <w:rFonts w:ascii="Verdana" w:hAnsi="Verdana" w:cs="Arial"/>
                <w:sz w:val="20"/>
                <w:szCs w:val="20"/>
              </w:rPr>
              <w:t xml:space="preserve">Segunda fase: proceso contractual implementación desarrollo, pruebas y producción. </w:t>
            </w:r>
          </w:p>
          <w:p w14:paraId="4E17FCA7" w14:textId="4238F9C7" w:rsidR="007570AA" w:rsidRPr="007570AA" w:rsidRDefault="007570AA" w:rsidP="007570AA">
            <w:pPr>
              <w:pStyle w:val="Prrafodelista"/>
              <w:numPr>
                <w:ilvl w:val="0"/>
                <w:numId w:val="7"/>
              </w:numPr>
              <w:jc w:val="both"/>
              <w:rPr>
                <w:rFonts w:ascii="Verdana" w:hAnsi="Verdana" w:cs="Arial"/>
                <w:sz w:val="20"/>
                <w:szCs w:val="20"/>
              </w:rPr>
            </w:pPr>
            <w:r w:rsidRPr="007570AA">
              <w:rPr>
                <w:rFonts w:ascii="Verdana" w:hAnsi="Verdana" w:cs="Arial"/>
                <w:sz w:val="20"/>
                <w:szCs w:val="20"/>
              </w:rPr>
              <w:t>Primera fase: levantamiento de información: proceso subdirección de auditoría y gestión riesgo y la subdirección de asuntos legales, secretaría general- financiera, talento humano y administrativa.</w:t>
            </w:r>
          </w:p>
          <w:p w14:paraId="09447D5F" w14:textId="74C4147F" w:rsidR="007570AA" w:rsidRPr="007570AA" w:rsidRDefault="007570AA" w:rsidP="007570AA">
            <w:pPr>
              <w:pStyle w:val="Prrafodelista"/>
              <w:numPr>
                <w:ilvl w:val="0"/>
                <w:numId w:val="7"/>
              </w:numPr>
              <w:jc w:val="both"/>
              <w:rPr>
                <w:rFonts w:ascii="Verdana" w:hAnsi="Verdana" w:cs="Arial"/>
                <w:sz w:val="20"/>
                <w:szCs w:val="20"/>
              </w:rPr>
            </w:pPr>
            <w:r w:rsidRPr="007570AA">
              <w:rPr>
                <w:rFonts w:ascii="Verdana" w:hAnsi="Verdana" w:cs="Arial"/>
                <w:sz w:val="20"/>
                <w:szCs w:val="20"/>
              </w:rPr>
              <w:t>Cargue e implementación de las TRD en el aplicativo.</w:t>
            </w:r>
          </w:p>
          <w:p w14:paraId="0B8ACA59" w14:textId="7FA6A130" w:rsidR="007570AA" w:rsidRPr="007570AA" w:rsidRDefault="007570AA" w:rsidP="007570AA">
            <w:pPr>
              <w:jc w:val="both"/>
              <w:rPr>
                <w:rFonts w:ascii="Verdana" w:hAnsi="Verdana" w:cs="Arial"/>
                <w:sz w:val="20"/>
                <w:szCs w:val="20"/>
              </w:rPr>
            </w:pPr>
            <w:r w:rsidRPr="007570AA">
              <w:rPr>
                <w:rFonts w:ascii="Verdana" w:hAnsi="Verdana" w:cs="Arial"/>
                <w:sz w:val="20"/>
                <w:szCs w:val="20"/>
              </w:rPr>
              <w:t xml:space="preserve">  </w:t>
            </w:r>
          </w:p>
          <w:p w14:paraId="4F37A669" w14:textId="77777777" w:rsidR="002C0A72" w:rsidRDefault="007570AA" w:rsidP="00551221">
            <w:pPr>
              <w:jc w:val="both"/>
              <w:rPr>
                <w:rFonts w:ascii="Verdana" w:hAnsi="Verdana" w:cs="Arial"/>
                <w:sz w:val="20"/>
                <w:szCs w:val="20"/>
              </w:rPr>
            </w:pPr>
            <w:r>
              <w:rPr>
                <w:rFonts w:ascii="Verdana" w:hAnsi="Verdana" w:cs="Arial"/>
                <w:sz w:val="20"/>
                <w:szCs w:val="20"/>
              </w:rPr>
              <w:t>D</w:t>
            </w:r>
            <w:r w:rsidRPr="007570AA">
              <w:rPr>
                <w:rFonts w:ascii="Verdana" w:hAnsi="Verdana" w:cs="Arial"/>
                <w:sz w:val="20"/>
                <w:szCs w:val="20"/>
              </w:rPr>
              <w:t>e esta forma se garantiza la organización y la información dentro de los expedientes por procesos disciplinarios y auditorias que se adelanten contra los empleados públicos encargados de la administración de tributos, aduanas, control del régimen cambiario de importaciones y exportaciones a cargo de la Dian, contribuciones parafiscales a cargo de la UGPP y rentas de la nación a cargo de Coljuegos, por conductas que se relacionen con las faltas disciplinarias gravísimas.</w:t>
            </w:r>
          </w:p>
          <w:p w14:paraId="0EA516E1" w14:textId="4B116254" w:rsidR="00352DA0" w:rsidRPr="00936621" w:rsidRDefault="00352DA0" w:rsidP="00551221">
            <w:pPr>
              <w:jc w:val="both"/>
              <w:rPr>
                <w:rFonts w:ascii="Verdana" w:hAnsi="Verdana" w:cs="Arial"/>
                <w:sz w:val="20"/>
                <w:szCs w:val="20"/>
                <w:highlight w:val="yellow"/>
              </w:rPr>
            </w:pPr>
          </w:p>
        </w:tc>
      </w:tr>
    </w:tbl>
    <w:p w14:paraId="172C0E1E" w14:textId="77777777" w:rsidR="002C0A72" w:rsidRDefault="002C0A72" w:rsidP="002C0A72">
      <w:pPr>
        <w:jc w:val="both"/>
        <w:rPr>
          <w:rFonts w:ascii="Verdana" w:hAnsi="Verdana"/>
          <w:b/>
          <w:bCs/>
        </w:rPr>
      </w:pPr>
    </w:p>
    <w:p w14:paraId="0C493235" w14:textId="77777777" w:rsidR="00351567" w:rsidRDefault="00351567" w:rsidP="002C0A72">
      <w:pPr>
        <w:jc w:val="both"/>
        <w:rPr>
          <w:rFonts w:ascii="Verdana" w:hAnsi="Verdana"/>
          <w:b/>
          <w:bCs/>
        </w:rPr>
      </w:pPr>
    </w:p>
    <w:p w14:paraId="5094DF1C" w14:textId="77777777" w:rsidR="00CD5AB9" w:rsidRDefault="00CD5AB9" w:rsidP="002C0A72">
      <w:pPr>
        <w:jc w:val="both"/>
        <w:rPr>
          <w:rFonts w:ascii="Verdana" w:hAnsi="Verdana"/>
          <w:b/>
          <w:bCs/>
        </w:rPr>
      </w:pPr>
    </w:p>
    <w:p w14:paraId="06B4F5F4" w14:textId="77777777" w:rsidR="00CD5AB9" w:rsidRDefault="00CD5AB9" w:rsidP="002C0A72">
      <w:pPr>
        <w:jc w:val="both"/>
        <w:rPr>
          <w:rFonts w:ascii="Verdana" w:hAnsi="Verdana"/>
          <w:b/>
          <w:bCs/>
        </w:rPr>
      </w:pPr>
    </w:p>
    <w:p w14:paraId="76CD417F" w14:textId="77777777" w:rsidR="00CD5AB9" w:rsidRDefault="00CD5AB9" w:rsidP="002C0A72">
      <w:pPr>
        <w:jc w:val="both"/>
        <w:rPr>
          <w:rFonts w:ascii="Verdana" w:hAnsi="Verdana"/>
          <w:b/>
          <w:bCs/>
        </w:rPr>
      </w:pPr>
    </w:p>
    <w:p w14:paraId="2EB692BA" w14:textId="5FF73EC0" w:rsidR="002C0A72" w:rsidRPr="00936621" w:rsidRDefault="002C0A72" w:rsidP="002C0A72">
      <w:pPr>
        <w:jc w:val="both"/>
        <w:rPr>
          <w:rFonts w:ascii="Verdana" w:hAnsi="Verdana"/>
          <w:b/>
          <w:bCs/>
        </w:rPr>
      </w:pPr>
      <w:r w:rsidRPr="00936621">
        <w:rPr>
          <w:rFonts w:ascii="Verdana" w:hAnsi="Verdana"/>
          <w:b/>
          <w:bCs/>
        </w:rPr>
        <w:t>8.2 VIGENCIA 2024</w:t>
      </w:r>
    </w:p>
    <w:p w14:paraId="6CC27498" w14:textId="77777777" w:rsidR="00CD5AB9" w:rsidRPr="005F7380" w:rsidRDefault="00CD5AB9" w:rsidP="00CD5AB9">
      <w:pPr>
        <w:pStyle w:val="Descripcin"/>
        <w:keepNext/>
        <w:rPr>
          <w:rFonts w:ascii="Verdana" w:eastAsiaTheme="minorEastAsia" w:hAnsi="Verdana"/>
        </w:rPr>
      </w:pPr>
      <w:r w:rsidRPr="005F7380">
        <w:rPr>
          <w:rFonts w:ascii="Verdana" w:hAnsi="Verdana"/>
        </w:rPr>
        <w:t>Ejecución presupuestal Vigencia 202</w:t>
      </w:r>
      <w:r>
        <w:rPr>
          <w:rFonts w:ascii="Verdana" w:hAnsi="Verdana"/>
        </w:rPr>
        <w:t>4</w:t>
      </w:r>
      <w:r w:rsidRPr="005F7380">
        <w:rPr>
          <w:rFonts w:ascii="Verdana" w:hAnsi="Verdana"/>
        </w:rPr>
        <w:t xml:space="preserve"> (cifras presentadas en millones de pesos)</w:t>
      </w: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61"/>
        <w:gridCol w:w="1422"/>
        <w:gridCol w:w="1422"/>
        <w:gridCol w:w="1687"/>
        <w:gridCol w:w="1321"/>
        <w:gridCol w:w="992"/>
        <w:gridCol w:w="1207"/>
        <w:gridCol w:w="903"/>
      </w:tblGrid>
      <w:tr w:rsidR="00CD5AB9" w:rsidRPr="001C54C6" w14:paraId="0CC61371" w14:textId="77777777" w:rsidTr="007A3BFF">
        <w:trPr>
          <w:trHeight w:val="300"/>
          <w:jc w:val="center"/>
        </w:trPr>
        <w:tc>
          <w:tcPr>
            <w:tcW w:w="1661" w:type="dxa"/>
            <w:vMerge w:val="restart"/>
            <w:tcBorders>
              <w:top w:val="nil"/>
              <w:left w:val="nil"/>
              <w:bottom w:val="nil"/>
              <w:right w:val="single" w:sz="4" w:space="0" w:color="auto"/>
            </w:tcBorders>
            <w:shd w:val="clear" w:color="auto" w:fill="auto"/>
            <w:vAlign w:val="center"/>
            <w:hideMark/>
          </w:tcPr>
          <w:p w14:paraId="7AFFECB1" w14:textId="77777777" w:rsidR="00CD5AB9" w:rsidRPr="001C54C6" w:rsidRDefault="00CD5AB9" w:rsidP="007A3BFF">
            <w:pPr>
              <w:spacing w:after="0" w:line="240" w:lineRule="auto"/>
              <w:jc w:val="center"/>
              <w:rPr>
                <w:rFonts w:ascii="Verdana" w:eastAsia="Times New Roman" w:hAnsi="Verdana" w:cs="Calibri"/>
                <w:color w:val="000000"/>
                <w:kern w:val="0"/>
                <w:sz w:val="18"/>
                <w:szCs w:val="18"/>
                <w:lang w:eastAsia="es-CO"/>
                <w14:ligatures w14:val="none"/>
              </w:rPr>
            </w:pPr>
          </w:p>
        </w:tc>
        <w:tc>
          <w:tcPr>
            <w:tcW w:w="1422" w:type="dxa"/>
            <w:vMerge w:val="restart"/>
            <w:tcBorders>
              <w:left w:val="single" w:sz="4" w:space="0" w:color="auto"/>
            </w:tcBorders>
            <w:shd w:val="clear" w:color="auto" w:fill="auto"/>
            <w:vAlign w:val="center"/>
            <w:hideMark/>
          </w:tcPr>
          <w:p w14:paraId="47283DB5" w14:textId="411585A8" w:rsidR="00CD5AB9" w:rsidRPr="001C54C6" w:rsidRDefault="00CD5AB9" w:rsidP="007A3BFF">
            <w:pPr>
              <w:spacing w:after="0" w:line="240" w:lineRule="auto"/>
              <w:jc w:val="center"/>
              <w:rPr>
                <w:rFonts w:ascii="Verdana" w:eastAsia="Times New Roman" w:hAnsi="Verdana" w:cs="Calibri"/>
                <w:b/>
                <w:bCs/>
                <w:kern w:val="0"/>
                <w:sz w:val="18"/>
                <w:szCs w:val="18"/>
                <w:lang w:eastAsia="es-CO"/>
                <w14:ligatures w14:val="none"/>
              </w:rPr>
            </w:pPr>
            <w:r w:rsidRPr="001C54C6">
              <w:rPr>
                <w:rFonts w:ascii="Verdana" w:eastAsia="Times New Roman" w:hAnsi="Verdana" w:cs="Calibri"/>
                <w:b/>
                <w:bCs/>
                <w:kern w:val="0"/>
                <w:sz w:val="18"/>
                <w:szCs w:val="18"/>
                <w:lang w:eastAsia="es-CO"/>
                <w14:ligatures w14:val="none"/>
              </w:rPr>
              <w:t>Apropiación Inicial</w:t>
            </w:r>
          </w:p>
        </w:tc>
        <w:tc>
          <w:tcPr>
            <w:tcW w:w="1422" w:type="dxa"/>
            <w:vMerge w:val="restart"/>
            <w:shd w:val="clear" w:color="auto" w:fill="auto"/>
            <w:vAlign w:val="center"/>
            <w:hideMark/>
          </w:tcPr>
          <w:p w14:paraId="6DD428E2" w14:textId="71B54E20" w:rsidR="00CD5AB9" w:rsidRPr="001C54C6" w:rsidRDefault="00CD5AB9" w:rsidP="007A3BFF">
            <w:pPr>
              <w:spacing w:after="0" w:line="240" w:lineRule="auto"/>
              <w:jc w:val="center"/>
              <w:rPr>
                <w:rFonts w:ascii="Verdana" w:eastAsia="Times New Roman" w:hAnsi="Verdana" w:cs="Calibri"/>
                <w:b/>
                <w:bCs/>
                <w:kern w:val="0"/>
                <w:sz w:val="18"/>
                <w:szCs w:val="18"/>
                <w:lang w:eastAsia="es-CO"/>
                <w14:ligatures w14:val="none"/>
              </w:rPr>
            </w:pPr>
            <w:r w:rsidRPr="001C54C6">
              <w:rPr>
                <w:rFonts w:ascii="Verdana" w:eastAsia="Times New Roman" w:hAnsi="Verdana" w:cs="Calibri"/>
                <w:b/>
                <w:bCs/>
                <w:kern w:val="0"/>
                <w:sz w:val="18"/>
                <w:szCs w:val="18"/>
                <w:lang w:eastAsia="es-CO"/>
                <w14:ligatures w14:val="none"/>
              </w:rPr>
              <w:t>Apropiación Vigente</w:t>
            </w:r>
            <w:r>
              <w:rPr>
                <w:rStyle w:val="Refdenotaalpie"/>
                <w:rFonts w:ascii="Verdana" w:eastAsia="Times New Roman" w:hAnsi="Verdana" w:cs="Calibri"/>
                <w:b/>
                <w:bCs/>
                <w:kern w:val="0"/>
                <w:sz w:val="18"/>
                <w:szCs w:val="18"/>
                <w:lang w:eastAsia="es-CO"/>
                <w14:ligatures w14:val="none"/>
              </w:rPr>
              <w:footnoteReference w:id="1"/>
            </w:r>
          </w:p>
        </w:tc>
        <w:tc>
          <w:tcPr>
            <w:tcW w:w="1687" w:type="dxa"/>
            <w:vMerge w:val="restart"/>
            <w:shd w:val="clear" w:color="auto" w:fill="auto"/>
            <w:vAlign w:val="center"/>
            <w:hideMark/>
          </w:tcPr>
          <w:p w14:paraId="7F316806" w14:textId="77777777" w:rsidR="00CD5AB9" w:rsidRPr="001C54C6" w:rsidRDefault="00CD5AB9" w:rsidP="007A3BFF">
            <w:pPr>
              <w:spacing w:after="0" w:line="240" w:lineRule="auto"/>
              <w:jc w:val="center"/>
              <w:rPr>
                <w:rFonts w:ascii="Verdana" w:eastAsia="Times New Roman" w:hAnsi="Verdana" w:cs="Calibri"/>
                <w:b/>
                <w:bCs/>
                <w:kern w:val="0"/>
                <w:sz w:val="18"/>
                <w:szCs w:val="18"/>
                <w:lang w:eastAsia="es-CO"/>
                <w14:ligatures w14:val="none"/>
              </w:rPr>
            </w:pPr>
            <w:r w:rsidRPr="001C54C6">
              <w:rPr>
                <w:rFonts w:ascii="Verdana" w:eastAsia="Times New Roman" w:hAnsi="Verdana" w:cs="Calibri"/>
                <w:b/>
                <w:bCs/>
                <w:kern w:val="0"/>
                <w:sz w:val="18"/>
                <w:szCs w:val="18"/>
                <w:lang w:eastAsia="es-CO"/>
                <w14:ligatures w14:val="none"/>
              </w:rPr>
              <w:t>%Participación</w:t>
            </w:r>
          </w:p>
        </w:tc>
        <w:tc>
          <w:tcPr>
            <w:tcW w:w="2313" w:type="dxa"/>
            <w:gridSpan w:val="2"/>
            <w:shd w:val="clear" w:color="auto" w:fill="auto"/>
            <w:vAlign w:val="center"/>
            <w:hideMark/>
          </w:tcPr>
          <w:p w14:paraId="2570AD2F" w14:textId="77777777" w:rsidR="00CD5AB9" w:rsidRPr="001C54C6" w:rsidRDefault="00CD5AB9" w:rsidP="007A3BFF">
            <w:pPr>
              <w:spacing w:after="0" w:line="240" w:lineRule="auto"/>
              <w:jc w:val="center"/>
              <w:rPr>
                <w:rFonts w:ascii="Verdana" w:eastAsia="Times New Roman" w:hAnsi="Verdana" w:cs="Calibri"/>
                <w:b/>
                <w:bCs/>
                <w:kern w:val="0"/>
                <w:sz w:val="18"/>
                <w:szCs w:val="18"/>
                <w:lang w:eastAsia="es-CO"/>
                <w14:ligatures w14:val="none"/>
              </w:rPr>
            </w:pPr>
            <w:r w:rsidRPr="001C54C6">
              <w:rPr>
                <w:rFonts w:ascii="Verdana" w:eastAsia="Times New Roman" w:hAnsi="Verdana" w:cs="Calibri"/>
                <w:b/>
                <w:bCs/>
                <w:kern w:val="0"/>
                <w:sz w:val="18"/>
                <w:szCs w:val="18"/>
                <w:lang w:eastAsia="es-CO"/>
                <w14:ligatures w14:val="none"/>
              </w:rPr>
              <w:t>Compromisos</w:t>
            </w:r>
          </w:p>
        </w:tc>
        <w:tc>
          <w:tcPr>
            <w:tcW w:w="2110" w:type="dxa"/>
            <w:gridSpan w:val="2"/>
            <w:shd w:val="clear" w:color="auto" w:fill="auto"/>
            <w:vAlign w:val="center"/>
            <w:hideMark/>
          </w:tcPr>
          <w:p w14:paraId="6EB0B96A" w14:textId="77777777" w:rsidR="00CD5AB9" w:rsidRPr="001C54C6" w:rsidRDefault="00CD5AB9" w:rsidP="007A3BFF">
            <w:pPr>
              <w:spacing w:after="0" w:line="240" w:lineRule="auto"/>
              <w:jc w:val="center"/>
              <w:rPr>
                <w:rFonts w:ascii="Verdana" w:eastAsia="Times New Roman" w:hAnsi="Verdana" w:cs="Calibri"/>
                <w:b/>
                <w:bCs/>
                <w:kern w:val="0"/>
                <w:sz w:val="18"/>
                <w:szCs w:val="18"/>
                <w:lang w:eastAsia="es-CO"/>
                <w14:ligatures w14:val="none"/>
              </w:rPr>
            </w:pPr>
            <w:r w:rsidRPr="001C54C6">
              <w:rPr>
                <w:rFonts w:ascii="Verdana" w:eastAsia="Times New Roman" w:hAnsi="Verdana" w:cs="Calibri"/>
                <w:b/>
                <w:bCs/>
                <w:kern w:val="0"/>
                <w:sz w:val="18"/>
                <w:szCs w:val="18"/>
                <w:lang w:eastAsia="es-CO"/>
                <w14:ligatures w14:val="none"/>
              </w:rPr>
              <w:t>Obligaciones</w:t>
            </w:r>
          </w:p>
        </w:tc>
      </w:tr>
      <w:tr w:rsidR="00CD5AB9" w:rsidRPr="001C54C6" w14:paraId="6D9410D2" w14:textId="77777777" w:rsidTr="007A3BFF">
        <w:trPr>
          <w:trHeight w:val="240"/>
          <w:jc w:val="center"/>
        </w:trPr>
        <w:tc>
          <w:tcPr>
            <w:tcW w:w="1661" w:type="dxa"/>
            <w:vMerge/>
            <w:tcBorders>
              <w:top w:val="nil"/>
              <w:left w:val="nil"/>
              <w:bottom w:val="single" w:sz="4" w:space="0" w:color="auto"/>
              <w:right w:val="single" w:sz="4" w:space="0" w:color="auto"/>
            </w:tcBorders>
            <w:vAlign w:val="center"/>
            <w:hideMark/>
          </w:tcPr>
          <w:p w14:paraId="25E49A50" w14:textId="77777777" w:rsidR="00CD5AB9" w:rsidRPr="001C54C6" w:rsidRDefault="00CD5AB9" w:rsidP="007A3BFF">
            <w:pPr>
              <w:spacing w:after="0" w:line="240" w:lineRule="auto"/>
              <w:jc w:val="center"/>
              <w:rPr>
                <w:rFonts w:ascii="Verdana" w:eastAsia="Times New Roman" w:hAnsi="Verdana" w:cs="Calibri"/>
                <w:color w:val="000000"/>
                <w:kern w:val="0"/>
                <w:sz w:val="18"/>
                <w:szCs w:val="18"/>
                <w:lang w:eastAsia="es-CO"/>
                <w14:ligatures w14:val="none"/>
              </w:rPr>
            </w:pPr>
          </w:p>
        </w:tc>
        <w:tc>
          <w:tcPr>
            <w:tcW w:w="1422" w:type="dxa"/>
            <w:vMerge/>
            <w:tcBorders>
              <w:left w:val="single" w:sz="4" w:space="0" w:color="auto"/>
            </w:tcBorders>
            <w:shd w:val="clear" w:color="auto" w:fill="auto"/>
            <w:vAlign w:val="center"/>
            <w:hideMark/>
          </w:tcPr>
          <w:p w14:paraId="4E00B4BF" w14:textId="77777777" w:rsidR="00CD5AB9" w:rsidRPr="001C54C6" w:rsidRDefault="00CD5AB9" w:rsidP="007A3BFF">
            <w:pPr>
              <w:spacing w:after="0" w:line="240" w:lineRule="auto"/>
              <w:jc w:val="center"/>
              <w:rPr>
                <w:rFonts w:ascii="Verdana" w:eastAsia="Times New Roman" w:hAnsi="Verdana" w:cs="Calibri"/>
                <w:kern w:val="0"/>
                <w:sz w:val="18"/>
                <w:szCs w:val="18"/>
                <w:lang w:eastAsia="es-CO"/>
                <w14:ligatures w14:val="none"/>
              </w:rPr>
            </w:pPr>
          </w:p>
        </w:tc>
        <w:tc>
          <w:tcPr>
            <w:tcW w:w="1422" w:type="dxa"/>
            <w:vMerge/>
            <w:shd w:val="clear" w:color="auto" w:fill="auto"/>
            <w:vAlign w:val="center"/>
            <w:hideMark/>
          </w:tcPr>
          <w:p w14:paraId="0C22DA62" w14:textId="77777777" w:rsidR="00CD5AB9" w:rsidRPr="001C54C6" w:rsidRDefault="00CD5AB9" w:rsidP="007A3BFF">
            <w:pPr>
              <w:spacing w:after="0" w:line="240" w:lineRule="auto"/>
              <w:jc w:val="center"/>
              <w:rPr>
                <w:rFonts w:ascii="Verdana" w:eastAsia="Times New Roman" w:hAnsi="Verdana" w:cs="Calibri"/>
                <w:kern w:val="0"/>
                <w:sz w:val="18"/>
                <w:szCs w:val="18"/>
                <w:lang w:eastAsia="es-CO"/>
                <w14:ligatures w14:val="none"/>
              </w:rPr>
            </w:pPr>
          </w:p>
        </w:tc>
        <w:tc>
          <w:tcPr>
            <w:tcW w:w="1687" w:type="dxa"/>
            <w:vMerge/>
            <w:shd w:val="clear" w:color="auto" w:fill="auto"/>
            <w:vAlign w:val="center"/>
            <w:hideMark/>
          </w:tcPr>
          <w:p w14:paraId="302090A8" w14:textId="77777777" w:rsidR="00CD5AB9" w:rsidRPr="001C54C6" w:rsidRDefault="00CD5AB9" w:rsidP="007A3BFF">
            <w:pPr>
              <w:spacing w:after="0" w:line="240" w:lineRule="auto"/>
              <w:jc w:val="center"/>
              <w:rPr>
                <w:rFonts w:ascii="Verdana" w:eastAsia="Times New Roman" w:hAnsi="Verdana" w:cs="Calibri"/>
                <w:kern w:val="0"/>
                <w:sz w:val="18"/>
                <w:szCs w:val="18"/>
                <w:lang w:eastAsia="es-CO"/>
                <w14:ligatures w14:val="none"/>
              </w:rPr>
            </w:pPr>
          </w:p>
        </w:tc>
        <w:tc>
          <w:tcPr>
            <w:tcW w:w="1321" w:type="dxa"/>
            <w:shd w:val="clear" w:color="auto" w:fill="auto"/>
            <w:vAlign w:val="center"/>
            <w:hideMark/>
          </w:tcPr>
          <w:p w14:paraId="6C5A5991" w14:textId="77777777" w:rsidR="00CD5AB9" w:rsidRPr="001C54C6" w:rsidRDefault="00CD5AB9" w:rsidP="007A3BFF">
            <w:pPr>
              <w:spacing w:after="0" w:line="240" w:lineRule="auto"/>
              <w:jc w:val="center"/>
              <w:rPr>
                <w:rFonts w:ascii="Verdana" w:eastAsia="Times New Roman" w:hAnsi="Verdana" w:cs="Calibri"/>
                <w:b/>
                <w:bCs/>
                <w:kern w:val="0"/>
                <w:sz w:val="18"/>
                <w:szCs w:val="18"/>
                <w:lang w:eastAsia="es-CO"/>
                <w14:ligatures w14:val="none"/>
              </w:rPr>
            </w:pPr>
            <w:r w:rsidRPr="001C54C6">
              <w:rPr>
                <w:rFonts w:ascii="Verdana" w:eastAsia="Times New Roman" w:hAnsi="Verdana" w:cs="Calibri"/>
                <w:b/>
                <w:bCs/>
                <w:kern w:val="0"/>
                <w:sz w:val="18"/>
                <w:szCs w:val="18"/>
                <w:lang w:eastAsia="es-CO"/>
                <w14:ligatures w14:val="none"/>
              </w:rPr>
              <w:t>Valor</w:t>
            </w:r>
          </w:p>
        </w:tc>
        <w:tc>
          <w:tcPr>
            <w:tcW w:w="992" w:type="dxa"/>
            <w:shd w:val="clear" w:color="auto" w:fill="auto"/>
            <w:vAlign w:val="center"/>
            <w:hideMark/>
          </w:tcPr>
          <w:p w14:paraId="612AF607" w14:textId="77777777" w:rsidR="00CD5AB9" w:rsidRPr="001C54C6" w:rsidRDefault="00CD5AB9" w:rsidP="007A3BFF">
            <w:pPr>
              <w:spacing w:after="0" w:line="240" w:lineRule="auto"/>
              <w:jc w:val="center"/>
              <w:rPr>
                <w:rFonts w:ascii="Verdana" w:eastAsia="Times New Roman" w:hAnsi="Verdana" w:cs="Calibri"/>
                <w:b/>
                <w:bCs/>
                <w:kern w:val="0"/>
                <w:sz w:val="18"/>
                <w:szCs w:val="18"/>
                <w:lang w:eastAsia="es-CO"/>
                <w14:ligatures w14:val="none"/>
              </w:rPr>
            </w:pPr>
            <w:r w:rsidRPr="001C54C6">
              <w:rPr>
                <w:rFonts w:ascii="Verdana" w:eastAsia="Times New Roman" w:hAnsi="Verdana" w:cs="Calibri"/>
                <w:b/>
                <w:bCs/>
                <w:kern w:val="0"/>
                <w:sz w:val="18"/>
                <w:szCs w:val="18"/>
                <w:lang w:eastAsia="es-CO"/>
                <w14:ligatures w14:val="none"/>
              </w:rPr>
              <w:t>%</w:t>
            </w:r>
          </w:p>
        </w:tc>
        <w:tc>
          <w:tcPr>
            <w:tcW w:w="1207" w:type="dxa"/>
            <w:shd w:val="clear" w:color="auto" w:fill="auto"/>
            <w:vAlign w:val="center"/>
            <w:hideMark/>
          </w:tcPr>
          <w:p w14:paraId="482D492D" w14:textId="77777777" w:rsidR="00CD5AB9" w:rsidRPr="001C54C6" w:rsidRDefault="00CD5AB9" w:rsidP="007A3BFF">
            <w:pPr>
              <w:spacing w:after="0" w:line="240" w:lineRule="auto"/>
              <w:jc w:val="center"/>
              <w:rPr>
                <w:rFonts w:ascii="Verdana" w:eastAsia="Times New Roman" w:hAnsi="Verdana" w:cs="Calibri"/>
                <w:b/>
                <w:bCs/>
                <w:kern w:val="0"/>
                <w:sz w:val="18"/>
                <w:szCs w:val="18"/>
                <w:lang w:eastAsia="es-CO"/>
                <w14:ligatures w14:val="none"/>
              </w:rPr>
            </w:pPr>
            <w:r w:rsidRPr="001C54C6">
              <w:rPr>
                <w:rFonts w:ascii="Verdana" w:eastAsia="Times New Roman" w:hAnsi="Verdana" w:cs="Calibri"/>
                <w:b/>
                <w:bCs/>
                <w:kern w:val="0"/>
                <w:sz w:val="18"/>
                <w:szCs w:val="18"/>
                <w:lang w:eastAsia="es-CO"/>
                <w14:ligatures w14:val="none"/>
              </w:rPr>
              <w:t>Valor</w:t>
            </w:r>
          </w:p>
        </w:tc>
        <w:tc>
          <w:tcPr>
            <w:tcW w:w="903" w:type="dxa"/>
            <w:shd w:val="clear" w:color="auto" w:fill="auto"/>
            <w:vAlign w:val="center"/>
            <w:hideMark/>
          </w:tcPr>
          <w:p w14:paraId="0C5D2D00" w14:textId="77777777" w:rsidR="00CD5AB9" w:rsidRPr="001C54C6" w:rsidRDefault="00CD5AB9" w:rsidP="007A3BFF">
            <w:pPr>
              <w:spacing w:after="0" w:line="240" w:lineRule="auto"/>
              <w:jc w:val="center"/>
              <w:rPr>
                <w:rFonts w:ascii="Verdana" w:eastAsia="Times New Roman" w:hAnsi="Verdana" w:cs="Calibri"/>
                <w:b/>
                <w:bCs/>
                <w:kern w:val="0"/>
                <w:sz w:val="18"/>
                <w:szCs w:val="18"/>
                <w:lang w:eastAsia="es-CO"/>
                <w14:ligatures w14:val="none"/>
              </w:rPr>
            </w:pPr>
            <w:r w:rsidRPr="001C54C6">
              <w:rPr>
                <w:rFonts w:ascii="Verdana" w:eastAsia="Times New Roman" w:hAnsi="Verdana" w:cs="Calibri"/>
                <w:b/>
                <w:bCs/>
                <w:kern w:val="0"/>
                <w:sz w:val="18"/>
                <w:szCs w:val="18"/>
                <w:lang w:eastAsia="es-CO"/>
                <w14:ligatures w14:val="none"/>
              </w:rPr>
              <w:t>%</w:t>
            </w:r>
          </w:p>
        </w:tc>
      </w:tr>
      <w:tr w:rsidR="00CD5AB9" w:rsidRPr="001C54C6" w14:paraId="455B2FD2" w14:textId="77777777" w:rsidTr="007A3BFF">
        <w:trPr>
          <w:trHeight w:val="630"/>
          <w:jc w:val="center"/>
        </w:trPr>
        <w:tc>
          <w:tcPr>
            <w:tcW w:w="1661" w:type="dxa"/>
            <w:tcBorders>
              <w:top w:val="single" w:sz="4" w:space="0" w:color="auto"/>
            </w:tcBorders>
            <w:shd w:val="clear" w:color="auto" w:fill="auto"/>
            <w:vAlign w:val="center"/>
            <w:hideMark/>
          </w:tcPr>
          <w:p w14:paraId="64562E7D" w14:textId="77777777" w:rsidR="00CD5AB9" w:rsidRPr="001C54C6" w:rsidRDefault="00CD5AB9" w:rsidP="007A3BFF">
            <w:pPr>
              <w:spacing w:after="0" w:line="240" w:lineRule="auto"/>
              <w:jc w:val="center"/>
              <w:rPr>
                <w:rFonts w:ascii="Verdana" w:eastAsia="Times New Roman" w:hAnsi="Verdana" w:cs="Calibri"/>
                <w:color w:val="000000"/>
                <w:kern w:val="0"/>
                <w:sz w:val="18"/>
                <w:szCs w:val="18"/>
                <w:lang w:eastAsia="es-CO"/>
                <w14:ligatures w14:val="none"/>
              </w:rPr>
            </w:pPr>
            <w:r w:rsidRPr="001C54C6">
              <w:rPr>
                <w:rFonts w:ascii="Verdana" w:eastAsia="Times New Roman" w:hAnsi="Verdana" w:cs="Calibri"/>
                <w:color w:val="000000"/>
                <w:kern w:val="0"/>
                <w:sz w:val="18"/>
                <w:szCs w:val="18"/>
                <w:lang w:eastAsia="es-CO"/>
                <w14:ligatures w14:val="none"/>
              </w:rPr>
              <w:t>Funcionamiento</w:t>
            </w:r>
          </w:p>
        </w:tc>
        <w:tc>
          <w:tcPr>
            <w:tcW w:w="1422" w:type="dxa"/>
            <w:shd w:val="clear" w:color="auto" w:fill="auto"/>
            <w:vAlign w:val="center"/>
            <w:hideMark/>
          </w:tcPr>
          <w:p w14:paraId="59426852" w14:textId="77777777" w:rsidR="00CD5AB9" w:rsidRPr="001C54C6" w:rsidRDefault="00CD5AB9" w:rsidP="007A3BFF">
            <w:pPr>
              <w:spacing w:after="0" w:line="240" w:lineRule="auto"/>
              <w:jc w:val="center"/>
              <w:rPr>
                <w:rFonts w:ascii="Verdana" w:eastAsia="Times New Roman" w:hAnsi="Verdana" w:cs="Calibri"/>
                <w:color w:val="000000"/>
                <w:kern w:val="0"/>
                <w:sz w:val="18"/>
                <w:szCs w:val="18"/>
                <w:lang w:eastAsia="es-CO"/>
                <w14:ligatures w14:val="none"/>
              </w:rPr>
            </w:pPr>
            <w:r w:rsidRPr="00CB62DE">
              <w:rPr>
                <w:rFonts w:ascii="Verdana" w:eastAsia="Times New Roman" w:hAnsi="Verdana" w:cs="Calibri"/>
                <w:color w:val="000000"/>
                <w:kern w:val="0"/>
                <w:sz w:val="18"/>
                <w:szCs w:val="18"/>
                <w:lang w:eastAsia="es-CO"/>
                <w14:ligatures w14:val="none"/>
              </w:rPr>
              <w:t>23.571,00</w:t>
            </w:r>
          </w:p>
        </w:tc>
        <w:tc>
          <w:tcPr>
            <w:tcW w:w="1422" w:type="dxa"/>
            <w:shd w:val="clear" w:color="auto" w:fill="auto"/>
            <w:vAlign w:val="center"/>
            <w:hideMark/>
          </w:tcPr>
          <w:p w14:paraId="63A8F5BE" w14:textId="77777777" w:rsidR="00CD5AB9" w:rsidRPr="001C54C6" w:rsidRDefault="00CD5AB9" w:rsidP="007A3BFF">
            <w:pPr>
              <w:spacing w:after="0" w:line="240" w:lineRule="auto"/>
              <w:jc w:val="center"/>
              <w:rPr>
                <w:rFonts w:ascii="Verdana" w:eastAsia="Times New Roman" w:hAnsi="Verdana" w:cs="Calibri"/>
                <w:color w:val="000000"/>
                <w:kern w:val="0"/>
                <w:sz w:val="18"/>
                <w:szCs w:val="18"/>
                <w:lang w:eastAsia="es-CO"/>
                <w14:ligatures w14:val="none"/>
              </w:rPr>
            </w:pPr>
            <w:r w:rsidRPr="00CB62DE">
              <w:rPr>
                <w:rFonts w:ascii="Verdana" w:eastAsia="Times New Roman" w:hAnsi="Verdana" w:cs="Calibri"/>
                <w:color w:val="000000"/>
                <w:kern w:val="0"/>
                <w:sz w:val="18"/>
                <w:szCs w:val="18"/>
                <w:lang w:eastAsia="es-CO"/>
                <w14:ligatures w14:val="none"/>
              </w:rPr>
              <w:t>23.571,00</w:t>
            </w:r>
          </w:p>
        </w:tc>
        <w:tc>
          <w:tcPr>
            <w:tcW w:w="1687" w:type="dxa"/>
            <w:shd w:val="clear" w:color="auto" w:fill="auto"/>
            <w:vAlign w:val="center"/>
            <w:hideMark/>
          </w:tcPr>
          <w:p w14:paraId="63E85FB3" w14:textId="77777777" w:rsidR="00CD5AB9" w:rsidRPr="001C54C6" w:rsidRDefault="00CD5AB9" w:rsidP="007A3BFF">
            <w:pPr>
              <w:spacing w:after="0" w:line="240" w:lineRule="auto"/>
              <w:jc w:val="center"/>
              <w:rPr>
                <w:rFonts w:ascii="Verdana" w:eastAsia="Times New Roman" w:hAnsi="Verdana" w:cs="Calibri"/>
                <w:color w:val="000000"/>
                <w:kern w:val="0"/>
                <w:sz w:val="18"/>
                <w:szCs w:val="18"/>
                <w:lang w:eastAsia="es-CO"/>
                <w14:ligatures w14:val="none"/>
              </w:rPr>
            </w:pPr>
            <w:r w:rsidRPr="001C54C6">
              <w:rPr>
                <w:rFonts w:ascii="Verdana" w:eastAsia="Times New Roman" w:hAnsi="Verdana" w:cs="Calibri"/>
                <w:color w:val="000000"/>
                <w:kern w:val="0"/>
                <w:sz w:val="18"/>
                <w:szCs w:val="18"/>
                <w:lang w:eastAsia="es-CO"/>
                <w14:ligatures w14:val="none"/>
              </w:rPr>
              <w:t>9</w:t>
            </w:r>
            <w:r>
              <w:rPr>
                <w:rFonts w:ascii="Verdana" w:eastAsia="Times New Roman" w:hAnsi="Verdana" w:cs="Calibri"/>
                <w:color w:val="000000"/>
                <w:kern w:val="0"/>
                <w:sz w:val="18"/>
                <w:szCs w:val="18"/>
                <w:lang w:eastAsia="es-CO"/>
                <w14:ligatures w14:val="none"/>
              </w:rPr>
              <w:t>3</w:t>
            </w:r>
            <w:r w:rsidRPr="001C54C6">
              <w:rPr>
                <w:rFonts w:ascii="Verdana" w:eastAsia="Times New Roman" w:hAnsi="Verdana" w:cs="Calibri"/>
                <w:color w:val="000000"/>
                <w:kern w:val="0"/>
                <w:sz w:val="18"/>
                <w:szCs w:val="18"/>
                <w:lang w:eastAsia="es-CO"/>
                <w14:ligatures w14:val="none"/>
              </w:rPr>
              <w:t>,</w:t>
            </w:r>
            <w:r>
              <w:rPr>
                <w:rFonts w:ascii="Verdana" w:eastAsia="Times New Roman" w:hAnsi="Verdana" w:cs="Calibri"/>
                <w:color w:val="000000"/>
                <w:kern w:val="0"/>
                <w:sz w:val="18"/>
                <w:szCs w:val="18"/>
                <w:lang w:eastAsia="es-CO"/>
                <w14:ligatures w14:val="none"/>
              </w:rPr>
              <w:t>6</w:t>
            </w:r>
            <w:r w:rsidRPr="001C54C6">
              <w:rPr>
                <w:rFonts w:ascii="Verdana" w:eastAsia="Times New Roman" w:hAnsi="Verdana" w:cs="Calibri"/>
                <w:color w:val="000000"/>
                <w:kern w:val="0"/>
                <w:sz w:val="18"/>
                <w:szCs w:val="18"/>
                <w:lang w:eastAsia="es-CO"/>
                <w14:ligatures w14:val="none"/>
              </w:rPr>
              <w:t>%</w:t>
            </w:r>
          </w:p>
        </w:tc>
        <w:tc>
          <w:tcPr>
            <w:tcW w:w="1321" w:type="dxa"/>
            <w:shd w:val="clear" w:color="auto" w:fill="auto"/>
            <w:vAlign w:val="center"/>
            <w:hideMark/>
          </w:tcPr>
          <w:p w14:paraId="64AC4286" w14:textId="77777777" w:rsidR="00CD5AB9" w:rsidRPr="001C54C6" w:rsidRDefault="00CD5AB9" w:rsidP="007A3BFF">
            <w:pPr>
              <w:spacing w:after="0" w:line="240" w:lineRule="auto"/>
              <w:jc w:val="center"/>
              <w:rPr>
                <w:rFonts w:ascii="Verdana" w:eastAsia="Times New Roman" w:hAnsi="Verdana" w:cs="Calibri"/>
                <w:color w:val="000000"/>
                <w:kern w:val="0"/>
                <w:sz w:val="18"/>
                <w:szCs w:val="18"/>
                <w:lang w:eastAsia="es-CO"/>
                <w14:ligatures w14:val="none"/>
              </w:rPr>
            </w:pPr>
            <w:r w:rsidRPr="00CB62DE">
              <w:rPr>
                <w:rFonts w:ascii="Verdana" w:eastAsia="Times New Roman" w:hAnsi="Verdana" w:cs="Calibri"/>
                <w:color w:val="000000"/>
                <w:kern w:val="0"/>
                <w:sz w:val="18"/>
                <w:szCs w:val="18"/>
                <w:lang w:eastAsia="es-CO"/>
                <w14:ligatures w14:val="none"/>
              </w:rPr>
              <w:t>14.240,8</w:t>
            </w:r>
          </w:p>
        </w:tc>
        <w:tc>
          <w:tcPr>
            <w:tcW w:w="992" w:type="dxa"/>
            <w:shd w:val="clear" w:color="auto" w:fill="auto"/>
            <w:vAlign w:val="center"/>
            <w:hideMark/>
          </w:tcPr>
          <w:p w14:paraId="3F80E91E" w14:textId="77777777" w:rsidR="00CD5AB9" w:rsidRPr="001C54C6" w:rsidRDefault="00CD5AB9" w:rsidP="007A3BFF">
            <w:pPr>
              <w:spacing w:after="0" w:line="240" w:lineRule="auto"/>
              <w:jc w:val="center"/>
              <w:rPr>
                <w:rFonts w:ascii="Verdana" w:eastAsia="Times New Roman" w:hAnsi="Verdana" w:cs="Calibri"/>
                <w:color w:val="000000"/>
                <w:kern w:val="0"/>
                <w:sz w:val="18"/>
                <w:szCs w:val="18"/>
                <w:lang w:eastAsia="es-CO"/>
                <w14:ligatures w14:val="none"/>
              </w:rPr>
            </w:pPr>
            <w:r>
              <w:rPr>
                <w:rFonts w:ascii="Verdana" w:eastAsia="Times New Roman" w:hAnsi="Verdana" w:cs="Calibri"/>
                <w:color w:val="000000"/>
                <w:kern w:val="0"/>
                <w:sz w:val="18"/>
                <w:szCs w:val="18"/>
                <w:lang w:eastAsia="es-CO"/>
                <w14:ligatures w14:val="none"/>
              </w:rPr>
              <w:t>60</w:t>
            </w:r>
            <w:r w:rsidRPr="001C54C6">
              <w:rPr>
                <w:rFonts w:ascii="Verdana" w:eastAsia="Times New Roman" w:hAnsi="Verdana" w:cs="Calibri"/>
                <w:color w:val="000000"/>
                <w:kern w:val="0"/>
                <w:sz w:val="18"/>
                <w:szCs w:val="18"/>
                <w:lang w:eastAsia="es-CO"/>
                <w14:ligatures w14:val="none"/>
              </w:rPr>
              <w:t>,</w:t>
            </w:r>
            <w:r>
              <w:rPr>
                <w:rFonts w:ascii="Verdana" w:eastAsia="Times New Roman" w:hAnsi="Verdana" w:cs="Calibri"/>
                <w:color w:val="000000"/>
                <w:kern w:val="0"/>
                <w:sz w:val="18"/>
                <w:szCs w:val="18"/>
                <w:lang w:eastAsia="es-CO"/>
                <w14:ligatures w14:val="none"/>
              </w:rPr>
              <w:t>4</w:t>
            </w:r>
            <w:r w:rsidRPr="001C54C6">
              <w:rPr>
                <w:rFonts w:ascii="Verdana" w:eastAsia="Times New Roman" w:hAnsi="Verdana" w:cs="Calibri"/>
                <w:color w:val="000000"/>
                <w:kern w:val="0"/>
                <w:sz w:val="18"/>
                <w:szCs w:val="18"/>
                <w:lang w:eastAsia="es-CO"/>
                <w14:ligatures w14:val="none"/>
              </w:rPr>
              <w:t>%</w:t>
            </w:r>
          </w:p>
        </w:tc>
        <w:tc>
          <w:tcPr>
            <w:tcW w:w="1207" w:type="dxa"/>
            <w:shd w:val="clear" w:color="auto" w:fill="auto"/>
            <w:vAlign w:val="center"/>
            <w:hideMark/>
          </w:tcPr>
          <w:p w14:paraId="4F7C06F4" w14:textId="77777777" w:rsidR="00CD5AB9" w:rsidRPr="001C54C6" w:rsidRDefault="00CD5AB9" w:rsidP="007A3BFF">
            <w:pPr>
              <w:spacing w:after="0" w:line="240" w:lineRule="auto"/>
              <w:jc w:val="center"/>
              <w:rPr>
                <w:rFonts w:ascii="Verdana" w:eastAsia="Times New Roman" w:hAnsi="Verdana" w:cs="Calibri"/>
                <w:color w:val="000000"/>
                <w:kern w:val="0"/>
                <w:sz w:val="18"/>
                <w:szCs w:val="18"/>
                <w:lang w:eastAsia="es-CO"/>
                <w14:ligatures w14:val="none"/>
              </w:rPr>
            </w:pPr>
            <w:r w:rsidRPr="00CB62DE">
              <w:rPr>
                <w:rFonts w:ascii="Verdana" w:eastAsia="Times New Roman" w:hAnsi="Verdana" w:cs="Calibri"/>
                <w:color w:val="000000"/>
                <w:kern w:val="0"/>
                <w:sz w:val="18"/>
                <w:szCs w:val="18"/>
                <w:lang w:eastAsia="es-CO"/>
                <w14:ligatures w14:val="none"/>
              </w:rPr>
              <w:t>12.782,9</w:t>
            </w:r>
          </w:p>
        </w:tc>
        <w:tc>
          <w:tcPr>
            <w:tcW w:w="903" w:type="dxa"/>
            <w:shd w:val="clear" w:color="auto" w:fill="auto"/>
            <w:vAlign w:val="center"/>
            <w:hideMark/>
          </w:tcPr>
          <w:p w14:paraId="64239D6C" w14:textId="77777777" w:rsidR="00CD5AB9" w:rsidRPr="001C54C6" w:rsidRDefault="00CD5AB9" w:rsidP="007A3BFF">
            <w:pPr>
              <w:spacing w:after="0" w:line="240" w:lineRule="auto"/>
              <w:jc w:val="center"/>
              <w:rPr>
                <w:rFonts w:ascii="Verdana" w:eastAsia="Times New Roman" w:hAnsi="Verdana" w:cs="Calibri"/>
                <w:color w:val="000000"/>
                <w:kern w:val="0"/>
                <w:sz w:val="18"/>
                <w:szCs w:val="18"/>
                <w:lang w:eastAsia="es-CO"/>
                <w14:ligatures w14:val="none"/>
              </w:rPr>
            </w:pPr>
            <w:r>
              <w:rPr>
                <w:rFonts w:ascii="Verdana" w:eastAsia="Times New Roman" w:hAnsi="Verdana" w:cs="Calibri"/>
                <w:color w:val="000000"/>
                <w:kern w:val="0"/>
                <w:sz w:val="18"/>
                <w:szCs w:val="18"/>
                <w:lang w:eastAsia="es-CO"/>
                <w14:ligatures w14:val="none"/>
              </w:rPr>
              <w:t>54</w:t>
            </w:r>
            <w:r w:rsidRPr="001C54C6">
              <w:rPr>
                <w:rFonts w:ascii="Verdana" w:eastAsia="Times New Roman" w:hAnsi="Verdana" w:cs="Calibri"/>
                <w:color w:val="000000"/>
                <w:kern w:val="0"/>
                <w:sz w:val="18"/>
                <w:szCs w:val="18"/>
                <w:lang w:eastAsia="es-CO"/>
                <w14:ligatures w14:val="none"/>
              </w:rPr>
              <w:t>,</w:t>
            </w:r>
            <w:r>
              <w:rPr>
                <w:rFonts w:ascii="Verdana" w:eastAsia="Times New Roman" w:hAnsi="Verdana" w:cs="Calibri"/>
                <w:color w:val="000000"/>
                <w:kern w:val="0"/>
                <w:sz w:val="18"/>
                <w:szCs w:val="18"/>
                <w:lang w:eastAsia="es-CO"/>
                <w14:ligatures w14:val="none"/>
              </w:rPr>
              <w:t>2</w:t>
            </w:r>
            <w:r w:rsidRPr="001C54C6">
              <w:rPr>
                <w:rFonts w:ascii="Verdana" w:eastAsia="Times New Roman" w:hAnsi="Verdana" w:cs="Calibri"/>
                <w:color w:val="000000"/>
                <w:kern w:val="0"/>
                <w:sz w:val="18"/>
                <w:szCs w:val="18"/>
                <w:lang w:eastAsia="es-CO"/>
                <w14:ligatures w14:val="none"/>
              </w:rPr>
              <w:t>%</w:t>
            </w:r>
          </w:p>
        </w:tc>
      </w:tr>
      <w:tr w:rsidR="00CD5AB9" w:rsidRPr="001C54C6" w14:paraId="4A3E88B1" w14:textId="77777777" w:rsidTr="007A3BFF">
        <w:trPr>
          <w:trHeight w:val="450"/>
          <w:jc w:val="center"/>
        </w:trPr>
        <w:tc>
          <w:tcPr>
            <w:tcW w:w="1661" w:type="dxa"/>
            <w:shd w:val="clear" w:color="auto" w:fill="auto"/>
            <w:vAlign w:val="center"/>
            <w:hideMark/>
          </w:tcPr>
          <w:p w14:paraId="5646613B" w14:textId="77777777" w:rsidR="00CD5AB9" w:rsidRPr="001C54C6" w:rsidRDefault="00CD5AB9" w:rsidP="007A3BFF">
            <w:pPr>
              <w:spacing w:after="0" w:line="240" w:lineRule="auto"/>
              <w:jc w:val="center"/>
              <w:rPr>
                <w:rFonts w:ascii="Verdana" w:eastAsia="Times New Roman" w:hAnsi="Verdana" w:cs="Calibri"/>
                <w:color w:val="000000"/>
                <w:kern w:val="0"/>
                <w:sz w:val="18"/>
                <w:szCs w:val="18"/>
                <w:lang w:eastAsia="es-CO"/>
                <w14:ligatures w14:val="none"/>
              </w:rPr>
            </w:pPr>
            <w:r w:rsidRPr="001C54C6">
              <w:rPr>
                <w:rFonts w:ascii="Verdana" w:eastAsia="Times New Roman" w:hAnsi="Verdana" w:cs="Calibri"/>
                <w:color w:val="000000"/>
                <w:kern w:val="0"/>
                <w:sz w:val="18"/>
                <w:szCs w:val="18"/>
                <w:lang w:eastAsia="es-CO"/>
                <w14:ligatures w14:val="none"/>
              </w:rPr>
              <w:t>Servicio De La Deuda Pública</w:t>
            </w:r>
          </w:p>
        </w:tc>
        <w:tc>
          <w:tcPr>
            <w:tcW w:w="1422" w:type="dxa"/>
            <w:shd w:val="clear" w:color="auto" w:fill="auto"/>
            <w:vAlign w:val="center"/>
            <w:hideMark/>
          </w:tcPr>
          <w:p w14:paraId="650CFB62" w14:textId="77777777" w:rsidR="00CD5AB9" w:rsidRPr="001C54C6" w:rsidRDefault="00CD5AB9" w:rsidP="007A3BFF">
            <w:pPr>
              <w:spacing w:after="0" w:line="240" w:lineRule="auto"/>
              <w:jc w:val="center"/>
              <w:rPr>
                <w:rFonts w:ascii="Verdana" w:eastAsia="Times New Roman" w:hAnsi="Verdana" w:cs="Calibri"/>
                <w:color w:val="000000"/>
                <w:kern w:val="0"/>
                <w:sz w:val="18"/>
                <w:szCs w:val="18"/>
                <w:lang w:eastAsia="es-CO"/>
                <w14:ligatures w14:val="none"/>
              </w:rPr>
            </w:pPr>
            <w:r>
              <w:rPr>
                <w:rFonts w:ascii="Verdana" w:eastAsia="Times New Roman" w:hAnsi="Verdana" w:cs="Calibri"/>
                <w:color w:val="000000"/>
                <w:kern w:val="0"/>
                <w:sz w:val="18"/>
                <w:szCs w:val="18"/>
                <w:lang w:eastAsia="es-CO"/>
                <w14:ligatures w14:val="none"/>
              </w:rPr>
              <w:t>0</w:t>
            </w:r>
            <w:r w:rsidRPr="001C54C6">
              <w:rPr>
                <w:rFonts w:ascii="Verdana" w:eastAsia="Times New Roman" w:hAnsi="Verdana" w:cs="Calibri"/>
                <w:color w:val="000000"/>
                <w:kern w:val="0"/>
                <w:sz w:val="18"/>
                <w:szCs w:val="18"/>
                <w:lang w:eastAsia="es-CO"/>
                <w14:ligatures w14:val="none"/>
              </w:rPr>
              <w:t>,</w:t>
            </w:r>
            <w:r>
              <w:rPr>
                <w:rFonts w:ascii="Verdana" w:eastAsia="Times New Roman" w:hAnsi="Verdana" w:cs="Calibri"/>
                <w:color w:val="000000"/>
                <w:kern w:val="0"/>
                <w:sz w:val="18"/>
                <w:szCs w:val="18"/>
                <w:lang w:eastAsia="es-CO"/>
                <w14:ligatures w14:val="none"/>
              </w:rPr>
              <w:t>0</w:t>
            </w:r>
          </w:p>
        </w:tc>
        <w:tc>
          <w:tcPr>
            <w:tcW w:w="1422" w:type="dxa"/>
            <w:shd w:val="clear" w:color="auto" w:fill="auto"/>
            <w:vAlign w:val="center"/>
            <w:hideMark/>
          </w:tcPr>
          <w:p w14:paraId="3E14CE78" w14:textId="77777777" w:rsidR="00CD5AB9" w:rsidRPr="001C54C6" w:rsidRDefault="00CD5AB9" w:rsidP="007A3BFF">
            <w:pPr>
              <w:spacing w:after="0" w:line="240" w:lineRule="auto"/>
              <w:jc w:val="center"/>
              <w:rPr>
                <w:rFonts w:ascii="Verdana" w:eastAsia="Times New Roman" w:hAnsi="Verdana" w:cs="Calibri"/>
                <w:color w:val="000000"/>
                <w:kern w:val="0"/>
                <w:sz w:val="18"/>
                <w:szCs w:val="18"/>
                <w:lang w:eastAsia="es-CO"/>
                <w14:ligatures w14:val="none"/>
              </w:rPr>
            </w:pPr>
            <w:r>
              <w:rPr>
                <w:rFonts w:ascii="Verdana" w:eastAsia="Times New Roman" w:hAnsi="Verdana" w:cs="Calibri"/>
                <w:color w:val="000000"/>
                <w:kern w:val="0"/>
                <w:sz w:val="18"/>
                <w:szCs w:val="18"/>
                <w:lang w:eastAsia="es-CO"/>
                <w14:ligatures w14:val="none"/>
              </w:rPr>
              <w:t>0</w:t>
            </w:r>
            <w:r w:rsidRPr="001C54C6">
              <w:rPr>
                <w:rFonts w:ascii="Verdana" w:eastAsia="Times New Roman" w:hAnsi="Verdana" w:cs="Calibri"/>
                <w:color w:val="000000"/>
                <w:kern w:val="0"/>
                <w:sz w:val="18"/>
                <w:szCs w:val="18"/>
                <w:lang w:eastAsia="es-CO"/>
                <w14:ligatures w14:val="none"/>
              </w:rPr>
              <w:t>,</w:t>
            </w:r>
            <w:r>
              <w:rPr>
                <w:rFonts w:ascii="Verdana" w:eastAsia="Times New Roman" w:hAnsi="Verdana" w:cs="Calibri"/>
                <w:color w:val="000000"/>
                <w:kern w:val="0"/>
                <w:sz w:val="18"/>
                <w:szCs w:val="18"/>
                <w:lang w:eastAsia="es-CO"/>
                <w14:ligatures w14:val="none"/>
              </w:rPr>
              <w:t>0</w:t>
            </w:r>
          </w:p>
        </w:tc>
        <w:tc>
          <w:tcPr>
            <w:tcW w:w="1687" w:type="dxa"/>
            <w:shd w:val="clear" w:color="auto" w:fill="auto"/>
            <w:vAlign w:val="center"/>
            <w:hideMark/>
          </w:tcPr>
          <w:p w14:paraId="3F41B2B4" w14:textId="77777777" w:rsidR="00CD5AB9" w:rsidRPr="001C54C6" w:rsidRDefault="00CD5AB9" w:rsidP="007A3BFF">
            <w:pPr>
              <w:spacing w:after="0" w:line="240" w:lineRule="auto"/>
              <w:jc w:val="center"/>
              <w:rPr>
                <w:rFonts w:ascii="Verdana" w:eastAsia="Times New Roman" w:hAnsi="Verdana" w:cs="Calibri"/>
                <w:color w:val="000000"/>
                <w:kern w:val="0"/>
                <w:sz w:val="18"/>
                <w:szCs w:val="18"/>
                <w:lang w:eastAsia="es-CO"/>
                <w14:ligatures w14:val="none"/>
              </w:rPr>
            </w:pPr>
            <w:r w:rsidRPr="001C54C6">
              <w:rPr>
                <w:rFonts w:ascii="Verdana" w:eastAsia="Times New Roman" w:hAnsi="Verdana" w:cs="Calibri"/>
                <w:color w:val="000000"/>
                <w:kern w:val="0"/>
                <w:sz w:val="18"/>
                <w:szCs w:val="18"/>
                <w:lang w:eastAsia="es-CO"/>
                <w14:ligatures w14:val="none"/>
              </w:rPr>
              <w:t>0,</w:t>
            </w:r>
            <w:r>
              <w:rPr>
                <w:rFonts w:ascii="Verdana" w:eastAsia="Times New Roman" w:hAnsi="Verdana" w:cs="Calibri"/>
                <w:color w:val="000000"/>
                <w:kern w:val="0"/>
                <w:sz w:val="18"/>
                <w:szCs w:val="18"/>
                <w:lang w:eastAsia="es-CO"/>
                <w14:ligatures w14:val="none"/>
              </w:rPr>
              <w:t>0</w:t>
            </w:r>
            <w:r w:rsidRPr="001C54C6">
              <w:rPr>
                <w:rFonts w:ascii="Verdana" w:eastAsia="Times New Roman" w:hAnsi="Verdana" w:cs="Calibri"/>
                <w:color w:val="000000"/>
                <w:kern w:val="0"/>
                <w:sz w:val="18"/>
                <w:szCs w:val="18"/>
                <w:lang w:eastAsia="es-CO"/>
                <w14:ligatures w14:val="none"/>
              </w:rPr>
              <w:t>%</w:t>
            </w:r>
          </w:p>
        </w:tc>
        <w:tc>
          <w:tcPr>
            <w:tcW w:w="1321" w:type="dxa"/>
            <w:shd w:val="clear" w:color="auto" w:fill="auto"/>
            <w:vAlign w:val="center"/>
            <w:hideMark/>
          </w:tcPr>
          <w:p w14:paraId="56716673" w14:textId="77777777" w:rsidR="00CD5AB9" w:rsidRPr="001C54C6" w:rsidRDefault="00CD5AB9" w:rsidP="007A3BFF">
            <w:pPr>
              <w:spacing w:after="0" w:line="240" w:lineRule="auto"/>
              <w:jc w:val="center"/>
              <w:rPr>
                <w:rFonts w:ascii="Verdana" w:eastAsia="Times New Roman" w:hAnsi="Verdana" w:cs="Calibri"/>
                <w:color w:val="000000"/>
                <w:kern w:val="0"/>
                <w:sz w:val="18"/>
                <w:szCs w:val="18"/>
                <w:lang w:eastAsia="es-CO"/>
                <w14:ligatures w14:val="none"/>
              </w:rPr>
            </w:pPr>
            <w:r>
              <w:rPr>
                <w:rFonts w:ascii="Verdana" w:eastAsia="Times New Roman" w:hAnsi="Verdana" w:cs="Calibri"/>
                <w:color w:val="000000"/>
                <w:kern w:val="0"/>
                <w:sz w:val="18"/>
                <w:szCs w:val="18"/>
                <w:lang w:eastAsia="es-CO"/>
                <w14:ligatures w14:val="none"/>
              </w:rPr>
              <w:t>0</w:t>
            </w:r>
            <w:r w:rsidRPr="001C54C6">
              <w:rPr>
                <w:rFonts w:ascii="Verdana" w:eastAsia="Times New Roman" w:hAnsi="Verdana" w:cs="Calibri"/>
                <w:color w:val="000000"/>
                <w:kern w:val="0"/>
                <w:sz w:val="18"/>
                <w:szCs w:val="18"/>
                <w:lang w:eastAsia="es-CO"/>
                <w14:ligatures w14:val="none"/>
              </w:rPr>
              <w:t>,</w:t>
            </w:r>
            <w:r>
              <w:rPr>
                <w:rFonts w:ascii="Verdana" w:eastAsia="Times New Roman" w:hAnsi="Verdana" w:cs="Calibri"/>
                <w:color w:val="000000"/>
                <w:kern w:val="0"/>
                <w:sz w:val="18"/>
                <w:szCs w:val="18"/>
                <w:lang w:eastAsia="es-CO"/>
                <w14:ligatures w14:val="none"/>
              </w:rPr>
              <w:t>0</w:t>
            </w:r>
          </w:p>
        </w:tc>
        <w:tc>
          <w:tcPr>
            <w:tcW w:w="992" w:type="dxa"/>
            <w:shd w:val="clear" w:color="auto" w:fill="auto"/>
            <w:vAlign w:val="center"/>
            <w:hideMark/>
          </w:tcPr>
          <w:p w14:paraId="5774396B" w14:textId="77777777" w:rsidR="00CD5AB9" w:rsidRPr="001C54C6" w:rsidRDefault="00CD5AB9" w:rsidP="007A3BFF">
            <w:pPr>
              <w:spacing w:after="0" w:line="240" w:lineRule="auto"/>
              <w:jc w:val="center"/>
              <w:rPr>
                <w:rFonts w:ascii="Verdana" w:eastAsia="Times New Roman" w:hAnsi="Verdana" w:cs="Calibri"/>
                <w:color w:val="000000"/>
                <w:kern w:val="0"/>
                <w:sz w:val="18"/>
                <w:szCs w:val="18"/>
                <w:lang w:eastAsia="es-CO"/>
                <w14:ligatures w14:val="none"/>
              </w:rPr>
            </w:pPr>
            <w:r w:rsidRPr="001C54C6">
              <w:rPr>
                <w:rFonts w:ascii="Verdana" w:eastAsia="Times New Roman" w:hAnsi="Verdana" w:cs="Calibri"/>
                <w:color w:val="000000"/>
                <w:kern w:val="0"/>
                <w:sz w:val="18"/>
                <w:szCs w:val="18"/>
                <w:lang w:eastAsia="es-CO"/>
                <w14:ligatures w14:val="none"/>
              </w:rPr>
              <w:t>0,0%</w:t>
            </w:r>
          </w:p>
        </w:tc>
        <w:tc>
          <w:tcPr>
            <w:tcW w:w="1207" w:type="dxa"/>
            <w:shd w:val="clear" w:color="auto" w:fill="auto"/>
            <w:vAlign w:val="center"/>
            <w:hideMark/>
          </w:tcPr>
          <w:p w14:paraId="20CBB070" w14:textId="77777777" w:rsidR="00CD5AB9" w:rsidRPr="001C54C6" w:rsidRDefault="00CD5AB9" w:rsidP="007A3BFF">
            <w:pPr>
              <w:spacing w:after="0" w:line="240" w:lineRule="auto"/>
              <w:jc w:val="center"/>
              <w:rPr>
                <w:rFonts w:ascii="Verdana" w:eastAsia="Times New Roman" w:hAnsi="Verdana" w:cs="Calibri"/>
                <w:color w:val="000000"/>
                <w:kern w:val="0"/>
                <w:sz w:val="18"/>
                <w:szCs w:val="18"/>
                <w:lang w:eastAsia="es-CO"/>
                <w14:ligatures w14:val="none"/>
              </w:rPr>
            </w:pPr>
            <w:r>
              <w:rPr>
                <w:rFonts w:ascii="Verdana" w:eastAsia="Times New Roman" w:hAnsi="Verdana" w:cs="Calibri"/>
                <w:color w:val="000000"/>
                <w:kern w:val="0"/>
                <w:sz w:val="18"/>
                <w:szCs w:val="18"/>
                <w:lang w:eastAsia="es-CO"/>
                <w14:ligatures w14:val="none"/>
              </w:rPr>
              <w:t>0</w:t>
            </w:r>
            <w:r w:rsidRPr="001C54C6">
              <w:rPr>
                <w:rFonts w:ascii="Verdana" w:eastAsia="Times New Roman" w:hAnsi="Verdana" w:cs="Calibri"/>
                <w:color w:val="000000"/>
                <w:kern w:val="0"/>
                <w:sz w:val="18"/>
                <w:szCs w:val="18"/>
                <w:lang w:eastAsia="es-CO"/>
                <w14:ligatures w14:val="none"/>
              </w:rPr>
              <w:t>,</w:t>
            </w:r>
            <w:r>
              <w:rPr>
                <w:rFonts w:ascii="Verdana" w:eastAsia="Times New Roman" w:hAnsi="Verdana" w:cs="Calibri"/>
                <w:color w:val="000000"/>
                <w:kern w:val="0"/>
                <w:sz w:val="18"/>
                <w:szCs w:val="18"/>
                <w:lang w:eastAsia="es-CO"/>
                <w14:ligatures w14:val="none"/>
              </w:rPr>
              <w:t>0</w:t>
            </w:r>
          </w:p>
        </w:tc>
        <w:tc>
          <w:tcPr>
            <w:tcW w:w="903" w:type="dxa"/>
            <w:shd w:val="clear" w:color="auto" w:fill="auto"/>
            <w:vAlign w:val="center"/>
            <w:hideMark/>
          </w:tcPr>
          <w:p w14:paraId="413C881D" w14:textId="77777777" w:rsidR="00CD5AB9" w:rsidRPr="001C54C6" w:rsidRDefault="00CD5AB9" w:rsidP="007A3BFF">
            <w:pPr>
              <w:spacing w:after="0" w:line="240" w:lineRule="auto"/>
              <w:jc w:val="center"/>
              <w:rPr>
                <w:rFonts w:ascii="Verdana" w:eastAsia="Times New Roman" w:hAnsi="Verdana" w:cs="Calibri"/>
                <w:color w:val="000000"/>
                <w:kern w:val="0"/>
                <w:sz w:val="18"/>
                <w:szCs w:val="18"/>
                <w:lang w:eastAsia="es-CO"/>
                <w14:ligatures w14:val="none"/>
              </w:rPr>
            </w:pPr>
            <w:r w:rsidRPr="001C54C6">
              <w:rPr>
                <w:rFonts w:ascii="Verdana" w:eastAsia="Times New Roman" w:hAnsi="Verdana" w:cs="Calibri"/>
                <w:color w:val="000000"/>
                <w:kern w:val="0"/>
                <w:sz w:val="18"/>
                <w:szCs w:val="18"/>
                <w:lang w:eastAsia="es-CO"/>
                <w14:ligatures w14:val="none"/>
              </w:rPr>
              <w:t>0,0%</w:t>
            </w:r>
          </w:p>
        </w:tc>
      </w:tr>
      <w:tr w:rsidR="00CD5AB9" w:rsidRPr="001C54C6" w14:paraId="55D8355A" w14:textId="77777777" w:rsidTr="007A3BFF">
        <w:trPr>
          <w:trHeight w:val="300"/>
          <w:jc w:val="center"/>
        </w:trPr>
        <w:tc>
          <w:tcPr>
            <w:tcW w:w="1661" w:type="dxa"/>
            <w:shd w:val="clear" w:color="auto" w:fill="auto"/>
            <w:vAlign w:val="center"/>
            <w:hideMark/>
          </w:tcPr>
          <w:p w14:paraId="5C0EC511" w14:textId="77777777" w:rsidR="00CD5AB9" w:rsidRPr="001C54C6" w:rsidRDefault="00CD5AB9" w:rsidP="007A3BFF">
            <w:pPr>
              <w:spacing w:after="0" w:line="240" w:lineRule="auto"/>
              <w:jc w:val="center"/>
              <w:rPr>
                <w:rFonts w:ascii="Verdana" w:eastAsia="Times New Roman" w:hAnsi="Verdana" w:cs="Calibri"/>
                <w:color w:val="000000"/>
                <w:kern w:val="0"/>
                <w:sz w:val="18"/>
                <w:szCs w:val="18"/>
                <w:lang w:eastAsia="es-CO"/>
                <w14:ligatures w14:val="none"/>
              </w:rPr>
            </w:pPr>
            <w:r w:rsidRPr="001C54C6">
              <w:rPr>
                <w:rFonts w:ascii="Verdana" w:eastAsia="Times New Roman" w:hAnsi="Verdana" w:cs="Calibri"/>
                <w:color w:val="000000"/>
                <w:kern w:val="0"/>
                <w:sz w:val="18"/>
                <w:szCs w:val="18"/>
                <w:lang w:eastAsia="es-CO"/>
                <w14:ligatures w14:val="none"/>
              </w:rPr>
              <w:t>Inversión</w:t>
            </w:r>
          </w:p>
        </w:tc>
        <w:tc>
          <w:tcPr>
            <w:tcW w:w="1422" w:type="dxa"/>
            <w:shd w:val="clear" w:color="auto" w:fill="auto"/>
            <w:vAlign w:val="center"/>
            <w:hideMark/>
          </w:tcPr>
          <w:p w14:paraId="3DAB040E" w14:textId="77777777" w:rsidR="00CD5AB9" w:rsidRPr="001C54C6" w:rsidRDefault="00CD5AB9" w:rsidP="007A3BFF">
            <w:pPr>
              <w:spacing w:after="0" w:line="240" w:lineRule="auto"/>
              <w:jc w:val="center"/>
              <w:rPr>
                <w:rFonts w:ascii="Verdana" w:eastAsia="Times New Roman" w:hAnsi="Verdana" w:cs="Calibri"/>
                <w:color w:val="000000"/>
                <w:kern w:val="0"/>
                <w:sz w:val="18"/>
                <w:szCs w:val="18"/>
                <w:lang w:eastAsia="es-CO"/>
                <w14:ligatures w14:val="none"/>
              </w:rPr>
            </w:pPr>
            <w:r w:rsidRPr="00CB62DE">
              <w:rPr>
                <w:rFonts w:ascii="Verdana" w:eastAsia="Times New Roman" w:hAnsi="Verdana" w:cs="Calibri"/>
                <w:color w:val="000000"/>
                <w:kern w:val="0"/>
                <w:sz w:val="18"/>
                <w:szCs w:val="18"/>
                <w:lang w:eastAsia="es-CO"/>
                <w14:ligatures w14:val="none"/>
              </w:rPr>
              <w:t>1.608,</w:t>
            </w:r>
            <w:r>
              <w:rPr>
                <w:rFonts w:ascii="Verdana" w:eastAsia="Times New Roman" w:hAnsi="Verdana" w:cs="Calibri"/>
                <w:color w:val="000000"/>
                <w:kern w:val="0"/>
                <w:sz w:val="18"/>
                <w:szCs w:val="18"/>
                <w:lang w:eastAsia="es-CO"/>
                <w14:ligatures w14:val="none"/>
              </w:rPr>
              <w:t>9</w:t>
            </w:r>
          </w:p>
        </w:tc>
        <w:tc>
          <w:tcPr>
            <w:tcW w:w="1422" w:type="dxa"/>
            <w:shd w:val="clear" w:color="auto" w:fill="auto"/>
            <w:vAlign w:val="center"/>
            <w:hideMark/>
          </w:tcPr>
          <w:p w14:paraId="64C74F9F" w14:textId="77777777" w:rsidR="00CD5AB9" w:rsidRPr="001C54C6" w:rsidRDefault="00CD5AB9" w:rsidP="007A3BFF">
            <w:pPr>
              <w:spacing w:after="0" w:line="240" w:lineRule="auto"/>
              <w:jc w:val="center"/>
              <w:rPr>
                <w:rFonts w:ascii="Verdana" w:eastAsia="Times New Roman" w:hAnsi="Verdana" w:cs="Calibri"/>
                <w:color w:val="000000"/>
                <w:kern w:val="0"/>
                <w:sz w:val="18"/>
                <w:szCs w:val="18"/>
                <w:lang w:eastAsia="es-CO"/>
                <w14:ligatures w14:val="none"/>
              </w:rPr>
            </w:pPr>
            <w:r w:rsidRPr="00CB62DE">
              <w:rPr>
                <w:rFonts w:ascii="Verdana" w:eastAsia="Times New Roman" w:hAnsi="Verdana" w:cs="Calibri"/>
                <w:color w:val="000000"/>
                <w:kern w:val="0"/>
                <w:sz w:val="18"/>
                <w:szCs w:val="18"/>
                <w:lang w:eastAsia="es-CO"/>
                <w14:ligatures w14:val="none"/>
              </w:rPr>
              <w:t>1.608,</w:t>
            </w:r>
            <w:r>
              <w:rPr>
                <w:rFonts w:ascii="Verdana" w:eastAsia="Times New Roman" w:hAnsi="Verdana" w:cs="Calibri"/>
                <w:color w:val="000000"/>
                <w:kern w:val="0"/>
                <w:sz w:val="18"/>
                <w:szCs w:val="18"/>
                <w:lang w:eastAsia="es-CO"/>
                <w14:ligatures w14:val="none"/>
              </w:rPr>
              <w:t>9</w:t>
            </w:r>
          </w:p>
        </w:tc>
        <w:tc>
          <w:tcPr>
            <w:tcW w:w="1687" w:type="dxa"/>
            <w:shd w:val="clear" w:color="auto" w:fill="auto"/>
            <w:vAlign w:val="center"/>
            <w:hideMark/>
          </w:tcPr>
          <w:p w14:paraId="4D466BFD" w14:textId="77777777" w:rsidR="00CD5AB9" w:rsidRPr="001C54C6" w:rsidRDefault="00CD5AB9" w:rsidP="007A3BFF">
            <w:pPr>
              <w:spacing w:after="0" w:line="240" w:lineRule="auto"/>
              <w:jc w:val="center"/>
              <w:rPr>
                <w:rFonts w:ascii="Verdana" w:eastAsia="Times New Roman" w:hAnsi="Verdana" w:cs="Calibri"/>
                <w:color w:val="000000"/>
                <w:kern w:val="0"/>
                <w:sz w:val="18"/>
                <w:szCs w:val="18"/>
                <w:lang w:eastAsia="es-CO"/>
                <w14:ligatures w14:val="none"/>
              </w:rPr>
            </w:pPr>
            <w:r>
              <w:rPr>
                <w:rFonts w:ascii="Verdana" w:eastAsia="Times New Roman" w:hAnsi="Verdana" w:cs="Calibri"/>
                <w:color w:val="000000"/>
                <w:kern w:val="0"/>
                <w:sz w:val="18"/>
                <w:szCs w:val="18"/>
                <w:lang w:eastAsia="es-CO"/>
                <w14:ligatures w14:val="none"/>
              </w:rPr>
              <w:t>6</w:t>
            </w:r>
            <w:r w:rsidRPr="001C54C6">
              <w:rPr>
                <w:rFonts w:ascii="Verdana" w:eastAsia="Times New Roman" w:hAnsi="Verdana" w:cs="Calibri"/>
                <w:color w:val="000000"/>
                <w:kern w:val="0"/>
                <w:sz w:val="18"/>
                <w:szCs w:val="18"/>
                <w:lang w:eastAsia="es-CO"/>
                <w14:ligatures w14:val="none"/>
              </w:rPr>
              <w:t>,</w:t>
            </w:r>
            <w:r>
              <w:rPr>
                <w:rFonts w:ascii="Verdana" w:eastAsia="Times New Roman" w:hAnsi="Verdana" w:cs="Calibri"/>
                <w:color w:val="000000"/>
                <w:kern w:val="0"/>
                <w:sz w:val="18"/>
                <w:szCs w:val="18"/>
                <w:lang w:eastAsia="es-CO"/>
                <w14:ligatures w14:val="none"/>
              </w:rPr>
              <w:t>4</w:t>
            </w:r>
            <w:r w:rsidRPr="001C54C6">
              <w:rPr>
                <w:rFonts w:ascii="Verdana" w:eastAsia="Times New Roman" w:hAnsi="Verdana" w:cs="Calibri"/>
                <w:color w:val="000000"/>
                <w:kern w:val="0"/>
                <w:sz w:val="18"/>
                <w:szCs w:val="18"/>
                <w:lang w:eastAsia="es-CO"/>
                <w14:ligatures w14:val="none"/>
              </w:rPr>
              <w:t>%</w:t>
            </w:r>
          </w:p>
        </w:tc>
        <w:tc>
          <w:tcPr>
            <w:tcW w:w="1321" w:type="dxa"/>
            <w:shd w:val="clear" w:color="auto" w:fill="auto"/>
            <w:vAlign w:val="center"/>
            <w:hideMark/>
          </w:tcPr>
          <w:p w14:paraId="21A9B1F6" w14:textId="77777777" w:rsidR="00CD5AB9" w:rsidRPr="001C54C6" w:rsidRDefault="00CD5AB9" w:rsidP="007A3BFF">
            <w:pPr>
              <w:spacing w:after="0" w:line="240" w:lineRule="auto"/>
              <w:jc w:val="center"/>
              <w:rPr>
                <w:rFonts w:ascii="Verdana" w:eastAsia="Times New Roman" w:hAnsi="Verdana" w:cs="Calibri"/>
                <w:color w:val="000000"/>
                <w:kern w:val="0"/>
                <w:sz w:val="18"/>
                <w:szCs w:val="18"/>
                <w:lang w:eastAsia="es-CO"/>
                <w14:ligatures w14:val="none"/>
              </w:rPr>
            </w:pPr>
            <w:r w:rsidRPr="00CB62DE">
              <w:rPr>
                <w:rFonts w:ascii="Verdana" w:eastAsia="Times New Roman" w:hAnsi="Verdana" w:cs="Calibri"/>
                <w:color w:val="000000"/>
                <w:kern w:val="0"/>
                <w:sz w:val="18"/>
                <w:szCs w:val="18"/>
                <w:lang w:eastAsia="es-CO"/>
                <w14:ligatures w14:val="none"/>
              </w:rPr>
              <w:t>415,3</w:t>
            </w:r>
          </w:p>
        </w:tc>
        <w:tc>
          <w:tcPr>
            <w:tcW w:w="992" w:type="dxa"/>
            <w:shd w:val="clear" w:color="auto" w:fill="auto"/>
            <w:vAlign w:val="center"/>
            <w:hideMark/>
          </w:tcPr>
          <w:p w14:paraId="061CF72C" w14:textId="77777777" w:rsidR="00CD5AB9" w:rsidRPr="001C54C6" w:rsidRDefault="00CD5AB9" w:rsidP="007A3BFF">
            <w:pPr>
              <w:spacing w:after="0" w:line="240" w:lineRule="auto"/>
              <w:jc w:val="center"/>
              <w:rPr>
                <w:rFonts w:ascii="Verdana" w:eastAsia="Times New Roman" w:hAnsi="Verdana" w:cs="Calibri"/>
                <w:color w:val="000000"/>
                <w:kern w:val="0"/>
                <w:sz w:val="18"/>
                <w:szCs w:val="18"/>
                <w:lang w:eastAsia="es-CO"/>
                <w14:ligatures w14:val="none"/>
              </w:rPr>
            </w:pPr>
            <w:r>
              <w:rPr>
                <w:rFonts w:ascii="Verdana" w:eastAsia="Times New Roman" w:hAnsi="Verdana" w:cs="Calibri"/>
                <w:color w:val="000000"/>
                <w:kern w:val="0"/>
                <w:sz w:val="18"/>
                <w:szCs w:val="18"/>
                <w:lang w:eastAsia="es-CO"/>
                <w14:ligatures w14:val="none"/>
              </w:rPr>
              <w:t>25</w:t>
            </w:r>
            <w:r w:rsidRPr="001C54C6">
              <w:rPr>
                <w:rFonts w:ascii="Verdana" w:eastAsia="Times New Roman" w:hAnsi="Verdana" w:cs="Calibri"/>
                <w:color w:val="000000"/>
                <w:kern w:val="0"/>
                <w:sz w:val="18"/>
                <w:szCs w:val="18"/>
                <w:lang w:eastAsia="es-CO"/>
                <w14:ligatures w14:val="none"/>
              </w:rPr>
              <w:t>,</w:t>
            </w:r>
            <w:r>
              <w:rPr>
                <w:rFonts w:ascii="Verdana" w:eastAsia="Times New Roman" w:hAnsi="Verdana" w:cs="Calibri"/>
                <w:color w:val="000000"/>
                <w:kern w:val="0"/>
                <w:sz w:val="18"/>
                <w:szCs w:val="18"/>
                <w:lang w:eastAsia="es-CO"/>
                <w14:ligatures w14:val="none"/>
              </w:rPr>
              <w:t>8</w:t>
            </w:r>
            <w:r w:rsidRPr="001C54C6">
              <w:rPr>
                <w:rFonts w:ascii="Verdana" w:eastAsia="Times New Roman" w:hAnsi="Verdana" w:cs="Calibri"/>
                <w:color w:val="000000"/>
                <w:kern w:val="0"/>
                <w:sz w:val="18"/>
                <w:szCs w:val="18"/>
                <w:lang w:eastAsia="es-CO"/>
                <w14:ligatures w14:val="none"/>
              </w:rPr>
              <w:t>%</w:t>
            </w:r>
          </w:p>
        </w:tc>
        <w:tc>
          <w:tcPr>
            <w:tcW w:w="1207" w:type="dxa"/>
            <w:shd w:val="clear" w:color="auto" w:fill="auto"/>
            <w:vAlign w:val="center"/>
            <w:hideMark/>
          </w:tcPr>
          <w:p w14:paraId="20430D6E" w14:textId="77777777" w:rsidR="00CD5AB9" w:rsidRPr="001C54C6" w:rsidRDefault="00CD5AB9" w:rsidP="007A3BFF">
            <w:pPr>
              <w:spacing w:after="0" w:line="240" w:lineRule="auto"/>
              <w:jc w:val="center"/>
              <w:rPr>
                <w:rFonts w:ascii="Verdana" w:eastAsia="Times New Roman" w:hAnsi="Verdana" w:cs="Calibri"/>
                <w:color w:val="000000"/>
                <w:kern w:val="0"/>
                <w:sz w:val="18"/>
                <w:szCs w:val="18"/>
                <w:lang w:eastAsia="es-CO"/>
                <w14:ligatures w14:val="none"/>
              </w:rPr>
            </w:pPr>
            <w:r w:rsidRPr="00CB62DE">
              <w:rPr>
                <w:rFonts w:ascii="Verdana" w:eastAsia="Times New Roman" w:hAnsi="Verdana" w:cs="Calibri"/>
                <w:color w:val="000000"/>
                <w:kern w:val="0"/>
                <w:sz w:val="18"/>
                <w:szCs w:val="18"/>
                <w:lang w:eastAsia="es-CO"/>
                <w14:ligatures w14:val="none"/>
              </w:rPr>
              <w:t>320,7</w:t>
            </w:r>
          </w:p>
        </w:tc>
        <w:tc>
          <w:tcPr>
            <w:tcW w:w="903" w:type="dxa"/>
            <w:shd w:val="clear" w:color="auto" w:fill="auto"/>
            <w:vAlign w:val="center"/>
            <w:hideMark/>
          </w:tcPr>
          <w:p w14:paraId="47670283" w14:textId="77777777" w:rsidR="00CD5AB9" w:rsidRPr="001C54C6" w:rsidRDefault="00CD5AB9" w:rsidP="007A3BFF">
            <w:pPr>
              <w:spacing w:after="0" w:line="240" w:lineRule="auto"/>
              <w:jc w:val="center"/>
              <w:rPr>
                <w:rFonts w:ascii="Verdana" w:eastAsia="Times New Roman" w:hAnsi="Verdana" w:cs="Calibri"/>
                <w:color w:val="000000"/>
                <w:kern w:val="0"/>
                <w:sz w:val="18"/>
                <w:szCs w:val="18"/>
                <w:lang w:eastAsia="es-CO"/>
                <w14:ligatures w14:val="none"/>
              </w:rPr>
            </w:pPr>
            <w:r>
              <w:rPr>
                <w:rFonts w:ascii="Verdana" w:eastAsia="Times New Roman" w:hAnsi="Verdana" w:cs="Calibri"/>
                <w:color w:val="000000"/>
                <w:kern w:val="0"/>
                <w:sz w:val="18"/>
                <w:szCs w:val="18"/>
                <w:lang w:eastAsia="es-CO"/>
                <w14:ligatures w14:val="none"/>
              </w:rPr>
              <w:t>19</w:t>
            </w:r>
            <w:r w:rsidRPr="001C54C6">
              <w:rPr>
                <w:rFonts w:ascii="Verdana" w:eastAsia="Times New Roman" w:hAnsi="Verdana" w:cs="Calibri"/>
                <w:color w:val="000000"/>
                <w:kern w:val="0"/>
                <w:sz w:val="18"/>
                <w:szCs w:val="18"/>
                <w:lang w:eastAsia="es-CO"/>
                <w14:ligatures w14:val="none"/>
              </w:rPr>
              <w:t>,</w:t>
            </w:r>
            <w:r>
              <w:rPr>
                <w:rFonts w:ascii="Verdana" w:eastAsia="Times New Roman" w:hAnsi="Verdana" w:cs="Calibri"/>
                <w:color w:val="000000"/>
                <w:kern w:val="0"/>
                <w:sz w:val="18"/>
                <w:szCs w:val="18"/>
                <w:lang w:eastAsia="es-CO"/>
                <w14:ligatures w14:val="none"/>
              </w:rPr>
              <w:t>9</w:t>
            </w:r>
            <w:r w:rsidRPr="001C54C6">
              <w:rPr>
                <w:rFonts w:ascii="Verdana" w:eastAsia="Times New Roman" w:hAnsi="Verdana" w:cs="Calibri"/>
                <w:color w:val="000000"/>
                <w:kern w:val="0"/>
                <w:sz w:val="18"/>
                <w:szCs w:val="18"/>
                <w:lang w:eastAsia="es-CO"/>
                <w14:ligatures w14:val="none"/>
              </w:rPr>
              <w:t>%</w:t>
            </w:r>
          </w:p>
        </w:tc>
      </w:tr>
      <w:tr w:rsidR="00CD5AB9" w:rsidRPr="001C54C6" w14:paraId="792E31D1" w14:textId="77777777" w:rsidTr="007A3BFF">
        <w:trPr>
          <w:trHeight w:val="432"/>
          <w:jc w:val="center"/>
        </w:trPr>
        <w:tc>
          <w:tcPr>
            <w:tcW w:w="1661" w:type="dxa"/>
            <w:shd w:val="clear" w:color="auto" w:fill="auto"/>
            <w:vAlign w:val="center"/>
            <w:hideMark/>
          </w:tcPr>
          <w:p w14:paraId="6283AEC3" w14:textId="77777777" w:rsidR="00CD5AB9" w:rsidRPr="001C54C6" w:rsidRDefault="00CD5AB9" w:rsidP="007A3BFF">
            <w:pPr>
              <w:spacing w:after="0" w:line="240" w:lineRule="auto"/>
              <w:jc w:val="center"/>
              <w:rPr>
                <w:rFonts w:ascii="Verdana" w:eastAsia="Times New Roman" w:hAnsi="Verdana" w:cs="Calibri"/>
                <w:b/>
                <w:bCs/>
                <w:color w:val="000000"/>
                <w:kern w:val="0"/>
                <w:sz w:val="18"/>
                <w:szCs w:val="18"/>
                <w:lang w:eastAsia="es-CO"/>
                <w14:ligatures w14:val="none"/>
              </w:rPr>
            </w:pPr>
            <w:r w:rsidRPr="001C54C6">
              <w:rPr>
                <w:rFonts w:ascii="Verdana" w:eastAsia="Times New Roman" w:hAnsi="Verdana" w:cs="Calibri"/>
                <w:b/>
                <w:bCs/>
                <w:color w:val="000000"/>
                <w:kern w:val="0"/>
                <w:sz w:val="18"/>
                <w:szCs w:val="18"/>
                <w:lang w:eastAsia="es-CO"/>
                <w14:ligatures w14:val="none"/>
              </w:rPr>
              <w:t>Totales</w:t>
            </w:r>
          </w:p>
        </w:tc>
        <w:tc>
          <w:tcPr>
            <w:tcW w:w="1422" w:type="dxa"/>
            <w:shd w:val="clear" w:color="auto" w:fill="auto"/>
            <w:vAlign w:val="center"/>
            <w:hideMark/>
          </w:tcPr>
          <w:p w14:paraId="70D44C59" w14:textId="77777777" w:rsidR="00CD5AB9" w:rsidRPr="001C54C6" w:rsidRDefault="00CD5AB9" w:rsidP="007A3BFF">
            <w:pPr>
              <w:spacing w:after="0" w:line="240" w:lineRule="auto"/>
              <w:jc w:val="center"/>
              <w:rPr>
                <w:rFonts w:ascii="Verdana" w:eastAsia="Times New Roman" w:hAnsi="Verdana" w:cs="Calibri"/>
                <w:b/>
                <w:bCs/>
                <w:color w:val="000000"/>
                <w:kern w:val="0"/>
                <w:sz w:val="18"/>
                <w:szCs w:val="18"/>
                <w:lang w:eastAsia="es-CO"/>
                <w14:ligatures w14:val="none"/>
              </w:rPr>
            </w:pPr>
            <w:r w:rsidRPr="00CB62DE">
              <w:rPr>
                <w:rFonts w:ascii="Verdana" w:eastAsia="Times New Roman" w:hAnsi="Verdana" w:cs="Calibri"/>
                <w:b/>
                <w:bCs/>
                <w:color w:val="000000"/>
                <w:kern w:val="0"/>
                <w:sz w:val="18"/>
                <w:szCs w:val="18"/>
                <w:lang w:eastAsia="es-CO"/>
                <w14:ligatures w14:val="none"/>
              </w:rPr>
              <w:t>25.179,</w:t>
            </w:r>
            <w:r>
              <w:rPr>
                <w:rFonts w:ascii="Verdana" w:eastAsia="Times New Roman" w:hAnsi="Verdana" w:cs="Calibri"/>
                <w:b/>
                <w:bCs/>
                <w:color w:val="000000"/>
                <w:kern w:val="0"/>
                <w:sz w:val="18"/>
                <w:szCs w:val="18"/>
                <w:lang w:eastAsia="es-CO"/>
                <w14:ligatures w14:val="none"/>
              </w:rPr>
              <w:t>9</w:t>
            </w:r>
          </w:p>
        </w:tc>
        <w:tc>
          <w:tcPr>
            <w:tcW w:w="1422" w:type="dxa"/>
            <w:shd w:val="clear" w:color="auto" w:fill="auto"/>
            <w:vAlign w:val="center"/>
            <w:hideMark/>
          </w:tcPr>
          <w:p w14:paraId="1B81E68C" w14:textId="77777777" w:rsidR="00CD5AB9" w:rsidRPr="001C54C6" w:rsidRDefault="00CD5AB9" w:rsidP="007A3BFF">
            <w:pPr>
              <w:spacing w:after="0" w:line="240" w:lineRule="auto"/>
              <w:jc w:val="center"/>
              <w:rPr>
                <w:rFonts w:ascii="Verdana" w:eastAsia="Times New Roman" w:hAnsi="Verdana" w:cs="Calibri"/>
                <w:b/>
                <w:bCs/>
                <w:color w:val="000000"/>
                <w:kern w:val="0"/>
                <w:sz w:val="18"/>
                <w:szCs w:val="18"/>
                <w:lang w:eastAsia="es-CO"/>
                <w14:ligatures w14:val="none"/>
              </w:rPr>
            </w:pPr>
            <w:r w:rsidRPr="00CB62DE">
              <w:rPr>
                <w:rFonts w:ascii="Verdana" w:eastAsia="Times New Roman" w:hAnsi="Verdana" w:cs="Calibri"/>
                <w:b/>
                <w:bCs/>
                <w:color w:val="000000"/>
                <w:kern w:val="0"/>
                <w:sz w:val="18"/>
                <w:szCs w:val="18"/>
                <w:lang w:eastAsia="es-CO"/>
                <w14:ligatures w14:val="none"/>
              </w:rPr>
              <w:t>25.179,</w:t>
            </w:r>
            <w:r>
              <w:rPr>
                <w:rFonts w:ascii="Verdana" w:eastAsia="Times New Roman" w:hAnsi="Verdana" w:cs="Calibri"/>
                <w:b/>
                <w:bCs/>
                <w:color w:val="000000"/>
                <w:kern w:val="0"/>
                <w:sz w:val="18"/>
                <w:szCs w:val="18"/>
                <w:lang w:eastAsia="es-CO"/>
                <w14:ligatures w14:val="none"/>
              </w:rPr>
              <w:t>9</w:t>
            </w:r>
          </w:p>
        </w:tc>
        <w:tc>
          <w:tcPr>
            <w:tcW w:w="1687" w:type="dxa"/>
            <w:shd w:val="clear" w:color="auto" w:fill="auto"/>
            <w:vAlign w:val="center"/>
            <w:hideMark/>
          </w:tcPr>
          <w:p w14:paraId="61765835" w14:textId="77777777" w:rsidR="00CD5AB9" w:rsidRPr="001C54C6" w:rsidRDefault="00CD5AB9" w:rsidP="007A3BFF">
            <w:pPr>
              <w:spacing w:after="0" w:line="240" w:lineRule="auto"/>
              <w:jc w:val="center"/>
              <w:rPr>
                <w:rFonts w:ascii="Verdana" w:eastAsia="Times New Roman" w:hAnsi="Verdana" w:cs="Calibri"/>
                <w:b/>
                <w:bCs/>
                <w:color w:val="000000"/>
                <w:kern w:val="0"/>
                <w:sz w:val="18"/>
                <w:szCs w:val="18"/>
                <w:lang w:eastAsia="es-CO"/>
                <w14:ligatures w14:val="none"/>
              </w:rPr>
            </w:pPr>
            <w:r w:rsidRPr="001C54C6">
              <w:rPr>
                <w:rFonts w:ascii="Verdana" w:eastAsia="Times New Roman" w:hAnsi="Verdana" w:cs="Calibri"/>
                <w:b/>
                <w:bCs/>
                <w:color w:val="000000"/>
                <w:kern w:val="0"/>
                <w:sz w:val="18"/>
                <w:szCs w:val="18"/>
                <w:lang w:eastAsia="es-CO"/>
                <w14:ligatures w14:val="none"/>
              </w:rPr>
              <w:t>100%</w:t>
            </w:r>
          </w:p>
        </w:tc>
        <w:tc>
          <w:tcPr>
            <w:tcW w:w="1321" w:type="dxa"/>
            <w:shd w:val="clear" w:color="auto" w:fill="auto"/>
            <w:vAlign w:val="center"/>
            <w:hideMark/>
          </w:tcPr>
          <w:p w14:paraId="1422D0CF" w14:textId="77777777" w:rsidR="00CD5AB9" w:rsidRPr="001C54C6" w:rsidRDefault="00CD5AB9" w:rsidP="007A3BFF">
            <w:pPr>
              <w:spacing w:after="0" w:line="240" w:lineRule="auto"/>
              <w:jc w:val="center"/>
              <w:rPr>
                <w:rFonts w:ascii="Verdana" w:eastAsia="Times New Roman" w:hAnsi="Verdana" w:cs="Calibri"/>
                <w:b/>
                <w:bCs/>
                <w:color w:val="000000"/>
                <w:kern w:val="0"/>
                <w:sz w:val="18"/>
                <w:szCs w:val="18"/>
                <w:lang w:eastAsia="es-CO"/>
                <w14:ligatures w14:val="none"/>
              </w:rPr>
            </w:pPr>
            <w:r w:rsidRPr="00DB6049">
              <w:rPr>
                <w:rFonts w:ascii="Verdana" w:eastAsia="Times New Roman" w:hAnsi="Verdana" w:cs="Calibri"/>
                <w:b/>
                <w:bCs/>
                <w:color w:val="000000"/>
                <w:kern w:val="0"/>
                <w:sz w:val="18"/>
                <w:szCs w:val="18"/>
                <w:lang w:eastAsia="es-CO"/>
                <w14:ligatures w14:val="none"/>
              </w:rPr>
              <w:t>14.656,1</w:t>
            </w:r>
          </w:p>
        </w:tc>
        <w:tc>
          <w:tcPr>
            <w:tcW w:w="992" w:type="dxa"/>
            <w:shd w:val="clear" w:color="auto" w:fill="auto"/>
            <w:vAlign w:val="center"/>
            <w:hideMark/>
          </w:tcPr>
          <w:p w14:paraId="16B149BA" w14:textId="77777777" w:rsidR="00CD5AB9" w:rsidRPr="001C54C6" w:rsidRDefault="00CD5AB9" w:rsidP="007A3BFF">
            <w:pPr>
              <w:spacing w:after="0" w:line="240" w:lineRule="auto"/>
              <w:jc w:val="center"/>
              <w:rPr>
                <w:rFonts w:ascii="Verdana" w:eastAsia="Times New Roman" w:hAnsi="Verdana" w:cs="Calibri"/>
                <w:b/>
                <w:bCs/>
                <w:color w:val="000000"/>
                <w:kern w:val="0"/>
                <w:sz w:val="18"/>
                <w:szCs w:val="18"/>
                <w:lang w:eastAsia="es-CO"/>
                <w14:ligatures w14:val="none"/>
              </w:rPr>
            </w:pPr>
            <w:r>
              <w:rPr>
                <w:rFonts w:ascii="Verdana" w:eastAsia="Times New Roman" w:hAnsi="Verdana" w:cs="Calibri"/>
                <w:b/>
                <w:bCs/>
                <w:color w:val="000000"/>
                <w:kern w:val="0"/>
                <w:sz w:val="18"/>
                <w:szCs w:val="18"/>
                <w:lang w:eastAsia="es-CO"/>
                <w14:ligatures w14:val="none"/>
              </w:rPr>
              <w:t>58</w:t>
            </w:r>
            <w:r w:rsidRPr="001C54C6">
              <w:rPr>
                <w:rFonts w:ascii="Verdana" w:eastAsia="Times New Roman" w:hAnsi="Verdana" w:cs="Calibri"/>
                <w:b/>
                <w:bCs/>
                <w:color w:val="000000"/>
                <w:kern w:val="0"/>
                <w:sz w:val="18"/>
                <w:szCs w:val="18"/>
                <w:lang w:eastAsia="es-CO"/>
                <w14:ligatures w14:val="none"/>
              </w:rPr>
              <w:t>,</w:t>
            </w:r>
            <w:r>
              <w:rPr>
                <w:rFonts w:ascii="Verdana" w:eastAsia="Times New Roman" w:hAnsi="Verdana" w:cs="Calibri"/>
                <w:b/>
                <w:bCs/>
                <w:color w:val="000000"/>
                <w:kern w:val="0"/>
                <w:sz w:val="18"/>
                <w:szCs w:val="18"/>
                <w:lang w:eastAsia="es-CO"/>
                <w14:ligatures w14:val="none"/>
              </w:rPr>
              <w:t>2</w:t>
            </w:r>
            <w:r w:rsidRPr="001C54C6">
              <w:rPr>
                <w:rFonts w:ascii="Verdana" w:eastAsia="Times New Roman" w:hAnsi="Verdana" w:cs="Calibri"/>
                <w:b/>
                <w:bCs/>
                <w:color w:val="000000"/>
                <w:kern w:val="0"/>
                <w:sz w:val="18"/>
                <w:szCs w:val="18"/>
                <w:lang w:eastAsia="es-CO"/>
                <w14:ligatures w14:val="none"/>
              </w:rPr>
              <w:t>%</w:t>
            </w:r>
          </w:p>
        </w:tc>
        <w:tc>
          <w:tcPr>
            <w:tcW w:w="1207" w:type="dxa"/>
            <w:shd w:val="clear" w:color="auto" w:fill="auto"/>
            <w:vAlign w:val="center"/>
            <w:hideMark/>
          </w:tcPr>
          <w:p w14:paraId="2A6624B6" w14:textId="77777777" w:rsidR="00CD5AB9" w:rsidRPr="001C54C6" w:rsidRDefault="00CD5AB9" w:rsidP="007A3BFF">
            <w:pPr>
              <w:spacing w:after="0" w:line="240" w:lineRule="auto"/>
              <w:jc w:val="center"/>
              <w:rPr>
                <w:rFonts w:ascii="Verdana" w:eastAsia="Times New Roman" w:hAnsi="Verdana" w:cs="Calibri"/>
                <w:b/>
                <w:bCs/>
                <w:color w:val="000000"/>
                <w:kern w:val="0"/>
                <w:sz w:val="18"/>
                <w:szCs w:val="18"/>
                <w:lang w:eastAsia="es-CO"/>
                <w14:ligatures w14:val="none"/>
              </w:rPr>
            </w:pPr>
            <w:r w:rsidRPr="00DB6049">
              <w:rPr>
                <w:rFonts w:ascii="Verdana" w:eastAsia="Times New Roman" w:hAnsi="Verdana" w:cs="Calibri"/>
                <w:b/>
                <w:bCs/>
                <w:color w:val="000000"/>
                <w:kern w:val="0"/>
                <w:sz w:val="18"/>
                <w:szCs w:val="18"/>
                <w:lang w:eastAsia="es-CO"/>
                <w14:ligatures w14:val="none"/>
              </w:rPr>
              <w:t>13.103,6</w:t>
            </w:r>
          </w:p>
        </w:tc>
        <w:tc>
          <w:tcPr>
            <w:tcW w:w="903" w:type="dxa"/>
            <w:shd w:val="clear" w:color="auto" w:fill="auto"/>
            <w:vAlign w:val="center"/>
            <w:hideMark/>
          </w:tcPr>
          <w:p w14:paraId="2B9B202D" w14:textId="77777777" w:rsidR="00CD5AB9" w:rsidRPr="001C54C6" w:rsidRDefault="00CD5AB9" w:rsidP="007A3BFF">
            <w:pPr>
              <w:spacing w:after="0" w:line="240" w:lineRule="auto"/>
              <w:jc w:val="center"/>
              <w:rPr>
                <w:rFonts w:ascii="Verdana" w:eastAsia="Times New Roman" w:hAnsi="Verdana" w:cs="Calibri"/>
                <w:b/>
                <w:bCs/>
                <w:color w:val="000000"/>
                <w:kern w:val="0"/>
                <w:sz w:val="18"/>
                <w:szCs w:val="18"/>
                <w:lang w:eastAsia="es-CO"/>
                <w14:ligatures w14:val="none"/>
              </w:rPr>
            </w:pPr>
            <w:r>
              <w:rPr>
                <w:rFonts w:ascii="Verdana" w:eastAsia="Times New Roman" w:hAnsi="Verdana" w:cs="Calibri"/>
                <w:b/>
                <w:bCs/>
                <w:color w:val="000000"/>
                <w:kern w:val="0"/>
                <w:sz w:val="18"/>
                <w:szCs w:val="18"/>
                <w:lang w:eastAsia="es-CO"/>
                <w14:ligatures w14:val="none"/>
              </w:rPr>
              <w:t>52</w:t>
            </w:r>
            <w:r w:rsidRPr="001C54C6">
              <w:rPr>
                <w:rFonts w:ascii="Verdana" w:eastAsia="Times New Roman" w:hAnsi="Verdana" w:cs="Calibri"/>
                <w:b/>
                <w:bCs/>
                <w:color w:val="000000"/>
                <w:kern w:val="0"/>
                <w:sz w:val="18"/>
                <w:szCs w:val="18"/>
                <w:lang w:eastAsia="es-CO"/>
                <w14:ligatures w14:val="none"/>
              </w:rPr>
              <w:t>,</w:t>
            </w:r>
            <w:r>
              <w:rPr>
                <w:rFonts w:ascii="Verdana" w:eastAsia="Times New Roman" w:hAnsi="Verdana" w:cs="Calibri"/>
                <w:b/>
                <w:bCs/>
                <w:color w:val="000000"/>
                <w:kern w:val="0"/>
                <w:sz w:val="18"/>
                <w:szCs w:val="18"/>
                <w:lang w:eastAsia="es-CO"/>
                <w14:ligatures w14:val="none"/>
              </w:rPr>
              <w:t>0</w:t>
            </w:r>
            <w:r w:rsidRPr="001C54C6">
              <w:rPr>
                <w:rFonts w:ascii="Verdana" w:eastAsia="Times New Roman" w:hAnsi="Verdana" w:cs="Calibri"/>
                <w:b/>
                <w:bCs/>
                <w:color w:val="000000"/>
                <w:kern w:val="0"/>
                <w:sz w:val="18"/>
                <w:szCs w:val="18"/>
                <w:lang w:eastAsia="es-CO"/>
                <w14:ligatures w14:val="none"/>
              </w:rPr>
              <w:t>%</w:t>
            </w:r>
          </w:p>
        </w:tc>
      </w:tr>
    </w:tbl>
    <w:p w14:paraId="7C3A0619" w14:textId="77777777" w:rsidR="00CD5AB9" w:rsidRDefault="00CD5AB9" w:rsidP="00CD5AB9">
      <w:pPr>
        <w:jc w:val="both"/>
        <w:rPr>
          <w:rFonts w:ascii="Verdana" w:hAnsi="Verdana"/>
        </w:rPr>
      </w:pPr>
    </w:p>
    <w:p w14:paraId="0B9A2006" w14:textId="77777777" w:rsidR="00B654C7" w:rsidRPr="00936621" w:rsidRDefault="00B654C7" w:rsidP="00B654C7">
      <w:pPr>
        <w:jc w:val="both"/>
        <w:rPr>
          <w:rFonts w:ascii="Verdana" w:hAnsi="Verdana"/>
          <w:b/>
          <w:bCs/>
        </w:rPr>
      </w:pPr>
    </w:p>
    <w:p w14:paraId="386FDF37" w14:textId="5920B9D5" w:rsidR="00B654C7" w:rsidRPr="00936621" w:rsidRDefault="00B654C7" w:rsidP="00B654C7">
      <w:pPr>
        <w:jc w:val="both"/>
        <w:rPr>
          <w:rFonts w:ascii="Verdana" w:hAnsi="Verdana" w:cs="Arial"/>
        </w:rPr>
      </w:pPr>
      <w:r w:rsidRPr="00936621">
        <w:rPr>
          <w:rFonts w:ascii="Verdana" w:hAnsi="Verdana" w:cs="Arial"/>
        </w:rPr>
        <w:t>A continuación, se presentan los principales resultados misionales de la Agencia del Inspector General de Tributos, Rentas y Contribuciones Parafiscales - ITRC en el año 2024:</w:t>
      </w:r>
    </w:p>
    <w:p w14:paraId="4DE6BF51" w14:textId="77777777" w:rsidR="002C0A72" w:rsidRPr="00936621" w:rsidRDefault="002C0A72" w:rsidP="002C0A72">
      <w:pPr>
        <w:jc w:val="both"/>
        <w:rPr>
          <w:rFonts w:ascii="Verdana" w:hAnsi="Verdana"/>
          <w:b/>
          <w:bCs/>
        </w:rPr>
      </w:pPr>
    </w:p>
    <w:p w14:paraId="0C7520F9" w14:textId="77777777" w:rsidR="00B654C7" w:rsidRPr="00936621" w:rsidRDefault="00B654C7" w:rsidP="002C0A72">
      <w:pPr>
        <w:jc w:val="both"/>
        <w:rPr>
          <w:rFonts w:ascii="Verdana" w:hAnsi="Verdana"/>
          <w:b/>
          <w:bCs/>
        </w:rPr>
      </w:pPr>
    </w:p>
    <w:tbl>
      <w:tblPr>
        <w:tblStyle w:val="Tablaconcuadrcula"/>
        <w:tblW w:w="10632" w:type="dxa"/>
        <w:tblInd w:w="-856" w:type="dxa"/>
        <w:tblLook w:val="04A0" w:firstRow="1" w:lastRow="0" w:firstColumn="1" w:lastColumn="0" w:noHBand="0" w:noVBand="1"/>
      </w:tblPr>
      <w:tblGrid>
        <w:gridCol w:w="2693"/>
        <w:gridCol w:w="7939"/>
      </w:tblGrid>
      <w:tr w:rsidR="002C0A72" w:rsidRPr="00936621" w14:paraId="258CAE0D" w14:textId="77777777" w:rsidTr="002C0A72">
        <w:tc>
          <w:tcPr>
            <w:tcW w:w="2693" w:type="dxa"/>
          </w:tcPr>
          <w:p w14:paraId="4D3D0727" w14:textId="77777777" w:rsidR="002C0A72" w:rsidRPr="00936621" w:rsidRDefault="002C0A72" w:rsidP="007A3BFF">
            <w:pPr>
              <w:jc w:val="center"/>
              <w:rPr>
                <w:rFonts w:ascii="Verdana" w:hAnsi="Verdana"/>
                <w:b/>
                <w:bCs/>
                <w:sz w:val="20"/>
                <w:szCs w:val="20"/>
                <w:lang w:val="es-MX"/>
              </w:rPr>
            </w:pPr>
            <w:r w:rsidRPr="00936621">
              <w:rPr>
                <w:rFonts w:ascii="Verdana" w:hAnsi="Verdana"/>
                <w:b/>
                <w:bCs/>
                <w:sz w:val="20"/>
                <w:szCs w:val="20"/>
                <w:lang w:val="es-MX"/>
              </w:rPr>
              <w:t>TIPO DE RECURSOS</w:t>
            </w:r>
          </w:p>
        </w:tc>
        <w:tc>
          <w:tcPr>
            <w:tcW w:w="7939" w:type="dxa"/>
          </w:tcPr>
          <w:p w14:paraId="39484BB2" w14:textId="77777777" w:rsidR="002C0A72" w:rsidRPr="00936621" w:rsidRDefault="002C0A72" w:rsidP="007A3BFF">
            <w:pPr>
              <w:jc w:val="center"/>
              <w:rPr>
                <w:rFonts w:ascii="Verdana" w:hAnsi="Verdana"/>
                <w:b/>
                <w:bCs/>
                <w:sz w:val="20"/>
                <w:szCs w:val="20"/>
                <w:lang w:val="es-MX"/>
              </w:rPr>
            </w:pPr>
            <w:r w:rsidRPr="00936621">
              <w:rPr>
                <w:rFonts w:ascii="Verdana" w:hAnsi="Verdana"/>
                <w:b/>
                <w:bCs/>
                <w:sz w:val="20"/>
                <w:szCs w:val="20"/>
                <w:lang w:val="es-MX"/>
              </w:rPr>
              <w:t>RESULTADOS MISIONALES</w:t>
            </w:r>
          </w:p>
        </w:tc>
      </w:tr>
      <w:tr w:rsidR="002C0A72" w:rsidRPr="00936621" w14:paraId="4B536462" w14:textId="77777777" w:rsidTr="002C0A72">
        <w:tc>
          <w:tcPr>
            <w:tcW w:w="10632" w:type="dxa"/>
            <w:gridSpan w:val="2"/>
          </w:tcPr>
          <w:p w14:paraId="20FE0004" w14:textId="77777777" w:rsidR="002C0A72" w:rsidRPr="00936621" w:rsidRDefault="002C0A72" w:rsidP="007A3BFF">
            <w:pPr>
              <w:jc w:val="center"/>
              <w:rPr>
                <w:rFonts w:ascii="Verdana" w:hAnsi="Verdana"/>
                <w:b/>
                <w:bCs/>
                <w:sz w:val="20"/>
                <w:szCs w:val="20"/>
                <w:lang w:val="es-MX"/>
              </w:rPr>
            </w:pPr>
            <w:r w:rsidRPr="00936621">
              <w:rPr>
                <w:rFonts w:ascii="Verdana" w:hAnsi="Verdana"/>
                <w:b/>
                <w:bCs/>
                <w:sz w:val="20"/>
                <w:szCs w:val="20"/>
                <w:lang w:val="es-MX"/>
              </w:rPr>
              <w:t>FUNCIONAMIENTO</w:t>
            </w:r>
          </w:p>
        </w:tc>
      </w:tr>
      <w:tr w:rsidR="002C0A72" w:rsidRPr="00936621" w14:paraId="6296EA11" w14:textId="77777777" w:rsidTr="002C0A72">
        <w:tc>
          <w:tcPr>
            <w:tcW w:w="2693" w:type="dxa"/>
          </w:tcPr>
          <w:p w14:paraId="593ECFA7" w14:textId="77777777" w:rsidR="002C0A72" w:rsidRPr="00936621" w:rsidRDefault="002C0A72" w:rsidP="007A3BFF">
            <w:pPr>
              <w:rPr>
                <w:rFonts w:ascii="Verdana" w:hAnsi="Verdana"/>
                <w:b/>
                <w:bCs/>
                <w:sz w:val="20"/>
                <w:szCs w:val="20"/>
                <w:lang w:val="es-MX"/>
              </w:rPr>
            </w:pPr>
            <w:r w:rsidRPr="00936621">
              <w:rPr>
                <w:rFonts w:ascii="Verdana" w:hAnsi="Verdana"/>
                <w:b/>
                <w:bCs/>
                <w:sz w:val="20"/>
                <w:szCs w:val="20"/>
                <w:lang w:val="es-MX"/>
              </w:rPr>
              <w:t>LABOR PREVENTIVA</w:t>
            </w:r>
          </w:p>
        </w:tc>
        <w:tc>
          <w:tcPr>
            <w:tcW w:w="7939" w:type="dxa"/>
          </w:tcPr>
          <w:p w14:paraId="71A99AB7" w14:textId="77777777" w:rsidR="007D7AC8" w:rsidRPr="005F7380" w:rsidRDefault="007D7AC8" w:rsidP="007D7AC8">
            <w:pPr>
              <w:jc w:val="both"/>
              <w:rPr>
                <w:rFonts w:ascii="Verdana" w:hAnsi="Verdana" w:cs="Arial"/>
                <w:sz w:val="20"/>
                <w:szCs w:val="20"/>
              </w:rPr>
            </w:pPr>
            <w:r w:rsidRPr="005F7380">
              <w:rPr>
                <w:rFonts w:ascii="Verdana" w:hAnsi="Verdana" w:cs="Arial"/>
                <w:sz w:val="20"/>
                <w:szCs w:val="20"/>
              </w:rPr>
              <w:t>En el marco de la labor preventiva, la Agencia ITRC tiene la facultad de auditar los procesos operativos, tecnológicos y administrativos de la DIAN, UGPP y Coljuegos, partiendo de la identificación, análisis y valoración de riesgos que amenacen los procesos y áreas de las entidades mencionadas, promoviendo las buenas prácticas y detectando fallas en los procesos y procedimientos, en la seguridad informática y en los recaudos e ingresos que administran.</w:t>
            </w:r>
          </w:p>
          <w:p w14:paraId="12A1424A" w14:textId="77777777" w:rsidR="007D7AC8" w:rsidRPr="005F7380" w:rsidRDefault="007D7AC8" w:rsidP="007D7AC8">
            <w:pPr>
              <w:jc w:val="both"/>
              <w:rPr>
                <w:rFonts w:ascii="Verdana" w:hAnsi="Verdana" w:cs="Arial"/>
                <w:sz w:val="20"/>
                <w:szCs w:val="20"/>
              </w:rPr>
            </w:pPr>
          </w:p>
          <w:p w14:paraId="4F78C243" w14:textId="77777777" w:rsidR="007D7AC8" w:rsidRPr="005F7380" w:rsidRDefault="007D7AC8" w:rsidP="007D7AC8">
            <w:pPr>
              <w:jc w:val="both"/>
              <w:rPr>
                <w:rFonts w:ascii="Verdana" w:hAnsi="Verdana" w:cs="Arial"/>
                <w:sz w:val="20"/>
                <w:szCs w:val="20"/>
              </w:rPr>
            </w:pPr>
            <w:r w:rsidRPr="005F7380">
              <w:rPr>
                <w:rFonts w:ascii="Verdana" w:hAnsi="Verdana" w:cs="Arial"/>
                <w:sz w:val="20"/>
                <w:szCs w:val="20"/>
              </w:rPr>
              <w:t xml:space="preserve">En concordancia con lo anterior, </w:t>
            </w:r>
            <w:r>
              <w:rPr>
                <w:rFonts w:ascii="Verdana" w:hAnsi="Verdana" w:cs="Arial"/>
                <w:sz w:val="20"/>
                <w:szCs w:val="20"/>
              </w:rPr>
              <w:t xml:space="preserve">en lo que va corrido de </w:t>
            </w:r>
            <w:r w:rsidRPr="005F7380">
              <w:rPr>
                <w:rFonts w:ascii="Verdana" w:hAnsi="Verdana" w:cs="Arial"/>
                <w:sz w:val="20"/>
                <w:szCs w:val="20"/>
              </w:rPr>
              <w:t>la vigencia 202</w:t>
            </w:r>
            <w:r>
              <w:rPr>
                <w:rFonts w:ascii="Verdana" w:hAnsi="Verdana" w:cs="Arial"/>
                <w:sz w:val="20"/>
                <w:szCs w:val="20"/>
              </w:rPr>
              <w:t>4</w:t>
            </w:r>
            <w:r w:rsidRPr="005F7380">
              <w:rPr>
                <w:rFonts w:ascii="Verdana" w:hAnsi="Verdana" w:cs="Arial"/>
                <w:sz w:val="20"/>
                <w:szCs w:val="20"/>
              </w:rPr>
              <w:t>, la Agencia ITRC ha ejecutado el Programa Anual de Inspecciones, aprobado para la presente vigencia; durante este periodo, se iniciaron 1</w:t>
            </w:r>
            <w:r>
              <w:rPr>
                <w:rFonts w:ascii="Verdana" w:hAnsi="Verdana" w:cs="Arial"/>
                <w:sz w:val="20"/>
                <w:szCs w:val="20"/>
              </w:rPr>
              <w:t>1</w:t>
            </w:r>
            <w:r w:rsidRPr="005F7380">
              <w:rPr>
                <w:rFonts w:ascii="Verdana" w:hAnsi="Verdana" w:cs="Arial"/>
                <w:sz w:val="20"/>
                <w:szCs w:val="20"/>
              </w:rPr>
              <w:t xml:space="preserve"> inspecciones, 7 en la DIAN, </w:t>
            </w:r>
            <w:r>
              <w:rPr>
                <w:rFonts w:ascii="Verdana" w:hAnsi="Verdana" w:cs="Arial"/>
                <w:sz w:val="20"/>
                <w:szCs w:val="20"/>
              </w:rPr>
              <w:t>2</w:t>
            </w:r>
            <w:r w:rsidRPr="005F7380">
              <w:rPr>
                <w:rFonts w:ascii="Verdana" w:hAnsi="Verdana" w:cs="Arial"/>
                <w:sz w:val="20"/>
                <w:szCs w:val="20"/>
              </w:rPr>
              <w:t xml:space="preserve"> en Coljuegos y </w:t>
            </w:r>
            <w:r>
              <w:rPr>
                <w:rFonts w:ascii="Verdana" w:hAnsi="Verdana" w:cs="Arial"/>
                <w:sz w:val="20"/>
                <w:szCs w:val="20"/>
              </w:rPr>
              <w:t>2</w:t>
            </w:r>
            <w:r w:rsidRPr="005F7380">
              <w:rPr>
                <w:rFonts w:ascii="Verdana" w:hAnsi="Verdana" w:cs="Arial"/>
                <w:sz w:val="20"/>
                <w:szCs w:val="20"/>
              </w:rPr>
              <w:t xml:space="preserve"> en la UGPP.</w:t>
            </w:r>
          </w:p>
          <w:p w14:paraId="66C152B6" w14:textId="77777777" w:rsidR="007D7AC8" w:rsidRPr="005F7380" w:rsidRDefault="007D7AC8" w:rsidP="007D7AC8">
            <w:pPr>
              <w:jc w:val="both"/>
              <w:rPr>
                <w:rFonts w:ascii="Verdana" w:hAnsi="Verdana" w:cs="Arial"/>
                <w:sz w:val="20"/>
                <w:szCs w:val="20"/>
              </w:rPr>
            </w:pPr>
          </w:p>
          <w:p w14:paraId="218F102C" w14:textId="77777777" w:rsidR="007D7AC8" w:rsidRPr="005F7380" w:rsidRDefault="007D7AC8" w:rsidP="007D7AC8">
            <w:pPr>
              <w:jc w:val="both"/>
              <w:rPr>
                <w:rFonts w:ascii="Verdana" w:hAnsi="Verdana" w:cs="Arial"/>
                <w:sz w:val="20"/>
                <w:szCs w:val="20"/>
              </w:rPr>
            </w:pPr>
            <w:r w:rsidRPr="005F7380">
              <w:rPr>
                <w:rFonts w:ascii="Verdana" w:hAnsi="Verdana" w:cs="Arial"/>
                <w:sz w:val="20"/>
                <w:szCs w:val="20"/>
              </w:rPr>
              <w:t>Resultado de la culminación del PAI 202</w:t>
            </w:r>
            <w:r>
              <w:rPr>
                <w:rFonts w:ascii="Verdana" w:hAnsi="Verdana" w:cs="Arial"/>
                <w:sz w:val="20"/>
                <w:szCs w:val="20"/>
              </w:rPr>
              <w:t xml:space="preserve">3 </w:t>
            </w:r>
            <w:r w:rsidRPr="005F7380">
              <w:rPr>
                <w:rFonts w:ascii="Verdana" w:hAnsi="Verdana" w:cs="Arial"/>
                <w:sz w:val="20"/>
                <w:szCs w:val="20"/>
              </w:rPr>
              <w:t>y ejecución del PAI 202</w:t>
            </w:r>
            <w:r>
              <w:rPr>
                <w:rFonts w:ascii="Verdana" w:hAnsi="Verdana" w:cs="Arial"/>
                <w:sz w:val="20"/>
                <w:szCs w:val="20"/>
              </w:rPr>
              <w:t>4</w:t>
            </w:r>
            <w:r w:rsidRPr="005F7380">
              <w:rPr>
                <w:rFonts w:ascii="Verdana" w:hAnsi="Verdana" w:cs="Arial"/>
                <w:sz w:val="20"/>
                <w:szCs w:val="20"/>
              </w:rPr>
              <w:t xml:space="preserve">, se radicaron </w:t>
            </w:r>
            <w:r>
              <w:rPr>
                <w:rFonts w:ascii="Verdana" w:hAnsi="Verdana" w:cs="Arial"/>
                <w:sz w:val="20"/>
                <w:szCs w:val="20"/>
              </w:rPr>
              <w:t>11</w:t>
            </w:r>
            <w:r w:rsidRPr="005F7380">
              <w:rPr>
                <w:rFonts w:ascii="Verdana" w:hAnsi="Verdana" w:cs="Arial"/>
                <w:sz w:val="20"/>
                <w:szCs w:val="20"/>
              </w:rPr>
              <w:t xml:space="preserve"> informes finales, que permitieron identificar en la DIAN, Coljuegos y UGPP: </w:t>
            </w:r>
            <w:r>
              <w:rPr>
                <w:rFonts w:ascii="Verdana" w:hAnsi="Verdana" w:cs="Arial"/>
                <w:sz w:val="20"/>
                <w:szCs w:val="20"/>
              </w:rPr>
              <w:t>11</w:t>
            </w:r>
            <w:r w:rsidRPr="005F7380">
              <w:rPr>
                <w:rFonts w:ascii="Verdana" w:hAnsi="Verdana" w:cs="Arial"/>
                <w:sz w:val="20"/>
                <w:szCs w:val="20"/>
              </w:rPr>
              <w:t xml:space="preserve"> riesgos de gestión y 1</w:t>
            </w:r>
            <w:r>
              <w:rPr>
                <w:rFonts w:ascii="Verdana" w:hAnsi="Verdana" w:cs="Arial"/>
                <w:sz w:val="20"/>
                <w:szCs w:val="20"/>
              </w:rPr>
              <w:t>2</w:t>
            </w:r>
            <w:r w:rsidRPr="005F7380">
              <w:rPr>
                <w:rFonts w:ascii="Verdana" w:hAnsi="Verdana" w:cs="Arial"/>
                <w:sz w:val="20"/>
                <w:szCs w:val="20"/>
              </w:rPr>
              <w:t xml:space="preserve"> de fraude y corrupción, 4</w:t>
            </w:r>
            <w:r>
              <w:rPr>
                <w:rFonts w:ascii="Verdana" w:hAnsi="Verdana" w:cs="Arial"/>
                <w:sz w:val="20"/>
                <w:szCs w:val="20"/>
              </w:rPr>
              <w:t>8</w:t>
            </w:r>
            <w:r w:rsidRPr="005F7380">
              <w:rPr>
                <w:rFonts w:ascii="Verdana" w:hAnsi="Verdana" w:cs="Arial"/>
                <w:sz w:val="20"/>
                <w:szCs w:val="20"/>
              </w:rPr>
              <w:t xml:space="preserve"> hallazgos ,</w:t>
            </w:r>
            <w:r>
              <w:rPr>
                <w:rFonts w:ascii="Verdana" w:hAnsi="Verdana" w:cs="Arial"/>
                <w:sz w:val="20"/>
                <w:szCs w:val="20"/>
              </w:rPr>
              <w:t>8</w:t>
            </w:r>
            <w:r w:rsidRPr="005F7380">
              <w:rPr>
                <w:rFonts w:ascii="Verdana" w:hAnsi="Verdana" w:cs="Arial"/>
                <w:sz w:val="20"/>
                <w:szCs w:val="20"/>
              </w:rPr>
              <w:t xml:space="preserve"> indicios</w:t>
            </w:r>
            <w:r>
              <w:rPr>
                <w:rFonts w:ascii="Verdana" w:hAnsi="Verdana" w:cs="Arial"/>
                <w:sz w:val="20"/>
                <w:szCs w:val="20"/>
              </w:rPr>
              <w:t xml:space="preserve"> de fraude y corrupción</w:t>
            </w:r>
            <w:r w:rsidRPr="005F7380">
              <w:rPr>
                <w:rFonts w:ascii="Verdana" w:hAnsi="Verdana" w:cs="Arial"/>
                <w:sz w:val="20"/>
                <w:szCs w:val="20"/>
              </w:rPr>
              <w:t xml:space="preserve">, </w:t>
            </w:r>
            <w:r>
              <w:rPr>
                <w:rFonts w:ascii="Verdana" w:hAnsi="Verdana" w:cs="Arial"/>
                <w:sz w:val="20"/>
                <w:szCs w:val="20"/>
              </w:rPr>
              <w:t>38</w:t>
            </w:r>
            <w:r w:rsidRPr="005F7380">
              <w:rPr>
                <w:rFonts w:ascii="Verdana" w:hAnsi="Verdana" w:cs="Arial"/>
                <w:sz w:val="20"/>
                <w:szCs w:val="20"/>
              </w:rPr>
              <w:t xml:space="preserve"> posibles connotaciones disciplinarias, </w:t>
            </w:r>
            <w:r>
              <w:rPr>
                <w:rFonts w:ascii="Verdana" w:hAnsi="Verdana" w:cs="Arial"/>
                <w:sz w:val="20"/>
                <w:szCs w:val="20"/>
              </w:rPr>
              <w:t>20</w:t>
            </w:r>
            <w:r w:rsidRPr="005F7380">
              <w:rPr>
                <w:rFonts w:ascii="Verdana" w:hAnsi="Verdana" w:cs="Arial"/>
                <w:sz w:val="20"/>
                <w:szCs w:val="20"/>
              </w:rPr>
              <w:t xml:space="preserve"> posibles connotaciones fiscales, </w:t>
            </w:r>
            <w:r>
              <w:rPr>
                <w:rFonts w:ascii="Verdana" w:hAnsi="Verdana" w:cs="Arial"/>
                <w:sz w:val="20"/>
                <w:szCs w:val="20"/>
              </w:rPr>
              <w:t>7</w:t>
            </w:r>
            <w:r w:rsidRPr="005F7380">
              <w:rPr>
                <w:rFonts w:ascii="Verdana" w:hAnsi="Verdana" w:cs="Arial"/>
                <w:sz w:val="20"/>
                <w:szCs w:val="20"/>
              </w:rPr>
              <w:t xml:space="preserve"> posible</w:t>
            </w:r>
            <w:r>
              <w:rPr>
                <w:rFonts w:ascii="Verdana" w:hAnsi="Verdana" w:cs="Arial"/>
                <w:sz w:val="20"/>
                <w:szCs w:val="20"/>
              </w:rPr>
              <w:t>s</w:t>
            </w:r>
            <w:r w:rsidRPr="005F7380">
              <w:rPr>
                <w:rFonts w:ascii="Verdana" w:hAnsi="Verdana" w:cs="Arial"/>
                <w:sz w:val="20"/>
                <w:szCs w:val="20"/>
              </w:rPr>
              <w:t xml:space="preserve"> connotaci</w:t>
            </w:r>
            <w:r>
              <w:rPr>
                <w:rFonts w:ascii="Verdana" w:hAnsi="Verdana" w:cs="Arial"/>
                <w:sz w:val="20"/>
                <w:szCs w:val="20"/>
              </w:rPr>
              <w:t>ones</w:t>
            </w:r>
            <w:r w:rsidRPr="005F7380">
              <w:rPr>
                <w:rFonts w:ascii="Verdana" w:hAnsi="Verdana" w:cs="Arial"/>
                <w:sz w:val="20"/>
                <w:szCs w:val="20"/>
              </w:rPr>
              <w:t xml:space="preserve"> penal</w:t>
            </w:r>
            <w:r>
              <w:rPr>
                <w:rFonts w:ascii="Verdana" w:hAnsi="Verdana" w:cs="Arial"/>
                <w:sz w:val="20"/>
                <w:szCs w:val="20"/>
              </w:rPr>
              <w:t>es</w:t>
            </w:r>
            <w:r w:rsidRPr="005F7380">
              <w:rPr>
                <w:rFonts w:ascii="Verdana" w:hAnsi="Verdana" w:cs="Arial"/>
                <w:sz w:val="20"/>
                <w:szCs w:val="20"/>
              </w:rPr>
              <w:t xml:space="preserve"> </w:t>
            </w:r>
            <w:r>
              <w:rPr>
                <w:rFonts w:ascii="Verdana" w:hAnsi="Verdana" w:cs="Arial"/>
                <w:sz w:val="20"/>
                <w:szCs w:val="20"/>
              </w:rPr>
              <w:t xml:space="preserve">y de los </w:t>
            </w:r>
            <w:r w:rsidRPr="005F7380">
              <w:rPr>
                <w:rFonts w:ascii="Verdana" w:hAnsi="Verdana" w:cs="Arial"/>
                <w:sz w:val="20"/>
                <w:szCs w:val="20"/>
              </w:rPr>
              <w:t>Plan</w:t>
            </w:r>
            <w:r>
              <w:rPr>
                <w:rFonts w:ascii="Verdana" w:hAnsi="Verdana" w:cs="Arial"/>
                <w:sz w:val="20"/>
                <w:szCs w:val="20"/>
              </w:rPr>
              <w:t>es</w:t>
            </w:r>
            <w:r w:rsidRPr="005F7380">
              <w:rPr>
                <w:rFonts w:ascii="Verdana" w:hAnsi="Verdana" w:cs="Arial"/>
                <w:sz w:val="20"/>
                <w:szCs w:val="20"/>
              </w:rPr>
              <w:t xml:space="preserve"> de Prevención del Fraude y la Corrupción – PPFC</w:t>
            </w:r>
            <w:r>
              <w:rPr>
                <w:rFonts w:ascii="Verdana" w:hAnsi="Verdana" w:cs="Arial"/>
                <w:sz w:val="20"/>
                <w:szCs w:val="20"/>
              </w:rPr>
              <w:t xml:space="preserve"> suscritos con las entidades auditadas a la fecha, se cuenta con</w:t>
            </w:r>
            <w:r w:rsidRPr="005F7380">
              <w:rPr>
                <w:rFonts w:ascii="Verdana" w:hAnsi="Verdana" w:cs="Arial"/>
                <w:sz w:val="20"/>
                <w:szCs w:val="20"/>
              </w:rPr>
              <w:t xml:space="preserve"> acogi</w:t>
            </w:r>
            <w:r>
              <w:rPr>
                <w:rFonts w:ascii="Verdana" w:hAnsi="Verdana" w:cs="Arial"/>
                <w:sz w:val="20"/>
                <w:szCs w:val="20"/>
              </w:rPr>
              <w:t>miento del 97% de las recomendaciones efectuadas.</w:t>
            </w:r>
          </w:p>
          <w:p w14:paraId="086C2BB9" w14:textId="77777777" w:rsidR="007D7AC8" w:rsidRPr="005F7380" w:rsidRDefault="007D7AC8" w:rsidP="007D7AC8">
            <w:pPr>
              <w:jc w:val="both"/>
              <w:rPr>
                <w:rFonts w:ascii="Verdana" w:hAnsi="Verdana" w:cs="Arial"/>
                <w:sz w:val="20"/>
                <w:szCs w:val="20"/>
              </w:rPr>
            </w:pPr>
          </w:p>
          <w:p w14:paraId="38D6137A" w14:textId="77777777" w:rsidR="007D7AC8" w:rsidRPr="005F7380" w:rsidRDefault="007D7AC8" w:rsidP="007D7AC8">
            <w:pPr>
              <w:jc w:val="both"/>
              <w:rPr>
                <w:rFonts w:ascii="Verdana" w:hAnsi="Verdana" w:cs="Arial"/>
                <w:sz w:val="20"/>
                <w:szCs w:val="20"/>
              </w:rPr>
            </w:pPr>
            <w:r w:rsidRPr="005F7380">
              <w:rPr>
                <w:rFonts w:ascii="Verdana" w:hAnsi="Verdana" w:cs="Arial"/>
                <w:sz w:val="20"/>
                <w:szCs w:val="20"/>
              </w:rPr>
              <w:t>Para lo anterior, las entidades formularon 1</w:t>
            </w:r>
            <w:r>
              <w:rPr>
                <w:rFonts w:ascii="Verdana" w:hAnsi="Verdana" w:cs="Arial"/>
                <w:sz w:val="20"/>
                <w:szCs w:val="20"/>
              </w:rPr>
              <w:t>53</w:t>
            </w:r>
            <w:r w:rsidRPr="005F7380">
              <w:rPr>
                <w:rFonts w:ascii="Verdana" w:hAnsi="Verdana" w:cs="Arial"/>
                <w:sz w:val="20"/>
                <w:szCs w:val="20"/>
              </w:rPr>
              <w:t xml:space="preserve"> acciones preventivas y correctivas en los Planes de Prevención del Fraude y la Corrupción – PPFC suscritos y se ejecutaron </w:t>
            </w:r>
            <w:r>
              <w:rPr>
                <w:rFonts w:ascii="Verdana" w:hAnsi="Verdana" w:cs="Arial"/>
                <w:sz w:val="20"/>
                <w:szCs w:val="20"/>
              </w:rPr>
              <w:t>2</w:t>
            </w:r>
            <w:r w:rsidRPr="005F7380">
              <w:rPr>
                <w:rFonts w:ascii="Verdana" w:hAnsi="Verdana" w:cs="Arial"/>
                <w:sz w:val="20"/>
                <w:szCs w:val="20"/>
              </w:rPr>
              <w:t xml:space="preserve"> verificaciones, evidenciándose una reducción del nivel de exposición al fraude y la corrupción del </w:t>
            </w:r>
            <w:r>
              <w:rPr>
                <w:rFonts w:ascii="Verdana" w:hAnsi="Verdana" w:cs="Arial"/>
                <w:sz w:val="20"/>
                <w:szCs w:val="20"/>
              </w:rPr>
              <w:t>12,60</w:t>
            </w:r>
            <w:r w:rsidRPr="005F7380">
              <w:rPr>
                <w:rFonts w:ascii="Verdana" w:hAnsi="Verdana" w:cs="Arial"/>
                <w:sz w:val="20"/>
                <w:szCs w:val="20"/>
              </w:rPr>
              <w:t xml:space="preserve"> % en promedio</w:t>
            </w:r>
            <w:r>
              <w:rPr>
                <w:rFonts w:ascii="Verdana" w:hAnsi="Verdana" w:cs="Arial"/>
                <w:sz w:val="20"/>
                <w:szCs w:val="20"/>
              </w:rPr>
              <w:t>, en lo que va corrido del año 2024.</w:t>
            </w:r>
          </w:p>
          <w:p w14:paraId="07B5FCCD" w14:textId="77777777" w:rsidR="007D7AC8" w:rsidRPr="005F7380" w:rsidRDefault="007D7AC8" w:rsidP="007D7AC8">
            <w:pPr>
              <w:jc w:val="both"/>
              <w:rPr>
                <w:rFonts w:ascii="Verdana" w:eastAsia="Times New Roman" w:hAnsi="Verdana" w:cs="Times New Roman"/>
                <w:sz w:val="20"/>
                <w:szCs w:val="20"/>
                <w:lang w:eastAsia="es-CO"/>
              </w:rPr>
            </w:pPr>
          </w:p>
          <w:p w14:paraId="6BAFF0E7" w14:textId="77777777" w:rsidR="007D7AC8" w:rsidRPr="005F7380" w:rsidRDefault="007D7AC8" w:rsidP="007D7AC8">
            <w:pPr>
              <w:jc w:val="both"/>
              <w:rPr>
                <w:rFonts w:ascii="Verdana" w:hAnsi="Verdana" w:cs="Arial"/>
                <w:sz w:val="20"/>
                <w:szCs w:val="20"/>
              </w:rPr>
            </w:pPr>
            <w:r w:rsidRPr="005F7380">
              <w:rPr>
                <w:rFonts w:ascii="Verdana" w:hAnsi="Verdana" w:cs="Arial"/>
                <w:sz w:val="20"/>
                <w:szCs w:val="20"/>
              </w:rPr>
              <w:t>Así mismo, se adelantaron diferentes actividades para el análisis de posibles asuntos de alto riesgo que, para la Agencia ITRC puedan ser de interés para el PAI 202</w:t>
            </w:r>
            <w:r>
              <w:rPr>
                <w:rFonts w:ascii="Verdana" w:hAnsi="Verdana" w:cs="Arial"/>
                <w:sz w:val="20"/>
                <w:szCs w:val="20"/>
              </w:rPr>
              <w:t>5</w:t>
            </w:r>
            <w:r w:rsidRPr="005F7380">
              <w:rPr>
                <w:rFonts w:ascii="Verdana" w:hAnsi="Verdana" w:cs="Arial"/>
                <w:sz w:val="20"/>
                <w:szCs w:val="20"/>
              </w:rPr>
              <w:t>.</w:t>
            </w:r>
          </w:p>
          <w:p w14:paraId="57B9C31B" w14:textId="77777777" w:rsidR="007D7AC8" w:rsidRPr="005F7380" w:rsidRDefault="007D7AC8" w:rsidP="007D7AC8">
            <w:pPr>
              <w:shd w:val="clear" w:color="auto" w:fill="FFFFFF"/>
              <w:jc w:val="both"/>
              <w:rPr>
                <w:rFonts w:ascii="Verdana" w:eastAsia="Times New Roman" w:hAnsi="Verdana" w:cs="Arial"/>
                <w:color w:val="000000"/>
                <w:sz w:val="20"/>
                <w:szCs w:val="20"/>
                <w:lang w:eastAsia="es-CO"/>
              </w:rPr>
            </w:pPr>
          </w:p>
          <w:p w14:paraId="581CC3F8" w14:textId="0C7EBFF3" w:rsidR="002C0A72" w:rsidRPr="00936621" w:rsidRDefault="007D7AC8" w:rsidP="007D7AC8">
            <w:pPr>
              <w:jc w:val="both"/>
              <w:rPr>
                <w:rFonts w:ascii="Verdana" w:hAnsi="Verdana"/>
                <w:sz w:val="20"/>
                <w:szCs w:val="20"/>
              </w:rPr>
            </w:pPr>
            <w:r>
              <w:rPr>
                <w:rFonts w:ascii="Verdana" w:hAnsi="Verdana" w:cs="Arial"/>
                <w:sz w:val="20"/>
                <w:szCs w:val="20"/>
              </w:rPr>
              <w:t>Continuando con la</w:t>
            </w:r>
            <w:r w:rsidRPr="005F7380">
              <w:rPr>
                <w:rFonts w:ascii="Verdana" w:hAnsi="Verdana" w:cs="Arial"/>
                <w:sz w:val="20"/>
                <w:szCs w:val="20"/>
              </w:rPr>
              <w:t xml:space="preserve"> implementación de </w:t>
            </w:r>
            <w:r>
              <w:rPr>
                <w:rFonts w:ascii="Verdana" w:hAnsi="Verdana" w:cs="Arial"/>
                <w:sz w:val="20"/>
                <w:szCs w:val="20"/>
              </w:rPr>
              <w:t xml:space="preserve">la </w:t>
            </w:r>
            <w:r w:rsidRPr="005F7380">
              <w:rPr>
                <w:rFonts w:ascii="Verdana" w:hAnsi="Verdana" w:cs="Arial"/>
                <w:sz w:val="20"/>
                <w:szCs w:val="20"/>
              </w:rPr>
              <w:t xml:space="preserve">estrategia </w:t>
            </w:r>
            <w:r>
              <w:rPr>
                <w:rFonts w:ascii="Verdana" w:hAnsi="Verdana" w:cs="Arial"/>
                <w:sz w:val="20"/>
                <w:szCs w:val="20"/>
              </w:rPr>
              <w:t xml:space="preserve">de </w:t>
            </w:r>
            <w:r w:rsidRPr="005F7380">
              <w:rPr>
                <w:rFonts w:ascii="Verdana" w:hAnsi="Verdana" w:cs="Arial"/>
                <w:sz w:val="20"/>
                <w:szCs w:val="20"/>
              </w:rPr>
              <w:t xml:space="preserve">informes de alerta, se </w:t>
            </w:r>
            <w:r>
              <w:rPr>
                <w:rFonts w:ascii="Verdana" w:hAnsi="Verdana" w:cs="Arial"/>
                <w:sz w:val="20"/>
                <w:szCs w:val="20"/>
              </w:rPr>
              <w:t xml:space="preserve">han </w:t>
            </w:r>
            <w:r w:rsidRPr="005F7380">
              <w:rPr>
                <w:rFonts w:ascii="Verdana" w:hAnsi="Verdana" w:cs="Arial"/>
                <w:sz w:val="20"/>
                <w:szCs w:val="20"/>
              </w:rPr>
              <w:t>genera</w:t>
            </w:r>
            <w:r>
              <w:rPr>
                <w:rFonts w:ascii="Verdana" w:hAnsi="Verdana" w:cs="Arial"/>
                <w:sz w:val="20"/>
                <w:szCs w:val="20"/>
              </w:rPr>
              <w:t>do</w:t>
            </w:r>
            <w:r w:rsidRPr="005F7380">
              <w:rPr>
                <w:rFonts w:ascii="Verdana" w:hAnsi="Verdana" w:cs="Arial"/>
                <w:sz w:val="20"/>
                <w:szCs w:val="20"/>
              </w:rPr>
              <w:t xml:space="preserve"> </w:t>
            </w:r>
            <w:r>
              <w:rPr>
                <w:rFonts w:ascii="Verdana" w:hAnsi="Verdana" w:cs="Arial"/>
                <w:sz w:val="20"/>
                <w:szCs w:val="20"/>
              </w:rPr>
              <w:t>dos</w:t>
            </w:r>
            <w:r w:rsidRPr="005F7380">
              <w:rPr>
                <w:rFonts w:ascii="Verdana" w:hAnsi="Verdana" w:cs="Arial"/>
                <w:sz w:val="20"/>
                <w:szCs w:val="20"/>
              </w:rPr>
              <w:t xml:space="preserve"> (</w:t>
            </w:r>
            <w:r>
              <w:rPr>
                <w:rFonts w:ascii="Verdana" w:hAnsi="Verdana" w:cs="Arial"/>
                <w:sz w:val="20"/>
                <w:szCs w:val="20"/>
              </w:rPr>
              <w:t>2</w:t>
            </w:r>
            <w:r w:rsidRPr="005F7380">
              <w:rPr>
                <w:rFonts w:ascii="Verdana" w:hAnsi="Verdana" w:cs="Arial"/>
                <w:sz w:val="20"/>
                <w:szCs w:val="20"/>
              </w:rPr>
              <w:t>)</w:t>
            </w:r>
            <w:r>
              <w:rPr>
                <w:rFonts w:ascii="Verdana" w:hAnsi="Verdana" w:cs="Arial"/>
                <w:sz w:val="20"/>
                <w:szCs w:val="20"/>
              </w:rPr>
              <w:t xml:space="preserve"> </w:t>
            </w:r>
            <w:r w:rsidRPr="005F7380">
              <w:rPr>
                <w:rFonts w:ascii="Verdana" w:hAnsi="Verdana" w:cs="Arial"/>
                <w:sz w:val="20"/>
                <w:szCs w:val="20"/>
              </w:rPr>
              <w:t>dirigidos a la Dirección de Impuestos y Aduanas Nacionales - DIAN con el propósito de recomendar la implementación de acciones tendientes a disminuir el nivel de exposición al fraude y la corrupción en temas de alto impacto</w:t>
            </w:r>
            <w:r>
              <w:rPr>
                <w:rFonts w:ascii="Verdana" w:hAnsi="Verdana" w:cs="Arial"/>
                <w:sz w:val="20"/>
                <w:szCs w:val="20"/>
              </w:rPr>
              <w:t>.</w:t>
            </w:r>
          </w:p>
        </w:tc>
      </w:tr>
      <w:tr w:rsidR="002C0A72" w:rsidRPr="00936621" w14:paraId="4BA7C2EE" w14:textId="77777777" w:rsidTr="00735198">
        <w:trPr>
          <w:trHeight w:val="9176"/>
        </w:trPr>
        <w:tc>
          <w:tcPr>
            <w:tcW w:w="2693" w:type="dxa"/>
          </w:tcPr>
          <w:p w14:paraId="529E7A5F" w14:textId="77777777" w:rsidR="002C0A72" w:rsidRPr="00936621" w:rsidRDefault="002C0A72" w:rsidP="007A3BFF">
            <w:pPr>
              <w:rPr>
                <w:rFonts w:ascii="Verdana" w:hAnsi="Verdana"/>
                <w:b/>
                <w:bCs/>
                <w:sz w:val="20"/>
                <w:szCs w:val="20"/>
                <w:lang w:val="es-MX"/>
              </w:rPr>
            </w:pPr>
            <w:r w:rsidRPr="00936621">
              <w:rPr>
                <w:rFonts w:ascii="Verdana" w:hAnsi="Verdana"/>
                <w:b/>
                <w:bCs/>
                <w:sz w:val="20"/>
                <w:szCs w:val="20"/>
                <w:lang w:val="es-MX"/>
              </w:rPr>
              <w:lastRenderedPageBreak/>
              <w:t>LABOR DISCIPLINARIA</w:t>
            </w:r>
          </w:p>
        </w:tc>
        <w:tc>
          <w:tcPr>
            <w:tcW w:w="7939" w:type="dxa"/>
          </w:tcPr>
          <w:p w14:paraId="5E8A5CFC" w14:textId="77777777" w:rsidR="00391CAE" w:rsidRPr="006326C4" w:rsidRDefault="00391CAE" w:rsidP="00391CAE">
            <w:pPr>
              <w:shd w:val="clear" w:color="auto" w:fill="FFFFFF"/>
              <w:spacing w:beforeAutospacing="1" w:afterAutospacing="1" w:line="276" w:lineRule="auto"/>
              <w:jc w:val="both"/>
              <w:rPr>
                <w:rFonts w:ascii="Verdana" w:hAnsi="Verdana" w:cs="Arial"/>
                <w:sz w:val="20"/>
                <w:szCs w:val="20"/>
              </w:rPr>
            </w:pPr>
            <w:r w:rsidRPr="006326C4">
              <w:rPr>
                <w:rFonts w:ascii="Verdana" w:hAnsi="Verdana" w:cs="Arial"/>
                <w:sz w:val="20"/>
                <w:szCs w:val="20"/>
              </w:rPr>
              <w:t xml:space="preserve">De conformidad con el Decreto 074 de 2022, la función misional disciplinaria  frente a los servidores públicos de la DIAN, UGPP y COLJUEGOS, por conductas que se relacionen con las faltas gravísimas establecidas en el artículo 48 de la Ley 734 de 2002 (subrogadas por la Ley 1952 de 2019, modificada por la Ley 2094 de 2021) y cuando resulte necesario para la defensa de los recursos públicos, se desarrolla por: la Subdirección de Instrucción Disciplinaria, encargada de gestionar </w:t>
            </w:r>
            <w:r>
              <w:rPr>
                <w:rFonts w:ascii="Verdana" w:hAnsi="Verdana" w:cs="Arial"/>
                <w:sz w:val="20"/>
                <w:szCs w:val="20"/>
              </w:rPr>
              <w:t xml:space="preserve">la fase de instrucción, </w:t>
            </w:r>
            <w:r w:rsidRPr="006326C4">
              <w:rPr>
                <w:rFonts w:ascii="Verdana" w:hAnsi="Verdana" w:cs="Arial"/>
                <w:sz w:val="20"/>
                <w:szCs w:val="20"/>
              </w:rPr>
              <w:t>desde la noticia hasta la notificación del pliego de cargos o archivo de la actuación; y la Subdirección de Asuntos legales, que asume la actuación a partir de ese momento procesal para adelantar la fase de juzgamiento.</w:t>
            </w:r>
          </w:p>
          <w:p w14:paraId="5F5E833A" w14:textId="77777777" w:rsidR="002C0A72" w:rsidRPr="00936621" w:rsidRDefault="002C0A72" w:rsidP="007A3BFF">
            <w:pPr>
              <w:shd w:val="clear" w:color="auto" w:fill="FFFFFF"/>
              <w:spacing w:beforeAutospacing="1" w:afterAutospacing="1" w:line="276" w:lineRule="auto"/>
              <w:jc w:val="both"/>
              <w:rPr>
                <w:rFonts w:ascii="Verdana" w:hAnsi="Verdana"/>
                <w:b/>
                <w:bCs/>
                <w:sz w:val="20"/>
                <w:szCs w:val="20"/>
              </w:rPr>
            </w:pPr>
            <w:r w:rsidRPr="00936621">
              <w:rPr>
                <w:rFonts w:ascii="Verdana" w:hAnsi="Verdana"/>
                <w:b/>
                <w:bCs/>
                <w:sz w:val="20"/>
                <w:szCs w:val="20"/>
              </w:rPr>
              <w:t>Subdirección de Instrucción Disciplinaria - SID</w:t>
            </w:r>
          </w:p>
          <w:p w14:paraId="439E675E" w14:textId="77777777" w:rsidR="00391CAE" w:rsidRPr="00C72C2F" w:rsidRDefault="00391CAE" w:rsidP="00391CAE">
            <w:pPr>
              <w:shd w:val="clear" w:color="auto" w:fill="FFFFFF"/>
              <w:spacing w:beforeAutospacing="1" w:afterAutospacing="1" w:line="276" w:lineRule="auto"/>
              <w:jc w:val="both"/>
              <w:rPr>
                <w:rFonts w:ascii="Verdana" w:hAnsi="Verdana"/>
                <w:sz w:val="20"/>
                <w:szCs w:val="20"/>
              </w:rPr>
            </w:pPr>
            <w:r w:rsidRPr="00C72C2F">
              <w:rPr>
                <w:rFonts w:ascii="Verdana" w:hAnsi="Verdana"/>
                <w:sz w:val="20"/>
                <w:szCs w:val="20"/>
              </w:rPr>
              <w:t>En</w:t>
            </w:r>
            <w:r>
              <w:rPr>
                <w:rFonts w:ascii="Verdana" w:hAnsi="Verdana"/>
                <w:sz w:val="20"/>
                <w:szCs w:val="20"/>
              </w:rPr>
              <w:t xml:space="preserve"> lo que va</w:t>
            </w:r>
            <w:r w:rsidRPr="00C72C2F">
              <w:rPr>
                <w:rFonts w:ascii="Verdana" w:hAnsi="Verdana"/>
                <w:sz w:val="20"/>
                <w:szCs w:val="20"/>
              </w:rPr>
              <w:t xml:space="preserve"> corrido de la vigencia 2024, la Subdirección de Instrucción Disciplinaria en desarrollo de su gestión misional, ha tramitado un total de 571 procesos disciplinarios; y proferido más de 500 decisiones disciplinarias, de las cuales 17 corresponden a pliegos de cargos en contra de servidores públicos de las entidades vigiladas</w:t>
            </w:r>
            <w:r>
              <w:rPr>
                <w:rFonts w:ascii="Verdana" w:hAnsi="Verdana"/>
                <w:sz w:val="20"/>
                <w:szCs w:val="20"/>
              </w:rPr>
              <w:t>.</w:t>
            </w:r>
          </w:p>
          <w:p w14:paraId="09EEF35F" w14:textId="77777777" w:rsidR="002C0A72" w:rsidRPr="00936621" w:rsidRDefault="002C0A72" w:rsidP="007A3BFF">
            <w:pPr>
              <w:shd w:val="clear" w:color="auto" w:fill="FFFFFF"/>
              <w:spacing w:beforeAutospacing="1" w:afterAutospacing="1" w:line="276" w:lineRule="auto"/>
              <w:jc w:val="both"/>
              <w:rPr>
                <w:rFonts w:ascii="Verdana" w:hAnsi="Verdana"/>
                <w:sz w:val="20"/>
                <w:szCs w:val="20"/>
              </w:rPr>
            </w:pPr>
            <w:r w:rsidRPr="00936621">
              <w:rPr>
                <w:rFonts w:ascii="Verdana" w:hAnsi="Verdana"/>
                <w:b/>
                <w:bCs/>
                <w:sz w:val="20"/>
                <w:szCs w:val="20"/>
              </w:rPr>
              <w:t>Subdirección de Asuntos Legales</w:t>
            </w:r>
          </w:p>
          <w:p w14:paraId="591E598E" w14:textId="77777777" w:rsidR="003832EE" w:rsidRPr="003832EE" w:rsidRDefault="003832EE" w:rsidP="003832EE">
            <w:pPr>
              <w:shd w:val="clear" w:color="auto" w:fill="FFFFFF"/>
              <w:spacing w:beforeAutospacing="1" w:afterAutospacing="1" w:line="276" w:lineRule="auto"/>
              <w:jc w:val="both"/>
              <w:rPr>
                <w:rFonts w:ascii="Verdana" w:hAnsi="Verdana"/>
                <w:sz w:val="20"/>
                <w:szCs w:val="20"/>
              </w:rPr>
            </w:pPr>
            <w:r w:rsidRPr="003832EE">
              <w:rPr>
                <w:rFonts w:ascii="Verdana" w:hAnsi="Verdana"/>
                <w:sz w:val="20"/>
                <w:szCs w:val="20"/>
              </w:rPr>
              <w:t xml:space="preserve">La Subdirección de Asuntos </w:t>
            </w:r>
            <w:proofErr w:type="gramStart"/>
            <w:r w:rsidRPr="003832EE">
              <w:rPr>
                <w:rFonts w:ascii="Verdana" w:hAnsi="Verdana"/>
                <w:sz w:val="20"/>
                <w:szCs w:val="20"/>
              </w:rPr>
              <w:t>Legales  en</w:t>
            </w:r>
            <w:proofErr w:type="gramEnd"/>
            <w:r w:rsidRPr="003832EE">
              <w:rPr>
                <w:rFonts w:ascii="Verdana" w:hAnsi="Verdana"/>
                <w:sz w:val="20"/>
                <w:szCs w:val="20"/>
              </w:rPr>
              <w:t xml:space="preserve"> su gestión misional adelanta la etapa de Juzgamiento de conformidad con el Código General Disciplinario, en lo que va corrido del año 2024, se han recibido 17 procesos con pliegos de cargos una vez notificados;  se han proferido 560 autos o decisiones interlocutorias o de fondo, práctica de pruebas en el quehacer propio de la actuación disciplinaria; se han proferido 10 fallos disciplinarios de primera instancia, debidamente ejecutoriados.</w:t>
            </w:r>
          </w:p>
          <w:p w14:paraId="07907366" w14:textId="033290A7" w:rsidR="00735198" w:rsidRPr="00936621" w:rsidRDefault="00735198" w:rsidP="003832EE">
            <w:pPr>
              <w:shd w:val="clear" w:color="auto" w:fill="FFFFFF"/>
              <w:spacing w:beforeAutospacing="1" w:afterAutospacing="1" w:line="276" w:lineRule="auto"/>
              <w:jc w:val="both"/>
              <w:rPr>
                <w:rFonts w:ascii="Verdana" w:hAnsi="Verdana"/>
                <w:sz w:val="20"/>
                <w:szCs w:val="20"/>
              </w:rPr>
            </w:pPr>
            <w:r w:rsidRPr="003832EE">
              <w:rPr>
                <w:rFonts w:ascii="Verdana" w:hAnsi="Verdana"/>
                <w:sz w:val="20"/>
                <w:szCs w:val="20"/>
              </w:rPr>
              <w:t>Además,</w:t>
            </w:r>
            <w:r w:rsidR="003832EE" w:rsidRPr="003832EE">
              <w:rPr>
                <w:rFonts w:ascii="Verdana" w:hAnsi="Verdana"/>
                <w:sz w:val="20"/>
                <w:szCs w:val="20"/>
              </w:rPr>
              <w:t xml:space="preserve"> la Subdirección de Asuntos legales en lo que va corrido de la vigencia de 2024; adelanta el análisis continuo de la existencia de estructuras criminales y modus operandi complejo, elaborando los respectivos informes.</w:t>
            </w:r>
          </w:p>
        </w:tc>
      </w:tr>
      <w:tr w:rsidR="002C0A72" w:rsidRPr="00936621" w14:paraId="63C3F85C" w14:textId="77777777" w:rsidTr="002C0A72">
        <w:tc>
          <w:tcPr>
            <w:tcW w:w="2693" w:type="dxa"/>
          </w:tcPr>
          <w:p w14:paraId="7DEE0B1C" w14:textId="77777777" w:rsidR="002C0A72" w:rsidRPr="00936621" w:rsidRDefault="002C0A72" w:rsidP="007A3BFF">
            <w:pPr>
              <w:rPr>
                <w:rFonts w:ascii="Verdana" w:hAnsi="Verdana"/>
                <w:b/>
                <w:bCs/>
                <w:sz w:val="20"/>
                <w:szCs w:val="20"/>
                <w:lang w:val="es-MX"/>
              </w:rPr>
            </w:pPr>
            <w:r w:rsidRPr="00936621">
              <w:rPr>
                <w:rFonts w:ascii="Verdana" w:hAnsi="Verdana"/>
                <w:b/>
                <w:bCs/>
                <w:sz w:val="20"/>
                <w:szCs w:val="20"/>
                <w:lang w:val="es-MX"/>
              </w:rPr>
              <w:t>OBSERVATORIO DE FRAUDE Y CORRUPCIÓN</w:t>
            </w:r>
          </w:p>
        </w:tc>
        <w:tc>
          <w:tcPr>
            <w:tcW w:w="7939" w:type="dxa"/>
          </w:tcPr>
          <w:p w14:paraId="76FD6CEF" w14:textId="77777777" w:rsidR="007B0DCE" w:rsidRPr="00936621" w:rsidRDefault="007B0DCE" w:rsidP="007B0DCE">
            <w:pPr>
              <w:contextualSpacing/>
              <w:jc w:val="both"/>
              <w:rPr>
                <w:rFonts w:ascii="Verdana" w:hAnsi="Verdana"/>
                <w:sz w:val="20"/>
                <w:szCs w:val="20"/>
              </w:rPr>
            </w:pPr>
            <w:r w:rsidRPr="00936621">
              <w:rPr>
                <w:rFonts w:ascii="Verdana" w:hAnsi="Verdana"/>
                <w:sz w:val="20"/>
                <w:szCs w:val="20"/>
              </w:rPr>
              <w:t>A través, de la h</w:t>
            </w:r>
            <w:r w:rsidRPr="00936621">
              <w:rPr>
                <w:rFonts w:ascii="Verdana" w:hAnsi="Verdana" w:cs="Arial"/>
                <w:sz w:val="20"/>
                <w:szCs w:val="20"/>
              </w:rPr>
              <w:t xml:space="preserve">erramienta institucional para la investigación, medición, formación e interacción con la ciudadanía frente a la lucha contra el fraude y la corrupción en la administración de tributos, rentas y contribuciones parafiscales – Observatorio de Fraude y Corrupción de la Agencia ITRC, </w:t>
            </w:r>
            <w:r w:rsidRPr="00936621">
              <w:rPr>
                <w:rFonts w:ascii="Verdana" w:hAnsi="Verdana"/>
                <w:b/>
                <w:bCs/>
                <w:sz w:val="20"/>
                <w:szCs w:val="20"/>
              </w:rPr>
              <w:t xml:space="preserve">en lo que va corrido de la vigencia 2024 </w:t>
            </w:r>
            <w:r w:rsidRPr="00936621">
              <w:rPr>
                <w:rFonts w:ascii="Verdana" w:hAnsi="Verdana"/>
                <w:sz w:val="20"/>
                <w:szCs w:val="20"/>
              </w:rPr>
              <w:t>se visualizaron los siguientes resultados de la labor misional y se realizó acercamiento a la ciudadanía de acuerdo con su estructura, así:</w:t>
            </w:r>
          </w:p>
          <w:p w14:paraId="7348F4AC" w14:textId="77777777" w:rsidR="007B0DCE" w:rsidRPr="00936621" w:rsidRDefault="007B0DCE" w:rsidP="007B0DCE">
            <w:pPr>
              <w:contextualSpacing/>
              <w:jc w:val="both"/>
              <w:rPr>
                <w:rFonts w:ascii="Verdana" w:hAnsi="Verdana"/>
                <w:b/>
                <w:bCs/>
                <w:sz w:val="20"/>
                <w:szCs w:val="20"/>
              </w:rPr>
            </w:pPr>
          </w:p>
          <w:p w14:paraId="50DF6165" w14:textId="77777777" w:rsidR="007B0DCE" w:rsidRPr="00936621" w:rsidRDefault="007B0DCE" w:rsidP="007B0DCE">
            <w:pPr>
              <w:contextualSpacing/>
              <w:jc w:val="both"/>
              <w:rPr>
                <w:rFonts w:ascii="Verdana" w:hAnsi="Verdana"/>
                <w:b/>
                <w:bCs/>
                <w:sz w:val="20"/>
                <w:szCs w:val="20"/>
              </w:rPr>
            </w:pPr>
            <w:r w:rsidRPr="00936621">
              <w:rPr>
                <w:rFonts w:ascii="Verdana" w:hAnsi="Verdana"/>
                <w:b/>
                <w:bCs/>
                <w:sz w:val="20"/>
                <w:szCs w:val="20"/>
              </w:rPr>
              <w:t xml:space="preserve">Eje de Medición: </w:t>
            </w:r>
            <w:r w:rsidRPr="00936621">
              <w:rPr>
                <w:rFonts w:ascii="Verdana" w:hAnsi="Verdana" w:cs="Arial"/>
                <w:sz w:val="20"/>
                <w:szCs w:val="20"/>
              </w:rPr>
              <w:t xml:space="preserve">se actualizan trimestralmente los tableros de Control, que permiten a través de indicadores estructurados, la visualización de resultados obtenidos en desarrollo de la Labor Preventiva y Sancionatoria de la Agencia </w:t>
            </w:r>
            <w:r w:rsidRPr="00936621">
              <w:rPr>
                <w:rFonts w:ascii="Verdana" w:hAnsi="Verdana" w:cs="Arial"/>
                <w:sz w:val="20"/>
                <w:szCs w:val="20"/>
              </w:rPr>
              <w:lastRenderedPageBreak/>
              <w:t xml:space="preserve">ITRC de acuerdo con los lineamientos establecidos en documento metodológico, ofreciendo datos confiables para consulta de los ciudadanos. </w:t>
            </w:r>
          </w:p>
          <w:p w14:paraId="24A843B9" w14:textId="77777777" w:rsidR="007B0DCE" w:rsidRPr="00936621" w:rsidRDefault="007B0DCE" w:rsidP="007B0DCE">
            <w:pPr>
              <w:jc w:val="both"/>
              <w:textAlignment w:val="baseline"/>
              <w:rPr>
                <w:rFonts w:ascii="Verdana" w:hAnsi="Verdana" w:cs="Arial"/>
                <w:sz w:val="20"/>
                <w:szCs w:val="20"/>
              </w:rPr>
            </w:pPr>
          </w:p>
          <w:p w14:paraId="663AD67D" w14:textId="77777777" w:rsidR="007B0DCE" w:rsidRPr="00936621" w:rsidRDefault="007B0DCE" w:rsidP="007B0DCE">
            <w:pPr>
              <w:contextualSpacing/>
              <w:jc w:val="both"/>
              <w:rPr>
                <w:rFonts w:ascii="Verdana" w:eastAsia="Times New Roman" w:hAnsi="Verdana" w:cs="Arial"/>
                <w:sz w:val="20"/>
                <w:szCs w:val="20"/>
                <w:lang w:eastAsia="es-CO"/>
              </w:rPr>
            </w:pPr>
            <w:r w:rsidRPr="00936621">
              <w:rPr>
                <w:rFonts w:ascii="Verdana" w:hAnsi="Verdana"/>
                <w:b/>
                <w:bCs/>
                <w:sz w:val="20"/>
                <w:szCs w:val="20"/>
              </w:rPr>
              <w:t xml:space="preserve">Eje de Educación: </w:t>
            </w:r>
            <w:r w:rsidRPr="00936621">
              <w:rPr>
                <w:rFonts w:ascii="Verdana" w:eastAsia="Times New Roman" w:hAnsi="Verdana" w:cs="Arial"/>
                <w:sz w:val="20"/>
                <w:szCs w:val="20"/>
                <w:lang w:eastAsia="es-CO"/>
              </w:rPr>
              <w:t xml:space="preserve">se desarrollaron actividades pedagógicas, tales como capacitaciones sobre la misión de la Agencia, orientadas a la vinculación ciudadana en la lucha contra la corrupción para diferentes grupos de interés y de valor incluida niñas, niños y adolescentes, realizando sensibilización al tema de “denuncia efectiva”. Se desarrolló material investigativo y educativo que incluye el uso de herramientas tecnológicas.   </w:t>
            </w:r>
          </w:p>
          <w:p w14:paraId="7A4361C8" w14:textId="77777777" w:rsidR="007B0DCE" w:rsidRPr="00936621" w:rsidRDefault="007B0DCE" w:rsidP="007B0DCE">
            <w:pPr>
              <w:contextualSpacing/>
              <w:jc w:val="both"/>
              <w:rPr>
                <w:rFonts w:ascii="Verdana" w:hAnsi="Verdana"/>
                <w:b/>
                <w:bCs/>
                <w:sz w:val="20"/>
                <w:szCs w:val="20"/>
              </w:rPr>
            </w:pPr>
          </w:p>
          <w:p w14:paraId="060B36D6" w14:textId="77777777" w:rsidR="007B0DCE" w:rsidRPr="00936621" w:rsidRDefault="007B0DCE" w:rsidP="007B0DCE">
            <w:pPr>
              <w:contextualSpacing/>
              <w:jc w:val="both"/>
              <w:rPr>
                <w:rFonts w:ascii="Verdana" w:eastAsia="Times New Roman" w:hAnsi="Verdana" w:cs="Arial"/>
                <w:sz w:val="20"/>
                <w:szCs w:val="20"/>
                <w:lang w:eastAsia="es-CO"/>
              </w:rPr>
            </w:pPr>
            <w:r w:rsidRPr="00936621">
              <w:rPr>
                <w:rFonts w:ascii="Verdana" w:hAnsi="Verdana"/>
                <w:b/>
                <w:bCs/>
                <w:sz w:val="20"/>
                <w:szCs w:val="20"/>
              </w:rPr>
              <w:t>Eje de Participación:</w:t>
            </w:r>
            <w:r w:rsidRPr="00936621">
              <w:rPr>
                <w:rFonts w:ascii="Verdana" w:eastAsia="Times New Roman" w:hAnsi="Verdana" w:cs="Arial"/>
                <w:sz w:val="20"/>
                <w:szCs w:val="20"/>
                <w:lang w:eastAsia="es-CO"/>
              </w:rPr>
              <w:t xml:space="preserve"> Se motivó la participación de la ciudadanía mediante talleres regionales impactando zonas geográficas como Riohacha y Maicao (Guajira), Villa de Leyva, Tunja, Paipa, </w:t>
            </w:r>
            <w:proofErr w:type="spellStart"/>
            <w:r w:rsidRPr="00936621">
              <w:rPr>
                <w:rFonts w:ascii="Verdana" w:eastAsia="Times New Roman" w:hAnsi="Verdana" w:cs="Arial"/>
                <w:sz w:val="20"/>
                <w:szCs w:val="20"/>
                <w:lang w:eastAsia="es-CO"/>
              </w:rPr>
              <w:t>Sutamarchán</w:t>
            </w:r>
            <w:proofErr w:type="spellEnd"/>
            <w:r w:rsidRPr="00936621">
              <w:rPr>
                <w:rFonts w:ascii="Verdana" w:eastAsia="Times New Roman" w:hAnsi="Verdana" w:cs="Arial"/>
                <w:sz w:val="20"/>
                <w:szCs w:val="20"/>
                <w:lang w:eastAsia="es-CO"/>
              </w:rPr>
              <w:t xml:space="preserve"> (Boyacá), Bucaramanga (Santander). </w:t>
            </w:r>
          </w:p>
          <w:p w14:paraId="774368E9" w14:textId="77777777" w:rsidR="007B0DCE" w:rsidRPr="00936621" w:rsidRDefault="007B0DCE" w:rsidP="007B0DCE">
            <w:pPr>
              <w:contextualSpacing/>
              <w:jc w:val="both"/>
              <w:rPr>
                <w:rFonts w:ascii="Verdana" w:eastAsia="Times New Roman" w:hAnsi="Verdana" w:cs="Arial"/>
                <w:sz w:val="20"/>
                <w:szCs w:val="20"/>
                <w:lang w:eastAsia="es-CO"/>
              </w:rPr>
            </w:pPr>
          </w:p>
          <w:p w14:paraId="701CA32F" w14:textId="77777777" w:rsidR="007B0DCE" w:rsidRPr="00936621" w:rsidRDefault="007B0DCE" w:rsidP="007B0DCE">
            <w:pPr>
              <w:contextualSpacing/>
              <w:jc w:val="both"/>
              <w:rPr>
                <w:rFonts w:ascii="Verdana" w:eastAsia="Times New Roman" w:hAnsi="Verdana" w:cs="Arial"/>
                <w:sz w:val="20"/>
                <w:szCs w:val="20"/>
                <w:lang w:eastAsia="es-CO"/>
              </w:rPr>
            </w:pPr>
            <w:r w:rsidRPr="00936621">
              <w:rPr>
                <w:rFonts w:ascii="Verdana" w:hAnsi="Verdana"/>
                <w:b/>
                <w:bCs/>
                <w:sz w:val="20"/>
                <w:szCs w:val="20"/>
              </w:rPr>
              <w:t xml:space="preserve">Cooperación Interinstitucional: </w:t>
            </w:r>
          </w:p>
          <w:p w14:paraId="15AD3BB0" w14:textId="77777777" w:rsidR="007B0DCE" w:rsidRPr="00936621" w:rsidRDefault="007B0DCE" w:rsidP="007B0DCE">
            <w:pPr>
              <w:contextualSpacing/>
              <w:jc w:val="both"/>
              <w:rPr>
                <w:rFonts w:ascii="Verdana" w:eastAsia="Times New Roman" w:hAnsi="Verdana" w:cs="Arial"/>
                <w:sz w:val="20"/>
                <w:szCs w:val="20"/>
                <w:lang w:eastAsia="es-CO"/>
              </w:rPr>
            </w:pPr>
          </w:p>
          <w:p w14:paraId="31D77AEC" w14:textId="77777777" w:rsidR="007B0DCE" w:rsidRPr="00936621" w:rsidRDefault="007B0DCE" w:rsidP="007B0DCE">
            <w:pPr>
              <w:contextualSpacing/>
              <w:jc w:val="both"/>
              <w:rPr>
                <w:rFonts w:ascii="Verdana" w:eastAsia="Times New Roman" w:hAnsi="Verdana" w:cs="Arial"/>
                <w:sz w:val="20"/>
                <w:szCs w:val="20"/>
                <w:lang w:eastAsia="es-CO"/>
              </w:rPr>
            </w:pPr>
            <w:r w:rsidRPr="00936621">
              <w:rPr>
                <w:rFonts w:ascii="Verdana" w:eastAsia="Times New Roman" w:hAnsi="Verdana" w:cs="Arial"/>
                <w:sz w:val="20"/>
                <w:szCs w:val="20"/>
                <w:lang w:eastAsia="es-CO"/>
              </w:rPr>
              <w:t xml:space="preserve">Se fortalece el relacionamiento con entidades públicas, privadas, gremios, academia; se mantienen las acciones de cooperación en materia de integridad y transparencia internacional con diferentes países del mundo, la Oficina de Asistencia Técnica del Tesoro de los Estados Unidos -OTA, Organización para la Cooperación y Desarrollo Económico -OCDE, Centro Interamericano de Administraciones Tributarias -CIAT, Alianza de Cooperación Alemana - GIZ, entre otras.  </w:t>
            </w:r>
          </w:p>
          <w:p w14:paraId="32937B1D" w14:textId="77777777" w:rsidR="007B0DCE" w:rsidRPr="00936621" w:rsidRDefault="007B0DCE" w:rsidP="007B0DCE">
            <w:pPr>
              <w:contextualSpacing/>
              <w:jc w:val="both"/>
              <w:rPr>
                <w:rFonts w:ascii="Verdana" w:eastAsia="Times New Roman" w:hAnsi="Verdana" w:cs="Arial"/>
                <w:sz w:val="20"/>
                <w:szCs w:val="20"/>
                <w:lang w:eastAsia="es-CO"/>
              </w:rPr>
            </w:pPr>
          </w:p>
          <w:p w14:paraId="5EE6D708" w14:textId="77777777" w:rsidR="007B0DCE" w:rsidRPr="00936621" w:rsidRDefault="007B0DCE" w:rsidP="007B0DCE">
            <w:pPr>
              <w:contextualSpacing/>
              <w:jc w:val="both"/>
              <w:rPr>
                <w:rFonts w:ascii="Verdana" w:eastAsia="Times New Roman" w:hAnsi="Verdana" w:cs="Arial"/>
                <w:sz w:val="20"/>
                <w:szCs w:val="20"/>
                <w:lang w:eastAsia="es-CO"/>
              </w:rPr>
            </w:pPr>
            <w:r w:rsidRPr="00936621">
              <w:rPr>
                <w:rFonts w:ascii="Verdana" w:eastAsia="Times New Roman" w:hAnsi="Verdana" w:cs="Arial"/>
                <w:sz w:val="20"/>
                <w:szCs w:val="20"/>
                <w:lang w:eastAsia="es-CO"/>
              </w:rPr>
              <w:t>Asistencia y permanente colaboración con la Red Nacional de Observatorios Anticorrupción – RENOBA, liderado por la secretaria de Transparencia de la Presidencia de la República de conformidad con el artículo 200 del Plan Nacional de Desarrollo.</w:t>
            </w:r>
          </w:p>
          <w:p w14:paraId="63197C57" w14:textId="58D44365" w:rsidR="002C0A72" w:rsidRPr="00936621" w:rsidRDefault="007B0DCE" w:rsidP="007B0DCE">
            <w:pPr>
              <w:pStyle w:val="Piedepgina"/>
              <w:contextualSpacing/>
              <w:jc w:val="both"/>
              <w:rPr>
                <w:rFonts w:ascii="Verdana" w:hAnsi="Verdana"/>
                <w:sz w:val="20"/>
                <w:szCs w:val="20"/>
              </w:rPr>
            </w:pPr>
            <w:r w:rsidRPr="00936621">
              <w:rPr>
                <w:rFonts w:ascii="Verdana" w:eastAsia="Times New Roman" w:hAnsi="Verdana" w:cs="Arial"/>
                <w:sz w:val="20"/>
                <w:szCs w:val="20"/>
                <w:lang w:eastAsia="es-CO"/>
              </w:rPr>
              <w:t>La Agencia ITRC a través del Observatorio de Fraude y Corrupción ha llegado en lo que va corrido en la vigencia de 2024 a más de 5.000 ciudadanos.</w:t>
            </w:r>
          </w:p>
        </w:tc>
      </w:tr>
    </w:tbl>
    <w:p w14:paraId="2E63A853" w14:textId="77777777" w:rsidR="002C0A72" w:rsidRPr="00936621" w:rsidRDefault="002C0A72" w:rsidP="002C0A72">
      <w:pPr>
        <w:jc w:val="both"/>
        <w:rPr>
          <w:rFonts w:ascii="Verdana" w:hAnsi="Verdana"/>
          <w:b/>
          <w:bCs/>
        </w:rPr>
      </w:pPr>
    </w:p>
    <w:p w14:paraId="4E113C0D" w14:textId="77777777" w:rsidR="002C0A72" w:rsidRPr="00936621" w:rsidRDefault="002C0A72" w:rsidP="002C0A72">
      <w:pPr>
        <w:jc w:val="both"/>
        <w:rPr>
          <w:rFonts w:ascii="Verdana" w:hAnsi="Verdana"/>
          <w:b/>
          <w:bCs/>
        </w:rPr>
      </w:pPr>
    </w:p>
    <w:tbl>
      <w:tblPr>
        <w:tblStyle w:val="Tablaconcuadrcula"/>
        <w:tblW w:w="10632" w:type="dxa"/>
        <w:tblInd w:w="-856" w:type="dxa"/>
        <w:tblLook w:val="04A0" w:firstRow="1" w:lastRow="0" w:firstColumn="1" w:lastColumn="0" w:noHBand="0" w:noVBand="1"/>
      </w:tblPr>
      <w:tblGrid>
        <w:gridCol w:w="1938"/>
        <w:gridCol w:w="1840"/>
        <w:gridCol w:w="6854"/>
      </w:tblGrid>
      <w:tr w:rsidR="00C72C2F" w:rsidRPr="00936621" w14:paraId="4CBFD936" w14:textId="77777777" w:rsidTr="007A3BFF">
        <w:tc>
          <w:tcPr>
            <w:tcW w:w="10632" w:type="dxa"/>
            <w:gridSpan w:val="3"/>
            <w:vAlign w:val="center"/>
          </w:tcPr>
          <w:p w14:paraId="7A69ED41" w14:textId="77777777" w:rsidR="00C72C2F" w:rsidRPr="00936621" w:rsidRDefault="00C72C2F" w:rsidP="007A3BFF">
            <w:pPr>
              <w:jc w:val="center"/>
              <w:rPr>
                <w:rFonts w:ascii="Verdana" w:hAnsi="Verdana" w:cs="Arial"/>
                <w:b/>
                <w:bCs/>
                <w:sz w:val="20"/>
                <w:szCs w:val="20"/>
              </w:rPr>
            </w:pPr>
            <w:r w:rsidRPr="00936621">
              <w:rPr>
                <w:rFonts w:ascii="Verdana" w:hAnsi="Verdana" w:cs="Arial"/>
                <w:b/>
                <w:bCs/>
                <w:sz w:val="20"/>
                <w:szCs w:val="20"/>
              </w:rPr>
              <w:t>INVERSIÓN</w:t>
            </w:r>
          </w:p>
        </w:tc>
      </w:tr>
      <w:tr w:rsidR="00C72C2F" w:rsidRPr="00936621" w14:paraId="2A6DC215" w14:textId="77777777" w:rsidTr="007A3BFF">
        <w:tc>
          <w:tcPr>
            <w:tcW w:w="1938" w:type="dxa"/>
          </w:tcPr>
          <w:p w14:paraId="76FCDD88" w14:textId="77777777" w:rsidR="00C72C2F" w:rsidRPr="00936621" w:rsidRDefault="00C72C2F" w:rsidP="007A3BFF">
            <w:pPr>
              <w:rPr>
                <w:rFonts w:ascii="Verdana" w:hAnsi="Verdana" w:cs="Arial"/>
                <w:b/>
                <w:bCs/>
                <w:sz w:val="20"/>
                <w:szCs w:val="20"/>
              </w:rPr>
            </w:pPr>
            <w:r w:rsidRPr="00936621">
              <w:rPr>
                <w:rFonts w:ascii="Verdana" w:hAnsi="Verdana" w:cs="Arial"/>
                <w:b/>
                <w:bCs/>
                <w:sz w:val="20"/>
                <w:szCs w:val="20"/>
              </w:rPr>
              <w:t>PROGRAMA</w:t>
            </w:r>
          </w:p>
        </w:tc>
        <w:tc>
          <w:tcPr>
            <w:tcW w:w="1840" w:type="dxa"/>
          </w:tcPr>
          <w:p w14:paraId="5DCBA058" w14:textId="77777777" w:rsidR="00C72C2F" w:rsidRPr="00936621" w:rsidRDefault="00C72C2F" w:rsidP="007A3BFF">
            <w:pPr>
              <w:rPr>
                <w:rFonts w:ascii="Verdana" w:hAnsi="Verdana" w:cs="Arial"/>
                <w:b/>
                <w:bCs/>
                <w:sz w:val="20"/>
                <w:szCs w:val="20"/>
              </w:rPr>
            </w:pPr>
            <w:r w:rsidRPr="00936621">
              <w:rPr>
                <w:rFonts w:ascii="Verdana" w:hAnsi="Verdana" w:cs="Arial"/>
                <w:b/>
                <w:bCs/>
                <w:sz w:val="20"/>
                <w:szCs w:val="20"/>
              </w:rPr>
              <w:t>PROYECTO</w:t>
            </w:r>
          </w:p>
        </w:tc>
        <w:tc>
          <w:tcPr>
            <w:tcW w:w="6854" w:type="dxa"/>
          </w:tcPr>
          <w:p w14:paraId="67D32636" w14:textId="77777777" w:rsidR="00C72C2F" w:rsidRPr="00936621" w:rsidRDefault="00C72C2F" w:rsidP="007A3BFF">
            <w:pPr>
              <w:jc w:val="center"/>
              <w:rPr>
                <w:rFonts w:ascii="Verdana" w:hAnsi="Verdana" w:cs="Arial"/>
                <w:b/>
                <w:bCs/>
                <w:sz w:val="20"/>
                <w:szCs w:val="20"/>
              </w:rPr>
            </w:pPr>
            <w:r w:rsidRPr="00936621">
              <w:rPr>
                <w:rFonts w:ascii="Verdana" w:hAnsi="Verdana" w:cs="Arial"/>
                <w:b/>
                <w:bCs/>
                <w:sz w:val="20"/>
                <w:szCs w:val="20"/>
              </w:rPr>
              <w:t>RESULTADOS</w:t>
            </w:r>
          </w:p>
        </w:tc>
      </w:tr>
      <w:tr w:rsidR="00C72C2F" w:rsidRPr="00936621" w14:paraId="26CD339D" w14:textId="77777777" w:rsidTr="007A3BFF">
        <w:tc>
          <w:tcPr>
            <w:tcW w:w="1938" w:type="dxa"/>
          </w:tcPr>
          <w:p w14:paraId="4FBB58A6" w14:textId="77777777" w:rsidR="00C72C2F" w:rsidRPr="00936621" w:rsidRDefault="00C72C2F" w:rsidP="007A3BFF">
            <w:pPr>
              <w:rPr>
                <w:rFonts w:ascii="Verdana" w:hAnsi="Verdana" w:cs="Arial"/>
                <w:sz w:val="20"/>
                <w:szCs w:val="20"/>
              </w:rPr>
            </w:pPr>
            <w:r w:rsidRPr="00936621">
              <w:rPr>
                <w:rFonts w:ascii="Verdana" w:hAnsi="Verdana"/>
                <w:color w:val="000000"/>
                <w:sz w:val="20"/>
                <w:szCs w:val="20"/>
                <w:shd w:val="clear" w:color="auto" w:fill="FFFFFF"/>
              </w:rPr>
              <w:t xml:space="preserve">Inspección, control y vigilancia financiera, solidaria y de recursos públicos (Programa de Gobierno - Fortalecimiento de la </w:t>
            </w:r>
            <w:r w:rsidRPr="00936621">
              <w:rPr>
                <w:rFonts w:ascii="Verdana" w:hAnsi="Verdana"/>
                <w:color w:val="000000"/>
                <w:sz w:val="20"/>
                <w:szCs w:val="20"/>
                <w:shd w:val="clear" w:color="auto" w:fill="FFFFFF"/>
              </w:rPr>
              <w:lastRenderedPageBreak/>
              <w:t>gobernanza e institucionalidad)</w:t>
            </w:r>
          </w:p>
        </w:tc>
        <w:tc>
          <w:tcPr>
            <w:tcW w:w="1840" w:type="dxa"/>
          </w:tcPr>
          <w:p w14:paraId="6144BAE9" w14:textId="77777777" w:rsidR="00C72C2F" w:rsidRPr="00936621" w:rsidRDefault="00C72C2F" w:rsidP="007A3BFF">
            <w:pPr>
              <w:rPr>
                <w:rFonts w:ascii="Verdana" w:hAnsi="Verdana" w:cs="Arial"/>
                <w:sz w:val="20"/>
                <w:szCs w:val="20"/>
              </w:rPr>
            </w:pPr>
            <w:r w:rsidRPr="00936621">
              <w:rPr>
                <w:rFonts w:ascii="Verdana" w:hAnsi="Verdana" w:cs="Arial"/>
                <w:sz w:val="20"/>
                <w:szCs w:val="20"/>
              </w:rPr>
              <w:lastRenderedPageBreak/>
              <w:t>I</w:t>
            </w:r>
            <w:r w:rsidRPr="00936621">
              <w:rPr>
                <w:rStyle w:val="ui-provider"/>
                <w:rFonts w:ascii="Verdana" w:hAnsi="Verdana"/>
                <w:sz w:val="20"/>
                <w:szCs w:val="20"/>
              </w:rPr>
              <w:t>mplementación Sistema Integral de Información para la Prevención del Fraude y la Corrupción en las Entidades Vigiladas</w:t>
            </w:r>
          </w:p>
        </w:tc>
        <w:tc>
          <w:tcPr>
            <w:tcW w:w="6854" w:type="dxa"/>
          </w:tcPr>
          <w:p w14:paraId="6DAD8141" w14:textId="77777777" w:rsidR="00C72C2F" w:rsidRPr="00936621" w:rsidRDefault="00C72C2F" w:rsidP="007A3BFF">
            <w:pPr>
              <w:jc w:val="both"/>
              <w:rPr>
                <w:rFonts w:ascii="Verdana" w:hAnsi="Verdana" w:cs="Arial"/>
                <w:sz w:val="20"/>
                <w:szCs w:val="20"/>
                <w:highlight w:val="yellow"/>
                <w:lang w:val="es-MX"/>
              </w:rPr>
            </w:pPr>
          </w:p>
          <w:p w14:paraId="27D3AE0A" w14:textId="128AE9ED" w:rsidR="009D6BA2" w:rsidRDefault="009D6BA2" w:rsidP="009D6BA2">
            <w:pPr>
              <w:jc w:val="both"/>
              <w:rPr>
                <w:rFonts w:ascii="Verdana" w:hAnsi="Verdana" w:cs="Arial"/>
                <w:sz w:val="20"/>
                <w:szCs w:val="20"/>
              </w:rPr>
            </w:pPr>
            <w:r>
              <w:rPr>
                <w:rFonts w:ascii="Verdana" w:hAnsi="Verdana" w:cs="Arial"/>
                <w:sz w:val="20"/>
                <w:szCs w:val="20"/>
              </w:rPr>
              <w:t>Durante la vigencia 2024, e</w:t>
            </w:r>
            <w:r w:rsidRPr="009D6BA2">
              <w:rPr>
                <w:rFonts w:ascii="Verdana" w:hAnsi="Verdana" w:cs="Arial"/>
                <w:sz w:val="20"/>
                <w:szCs w:val="20"/>
              </w:rPr>
              <w:t>ste proyecto de inversión ha sido fundamental para proporcionar soluciones tecnológicas que apoyan el desarrollo eficaz de la misión de la Agencia ITRC. A continuación, se detallan los resultados principales:</w:t>
            </w:r>
          </w:p>
          <w:p w14:paraId="16A1F3B1" w14:textId="77777777" w:rsidR="009D6BA2" w:rsidRPr="009D6BA2" w:rsidRDefault="009D6BA2" w:rsidP="009D6BA2">
            <w:pPr>
              <w:jc w:val="both"/>
              <w:rPr>
                <w:rFonts w:ascii="Verdana" w:hAnsi="Verdana" w:cs="Arial"/>
                <w:sz w:val="20"/>
                <w:szCs w:val="20"/>
              </w:rPr>
            </w:pPr>
          </w:p>
          <w:p w14:paraId="6E2CDB6D" w14:textId="77777777" w:rsidR="009D6BA2" w:rsidRDefault="009D6BA2" w:rsidP="009D6BA2">
            <w:pPr>
              <w:jc w:val="both"/>
              <w:rPr>
                <w:rFonts w:ascii="Verdana" w:hAnsi="Verdana" w:cs="Arial"/>
                <w:sz w:val="20"/>
                <w:szCs w:val="20"/>
              </w:rPr>
            </w:pPr>
            <w:r w:rsidRPr="009D6BA2">
              <w:rPr>
                <w:rFonts w:ascii="Verdana" w:hAnsi="Verdana" w:cs="Arial"/>
                <w:sz w:val="20"/>
                <w:szCs w:val="20"/>
              </w:rPr>
              <w:t xml:space="preserve">La inversión en tecnología ha mejorado significativamente la gestión de la información de inspecciones relacionadas con las entidades vigiladas, como DIAN, COLJUEGOS y UGPP. </w:t>
            </w:r>
          </w:p>
          <w:p w14:paraId="7EC88581" w14:textId="19D5E864" w:rsidR="009D6BA2" w:rsidRDefault="009D6BA2" w:rsidP="009D6BA2">
            <w:pPr>
              <w:jc w:val="both"/>
              <w:rPr>
                <w:rFonts w:ascii="Verdana" w:hAnsi="Verdana" w:cs="Arial"/>
                <w:sz w:val="20"/>
                <w:szCs w:val="20"/>
              </w:rPr>
            </w:pPr>
            <w:r w:rsidRPr="009D6BA2">
              <w:rPr>
                <w:rFonts w:ascii="Verdana" w:hAnsi="Verdana" w:cs="Arial"/>
                <w:sz w:val="20"/>
                <w:szCs w:val="20"/>
              </w:rPr>
              <w:t xml:space="preserve">Esto se logró mediante el mantenimiento, soporte y actualización de herramientas analíticas, implementación de tableros de control, y adopción de soluciones de inteligencia de negocio y Big Data. </w:t>
            </w:r>
            <w:r w:rsidRPr="009D6BA2">
              <w:rPr>
                <w:rFonts w:ascii="Verdana" w:hAnsi="Verdana" w:cs="Arial"/>
                <w:sz w:val="20"/>
                <w:szCs w:val="20"/>
              </w:rPr>
              <w:lastRenderedPageBreak/>
              <w:t>Además, se afianzó y fortaleció el uso de herramientas forenses para las auditorías y la instrucción disciplinaria.</w:t>
            </w:r>
          </w:p>
          <w:p w14:paraId="5DE82613" w14:textId="77777777" w:rsidR="009D6BA2" w:rsidRPr="009D6BA2" w:rsidRDefault="009D6BA2" w:rsidP="009D6BA2">
            <w:pPr>
              <w:jc w:val="both"/>
              <w:rPr>
                <w:rFonts w:ascii="Verdana" w:hAnsi="Verdana" w:cs="Arial"/>
                <w:sz w:val="20"/>
                <w:szCs w:val="20"/>
              </w:rPr>
            </w:pPr>
          </w:p>
          <w:p w14:paraId="6DB697D4" w14:textId="77777777" w:rsidR="009D6BA2" w:rsidRDefault="009D6BA2" w:rsidP="009D6BA2">
            <w:pPr>
              <w:jc w:val="both"/>
              <w:rPr>
                <w:rFonts w:ascii="Verdana" w:hAnsi="Verdana" w:cs="Arial"/>
                <w:sz w:val="20"/>
                <w:szCs w:val="20"/>
              </w:rPr>
            </w:pPr>
            <w:r w:rsidRPr="009D6BA2">
              <w:rPr>
                <w:rFonts w:ascii="Verdana" w:hAnsi="Verdana" w:cs="Arial"/>
                <w:sz w:val="20"/>
                <w:szCs w:val="20"/>
              </w:rPr>
              <w:t>Se ha avanzado en la ejecución del Plan Estratégico de Tecnologías de la Información, alineado con la política de Gobierno Digital del gobierno nacional, asegurando que las acciones tecnológicas estén en sintonía con las directrices nacionales y se trabaja en la actualización del PETI para el año 2025.</w:t>
            </w:r>
          </w:p>
          <w:p w14:paraId="405A2B24" w14:textId="77777777" w:rsidR="009D6BA2" w:rsidRPr="009D6BA2" w:rsidRDefault="009D6BA2" w:rsidP="009D6BA2">
            <w:pPr>
              <w:jc w:val="both"/>
              <w:rPr>
                <w:rFonts w:ascii="Verdana" w:hAnsi="Verdana" w:cs="Arial"/>
                <w:sz w:val="20"/>
                <w:szCs w:val="20"/>
              </w:rPr>
            </w:pPr>
          </w:p>
          <w:p w14:paraId="10EB847F" w14:textId="77777777" w:rsidR="009D6BA2" w:rsidRDefault="009D6BA2" w:rsidP="009D6BA2">
            <w:pPr>
              <w:jc w:val="both"/>
              <w:rPr>
                <w:rFonts w:ascii="Verdana" w:hAnsi="Verdana" w:cs="Arial"/>
                <w:sz w:val="20"/>
                <w:szCs w:val="20"/>
              </w:rPr>
            </w:pPr>
            <w:r w:rsidRPr="009D6BA2">
              <w:rPr>
                <w:rFonts w:ascii="Verdana" w:hAnsi="Verdana" w:cs="Arial"/>
                <w:sz w:val="20"/>
                <w:szCs w:val="20"/>
              </w:rPr>
              <w:t xml:space="preserve">En forma permanente se realiza seguimiento riguroso y control al funcionamiento y puesta en marcha del </w:t>
            </w:r>
            <w:proofErr w:type="spellStart"/>
            <w:r w:rsidRPr="009D6BA2">
              <w:rPr>
                <w:rFonts w:ascii="Verdana" w:hAnsi="Verdana" w:cs="Arial"/>
                <w:sz w:val="20"/>
                <w:szCs w:val="20"/>
              </w:rPr>
              <w:t>Datacenter</w:t>
            </w:r>
            <w:proofErr w:type="spellEnd"/>
            <w:r w:rsidRPr="009D6BA2">
              <w:rPr>
                <w:rFonts w:ascii="Verdana" w:hAnsi="Verdana" w:cs="Arial"/>
                <w:sz w:val="20"/>
                <w:szCs w:val="20"/>
              </w:rPr>
              <w:t xml:space="preserve"> virtual con todos sus beneficios y capacidades asociadas en beneficio de la operación de la Entidad y el cumplimiento de sus objetivos institucionales.</w:t>
            </w:r>
          </w:p>
          <w:p w14:paraId="5247A0C9" w14:textId="77777777" w:rsidR="009D6BA2" w:rsidRPr="009D6BA2" w:rsidRDefault="009D6BA2" w:rsidP="009D6BA2">
            <w:pPr>
              <w:jc w:val="both"/>
              <w:rPr>
                <w:rFonts w:ascii="Verdana" w:hAnsi="Verdana" w:cs="Arial"/>
                <w:sz w:val="20"/>
                <w:szCs w:val="20"/>
              </w:rPr>
            </w:pPr>
          </w:p>
          <w:p w14:paraId="3646C5F1" w14:textId="4EB86A7E" w:rsidR="009D6BA2" w:rsidRPr="009D6BA2" w:rsidRDefault="009D6BA2" w:rsidP="009D6BA2">
            <w:pPr>
              <w:jc w:val="both"/>
              <w:rPr>
                <w:rFonts w:ascii="Verdana" w:hAnsi="Verdana" w:cs="Arial"/>
                <w:sz w:val="20"/>
                <w:szCs w:val="20"/>
              </w:rPr>
            </w:pPr>
            <w:r w:rsidRPr="009D6BA2">
              <w:rPr>
                <w:rFonts w:ascii="Verdana" w:hAnsi="Verdana" w:cs="Arial"/>
                <w:sz w:val="20"/>
                <w:szCs w:val="20"/>
              </w:rPr>
              <w:t>En la vigencia 2024 el proyecto de inversión se afectó de manera importante, como consecuencia del aplazamiento establecido en el Decreto 0766/24</w:t>
            </w:r>
            <w:r w:rsidR="00BD7907">
              <w:rPr>
                <w:rFonts w:ascii="Verdana" w:hAnsi="Verdana" w:cs="Arial"/>
                <w:sz w:val="20"/>
                <w:szCs w:val="20"/>
              </w:rPr>
              <w:t xml:space="preserve"> por valor de $977.073.194 lo que corresponde al 78% de la apropiación inicial;</w:t>
            </w:r>
            <w:r w:rsidRPr="009D6BA2">
              <w:rPr>
                <w:rFonts w:ascii="Verdana" w:hAnsi="Verdana" w:cs="Arial"/>
                <w:sz w:val="20"/>
                <w:szCs w:val="20"/>
              </w:rPr>
              <w:t xml:space="preserve"> lo cual impactó fuertemente los objetivos planteados para la misma vigencia y el cierre del proyecto de inversión en el próximo año, poniendo en riesgo el cumplimiento de </w:t>
            </w:r>
            <w:r w:rsidR="00AB20B2" w:rsidRPr="009D6BA2">
              <w:rPr>
                <w:rFonts w:ascii="Verdana" w:hAnsi="Verdana" w:cs="Arial"/>
                <w:sz w:val="20"/>
                <w:szCs w:val="20"/>
              </w:rPr>
              <w:t>estos</w:t>
            </w:r>
            <w:r w:rsidRPr="009D6BA2">
              <w:rPr>
                <w:rFonts w:ascii="Verdana" w:hAnsi="Verdana" w:cs="Arial"/>
                <w:sz w:val="20"/>
                <w:szCs w:val="20"/>
              </w:rPr>
              <w:t>. </w:t>
            </w:r>
          </w:p>
          <w:p w14:paraId="46C8F78A" w14:textId="77777777" w:rsidR="00C72C2F" w:rsidRPr="009D6BA2" w:rsidRDefault="00C72C2F" w:rsidP="009D6BA2">
            <w:pPr>
              <w:jc w:val="both"/>
              <w:rPr>
                <w:rFonts w:ascii="Verdana" w:hAnsi="Verdana" w:cs="Arial"/>
                <w:sz w:val="20"/>
                <w:szCs w:val="20"/>
              </w:rPr>
            </w:pPr>
          </w:p>
        </w:tc>
      </w:tr>
      <w:tr w:rsidR="00C72C2F" w:rsidRPr="00936621" w14:paraId="6854C8C6" w14:textId="77777777" w:rsidTr="007A3BFF">
        <w:tc>
          <w:tcPr>
            <w:tcW w:w="1938" w:type="dxa"/>
          </w:tcPr>
          <w:p w14:paraId="2941D6A4" w14:textId="77777777" w:rsidR="00C72C2F" w:rsidRPr="00936621" w:rsidRDefault="00C72C2F" w:rsidP="007A3BFF">
            <w:pPr>
              <w:rPr>
                <w:rFonts w:ascii="Verdana" w:hAnsi="Verdana" w:cs="Arial"/>
                <w:sz w:val="20"/>
                <w:szCs w:val="20"/>
              </w:rPr>
            </w:pPr>
            <w:r w:rsidRPr="00936621">
              <w:rPr>
                <w:rFonts w:ascii="Verdana" w:hAnsi="Verdana" w:cs="Arial"/>
                <w:sz w:val="20"/>
                <w:szCs w:val="20"/>
              </w:rPr>
              <w:lastRenderedPageBreak/>
              <w:t>Fortalecimiento de la Gestión Y Dirección del Sector Hacienda</w:t>
            </w:r>
          </w:p>
        </w:tc>
        <w:tc>
          <w:tcPr>
            <w:tcW w:w="1840" w:type="dxa"/>
          </w:tcPr>
          <w:p w14:paraId="5DD42BCA" w14:textId="77777777" w:rsidR="00C72C2F" w:rsidRPr="00936621" w:rsidRDefault="00C72C2F" w:rsidP="007A3BFF">
            <w:pPr>
              <w:rPr>
                <w:rFonts w:ascii="Verdana" w:hAnsi="Verdana" w:cs="Arial"/>
                <w:sz w:val="20"/>
                <w:szCs w:val="20"/>
              </w:rPr>
            </w:pPr>
            <w:r w:rsidRPr="00936621">
              <w:rPr>
                <w:rFonts w:ascii="Verdana" w:hAnsi="Verdana" w:cs="Arial"/>
                <w:sz w:val="20"/>
                <w:szCs w:val="20"/>
              </w:rPr>
              <w:t>Fortalecimiento de la Gestión Documental en la Agencia ITRC</w:t>
            </w:r>
          </w:p>
        </w:tc>
        <w:tc>
          <w:tcPr>
            <w:tcW w:w="6854" w:type="dxa"/>
          </w:tcPr>
          <w:p w14:paraId="6D7AE4ED" w14:textId="5ABFF379" w:rsidR="00551221" w:rsidRPr="00551221" w:rsidRDefault="00551221" w:rsidP="00551221">
            <w:pPr>
              <w:jc w:val="both"/>
              <w:rPr>
                <w:rFonts w:ascii="Verdana" w:hAnsi="Verdana" w:cs="Arial"/>
                <w:sz w:val="20"/>
                <w:szCs w:val="20"/>
              </w:rPr>
            </w:pPr>
            <w:r>
              <w:rPr>
                <w:rFonts w:ascii="Verdana" w:hAnsi="Verdana" w:cs="Arial"/>
                <w:sz w:val="20"/>
                <w:szCs w:val="20"/>
              </w:rPr>
              <w:t>P</w:t>
            </w:r>
            <w:r w:rsidRPr="00551221">
              <w:rPr>
                <w:rFonts w:ascii="Verdana" w:hAnsi="Verdana" w:cs="Arial"/>
                <w:sz w:val="20"/>
                <w:szCs w:val="20"/>
              </w:rPr>
              <w:t>ara la vigencia 2024, ante el bloqueo de recurso</w:t>
            </w:r>
            <w:r>
              <w:rPr>
                <w:rFonts w:ascii="Verdana" w:hAnsi="Verdana" w:cs="Arial"/>
                <w:sz w:val="20"/>
                <w:szCs w:val="20"/>
              </w:rPr>
              <w:t xml:space="preserve">s que tiene el proyecto de inversión por valor de </w:t>
            </w:r>
            <w:r w:rsidR="00611E05">
              <w:rPr>
                <w:rFonts w:ascii="Verdana" w:hAnsi="Verdana" w:cs="Arial"/>
                <w:sz w:val="20"/>
                <w:szCs w:val="20"/>
              </w:rPr>
              <w:t>$</w:t>
            </w:r>
            <w:r>
              <w:rPr>
                <w:rFonts w:ascii="Verdana" w:hAnsi="Verdana" w:cs="Arial"/>
                <w:sz w:val="20"/>
                <w:szCs w:val="20"/>
              </w:rPr>
              <w:t xml:space="preserve">185.441.036 lo que corresponde al 52% de la apropiación inicial, </w:t>
            </w:r>
            <w:r w:rsidRPr="00551221">
              <w:rPr>
                <w:rFonts w:ascii="Verdana" w:hAnsi="Verdana" w:cs="Arial"/>
                <w:sz w:val="20"/>
                <w:szCs w:val="20"/>
              </w:rPr>
              <w:t>solo se desarrollan actividades relacionadas con:</w:t>
            </w:r>
          </w:p>
          <w:p w14:paraId="1EAD3C0E" w14:textId="129CEB22" w:rsidR="00551221" w:rsidRPr="00D814F4" w:rsidRDefault="00D814F4" w:rsidP="00D814F4">
            <w:pPr>
              <w:pStyle w:val="Prrafodelista"/>
              <w:numPr>
                <w:ilvl w:val="0"/>
                <w:numId w:val="11"/>
              </w:numPr>
              <w:jc w:val="both"/>
              <w:rPr>
                <w:rFonts w:ascii="Verdana" w:hAnsi="Verdana" w:cs="Arial"/>
                <w:sz w:val="20"/>
                <w:szCs w:val="20"/>
              </w:rPr>
            </w:pPr>
            <w:r w:rsidRPr="00D814F4">
              <w:rPr>
                <w:rFonts w:ascii="Verdana" w:hAnsi="Verdana" w:cs="Arial"/>
                <w:sz w:val="20"/>
                <w:szCs w:val="20"/>
              </w:rPr>
              <w:t>O</w:t>
            </w:r>
            <w:r w:rsidR="00551221" w:rsidRPr="00D814F4">
              <w:rPr>
                <w:rFonts w:ascii="Verdana" w:hAnsi="Verdana" w:cs="Arial"/>
                <w:sz w:val="20"/>
                <w:szCs w:val="20"/>
              </w:rPr>
              <w:t xml:space="preserve">rganización documental: </w:t>
            </w:r>
            <w:r w:rsidR="009A1396">
              <w:rPr>
                <w:rFonts w:ascii="Verdana" w:hAnsi="Verdana" w:cs="Arial"/>
                <w:sz w:val="20"/>
                <w:szCs w:val="20"/>
              </w:rPr>
              <w:t>E</w:t>
            </w:r>
            <w:r w:rsidR="00551221" w:rsidRPr="00D814F4">
              <w:rPr>
                <w:rFonts w:ascii="Verdana" w:hAnsi="Verdana" w:cs="Arial"/>
                <w:sz w:val="20"/>
                <w:szCs w:val="20"/>
              </w:rPr>
              <w:t>n cumplimiento de esta actividad se adelant</w:t>
            </w:r>
            <w:r w:rsidR="009A1396">
              <w:rPr>
                <w:rFonts w:ascii="Verdana" w:hAnsi="Verdana" w:cs="Arial"/>
                <w:sz w:val="20"/>
                <w:szCs w:val="20"/>
              </w:rPr>
              <w:t>a</w:t>
            </w:r>
            <w:r w:rsidR="00551221" w:rsidRPr="00D814F4">
              <w:rPr>
                <w:rFonts w:ascii="Verdana" w:hAnsi="Verdana" w:cs="Arial"/>
                <w:sz w:val="20"/>
                <w:szCs w:val="20"/>
              </w:rPr>
              <w:t xml:space="preserve"> el proceso de preparación de transferencia documental de los expedientes disciplinarios, conforme el inventario suministrado por la </w:t>
            </w:r>
            <w:r w:rsidR="009A1396">
              <w:rPr>
                <w:rFonts w:ascii="Verdana" w:hAnsi="Verdana" w:cs="Arial"/>
                <w:sz w:val="20"/>
                <w:szCs w:val="20"/>
              </w:rPr>
              <w:t>S</w:t>
            </w:r>
            <w:r w:rsidR="00551221" w:rsidRPr="00D814F4">
              <w:rPr>
                <w:rFonts w:ascii="Verdana" w:hAnsi="Verdana" w:cs="Arial"/>
                <w:sz w:val="20"/>
                <w:szCs w:val="20"/>
              </w:rPr>
              <w:t xml:space="preserve">ubdirección de </w:t>
            </w:r>
            <w:r w:rsidR="009A1396">
              <w:rPr>
                <w:rFonts w:ascii="Verdana" w:hAnsi="Verdana" w:cs="Arial"/>
                <w:sz w:val="20"/>
                <w:szCs w:val="20"/>
              </w:rPr>
              <w:t>I</w:t>
            </w:r>
            <w:r w:rsidR="00551221" w:rsidRPr="00D814F4">
              <w:rPr>
                <w:rFonts w:ascii="Verdana" w:hAnsi="Verdana" w:cs="Arial"/>
                <w:sz w:val="20"/>
                <w:szCs w:val="20"/>
              </w:rPr>
              <w:t xml:space="preserve">nstrucción </w:t>
            </w:r>
            <w:r w:rsidR="009A1396">
              <w:rPr>
                <w:rFonts w:ascii="Verdana" w:hAnsi="Verdana" w:cs="Arial"/>
                <w:sz w:val="20"/>
                <w:szCs w:val="20"/>
              </w:rPr>
              <w:t>D</w:t>
            </w:r>
            <w:r w:rsidR="00551221" w:rsidRPr="00D814F4">
              <w:rPr>
                <w:rFonts w:ascii="Verdana" w:hAnsi="Verdana" w:cs="Arial"/>
                <w:sz w:val="20"/>
                <w:szCs w:val="20"/>
              </w:rPr>
              <w:t>isciplinaria.</w:t>
            </w:r>
          </w:p>
          <w:p w14:paraId="76E5A48C" w14:textId="4CE3CFB1" w:rsidR="00551221" w:rsidRPr="00D814F4" w:rsidRDefault="00D814F4" w:rsidP="00D814F4">
            <w:pPr>
              <w:pStyle w:val="Prrafodelista"/>
              <w:numPr>
                <w:ilvl w:val="0"/>
                <w:numId w:val="11"/>
              </w:numPr>
              <w:jc w:val="both"/>
              <w:rPr>
                <w:rFonts w:ascii="Verdana" w:hAnsi="Verdana" w:cs="Arial"/>
                <w:sz w:val="20"/>
                <w:szCs w:val="20"/>
              </w:rPr>
            </w:pPr>
            <w:r w:rsidRPr="00D814F4">
              <w:rPr>
                <w:rFonts w:ascii="Verdana" w:hAnsi="Verdana" w:cs="Arial"/>
                <w:sz w:val="20"/>
                <w:szCs w:val="20"/>
              </w:rPr>
              <w:t>I</w:t>
            </w:r>
            <w:r w:rsidR="00551221" w:rsidRPr="00D814F4">
              <w:rPr>
                <w:rFonts w:ascii="Verdana" w:hAnsi="Verdana" w:cs="Arial"/>
                <w:sz w:val="20"/>
                <w:szCs w:val="20"/>
              </w:rPr>
              <w:t>nstrumentos archivísticos: en cumplimiento de esta actividad se desarrollaron las siguientes acciones en atención a la construcción, desarrollo e implementación de los instrumentos archivísticos:</w:t>
            </w:r>
          </w:p>
          <w:p w14:paraId="62E6894A" w14:textId="6483AA21" w:rsidR="00551221" w:rsidRPr="00D814F4" w:rsidRDefault="00551221" w:rsidP="00D814F4">
            <w:pPr>
              <w:pStyle w:val="Prrafodelista"/>
              <w:numPr>
                <w:ilvl w:val="1"/>
                <w:numId w:val="11"/>
              </w:numPr>
              <w:jc w:val="both"/>
              <w:rPr>
                <w:rFonts w:ascii="Verdana" w:hAnsi="Verdana" w:cs="Arial"/>
                <w:sz w:val="20"/>
                <w:szCs w:val="20"/>
              </w:rPr>
            </w:pPr>
            <w:r w:rsidRPr="00D814F4">
              <w:rPr>
                <w:rFonts w:ascii="Verdana" w:hAnsi="Verdana" w:cs="Arial"/>
                <w:sz w:val="20"/>
                <w:szCs w:val="20"/>
              </w:rPr>
              <w:t>Tablas de retención documental: actualización y convalidación de las TRD</w:t>
            </w:r>
            <w:r w:rsidR="009A1396">
              <w:rPr>
                <w:rFonts w:ascii="Verdana" w:hAnsi="Verdana" w:cs="Arial"/>
                <w:sz w:val="20"/>
                <w:szCs w:val="20"/>
              </w:rPr>
              <w:t>.</w:t>
            </w:r>
          </w:p>
          <w:p w14:paraId="0FE93C50" w14:textId="2166DA36" w:rsidR="00D814F4" w:rsidRPr="009A1396" w:rsidRDefault="00551221" w:rsidP="00AE23E2">
            <w:pPr>
              <w:pStyle w:val="Prrafodelista"/>
              <w:numPr>
                <w:ilvl w:val="1"/>
                <w:numId w:val="11"/>
              </w:numPr>
              <w:jc w:val="both"/>
              <w:rPr>
                <w:rFonts w:ascii="Verdana" w:hAnsi="Verdana" w:cs="Arial"/>
                <w:sz w:val="20"/>
                <w:szCs w:val="20"/>
              </w:rPr>
            </w:pPr>
            <w:r w:rsidRPr="009A1396">
              <w:rPr>
                <w:rFonts w:ascii="Verdana" w:hAnsi="Verdana" w:cs="Arial"/>
                <w:sz w:val="20"/>
                <w:szCs w:val="20"/>
              </w:rPr>
              <w:t>Programa de gestión documental: actualización del manual de gestión y procedimientos conforme los lineamientos emitidos en el acuerdo 001 de 2024 del AGN y circular 026 y 028 de 2024</w:t>
            </w:r>
            <w:r w:rsidR="009A1396" w:rsidRPr="009A1396">
              <w:rPr>
                <w:rFonts w:ascii="Verdana" w:hAnsi="Verdana" w:cs="Arial"/>
                <w:sz w:val="20"/>
                <w:szCs w:val="20"/>
              </w:rPr>
              <w:t>.</w:t>
            </w:r>
          </w:p>
          <w:p w14:paraId="16419699" w14:textId="4624E16F" w:rsidR="00551221" w:rsidRPr="00D814F4" w:rsidRDefault="00551221" w:rsidP="009A1396">
            <w:pPr>
              <w:pStyle w:val="Prrafodelista"/>
              <w:numPr>
                <w:ilvl w:val="1"/>
                <w:numId w:val="11"/>
              </w:numPr>
              <w:jc w:val="both"/>
              <w:rPr>
                <w:rFonts w:ascii="Verdana" w:hAnsi="Verdana" w:cs="Arial"/>
                <w:sz w:val="20"/>
                <w:szCs w:val="20"/>
              </w:rPr>
            </w:pPr>
            <w:r w:rsidRPr="00D814F4">
              <w:rPr>
                <w:rFonts w:ascii="Verdana" w:hAnsi="Verdana" w:cs="Arial"/>
                <w:sz w:val="20"/>
                <w:szCs w:val="20"/>
              </w:rPr>
              <w:t>Sistema integrado de conservación: seguimiento al monitoreo de condiciones medioambientales y sensibilización en cómo organizar sus expedientes</w:t>
            </w:r>
          </w:p>
          <w:p w14:paraId="6D3B3B14" w14:textId="6C089BA4" w:rsidR="00551221" w:rsidRPr="00D814F4" w:rsidRDefault="00551221" w:rsidP="009A1396">
            <w:pPr>
              <w:pStyle w:val="Prrafodelista"/>
              <w:numPr>
                <w:ilvl w:val="1"/>
                <w:numId w:val="11"/>
              </w:numPr>
              <w:jc w:val="both"/>
              <w:rPr>
                <w:rFonts w:ascii="Verdana" w:hAnsi="Verdana" w:cs="Arial"/>
                <w:sz w:val="20"/>
                <w:szCs w:val="20"/>
              </w:rPr>
            </w:pPr>
            <w:r w:rsidRPr="00D814F4">
              <w:rPr>
                <w:rFonts w:ascii="Verdana" w:hAnsi="Verdana" w:cs="Arial"/>
                <w:sz w:val="20"/>
                <w:szCs w:val="20"/>
              </w:rPr>
              <w:t>Plan institucional de archivos: autodiagnóstico verificando el nivel de cumplimiento de los lineamientos dispuestos en el acuerdo 01 de 2024</w:t>
            </w:r>
          </w:p>
          <w:p w14:paraId="145663C2" w14:textId="77777777" w:rsidR="00551221" w:rsidRPr="00551221" w:rsidRDefault="00551221" w:rsidP="00551221">
            <w:pPr>
              <w:jc w:val="both"/>
              <w:rPr>
                <w:rFonts w:ascii="Verdana" w:hAnsi="Verdana" w:cs="Arial"/>
                <w:sz w:val="20"/>
                <w:szCs w:val="20"/>
              </w:rPr>
            </w:pPr>
            <w:r w:rsidRPr="00551221">
              <w:rPr>
                <w:rFonts w:ascii="Verdana" w:hAnsi="Verdana" w:cs="Arial"/>
                <w:sz w:val="20"/>
                <w:szCs w:val="20"/>
              </w:rPr>
              <w:t xml:space="preserve"> </w:t>
            </w:r>
          </w:p>
          <w:p w14:paraId="6CA5EE2B" w14:textId="75A02D95" w:rsidR="00C72C2F" w:rsidRPr="009A1396" w:rsidRDefault="009A1396" w:rsidP="009A1396">
            <w:pPr>
              <w:jc w:val="both"/>
              <w:rPr>
                <w:rFonts w:ascii="Verdana" w:hAnsi="Verdana" w:cs="Arial"/>
                <w:sz w:val="20"/>
                <w:szCs w:val="20"/>
              </w:rPr>
            </w:pPr>
            <w:r w:rsidRPr="009A1396">
              <w:rPr>
                <w:rFonts w:ascii="Verdana" w:hAnsi="Verdana" w:cs="Arial"/>
                <w:sz w:val="20"/>
                <w:szCs w:val="20"/>
              </w:rPr>
              <w:lastRenderedPageBreak/>
              <w:t>Por otra parte, l</w:t>
            </w:r>
            <w:r w:rsidR="00551221" w:rsidRPr="009A1396">
              <w:rPr>
                <w:rFonts w:ascii="Verdana" w:hAnsi="Verdana" w:cs="Arial"/>
                <w:sz w:val="20"/>
                <w:szCs w:val="20"/>
              </w:rPr>
              <w:t>as actividades correspondientes a desarrollos de SGDEA quedaron aplazadas por bloqueo de recursos</w:t>
            </w:r>
            <w:r w:rsidR="00367DD7">
              <w:rPr>
                <w:rFonts w:ascii="Verdana" w:hAnsi="Verdana" w:cs="Arial"/>
                <w:sz w:val="20"/>
                <w:szCs w:val="20"/>
              </w:rPr>
              <w:t>.</w:t>
            </w:r>
            <w:r w:rsidR="00551221" w:rsidRPr="009A1396">
              <w:rPr>
                <w:rFonts w:ascii="Verdana" w:hAnsi="Verdana" w:cs="Arial"/>
                <w:sz w:val="20"/>
                <w:szCs w:val="20"/>
              </w:rPr>
              <w:t xml:space="preserve"> </w:t>
            </w:r>
          </w:p>
          <w:p w14:paraId="34AED1A5" w14:textId="77777777" w:rsidR="00C72C2F" w:rsidRPr="00936621" w:rsidRDefault="00C72C2F" w:rsidP="007A3BFF">
            <w:pPr>
              <w:jc w:val="both"/>
              <w:rPr>
                <w:rFonts w:ascii="Verdana" w:hAnsi="Verdana" w:cs="Arial"/>
                <w:sz w:val="20"/>
                <w:szCs w:val="20"/>
                <w:highlight w:val="yellow"/>
              </w:rPr>
            </w:pPr>
          </w:p>
          <w:p w14:paraId="31AD81AE" w14:textId="77777777" w:rsidR="00C72C2F" w:rsidRPr="00936621" w:rsidRDefault="00C72C2F" w:rsidP="007A3BFF">
            <w:pPr>
              <w:jc w:val="both"/>
              <w:rPr>
                <w:rFonts w:ascii="Verdana" w:hAnsi="Verdana" w:cs="Arial"/>
                <w:sz w:val="20"/>
                <w:szCs w:val="20"/>
                <w:highlight w:val="yellow"/>
              </w:rPr>
            </w:pPr>
          </w:p>
        </w:tc>
      </w:tr>
    </w:tbl>
    <w:p w14:paraId="68A4B4BE" w14:textId="77777777" w:rsidR="002C0A72" w:rsidRDefault="002C0A72" w:rsidP="002C0A72">
      <w:pPr>
        <w:jc w:val="both"/>
        <w:rPr>
          <w:rFonts w:ascii="Verdana" w:hAnsi="Verdana"/>
          <w:b/>
          <w:bCs/>
        </w:rPr>
      </w:pPr>
    </w:p>
    <w:p w14:paraId="78DE92CB" w14:textId="77777777" w:rsidR="00270C9B" w:rsidRDefault="00270C9B" w:rsidP="002C0A72">
      <w:pPr>
        <w:jc w:val="both"/>
        <w:rPr>
          <w:rFonts w:ascii="Verdana" w:hAnsi="Verdana"/>
          <w:b/>
          <w:bCs/>
        </w:rPr>
      </w:pPr>
    </w:p>
    <w:p w14:paraId="119D6607" w14:textId="77777777" w:rsidR="00270C9B" w:rsidRPr="00936621" w:rsidRDefault="00270C9B" w:rsidP="002C0A72">
      <w:pPr>
        <w:jc w:val="both"/>
        <w:rPr>
          <w:rFonts w:ascii="Verdana" w:hAnsi="Verdana"/>
          <w:b/>
          <w:bCs/>
        </w:rPr>
      </w:pPr>
    </w:p>
    <w:p w14:paraId="10191D68" w14:textId="77777777" w:rsidR="002C0A72" w:rsidRPr="00936621" w:rsidRDefault="002C0A72" w:rsidP="002C0A72">
      <w:pPr>
        <w:jc w:val="both"/>
        <w:rPr>
          <w:rFonts w:ascii="Verdana" w:hAnsi="Verdana"/>
          <w:b/>
          <w:bCs/>
        </w:rPr>
      </w:pPr>
    </w:p>
    <w:p w14:paraId="6F0AA004" w14:textId="02989FD4" w:rsidR="002C0A72" w:rsidRPr="00936621" w:rsidRDefault="002C0A72" w:rsidP="002C0A72">
      <w:pPr>
        <w:jc w:val="both"/>
        <w:rPr>
          <w:rFonts w:ascii="Verdana" w:hAnsi="Verdana"/>
          <w:b/>
          <w:bCs/>
        </w:rPr>
      </w:pPr>
      <w:r w:rsidRPr="00936621">
        <w:rPr>
          <w:rFonts w:ascii="Verdana" w:hAnsi="Verdana"/>
        </w:rPr>
        <w:t xml:space="preserve">11. </w:t>
      </w:r>
      <w:r w:rsidRPr="00936621">
        <w:rPr>
          <w:rFonts w:ascii="Verdana" w:hAnsi="Verdana"/>
          <w:b/>
          <w:bCs/>
        </w:rPr>
        <w:t>Sírvase informar los fondos especiales, patrimonios autónomos, parafiscales y otros que tengan relación con su sector y/o se encuentren bajo su administración. Sírvase detallar los montos aprobados en decreto de liquidación y los montos girados a dichos fondos en el año 2023 y los que a la fecha se han girado en el 2024</w:t>
      </w:r>
    </w:p>
    <w:p w14:paraId="0A685C3C" w14:textId="77777777" w:rsidR="00913159" w:rsidRDefault="00913159" w:rsidP="00913159">
      <w:pPr>
        <w:jc w:val="both"/>
        <w:rPr>
          <w:rFonts w:ascii="Verdana" w:hAnsi="Verdana"/>
        </w:rPr>
      </w:pPr>
      <w:r w:rsidRPr="00936621">
        <w:rPr>
          <w:rFonts w:ascii="Verdana" w:hAnsi="Verdana"/>
          <w:b/>
          <w:bCs/>
        </w:rPr>
        <w:t>Respuesta Agencia ITRC:</w:t>
      </w:r>
      <w:r w:rsidRPr="00936621">
        <w:rPr>
          <w:rFonts w:ascii="Verdana" w:hAnsi="Verdana"/>
        </w:rPr>
        <w:t xml:space="preserve"> </w:t>
      </w:r>
    </w:p>
    <w:p w14:paraId="52263DFE" w14:textId="34F0ACC8" w:rsidR="00913159" w:rsidRDefault="00913159" w:rsidP="00913159">
      <w:pPr>
        <w:jc w:val="both"/>
        <w:rPr>
          <w:rFonts w:ascii="Verdana" w:hAnsi="Verdana"/>
        </w:rPr>
      </w:pPr>
      <w:r>
        <w:rPr>
          <w:rFonts w:ascii="Verdana" w:hAnsi="Verdana"/>
        </w:rPr>
        <w:t xml:space="preserve">La Agencia ITRC no contó ni cuenta con </w:t>
      </w:r>
      <w:r w:rsidRPr="00FA6B60">
        <w:rPr>
          <w:rFonts w:ascii="Verdana" w:hAnsi="Verdana"/>
        </w:rPr>
        <w:t>fondos especiales, patrimonios autónomos, parafiscales y otros</w:t>
      </w:r>
      <w:r>
        <w:rPr>
          <w:rFonts w:ascii="Verdana" w:hAnsi="Verdana"/>
        </w:rPr>
        <w:t xml:space="preserve"> que estuviese bajo su administración durante las vigencias 2023 y 2024.</w:t>
      </w:r>
    </w:p>
    <w:p w14:paraId="20252360" w14:textId="77777777" w:rsidR="00913159" w:rsidRDefault="00913159" w:rsidP="00913159">
      <w:pPr>
        <w:jc w:val="both"/>
        <w:rPr>
          <w:rFonts w:ascii="Verdana" w:hAnsi="Verdana"/>
        </w:rPr>
      </w:pPr>
      <w:r>
        <w:rPr>
          <w:rFonts w:ascii="Verdana" w:hAnsi="Verdana"/>
        </w:rPr>
        <w:t>Sin embargo, durante la vigencia 2023 la Agencia ITRC tenía un monto aprobado de $50.925.241 para aportes al fondo de contingencias, valor que fue girado en la misma vigencia.</w:t>
      </w:r>
    </w:p>
    <w:p w14:paraId="316E5458" w14:textId="77777777" w:rsidR="00913159" w:rsidRDefault="00913159" w:rsidP="002C0A72">
      <w:pPr>
        <w:jc w:val="both"/>
        <w:rPr>
          <w:rFonts w:ascii="Verdana" w:hAnsi="Verdana"/>
        </w:rPr>
      </w:pPr>
    </w:p>
    <w:p w14:paraId="5342D734" w14:textId="4026F413" w:rsidR="002C0A72" w:rsidRPr="00936621" w:rsidRDefault="002C0A72" w:rsidP="002C0A72">
      <w:pPr>
        <w:jc w:val="both"/>
        <w:rPr>
          <w:rFonts w:ascii="Verdana" w:hAnsi="Verdana"/>
          <w:b/>
          <w:bCs/>
        </w:rPr>
      </w:pPr>
      <w:r w:rsidRPr="00936621">
        <w:rPr>
          <w:rFonts w:ascii="Verdana" w:hAnsi="Verdana"/>
        </w:rPr>
        <w:t xml:space="preserve">12. </w:t>
      </w:r>
      <w:r w:rsidRPr="00936621">
        <w:rPr>
          <w:rFonts w:ascii="Verdana" w:hAnsi="Verdana"/>
          <w:b/>
          <w:bCs/>
        </w:rPr>
        <w:t>Sírvase informar los pagos de su sector y cada una de las entidades adscritas correspondientes a compromisos en vigencias futuras en el año 2023, los compromisos y pagos en el 2024, y los compromisos en el 2025.</w:t>
      </w:r>
    </w:p>
    <w:p w14:paraId="2B429E64" w14:textId="77777777" w:rsidR="00E14932" w:rsidRPr="00764F6B" w:rsidRDefault="00E14932" w:rsidP="00E14932">
      <w:pPr>
        <w:jc w:val="both"/>
        <w:rPr>
          <w:rFonts w:ascii="Verdana" w:hAnsi="Verdana"/>
          <w:i/>
          <w:iCs/>
        </w:rPr>
      </w:pPr>
      <w:r w:rsidRPr="00764F6B">
        <w:rPr>
          <w:rFonts w:ascii="Verdana" w:hAnsi="Verdana"/>
          <w:i/>
          <w:iCs/>
        </w:rPr>
        <w:t>a. Detalle el programa, proyecto o asunto relacionado con dicha vigencia</w:t>
      </w:r>
    </w:p>
    <w:p w14:paraId="35C31A9A" w14:textId="77777777" w:rsidR="00E14932" w:rsidRDefault="00E14932" w:rsidP="00E14932">
      <w:pPr>
        <w:jc w:val="both"/>
        <w:rPr>
          <w:rFonts w:ascii="Verdana" w:hAnsi="Verdana"/>
          <w:i/>
          <w:iCs/>
        </w:rPr>
      </w:pPr>
      <w:r w:rsidRPr="00764F6B">
        <w:rPr>
          <w:rFonts w:ascii="Verdana" w:hAnsi="Verdana"/>
          <w:i/>
          <w:iCs/>
        </w:rPr>
        <w:t>b. Indique el valor total de cada vigencia futura comprometida, cuánto se ha entregado con su respectivo año de pago, y compromiso presupuestal de los siguientes años futuros.</w:t>
      </w:r>
    </w:p>
    <w:p w14:paraId="488DEE77" w14:textId="77777777" w:rsidR="00E14932" w:rsidRPr="00936621" w:rsidRDefault="00E14932" w:rsidP="00E14932">
      <w:pPr>
        <w:jc w:val="both"/>
        <w:rPr>
          <w:rFonts w:ascii="Verdana" w:hAnsi="Verdana"/>
        </w:rPr>
      </w:pPr>
      <w:r w:rsidRPr="00936621">
        <w:rPr>
          <w:rFonts w:ascii="Verdana" w:hAnsi="Verdana"/>
          <w:b/>
          <w:bCs/>
        </w:rPr>
        <w:t>Respuesta Agencia ITRC:</w:t>
      </w:r>
      <w:r w:rsidRPr="00936621">
        <w:rPr>
          <w:rFonts w:ascii="Verdana" w:hAnsi="Verdana"/>
        </w:rPr>
        <w:t xml:space="preserve"> </w:t>
      </w:r>
    </w:p>
    <w:p w14:paraId="34056EAD" w14:textId="77777777" w:rsidR="00B654C7" w:rsidRDefault="00B654C7" w:rsidP="002C0A72">
      <w:pPr>
        <w:jc w:val="both"/>
        <w:rPr>
          <w:rFonts w:ascii="Verdana" w:hAnsi="Verdana"/>
        </w:rPr>
      </w:pPr>
    </w:p>
    <w:p w14:paraId="705582D8" w14:textId="22A8218B" w:rsidR="00E14932" w:rsidRDefault="00E14932" w:rsidP="00E14932">
      <w:pPr>
        <w:jc w:val="both"/>
        <w:rPr>
          <w:rFonts w:ascii="Verdana" w:hAnsi="Verdana"/>
        </w:rPr>
      </w:pPr>
      <w:r>
        <w:rPr>
          <w:rFonts w:ascii="Verdana" w:hAnsi="Verdana"/>
        </w:rPr>
        <w:t xml:space="preserve">A </w:t>
      </w:r>
      <w:r w:rsidR="0089673D">
        <w:rPr>
          <w:rFonts w:ascii="Verdana" w:hAnsi="Verdana"/>
        </w:rPr>
        <w:t>continuación,</w:t>
      </w:r>
      <w:r>
        <w:rPr>
          <w:rFonts w:ascii="Verdana" w:hAnsi="Verdana"/>
        </w:rPr>
        <w:t xml:space="preserve"> se presenta la relación de vigencias futuras por año</w:t>
      </w:r>
      <w:r w:rsidR="0089673D">
        <w:rPr>
          <w:rFonts w:ascii="Verdana" w:hAnsi="Verdana"/>
        </w:rPr>
        <w:t>, de acuerdo con lo requerido en los literales a. y b.:</w:t>
      </w:r>
    </w:p>
    <w:p w14:paraId="1B89996C" w14:textId="77777777" w:rsidR="00E14932" w:rsidRPr="00684AB8" w:rsidRDefault="00E14932" w:rsidP="00E14932">
      <w:pPr>
        <w:jc w:val="both"/>
        <w:rPr>
          <w:rFonts w:ascii="Verdana" w:hAnsi="Verdana"/>
        </w:rPr>
      </w:pPr>
    </w:p>
    <w:p w14:paraId="08CF8EF1" w14:textId="77777777" w:rsidR="00E14932" w:rsidRPr="00F31E0D" w:rsidRDefault="00E14932" w:rsidP="00E14932">
      <w:pPr>
        <w:jc w:val="both"/>
        <w:rPr>
          <w:rFonts w:ascii="Verdana" w:hAnsi="Verdana"/>
          <w:b/>
          <w:bCs/>
          <w:i/>
          <w:iCs/>
        </w:rPr>
      </w:pPr>
      <w:r w:rsidRPr="00F31E0D">
        <w:rPr>
          <w:rFonts w:ascii="Verdana" w:hAnsi="Verdana"/>
          <w:b/>
          <w:bCs/>
          <w:i/>
          <w:iCs/>
        </w:rPr>
        <w:lastRenderedPageBreak/>
        <w:t>VIGENCIA 2023</w:t>
      </w:r>
    </w:p>
    <w:tbl>
      <w:tblPr>
        <w:tblW w:w="10958" w:type="dxa"/>
        <w:jc w:val="center"/>
        <w:tblCellMar>
          <w:left w:w="70" w:type="dxa"/>
          <w:right w:w="70" w:type="dxa"/>
        </w:tblCellMar>
        <w:tblLook w:val="04A0" w:firstRow="1" w:lastRow="0" w:firstColumn="1" w:lastColumn="0" w:noHBand="0" w:noVBand="1"/>
      </w:tblPr>
      <w:tblGrid>
        <w:gridCol w:w="3289"/>
        <w:gridCol w:w="1459"/>
        <w:gridCol w:w="1457"/>
        <w:gridCol w:w="1678"/>
        <w:gridCol w:w="1568"/>
        <w:gridCol w:w="1507"/>
      </w:tblGrid>
      <w:tr w:rsidR="00E14932" w:rsidRPr="00F31E0D" w14:paraId="542922E0" w14:textId="77777777" w:rsidTr="007A3BFF">
        <w:trPr>
          <w:trHeight w:val="451"/>
          <w:jc w:val="center"/>
        </w:trPr>
        <w:tc>
          <w:tcPr>
            <w:tcW w:w="10958"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DAB6AB3" w14:textId="77777777" w:rsidR="00E14932" w:rsidRPr="00F31E0D" w:rsidRDefault="00E14932" w:rsidP="007A3BFF">
            <w:pPr>
              <w:spacing w:after="0" w:line="240" w:lineRule="auto"/>
              <w:jc w:val="center"/>
              <w:rPr>
                <w:rFonts w:ascii="Verdana" w:eastAsia="Times New Roman" w:hAnsi="Verdana" w:cs="Times New Roman"/>
                <w:b/>
                <w:bCs/>
                <w:kern w:val="0"/>
                <w:sz w:val="16"/>
                <w:szCs w:val="16"/>
                <w:lang w:eastAsia="es-CO"/>
                <w14:ligatures w14:val="none"/>
              </w:rPr>
            </w:pPr>
            <w:r w:rsidRPr="00F31E0D">
              <w:rPr>
                <w:rFonts w:ascii="Verdana" w:eastAsia="Times New Roman" w:hAnsi="Verdana" w:cs="Times New Roman"/>
                <w:b/>
                <w:bCs/>
                <w:kern w:val="0"/>
                <w:sz w:val="16"/>
                <w:szCs w:val="16"/>
                <w:lang w:eastAsia="es-CO"/>
                <w14:ligatures w14:val="none"/>
              </w:rPr>
              <w:t>VIGENCIAS FUTURAS AUTORIZADAS 2023</w:t>
            </w:r>
          </w:p>
        </w:tc>
      </w:tr>
      <w:tr w:rsidR="00E14932" w:rsidRPr="00F31E0D" w14:paraId="09FB7400" w14:textId="77777777" w:rsidTr="007A3BFF">
        <w:trPr>
          <w:trHeight w:val="393"/>
          <w:jc w:val="center"/>
        </w:trPr>
        <w:tc>
          <w:tcPr>
            <w:tcW w:w="3289" w:type="dxa"/>
            <w:tcBorders>
              <w:top w:val="nil"/>
              <w:left w:val="single" w:sz="4" w:space="0" w:color="auto"/>
              <w:bottom w:val="single" w:sz="4" w:space="0" w:color="auto"/>
              <w:right w:val="single" w:sz="4" w:space="0" w:color="auto"/>
            </w:tcBorders>
            <w:shd w:val="clear" w:color="auto" w:fill="auto"/>
            <w:noWrap/>
            <w:vAlign w:val="center"/>
            <w:hideMark/>
          </w:tcPr>
          <w:p w14:paraId="492BE103" w14:textId="77777777" w:rsidR="00E14932" w:rsidRPr="00F31E0D" w:rsidRDefault="00E14932" w:rsidP="007A3BFF">
            <w:pPr>
              <w:spacing w:after="0" w:line="240" w:lineRule="auto"/>
              <w:jc w:val="center"/>
              <w:rPr>
                <w:rFonts w:ascii="Verdana" w:eastAsia="Times New Roman" w:hAnsi="Verdana" w:cs="Times New Roman"/>
                <w:b/>
                <w:bCs/>
                <w:kern w:val="0"/>
                <w:sz w:val="16"/>
                <w:szCs w:val="16"/>
                <w:lang w:eastAsia="es-CO"/>
                <w14:ligatures w14:val="none"/>
              </w:rPr>
            </w:pPr>
            <w:r w:rsidRPr="00F31E0D">
              <w:rPr>
                <w:rFonts w:ascii="Verdana" w:eastAsia="Times New Roman" w:hAnsi="Verdana" w:cs="Times New Roman"/>
                <w:b/>
                <w:bCs/>
                <w:kern w:val="0"/>
                <w:sz w:val="16"/>
                <w:szCs w:val="16"/>
                <w:lang w:eastAsia="es-CO"/>
                <w14:ligatures w14:val="none"/>
              </w:rPr>
              <w:t>OBJETO DE LA SOLICITUD</w:t>
            </w:r>
          </w:p>
        </w:tc>
        <w:tc>
          <w:tcPr>
            <w:tcW w:w="1459" w:type="dxa"/>
            <w:tcBorders>
              <w:top w:val="nil"/>
              <w:left w:val="nil"/>
              <w:bottom w:val="single" w:sz="4" w:space="0" w:color="auto"/>
              <w:right w:val="single" w:sz="4" w:space="0" w:color="auto"/>
            </w:tcBorders>
            <w:shd w:val="clear" w:color="auto" w:fill="auto"/>
            <w:noWrap/>
            <w:vAlign w:val="center"/>
            <w:hideMark/>
          </w:tcPr>
          <w:p w14:paraId="336410AC" w14:textId="77777777" w:rsidR="00E14932" w:rsidRPr="00F31E0D" w:rsidRDefault="00E14932" w:rsidP="007A3BFF">
            <w:pPr>
              <w:spacing w:after="0" w:line="240" w:lineRule="auto"/>
              <w:jc w:val="center"/>
              <w:rPr>
                <w:rFonts w:ascii="Verdana" w:eastAsia="Times New Roman" w:hAnsi="Verdana" w:cs="Times New Roman"/>
                <w:b/>
                <w:bCs/>
                <w:kern w:val="0"/>
                <w:sz w:val="16"/>
                <w:szCs w:val="16"/>
                <w:lang w:eastAsia="es-CO"/>
                <w14:ligatures w14:val="none"/>
              </w:rPr>
            </w:pPr>
            <w:r w:rsidRPr="00F31E0D">
              <w:rPr>
                <w:rFonts w:ascii="Verdana" w:eastAsia="Times New Roman" w:hAnsi="Verdana" w:cs="Times New Roman"/>
                <w:b/>
                <w:bCs/>
                <w:kern w:val="0"/>
                <w:sz w:val="16"/>
                <w:szCs w:val="16"/>
                <w:lang w:eastAsia="es-CO"/>
                <w14:ligatures w14:val="none"/>
              </w:rPr>
              <w:t>VALOR</w:t>
            </w:r>
          </w:p>
        </w:tc>
        <w:tc>
          <w:tcPr>
            <w:tcW w:w="1457" w:type="dxa"/>
            <w:tcBorders>
              <w:top w:val="nil"/>
              <w:left w:val="nil"/>
              <w:bottom w:val="single" w:sz="4" w:space="0" w:color="auto"/>
              <w:right w:val="single" w:sz="4" w:space="0" w:color="auto"/>
            </w:tcBorders>
            <w:shd w:val="clear" w:color="auto" w:fill="auto"/>
            <w:vAlign w:val="center"/>
            <w:hideMark/>
          </w:tcPr>
          <w:p w14:paraId="20E0757F" w14:textId="77777777" w:rsidR="00E14932" w:rsidRPr="00F31E0D" w:rsidRDefault="00E14932" w:rsidP="007A3BFF">
            <w:pPr>
              <w:spacing w:after="0" w:line="240" w:lineRule="auto"/>
              <w:jc w:val="center"/>
              <w:rPr>
                <w:rFonts w:ascii="Verdana" w:eastAsia="Times New Roman" w:hAnsi="Verdana" w:cs="Times New Roman"/>
                <w:b/>
                <w:bCs/>
                <w:kern w:val="0"/>
                <w:sz w:val="16"/>
                <w:szCs w:val="16"/>
                <w:lang w:eastAsia="es-CO"/>
                <w14:ligatures w14:val="none"/>
              </w:rPr>
            </w:pPr>
            <w:r w:rsidRPr="00F31E0D">
              <w:rPr>
                <w:rFonts w:ascii="Verdana" w:eastAsia="Times New Roman" w:hAnsi="Verdana" w:cs="Times New Roman"/>
                <w:b/>
                <w:bCs/>
                <w:kern w:val="0"/>
                <w:sz w:val="16"/>
                <w:szCs w:val="16"/>
                <w:lang w:eastAsia="es-CO"/>
                <w14:ligatures w14:val="none"/>
              </w:rPr>
              <w:t>Nro. REGISTRO PRSUPUESTAL</w:t>
            </w:r>
          </w:p>
        </w:tc>
        <w:tc>
          <w:tcPr>
            <w:tcW w:w="1678" w:type="dxa"/>
            <w:tcBorders>
              <w:top w:val="nil"/>
              <w:left w:val="nil"/>
              <w:bottom w:val="single" w:sz="4" w:space="0" w:color="auto"/>
              <w:right w:val="single" w:sz="4" w:space="0" w:color="auto"/>
            </w:tcBorders>
            <w:shd w:val="clear" w:color="auto" w:fill="auto"/>
            <w:vAlign w:val="center"/>
            <w:hideMark/>
          </w:tcPr>
          <w:p w14:paraId="5E0848E6" w14:textId="77777777" w:rsidR="00E14932" w:rsidRPr="00F31E0D" w:rsidRDefault="00E14932" w:rsidP="007A3BFF">
            <w:pPr>
              <w:spacing w:after="0" w:line="240" w:lineRule="auto"/>
              <w:jc w:val="center"/>
              <w:rPr>
                <w:rFonts w:ascii="Verdana" w:eastAsia="Times New Roman" w:hAnsi="Verdana" w:cs="Times New Roman"/>
                <w:b/>
                <w:bCs/>
                <w:kern w:val="0"/>
                <w:sz w:val="16"/>
                <w:szCs w:val="16"/>
                <w:lang w:eastAsia="es-CO"/>
                <w14:ligatures w14:val="none"/>
              </w:rPr>
            </w:pPr>
            <w:r w:rsidRPr="00F31E0D">
              <w:rPr>
                <w:rFonts w:ascii="Verdana" w:eastAsia="Times New Roman" w:hAnsi="Verdana" w:cs="Times New Roman"/>
                <w:b/>
                <w:bCs/>
                <w:kern w:val="0"/>
                <w:sz w:val="16"/>
                <w:szCs w:val="16"/>
                <w:lang w:eastAsia="es-CO"/>
                <w14:ligatures w14:val="none"/>
              </w:rPr>
              <w:t>VALOR COMPROMETIDO</w:t>
            </w:r>
          </w:p>
        </w:tc>
        <w:tc>
          <w:tcPr>
            <w:tcW w:w="1568" w:type="dxa"/>
            <w:tcBorders>
              <w:top w:val="nil"/>
              <w:left w:val="nil"/>
              <w:bottom w:val="single" w:sz="4" w:space="0" w:color="auto"/>
              <w:right w:val="single" w:sz="4" w:space="0" w:color="auto"/>
            </w:tcBorders>
            <w:shd w:val="clear" w:color="auto" w:fill="auto"/>
            <w:noWrap/>
            <w:vAlign w:val="center"/>
            <w:hideMark/>
          </w:tcPr>
          <w:p w14:paraId="7EE18F7E" w14:textId="77777777" w:rsidR="00E14932" w:rsidRPr="00F31E0D" w:rsidRDefault="00E14932" w:rsidP="007A3BFF">
            <w:pPr>
              <w:spacing w:after="0" w:line="240" w:lineRule="auto"/>
              <w:jc w:val="center"/>
              <w:rPr>
                <w:rFonts w:ascii="Verdana" w:eastAsia="Times New Roman" w:hAnsi="Verdana" w:cs="Times New Roman"/>
                <w:b/>
                <w:bCs/>
                <w:kern w:val="0"/>
                <w:sz w:val="16"/>
                <w:szCs w:val="16"/>
                <w:lang w:eastAsia="es-CO"/>
                <w14:ligatures w14:val="none"/>
              </w:rPr>
            </w:pPr>
            <w:r w:rsidRPr="00F31E0D">
              <w:rPr>
                <w:rFonts w:ascii="Verdana" w:eastAsia="Times New Roman" w:hAnsi="Verdana" w:cs="Times New Roman"/>
                <w:b/>
                <w:bCs/>
                <w:kern w:val="0"/>
                <w:sz w:val="16"/>
                <w:szCs w:val="16"/>
                <w:lang w:eastAsia="es-CO"/>
                <w14:ligatures w14:val="none"/>
              </w:rPr>
              <w:t>VALOR PAGADO 2023</w:t>
            </w:r>
          </w:p>
        </w:tc>
        <w:tc>
          <w:tcPr>
            <w:tcW w:w="1503" w:type="dxa"/>
            <w:tcBorders>
              <w:top w:val="nil"/>
              <w:left w:val="nil"/>
              <w:bottom w:val="single" w:sz="4" w:space="0" w:color="auto"/>
              <w:right w:val="single" w:sz="4" w:space="0" w:color="auto"/>
            </w:tcBorders>
            <w:shd w:val="clear" w:color="auto" w:fill="auto"/>
            <w:noWrap/>
            <w:vAlign w:val="center"/>
            <w:hideMark/>
          </w:tcPr>
          <w:p w14:paraId="2E4AE337" w14:textId="77777777" w:rsidR="00E14932" w:rsidRPr="00F31E0D" w:rsidRDefault="00E14932" w:rsidP="007A3BFF">
            <w:pPr>
              <w:spacing w:after="0" w:line="240" w:lineRule="auto"/>
              <w:jc w:val="center"/>
              <w:rPr>
                <w:rFonts w:ascii="Verdana" w:eastAsia="Times New Roman" w:hAnsi="Verdana" w:cs="Times New Roman"/>
                <w:b/>
                <w:bCs/>
                <w:kern w:val="0"/>
                <w:sz w:val="16"/>
                <w:szCs w:val="16"/>
                <w:lang w:eastAsia="es-CO"/>
                <w14:ligatures w14:val="none"/>
              </w:rPr>
            </w:pPr>
            <w:r w:rsidRPr="00F31E0D">
              <w:rPr>
                <w:rFonts w:ascii="Verdana" w:eastAsia="Times New Roman" w:hAnsi="Verdana" w:cs="Times New Roman"/>
                <w:b/>
                <w:bCs/>
                <w:kern w:val="0"/>
                <w:sz w:val="16"/>
                <w:szCs w:val="16"/>
                <w:lang w:eastAsia="es-CO"/>
                <w14:ligatures w14:val="none"/>
              </w:rPr>
              <w:t>VALOR PAGADO 2024</w:t>
            </w:r>
          </w:p>
        </w:tc>
      </w:tr>
      <w:tr w:rsidR="00E14932" w:rsidRPr="00F31E0D" w14:paraId="632C589B" w14:textId="77777777" w:rsidTr="007A3BFF">
        <w:trPr>
          <w:trHeight w:val="817"/>
          <w:jc w:val="center"/>
        </w:trPr>
        <w:tc>
          <w:tcPr>
            <w:tcW w:w="3289" w:type="dxa"/>
            <w:tcBorders>
              <w:top w:val="nil"/>
              <w:left w:val="single" w:sz="4" w:space="0" w:color="auto"/>
              <w:bottom w:val="single" w:sz="4" w:space="0" w:color="auto"/>
              <w:right w:val="single" w:sz="4" w:space="0" w:color="auto"/>
            </w:tcBorders>
            <w:shd w:val="clear" w:color="auto" w:fill="auto"/>
            <w:vAlign w:val="bottom"/>
            <w:hideMark/>
          </w:tcPr>
          <w:p w14:paraId="0E9DCE43" w14:textId="77777777" w:rsidR="00E14932" w:rsidRPr="00F31E0D" w:rsidRDefault="00E14932" w:rsidP="007A3BFF">
            <w:pPr>
              <w:spacing w:after="0" w:line="240" w:lineRule="auto"/>
              <w:rPr>
                <w:rFonts w:ascii="Verdana" w:eastAsia="Times New Roman" w:hAnsi="Verdana" w:cs="Times New Roman"/>
                <w:color w:val="000000"/>
                <w:kern w:val="0"/>
                <w:sz w:val="16"/>
                <w:szCs w:val="16"/>
                <w:lang w:eastAsia="es-CO"/>
                <w14:ligatures w14:val="none"/>
              </w:rPr>
            </w:pPr>
            <w:r w:rsidRPr="00F31E0D">
              <w:rPr>
                <w:rFonts w:ascii="Verdana" w:eastAsia="Times New Roman" w:hAnsi="Verdana" w:cs="Times New Roman"/>
                <w:color w:val="000000"/>
                <w:kern w:val="0"/>
                <w:sz w:val="16"/>
                <w:szCs w:val="16"/>
                <w:lang w:eastAsia="es-CO"/>
                <w14:ligatures w14:val="none"/>
              </w:rPr>
              <w:t>Prorroga y adición al contrato de prestación de servicios 054/2022."Prestación de servicios de almacenamiento, custodia, conservación, consulta y préstamo de</w:t>
            </w:r>
            <w:r>
              <w:rPr>
                <w:rFonts w:ascii="Verdana" w:eastAsia="Times New Roman" w:hAnsi="Verdana" w:cs="Times New Roman"/>
                <w:color w:val="000000"/>
                <w:kern w:val="0"/>
                <w:sz w:val="16"/>
                <w:szCs w:val="16"/>
                <w:lang w:eastAsia="es-CO"/>
                <w14:ligatures w14:val="none"/>
              </w:rPr>
              <w:t xml:space="preserve"> </w:t>
            </w:r>
            <w:r w:rsidRPr="00F31E0D">
              <w:rPr>
                <w:rFonts w:ascii="Verdana" w:eastAsia="Times New Roman" w:hAnsi="Verdana" w:cs="Times New Roman"/>
                <w:color w:val="000000"/>
                <w:kern w:val="0"/>
                <w:sz w:val="16"/>
                <w:szCs w:val="16"/>
                <w:lang w:eastAsia="es-CO"/>
                <w14:ligatures w14:val="none"/>
              </w:rPr>
              <w:t>documentos del archivo central de la Agencia ITRC, incluido transporte."</w:t>
            </w:r>
          </w:p>
        </w:tc>
        <w:tc>
          <w:tcPr>
            <w:tcW w:w="1459" w:type="dxa"/>
            <w:tcBorders>
              <w:top w:val="nil"/>
              <w:left w:val="nil"/>
              <w:bottom w:val="single" w:sz="4" w:space="0" w:color="auto"/>
              <w:right w:val="single" w:sz="4" w:space="0" w:color="auto"/>
            </w:tcBorders>
            <w:shd w:val="clear" w:color="auto" w:fill="auto"/>
            <w:noWrap/>
            <w:vAlign w:val="center"/>
            <w:hideMark/>
          </w:tcPr>
          <w:p w14:paraId="56FEA4E6" w14:textId="77777777" w:rsidR="00E14932" w:rsidRPr="00F31E0D" w:rsidRDefault="00E14932" w:rsidP="007A3BFF">
            <w:pPr>
              <w:spacing w:after="0" w:line="240" w:lineRule="auto"/>
              <w:jc w:val="center"/>
              <w:rPr>
                <w:rFonts w:ascii="Verdana" w:eastAsia="Times New Roman" w:hAnsi="Verdana" w:cs="Times New Roman"/>
                <w:color w:val="000000"/>
                <w:kern w:val="0"/>
                <w:sz w:val="16"/>
                <w:szCs w:val="16"/>
                <w:lang w:eastAsia="es-CO"/>
                <w14:ligatures w14:val="none"/>
              </w:rPr>
            </w:pPr>
            <w:r w:rsidRPr="00F31E0D">
              <w:rPr>
                <w:rFonts w:ascii="Verdana" w:eastAsia="Times New Roman" w:hAnsi="Verdana" w:cs="Times New Roman"/>
                <w:color w:val="000000"/>
                <w:kern w:val="0"/>
                <w:sz w:val="16"/>
                <w:szCs w:val="16"/>
                <w:lang w:eastAsia="es-CO"/>
                <w14:ligatures w14:val="none"/>
              </w:rPr>
              <w:t>1.500.000,00</w:t>
            </w:r>
          </w:p>
        </w:tc>
        <w:tc>
          <w:tcPr>
            <w:tcW w:w="1457" w:type="dxa"/>
            <w:tcBorders>
              <w:top w:val="nil"/>
              <w:left w:val="nil"/>
              <w:bottom w:val="single" w:sz="4" w:space="0" w:color="auto"/>
              <w:right w:val="single" w:sz="4" w:space="0" w:color="auto"/>
            </w:tcBorders>
            <w:shd w:val="clear" w:color="auto" w:fill="auto"/>
            <w:vAlign w:val="center"/>
            <w:hideMark/>
          </w:tcPr>
          <w:p w14:paraId="0208ED1E" w14:textId="77777777" w:rsidR="00E14932" w:rsidRPr="00F31E0D" w:rsidRDefault="00E14932" w:rsidP="007A3BFF">
            <w:pPr>
              <w:spacing w:after="0" w:line="240" w:lineRule="auto"/>
              <w:jc w:val="center"/>
              <w:rPr>
                <w:rFonts w:ascii="Verdana" w:eastAsia="Times New Roman" w:hAnsi="Verdana" w:cs="Times New Roman"/>
                <w:color w:val="000000"/>
                <w:kern w:val="0"/>
                <w:sz w:val="16"/>
                <w:szCs w:val="16"/>
                <w:lang w:eastAsia="es-CO"/>
                <w14:ligatures w14:val="none"/>
              </w:rPr>
            </w:pPr>
            <w:r w:rsidRPr="00F31E0D">
              <w:rPr>
                <w:rFonts w:ascii="Verdana" w:eastAsia="Times New Roman" w:hAnsi="Verdana" w:cs="Times New Roman"/>
                <w:color w:val="000000"/>
                <w:kern w:val="0"/>
                <w:sz w:val="16"/>
                <w:szCs w:val="16"/>
                <w:lang w:eastAsia="es-CO"/>
                <w14:ligatures w14:val="none"/>
              </w:rPr>
              <w:t>123</w:t>
            </w:r>
          </w:p>
        </w:tc>
        <w:tc>
          <w:tcPr>
            <w:tcW w:w="1678" w:type="dxa"/>
            <w:tcBorders>
              <w:top w:val="nil"/>
              <w:left w:val="nil"/>
              <w:bottom w:val="single" w:sz="4" w:space="0" w:color="auto"/>
              <w:right w:val="single" w:sz="4" w:space="0" w:color="auto"/>
            </w:tcBorders>
            <w:shd w:val="clear" w:color="auto" w:fill="auto"/>
            <w:vAlign w:val="center"/>
            <w:hideMark/>
          </w:tcPr>
          <w:p w14:paraId="2B7D380B" w14:textId="77777777" w:rsidR="00E14932" w:rsidRPr="00F31E0D" w:rsidRDefault="00E14932" w:rsidP="007A3BFF">
            <w:pPr>
              <w:spacing w:after="0" w:line="240" w:lineRule="auto"/>
              <w:jc w:val="center"/>
              <w:rPr>
                <w:rFonts w:ascii="Verdana" w:eastAsia="Times New Roman" w:hAnsi="Verdana" w:cs="Times New Roman"/>
                <w:color w:val="000000"/>
                <w:kern w:val="0"/>
                <w:sz w:val="16"/>
                <w:szCs w:val="16"/>
                <w:lang w:eastAsia="es-CO"/>
                <w14:ligatures w14:val="none"/>
              </w:rPr>
            </w:pPr>
            <w:r w:rsidRPr="00F31E0D">
              <w:rPr>
                <w:rFonts w:ascii="Verdana" w:eastAsia="Times New Roman" w:hAnsi="Verdana" w:cs="Times New Roman"/>
                <w:color w:val="000000"/>
                <w:kern w:val="0"/>
                <w:sz w:val="16"/>
                <w:szCs w:val="16"/>
                <w:lang w:eastAsia="es-CO"/>
                <w14:ligatures w14:val="none"/>
              </w:rPr>
              <w:t>1.500.000,00</w:t>
            </w:r>
          </w:p>
        </w:tc>
        <w:tc>
          <w:tcPr>
            <w:tcW w:w="1568" w:type="dxa"/>
            <w:tcBorders>
              <w:top w:val="nil"/>
              <w:left w:val="nil"/>
              <w:bottom w:val="single" w:sz="4" w:space="0" w:color="auto"/>
              <w:right w:val="single" w:sz="4" w:space="0" w:color="auto"/>
            </w:tcBorders>
            <w:shd w:val="clear" w:color="auto" w:fill="auto"/>
            <w:vAlign w:val="center"/>
            <w:hideMark/>
          </w:tcPr>
          <w:p w14:paraId="7DDBD4E9" w14:textId="77777777" w:rsidR="00E14932" w:rsidRPr="00F31E0D" w:rsidRDefault="00E14932" w:rsidP="007A3BFF">
            <w:pPr>
              <w:spacing w:after="0" w:line="240" w:lineRule="auto"/>
              <w:jc w:val="center"/>
              <w:rPr>
                <w:rFonts w:ascii="Verdana" w:eastAsia="Times New Roman" w:hAnsi="Verdana" w:cs="Times New Roman"/>
                <w:color w:val="000000"/>
                <w:kern w:val="0"/>
                <w:sz w:val="16"/>
                <w:szCs w:val="16"/>
                <w:lang w:eastAsia="es-CO"/>
                <w14:ligatures w14:val="none"/>
              </w:rPr>
            </w:pPr>
            <w:r w:rsidRPr="00F31E0D">
              <w:rPr>
                <w:rFonts w:ascii="Verdana" w:eastAsia="Times New Roman" w:hAnsi="Verdana" w:cs="Times New Roman"/>
                <w:color w:val="000000"/>
                <w:kern w:val="0"/>
                <w:sz w:val="16"/>
                <w:szCs w:val="16"/>
                <w:lang w:eastAsia="es-CO"/>
                <w14:ligatures w14:val="none"/>
              </w:rPr>
              <w:t>1.500.000,00</w:t>
            </w:r>
          </w:p>
        </w:tc>
        <w:tc>
          <w:tcPr>
            <w:tcW w:w="1503" w:type="dxa"/>
            <w:tcBorders>
              <w:top w:val="nil"/>
              <w:left w:val="nil"/>
              <w:bottom w:val="single" w:sz="4" w:space="0" w:color="auto"/>
              <w:right w:val="single" w:sz="4" w:space="0" w:color="auto"/>
            </w:tcBorders>
            <w:shd w:val="clear" w:color="auto" w:fill="auto"/>
            <w:vAlign w:val="center"/>
            <w:hideMark/>
          </w:tcPr>
          <w:p w14:paraId="7583FA75" w14:textId="77777777" w:rsidR="00E14932" w:rsidRPr="00F31E0D" w:rsidRDefault="00E14932" w:rsidP="007A3BFF">
            <w:pPr>
              <w:spacing w:after="0" w:line="240" w:lineRule="auto"/>
              <w:jc w:val="center"/>
              <w:rPr>
                <w:rFonts w:ascii="Verdana" w:eastAsia="Times New Roman" w:hAnsi="Verdana" w:cs="Times New Roman"/>
                <w:color w:val="000000"/>
                <w:kern w:val="0"/>
                <w:sz w:val="16"/>
                <w:szCs w:val="16"/>
                <w:lang w:eastAsia="es-CO"/>
                <w14:ligatures w14:val="none"/>
              </w:rPr>
            </w:pPr>
          </w:p>
        </w:tc>
      </w:tr>
      <w:tr w:rsidR="00E14932" w:rsidRPr="00F31E0D" w14:paraId="496F4FB6" w14:textId="77777777" w:rsidTr="007A3BFF">
        <w:trPr>
          <w:trHeight w:val="422"/>
          <w:jc w:val="center"/>
        </w:trPr>
        <w:tc>
          <w:tcPr>
            <w:tcW w:w="3289" w:type="dxa"/>
            <w:tcBorders>
              <w:top w:val="nil"/>
              <w:left w:val="single" w:sz="4" w:space="0" w:color="auto"/>
              <w:bottom w:val="single" w:sz="4" w:space="0" w:color="auto"/>
              <w:right w:val="single" w:sz="4" w:space="0" w:color="auto"/>
            </w:tcBorders>
            <w:shd w:val="clear" w:color="auto" w:fill="auto"/>
            <w:vAlign w:val="bottom"/>
            <w:hideMark/>
          </w:tcPr>
          <w:p w14:paraId="3750271F" w14:textId="77777777" w:rsidR="00E14932" w:rsidRPr="00F31E0D" w:rsidRDefault="00E14932" w:rsidP="007A3BFF">
            <w:pPr>
              <w:spacing w:after="0" w:line="240" w:lineRule="auto"/>
              <w:rPr>
                <w:rFonts w:ascii="Verdana" w:eastAsia="Times New Roman" w:hAnsi="Verdana" w:cs="Times New Roman"/>
                <w:color w:val="000000"/>
                <w:kern w:val="0"/>
                <w:sz w:val="16"/>
                <w:szCs w:val="16"/>
                <w:lang w:eastAsia="es-CO"/>
                <w14:ligatures w14:val="none"/>
              </w:rPr>
            </w:pPr>
            <w:r w:rsidRPr="00F31E0D">
              <w:rPr>
                <w:rFonts w:ascii="Verdana" w:eastAsia="Times New Roman" w:hAnsi="Verdana" w:cs="Times New Roman"/>
                <w:color w:val="000000"/>
                <w:kern w:val="0"/>
                <w:sz w:val="16"/>
                <w:szCs w:val="16"/>
                <w:lang w:eastAsia="es-CO"/>
                <w14:ligatures w14:val="none"/>
              </w:rPr>
              <w:t>Prorroga y Adición 3 al contrato de Arrendamiento 032/2022 del inmueble ubicado en la calle 26 69-76 Piso 8 Torre 1 Edificio el Elemento</w:t>
            </w:r>
          </w:p>
        </w:tc>
        <w:tc>
          <w:tcPr>
            <w:tcW w:w="1459" w:type="dxa"/>
            <w:tcBorders>
              <w:top w:val="nil"/>
              <w:left w:val="nil"/>
              <w:bottom w:val="single" w:sz="4" w:space="0" w:color="auto"/>
              <w:right w:val="single" w:sz="4" w:space="0" w:color="auto"/>
            </w:tcBorders>
            <w:shd w:val="clear" w:color="auto" w:fill="auto"/>
            <w:noWrap/>
            <w:vAlign w:val="center"/>
            <w:hideMark/>
          </w:tcPr>
          <w:p w14:paraId="18F9B0EC" w14:textId="77777777" w:rsidR="00E14932" w:rsidRPr="00F31E0D" w:rsidRDefault="00E14932" w:rsidP="007A3BFF">
            <w:pPr>
              <w:spacing w:after="0" w:line="240" w:lineRule="auto"/>
              <w:jc w:val="center"/>
              <w:rPr>
                <w:rFonts w:ascii="Verdana" w:eastAsia="Times New Roman" w:hAnsi="Verdana" w:cs="Times New Roman"/>
                <w:color w:val="000000"/>
                <w:kern w:val="0"/>
                <w:sz w:val="16"/>
                <w:szCs w:val="16"/>
                <w:lang w:eastAsia="es-CO"/>
                <w14:ligatures w14:val="none"/>
              </w:rPr>
            </w:pPr>
            <w:r w:rsidRPr="00F31E0D">
              <w:rPr>
                <w:rFonts w:ascii="Verdana" w:eastAsia="Times New Roman" w:hAnsi="Verdana" w:cs="Times New Roman"/>
                <w:color w:val="000000"/>
                <w:kern w:val="0"/>
                <w:sz w:val="16"/>
                <w:szCs w:val="16"/>
                <w:lang w:eastAsia="es-CO"/>
                <w14:ligatures w14:val="none"/>
              </w:rPr>
              <w:t>214.879.178,00</w:t>
            </w:r>
          </w:p>
        </w:tc>
        <w:tc>
          <w:tcPr>
            <w:tcW w:w="1457" w:type="dxa"/>
            <w:tcBorders>
              <w:top w:val="nil"/>
              <w:left w:val="nil"/>
              <w:bottom w:val="single" w:sz="4" w:space="0" w:color="auto"/>
              <w:right w:val="single" w:sz="4" w:space="0" w:color="auto"/>
            </w:tcBorders>
            <w:shd w:val="clear" w:color="auto" w:fill="auto"/>
            <w:vAlign w:val="center"/>
            <w:hideMark/>
          </w:tcPr>
          <w:p w14:paraId="3E050D59" w14:textId="77777777" w:rsidR="00E14932" w:rsidRPr="00F31E0D" w:rsidRDefault="00E14932" w:rsidP="007A3BFF">
            <w:pPr>
              <w:spacing w:after="0" w:line="240" w:lineRule="auto"/>
              <w:jc w:val="center"/>
              <w:rPr>
                <w:rFonts w:ascii="Verdana" w:eastAsia="Times New Roman" w:hAnsi="Verdana" w:cs="Times New Roman"/>
                <w:color w:val="000000"/>
                <w:kern w:val="0"/>
                <w:sz w:val="16"/>
                <w:szCs w:val="16"/>
                <w:lang w:eastAsia="es-CO"/>
                <w14:ligatures w14:val="none"/>
              </w:rPr>
            </w:pPr>
            <w:r w:rsidRPr="00F31E0D">
              <w:rPr>
                <w:rFonts w:ascii="Verdana" w:eastAsia="Times New Roman" w:hAnsi="Verdana" w:cs="Times New Roman"/>
                <w:color w:val="000000"/>
                <w:kern w:val="0"/>
                <w:sz w:val="16"/>
                <w:szCs w:val="16"/>
                <w:lang w:eastAsia="es-CO"/>
                <w14:ligatures w14:val="none"/>
              </w:rPr>
              <w:t>223</w:t>
            </w:r>
          </w:p>
        </w:tc>
        <w:tc>
          <w:tcPr>
            <w:tcW w:w="1678" w:type="dxa"/>
            <w:tcBorders>
              <w:top w:val="nil"/>
              <w:left w:val="nil"/>
              <w:bottom w:val="single" w:sz="4" w:space="0" w:color="auto"/>
              <w:right w:val="single" w:sz="4" w:space="0" w:color="auto"/>
            </w:tcBorders>
            <w:shd w:val="clear" w:color="auto" w:fill="auto"/>
            <w:vAlign w:val="center"/>
            <w:hideMark/>
          </w:tcPr>
          <w:p w14:paraId="62DDF156" w14:textId="77777777" w:rsidR="00E14932" w:rsidRPr="00F31E0D" w:rsidRDefault="00E14932" w:rsidP="007A3BFF">
            <w:pPr>
              <w:spacing w:after="0" w:line="240" w:lineRule="auto"/>
              <w:jc w:val="center"/>
              <w:rPr>
                <w:rFonts w:ascii="Verdana" w:eastAsia="Times New Roman" w:hAnsi="Verdana" w:cs="Times New Roman"/>
                <w:color w:val="000000"/>
                <w:kern w:val="0"/>
                <w:sz w:val="16"/>
                <w:szCs w:val="16"/>
                <w:lang w:eastAsia="es-CO"/>
                <w14:ligatures w14:val="none"/>
              </w:rPr>
            </w:pPr>
            <w:r w:rsidRPr="00F31E0D">
              <w:rPr>
                <w:rFonts w:ascii="Verdana" w:eastAsia="Times New Roman" w:hAnsi="Verdana" w:cs="Times New Roman"/>
                <w:color w:val="000000"/>
                <w:kern w:val="0"/>
                <w:sz w:val="16"/>
                <w:szCs w:val="16"/>
                <w:lang w:eastAsia="es-CO"/>
                <w14:ligatures w14:val="none"/>
              </w:rPr>
              <w:t>214.879.178,00</w:t>
            </w:r>
          </w:p>
        </w:tc>
        <w:tc>
          <w:tcPr>
            <w:tcW w:w="1568" w:type="dxa"/>
            <w:tcBorders>
              <w:top w:val="nil"/>
              <w:left w:val="nil"/>
              <w:bottom w:val="single" w:sz="4" w:space="0" w:color="auto"/>
              <w:right w:val="single" w:sz="4" w:space="0" w:color="auto"/>
            </w:tcBorders>
            <w:shd w:val="clear" w:color="auto" w:fill="auto"/>
            <w:vAlign w:val="center"/>
            <w:hideMark/>
          </w:tcPr>
          <w:p w14:paraId="7780608E" w14:textId="77777777" w:rsidR="00E14932" w:rsidRPr="00F31E0D" w:rsidRDefault="00E14932" w:rsidP="007A3BFF">
            <w:pPr>
              <w:spacing w:after="0" w:line="240" w:lineRule="auto"/>
              <w:jc w:val="center"/>
              <w:rPr>
                <w:rFonts w:ascii="Verdana" w:eastAsia="Times New Roman" w:hAnsi="Verdana" w:cs="Times New Roman"/>
                <w:color w:val="000000"/>
                <w:kern w:val="0"/>
                <w:sz w:val="16"/>
                <w:szCs w:val="16"/>
                <w:lang w:eastAsia="es-CO"/>
                <w14:ligatures w14:val="none"/>
              </w:rPr>
            </w:pPr>
            <w:r w:rsidRPr="00F31E0D">
              <w:rPr>
                <w:rFonts w:ascii="Verdana" w:eastAsia="Times New Roman" w:hAnsi="Verdana" w:cs="Times New Roman"/>
                <w:color w:val="000000"/>
                <w:kern w:val="0"/>
                <w:sz w:val="16"/>
                <w:szCs w:val="16"/>
                <w:lang w:eastAsia="es-CO"/>
                <w14:ligatures w14:val="none"/>
              </w:rPr>
              <w:t>214.879.178,00</w:t>
            </w:r>
          </w:p>
        </w:tc>
        <w:tc>
          <w:tcPr>
            <w:tcW w:w="1503" w:type="dxa"/>
            <w:tcBorders>
              <w:top w:val="nil"/>
              <w:left w:val="nil"/>
              <w:bottom w:val="single" w:sz="4" w:space="0" w:color="auto"/>
              <w:right w:val="single" w:sz="4" w:space="0" w:color="auto"/>
            </w:tcBorders>
            <w:shd w:val="clear" w:color="auto" w:fill="auto"/>
            <w:vAlign w:val="center"/>
            <w:hideMark/>
          </w:tcPr>
          <w:p w14:paraId="13053282" w14:textId="77777777" w:rsidR="00E14932" w:rsidRPr="00F31E0D" w:rsidRDefault="00E14932" w:rsidP="007A3BFF">
            <w:pPr>
              <w:spacing w:after="0" w:line="240" w:lineRule="auto"/>
              <w:jc w:val="center"/>
              <w:rPr>
                <w:rFonts w:ascii="Verdana" w:eastAsia="Times New Roman" w:hAnsi="Verdana" w:cs="Times New Roman"/>
                <w:color w:val="000000"/>
                <w:kern w:val="0"/>
                <w:sz w:val="16"/>
                <w:szCs w:val="16"/>
                <w:lang w:eastAsia="es-CO"/>
                <w14:ligatures w14:val="none"/>
              </w:rPr>
            </w:pPr>
          </w:p>
        </w:tc>
      </w:tr>
      <w:tr w:rsidR="00E14932" w:rsidRPr="00F31E0D" w14:paraId="3B18F166" w14:textId="77777777" w:rsidTr="007A3BFF">
        <w:trPr>
          <w:trHeight w:val="760"/>
          <w:jc w:val="center"/>
        </w:trPr>
        <w:tc>
          <w:tcPr>
            <w:tcW w:w="3289" w:type="dxa"/>
            <w:tcBorders>
              <w:top w:val="nil"/>
              <w:left w:val="single" w:sz="4" w:space="0" w:color="auto"/>
              <w:bottom w:val="single" w:sz="4" w:space="0" w:color="auto"/>
              <w:right w:val="single" w:sz="4" w:space="0" w:color="auto"/>
            </w:tcBorders>
            <w:shd w:val="clear" w:color="auto" w:fill="auto"/>
            <w:vAlign w:val="bottom"/>
            <w:hideMark/>
          </w:tcPr>
          <w:p w14:paraId="4E51D295" w14:textId="77777777" w:rsidR="00E14932" w:rsidRPr="00F31E0D" w:rsidRDefault="00E14932" w:rsidP="007A3BFF">
            <w:pPr>
              <w:spacing w:after="0" w:line="240" w:lineRule="auto"/>
              <w:rPr>
                <w:rFonts w:ascii="Verdana" w:eastAsia="Times New Roman" w:hAnsi="Verdana" w:cs="Times New Roman"/>
                <w:color w:val="000000"/>
                <w:kern w:val="0"/>
                <w:sz w:val="16"/>
                <w:szCs w:val="16"/>
                <w:lang w:eastAsia="es-CO"/>
                <w14:ligatures w14:val="none"/>
              </w:rPr>
            </w:pPr>
            <w:r w:rsidRPr="00F31E0D">
              <w:rPr>
                <w:rFonts w:ascii="Verdana" w:eastAsia="Times New Roman" w:hAnsi="Verdana" w:cs="Times New Roman"/>
                <w:color w:val="000000"/>
                <w:kern w:val="0"/>
                <w:sz w:val="16"/>
                <w:szCs w:val="16"/>
                <w:lang w:eastAsia="es-CO"/>
                <w14:ligatures w14:val="none"/>
              </w:rPr>
              <w:t>Cont. 084/2022 Prestación del servicio de correo urbano, nacional e internacional para la admisión, curso y entrega a domicilio de manera oportuna, segura y efectiva, de la correspondencia oficial y demás envíos postales, así como la utilización de lo</w:t>
            </w:r>
          </w:p>
        </w:tc>
        <w:tc>
          <w:tcPr>
            <w:tcW w:w="1459" w:type="dxa"/>
            <w:tcBorders>
              <w:top w:val="nil"/>
              <w:left w:val="nil"/>
              <w:bottom w:val="single" w:sz="4" w:space="0" w:color="auto"/>
              <w:right w:val="single" w:sz="4" w:space="0" w:color="auto"/>
            </w:tcBorders>
            <w:shd w:val="clear" w:color="auto" w:fill="auto"/>
            <w:noWrap/>
            <w:vAlign w:val="center"/>
            <w:hideMark/>
          </w:tcPr>
          <w:p w14:paraId="34087353" w14:textId="77777777" w:rsidR="00E14932" w:rsidRPr="00F31E0D" w:rsidRDefault="00E14932" w:rsidP="007A3BFF">
            <w:pPr>
              <w:spacing w:after="0" w:line="240" w:lineRule="auto"/>
              <w:jc w:val="center"/>
              <w:rPr>
                <w:rFonts w:ascii="Verdana" w:eastAsia="Times New Roman" w:hAnsi="Verdana" w:cs="Times New Roman"/>
                <w:color w:val="000000"/>
                <w:kern w:val="0"/>
                <w:sz w:val="16"/>
                <w:szCs w:val="16"/>
                <w:lang w:eastAsia="es-CO"/>
                <w14:ligatures w14:val="none"/>
              </w:rPr>
            </w:pPr>
            <w:r w:rsidRPr="00F31E0D">
              <w:rPr>
                <w:rFonts w:ascii="Verdana" w:eastAsia="Times New Roman" w:hAnsi="Verdana" w:cs="Times New Roman"/>
                <w:color w:val="000000"/>
                <w:kern w:val="0"/>
                <w:sz w:val="16"/>
                <w:szCs w:val="16"/>
                <w:lang w:eastAsia="es-CO"/>
                <w14:ligatures w14:val="none"/>
              </w:rPr>
              <w:t>65.243.028,00</w:t>
            </w:r>
          </w:p>
        </w:tc>
        <w:tc>
          <w:tcPr>
            <w:tcW w:w="1457" w:type="dxa"/>
            <w:tcBorders>
              <w:top w:val="nil"/>
              <w:left w:val="nil"/>
              <w:bottom w:val="single" w:sz="4" w:space="0" w:color="auto"/>
              <w:right w:val="single" w:sz="4" w:space="0" w:color="auto"/>
            </w:tcBorders>
            <w:shd w:val="clear" w:color="auto" w:fill="auto"/>
            <w:vAlign w:val="center"/>
            <w:hideMark/>
          </w:tcPr>
          <w:p w14:paraId="433CFEC9" w14:textId="77777777" w:rsidR="00E14932" w:rsidRPr="00F31E0D" w:rsidRDefault="00E14932" w:rsidP="007A3BFF">
            <w:pPr>
              <w:spacing w:after="0" w:line="240" w:lineRule="auto"/>
              <w:jc w:val="center"/>
              <w:rPr>
                <w:rFonts w:ascii="Verdana" w:eastAsia="Times New Roman" w:hAnsi="Verdana" w:cs="Times New Roman"/>
                <w:color w:val="000000"/>
                <w:kern w:val="0"/>
                <w:sz w:val="16"/>
                <w:szCs w:val="16"/>
                <w:lang w:eastAsia="es-CO"/>
                <w14:ligatures w14:val="none"/>
              </w:rPr>
            </w:pPr>
            <w:r w:rsidRPr="00F31E0D">
              <w:rPr>
                <w:rFonts w:ascii="Verdana" w:eastAsia="Times New Roman" w:hAnsi="Verdana" w:cs="Times New Roman"/>
                <w:color w:val="000000"/>
                <w:kern w:val="0"/>
                <w:sz w:val="16"/>
                <w:szCs w:val="16"/>
                <w:lang w:eastAsia="es-CO"/>
                <w14:ligatures w14:val="none"/>
              </w:rPr>
              <w:t>323</w:t>
            </w:r>
          </w:p>
        </w:tc>
        <w:tc>
          <w:tcPr>
            <w:tcW w:w="1678" w:type="dxa"/>
            <w:tcBorders>
              <w:top w:val="nil"/>
              <w:left w:val="nil"/>
              <w:bottom w:val="single" w:sz="4" w:space="0" w:color="auto"/>
              <w:right w:val="single" w:sz="4" w:space="0" w:color="auto"/>
            </w:tcBorders>
            <w:shd w:val="clear" w:color="auto" w:fill="auto"/>
            <w:vAlign w:val="center"/>
            <w:hideMark/>
          </w:tcPr>
          <w:p w14:paraId="16073160" w14:textId="77777777" w:rsidR="00E14932" w:rsidRPr="00F31E0D" w:rsidRDefault="00E14932" w:rsidP="007A3BFF">
            <w:pPr>
              <w:spacing w:after="0" w:line="240" w:lineRule="auto"/>
              <w:jc w:val="center"/>
              <w:rPr>
                <w:rFonts w:ascii="Verdana" w:eastAsia="Times New Roman" w:hAnsi="Verdana" w:cs="Times New Roman"/>
                <w:color w:val="000000"/>
                <w:kern w:val="0"/>
                <w:sz w:val="16"/>
                <w:szCs w:val="16"/>
                <w:lang w:eastAsia="es-CO"/>
                <w14:ligatures w14:val="none"/>
              </w:rPr>
            </w:pPr>
            <w:r w:rsidRPr="00F31E0D">
              <w:rPr>
                <w:rFonts w:ascii="Verdana" w:eastAsia="Times New Roman" w:hAnsi="Verdana" w:cs="Times New Roman"/>
                <w:color w:val="000000"/>
                <w:kern w:val="0"/>
                <w:sz w:val="16"/>
                <w:szCs w:val="16"/>
                <w:lang w:eastAsia="es-CO"/>
                <w14:ligatures w14:val="none"/>
              </w:rPr>
              <w:t>65.243.028,00</w:t>
            </w:r>
          </w:p>
        </w:tc>
        <w:tc>
          <w:tcPr>
            <w:tcW w:w="1568" w:type="dxa"/>
            <w:tcBorders>
              <w:top w:val="nil"/>
              <w:left w:val="nil"/>
              <w:bottom w:val="single" w:sz="4" w:space="0" w:color="auto"/>
              <w:right w:val="single" w:sz="4" w:space="0" w:color="auto"/>
            </w:tcBorders>
            <w:shd w:val="clear" w:color="auto" w:fill="auto"/>
            <w:vAlign w:val="center"/>
            <w:hideMark/>
          </w:tcPr>
          <w:p w14:paraId="2CFDE6E0" w14:textId="77777777" w:rsidR="00E14932" w:rsidRPr="00F31E0D" w:rsidRDefault="00E14932" w:rsidP="007A3BFF">
            <w:pPr>
              <w:spacing w:after="0" w:line="240" w:lineRule="auto"/>
              <w:jc w:val="center"/>
              <w:rPr>
                <w:rFonts w:ascii="Verdana" w:eastAsia="Times New Roman" w:hAnsi="Verdana" w:cs="Times New Roman"/>
                <w:color w:val="000000"/>
                <w:kern w:val="0"/>
                <w:sz w:val="16"/>
                <w:szCs w:val="16"/>
                <w:lang w:eastAsia="es-CO"/>
                <w14:ligatures w14:val="none"/>
              </w:rPr>
            </w:pPr>
            <w:r w:rsidRPr="00F31E0D">
              <w:rPr>
                <w:rFonts w:ascii="Verdana" w:eastAsia="Times New Roman" w:hAnsi="Verdana" w:cs="Times New Roman"/>
                <w:color w:val="000000"/>
                <w:kern w:val="0"/>
                <w:sz w:val="16"/>
                <w:szCs w:val="16"/>
                <w:lang w:eastAsia="es-CO"/>
                <w14:ligatures w14:val="none"/>
              </w:rPr>
              <w:t>49.372.116,00</w:t>
            </w:r>
          </w:p>
        </w:tc>
        <w:tc>
          <w:tcPr>
            <w:tcW w:w="1503" w:type="dxa"/>
            <w:tcBorders>
              <w:top w:val="nil"/>
              <w:left w:val="nil"/>
              <w:bottom w:val="single" w:sz="4" w:space="0" w:color="auto"/>
              <w:right w:val="single" w:sz="4" w:space="0" w:color="auto"/>
            </w:tcBorders>
            <w:shd w:val="clear" w:color="auto" w:fill="auto"/>
            <w:vAlign w:val="center"/>
            <w:hideMark/>
          </w:tcPr>
          <w:p w14:paraId="238EDF4A" w14:textId="77777777" w:rsidR="00E14932" w:rsidRPr="00F31E0D" w:rsidRDefault="00E14932" w:rsidP="007A3BFF">
            <w:pPr>
              <w:spacing w:after="0" w:line="240" w:lineRule="auto"/>
              <w:jc w:val="center"/>
              <w:rPr>
                <w:rFonts w:ascii="Verdana" w:eastAsia="Times New Roman" w:hAnsi="Verdana" w:cs="Times New Roman"/>
                <w:color w:val="000000"/>
                <w:kern w:val="0"/>
                <w:sz w:val="16"/>
                <w:szCs w:val="16"/>
                <w:lang w:eastAsia="es-CO"/>
                <w14:ligatures w14:val="none"/>
              </w:rPr>
            </w:pPr>
            <w:r w:rsidRPr="00F31E0D">
              <w:rPr>
                <w:rFonts w:ascii="Verdana" w:eastAsia="Times New Roman" w:hAnsi="Verdana" w:cs="Times New Roman"/>
                <w:color w:val="000000"/>
                <w:kern w:val="0"/>
                <w:sz w:val="16"/>
                <w:szCs w:val="16"/>
                <w:lang w:eastAsia="es-CO"/>
                <w14:ligatures w14:val="none"/>
              </w:rPr>
              <w:t>15.870.912,00</w:t>
            </w:r>
          </w:p>
        </w:tc>
      </w:tr>
      <w:tr w:rsidR="00E14932" w:rsidRPr="00F31E0D" w14:paraId="4CCC51F7" w14:textId="77777777" w:rsidTr="007A3BFF">
        <w:trPr>
          <w:trHeight w:val="619"/>
          <w:jc w:val="center"/>
        </w:trPr>
        <w:tc>
          <w:tcPr>
            <w:tcW w:w="3289" w:type="dxa"/>
            <w:tcBorders>
              <w:top w:val="nil"/>
              <w:left w:val="single" w:sz="4" w:space="0" w:color="auto"/>
              <w:bottom w:val="single" w:sz="4" w:space="0" w:color="auto"/>
              <w:right w:val="single" w:sz="4" w:space="0" w:color="auto"/>
            </w:tcBorders>
            <w:shd w:val="clear" w:color="auto" w:fill="auto"/>
            <w:vAlign w:val="bottom"/>
            <w:hideMark/>
          </w:tcPr>
          <w:p w14:paraId="46F1B5E3" w14:textId="77777777" w:rsidR="00E14932" w:rsidRPr="00F31E0D" w:rsidRDefault="00E14932" w:rsidP="007A3BFF">
            <w:pPr>
              <w:spacing w:after="0" w:line="240" w:lineRule="auto"/>
              <w:rPr>
                <w:rFonts w:ascii="Verdana" w:eastAsia="Times New Roman" w:hAnsi="Verdana" w:cs="Times New Roman"/>
                <w:color w:val="000000"/>
                <w:kern w:val="0"/>
                <w:sz w:val="16"/>
                <w:szCs w:val="16"/>
                <w:lang w:eastAsia="es-CO"/>
                <w14:ligatures w14:val="none"/>
              </w:rPr>
            </w:pPr>
            <w:r w:rsidRPr="00F31E0D">
              <w:rPr>
                <w:rFonts w:ascii="Verdana" w:eastAsia="Times New Roman" w:hAnsi="Verdana" w:cs="Times New Roman"/>
                <w:color w:val="000000"/>
                <w:kern w:val="0"/>
                <w:sz w:val="16"/>
                <w:szCs w:val="16"/>
                <w:lang w:eastAsia="es-CO"/>
                <w14:ligatures w14:val="none"/>
              </w:rPr>
              <w:t>Adición y prorroga Orden de compra 89981 Prestación del Servicio Integral de Aseo y servicios de Cafetería, incluyendo el suministro de insumos y equipos necesarios, para las dependencias de la Agencia ITRC</w:t>
            </w:r>
          </w:p>
        </w:tc>
        <w:tc>
          <w:tcPr>
            <w:tcW w:w="1459" w:type="dxa"/>
            <w:tcBorders>
              <w:top w:val="nil"/>
              <w:left w:val="nil"/>
              <w:bottom w:val="single" w:sz="4" w:space="0" w:color="auto"/>
              <w:right w:val="single" w:sz="4" w:space="0" w:color="auto"/>
            </w:tcBorders>
            <w:shd w:val="clear" w:color="auto" w:fill="auto"/>
            <w:noWrap/>
            <w:vAlign w:val="center"/>
            <w:hideMark/>
          </w:tcPr>
          <w:p w14:paraId="41DBAB84" w14:textId="77777777" w:rsidR="00E14932" w:rsidRPr="00F31E0D" w:rsidRDefault="00E14932" w:rsidP="007A3BFF">
            <w:pPr>
              <w:spacing w:after="0" w:line="240" w:lineRule="auto"/>
              <w:jc w:val="center"/>
              <w:rPr>
                <w:rFonts w:ascii="Verdana" w:eastAsia="Times New Roman" w:hAnsi="Verdana" w:cs="Times New Roman"/>
                <w:color w:val="000000"/>
                <w:kern w:val="0"/>
                <w:sz w:val="16"/>
                <w:szCs w:val="16"/>
                <w:lang w:eastAsia="es-CO"/>
                <w14:ligatures w14:val="none"/>
              </w:rPr>
            </w:pPr>
            <w:r w:rsidRPr="00F31E0D">
              <w:rPr>
                <w:rFonts w:ascii="Verdana" w:eastAsia="Times New Roman" w:hAnsi="Verdana" w:cs="Times New Roman"/>
                <w:color w:val="000000"/>
                <w:kern w:val="0"/>
                <w:sz w:val="16"/>
                <w:szCs w:val="16"/>
                <w:lang w:eastAsia="es-CO"/>
                <w14:ligatures w14:val="none"/>
              </w:rPr>
              <w:t>25.181.278,00</w:t>
            </w:r>
          </w:p>
        </w:tc>
        <w:tc>
          <w:tcPr>
            <w:tcW w:w="1457" w:type="dxa"/>
            <w:tcBorders>
              <w:top w:val="nil"/>
              <w:left w:val="nil"/>
              <w:bottom w:val="single" w:sz="4" w:space="0" w:color="auto"/>
              <w:right w:val="single" w:sz="4" w:space="0" w:color="auto"/>
            </w:tcBorders>
            <w:shd w:val="clear" w:color="auto" w:fill="auto"/>
            <w:vAlign w:val="center"/>
            <w:hideMark/>
          </w:tcPr>
          <w:p w14:paraId="234FCFEE" w14:textId="77777777" w:rsidR="00E14932" w:rsidRPr="00F31E0D" w:rsidRDefault="00E14932" w:rsidP="007A3BFF">
            <w:pPr>
              <w:spacing w:after="0" w:line="240" w:lineRule="auto"/>
              <w:jc w:val="center"/>
              <w:rPr>
                <w:rFonts w:ascii="Verdana" w:eastAsia="Times New Roman" w:hAnsi="Verdana" w:cs="Times New Roman"/>
                <w:color w:val="000000"/>
                <w:kern w:val="0"/>
                <w:sz w:val="16"/>
                <w:szCs w:val="16"/>
                <w:lang w:eastAsia="es-CO"/>
                <w14:ligatures w14:val="none"/>
              </w:rPr>
            </w:pPr>
            <w:r w:rsidRPr="00F31E0D">
              <w:rPr>
                <w:rFonts w:ascii="Verdana" w:eastAsia="Times New Roman" w:hAnsi="Verdana" w:cs="Times New Roman"/>
                <w:color w:val="000000"/>
                <w:kern w:val="0"/>
                <w:sz w:val="16"/>
                <w:szCs w:val="16"/>
                <w:lang w:eastAsia="es-CO"/>
                <w14:ligatures w14:val="none"/>
              </w:rPr>
              <w:t>423</w:t>
            </w:r>
          </w:p>
        </w:tc>
        <w:tc>
          <w:tcPr>
            <w:tcW w:w="1678" w:type="dxa"/>
            <w:tcBorders>
              <w:top w:val="nil"/>
              <w:left w:val="nil"/>
              <w:bottom w:val="single" w:sz="4" w:space="0" w:color="auto"/>
              <w:right w:val="single" w:sz="4" w:space="0" w:color="auto"/>
            </w:tcBorders>
            <w:shd w:val="clear" w:color="auto" w:fill="auto"/>
            <w:vAlign w:val="center"/>
            <w:hideMark/>
          </w:tcPr>
          <w:p w14:paraId="47E8A34B" w14:textId="77777777" w:rsidR="00E14932" w:rsidRPr="00F31E0D" w:rsidRDefault="00E14932" w:rsidP="007A3BFF">
            <w:pPr>
              <w:spacing w:after="0" w:line="240" w:lineRule="auto"/>
              <w:jc w:val="center"/>
              <w:rPr>
                <w:rFonts w:ascii="Verdana" w:eastAsia="Times New Roman" w:hAnsi="Verdana" w:cs="Times New Roman"/>
                <w:color w:val="000000"/>
                <w:kern w:val="0"/>
                <w:sz w:val="16"/>
                <w:szCs w:val="16"/>
                <w:lang w:eastAsia="es-CO"/>
                <w14:ligatures w14:val="none"/>
              </w:rPr>
            </w:pPr>
            <w:r w:rsidRPr="00F31E0D">
              <w:rPr>
                <w:rFonts w:ascii="Verdana" w:eastAsia="Times New Roman" w:hAnsi="Verdana" w:cs="Times New Roman"/>
                <w:color w:val="000000"/>
                <w:kern w:val="0"/>
                <w:sz w:val="16"/>
                <w:szCs w:val="16"/>
                <w:lang w:eastAsia="es-CO"/>
                <w14:ligatures w14:val="none"/>
              </w:rPr>
              <w:t>25.181.278,00</w:t>
            </w:r>
          </w:p>
        </w:tc>
        <w:tc>
          <w:tcPr>
            <w:tcW w:w="1568" w:type="dxa"/>
            <w:tcBorders>
              <w:top w:val="nil"/>
              <w:left w:val="nil"/>
              <w:bottom w:val="single" w:sz="4" w:space="0" w:color="auto"/>
              <w:right w:val="single" w:sz="4" w:space="0" w:color="auto"/>
            </w:tcBorders>
            <w:shd w:val="clear" w:color="auto" w:fill="auto"/>
            <w:vAlign w:val="center"/>
            <w:hideMark/>
          </w:tcPr>
          <w:p w14:paraId="42CD592D" w14:textId="77777777" w:rsidR="00E14932" w:rsidRPr="00F31E0D" w:rsidRDefault="00E14932" w:rsidP="007A3BFF">
            <w:pPr>
              <w:spacing w:after="0" w:line="240" w:lineRule="auto"/>
              <w:jc w:val="center"/>
              <w:rPr>
                <w:rFonts w:ascii="Verdana" w:eastAsia="Times New Roman" w:hAnsi="Verdana" w:cs="Times New Roman"/>
                <w:color w:val="000000"/>
                <w:kern w:val="0"/>
                <w:sz w:val="16"/>
                <w:szCs w:val="16"/>
                <w:lang w:eastAsia="es-CO"/>
                <w14:ligatures w14:val="none"/>
              </w:rPr>
            </w:pPr>
            <w:r w:rsidRPr="00F31E0D">
              <w:rPr>
                <w:rFonts w:ascii="Verdana" w:eastAsia="Times New Roman" w:hAnsi="Verdana" w:cs="Times New Roman"/>
                <w:color w:val="000000"/>
                <w:kern w:val="0"/>
                <w:sz w:val="16"/>
                <w:szCs w:val="16"/>
                <w:lang w:eastAsia="es-CO"/>
                <w14:ligatures w14:val="none"/>
              </w:rPr>
              <w:t>23.494.067,85</w:t>
            </w:r>
          </w:p>
        </w:tc>
        <w:tc>
          <w:tcPr>
            <w:tcW w:w="1503" w:type="dxa"/>
            <w:tcBorders>
              <w:top w:val="nil"/>
              <w:left w:val="nil"/>
              <w:bottom w:val="single" w:sz="4" w:space="0" w:color="auto"/>
              <w:right w:val="single" w:sz="4" w:space="0" w:color="auto"/>
            </w:tcBorders>
            <w:shd w:val="clear" w:color="auto" w:fill="auto"/>
            <w:vAlign w:val="center"/>
            <w:hideMark/>
          </w:tcPr>
          <w:p w14:paraId="5AE2E086" w14:textId="77777777" w:rsidR="00E14932" w:rsidRPr="00F31E0D" w:rsidRDefault="00E14932" w:rsidP="007A3BFF">
            <w:pPr>
              <w:spacing w:after="0" w:line="240" w:lineRule="auto"/>
              <w:jc w:val="center"/>
              <w:rPr>
                <w:rFonts w:ascii="Verdana" w:eastAsia="Times New Roman" w:hAnsi="Verdana" w:cs="Times New Roman"/>
                <w:color w:val="000000"/>
                <w:kern w:val="0"/>
                <w:sz w:val="16"/>
                <w:szCs w:val="16"/>
                <w:lang w:eastAsia="es-CO"/>
                <w14:ligatures w14:val="none"/>
              </w:rPr>
            </w:pPr>
          </w:p>
        </w:tc>
      </w:tr>
      <w:tr w:rsidR="00E14932" w:rsidRPr="00F31E0D" w14:paraId="341DC613" w14:textId="77777777" w:rsidTr="007A3BFF">
        <w:trPr>
          <w:trHeight w:val="817"/>
          <w:jc w:val="center"/>
        </w:trPr>
        <w:tc>
          <w:tcPr>
            <w:tcW w:w="3289" w:type="dxa"/>
            <w:tcBorders>
              <w:top w:val="nil"/>
              <w:left w:val="single" w:sz="4" w:space="0" w:color="auto"/>
              <w:bottom w:val="single" w:sz="4" w:space="0" w:color="auto"/>
              <w:right w:val="single" w:sz="4" w:space="0" w:color="auto"/>
            </w:tcBorders>
            <w:shd w:val="clear" w:color="auto" w:fill="auto"/>
            <w:vAlign w:val="bottom"/>
            <w:hideMark/>
          </w:tcPr>
          <w:p w14:paraId="5571500A" w14:textId="77777777" w:rsidR="00E14932" w:rsidRPr="00F31E0D" w:rsidRDefault="00E14932" w:rsidP="007A3BFF">
            <w:pPr>
              <w:spacing w:after="0" w:line="240" w:lineRule="auto"/>
              <w:rPr>
                <w:rFonts w:ascii="Verdana" w:eastAsia="Times New Roman" w:hAnsi="Verdana" w:cs="Times New Roman"/>
                <w:color w:val="000000"/>
                <w:kern w:val="0"/>
                <w:sz w:val="16"/>
                <w:szCs w:val="16"/>
                <w:lang w:eastAsia="es-CO"/>
                <w14:ligatures w14:val="none"/>
              </w:rPr>
            </w:pPr>
            <w:r w:rsidRPr="00F31E0D">
              <w:rPr>
                <w:rFonts w:ascii="Verdana" w:eastAsia="Times New Roman" w:hAnsi="Verdana" w:cs="Times New Roman"/>
                <w:color w:val="000000"/>
                <w:kern w:val="0"/>
                <w:sz w:val="16"/>
                <w:szCs w:val="16"/>
                <w:lang w:eastAsia="es-CO"/>
                <w14:ligatures w14:val="none"/>
              </w:rPr>
              <w:t>Prorroga y adición Orden de Compra 88672, Prestar los servicios de arrendamiento de Computadores de Escritorio y Portátiles, con servicios complementarios requeridos por la Agencia ITRC, conforme a las condiciones definidas en el Acuerdo Marco de Precios</w:t>
            </w:r>
          </w:p>
        </w:tc>
        <w:tc>
          <w:tcPr>
            <w:tcW w:w="1459" w:type="dxa"/>
            <w:tcBorders>
              <w:top w:val="nil"/>
              <w:left w:val="nil"/>
              <w:bottom w:val="single" w:sz="4" w:space="0" w:color="auto"/>
              <w:right w:val="single" w:sz="4" w:space="0" w:color="auto"/>
            </w:tcBorders>
            <w:shd w:val="clear" w:color="auto" w:fill="auto"/>
            <w:noWrap/>
            <w:vAlign w:val="center"/>
            <w:hideMark/>
          </w:tcPr>
          <w:p w14:paraId="77186B44" w14:textId="77777777" w:rsidR="00E14932" w:rsidRPr="00F31E0D" w:rsidRDefault="00E14932" w:rsidP="007A3BFF">
            <w:pPr>
              <w:spacing w:after="0" w:line="240" w:lineRule="auto"/>
              <w:jc w:val="center"/>
              <w:rPr>
                <w:rFonts w:ascii="Verdana" w:eastAsia="Times New Roman" w:hAnsi="Verdana" w:cs="Times New Roman"/>
                <w:color w:val="000000"/>
                <w:kern w:val="0"/>
                <w:sz w:val="16"/>
                <w:szCs w:val="16"/>
                <w:lang w:eastAsia="es-CO"/>
                <w14:ligatures w14:val="none"/>
              </w:rPr>
            </w:pPr>
            <w:r w:rsidRPr="00F31E0D">
              <w:rPr>
                <w:rFonts w:ascii="Verdana" w:eastAsia="Times New Roman" w:hAnsi="Verdana" w:cs="Times New Roman"/>
                <w:color w:val="000000"/>
                <w:kern w:val="0"/>
                <w:sz w:val="16"/>
                <w:szCs w:val="16"/>
                <w:lang w:eastAsia="es-CO"/>
                <w14:ligatures w14:val="none"/>
              </w:rPr>
              <w:t>96.526.952,00</w:t>
            </w:r>
          </w:p>
        </w:tc>
        <w:tc>
          <w:tcPr>
            <w:tcW w:w="1457" w:type="dxa"/>
            <w:tcBorders>
              <w:top w:val="nil"/>
              <w:left w:val="nil"/>
              <w:bottom w:val="single" w:sz="4" w:space="0" w:color="auto"/>
              <w:right w:val="single" w:sz="4" w:space="0" w:color="auto"/>
            </w:tcBorders>
            <w:shd w:val="clear" w:color="auto" w:fill="auto"/>
            <w:vAlign w:val="center"/>
            <w:hideMark/>
          </w:tcPr>
          <w:p w14:paraId="7ED81586" w14:textId="77777777" w:rsidR="00E14932" w:rsidRPr="00F31E0D" w:rsidRDefault="00E14932" w:rsidP="007A3BFF">
            <w:pPr>
              <w:spacing w:after="0" w:line="240" w:lineRule="auto"/>
              <w:jc w:val="center"/>
              <w:rPr>
                <w:rFonts w:ascii="Verdana" w:eastAsia="Times New Roman" w:hAnsi="Verdana" w:cs="Times New Roman"/>
                <w:color w:val="000000"/>
                <w:kern w:val="0"/>
                <w:sz w:val="16"/>
                <w:szCs w:val="16"/>
                <w:lang w:eastAsia="es-CO"/>
                <w14:ligatures w14:val="none"/>
              </w:rPr>
            </w:pPr>
            <w:r w:rsidRPr="00F31E0D">
              <w:rPr>
                <w:rFonts w:ascii="Verdana" w:eastAsia="Times New Roman" w:hAnsi="Verdana" w:cs="Times New Roman"/>
                <w:color w:val="000000"/>
                <w:kern w:val="0"/>
                <w:sz w:val="16"/>
                <w:szCs w:val="16"/>
                <w:lang w:eastAsia="es-CO"/>
                <w14:ligatures w14:val="none"/>
              </w:rPr>
              <w:t>523</w:t>
            </w:r>
          </w:p>
        </w:tc>
        <w:tc>
          <w:tcPr>
            <w:tcW w:w="1678" w:type="dxa"/>
            <w:tcBorders>
              <w:top w:val="nil"/>
              <w:left w:val="nil"/>
              <w:bottom w:val="single" w:sz="4" w:space="0" w:color="auto"/>
              <w:right w:val="single" w:sz="4" w:space="0" w:color="auto"/>
            </w:tcBorders>
            <w:shd w:val="clear" w:color="auto" w:fill="auto"/>
            <w:vAlign w:val="center"/>
            <w:hideMark/>
          </w:tcPr>
          <w:p w14:paraId="42BE9F67" w14:textId="77777777" w:rsidR="00E14932" w:rsidRPr="00F31E0D" w:rsidRDefault="00E14932" w:rsidP="007A3BFF">
            <w:pPr>
              <w:spacing w:after="0" w:line="240" w:lineRule="auto"/>
              <w:jc w:val="center"/>
              <w:rPr>
                <w:rFonts w:ascii="Verdana" w:eastAsia="Times New Roman" w:hAnsi="Verdana" w:cs="Times New Roman"/>
                <w:color w:val="000000"/>
                <w:kern w:val="0"/>
                <w:sz w:val="16"/>
                <w:szCs w:val="16"/>
                <w:lang w:eastAsia="es-CO"/>
                <w14:ligatures w14:val="none"/>
              </w:rPr>
            </w:pPr>
            <w:r w:rsidRPr="00F31E0D">
              <w:rPr>
                <w:rFonts w:ascii="Verdana" w:eastAsia="Times New Roman" w:hAnsi="Verdana" w:cs="Times New Roman"/>
                <w:color w:val="000000"/>
                <w:kern w:val="0"/>
                <w:sz w:val="16"/>
                <w:szCs w:val="16"/>
                <w:lang w:eastAsia="es-CO"/>
                <w14:ligatures w14:val="none"/>
              </w:rPr>
              <w:t>96.526.952,00</w:t>
            </w:r>
          </w:p>
        </w:tc>
        <w:tc>
          <w:tcPr>
            <w:tcW w:w="1568" w:type="dxa"/>
            <w:tcBorders>
              <w:top w:val="nil"/>
              <w:left w:val="nil"/>
              <w:bottom w:val="single" w:sz="4" w:space="0" w:color="auto"/>
              <w:right w:val="single" w:sz="4" w:space="0" w:color="auto"/>
            </w:tcBorders>
            <w:shd w:val="clear" w:color="auto" w:fill="auto"/>
            <w:vAlign w:val="center"/>
            <w:hideMark/>
          </w:tcPr>
          <w:p w14:paraId="25F617A6" w14:textId="77777777" w:rsidR="00E14932" w:rsidRPr="00F31E0D" w:rsidRDefault="00E14932" w:rsidP="007A3BFF">
            <w:pPr>
              <w:spacing w:after="0" w:line="240" w:lineRule="auto"/>
              <w:jc w:val="center"/>
              <w:rPr>
                <w:rFonts w:ascii="Verdana" w:eastAsia="Times New Roman" w:hAnsi="Verdana" w:cs="Times New Roman"/>
                <w:color w:val="000000"/>
                <w:kern w:val="0"/>
                <w:sz w:val="16"/>
                <w:szCs w:val="16"/>
                <w:lang w:eastAsia="es-CO"/>
                <w14:ligatures w14:val="none"/>
              </w:rPr>
            </w:pPr>
            <w:r w:rsidRPr="00F31E0D">
              <w:rPr>
                <w:rFonts w:ascii="Verdana" w:eastAsia="Times New Roman" w:hAnsi="Verdana" w:cs="Times New Roman"/>
                <w:color w:val="000000"/>
                <w:kern w:val="0"/>
                <w:sz w:val="16"/>
                <w:szCs w:val="16"/>
                <w:lang w:eastAsia="es-CO"/>
                <w14:ligatures w14:val="none"/>
              </w:rPr>
              <w:t>96.190.682,75</w:t>
            </w:r>
          </w:p>
        </w:tc>
        <w:tc>
          <w:tcPr>
            <w:tcW w:w="1503" w:type="dxa"/>
            <w:tcBorders>
              <w:top w:val="nil"/>
              <w:left w:val="nil"/>
              <w:bottom w:val="single" w:sz="4" w:space="0" w:color="auto"/>
              <w:right w:val="single" w:sz="4" w:space="0" w:color="auto"/>
            </w:tcBorders>
            <w:shd w:val="clear" w:color="auto" w:fill="auto"/>
            <w:vAlign w:val="center"/>
            <w:hideMark/>
          </w:tcPr>
          <w:p w14:paraId="6CF5FDFD" w14:textId="77777777" w:rsidR="00E14932" w:rsidRPr="00F31E0D" w:rsidRDefault="00E14932" w:rsidP="007A3BFF">
            <w:pPr>
              <w:spacing w:after="0" w:line="240" w:lineRule="auto"/>
              <w:jc w:val="center"/>
              <w:rPr>
                <w:rFonts w:ascii="Verdana" w:eastAsia="Times New Roman" w:hAnsi="Verdana" w:cs="Times New Roman"/>
                <w:color w:val="000000"/>
                <w:kern w:val="0"/>
                <w:sz w:val="16"/>
                <w:szCs w:val="16"/>
                <w:lang w:eastAsia="es-CO"/>
                <w14:ligatures w14:val="none"/>
              </w:rPr>
            </w:pPr>
          </w:p>
        </w:tc>
      </w:tr>
      <w:tr w:rsidR="00E14932" w:rsidRPr="00F31E0D" w14:paraId="7E75A951" w14:textId="77777777" w:rsidTr="007A3BFF">
        <w:trPr>
          <w:trHeight w:val="817"/>
          <w:jc w:val="center"/>
        </w:trPr>
        <w:tc>
          <w:tcPr>
            <w:tcW w:w="3289" w:type="dxa"/>
            <w:tcBorders>
              <w:top w:val="nil"/>
              <w:left w:val="single" w:sz="4" w:space="0" w:color="auto"/>
              <w:bottom w:val="single" w:sz="4" w:space="0" w:color="auto"/>
              <w:right w:val="single" w:sz="4" w:space="0" w:color="auto"/>
            </w:tcBorders>
            <w:shd w:val="clear" w:color="auto" w:fill="auto"/>
            <w:vAlign w:val="bottom"/>
            <w:hideMark/>
          </w:tcPr>
          <w:p w14:paraId="7544A7C8" w14:textId="77777777" w:rsidR="00E14932" w:rsidRPr="00F31E0D" w:rsidRDefault="00E14932" w:rsidP="007A3BFF">
            <w:pPr>
              <w:spacing w:after="0" w:line="240" w:lineRule="auto"/>
              <w:rPr>
                <w:rFonts w:ascii="Verdana" w:eastAsia="Times New Roman" w:hAnsi="Verdana" w:cs="Times New Roman"/>
                <w:color w:val="000000"/>
                <w:kern w:val="0"/>
                <w:sz w:val="16"/>
                <w:szCs w:val="16"/>
                <w:lang w:eastAsia="es-CO"/>
                <w14:ligatures w14:val="none"/>
              </w:rPr>
            </w:pPr>
            <w:r w:rsidRPr="00F31E0D">
              <w:rPr>
                <w:rFonts w:ascii="Verdana" w:eastAsia="Times New Roman" w:hAnsi="Verdana" w:cs="Times New Roman"/>
                <w:color w:val="000000"/>
                <w:kern w:val="0"/>
                <w:sz w:val="16"/>
                <w:szCs w:val="16"/>
                <w:lang w:eastAsia="es-CO"/>
                <w14:ligatures w14:val="none"/>
              </w:rPr>
              <w:t>Prorroga y Adición Orden de Compra 89018 Servicios de arrendamiento de ESCANER, con servicios complementarios requeridos por la Agencia ITRC, conforme a las condiciones definidas en el Acuerdo Marco de Precios – AMP -CCE-280-AMP-2021</w:t>
            </w:r>
          </w:p>
        </w:tc>
        <w:tc>
          <w:tcPr>
            <w:tcW w:w="1459" w:type="dxa"/>
            <w:tcBorders>
              <w:top w:val="nil"/>
              <w:left w:val="nil"/>
              <w:bottom w:val="single" w:sz="4" w:space="0" w:color="auto"/>
              <w:right w:val="single" w:sz="4" w:space="0" w:color="auto"/>
            </w:tcBorders>
            <w:shd w:val="clear" w:color="auto" w:fill="auto"/>
            <w:noWrap/>
            <w:vAlign w:val="center"/>
            <w:hideMark/>
          </w:tcPr>
          <w:p w14:paraId="65E59E89" w14:textId="77777777" w:rsidR="00E14932" w:rsidRPr="00F31E0D" w:rsidRDefault="00E14932" w:rsidP="007A3BFF">
            <w:pPr>
              <w:spacing w:after="0" w:line="240" w:lineRule="auto"/>
              <w:jc w:val="center"/>
              <w:rPr>
                <w:rFonts w:ascii="Verdana" w:eastAsia="Times New Roman" w:hAnsi="Verdana" w:cs="Times New Roman"/>
                <w:color w:val="000000"/>
                <w:kern w:val="0"/>
                <w:sz w:val="16"/>
                <w:szCs w:val="16"/>
                <w:lang w:eastAsia="es-CO"/>
                <w14:ligatures w14:val="none"/>
              </w:rPr>
            </w:pPr>
            <w:r w:rsidRPr="00F31E0D">
              <w:rPr>
                <w:rFonts w:ascii="Verdana" w:eastAsia="Times New Roman" w:hAnsi="Verdana" w:cs="Times New Roman"/>
                <w:color w:val="000000"/>
                <w:kern w:val="0"/>
                <w:sz w:val="16"/>
                <w:szCs w:val="16"/>
                <w:lang w:eastAsia="es-CO"/>
                <w14:ligatures w14:val="none"/>
              </w:rPr>
              <w:t>5.557.205,00</w:t>
            </w:r>
          </w:p>
        </w:tc>
        <w:tc>
          <w:tcPr>
            <w:tcW w:w="1457" w:type="dxa"/>
            <w:tcBorders>
              <w:top w:val="nil"/>
              <w:left w:val="nil"/>
              <w:bottom w:val="single" w:sz="4" w:space="0" w:color="auto"/>
              <w:right w:val="single" w:sz="4" w:space="0" w:color="auto"/>
            </w:tcBorders>
            <w:shd w:val="clear" w:color="auto" w:fill="auto"/>
            <w:vAlign w:val="center"/>
            <w:hideMark/>
          </w:tcPr>
          <w:p w14:paraId="34FFE9C7" w14:textId="77777777" w:rsidR="00E14932" w:rsidRPr="00F31E0D" w:rsidRDefault="00E14932" w:rsidP="007A3BFF">
            <w:pPr>
              <w:spacing w:after="0" w:line="240" w:lineRule="auto"/>
              <w:jc w:val="center"/>
              <w:rPr>
                <w:rFonts w:ascii="Verdana" w:eastAsia="Times New Roman" w:hAnsi="Verdana" w:cs="Times New Roman"/>
                <w:color w:val="000000"/>
                <w:kern w:val="0"/>
                <w:sz w:val="16"/>
                <w:szCs w:val="16"/>
                <w:lang w:eastAsia="es-CO"/>
                <w14:ligatures w14:val="none"/>
              </w:rPr>
            </w:pPr>
            <w:r w:rsidRPr="00F31E0D">
              <w:rPr>
                <w:rFonts w:ascii="Verdana" w:eastAsia="Times New Roman" w:hAnsi="Verdana" w:cs="Times New Roman"/>
                <w:color w:val="000000"/>
                <w:kern w:val="0"/>
                <w:sz w:val="16"/>
                <w:szCs w:val="16"/>
                <w:lang w:eastAsia="es-CO"/>
                <w14:ligatures w14:val="none"/>
              </w:rPr>
              <w:t>623</w:t>
            </w:r>
          </w:p>
        </w:tc>
        <w:tc>
          <w:tcPr>
            <w:tcW w:w="1678" w:type="dxa"/>
            <w:tcBorders>
              <w:top w:val="nil"/>
              <w:left w:val="nil"/>
              <w:bottom w:val="single" w:sz="4" w:space="0" w:color="auto"/>
              <w:right w:val="single" w:sz="4" w:space="0" w:color="auto"/>
            </w:tcBorders>
            <w:shd w:val="clear" w:color="auto" w:fill="auto"/>
            <w:vAlign w:val="center"/>
            <w:hideMark/>
          </w:tcPr>
          <w:p w14:paraId="58B8425F" w14:textId="77777777" w:rsidR="00E14932" w:rsidRPr="00F31E0D" w:rsidRDefault="00E14932" w:rsidP="007A3BFF">
            <w:pPr>
              <w:spacing w:after="0" w:line="240" w:lineRule="auto"/>
              <w:jc w:val="center"/>
              <w:rPr>
                <w:rFonts w:ascii="Verdana" w:eastAsia="Times New Roman" w:hAnsi="Verdana" w:cs="Times New Roman"/>
                <w:color w:val="000000"/>
                <w:kern w:val="0"/>
                <w:sz w:val="16"/>
                <w:szCs w:val="16"/>
                <w:lang w:eastAsia="es-CO"/>
                <w14:ligatures w14:val="none"/>
              </w:rPr>
            </w:pPr>
            <w:r w:rsidRPr="00F31E0D">
              <w:rPr>
                <w:rFonts w:ascii="Verdana" w:eastAsia="Times New Roman" w:hAnsi="Verdana" w:cs="Times New Roman"/>
                <w:color w:val="000000"/>
                <w:kern w:val="0"/>
                <w:sz w:val="16"/>
                <w:szCs w:val="16"/>
                <w:lang w:eastAsia="es-CO"/>
                <w14:ligatures w14:val="none"/>
              </w:rPr>
              <w:t>5.557.205,00</w:t>
            </w:r>
          </w:p>
        </w:tc>
        <w:tc>
          <w:tcPr>
            <w:tcW w:w="1568" w:type="dxa"/>
            <w:tcBorders>
              <w:top w:val="nil"/>
              <w:left w:val="nil"/>
              <w:bottom w:val="single" w:sz="4" w:space="0" w:color="auto"/>
              <w:right w:val="single" w:sz="4" w:space="0" w:color="auto"/>
            </w:tcBorders>
            <w:shd w:val="clear" w:color="auto" w:fill="auto"/>
            <w:vAlign w:val="center"/>
            <w:hideMark/>
          </w:tcPr>
          <w:p w14:paraId="2FD71080" w14:textId="77777777" w:rsidR="00E14932" w:rsidRPr="00F31E0D" w:rsidRDefault="00E14932" w:rsidP="007A3BFF">
            <w:pPr>
              <w:spacing w:after="0" w:line="240" w:lineRule="auto"/>
              <w:jc w:val="center"/>
              <w:rPr>
                <w:rFonts w:ascii="Verdana" w:eastAsia="Times New Roman" w:hAnsi="Verdana" w:cs="Times New Roman"/>
                <w:color w:val="000000"/>
                <w:kern w:val="0"/>
                <w:sz w:val="16"/>
                <w:szCs w:val="16"/>
                <w:lang w:eastAsia="es-CO"/>
                <w14:ligatures w14:val="none"/>
              </w:rPr>
            </w:pPr>
            <w:r w:rsidRPr="00F31E0D">
              <w:rPr>
                <w:rFonts w:ascii="Verdana" w:eastAsia="Times New Roman" w:hAnsi="Verdana" w:cs="Times New Roman"/>
                <w:color w:val="000000"/>
                <w:kern w:val="0"/>
                <w:sz w:val="16"/>
                <w:szCs w:val="16"/>
                <w:lang w:eastAsia="es-CO"/>
                <w14:ligatures w14:val="none"/>
              </w:rPr>
              <w:t>5.522.733,08</w:t>
            </w:r>
          </w:p>
        </w:tc>
        <w:tc>
          <w:tcPr>
            <w:tcW w:w="1503" w:type="dxa"/>
            <w:tcBorders>
              <w:top w:val="nil"/>
              <w:left w:val="nil"/>
              <w:bottom w:val="single" w:sz="4" w:space="0" w:color="auto"/>
              <w:right w:val="single" w:sz="4" w:space="0" w:color="auto"/>
            </w:tcBorders>
            <w:shd w:val="clear" w:color="auto" w:fill="auto"/>
            <w:vAlign w:val="center"/>
            <w:hideMark/>
          </w:tcPr>
          <w:p w14:paraId="68A0DE1B" w14:textId="77777777" w:rsidR="00E14932" w:rsidRPr="00F31E0D" w:rsidRDefault="00E14932" w:rsidP="007A3BFF">
            <w:pPr>
              <w:spacing w:after="0" w:line="240" w:lineRule="auto"/>
              <w:jc w:val="center"/>
              <w:rPr>
                <w:rFonts w:ascii="Verdana" w:eastAsia="Times New Roman" w:hAnsi="Verdana" w:cs="Times New Roman"/>
                <w:color w:val="000000"/>
                <w:kern w:val="0"/>
                <w:sz w:val="16"/>
                <w:szCs w:val="16"/>
                <w:lang w:eastAsia="es-CO"/>
                <w14:ligatures w14:val="none"/>
              </w:rPr>
            </w:pPr>
          </w:p>
        </w:tc>
      </w:tr>
      <w:tr w:rsidR="00E14932" w:rsidRPr="00F31E0D" w14:paraId="0D895DD7" w14:textId="77777777" w:rsidTr="007A3BFF">
        <w:trPr>
          <w:trHeight w:val="817"/>
          <w:jc w:val="center"/>
        </w:trPr>
        <w:tc>
          <w:tcPr>
            <w:tcW w:w="3289" w:type="dxa"/>
            <w:tcBorders>
              <w:top w:val="nil"/>
              <w:left w:val="single" w:sz="4" w:space="0" w:color="auto"/>
              <w:bottom w:val="single" w:sz="4" w:space="0" w:color="auto"/>
              <w:right w:val="single" w:sz="4" w:space="0" w:color="auto"/>
            </w:tcBorders>
            <w:shd w:val="clear" w:color="auto" w:fill="auto"/>
            <w:vAlign w:val="bottom"/>
            <w:hideMark/>
          </w:tcPr>
          <w:p w14:paraId="02ED7DC4" w14:textId="77777777" w:rsidR="00E14932" w:rsidRPr="00F31E0D" w:rsidRDefault="00E14932" w:rsidP="007A3BFF">
            <w:pPr>
              <w:spacing w:after="0" w:line="240" w:lineRule="auto"/>
              <w:rPr>
                <w:rFonts w:ascii="Verdana" w:eastAsia="Times New Roman" w:hAnsi="Verdana" w:cs="Times New Roman"/>
                <w:color w:val="000000"/>
                <w:kern w:val="0"/>
                <w:sz w:val="16"/>
                <w:szCs w:val="16"/>
                <w:lang w:eastAsia="es-CO"/>
                <w14:ligatures w14:val="none"/>
              </w:rPr>
            </w:pPr>
            <w:r w:rsidRPr="00F31E0D">
              <w:rPr>
                <w:rFonts w:ascii="Verdana" w:eastAsia="Times New Roman" w:hAnsi="Verdana" w:cs="Times New Roman"/>
                <w:color w:val="000000"/>
                <w:kern w:val="0"/>
                <w:sz w:val="16"/>
                <w:szCs w:val="16"/>
                <w:lang w:eastAsia="es-CO"/>
                <w14:ligatures w14:val="none"/>
              </w:rPr>
              <w:t>Prorroga y adición a la orden de compra 89156, Prestar los servicios de arrendamiento de IMPRESORAS, con servicios complementarios requeridos por la Agencia ITRC, conforme a las condiciones definidas en el Acuerdo Marco de Precios – AMP - CCE-280-AM</w:t>
            </w:r>
          </w:p>
        </w:tc>
        <w:tc>
          <w:tcPr>
            <w:tcW w:w="1459" w:type="dxa"/>
            <w:tcBorders>
              <w:top w:val="nil"/>
              <w:left w:val="nil"/>
              <w:bottom w:val="single" w:sz="4" w:space="0" w:color="auto"/>
              <w:right w:val="single" w:sz="4" w:space="0" w:color="auto"/>
            </w:tcBorders>
            <w:shd w:val="clear" w:color="auto" w:fill="auto"/>
            <w:noWrap/>
            <w:vAlign w:val="center"/>
            <w:hideMark/>
          </w:tcPr>
          <w:p w14:paraId="6BFE8D0F" w14:textId="77777777" w:rsidR="00E14932" w:rsidRPr="00F31E0D" w:rsidRDefault="00E14932" w:rsidP="007A3BFF">
            <w:pPr>
              <w:spacing w:after="0" w:line="240" w:lineRule="auto"/>
              <w:jc w:val="center"/>
              <w:rPr>
                <w:rFonts w:ascii="Verdana" w:eastAsia="Times New Roman" w:hAnsi="Verdana" w:cs="Times New Roman"/>
                <w:color w:val="000000"/>
                <w:kern w:val="0"/>
                <w:sz w:val="16"/>
                <w:szCs w:val="16"/>
                <w:lang w:eastAsia="es-CO"/>
                <w14:ligatures w14:val="none"/>
              </w:rPr>
            </w:pPr>
            <w:r w:rsidRPr="00F31E0D">
              <w:rPr>
                <w:rFonts w:ascii="Verdana" w:eastAsia="Times New Roman" w:hAnsi="Verdana" w:cs="Times New Roman"/>
                <w:color w:val="000000"/>
                <w:kern w:val="0"/>
                <w:sz w:val="16"/>
                <w:szCs w:val="16"/>
                <w:lang w:eastAsia="es-CO"/>
                <w14:ligatures w14:val="none"/>
              </w:rPr>
              <w:t>45.000.000,00</w:t>
            </w:r>
          </w:p>
        </w:tc>
        <w:tc>
          <w:tcPr>
            <w:tcW w:w="1457" w:type="dxa"/>
            <w:tcBorders>
              <w:top w:val="nil"/>
              <w:left w:val="nil"/>
              <w:bottom w:val="single" w:sz="4" w:space="0" w:color="auto"/>
              <w:right w:val="single" w:sz="4" w:space="0" w:color="auto"/>
            </w:tcBorders>
            <w:shd w:val="clear" w:color="auto" w:fill="auto"/>
            <w:vAlign w:val="center"/>
            <w:hideMark/>
          </w:tcPr>
          <w:p w14:paraId="1F7675E2" w14:textId="77777777" w:rsidR="00E14932" w:rsidRPr="00F31E0D" w:rsidRDefault="00E14932" w:rsidP="007A3BFF">
            <w:pPr>
              <w:spacing w:after="0" w:line="240" w:lineRule="auto"/>
              <w:jc w:val="center"/>
              <w:rPr>
                <w:rFonts w:ascii="Verdana" w:eastAsia="Times New Roman" w:hAnsi="Verdana" w:cs="Times New Roman"/>
                <w:color w:val="000000"/>
                <w:kern w:val="0"/>
                <w:sz w:val="16"/>
                <w:szCs w:val="16"/>
                <w:lang w:eastAsia="es-CO"/>
                <w14:ligatures w14:val="none"/>
              </w:rPr>
            </w:pPr>
            <w:r w:rsidRPr="00F31E0D">
              <w:rPr>
                <w:rFonts w:ascii="Verdana" w:eastAsia="Times New Roman" w:hAnsi="Verdana" w:cs="Times New Roman"/>
                <w:color w:val="000000"/>
                <w:kern w:val="0"/>
                <w:sz w:val="16"/>
                <w:szCs w:val="16"/>
                <w:lang w:eastAsia="es-CO"/>
                <w14:ligatures w14:val="none"/>
              </w:rPr>
              <w:t>723</w:t>
            </w:r>
          </w:p>
        </w:tc>
        <w:tc>
          <w:tcPr>
            <w:tcW w:w="1678" w:type="dxa"/>
            <w:tcBorders>
              <w:top w:val="nil"/>
              <w:left w:val="nil"/>
              <w:bottom w:val="single" w:sz="4" w:space="0" w:color="auto"/>
              <w:right w:val="single" w:sz="4" w:space="0" w:color="auto"/>
            </w:tcBorders>
            <w:shd w:val="clear" w:color="auto" w:fill="auto"/>
            <w:vAlign w:val="center"/>
            <w:hideMark/>
          </w:tcPr>
          <w:p w14:paraId="1E952C35" w14:textId="77777777" w:rsidR="00E14932" w:rsidRPr="00F31E0D" w:rsidRDefault="00E14932" w:rsidP="007A3BFF">
            <w:pPr>
              <w:spacing w:after="0" w:line="240" w:lineRule="auto"/>
              <w:jc w:val="center"/>
              <w:rPr>
                <w:rFonts w:ascii="Verdana" w:eastAsia="Times New Roman" w:hAnsi="Verdana" w:cs="Times New Roman"/>
                <w:color w:val="000000"/>
                <w:kern w:val="0"/>
                <w:sz w:val="16"/>
                <w:szCs w:val="16"/>
                <w:lang w:eastAsia="es-CO"/>
                <w14:ligatures w14:val="none"/>
              </w:rPr>
            </w:pPr>
            <w:r w:rsidRPr="00F31E0D">
              <w:rPr>
                <w:rFonts w:ascii="Verdana" w:eastAsia="Times New Roman" w:hAnsi="Verdana" w:cs="Times New Roman"/>
                <w:color w:val="000000"/>
                <w:kern w:val="0"/>
                <w:sz w:val="16"/>
                <w:szCs w:val="16"/>
                <w:lang w:eastAsia="es-CO"/>
                <w14:ligatures w14:val="none"/>
              </w:rPr>
              <w:t>44.932.610,12</w:t>
            </w:r>
          </w:p>
        </w:tc>
        <w:tc>
          <w:tcPr>
            <w:tcW w:w="1568" w:type="dxa"/>
            <w:tcBorders>
              <w:top w:val="nil"/>
              <w:left w:val="nil"/>
              <w:bottom w:val="single" w:sz="4" w:space="0" w:color="auto"/>
              <w:right w:val="single" w:sz="4" w:space="0" w:color="auto"/>
            </w:tcBorders>
            <w:shd w:val="clear" w:color="auto" w:fill="auto"/>
            <w:vAlign w:val="center"/>
            <w:hideMark/>
          </w:tcPr>
          <w:p w14:paraId="5BCD9D35" w14:textId="77777777" w:rsidR="00E14932" w:rsidRPr="00F31E0D" w:rsidRDefault="00E14932" w:rsidP="007A3BFF">
            <w:pPr>
              <w:spacing w:after="0" w:line="240" w:lineRule="auto"/>
              <w:jc w:val="center"/>
              <w:rPr>
                <w:rFonts w:ascii="Verdana" w:eastAsia="Times New Roman" w:hAnsi="Verdana" w:cs="Times New Roman"/>
                <w:color w:val="000000"/>
                <w:kern w:val="0"/>
                <w:sz w:val="16"/>
                <w:szCs w:val="16"/>
                <w:lang w:eastAsia="es-CO"/>
                <w14:ligatures w14:val="none"/>
              </w:rPr>
            </w:pPr>
            <w:r w:rsidRPr="00F31E0D">
              <w:rPr>
                <w:rFonts w:ascii="Verdana" w:eastAsia="Times New Roman" w:hAnsi="Verdana" w:cs="Times New Roman"/>
                <w:color w:val="000000"/>
                <w:kern w:val="0"/>
                <w:sz w:val="16"/>
                <w:szCs w:val="16"/>
                <w:lang w:eastAsia="es-CO"/>
                <w14:ligatures w14:val="none"/>
              </w:rPr>
              <w:t>44.932.610,12</w:t>
            </w:r>
          </w:p>
        </w:tc>
        <w:tc>
          <w:tcPr>
            <w:tcW w:w="1503" w:type="dxa"/>
            <w:tcBorders>
              <w:top w:val="nil"/>
              <w:left w:val="nil"/>
              <w:bottom w:val="single" w:sz="4" w:space="0" w:color="auto"/>
              <w:right w:val="single" w:sz="4" w:space="0" w:color="auto"/>
            </w:tcBorders>
            <w:shd w:val="clear" w:color="auto" w:fill="auto"/>
            <w:vAlign w:val="center"/>
            <w:hideMark/>
          </w:tcPr>
          <w:p w14:paraId="7A14DDAE" w14:textId="77777777" w:rsidR="00E14932" w:rsidRPr="00F31E0D" w:rsidRDefault="00E14932" w:rsidP="007A3BFF">
            <w:pPr>
              <w:spacing w:after="0" w:line="240" w:lineRule="auto"/>
              <w:jc w:val="center"/>
              <w:rPr>
                <w:rFonts w:ascii="Verdana" w:eastAsia="Times New Roman" w:hAnsi="Verdana" w:cs="Times New Roman"/>
                <w:color w:val="000000"/>
                <w:kern w:val="0"/>
                <w:sz w:val="16"/>
                <w:szCs w:val="16"/>
                <w:lang w:eastAsia="es-CO"/>
                <w14:ligatures w14:val="none"/>
              </w:rPr>
            </w:pPr>
          </w:p>
        </w:tc>
      </w:tr>
      <w:tr w:rsidR="00E14932" w:rsidRPr="00F31E0D" w14:paraId="110CCE1A" w14:textId="77777777" w:rsidTr="007A3BFF">
        <w:trPr>
          <w:trHeight w:val="817"/>
          <w:jc w:val="center"/>
        </w:trPr>
        <w:tc>
          <w:tcPr>
            <w:tcW w:w="3289" w:type="dxa"/>
            <w:tcBorders>
              <w:top w:val="nil"/>
              <w:left w:val="single" w:sz="4" w:space="0" w:color="auto"/>
              <w:bottom w:val="single" w:sz="4" w:space="0" w:color="auto"/>
              <w:right w:val="single" w:sz="4" w:space="0" w:color="auto"/>
            </w:tcBorders>
            <w:shd w:val="clear" w:color="auto" w:fill="auto"/>
            <w:vAlign w:val="bottom"/>
            <w:hideMark/>
          </w:tcPr>
          <w:p w14:paraId="69E1BDDF" w14:textId="77777777" w:rsidR="00E14932" w:rsidRPr="00F31E0D" w:rsidRDefault="00E14932" w:rsidP="007A3BFF">
            <w:pPr>
              <w:spacing w:after="0" w:line="240" w:lineRule="auto"/>
              <w:rPr>
                <w:rFonts w:ascii="Verdana" w:eastAsia="Times New Roman" w:hAnsi="Verdana" w:cs="Times New Roman"/>
                <w:color w:val="000000"/>
                <w:kern w:val="0"/>
                <w:sz w:val="16"/>
                <w:szCs w:val="16"/>
                <w:lang w:eastAsia="es-CO"/>
                <w14:ligatures w14:val="none"/>
              </w:rPr>
            </w:pPr>
            <w:r w:rsidRPr="00F31E0D">
              <w:rPr>
                <w:rFonts w:ascii="Verdana" w:eastAsia="Times New Roman" w:hAnsi="Verdana" w:cs="Times New Roman"/>
                <w:color w:val="000000"/>
                <w:kern w:val="0"/>
                <w:sz w:val="16"/>
                <w:szCs w:val="16"/>
                <w:lang w:eastAsia="es-CO"/>
                <w14:ligatures w14:val="none"/>
              </w:rPr>
              <w:t>Prorroga y adición Orden de Compra 85698 Servicio de conectividad de canal de INTERNET Orden de Compra por Acuerdo Marco de Precios- AMP - Prestación de Servicios de Conectividad III - CCENEG-024-1-2020 IPV6Renovación LACNIC</w:t>
            </w:r>
          </w:p>
        </w:tc>
        <w:tc>
          <w:tcPr>
            <w:tcW w:w="1459" w:type="dxa"/>
            <w:tcBorders>
              <w:top w:val="nil"/>
              <w:left w:val="nil"/>
              <w:bottom w:val="single" w:sz="4" w:space="0" w:color="auto"/>
              <w:right w:val="single" w:sz="4" w:space="0" w:color="auto"/>
            </w:tcBorders>
            <w:shd w:val="clear" w:color="auto" w:fill="auto"/>
            <w:noWrap/>
            <w:vAlign w:val="center"/>
            <w:hideMark/>
          </w:tcPr>
          <w:p w14:paraId="143DF9C4" w14:textId="77777777" w:rsidR="00E14932" w:rsidRPr="00F31E0D" w:rsidRDefault="00E14932" w:rsidP="007A3BFF">
            <w:pPr>
              <w:spacing w:after="0" w:line="240" w:lineRule="auto"/>
              <w:jc w:val="center"/>
              <w:rPr>
                <w:rFonts w:ascii="Verdana" w:eastAsia="Times New Roman" w:hAnsi="Verdana" w:cs="Times New Roman"/>
                <w:color w:val="000000"/>
                <w:kern w:val="0"/>
                <w:sz w:val="16"/>
                <w:szCs w:val="16"/>
                <w:lang w:eastAsia="es-CO"/>
                <w14:ligatures w14:val="none"/>
              </w:rPr>
            </w:pPr>
            <w:r w:rsidRPr="00F31E0D">
              <w:rPr>
                <w:rFonts w:ascii="Verdana" w:eastAsia="Times New Roman" w:hAnsi="Verdana" w:cs="Times New Roman"/>
                <w:color w:val="000000"/>
                <w:kern w:val="0"/>
                <w:sz w:val="16"/>
                <w:szCs w:val="16"/>
                <w:lang w:eastAsia="es-CO"/>
                <w14:ligatures w14:val="none"/>
              </w:rPr>
              <w:t>12.052.320,00</w:t>
            </w:r>
          </w:p>
        </w:tc>
        <w:tc>
          <w:tcPr>
            <w:tcW w:w="1457" w:type="dxa"/>
            <w:tcBorders>
              <w:top w:val="nil"/>
              <w:left w:val="nil"/>
              <w:bottom w:val="single" w:sz="4" w:space="0" w:color="auto"/>
              <w:right w:val="single" w:sz="4" w:space="0" w:color="auto"/>
            </w:tcBorders>
            <w:shd w:val="clear" w:color="auto" w:fill="auto"/>
            <w:vAlign w:val="center"/>
            <w:hideMark/>
          </w:tcPr>
          <w:p w14:paraId="28A3A14E" w14:textId="77777777" w:rsidR="00E14932" w:rsidRPr="00F31E0D" w:rsidRDefault="00E14932" w:rsidP="007A3BFF">
            <w:pPr>
              <w:spacing w:after="0" w:line="240" w:lineRule="auto"/>
              <w:jc w:val="center"/>
              <w:rPr>
                <w:rFonts w:ascii="Verdana" w:eastAsia="Times New Roman" w:hAnsi="Verdana" w:cs="Times New Roman"/>
                <w:color w:val="000000"/>
                <w:kern w:val="0"/>
                <w:sz w:val="16"/>
                <w:szCs w:val="16"/>
                <w:lang w:eastAsia="es-CO"/>
                <w14:ligatures w14:val="none"/>
              </w:rPr>
            </w:pPr>
            <w:r w:rsidRPr="00F31E0D">
              <w:rPr>
                <w:rFonts w:ascii="Verdana" w:eastAsia="Times New Roman" w:hAnsi="Verdana" w:cs="Times New Roman"/>
                <w:color w:val="000000"/>
                <w:kern w:val="0"/>
                <w:sz w:val="16"/>
                <w:szCs w:val="16"/>
                <w:lang w:eastAsia="es-CO"/>
                <w14:ligatures w14:val="none"/>
              </w:rPr>
              <w:t>823</w:t>
            </w:r>
          </w:p>
        </w:tc>
        <w:tc>
          <w:tcPr>
            <w:tcW w:w="1678" w:type="dxa"/>
            <w:tcBorders>
              <w:top w:val="nil"/>
              <w:left w:val="nil"/>
              <w:bottom w:val="single" w:sz="4" w:space="0" w:color="auto"/>
              <w:right w:val="single" w:sz="4" w:space="0" w:color="auto"/>
            </w:tcBorders>
            <w:shd w:val="clear" w:color="auto" w:fill="auto"/>
            <w:vAlign w:val="center"/>
            <w:hideMark/>
          </w:tcPr>
          <w:p w14:paraId="287003A8" w14:textId="77777777" w:rsidR="00E14932" w:rsidRPr="00F31E0D" w:rsidRDefault="00E14932" w:rsidP="007A3BFF">
            <w:pPr>
              <w:spacing w:after="0" w:line="240" w:lineRule="auto"/>
              <w:jc w:val="center"/>
              <w:rPr>
                <w:rFonts w:ascii="Verdana" w:eastAsia="Times New Roman" w:hAnsi="Verdana" w:cs="Times New Roman"/>
                <w:color w:val="000000"/>
                <w:kern w:val="0"/>
                <w:sz w:val="16"/>
                <w:szCs w:val="16"/>
                <w:lang w:eastAsia="es-CO"/>
                <w14:ligatures w14:val="none"/>
              </w:rPr>
            </w:pPr>
            <w:r w:rsidRPr="00F31E0D">
              <w:rPr>
                <w:rFonts w:ascii="Verdana" w:eastAsia="Times New Roman" w:hAnsi="Verdana" w:cs="Times New Roman"/>
                <w:color w:val="000000"/>
                <w:kern w:val="0"/>
                <w:sz w:val="16"/>
                <w:szCs w:val="16"/>
                <w:lang w:eastAsia="es-CO"/>
                <w14:ligatures w14:val="none"/>
              </w:rPr>
              <w:t>12.052.320,00</w:t>
            </w:r>
          </w:p>
        </w:tc>
        <w:tc>
          <w:tcPr>
            <w:tcW w:w="1568" w:type="dxa"/>
            <w:tcBorders>
              <w:top w:val="nil"/>
              <w:left w:val="nil"/>
              <w:bottom w:val="single" w:sz="4" w:space="0" w:color="auto"/>
              <w:right w:val="single" w:sz="4" w:space="0" w:color="auto"/>
            </w:tcBorders>
            <w:shd w:val="clear" w:color="auto" w:fill="auto"/>
            <w:vAlign w:val="center"/>
            <w:hideMark/>
          </w:tcPr>
          <w:p w14:paraId="6C490118" w14:textId="77777777" w:rsidR="00E14932" w:rsidRPr="00F31E0D" w:rsidRDefault="00E14932" w:rsidP="007A3BFF">
            <w:pPr>
              <w:spacing w:after="0" w:line="240" w:lineRule="auto"/>
              <w:jc w:val="center"/>
              <w:rPr>
                <w:rFonts w:ascii="Verdana" w:eastAsia="Times New Roman" w:hAnsi="Verdana" w:cs="Times New Roman"/>
                <w:color w:val="000000"/>
                <w:kern w:val="0"/>
                <w:sz w:val="16"/>
                <w:szCs w:val="16"/>
                <w:lang w:eastAsia="es-CO"/>
                <w14:ligatures w14:val="none"/>
              </w:rPr>
            </w:pPr>
            <w:r w:rsidRPr="00F31E0D">
              <w:rPr>
                <w:rFonts w:ascii="Verdana" w:eastAsia="Times New Roman" w:hAnsi="Verdana" w:cs="Times New Roman"/>
                <w:color w:val="000000"/>
                <w:kern w:val="0"/>
                <w:sz w:val="16"/>
                <w:szCs w:val="16"/>
                <w:lang w:eastAsia="es-CO"/>
                <w14:ligatures w14:val="none"/>
              </w:rPr>
              <w:t>12.052.320,00</w:t>
            </w:r>
          </w:p>
        </w:tc>
        <w:tc>
          <w:tcPr>
            <w:tcW w:w="1503" w:type="dxa"/>
            <w:tcBorders>
              <w:top w:val="nil"/>
              <w:left w:val="nil"/>
              <w:bottom w:val="single" w:sz="4" w:space="0" w:color="auto"/>
              <w:right w:val="single" w:sz="4" w:space="0" w:color="auto"/>
            </w:tcBorders>
            <w:shd w:val="clear" w:color="auto" w:fill="auto"/>
            <w:vAlign w:val="center"/>
            <w:hideMark/>
          </w:tcPr>
          <w:p w14:paraId="47BBF758" w14:textId="77777777" w:rsidR="00E14932" w:rsidRPr="00F31E0D" w:rsidRDefault="00E14932" w:rsidP="007A3BFF">
            <w:pPr>
              <w:spacing w:after="0" w:line="240" w:lineRule="auto"/>
              <w:jc w:val="center"/>
              <w:rPr>
                <w:rFonts w:ascii="Verdana" w:eastAsia="Times New Roman" w:hAnsi="Verdana" w:cs="Times New Roman"/>
                <w:color w:val="000000"/>
                <w:kern w:val="0"/>
                <w:sz w:val="16"/>
                <w:szCs w:val="16"/>
                <w:lang w:eastAsia="es-CO"/>
                <w14:ligatures w14:val="none"/>
              </w:rPr>
            </w:pPr>
          </w:p>
        </w:tc>
      </w:tr>
      <w:tr w:rsidR="00E14932" w:rsidRPr="00F31E0D" w14:paraId="1ACFF5EE" w14:textId="77777777" w:rsidTr="007A3BFF">
        <w:trPr>
          <w:trHeight w:val="817"/>
          <w:jc w:val="center"/>
        </w:trPr>
        <w:tc>
          <w:tcPr>
            <w:tcW w:w="3289" w:type="dxa"/>
            <w:tcBorders>
              <w:top w:val="nil"/>
              <w:left w:val="single" w:sz="4" w:space="0" w:color="auto"/>
              <w:bottom w:val="single" w:sz="4" w:space="0" w:color="auto"/>
              <w:right w:val="single" w:sz="4" w:space="0" w:color="auto"/>
            </w:tcBorders>
            <w:shd w:val="clear" w:color="auto" w:fill="auto"/>
            <w:vAlign w:val="bottom"/>
            <w:hideMark/>
          </w:tcPr>
          <w:p w14:paraId="334B7AD6" w14:textId="77777777" w:rsidR="00E14932" w:rsidRPr="00F31E0D" w:rsidRDefault="00E14932" w:rsidP="007A3BFF">
            <w:pPr>
              <w:spacing w:after="0" w:line="240" w:lineRule="auto"/>
              <w:rPr>
                <w:rFonts w:ascii="Verdana" w:eastAsia="Times New Roman" w:hAnsi="Verdana" w:cs="Times New Roman"/>
                <w:color w:val="000000"/>
                <w:kern w:val="0"/>
                <w:sz w:val="16"/>
                <w:szCs w:val="16"/>
                <w:lang w:eastAsia="es-CO"/>
                <w14:ligatures w14:val="none"/>
              </w:rPr>
            </w:pPr>
            <w:r w:rsidRPr="00F31E0D">
              <w:rPr>
                <w:rFonts w:ascii="Verdana" w:eastAsia="Times New Roman" w:hAnsi="Verdana" w:cs="Times New Roman"/>
                <w:color w:val="000000"/>
                <w:kern w:val="0"/>
                <w:sz w:val="16"/>
                <w:szCs w:val="16"/>
                <w:lang w:eastAsia="es-CO"/>
                <w14:ligatures w14:val="none"/>
              </w:rPr>
              <w:lastRenderedPageBreak/>
              <w:t>Prorroga y adición 1 al contrato 058/2022 Arrendamiento de una solución de telefonía IP, para la Agencia ITRC, que garantice la cobertura y disponibilidad en la comunicación interna y externa de la entidad, conforme a las especificaciones técnicas requeridas</w:t>
            </w:r>
          </w:p>
        </w:tc>
        <w:tc>
          <w:tcPr>
            <w:tcW w:w="1459" w:type="dxa"/>
            <w:tcBorders>
              <w:top w:val="nil"/>
              <w:left w:val="nil"/>
              <w:bottom w:val="single" w:sz="4" w:space="0" w:color="auto"/>
              <w:right w:val="single" w:sz="4" w:space="0" w:color="auto"/>
            </w:tcBorders>
            <w:shd w:val="clear" w:color="auto" w:fill="auto"/>
            <w:noWrap/>
            <w:vAlign w:val="center"/>
            <w:hideMark/>
          </w:tcPr>
          <w:p w14:paraId="71B430D7" w14:textId="77777777" w:rsidR="00E14932" w:rsidRPr="00F31E0D" w:rsidRDefault="00E14932" w:rsidP="007A3BFF">
            <w:pPr>
              <w:spacing w:after="0" w:line="240" w:lineRule="auto"/>
              <w:jc w:val="center"/>
              <w:rPr>
                <w:rFonts w:ascii="Verdana" w:eastAsia="Times New Roman" w:hAnsi="Verdana" w:cs="Times New Roman"/>
                <w:color w:val="000000"/>
                <w:kern w:val="0"/>
                <w:sz w:val="16"/>
                <w:szCs w:val="16"/>
                <w:lang w:eastAsia="es-CO"/>
                <w14:ligatures w14:val="none"/>
              </w:rPr>
            </w:pPr>
            <w:r w:rsidRPr="00F31E0D">
              <w:rPr>
                <w:rFonts w:ascii="Verdana" w:eastAsia="Times New Roman" w:hAnsi="Verdana" w:cs="Times New Roman"/>
                <w:color w:val="000000"/>
                <w:kern w:val="0"/>
                <w:sz w:val="16"/>
                <w:szCs w:val="16"/>
                <w:lang w:eastAsia="es-CO"/>
                <w14:ligatures w14:val="none"/>
              </w:rPr>
              <w:t>4.875.000,00</w:t>
            </w:r>
          </w:p>
        </w:tc>
        <w:tc>
          <w:tcPr>
            <w:tcW w:w="1457" w:type="dxa"/>
            <w:tcBorders>
              <w:top w:val="nil"/>
              <w:left w:val="nil"/>
              <w:bottom w:val="single" w:sz="4" w:space="0" w:color="auto"/>
              <w:right w:val="single" w:sz="4" w:space="0" w:color="auto"/>
            </w:tcBorders>
            <w:shd w:val="clear" w:color="auto" w:fill="auto"/>
            <w:vAlign w:val="center"/>
            <w:hideMark/>
          </w:tcPr>
          <w:p w14:paraId="28C2A4CA" w14:textId="77777777" w:rsidR="00E14932" w:rsidRPr="00F31E0D" w:rsidRDefault="00E14932" w:rsidP="007A3BFF">
            <w:pPr>
              <w:spacing w:after="0" w:line="240" w:lineRule="auto"/>
              <w:jc w:val="center"/>
              <w:rPr>
                <w:rFonts w:ascii="Verdana" w:eastAsia="Times New Roman" w:hAnsi="Verdana" w:cs="Times New Roman"/>
                <w:color w:val="000000"/>
                <w:kern w:val="0"/>
                <w:sz w:val="16"/>
                <w:szCs w:val="16"/>
                <w:lang w:eastAsia="es-CO"/>
                <w14:ligatures w14:val="none"/>
              </w:rPr>
            </w:pPr>
            <w:r w:rsidRPr="00F31E0D">
              <w:rPr>
                <w:rFonts w:ascii="Verdana" w:eastAsia="Times New Roman" w:hAnsi="Verdana" w:cs="Times New Roman"/>
                <w:color w:val="000000"/>
                <w:kern w:val="0"/>
                <w:sz w:val="16"/>
                <w:szCs w:val="16"/>
                <w:lang w:eastAsia="es-CO"/>
                <w14:ligatures w14:val="none"/>
              </w:rPr>
              <w:t>923</w:t>
            </w:r>
          </w:p>
        </w:tc>
        <w:tc>
          <w:tcPr>
            <w:tcW w:w="1678" w:type="dxa"/>
            <w:tcBorders>
              <w:top w:val="nil"/>
              <w:left w:val="nil"/>
              <w:bottom w:val="single" w:sz="4" w:space="0" w:color="auto"/>
              <w:right w:val="single" w:sz="4" w:space="0" w:color="auto"/>
            </w:tcBorders>
            <w:shd w:val="clear" w:color="auto" w:fill="auto"/>
            <w:vAlign w:val="center"/>
            <w:hideMark/>
          </w:tcPr>
          <w:p w14:paraId="4E389673" w14:textId="77777777" w:rsidR="00E14932" w:rsidRPr="00F31E0D" w:rsidRDefault="00E14932" w:rsidP="007A3BFF">
            <w:pPr>
              <w:spacing w:after="0" w:line="240" w:lineRule="auto"/>
              <w:jc w:val="center"/>
              <w:rPr>
                <w:rFonts w:ascii="Verdana" w:eastAsia="Times New Roman" w:hAnsi="Verdana" w:cs="Times New Roman"/>
                <w:color w:val="000000"/>
                <w:kern w:val="0"/>
                <w:sz w:val="16"/>
                <w:szCs w:val="16"/>
                <w:lang w:eastAsia="es-CO"/>
                <w14:ligatures w14:val="none"/>
              </w:rPr>
            </w:pPr>
            <w:r w:rsidRPr="00F31E0D">
              <w:rPr>
                <w:rFonts w:ascii="Verdana" w:eastAsia="Times New Roman" w:hAnsi="Verdana" w:cs="Times New Roman"/>
                <w:color w:val="000000"/>
                <w:kern w:val="0"/>
                <w:sz w:val="16"/>
                <w:szCs w:val="16"/>
                <w:lang w:eastAsia="es-CO"/>
                <w14:ligatures w14:val="none"/>
              </w:rPr>
              <w:t>4.875.000,00</w:t>
            </w:r>
          </w:p>
        </w:tc>
        <w:tc>
          <w:tcPr>
            <w:tcW w:w="1568" w:type="dxa"/>
            <w:tcBorders>
              <w:top w:val="nil"/>
              <w:left w:val="nil"/>
              <w:bottom w:val="single" w:sz="4" w:space="0" w:color="auto"/>
              <w:right w:val="single" w:sz="4" w:space="0" w:color="auto"/>
            </w:tcBorders>
            <w:shd w:val="clear" w:color="auto" w:fill="auto"/>
            <w:vAlign w:val="center"/>
            <w:hideMark/>
          </w:tcPr>
          <w:p w14:paraId="6BF0950A" w14:textId="77777777" w:rsidR="00E14932" w:rsidRPr="00F31E0D" w:rsidRDefault="00E14932" w:rsidP="007A3BFF">
            <w:pPr>
              <w:spacing w:after="0" w:line="240" w:lineRule="auto"/>
              <w:jc w:val="center"/>
              <w:rPr>
                <w:rFonts w:ascii="Verdana" w:eastAsia="Times New Roman" w:hAnsi="Verdana" w:cs="Times New Roman"/>
                <w:color w:val="000000"/>
                <w:kern w:val="0"/>
                <w:sz w:val="16"/>
                <w:szCs w:val="16"/>
                <w:lang w:eastAsia="es-CO"/>
                <w14:ligatures w14:val="none"/>
              </w:rPr>
            </w:pPr>
            <w:r w:rsidRPr="00F31E0D">
              <w:rPr>
                <w:rFonts w:ascii="Verdana" w:eastAsia="Times New Roman" w:hAnsi="Verdana" w:cs="Times New Roman"/>
                <w:color w:val="000000"/>
                <w:kern w:val="0"/>
                <w:sz w:val="16"/>
                <w:szCs w:val="16"/>
                <w:lang w:eastAsia="es-CO"/>
                <w14:ligatures w14:val="none"/>
              </w:rPr>
              <w:t>1.299.999,99</w:t>
            </w:r>
          </w:p>
        </w:tc>
        <w:tc>
          <w:tcPr>
            <w:tcW w:w="1503" w:type="dxa"/>
            <w:tcBorders>
              <w:top w:val="nil"/>
              <w:left w:val="nil"/>
              <w:bottom w:val="single" w:sz="4" w:space="0" w:color="auto"/>
              <w:right w:val="single" w:sz="4" w:space="0" w:color="auto"/>
            </w:tcBorders>
            <w:shd w:val="clear" w:color="auto" w:fill="auto"/>
            <w:vAlign w:val="center"/>
            <w:hideMark/>
          </w:tcPr>
          <w:p w14:paraId="0792839E" w14:textId="77777777" w:rsidR="00E14932" w:rsidRPr="00F31E0D" w:rsidRDefault="00E14932" w:rsidP="007A3BFF">
            <w:pPr>
              <w:spacing w:after="0" w:line="240" w:lineRule="auto"/>
              <w:jc w:val="center"/>
              <w:rPr>
                <w:rFonts w:ascii="Verdana" w:eastAsia="Times New Roman" w:hAnsi="Verdana" w:cs="Times New Roman"/>
                <w:color w:val="000000"/>
                <w:kern w:val="0"/>
                <w:sz w:val="16"/>
                <w:szCs w:val="16"/>
                <w:lang w:eastAsia="es-CO"/>
                <w14:ligatures w14:val="none"/>
              </w:rPr>
            </w:pPr>
          </w:p>
        </w:tc>
      </w:tr>
    </w:tbl>
    <w:p w14:paraId="371A6169" w14:textId="77777777" w:rsidR="00E14932" w:rsidRDefault="00E14932" w:rsidP="00E14932">
      <w:pPr>
        <w:jc w:val="both"/>
        <w:rPr>
          <w:rFonts w:ascii="Verdana" w:hAnsi="Verdana"/>
        </w:rPr>
      </w:pPr>
    </w:p>
    <w:p w14:paraId="0A17CA98" w14:textId="77777777" w:rsidR="00E14932" w:rsidRPr="00684AB8" w:rsidRDefault="00E14932" w:rsidP="00E14932">
      <w:pPr>
        <w:jc w:val="both"/>
        <w:rPr>
          <w:rFonts w:ascii="Verdana" w:hAnsi="Verdana"/>
          <w:b/>
          <w:bCs/>
          <w:i/>
          <w:iCs/>
        </w:rPr>
      </w:pPr>
      <w:r w:rsidRPr="00684AB8">
        <w:rPr>
          <w:rFonts w:ascii="Verdana" w:hAnsi="Verdana"/>
          <w:b/>
          <w:bCs/>
          <w:i/>
          <w:iCs/>
        </w:rPr>
        <w:t>VIGENCIA 2024</w:t>
      </w:r>
    </w:p>
    <w:tbl>
      <w:tblPr>
        <w:tblW w:w="10924" w:type="dxa"/>
        <w:jc w:val="center"/>
        <w:tblCellMar>
          <w:left w:w="70" w:type="dxa"/>
          <w:right w:w="70" w:type="dxa"/>
        </w:tblCellMar>
        <w:tblLook w:val="04A0" w:firstRow="1" w:lastRow="0" w:firstColumn="1" w:lastColumn="0" w:noHBand="0" w:noVBand="1"/>
      </w:tblPr>
      <w:tblGrid>
        <w:gridCol w:w="3972"/>
        <w:gridCol w:w="1934"/>
        <w:gridCol w:w="1454"/>
        <w:gridCol w:w="1676"/>
        <w:gridCol w:w="1888"/>
      </w:tblGrid>
      <w:tr w:rsidR="00E14932" w:rsidRPr="0040009F" w14:paraId="7082ECFA" w14:textId="77777777" w:rsidTr="007A3BFF">
        <w:trPr>
          <w:trHeight w:val="309"/>
          <w:jc w:val="center"/>
        </w:trPr>
        <w:tc>
          <w:tcPr>
            <w:tcW w:w="10924"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DC3EDB4" w14:textId="77777777" w:rsidR="00E14932" w:rsidRPr="0040009F" w:rsidRDefault="00E14932" w:rsidP="007A3BFF">
            <w:pPr>
              <w:spacing w:after="0" w:line="240" w:lineRule="auto"/>
              <w:jc w:val="center"/>
              <w:rPr>
                <w:rFonts w:ascii="Verdana" w:eastAsia="Times New Roman" w:hAnsi="Verdana" w:cs="Times New Roman"/>
                <w:b/>
                <w:bCs/>
                <w:color w:val="000000"/>
                <w:kern w:val="0"/>
                <w:sz w:val="16"/>
                <w:szCs w:val="16"/>
                <w:lang w:eastAsia="es-CO"/>
                <w14:ligatures w14:val="none"/>
              </w:rPr>
            </w:pPr>
            <w:r w:rsidRPr="0040009F">
              <w:rPr>
                <w:rFonts w:ascii="Verdana" w:eastAsia="Times New Roman" w:hAnsi="Verdana" w:cs="Times New Roman"/>
                <w:b/>
                <w:bCs/>
                <w:color w:val="000000"/>
                <w:kern w:val="0"/>
                <w:sz w:val="16"/>
                <w:szCs w:val="16"/>
                <w:lang w:eastAsia="es-CO"/>
                <w14:ligatures w14:val="none"/>
              </w:rPr>
              <w:t>VIGENCIAS FUTURAS AUTORIZADAS 2024</w:t>
            </w:r>
          </w:p>
        </w:tc>
      </w:tr>
      <w:tr w:rsidR="00E14932" w:rsidRPr="0040009F" w14:paraId="16056B6D" w14:textId="77777777" w:rsidTr="007A3BFF">
        <w:trPr>
          <w:trHeight w:val="654"/>
          <w:jc w:val="center"/>
        </w:trPr>
        <w:tc>
          <w:tcPr>
            <w:tcW w:w="3972" w:type="dxa"/>
            <w:tcBorders>
              <w:top w:val="nil"/>
              <w:left w:val="single" w:sz="4" w:space="0" w:color="auto"/>
              <w:bottom w:val="single" w:sz="4" w:space="0" w:color="auto"/>
              <w:right w:val="single" w:sz="4" w:space="0" w:color="auto"/>
            </w:tcBorders>
            <w:shd w:val="clear" w:color="auto" w:fill="auto"/>
            <w:noWrap/>
            <w:vAlign w:val="center"/>
            <w:hideMark/>
          </w:tcPr>
          <w:p w14:paraId="69CA23CF" w14:textId="77777777" w:rsidR="00E14932" w:rsidRPr="0040009F" w:rsidRDefault="00E14932" w:rsidP="007A3BFF">
            <w:pPr>
              <w:spacing w:after="0" w:line="240" w:lineRule="auto"/>
              <w:jc w:val="center"/>
              <w:rPr>
                <w:rFonts w:ascii="Verdana" w:eastAsia="Times New Roman" w:hAnsi="Verdana" w:cs="Times New Roman"/>
                <w:b/>
                <w:bCs/>
                <w:kern w:val="0"/>
                <w:sz w:val="16"/>
                <w:szCs w:val="16"/>
                <w:lang w:eastAsia="es-CO"/>
                <w14:ligatures w14:val="none"/>
              </w:rPr>
            </w:pPr>
            <w:r w:rsidRPr="0040009F">
              <w:rPr>
                <w:rFonts w:ascii="Verdana" w:eastAsia="Times New Roman" w:hAnsi="Verdana" w:cs="Times New Roman"/>
                <w:b/>
                <w:bCs/>
                <w:kern w:val="0"/>
                <w:sz w:val="16"/>
                <w:szCs w:val="16"/>
                <w:lang w:eastAsia="es-CO"/>
                <w14:ligatures w14:val="none"/>
              </w:rPr>
              <w:t>OBJETO DE LA SOLICITUD</w:t>
            </w:r>
          </w:p>
        </w:tc>
        <w:tc>
          <w:tcPr>
            <w:tcW w:w="1934" w:type="dxa"/>
            <w:tcBorders>
              <w:top w:val="nil"/>
              <w:left w:val="nil"/>
              <w:bottom w:val="single" w:sz="4" w:space="0" w:color="auto"/>
              <w:right w:val="single" w:sz="4" w:space="0" w:color="auto"/>
            </w:tcBorders>
            <w:shd w:val="clear" w:color="auto" w:fill="auto"/>
            <w:noWrap/>
            <w:vAlign w:val="center"/>
            <w:hideMark/>
          </w:tcPr>
          <w:p w14:paraId="0ACCB91C" w14:textId="77777777" w:rsidR="00E14932" w:rsidRPr="0040009F" w:rsidRDefault="00E14932" w:rsidP="007A3BFF">
            <w:pPr>
              <w:spacing w:after="0" w:line="240" w:lineRule="auto"/>
              <w:jc w:val="center"/>
              <w:rPr>
                <w:rFonts w:ascii="Verdana" w:eastAsia="Times New Roman" w:hAnsi="Verdana" w:cs="Times New Roman"/>
                <w:b/>
                <w:bCs/>
                <w:kern w:val="0"/>
                <w:sz w:val="16"/>
                <w:szCs w:val="16"/>
                <w:lang w:eastAsia="es-CO"/>
                <w14:ligatures w14:val="none"/>
              </w:rPr>
            </w:pPr>
            <w:r w:rsidRPr="0040009F">
              <w:rPr>
                <w:rFonts w:ascii="Verdana" w:eastAsia="Times New Roman" w:hAnsi="Verdana" w:cs="Times New Roman"/>
                <w:b/>
                <w:bCs/>
                <w:kern w:val="0"/>
                <w:sz w:val="16"/>
                <w:szCs w:val="16"/>
                <w:lang w:eastAsia="es-CO"/>
                <w14:ligatures w14:val="none"/>
              </w:rPr>
              <w:t>VALOR</w:t>
            </w:r>
          </w:p>
        </w:tc>
        <w:tc>
          <w:tcPr>
            <w:tcW w:w="1454" w:type="dxa"/>
            <w:tcBorders>
              <w:top w:val="nil"/>
              <w:left w:val="nil"/>
              <w:bottom w:val="single" w:sz="4" w:space="0" w:color="auto"/>
              <w:right w:val="single" w:sz="4" w:space="0" w:color="auto"/>
            </w:tcBorders>
            <w:shd w:val="clear" w:color="auto" w:fill="auto"/>
            <w:vAlign w:val="center"/>
            <w:hideMark/>
          </w:tcPr>
          <w:p w14:paraId="6AE612C7" w14:textId="77777777" w:rsidR="00E14932" w:rsidRPr="0040009F" w:rsidRDefault="00E14932" w:rsidP="007A3BFF">
            <w:pPr>
              <w:spacing w:after="0" w:line="240" w:lineRule="auto"/>
              <w:jc w:val="center"/>
              <w:rPr>
                <w:rFonts w:ascii="Verdana" w:eastAsia="Times New Roman" w:hAnsi="Verdana" w:cs="Times New Roman"/>
                <w:b/>
                <w:bCs/>
                <w:kern w:val="0"/>
                <w:sz w:val="16"/>
                <w:szCs w:val="16"/>
                <w:lang w:eastAsia="es-CO"/>
                <w14:ligatures w14:val="none"/>
              </w:rPr>
            </w:pPr>
            <w:r w:rsidRPr="0040009F">
              <w:rPr>
                <w:rFonts w:ascii="Verdana" w:eastAsia="Times New Roman" w:hAnsi="Verdana" w:cs="Times New Roman"/>
                <w:b/>
                <w:bCs/>
                <w:kern w:val="0"/>
                <w:sz w:val="16"/>
                <w:szCs w:val="16"/>
                <w:lang w:eastAsia="es-CO"/>
                <w14:ligatures w14:val="none"/>
              </w:rPr>
              <w:t>Nro. REGISTRO PRSUPUESTAL</w:t>
            </w:r>
          </w:p>
        </w:tc>
        <w:tc>
          <w:tcPr>
            <w:tcW w:w="1676" w:type="dxa"/>
            <w:tcBorders>
              <w:top w:val="nil"/>
              <w:left w:val="nil"/>
              <w:bottom w:val="single" w:sz="4" w:space="0" w:color="auto"/>
              <w:right w:val="single" w:sz="4" w:space="0" w:color="auto"/>
            </w:tcBorders>
            <w:shd w:val="clear" w:color="auto" w:fill="auto"/>
            <w:vAlign w:val="center"/>
            <w:hideMark/>
          </w:tcPr>
          <w:p w14:paraId="176B518F" w14:textId="77777777" w:rsidR="00E14932" w:rsidRPr="0040009F" w:rsidRDefault="00E14932" w:rsidP="007A3BFF">
            <w:pPr>
              <w:spacing w:after="0" w:line="240" w:lineRule="auto"/>
              <w:jc w:val="center"/>
              <w:rPr>
                <w:rFonts w:ascii="Verdana" w:eastAsia="Times New Roman" w:hAnsi="Verdana" w:cs="Times New Roman"/>
                <w:b/>
                <w:bCs/>
                <w:kern w:val="0"/>
                <w:sz w:val="16"/>
                <w:szCs w:val="16"/>
                <w:lang w:eastAsia="es-CO"/>
                <w14:ligatures w14:val="none"/>
              </w:rPr>
            </w:pPr>
            <w:r w:rsidRPr="0040009F">
              <w:rPr>
                <w:rFonts w:ascii="Verdana" w:eastAsia="Times New Roman" w:hAnsi="Verdana" w:cs="Times New Roman"/>
                <w:b/>
                <w:bCs/>
                <w:kern w:val="0"/>
                <w:sz w:val="16"/>
                <w:szCs w:val="16"/>
                <w:lang w:eastAsia="es-CO"/>
                <w14:ligatures w14:val="none"/>
              </w:rPr>
              <w:t>VALOR COMPROMETIDO</w:t>
            </w:r>
          </w:p>
        </w:tc>
        <w:tc>
          <w:tcPr>
            <w:tcW w:w="1887" w:type="dxa"/>
            <w:tcBorders>
              <w:top w:val="nil"/>
              <w:left w:val="nil"/>
              <w:bottom w:val="single" w:sz="4" w:space="0" w:color="auto"/>
              <w:right w:val="single" w:sz="4" w:space="0" w:color="auto"/>
            </w:tcBorders>
            <w:shd w:val="clear" w:color="auto" w:fill="auto"/>
            <w:noWrap/>
            <w:vAlign w:val="bottom"/>
            <w:hideMark/>
          </w:tcPr>
          <w:p w14:paraId="0B2498C5" w14:textId="77777777" w:rsidR="00E14932" w:rsidRPr="0040009F" w:rsidRDefault="00E14932" w:rsidP="007A3BFF">
            <w:pPr>
              <w:spacing w:after="0" w:line="240" w:lineRule="auto"/>
              <w:jc w:val="center"/>
              <w:rPr>
                <w:rFonts w:ascii="Verdana" w:eastAsia="Times New Roman" w:hAnsi="Verdana" w:cs="Times New Roman"/>
                <w:b/>
                <w:bCs/>
                <w:kern w:val="0"/>
                <w:sz w:val="16"/>
                <w:szCs w:val="16"/>
                <w:lang w:eastAsia="es-CO"/>
                <w14:ligatures w14:val="none"/>
              </w:rPr>
            </w:pPr>
            <w:r w:rsidRPr="0040009F">
              <w:rPr>
                <w:rFonts w:ascii="Verdana" w:eastAsia="Times New Roman" w:hAnsi="Verdana" w:cs="Times New Roman"/>
                <w:b/>
                <w:bCs/>
                <w:kern w:val="0"/>
                <w:sz w:val="16"/>
                <w:szCs w:val="16"/>
                <w:lang w:eastAsia="es-CO"/>
                <w14:ligatures w14:val="none"/>
              </w:rPr>
              <w:t>VALOR PAGADO 2024</w:t>
            </w:r>
          </w:p>
        </w:tc>
      </w:tr>
      <w:tr w:rsidR="00E14932" w:rsidRPr="0040009F" w14:paraId="2DD6B6BD" w14:textId="77777777" w:rsidTr="007A3BFF">
        <w:trPr>
          <w:trHeight w:val="902"/>
          <w:jc w:val="center"/>
        </w:trPr>
        <w:tc>
          <w:tcPr>
            <w:tcW w:w="3972" w:type="dxa"/>
            <w:tcBorders>
              <w:top w:val="nil"/>
              <w:left w:val="single" w:sz="4" w:space="0" w:color="auto"/>
              <w:bottom w:val="single" w:sz="4" w:space="0" w:color="auto"/>
              <w:right w:val="single" w:sz="4" w:space="0" w:color="auto"/>
            </w:tcBorders>
            <w:shd w:val="clear" w:color="auto" w:fill="auto"/>
            <w:vAlign w:val="bottom"/>
            <w:hideMark/>
          </w:tcPr>
          <w:p w14:paraId="68F6EE5D" w14:textId="77777777" w:rsidR="00E14932" w:rsidRPr="0040009F" w:rsidRDefault="00E14932" w:rsidP="007A3BFF">
            <w:pPr>
              <w:spacing w:after="0" w:line="240" w:lineRule="auto"/>
              <w:rPr>
                <w:rFonts w:ascii="Verdana" w:eastAsia="Times New Roman" w:hAnsi="Verdana" w:cs="Times New Roman"/>
                <w:color w:val="000000"/>
                <w:kern w:val="0"/>
                <w:sz w:val="16"/>
                <w:szCs w:val="16"/>
                <w:lang w:eastAsia="es-CO"/>
                <w14:ligatures w14:val="none"/>
              </w:rPr>
            </w:pPr>
            <w:r w:rsidRPr="0040009F">
              <w:rPr>
                <w:rFonts w:ascii="Verdana" w:eastAsia="Times New Roman" w:hAnsi="Verdana" w:cs="Times New Roman"/>
                <w:color w:val="000000"/>
                <w:kern w:val="0"/>
                <w:sz w:val="16"/>
                <w:szCs w:val="16"/>
                <w:lang w:eastAsia="es-CO"/>
                <w14:ligatures w14:val="none"/>
              </w:rPr>
              <w:t>Cont. 084/2022 Prestación del servicio de correo urbano, nacional e internacional para la admisión, curso y entrega a domicilio de manera oportuna, segura y efectiva, de la correspondencia oficial y demás envíos postales.</w:t>
            </w:r>
          </w:p>
        </w:tc>
        <w:tc>
          <w:tcPr>
            <w:tcW w:w="1934" w:type="dxa"/>
            <w:tcBorders>
              <w:top w:val="nil"/>
              <w:left w:val="nil"/>
              <w:bottom w:val="single" w:sz="4" w:space="0" w:color="auto"/>
              <w:right w:val="single" w:sz="4" w:space="0" w:color="auto"/>
            </w:tcBorders>
            <w:shd w:val="clear" w:color="auto" w:fill="auto"/>
            <w:noWrap/>
            <w:vAlign w:val="center"/>
            <w:hideMark/>
          </w:tcPr>
          <w:p w14:paraId="642367B5" w14:textId="77777777" w:rsidR="00E14932" w:rsidRPr="0040009F" w:rsidRDefault="00E14932" w:rsidP="007A3BFF">
            <w:pPr>
              <w:spacing w:after="0" w:line="240" w:lineRule="auto"/>
              <w:jc w:val="right"/>
              <w:rPr>
                <w:rFonts w:ascii="Verdana" w:eastAsia="Times New Roman" w:hAnsi="Verdana" w:cs="Times New Roman"/>
                <w:color w:val="000000"/>
                <w:kern w:val="0"/>
                <w:sz w:val="16"/>
                <w:szCs w:val="16"/>
                <w:lang w:eastAsia="es-CO"/>
                <w14:ligatures w14:val="none"/>
              </w:rPr>
            </w:pPr>
            <w:r w:rsidRPr="0040009F">
              <w:rPr>
                <w:rFonts w:ascii="Verdana" w:eastAsia="Times New Roman" w:hAnsi="Verdana" w:cs="Times New Roman"/>
                <w:color w:val="000000"/>
                <w:kern w:val="0"/>
                <w:sz w:val="16"/>
                <w:szCs w:val="16"/>
                <w:lang w:eastAsia="es-CO"/>
                <w14:ligatures w14:val="none"/>
              </w:rPr>
              <w:t>68.986.080,00</w:t>
            </w:r>
          </w:p>
        </w:tc>
        <w:tc>
          <w:tcPr>
            <w:tcW w:w="1454" w:type="dxa"/>
            <w:tcBorders>
              <w:top w:val="nil"/>
              <w:left w:val="nil"/>
              <w:bottom w:val="single" w:sz="4" w:space="0" w:color="auto"/>
              <w:right w:val="single" w:sz="4" w:space="0" w:color="auto"/>
            </w:tcBorders>
            <w:shd w:val="clear" w:color="auto" w:fill="auto"/>
            <w:vAlign w:val="center"/>
            <w:hideMark/>
          </w:tcPr>
          <w:p w14:paraId="3D4E899C" w14:textId="77777777" w:rsidR="00E14932" w:rsidRPr="0040009F" w:rsidRDefault="00E14932" w:rsidP="007A3BFF">
            <w:pPr>
              <w:spacing w:after="0" w:line="240" w:lineRule="auto"/>
              <w:jc w:val="right"/>
              <w:rPr>
                <w:rFonts w:ascii="Verdana" w:eastAsia="Times New Roman" w:hAnsi="Verdana" w:cs="Times New Roman"/>
                <w:color w:val="000000"/>
                <w:kern w:val="0"/>
                <w:sz w:val="16"/>
                <w:szCs w:val="16"/>
                <w:lang w:eastAsia="es-CO"/>
                <w14:ligatures w14:val="none"/>
              </w:rPr>
            </w:pPr>
            <w:r w:rsidRPr="0040009F">
              <w:rPr>
                <w:rFonts w:ascii="Verdana" w:eastAsia="Times New Roman" w:hAnsi="Verdana" w:cs="Times New Roman"/>
                <w:color w:val="000000"/>
                <w:kern w:val="0"/>
                <w:sz w:val="16"/>
                <w:szCs w:val="16"/>
                <w:lang w:eastAsia="es-CO"/>
                <w14:ligatures w14:val="none"/>
              </w:rPr>
              <w:t>124</w:t>
            </w:r>
          </w:p>
        </w:tc>
        <w:tc>
          <w:tcPr>
            <w:tcW w:w="1676" w:type="dxa"/>
            <w:tcBorders>
              <w:top w:val="nil"/>
              <w:left w:val="nil"/>
              <w:bottom w:val="single" w:sz="4" w:space="0" w:color="auto"/>
              <w:right w:val="single" w:sz="4" w:space="0" w:color="auto"/>
            </w:tcBorders>
            <w:shd w:val="clear" w:color="auto" w:fill="auto"/>
            <w:noWrap/>
            <w:vAlign w:val="center"/>
            <w:hideMark/>
          </w:tcPr>
          <w:p w14:paraId="0901ED02" w14:textId="77777777" w:rsidR="00E14932" w:rsidRPr="0040009F" w:rsidRDefault="00E14932" w:rsidP="007A3BFF">
            <w:pPr>
              <w:spacing w:after="0" w:line="240" w:lineRule="auto"/>
              <w:jc w:val="right"/>
              <w:rPr>
                <w:rFonts w:ascii="Verdana" w:eastAsia="Times New Roman" w:hAnsi="Verdana" w:cs="Times New Roman"/>
                <w:color w:val="000000"/>
                <w:kern w:val="0"/>
                <w:sz w:val="16"/>
                <w:szCs w:val="16"/>
                <w:lang w:eastAsia="es-CO"/>
                <w14:ligatures w14:val="none"/>
              </w:rPr>
            </w:pPr>
            <w:r w:rsidRPr="0040009F">
              <w:rPr>
                <w:rFonts w:ascii="Verdana" w:eastAsia="Times New Roman" w:hAnsi="Verdana" w:cs="Times New Roman"/>
                <w:color w:val="000000"/>
                <w:kern w:val="0"/>
                <w:sz w:val="16"/>
                <w:szCs w:val="16"/>
                <w:lang w:eastAsia="es-CO"/>
                <w14:ligatures w14:val="none"/>
              </w:rPr>
              <w:t>68.986.080,00</w:t>
            </w:r>
          </w:p>
        </w:tc>
        <w:tc>
          <w:tcPr>
            <w:tcW w:w="1887" w:type="dxa"/>
            <w:tcBorders>
              <w:top w:val="nil"/>
              <w:left w:val="nil"/>
              <w:bottom w:val="single" w:sz="4" w:space="0" w:color="auto"/>
              <w:right w:val="single" w:sz="4" w:space="0" w:color="auto"/>
            </w:tcBorders>
            <w:shd w:val="clear" w:color="auto" w:fill="auto"/>
            <w:noWrap/>
            <w:vAlign w:val="center"/>
            <w:hideMark/>
          </w:tcPr>
          <w:p w14:paraId="29EE1635" w14:textId="77777777" w:rsidR="00E14932" w:rsidRPr="0040009F" w:rsidRDefault="00E14932" w:rsidP="007A3BFF">
            <w:pPr>
              <w:spacing w:after="0" w:line="240" w:lineRule="auto"/>
              <w:jc w:val="right"/>
              <w:rPr>
                <w:rFonts w:ascii="Verdana" w:eastAsia="Times New Roman" w:hAnsi="Verdana" w:cs="Times New Roman"/>
                <w:color w:val="000000"/>
                <w:kern w:val="0"/>
                <w:sz w:val="16"/>
                <w:szCs w:val="16"/>
                <w:lang w:eastAsia="es-CO"/>
                <w14:ligatures w14:val="none"/>
              </w:rPr>
            </w:pPr>
            <w:r w:rsidRPr="0040009F">
              <w:rPr>
                <w:rFonts w:ascii="Verdana" w:eastAsia="Times New Roman" w:hAnsi="Verdana" w:cs="Times New Roman"/>
                <w:color w:val="000000"/>
                <w:kern w:val="0"/>
                <w:sz w:val="16"/>
                <w:szCs w:val="16"/>
                <w:lang w:eastAsia="es-CO"/>
                <w14:ligatures w14:val="none"/>
              </w:rPr>
              <w:t>19.208.868,00</w:t>
            </w:r>
          </w:p>
        </w:tc>
      </w:tr>
      <w:tr w:rsidR="00E14932" w:rsidRPr="0040009F" w14:paraId="77CC45BF" w14:textId="77777777" w:rsidTr="007A3BFF">
        <w:trPr>
          <w:trHeight w:val="1122"/>
          <w:jc w:val="center"/>
        </w:trPr>
        <w:tc>
          <w:tcPr>
            <w:tcW w:w="3972" w:type="dxa"/>
            <w:tcBorders>
              <w:top w:val="nil"/>
              <w:left w:val="single" w:sz="4" w:space="0" w:color="auto"/>
              <w:bottom w:val="single" w:sz="4" w:space="0" w:color="auto"/>
              <w:right w:val="single" w:sz="4" w:space="0" w:color="auto"/>
            </w:tcBorders>
            <w:shd w:val="clear" w:color="auto" w:fill="auto"/>
            <w:vAlign w:val="bottom"/>
            <w:hideMark/>
          </w:tcPr>
          <w:p w14:paraId="212D2F14" w14:textId="77777777" w:rsidR="00E14932" w:rsidRPr="0040009F" w:rsidRDefault="00E14932" w:rsidP="007A3BFF">
            <w:pPr>
              <w:spacing w:after="0" w:line="240" w:lineRule="auto"/>
              <w:rPr>
                <w:rFonts w:ascii="Verdana" w:eastAsia="Times New Roman" w:hAnsi="Verdana" w:cs="Times New Roman"/>
                <w:color w:val="000000"/>
                <w:kern w:val="0"/>
                <w:sz w:val="16"/>
                <w:szCs w:val="16"/>
                <w:lang w:eastAsia="es-CO"/>
                <w14:ligatures w14:val="none"/>
              </w:rPr>
            </w:pPr>
            <w:r w:rsidRPr="0040009F">
              <w:rPr>
                <w:rFonts w:ascii="Verdana" w:eastAsia="Times New Roman" w:hAnsi="Verdana" w:cs="Times New Roman"/>
                <w:color w:val="000000"/>
                <w:kern w:val="0"/>
                <w:sz w:val="16"/>
                <w:szCs w:val="16"/>
                <w:lang w:eastAsia="es-CO"/>
                <w14:ligatures w14:val="none"/>
              </w:rPr>
              <w:t>O.C 110215 Servicio de conectividad de canal de INTERNET y renovación de la membresía del POOL direccionamiento IPV6 con Orden de Compra por Acuerdo Marco de Precios- AMP - Prestación de Servicios de Conectividad III - CCENEG-248-AMP-2020.</w:t>
            </w:r>
          </w:p>
        </w:tc>
        <w:tc>
          <w:tcPr>
            <w:tcW w:w="1934" w:type="dxa"/>
            <w:tcBorders>
              <w:top w:val="nil"/>
              <w:left w:val="nil"/>
              <w:bottom w:val="single" w:sz="4" w:space="0" w:color="auto"/>
              <w:right w:val="single" w:sz="4" w:space="0" w:color="auto"/>
            </w:tcBorders>
            <w:shd w:val="clear" w:color="auto" w:fill="auto"/>
            <w:noWrap/>
            <w:vAlign w:val="center"/>
            <w:hideMark/>
          </w:tcPr>
          <w:p w14:paraId="5D73D181" w14:textId="77777777" w:rsidR="00E14932" w:rsidRPr="0040009F" w:rsidRDefault="00E14932" w:rsidP="007A3BFF">
            <w:pPr>
              <w:spacing w:after="0" w:line="240" w:lineRule="auto"/>
              <w:jc w:val="right"/>
              <w:rPr>
                <w:rFonts w:ascii="Verdana" w:eastAsia="Times New Roman" w:hAnsi="Verdana" w:cs="Times New Roman"/>
                <w:color w:val="000000"/>
                <w:kern w:val="0"/>
                <w:sz w:val="16"/>
                <w:szCs w:val="16"/>
                <w:lang w:eastAsia="es-CO"/>
                <w14:ligatures w14:val="none"/>
              </w:rPr>
            </w:pPr>
            <w:r w:rsidRPr="0040009F">
              <w:rPr>
                <w:rFonts w:ascii="Verdana" w:eastAsia="Times New Roman" w:hAnsi="Verdana" w:cs="Times New Roman"/>
                <w:color w:val="000000"/>
                <w:kern w:val="0"/>
                <w:sz w:val="16"/>
                <w:szCs w:val="16"/>
                <w:lang w:eastAsia="es-CO"/>
                <w14:ligatures w14:val="none"/>
              </w:rPr>
              <w:t>95.077.972,00</w:t>
            </w:r>
          </w:p>
        </w:tc>
        <w:tc>
          <w:tcPr>
            <w:tcW w:w="1454" w:type="dxa"/>
            <w:tcBorders>
              <w:top w:val="nil"/>
              <w:left w:val="nil"/>
              <w:bottom w:val="single" w:sz="4" w:space="0" w:color="auto"/>
              <w:right w:val="single" w:sz="4" w:space="0" w:color="auto"/>
            </w:tcBorders>
            <w:shd w:val="clear" w:color="auto" w:fill="auto"/>
            <w:vAlign w:val="center"/>
            <w:hideMark/>
          </w:tcPr>
          <w:p w14:paraId="3F392764" w14:textId="77777777" w:rsidR="00E14932" w:rsidRPr="0040009F" w:rsidRDefault="00E14932" w:rsidP="007A3BFF">
            <w:pPr>
              <w:spacing w:after="0" w:line="240" w:lineRule="auto"/>
              <w:jc w:val="right"/>
              <w:rPr>
                <w:rFonts w:ascii="Verdana" w:eastAsia="Times New Roman" w:hAnsi="Verdana" w:cs="Times New Roman"/>
                <w:color w:val="000000"/>
                <w:kern w:val="0"/>
                <w:sz w:val="16"/>
                <w:szCs w:val="16"/>
                <w:lang w:eastAsia="es-CO"/>
                <w14:ligatures w14:val="none"/>
              </w:rPr>
            </w:pPr>
            <w:r w:rsidRPr="0040009F">
              <w:rPr>
                <w:rFonts w:ascii="Verdana" w:eastAsia="Times New Roman" w:hAnsi="Verdana" w:cs="Times New Roman"/>
                <w:color w:val="000000"/>
                <w:kern w:val="0"/>
                <w:sz w:val="16"/>
                <w:szCs w:val="16"/>
                <w:lang w:eastAsia="es-CO"/>
                <w14:ligatures w14:val="none"/>
              </w:rPr>
              <w:t>224</w:t>
            </w:r>
          </w:p>
        </w:tc>
        <w:tc>
          <w:tcPr>
            <w:tcW w:w="1676" w:type="dxa"/>
            <w:tcBorders>
              <w:top w:val="nil"/>
              <w:left w:val="nil"/>
              <w:bottom w:val="single" w:sz="4" w:space="0" w:color="auto"/>
              <w:right w:val="single" w:sz="4" w:space="0" w:color="auto"/>
            </w:tcBorders>
            <w:shd w:val="clear" w:color="auto" w:fill="auto"/>
            <w:noWrap/>
            <w:vAlign w:val="center"/>
            <w:hideMark/>
          </w:tcPr>
          <w:p w14:paraId="0EA905E4" w14:textId="77777777" w:rsidR="00E14932" w:rsidRPr="0040009F" w:rsidRDefault="00E14932" w:rsidP="007A3BFF">
            <w:pPr>
              <w:spacing w:after="0" w:line="240" w:lineRule="auto"/>
              <w:jc w:val="right"/>
              <w:rPr>
                <w:rFonts w:ascii="Verdana" w:eastAsia="Times New Roman" w:hAnsi="Verdana" w:cs="Times New Roman"/>
                <w:color w:val="000000"/>
                <w:kern w:val="0"/>
                <w:sz w:val="16"/>
                <w:szCs w:val="16"/>
                <w:lang w:eastAsia="es-CO"/>
                <w14:ligatures w14:val="none"/>
              </w:rPr>
            </w:pPr>
            <w:r w:rsidRPr="0040009F">
              <w:rPr>
                <w:rFonts w:ascii="Verdana" w:eastAsia="Times New Roman" w:hAnsi="Verdana" w:cs="Times New Roman"/>
                <w:color w:val="000000"/>
                <w:kern w:val="0"/>
                <w:sz w:val="16"/>
                <w:szCs w:val="16"/>
                <w:lang w:eastAsia="es-CO"/>
                <w14:ligatures w14:val="none"/>
              </w:rPr>
              <w:t>10.405.748,88</w:t>
            </w:r>
          </w:p>
        </w:tc>
        <w:tc>
          <w:tcPr>
            <w:tcW w:w="1887" w:type="dxa"/>
            <w:tcBorders>
              <w:top w:val="nil"/>
              <w:left w:val="nil"/>
              <w:bottom w:val="single" w:sz="4" w:space="0" w:color="auto"/>
              <w:right w:val="single" w:sz="4" w:space="0" w:color="auto"/>
            </w:tcBorders>
            <w:shd w:val="clear" w:color="auto" w:fill="auto"/>
            <w:noWrap/>
            <w:vAlign w:val="center"/>
            <w:hideMark/>
          </w:tcPr>
          <w:p w14:paraId="0553B826" w14:textId="77777777" w:rsidR="00E14932" w:rsidRPr="0040009F" w:rsidRDefault="00E14932" w:rsidP="007A3BFF">
            <w:pPr>
              <w:spacing w:after="0" w:line="240" w:lineRule="auto"/>
              <w:jc w:val="right"/>
              <w:rPr>
                <w:rFonts w:ascii="Verdana" w:eastAsia="Times New Roman" w:hAnsi="Verdana" w:cs="Times New Roman"/>
                <w:color w:val="000000"/>
                <w:kern w:val="0"/>
                <w:sz w:val="16"/>
                <w:szCs w:val="16"/>
                <w:lang w:eastAsia="es-CO"/>
                <w14:ligatures w14:val="none"/>
              </w:rPr>
            </w:pPr>
            <w:r w:rsidRPr="0040009F">
              <w:rPr>
                <w:rFonts w:ascii="Verdana" w:eastAsia="Times New Roman" w:hAnsi="Verdana" w:cs="Times New Roman"/>
                <w:color w:val="000000"/>
                <w:kern w:val="0"/>
                <w:sz w:val="16"/>
                <w:szCs w:val="16"/>
                <w:lang w:eastAsia="es-CO"/>
                <w14:ligatures w14:val="none"/>
              </w:rPr>
              <w:t>3.021.381,21</w:t>
            </w:r>
          </w:p>
        </w:tc>
      </w:tr>
      <w:tr w:rsidR="00E14932" w:rsidRPr="0040009F" w14:paraId="5353E732" w14:textId="77777777" w:rsidTr="007A3BFF">
        <w:trPr>
          <w:trHeight w:val="902"/>
          <w:jc w:val="center"/>
        </w:trPr>
        <w:tc>
          <w:tcPr>
            <w:tcW w:w="3972" w:type="dxa"/>
            <w:tcBorders>
              <w:top w:val="nil"/>
              <w:left w:val="single" w:sz="4" w:space="0" w:color="auto"/>
              <w:bottom w:val="single" w:sz="4" w:space="0" w:color="auto"/>
              <w:right w:val="single" w:sz="4" w:space="0" w:color="auto"/>
            </w:tcBorders>
            <w:shd w:val="clear" w:color="auto" w:fill="auto"/>
            <w:vAlign w:val="bottom"/>
            <w:hideMark/>
          </w:tcPr>
          <w:p w14:paraId="729C9636" w14:textId="77777777" w:rsidR="00E14932" w:rsidRPr="0040009F" w:rsidRDefault="00E14932" w:rsidP="007A3BFF">
            <w:pPr>
              <w:spacing w:after="0" w:line="240" w:lineRule="auto"/>
              <w:rPr>
                <w:rFonts w:ascii="Verdana" w:eastAsia="Times New Roman" w:hAnsi="Verdana" w:cs="Times New Roman"/>
                <w:color w:val="000000"/>
                <w:kern w:val="0"/>
                <w:sz w:val="16"/>
                <w:szCs w:val="16"/>
                <w:lang w:eastAsia="es-CO"/>
                <w14:ligatures w14:val="none"/>
              </w:rPr>
            </w:pPr>
            <w:r w:rsidRPr="0040009F">
              <w:rPr>
                <w:rFonts w:ascii="Verdana" w:eastAsia="Times New Roman" w:hAnsi="Verdana" w:cs="Times New Roman"/>
                <w:color w:val="000000"/>
                <w:kern w:val="0"/>
                <w:sz w:val="16"/>
                <w:szCs w:val="16"/>
                <w:lang w:eastAsia="es-CO"/>
                <w14:ligatures w14:val="none"/>
              </w:rPr>
              <w:t>V.F Prestación de servicios de almacenamiento, custodia, conservación, consulta y préstamo de documentos del archivo central de la U.A.E Agencia ITRC, incluido su transporte, cuando a ello haya lugar, así como los elementos necesarios.</w:t>
            </w:r>
          </w:p>
        </w:tc>
        <w:tc>
          <w:tcPr>
            <w:tcW w:w="1934" w:type="dxa"/>
            <w:tcBorders>
              <w:top w:val="nil"/>
              <w:left w:val="nil"/>
              <w:bottom w:val="single" w:sz="4" w:space="0" w:color="auto"/>
              <w:right w:val="single" w:sz="4" w:space="0" w:color="auto"/>
            </w:tcBorders>
            <w:shd w:val="clear" w:color="auto" w:fill="auto"/>
            <w:noWrap/>
            <w:vAlign w:val="center"/>
            <w:hideMark/>
          </w:tcPr>
          <w:p w14:paraId="7C3B901F" w14:textId="77777777" w:rsidR="00E14932" w:rsidRPr="0040009F" w:rsidRDefault="00E14932" w:rsidP="007A3BFF">
            <w:pPr>
              <w:spacing w:after="0" w:line="240" w:lineRule="auto"/>
              <w:jc w:val="right"/>
              <w:rPr>
                <w:rFonts w:ascii="Verdana" w:eastAsia="Times New Roman" w:hAnsi="Verdana" w:cs="Times New Roman"/>
                <w:color w:val="000000"/>
                <w:kern w:val="0"/>
                <w:sz w:val="16"/>
                <w:szCs w:val="16"/>
                <w:lang w:eastAsia="es-CO"/>
                <w14:ligatures w14:val="none"/>
              </w:rPr>
            </w:pPr>
            <w:r w:rsidRPr="0040009F">
              <w:rPr>
                <w:rFonts w:ascii="Verdana" w:eastAsia="Times New Roman" w:hAnsi="Verdana" w:cs="Times New Roman"/>
                <w:color w:val="000000"/>
                <w:kern w:val="0"/>
                <w:sz w:val="16"/>
                <w:szCs w:val="16"/>
                <w:lang w:eastAsia="es-CO"/>
                <w14:ligatures w14:val="none"/>
              </w:rPr>
              <w:t>6.300.000,00</w:t>
            </w:r>
          </w:p>
        </w:tc>
        <w:tc>
          <w:tcPr>
            <w:tcW w:w="1454" w:type="dxa"/>
            <w:tcBorders>
              <w:top w:val="nil"/>
              <w:left w:val="nil"/>
              <w:bottom w:val="single" w:sz="4" w:space="0" w:color="auto"/>
              <w:right w:val="single" w:sz="4" w:space="0" w:color="auto"/>
            </w:tcBorders>
            <w:shd w:val="clear" w:color="auto" w:fill="auto"/>
            <w:vAlign w:val="center"/>
            <w:hideMark/>
          </w:tcPr>
          <w:p w14:paraId="1414F4DE" w14:textId="77777777" w:rsidR="00E14932" w:rsidRPr="0040009F" w:rsidRDefault="00E14932" w:rsidP="007A3BFF">
            <w:pPr>
              <w:spacing w:after="0" w:line="240" w:lineRule="auto"/>
              <w:jc w:val="right"/>
              <w:rPr>
                <w:rFonts w:ascii="Verdana" w:eastAsia="Times New Roman" w:hAnsi="Verdana" w:cs="Times New Roman"/>
                <w:color w:val="000000"/>
                <w:kern w:val="0"/>
                <w:sz w:val="16"/>
                <w:szCs w:val="16"/>
                <w:lang w:eastAsia="es-CO"/>
                <w14:ligatures w14:val="none"/>
              </w:rPr>
            </w:pPr>
            <w:r w:rsidRPr="0040009F">
              <w:rPr>
                <w:rFonts w:ascii="Verdana" w:eastAsia="Times New Roman" w:hAnsi="Verdana" w:cs="Times New Roman"/>
                <w:color w:val="000000"/>
                <w:kern w:val="0"/>
                <w:sz w:val="16"/>
                <w:szCs w:val="16"/>
                <w:lang w:eastAsia="es-CO"/>
                <w14:ligatures w14:val="none"/>
              </w:rPr>
              <w:t>324</w:t>
            </w:r>
          </w:p>
        </w:tc>
        <w:tc>
          <w:tcPr>
            <w:tcW w:w="1676" w:type="dxa"/>
            <w:tcBorders>
              <w:top w:val="nil"/>
              <w:left w:val="nil"/>
              <w:bottom w:val="single" w:sz="4" w:space="0" w:color="auto"/>
              <w:right w:val="single" w:sz="4" w:space="0" w:color="auto"/>
            </w:tcBorders>
            <w:shd w:val="clear" w:color="auto" w:fill="auto"/>
            <w:noWrap/>
            <w:vAlign w:val="center"/>
            <w:hideMark/>
          </w:tcPr>
          <w:p w14:paraId="0302A904" w14:textId="77777777" w:rsidR="00E14932" w:rsidRPr="0040009F" w:rsidRDefault="00E14932" w:rsidP="007A3BFF">
            <w:pPr>
              <w:spacing w:after="0" w:line="240" w:lineRule="auto"/>
              <w:jc w:val="right"/>
              <w:rPr>
                <w:rFonts w:ascii="Verdana" w:eastAsia="Times New Roman" w:hAnsi="Verdana" w:cs="Times New Roman"/>
                <w:color w:val="000000"/>
                <w:kern w:val="0"/>
                <w:sz w:val="16"/>
                <w:szCs w:val="16"/>
                <w:lang w:eastAsia="es-CO"/>
                <w14:ligatures w14:val="none"/>
              </w:rPr>
            </w:pPr>
            <w:r w:rsidRPr="0040009F">
              <w:rPr>
                <w:rFonts w:ascii="Verdana" w:eastAsia="Times New Roman" w:hAnsi="Verdana" w:cs="Times New Roman"/>
                <w:color w:val="000000"/>
                <w:kern w:val="0"/>
                <w:sz w:val="16"/>
                <w:szCs w:val="16"/>
                <w:lang w:eastAsia="es-CO"/>
                <w14:ligatures w14:val="none"/>
              </w:rPr>
              <w:t>6.300.000,00</w:t>
            </w:r>
          </w:p>
        </w:tc>
        <w:tc>
          <w:tcPr>
            <w:tcW w:w="1887" w:type="dxa"/>
            <w:tcBorders>
              <w:top w:val="nil"/>
              <w:left w:val="nil"/>
              <w:bottom w:val="single" w:sz="4" w:space="0" w:color="auto"/>
              <w:right w:val="single" w:sz="4" w:space="0" w:color="auto"/>
            </w:tcBorders>
            <w:shd w:val="clear" w:color="auto" w:fill="auto"/>
            <w:noWrap/>
            <w:vAlign w:val="center"/>
            <w:hideMark/>
          </w:tcPr>
          <w:p w14:paraId="181AB30E" w14:textId="77777777" w:rsidR="00E14932" w:rsidRPr="0040009F" w:rsidRDefault="00E14932" w:rsidP="007A3BFF">
            <w:pPr>
              <w:spacing w:after="0" w:line="240" w:lineRule="auto"/>
              <w:jc w:val="right"/>
              <w:rPr>
                <w:rFonts w:ascii="Verdana" w:eastAsia="Times New Roman" w:hAnsi="Verdana" w:cs="Times New Roman"/>
                <w:color w:val="000000"/>
                <w:kern w:val="0"/>
                <w:sz w:val="16"/>
                <w:szCs w:val="16"/>
                <w:lang w:eastAsia="es-CO"/>
                <w14:ligatures w14:val="none"/>
              </w:rPr>
            </w:pPr>
            <w:r w:rsidRPr="0040009F">
              <w:rPr>
                <w:rFonts w:ascii="Verdana" w:eastAsia="Times New Roman" w:hAnsi="Verdana" w:cs="Times New Roman"/>
                <w:color w:val="000000"/>
                <w:kern w:val="0"/>
                <w:sz w:val="16"/>
                <w:szCs w:val="16"/>
                <w:lang w:eastAsia="es-CO"/>
                <w14:ligatures w14:val="none"/>
              </w:rPr>
              <w:t>307.295,90</w:t>
            </w:r>
          </w:p>
        </w:tc>
      </w:tr>
      <w:tr w:rsidR="00E14932" w:rsidRPr="0040009F" w14:paraId="5E96960D" w14:textId="77777777" w:rsidTr="007A3BFF">
        <w:trPr>
          <w:trHeight w:val="902"/>
          <w:jc w:val="center"/>
        </w:trPr>
        <w:tc>
          <w:tcPr>
            <w:tcW w:w="3972" w:type="dxa"/>
            <w:tcBorders>
              <w:top w:val="nil"/>
              <w:left w:val="single" w:sz="4" w:space="0" w:color="auto"/>
              <w:bottom w:val="single" w:sz="4" w:space="0" w:color="auto"/>
              <w:right w:val="single" w:sz="4" w:space="0" w:color="auto"/>
            </w:tcBorders>
            <w:shd w:val="clear" w:color="auto" w:fill="auto"/>
            <w:vAlign w:val="bottom"/>
            <w:hideMark/>
          </w:tcPr>
          <w:p w14:paraId="54D9421A" w14:textId="77777777" w:rsidR="00E14932" w:rsidRPr="0040009F" w:rsidRDefault="00E14932" w:rsidP="007A3BFF">
            <w:pPr>
              <w:spacing w:after="0" w:line="240" w:lineRule="auto"/>
              <w:rPr>
                <w:rFonts w:ascii="Verdana" w:eastAsia="Times New Roman" w:hAnsi="Verdana" w:cs="Times New Roman"/>
                <w:color w:val="000000"/>
                <w:kern w:val="0"/>
                <w:sz w:val="16"/>
                <w:szCs w:val="16"/>
                <w:lang w:eastAsia="es-CO"/>
                <w14:ligatures w14:val="none"/>
              </w:rPr>
            </w:pPr>
            <w:r w:rsidRPr="0040009F">
              <w:rPr>
                <w:rFonts w:ascii="Verdana" w:eastAsia="Times New Roman" w:hAnsi="Verdana" w:cs="Times New Roman"/>
                <w:color w:val="000000"/>
                <w:kern w:val="0"/>
                <w:sz w:val="16"/>
                <w:szCs w:val="16"/>
                <w:lang w:eastAsia="es-CO"/>
                <w14:ligatures w14:val="none"/>
              </w:rPr>
              <w:t>V.F Adición Orden de compra 107105 Prestación del Servicio Integral de</w:t>
            </w:r>
            <w:r>
              <w:rPr>
                <w:rFonts w:ascii="Verdana" w:eastAsia="Times New Roman" w:hAnsi="Verdana" w:cs="Times New Roman"/>
                <w:color w:val="000000"/>
                <w:kern w:val="0"/>
                <w:sz w:val="16"/>
                <w:szCs w:val="16"/>
                <w:lang w:eastAsia="es-CO"/>
                <w14:ligatures w14:val="none"/>
              </w:rPr>
              <w:t xml:space="preserve"> </w:t>
            </w:r>
            <w:r w:rsidRPr="0040009F">
              <w:rPr>
                <w:rFonts w:ascii="Verdana" w:eastAsia="Times New Roman" w:hAnsi="Verdana" w:cs="Times New Roman"/>
                <w:color w:val="000000"/>
                <w:kern w:val="0"/>
                <w:sz w:val="16"/>
                <w:szCs w:val="16"/>
                <w:lang w:eastAsia="es-CO"/>
                <w14:ligatures w14:val="none"/>
              </w:rPr>
              <w:t>Aseo y servicios de Cafetería, incluyendo el</w:t>
            </w:r>
            <w:r>
              <w:rPr>
                <w:rFonts w:ascii="Verdana" w:eastAsia="Times New Roman" w:hAnsi="Verdana" w:cs="Times New Roman"/>
                <w:color w:val="000000"/>
                <w:kern w:val="0"/>
                <w:sz w:val="16"/>
                <w:szCs w:val="16"/>
                <w:lang w:eastAsia="es-CO"/>
                <w14:ligatures w14:val="none"/>
              </w:rPr>
              <w:t xml:space="preserve"> </w:t>
            </w:r>
            <w:r w:rsidRPr="0040009F">
              <w:rPr>
                <w:rFonts w:ascii="Verdana" w:eastAsia="Times New Roman" w:hAnsi="Verdana" w:cs="Times New Roman"/>
                <w:color w:val="000000"/>
                <w:kern w:val="0"/>
                <w:sz w:val="16"/>
                <w:szCs w:val="16"/>
                <w:lang w:eastAsia="es-CO"/>
                <w14:ligatures w14:val="none"/>
              </w:rPr>
              <w:t>suministro de insumos y equipos necesarios, paralas dependencias de la Agencia ITRC</w:t>
            </w:r>
          </w:p>
        </w:tc>
        <w:tc>
          <w:tcPr>
            <w:tcW w:w="1934" w:type="dxa"/>
            <w:tcBorders>
              <w:top w:val="nil"/>
              <w:left w:val="nil"/>
              <w:bottom w:val="single" w:sz="4" w:space="0" w:color="auto"/>
              <w:right w:val="single" w:sz="4" w:space="0" w:color="auto"/>
            </w:tcBorders>
            <w:shd w:val="clear" w:color="auto" w:fill="auto"/>
            <w:noWrap/>
            <w:vAlign w:val="center"/>
            <w:hideMark/>
          </w:tcPr>
          <w:p w14:paraId="2DC9D097" w14:textId="77777777" w:rsidR="00E14932" w:rsidRPr="0040009F" w:rsidRDefault="00E14932" w:rsidP="007A3BFF">
            <w:pPr>
              <w:spacing w:after="0" w:line="240" w:lineRule="auto"/>
              <w:jc w:val="right"/>
              <w:rPr>
                <w:rFonts w:ascii="Verdana" w:eastAsia="Times New Roman" w:hAnsi="Verdana" w:cs="Times New Roman"/>
                <w:color w:val="000000"/>
                <w:kern w:val="0"/>
                <w:sz w:val="16"/>
                <w:szCs w:val="16"/>
                <w:lang w:eastAsia="es-CO"/>
                <w14:ligatures w14:val="none"/>
              </w:rPr>
            </w:pPr>
            <w:r w:rsidRPr="0040009F">
              <w:rPr>
                <w:rFonts w:ascii="Verdana" w:eastAsia="Times New Roman" w:hAnsi="Verdana" w:cs="Times New Roman"/>
                <w:color w:val="000000"/>
                <w:kern w:val="0"/>
                <w:sz w:val="16"/>
                <w:szCs w:val="16"/>
                <w:lang w:eastAsia="es-CO"/>
                <w14:ligatures w14:val="none"/>
              </w:rPr>
              <w:t>41.447.711,00</w:t>
            </w:r>
          </w:p>
        </w:tc>
        <w:tc>
          <w:tcPr>
            <w:tcW w:w="1454" w:type="dxa"/>
            <w:tcBorders>
              <w:top w:val="nil"/>
              <w:left w:val="nil"/>
              <w:bottom w:val="single" w:sz="4" w:space="0" w:color="auto"/>
              <w:right w:val="single" w:sz="4" w:space="0" w:color="auto"/>
            </w:tcBorders>
            <w:shd w:val="clear" w:color="auto" w:fill="auto"/>
            <w:vAlign w:val="center"/>
            <w:hideMark/>
          </w:tcPr>
          <w:p w14:paraId="3253EEF9" w14:textId="77777777" w:rsidR="00E14932" w:rsidRPr="0040009F" w:rsidRDefault="00E14932" w:rsidP="007A3BFF">
            <w:pPr>
              <w:spacing w:after="0" w:line="240" w:lineRule="auto"/>
              <w:jc w:val="right"/>
              <w:rPr>
                <w:rFonts w:ascii="Verdana" w:eastAsia="Times New Roman" w:hAnsi="Verdana" w:cs="Times New Roman"/>
                <w:color w:val="000000"/>
                <w:kern w:val="0"/>
                <w:sz w:val="16"/>
                <w:szCs w:val="16"/>
                <w:lang w:eastAsia="es-CO"/>
                <w14:ligatures w14:val="none"/>
              </w:rPr>
            </w:pPr>
            <w:r w:rsidRPr="0040009F">
              <w:rPr>
                <w:rFonts w:ascii="Verdana" w:eastAsia="Times New Roman" w:hAnsi="Verdana" w:cs="Times New Roman"/>
                <w:color w:val="000000"/>
                <w:kern w:val="0"/>
                <w:sz w:val="16"/>
                <w:szCs w:val="16"/>
                <w:lang w:eastAsia="es-CO"/>
                <w14:ligatures w14:val="none"/>
              </w:rPr>
              <w:t>424</w:t>
            </w:r>
          </w:p>
        </w:tc>
        <w:tc>
          <w:tcPr>
            <w:tcW w:w="1676" w:type="dxa"/>
            <w:tcBorders>
              <w:top w:val="nil"/>
              <w:left w:val="nil"/>
              <w:bottom w:val="single" w:sz="4" w:space="0" w:color="auto"/>
              <w:right w:val="single" w:sz="4" w:space="0" w:color="auto"/>
            </w:tcBorders>
            <w:shd w:val="clear" w:color="auto" w:fill="auto"/>
            <w:noWrap/>
            <w:vAlign w:val="center"/>
            <w:hideMark/>
          </w:tcPr>
          <w:p w14:paraId="5903902F" w14:textId="77777777" w:rsidR="00E14932" w:rsidRPr="0040009F" w:rsidRDefault="00E14932" w:rsidP="007A3BFF">
            <w:pPr>
              <w:spacing w:after="0" w:line="240" w:lineRule="auto"/>
              <w:jc w:val="right"/>
              <w:rPr>
                <w:rFonts w:ascii="Verdana" w:eastAsia="Times New Roman" w:hAnsi="Verdana" w:cs="Times New Roman"/>
                <w:color w:val="000000"/>
                <w:kern w:val="0"/>
                <w:sz w:val="16"/>
                <w:szCs w:val="16"/>
                <w:lang w:eastAsia="es-CO"/>
                <w14:ligatures w14:val="none"/>
              </w:rPr>
            </w:pPr>
            <w:r w:rsidRPr="0040009F">
              <w:rPr>
                <w:rFonts w:ascii="Verdana" w:eastAsia="Times New Roman" w:hAnsi="Verdana" w:cs="Times New Roman"/>
                <w:color w:val="000000"/>
                <w:kern w:val="0"/>
                <w:sz w:val="16"/>
                <w:szCs w:val="16"/>
                <w:lang w:eastAsia="es-CO"/>
                <w14:ligatures w14:val="none"/>
              </w:rPr>
              <w:t>41.447.710,86</w:t>
            </w:r>
          </w:p>
        </w:tc>
        <w:tc>
          <w:tcPr>
            <w:tcW w:w="1887" w:type="dxa"/>
            <w:tcBorders>
              <w:top w:val="nil"/>
              <w:left w:val="nil"/>
              <w:bottom w:val="single" w:sz="4" w:space="0" w:color="auto"/>
              <w:right w:val="single" w:sz="4" w:space="0" w:color="auto"/>
            </w:tcBorders>
            <w:shd w:val="clear" w:color="auto" w:fill="auto"/>
            <w:noWrap/>
            <w:vAlign w:val="center"/>
            <w:hideMark/>
          </w:tcPr>
          <w:p w14:paraId="78BF5115" w14:textId="77777777" w:rsidR="00E14932" w:rsidRPr="0040009F" w:rsidRDefault="00E14932" w:rsidP="007A3BFF">
            <w:pPr>
              <w:spacing w:after="0" w:line="240" w:lineRule="auto"/>
              <w:jc w:val="right"/>
              <w:rPr>
                <w:rFonts w:ascii="Verdana" w:eastAsia="Times New Roman" w:hAnsi="Verdana" w:cs="Times New Roman"/>
                <w:color w:val="000000"/>
                <w:kern w:val="0"/>
                <w:sz w:val="16"/>
                <w:szCs w:val="16"/>
                <w:lang w:eastAsia="es-CO"/>
                <w14:ligatures w14:val="none"/>
              </w:rPr>
            </w:pPr>
            <w:r w:rsidRPr="0040009F">
              <w:rPr>
                <w:rFonts w:ascii="Verdana" w:eastAsia="Times New Roman" w:hAnsi="Verdana" w:cs="Times New Roman"/>
                <w:color w:val="000000"/>
                <w:kern w:val="0"/>
                <w:sz w:val="16"/>
                <w:szCs w:val="16"/>
                <w:lang w:eastAsia="es-CO"/>
                <w14:ligatures w14:val="none"/>
              </w:rPr>
              <w:t>37.095.725,30</w:t>
            </w:r>
          </w:p>
        </w:tc>
      </w:tr>
      <w:tr w:rsidR="00E14932" w:rsidRPr="0040009F" w14:paraId="03EE22AD" w14:textId="77777777" w:rsidTr="007A3BFF">
        <w:trPr>
          <w:trHeight w:val="684"/>
          <w:jc w:val="center"/>
        </w:trPr>
        <w:tc>
          <w:tcPr>
            <w:tcW w:w="3972" w:type="dxa"/>
            <w:tcBorders>
              <w:top w:val="nil"/>
              <w:left w:val="single" w:sz="4" w:space="0" w:color="auto"/>
              <w:bottom w:val="single" w:sz="4" w:space="0" w:color="auto"/>
              <w:right w:val="single" w:sz="4" w:space="0" w:color="auto"/>
            </w:tcBorders>
            <w:shd w:val="clear" w:color="auto" w:fill="auto"/>
            <w:vAlign w:val="bottom"/>
            <w:hideMark/>
          </w:tcPr>
          <w:p w14:paraId="520761A4" w14:textId="77777777" w:rsidR="00E14932" w:rsidRPr="0040009F" w:rsidRDefault="00E14932" w:rsidP="007A3BFF">
            <w:pPr>
              <w:spacing w:after="0" w:line="240" w:lineRule="auto"/>
              <w:rPr>
                <w:rFonts w:ascii="Verdana" w:eastAsia="Times New Roman" w:hAnsi="Verdana" w:cs="Times New Roman"/>
                <w:color w:val="000000"/>
                <w:kern w:val="0"/>
                <w:sz w:val="16"/>
                <w:szCs w:val="16"/>
                <w:lang w:eastAsia="es-CO"/>
                <w14:ligatures w14:val="none"/>
              </w:rPr>
            </w:pPr>
            <w:r w:rsidRPr="0040009F">
              <w:rPr>
                <w:rFonts w:ascii="Verdana" w:eastAsia="Times New Roman" w:hAnsi="Verdana" w:cs="Times New Roman"/>
                <w:color w:val="000000"/>
                <w:kern w:val="0"/>
                <w:sz w:val="16"/>
                <w:szCs w:val="16"/>
                <w:lang w:eastAsia="es-CO"/>
                <w14:ligatures w14:val="none"/>
              </w:rPr>
              <w:t>V.F Adición Orden de Compra 113723 Arrendamiento de impresoras y</w:t>
            </w:r>
            <w:r>
              <w:rPr>
                <w:rFonts w:ascii="Verdana" w:eastAsia="Times New Roman" w:hAnsi="Verdana" w:cs="Times New Roman"/>
                <w:color w:val="000000"/>
                <w:kern w:val="0"/>
                <w:sz w:val="16"/>
                <w:szCs w:val="16"/>
                <w:lang w:eastAsia="es-CO"/>
                <w14:ligatures w14:val="none"/>
              </w:rPr>
              <w:t xml:space="preserve"> </w:t>
            </w:r>
            <w:r w:rsidRPr="0040009F">
              <w:rPr>
                <w:rFonts w:ascii="Verdana" w:eastAsia="Times New Roman" w:hAnsi="Verdana" w:cs="Times New Roman"/>
                <w:color w:val="000000"/>
                <w:kern w:val="0"/>
                <w:sz w:val="16"/>
                <w:szCs w:val="16"/>
                <w:lang w:eastAsia="es-CO"/>
                <w14:ligatures w14:val="none"/>
              </w:rPr>
              <w:t>servicios complementarios de acuerdo con la</w:t>
            </w:r>
            <w:r>
              <w:rPr>
                <w:rFonts w:ascii="Verdana" w:eastAsia="Times New Roman" w:hAnsi="Verdana" w:cs="Times New Roman"/>
                <w:color w:val="000000"/>
                <w:kern w:val="0"/>
                <w:sz w:val="16"/>
                <w:szCs w:val="16"/>
                <w:lang w:eastAsia="es-CO"/>
                <w14:ligatures w14:val="none"/>
              </w:rPr>
              <w:t xml:space="preserve"> </w:t>
            </w:r>
            <w:r w:rsidRPr="0040009F">
              <w:rPr>
                <w:rFonts w:ascii="Verdana" w:eastAsia="Times New Roman" w:hAnsi="Verdana" w:cs="Times New Roman"/>
                <w:color w:val="000000"/>
                <w:kern w:val="0"/>
                <w:sz w:val="16"/>
                <w:szCs w:val="16"/>
                <w:lang w:eastAsia="es-CO"/>
                <w14:ligatures w14:val="none"/>
              </w:rPr>
              <w:t>necesidad de la Agencia ITRC</w:t>
            </w:r>
          </w:p>
        </w:tc>
        <w:tc>
          <w:tcPr>
            <w:tcW w:w="1934" w:type="dxa"/>
            <w:tcBorders>
              <w:top w:val="nil"/>
              <w:left w:val="nil"/>
              <w:bottom w:val="single" w:sz="4" w:space="0" w:color="auto"/>
              <w:right w:val="single" w:sz="4" w:space="0" w:color="auto"/>
            </w:tcBorders>
            <w:shd w:val="clear" w:color="auto" w:fill="auto"/>
            <w:noWrap/>
            <w:vAlign w:val="center"/>
            <w:hideMark/>
          </w:tcPr>
          <w:p w14:paraId="0039A028" w14:textId="77777777" w:rsidR="00E14932" w:rsidRPr="0040009F" w:rsidRDefault="00E14932" w:rsidP="007A3BFF">
            <w:pPr>
              <w:spacing w:after="0" w:line="240" w:lineRule="auto"/>
              <w:jc w:val="right"/>
              <w:rPr>
                <w:rFonts w:ascii="Verdana" w:eastAsia="Times New Roman" w:hAnsi="Verdana" w:cs="Times New Roman"/>
                <w:color w:val="000000"/>
                <w:kern w:val="0"/>
                <w:sz w:val="16"/>
                <w:szCs w:val="16"/>
                <w:lang w:eastAsia="es-CO"/>
                <w14:ligatures w14:val="none"/>
              </w:rPr>
            </w:pPr>
            <w:r w:rsidRPr="0040009F">
              <w:rPr>
                <w:rFonts w:ascii="Verdana" w:eastAsia="Times New Roman" w:hAnsi="Verdana" w:cs="Times New Roman"/>
                <w:color w:val="000000"/>
                <w:kern w:val="0"/>
                <w:sz w:val="16"/>
                <w:szCs w:val="16"/>
                <w:lang w:eastAsia="es-CO"/>
                <w14:ligatures w14:val="none"/>
              </w:rPr>
              <w:t>10.293.506,00</w:t>
            </w:r>
          </w:p>
        </w:tc>
        <w:tc>
          <w:tcPr>
            <w:tcW w:w="1454" w:type="dxa"/>
            <w:tcBorders>
              <w:top w:val="nil"/>
              <w:left w:val="nil"/>
              <w:bottom w:val="single" w:sz="4" w:space="0" w:color="auto"/>
              <w:right w:val="single" w:sz="4" w:space="0" w:color="auto"/>
            </w:tcBorders>
            <w:shd w:val="clear" w:color="auto" w:fill="auto"/>
            <w:vAlign w:val="center"/>
            <w:hideMark/>
          </w:tcPr>
          <w:p w14:paraId="3DC1CE43" w14:textId="77777777" w:rsidR="00E14932" w:rsidRPr="0040009F" w:rsidRDefault="00E14932" w:rsidP="007A3BFF">
            <w:pPr>
              <w:spacing w:after="0" w:line="240" w:lineRule="auto"/>
              <w:jc w:val="right"/>
              <w:rPr>
                <w:rFonts w:ascii="Verdana" w:eastAsia="Times New Roman" w:hAnsi="Verdana" w:cs="Times New Roman"/>
                <w:color w:val="000000"/>
                <w:kern w:val="0"/>
                <w:sz w:val="16"/>
                <w:szCs w:val="16"/>
                <w:lang w:eastAsia="es-CO"/>
                <w14:ligatures w14:val="none"/>
              </w:rPr>
            </w:pPr>
            <w:r w:rsidRPr="0040009F">
              <w:rPr>
                <w:rFonts w:ascii="Verdana" w:eastAsia="Times New Roman" w:hAnsi="Verdana" w:cs="Times New Roman"/>
                <w:color w:val="000000"/>
                <w:kern w:val="0"/>
                <w:sz w:val="16"/>
                <w:szCs w:val="16"/>
                <w:lang w:eastAsia="es-CO"/>
                <w14:ligatures w14:val="none"/>
              </w:rPr>
              <w:t>524</w:t>
            </w:r>
          </w:p>
        </w:tc>
        <w:tc>
          <w:tcPr>
            <w:tcW w:w="1676" w:type="dxa"/>
            <w:tcBorders>
              <w:top w:val="nil"/>
              <w:left w:val="nil"/>
              <w:bottom w:val="single" w:sz="4" w:space="0" w:color="auto"/>
              <w:right w:val="single" w:sz="4" w:space="0" w:color="auto"/>
            </w:tcBorders>
            <w:shd w:val="clear" w:color="auto" w:fill="auto"/>
            <w:noWrap/>
            <w:vAlign w:val="center"/>
            <w:hideMark/>
          </w:tcPr>
          <w:p w14:paraId="4F12AEDE" w14:textId="77777777" w:rsidR="00E14932" w:rsidRPr="0040009F" w:rsidRDefault="00E14932" w:rsidP="007A3BFF">
            <w:pPr>
              <w:spacing w:after="0" w:line="240" w:lineRule="auto"/>
              <w:jc w:val="right"/>
              <w:rPr>
                <w:rFonts w:ascii="Verdana" w:eastAsia="Times New Roman" w:hAnsi="Verdana" w:cs="Times New Roman"/>
                <w:color w:val="000000"/>
                <w:kern w:val="0"/>
                <w:sz w:val="16"/>
                <w:szCs w:val="16"/>
                <w:lang w:eastAsia="es-CO"/>
                <w14:ligatures w14:val="none"/>
              </w:rPr>
            </w:pPr>
            <w:r w:rsidRPr="0040009F">
              <w:rPr>
                <w:rFonts w:ascii="Verdana" w:eastAsia="Times New Roman" w:hAnsi="Verdana" w:cs="Times New Roman"/>
                <w:color w:val="000000"/>
                <w:kern w:val="0"/>
                <w:sz w:val="16"/>
                <w:szCs w:val="16"/>
                <w:lang w:eastAsia="es-CO"/>
                <w14:ligatures w14:val="none"/>
              </w:rPr>
              <w:t>10.293.505,81</w:t>
            </w:r>
          </w:p>
        </w:tc>
        <w:tc>
          <w:tcPr>
            <w:tcW w:w="1887" w:type="dxa"/>
            <w:tcBorders>
              <w:top w:val="nil"/>
              <w:left w:val="nil"/>
              <w:bottom w:val="single" w:sz="4" w:space="0" w:color="auto"/>
              <w:right w:val="single" w:sz="4" w:space="0" w:color="auto"/>
            </w:tcBorders>
            <w:shd w:val="clear" w:color="auto" w:fill="auto"/>
            <w:noWrap/>
            <w:vAlign w:val="center"/>
            <w:hideMark/>
          </w:tcPr>
          <w:p w14:paraId="1ACB4A4D" w14:textId="77777777" w:rsidR="00E14932" w:rsidRPr="0040009F" w:rsidRDefault="00E14932" w:rsidP="007A3BFF">
            <w:pPr>
              <w:spacing w:after="0" w:line="240" w:lineRule="auto"/>
              <w:jc w:val="right"/>
              <w:rPr>
                <w:rFonts w:ascii="Verdana" w:eastAsia="Times New Roman" w:hAnsi="Verdana" w:cs="Times New Roman"/>
                <w:color w:val="000000"/>
                <w:kern w:val="0"/>
                <w:sz w:val="16"/>
                <w:szCs w:val="16"/>
                <w:lang w:eastAsia="es-CO"/>
                <w14:ligatures w14:val="none"/>
              </w:rPr>
            </w:pPr>
            <w:r w:rsidRPr="0040009F">
              <w:rPr>
                <w:rFonts w:ascii="Verdana" w:eastAsia="Times New Roman" w:hAnsi="Verdana" w:cs="Times New Roman"/>
                <w:color w:val="000000"/>
                <w:kern w:val="0"/>
                <w:sz w:val="16"/>
                <w:szCs w:val="16"/>
                <w:lang w:eastAsia="es-CO"/>
                <w14:ligatures w14:val="none"/>
              </w:rPr>
              <w:t>8.713.215,73</w:t>
            </w:r>
          </w:p>
        </w:tc>
      </w:tr>
      <w:tr w:rsidR="00E14932" w:rsidRPr="0040009F" w14:paraId="1D233B03" w14:textId="77777777" w:rsidTr="007A3BFF">
        <w:trPr>
          <w:trHeight w:val="513"/>
          <w:jc w:val="center"/>
        </w:trPr>
        <w:tc>
          <w:tcPr>
            <w:tcW w:w="3972" w:type="dxa"/>
            <w:tcBorders>
              <w:top w:val="nil"/>
              <w:left w:val="single" w:sz="4" w:space="0" w:color="auto"/>
              <w:bottom w:val="single" w:sz="4" w:space="0" w:color="auto"/>
              <w:right w:val="single" w:sz="4" w:space="0" w:color="auto"/>
            </w:tcBorders>
            <w:shd w:val="clear" w:color="auto" w:fill="auto"/>
            <w:vAlign w:val="bottom"/>
            <w:hideMark/>
          </w:tcPr>
          <w:p w14:paraId="61B4EAE3" w14:textId="77777777" w:rsidR="00E14932" w:rsidRPr="0040009F" w:rsidRDefault="00E14932" w:rsidP="007A3BFF">
            <w:pPr>
              <w:spacing w:after="0" w:line="240" w:lineRule="auto"/>
              <w:rPr>
                <w:rFonts w:ascii="Verdana" w:eastAsia="Times New Roman" w:hAnsi="Verdana" w:cs="Times New Roman"/>
                <w:color w:val="000000"/>
                <w:kern w:val="0"/>
                <w:sz w:val="16"/>
                <w:szCs w:val="16"/>
                <w:lang w:eastAsia="es-CO"/>
                <w14:ligatures w14:val="none"/>
              </w:rPr>
            </w:pPr>
            <w:r w:rsidRPr="0040009F">
              <w:rPr>
                <w:rFonts w:ascii="Verdana" w:eastAsia="Times New Roman" w:hAnsi="Verdana" w:cs="Times New Roman"/>
                <w:color w:val="000000"/>
                <w:kern w:val="0"/>
                <w:sz w:val="16"/>
                <w:szCs w:val="16"/>
                <w:lang w:eastAsia="es-CO"/>
                <w14:ligatures w14:val="none"/>
              </w:rPr>
              <w:t xml:space="preserve">V.F Adición Orden de Compra 113039 Alquiler de </w:t>
            </w:r>
            <w:proofErr w:type="spellStart"/>
            <w:r w:rsidRPr="0040009F">
              <w:rPr>
                <w:rFonts w:ascii="Verdana" w:eastAsia="Times New Roman" w:hAnsi="Verdana" w:cs="Times New Roman"/>
                <w:color w:val="000000"/>
                <w:kern w:val="0"/>
                <w:sz w:val="16"/>
                <w:szCs w:val="16"/>
                <w:lang w:eastAsia="es-CO"/>
                <w14:ligatures w14:val="none"/>
              </w:rPr>
              <w:t>escaners</w:t>
            </w:r>
            <w:proofErr w:type="spellEnd"/>
            <w:r w:rsidRPr="0040009F">
              <w:rPr>
                <w:rFonts w:ascii="Verdana" w:eastAsia="Times New Roman" w:hAnsi="Verdana" w:cs="Times New Roman"/>
                <w:color w:val="000000"/>
                <w:kern w:val="0"/>
                <w:sz w:val="16"/>
                <w:szCs w:val="16"/>
                <w:lang w:eastAsia="es-CO"/>
                <w14:ligatures w14:val="none"/>
              </w:rPr>
              <w:t xml:space="preserve"> con servicios complementarios requeridos por la Agencia ITRC</w:t>
            </w:r>
          </w:p>
        </w:tc>
        <w:tc>
          <w:tcPr>
            <w:tcW w:w="1934" w:type="dxa"/>
            <w:tcBorders>
              <w:top w:val="nil"/>
              <w:left w:val="nil"/>
              <w:bottom w:val="single" w:sz="4" w:space="0" w:color="auto"/>
              <w:right w:val="single" w:sz="4" w:space="0" w:color="auto"/>
            </w:tcBorders>
            <w:shd w:val="clear" w:color="auto" w:fill="auto"/>
            <w:noWrap/>
            <w:vAlign w:val="center"/>
            <w:hideMark/>
          </w:tcPr>
          <w:p w14:paraId="74A3EE76" w14:textId="77777777" w:rsidR="00E14932" w:rsidRPr="0040009F" w:rsidRDefault="00E14932" w:rsidP="007A3BFF">
            <w:pPr>
              <w:spacing w:after="0" w:line="240" w:lineRule="auto"/>
              <w:jc w:val="right"/>
              <w:rPr>
                <w:rFonts w:ascii="Verdana" w:eastAsia="Times New Roman" w:hAnsi="Verdana" w:cs="Times New Roman"/>
                <w:color w:val="000000"/>
                <w:kern w:val="0"/>
                <w:sz w:val="16"/>
                <w:szCs w:val="16"/>
                <w:lang w:eastAsia="es-CO"/>
                <w14:ligatures w14:val="none"/>
              </w:rPr>
            </w:pPr>
            <w:r w:rsidRPr="0040009F">
              <w:rPr>
                <w:rFonts w:ascii="Verdana" w:eastAsia="Times New Roman" w:hAnsi="Verdana" w:cs="Times New Roman"/>
                <w:color w:val="000000"/>
                <w:kern w:val="0"/>
                <w:sz w:val="16"/>
                <w:szCs w:val="16"/>
                <w:lang w:eastAsia="es-CO"/>
                <w14:ligatures w14:val="none"/>
              </w:rPr>
              <w:t>4.648.225,00</w:t>
            </w:r>
          </w:p>
        </w:tc>
        <w:tc>
          <w:tcPr>
            <w:tcW w:w="1454" w:type="dxa"/>
            <w:tcBorders>
              <w:top w:val="nil"/>
              <w:left w:val="nil"/>
              <w:bottom w:val="single" w:sz="4" w:space="0" w:color="auto"/>
              <w:right w:val="single" w:sz="4" w:space="0" w:color="auto"/>
            </w:tcBorders>
            <w:shd w:val="clear" w:color="auto" w:fill="auto"/>
            <w:vAlign w:val="center"/>
            <w:hideMark/>
          </w:tcPr>
          <w:p w14:paraId="50002991" w14:textId="77777777" w:rsidR="00E14932" w:rsidRPr="0040009F" w:rsidRDefault="00E14932" w:rsidP="007A3BFF">
            <w:pPr>
              <w:spacing w:after="0" w:line="240" w:lineRule="auto"/>
              <w:jc w:val="right"/>
              <w:rPr>
                <w:rFonts w:ascii="Verdana" w:eastAsia="Times New Roman" w:hAnsi="Verdana" w:cs="Times New Roman"/>
                <w:color w:val="000000"/>
                <w:kern w:val="0"/>
                <w:sz w:val="16"/>
                <w:szCs w:val="16"/>
                <w:lang w:eastAsia="es-CO"/>
                <w14:ligatures w14:val="none"/>
              </w:rPr>
            </w:pPr>
            <w:r w:rsidRPr="0040009F">
              <w:rPr>
                <w:rFonts w:ascii="Verdana" w:eastAsia="Times New Roman" w:hAnsi="Verdana" w:cs="Times New Roman"/>
                <w:color w:val="000000"/>
                <w:kern w:val="0"/>
                <w:sz w:val="16"/>
                <w:szCs w:val="16"/>
                <w:lang w:eastAsia="es-CO"/>
                <w14:ligatures w14:val="none"/>
              </w:rPr>
              <w:t>624</w:t>
            </w:r>
          </w:p>
        </w:tc>
        <w:tc>
          <w:tcPr>
            <w:tcW w:w="1676" w:type="dxa"/>
            <w:tcBorders>
              <w:top w:val="nil"/>
              <w:left w:val="nil"/>
              <w:bottom w:val="single" w:sz="4" w:space="0" w:color="auto"/>
              <w:right w:val="single" w:sz="4" w:space="0" w:color="auto"/>
            </w:tcBorders>
            <w:shd w:val="clear" w:color="auto" w:fill="auto"/>
            <w:noWrap/>
            <w:vAlign w:val="center"/>
            <w:hideMark/>
          </w:tcPr>
          <w:p w14:paraId="31476D87" w14:textId="77777777" w:rsidR="00E14932" w:rsidRPr="0040009F" w:rsidRDefault="00E14932" w:rsidP="007A3BFF">
            <w:pPr>
              <w:spacing w:after="0" w:line="240" w:lineRule="auto"/>
              <w:jc w:val="right"/>
              <w:rPr>
                <w:rFonts w:ascii="Verdana" w:eastAsia="Times New Roman" w:hAnsi="Verdana" w:cs="Times New Roman"/>
                <w:color w:val="000000"/>
                <w:kern w:val="0"/>
                <w:sz w:val="16"/>
                <w:szCs w:val="16"/>
                <w:lang w:eastAsia="es-CO"/>
                <w14:ligatures w14:val="none"/>
              </w:rPr>
            </w:pPr>
            <w:r w:rsidRPr="0040009F">
              <w:rPr>
                <w:rFonts w:ascii="Verdana" w:eastAsia="Times New Roman" w:hAnsi="Verdana" w:cs="Times New Roman"/>
                <w:color w:val="000000"/>
                <w:kern w:val="0"/>
                <w:sz w:val="16"/>
                <w:szCs w:val="16"/>
                <w:lang w:eastAsia="es-CO"/>
                <w14:ligatures w14:val="none"/>
              </w:rPr>
              <w:t>4.648.225,00</w:t>
            </w:r>
          </w:p>
        </w:tc>
        <w:tc>
          <w:tcPr>
            <w:tcW w:w="1887" w:type="dxa"/>
            <w:tcBorders>
              <w:top w:val="nil"/>
              <w:left w:val="nil"/>
              <w:bottom w:val="single" w:sz="4" w:space="0" w:color="auto"/>
              <w:right w:val="single" w:sz="4" w:space="0" w:color="auto"/>
            </w:tcBorders>
            <w:shd w:val="clear" w:color="auto" w:fill="auto"/>
            <w:noWrap/>
            <w:vAlign w:val="center"/>
            <w:hideMark/>
          </w:tcPr>
          <w:p w14:paraId="1C41A352" w14:textId="77777777" w:rsidR="00E14932" w:rsidRPr="0040009F" w:rsidRDefault="00E14932" w:rsidP="007A3BFF">
            <w:pPr>
              <w:spacing w:after="0" w:line="240" w:lineRule="auto"/>
              <w:jc w:val="right"/>
              <w:rPr>
                <w:rFonts w:ascii="Verdana" w:eastAsia="Times New Roman" w:hAnsi="Verdana" w:cs="Times New Roman"/>
                <w:color w:val="000000"/>
                <w:kern w:val="0"/>
                <w:sz w:val="16"/>
                <w:szCs w:val="16"/>
                <w:lang w:eastAsia="es-CO"/>
                <w14:ligatures w14:val="none"/>
              </w:rPr>
            </w:pPr>
            <w:r w:rsidRPr="0040009F">
              <w:rPr>
                <w:rFonts w:ascii="Verdana" w:eastAsia="Times New Roman" w:hAnsi="Verdana" w:cs="Times New Roman"/>
                <w:color w:val="000000"/>
                <w:kern w:val="0"/>
                <w:sz w:val="16"/>
                <w:szCs w:val="16"/>
                <w:lang w:eastAsia="es-CO"/>
                <w14:ligatures w14:val="none"/>
              </w:rPr>
              <w:t>4.598.199,19</w:t>
            </w:r>
          </w:p>
        </w:tc>
      </w:tr>
      <w:tr w:rsidR="00E14932" w:rsidRPr="0040009F" w14:paraId="3EA64111" w14:textId="77777777" w:rsidTr="007A3BFF">
        <w:trPr>
          <w:trHeight w:val="684"/>
          <w:jc w:val="center"/>
        </w:trPr>
        <w:tc>
          <w:tcPr>
            <w:tcW w:w="3972" w:type="dxa"/>
            <w:tcBorders>
              <w:top w:val="nil"/>
              <w:left w:val="single" w:sz="4" w:space="0" w:color="auto"/>
              <w:bottom w:val="single" w:sz="4" w:space="0" w:color="auto"/>
              <w:right w:val="single" w:sz="4" w:space="0" w:color="auto"/>
            </w:tcBorders>
            <w:shd w:val="clear" w:color="auto" w:fill="auto"/>
            <w:vAlign w:val="bottom"/>
            <w:hideMark/>
          </w:tcPr>
          <w:p w14:paraId="6B9B9ABC" w14:textId="77777777" w:rsidR="00E14932" w:rsidRPr="0040009F" w:rsidRDefault="00E14932" w:rsidP="007A3BFF">
            <w:pPr>
              <w:spacing w:after="0" w:line="240" w:lineRule="auto"/>
              <w:rPr>
                <w:rFonts w:ascii="Verdana" w:eastAsia="Times New Roman" w:hAnsi="Verdana" w:cs="Times New Roman"/>
                <w:color w:val="000000"/>
                <w:kern w:val="0"/>
                <w:sz w:val="16"/>
                <w:szCs w:val="16"/>
                <w:lang w:eastAsia="es-CO"/>
                <w14:ligatures w14:val="none"/>
              </w:rPr>
            </w:pPr>
            <w:r w:rsidRPr="0040009F">
              <w:rPr>
                <w:rFonts w:ascii="Verdana" w:eastAsia="Times New Roman" w:hAnsi="Verdana" w:cs="Times New Roman"/>
                <w:color w:val="000000"/>
                <w:kern w:val="0"/>
                <w:sz w:val="16"/>
                <w:szCs w:val="16"/>
                <w:lang w:eastAsia="es-CO"/>
                <w14:ligatures w14:val="none"/>
              </w:rPr>
              <w:t>V.F Arrendamiento de bien inmueble con mobiliario, ubicado en la zona urbana de la ciudad de Bogotá D.C., para el funcionamiento de la sede Unidad Administrativa Especial Agencia ITRC</w:t>
            </w:r>
          </w:p>
        </w:tc>
        <w:tc>
          <w:tcPr>
            <w:tcW w:w="1934" w:type="dxa"/>
            <w:tcBorders>
              <w:top w:val="nil"/>
              <w:left w:val="nil"/>
              <w:bottom w:val="single" w:sz="4" w:space="0" w:color="auto"/>
              <w:right w:val="single" w:sz="4" w:space="0" w:color="auto"/>
            </w:tcBorders>
            <w:shd w:val="clear" w:color="auto" w:fill="auto"/>
            <w:noWrap/>
            <w:vAlign w:val="center"/>
            <w:hideMark/>
          </w:tcPr>
          <w:p w14:paraId="4B8C046C" w14:textId="77777777" w:rsidR="00E14932" w:rsidRPr="0040009F" w:rsidRDefault="00E14932" w:rsidP="007A3BFF">
            <w:pPr>
              <w:spacing w:after="0" w:line="240" w:lineRule="auto"/>
              <w:jc w:val="right"/>
              <w:rPr>
                <w:rFonts w:ascii="Verdana" w:eastAsia="Times New Roman" w:hAnsi="Verdana" w:cs="Times New Roman"/>
                <w:color w:val="000000"/>
                <w:kern w:val="0"/>
                <w:sz w:val="16"/>
                <w:szCs w:val="16"/>
                <w:lang w:eastAsia="es-CO"/>
                <w14:ligatures w14:val="none"/>
              </w:rPr>
            </w:pPr>
            <w:r w:rsidRPr="0040009F">
              <w:rPr>
                <w:rFonts w:ascii="Verdana" w:eastAsia="Times New Roman" w:hAnsi="Verdana" w:cs="Times New Roman"/>
                <w:color w:val="000000"/>
                <w:kern w:val="0"/>
                <w:sz w:val="16"/>
                <w:szCs w:val="16"/>
                <w:lang w:eastAsia="es-CO"/>
                <w14:ligatures w14:val="none"/>
              </w:rPr>
              <w:t>479.447.692,00</w:t>
            </w:r>
          </w:p>
        </w:tc>
        <w:tc>
          <w:tcPr>
            <w:tcW w:w="1454" w:type="dxa"/>
            <w:tcBorders>
              <w:top w:val="nil"/>
              <w:left w:val="nil"/>
              <w:bottom w:val="single" w:sz="4" w:space="0" w:color="auto"/>
              <w:right w:val="single" w:sz="4" w:space="0" w:color="auto"/>
            </w:tcBorders>
            <w:shd w:val="clear" w:color="auto" w:fill="auto"/>
            <w:vAlign w:val="center"/>
            <w:hideMark/>
          </w:tcPr>
          <w:p w14:paraId="55929340" w14:textId="77777777" w:rsidR="00E14932" w:rsidRPr="0040009F" w:rsidRDefault="00E14932" w:rsidP="007A3BFF">
            <w:pPr>
              <w:spacing w:after="0" w:line="240" w:lineRule="auto"/>
              <w:jc w:val="right"/>
              <w:rPr>
                <w:rFonts w:ascii="Verdana" w:eastAsia="Times New Roman" w:hAnsi="Verdana" w:cs="Times New Roman"/>
                <w:color w:val="000000"/>
                <w:kern w:val="0"/>
                <w:sz w:val="16"/>
                <w:szCs w:val="16"/>
                <w:lang w:eastAsia="es-CO"/>
                <w14:ligatures w14:val="none"/>
              </w:rPr>
            </w:pPr>
            <w:r w:rsidRPr="0040009F">
              <w:rPr>
                <w:rFonts w:ascii="Verdana" w:eastAsia="Times New Roman" w:hAnsi="Verdana" w:cs="Times New Roman"/>
                <w:color w:val="000000"/>
                <w:kern w:val="0"/>
                <w:sz w:val="16"/>
                <w:szCs w:val="16"/>
                <w:lang w:eastAsia="es-CO"/>
                <w14:ligatures w14:val="none"/>
              </w:rPr>
              <w:t>724</w:t>
            </w:r>
          </w:p>
        </w:tc>
        <w:tc>
          <w:tcPr>
            <w:tcW w:w="1676" w:type="dxa"/>
            <w:tcBorders>
              <w:top w:val="nil"/>
              <w:left w:val="nil"/>
              <w:bottom w:val="single" w:sz="4" w:space="0" w:color="auto"/>
              <w:right w:val="single" w:sz="4" w:space="0" w:color="auto"/>
            </w:tcBorders>
            <w:shd w:val="clear" w:color="auto" w:fill="auto"/>
            <w:noWrap/>
            <w:vAlign w:val="center"/>
            <w:hideMark/>
          </w:tcPr>
          <w:p w14:paraId="7327ED4A" w14:textId="77777777" w:rsidR="00E14932" w:rsidRPr="0040009F" w:rsidRDefault="00E14932" w:rsidP="007A3BFF">
            <w:pPr>
              <w:spacing w:after="0" w:line="240" w:lineRule="auto"/>
              <w:jc w:val="right"/>
              <w:rPr>
                <w:rFonts w:ascii="Verdana" w:eastAsia="Times New Roman" w:hAnsi="Verdana" w:cs="Times New Roman"/>
                <w:color w:val="000000"/>
                <w:kern w:val="0"/>
                <w:sz w:val="16"/>
                <w:szCs w:val="16"/>
                <w:lang w:eastAsia="es-CO"/>
                <w14:ligatures w14:val="none"/>
              </w:rPr>
            </w:pPr>
            <w:r w:rsidRPr="0040009F">
              <w:rPr>
                <w:rFonts w:ascii="Verdana" w:eastAsia="Times New Roman" w:hAnsi="Verdana" w:cs="Times New Roman"/>
                <w:color w:val="000000"/>
                <w:kern w:val="0"/>
                <w:sz w:val="16"/>
                <w:szCs w:val="16"/>
                <w:lang w:eastAsia="es-CO"/>
                <w14:ligatures w14:val="none"/>
              </w:rPr>
              <w:t>311.218.910,00</w:t>
            </w:r>
          </w:p>
        </w:tc>
        <w:tc>
          <w:tcPr>
            <w:tcW w:w="1887" w:type="dxa"/>
            <w:tcBorders>
              <w:top w:val="nil"/>
              <w:left w:val="nil"/>
              <w:bottom w:val="single" w:sz="4" w:space="0" w:color="auto"/>
              <w:right w:val="single" w:sz="4" w:space="0" w:color="auto"/>
            </w:tcBorders>
            <w:shd w:val="clear" w:color="auto" w:fill="auto"/>
            <w:noWrap/>
            <w:vAlign w:val="center"/>
            <w:hideMark/>
          </w:tcPr>
          <w:p w14:paraId="5DC7376D" w14:textId="77777777" w:rsidR="00E14932" w:rsidRPr="0040009F" w:rsidRDefault="00E14932" w:rsidP="007A3BFF">
            <w:pPr>
              <w:spacing w:after="0" w:line="240" w:lineRule="auto"/>
              <w:jc w:val="right"/>
              <w:rPr>
                <w:rFonts w:ascii="Verdana" w:eastAsia="Times New Roman" w:hAnsi="Verdana" w:cs="Times New Roman"/>
                <w:color w:val="000000"/>
                <w:kern w:val="0"/>
                <w:sz w:val="16"/>
                <w:szCs w:val="16"/>
                <w:lang w:eastAsia="es-CO"/>
                <w14:ligatures w14:val="none"/>
              </w:rPr>
            </w:pPr>
            <w:r w:rsidRPr="0040009F">
              <w:rPr>
                <w:rFonts w:ascii="Verdana" w:eastAsia="Times New Roman" w:hAnsi="Verdana" w:cs="Times New Roman"/>
                <w:color w:val="000000"/>
                <w:kern w:val="0"/>
                <w:sz w:val="16"/>
                <w:szCs w:val="16"/>
                <w:lang w:eastAsia="es-CO"/>
                <w14:ligatures w14:val="none"/>
              </w:rPr>
              <w:t>311.218.910,00</w:t>
            </w:r>
          </w:p>
        </w:tc>
      </w:tr>
    </w:tbl>
    <w:p w14:paraId="0B1AF54E" w14:textId="77777777" w:rsidR="00E14932" w:rsidRDefault="00E14932" w:rsidP="00E14932">
      <w:pPr>
        <w:jc w:val="both"/>
        <w:rPr>
          <w:rFonts w:ascii="Verdana" w:hAnsi="Verdana"/>
        </w:rPr>
      </w:pPr>
    </w:p>
    <w:p w14:paraId="22330C22" w14:textId="77777777" w:rsidR="000C7A1F" w:rsidRDefault="000C7A1F" w:rsidP="00E14932">
      <w:pPr>
        <w:jc w:val="both"/>
        <w:rPr>
          <w:rFonts w:ascii="Verdana" w:hAnsi="Verdana"/>
        </w:rPr>
      </w:pPr>
    </w:p>
    <w:p w14:paraId="16E8D153" w14:textId="77777777" w:rsidR="000C7A1F" w:rsidRDefault="000C7A1F" w:rsidP="00E14932">
      <w:pPr>
        <w:jc w:val="both"/>
        <w:rPr>
          <w:rFonts w:ascii="Verdana" w:hAnsi="Verdana"/>
        </w:rPr>
      </w:pPr>
    </w:p>
    <w:p w14:paraId="7B7DCE92" w14:textId="77777777" w:rsidR="000C7A1F" w:rsidRDefault="000C7A1F" w:rsidP="00E14932">
      <w:pPr>
        <w:jc w:val="both"/>
        <w:rPr>
          <w:rFonts w:ascii="Verdana" w:hAnsi="Verdana"/>
        </w:rPr>
      </w:pPr>
    </w:p>
    <w:p w14:paraId="244179CB" w14:textId="77777777" w:rsidR="00E14932" w:rsidRPr="00684AB8" w:rsidRDefault="00E14932" w:rsidP="00E14932">
      <w:pPr>
        <w:jc w:val="both"/>
        <w:rPr>
          <w:rFonts w:ascii="Verdana" w:hAnsi="Verdana"/>
          <w:b/>
          <w:bCs/>
          <w:i/>
          <w:iCs/>
        </w:rPr>
      </w:pPr>
      <w:r w:rsidRPr="00684AB8">
        <w:rPr>
          <w:rFonts w:ascii="Verdana" w:hAnsi="Verdana"/>
          <w:b/>
          <w:bCs/>
          <w:i/>
          <w:iCs/>
        </w:rPr>
        <w:lastRenderedPageBreak/>
        <w:t>VIGENCIAS DE AÑOS FUTUROS</w:t>
      </w:r>
    </w:p>
    <w:p w14:paraId="7EEA2D05" w14:textId="77777777" w:rsidR="00E14932" w:rsidRDefault="00E14932" w:rsidP="00E14932">
      <w:pPr>
        <w:jc w:val="both"/>
        <w:rPr>
          <w:rFonts w:ascii="Verdana" w:hAnsi="Verdana"/>
        </w:rPr>
      </w:pPr>
    </w:p>
    <w:tbl>
      <w:tblPr>
        <w:tblW w:w="10400" w:type="dxa"/>
        <w:jc w:val="center"/>
        <w:tblCellMar>
          <w:left w:w="70" w:type="dxa"/>
          <w:right w:w="70" w:type="dxa"/>
        </w:tblCellMar>
        <w:tblLook w:val="04A0" w:firstRow="1" w:lastRow="0" w:firstColumn="1" w:lastColumn="0" w:noHBand="0" w:noVBand="1"/>
      </w:tblPr>
      <w:tblGrid>
        <w:gridCol w:w="5252"/>
        <w:gridCol w:w="2590"/>
        <w:gridCol w:w="2558"/>
      </w:tblGrid>
      <w:tr w:rsidR="00E14932" w:rsidRPr="00684AB8" w14:paraId="151E6C84" w14:textId="77777777" w:rsidTr="007A3BFF">
        <w:trPr>
          <w:trHeight w:val="300"/>
          <w:jc w:val="center"/>
        </w:trPr>
        <w:tc>
          <w:tcPr>
            <w:tcW w:w="1040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CE1592" w14:textId="77777777" w:rsidR="00E14932" w:rsidRPr="00684AB8" w:rsidRDefault="00E14932" w:rsidP="007A3BFF">
            <w:pPr>
              <w:spacing w:after="0" w:line="240" w:lineRule="auto"/>
              <w:jc w:val="center"/>
              <w:rPr>
                <w:rFonts w:ascii="Verdana" w:eastAsia="Times New Roman" w:hAnsi="Verdana" w:cs="Times New Roman"/>
                <w:b/>
                <w:bCs/>
                <w:color w:val="000000"/>
                <w:kern w:val="0"/>
                <w:sz w:val="16"/>
                <w:szCs w:val="16"/>
                <w:lang w:eastAsia="es-CO"/>
                <w14:ligatures w14:val="none"/>
              </w:rPr>
            </w:pPr>
            <w:r w:rsidRPr="00684AB8">
              <w:rPr>
                <w:rFonts w:ascii="Verdana" w:eastAsia="Times New Roman" w:hAnsi="Verdana" w:cs="Times New Roman"/>
                <w:b/>
                <w:bCs/>
                <w:color w:val="000000"/>
                <w:kern w:val="0"/>
                <w:sz w:val="16"/>
                <w:szCs w:val="16"/>
                <w:lang w:eastAsia="es-CO"/>
                <w14:ligatures w14:val="none"/>
              </w:rPr>
              <w:t>VIGENCIAS FUTURAS AUTORIZADAS AÑOS FUTUROS</w:t>
            </w:r>
          </w:p>
        </w:tc>
      </w:tr>
      <w:tr w:rsidR="00E14932" w:rsidRPr="00684AB8" w14:paraId="5C7BEC82" w14:textId="77777777" w:rsidTr="007A3BFF">
        <w:trPr>
          <w:trHeight w:val="300"/>
          <w:jc w:val="center"/>
        </w:trPr>
        <w:tc>
          <w:tcPr>
            <w:tcW w:w="5252" w:type="dxa"/>
            <w:tcBorders>
              <w:top w:val="nil"/>
              <w:left w:val="single" w:sz="4" w:space="0" w:color="auto"/>
              <w:bottom w:val="single" w:sz="4" w:space="0" w:color="auto"/>
              <w:right w:val="single" w:sz="4" w:space="0" w:color="auto"/>
            </w:tcBorders>
            <w:shd w:val="clear" w:color="auto" w:fill="auto"/>
            <w:noWrap/>
            <w:vAlign w:val="center"/>
            <w:hideMark/>
          </w:tcPr>
          <w:p w14:paraId="4B35BBC6" w14:textId="77777777" w:rsidR="00E14932" w:rsidRPr="00684AB8" w:rsidRDefault="00E14932" w:rsidP="007A3BFF">
            <w:pPr>
              <w:spacing w:after="0" w:line="240" w:lineRule="auto"/>
              <w:jc w:val="center"/>
              <w:rPr>
                <w:rFonts w:ascii="Verdana" w:eastAsia="Times New Roman" w:hAnsi="Verdana" w:cs="Times New Roman"/>
                <w:b/>
                <w:bCs/>
                <w:kern w:val="0"/>
                <w:sz w:val="16"/>
                <w:szCs w:val="16"/>
                <w:lang w:eastAsia="es-CO"/>
                <w14:ligatures w14:val="none"/>
              </w:rPr>
            </w:pPr>
            <w:r w:rsidRPr="00684AB8">
              <w:rPr>
                <w:rFonts w:ascii="Verdana" w:eastAsia="Times New Roman" w:hAnsi="Verdana" w:cs="Times New Roman"/>
                <w:b/>
                <w:bCs/>
                <w:kern w:val="0"/>
                <w:sz w:val="16"/>
                <w:szCs w:val="16"/>
                <w:lang w:eastAsia="es-CO"/>
                <w14:ligatures w14:val="none"/>
              </w:rPr>
              <w:t>OBJETO DE LA SOLICITUD</w:t>
            </w:r>
          </w:p>
        </w:tc>
        <w:tc>
          <w:tcPr>
            <w:tcW w:w="2590" w:type="dxa"/>
            <w:tcBorders>
              <w:top w:val="nil"/>
              <w:left w:val="nil"/>
              <w:bottom w:val="single" w:sz="4" w:space="0" w:color="auto"/>
              <w:right w:val="single" w:sz="4" w:space="0" w:color="auto"/>
            </w:tcBorders>
            <w:shd w:val="clear" w:color="auto" w:fill="auto"/>
            <w:noWrap/>
            <w:vAlign w:val="center"/>
            <w:hideMark/>
          </w:tcPr>
          <w:p w14:paraId="67718121" w14:textId="77777777" w:rsidR="00E14932" w:rsidRPr="00684AB8" w:rsidRDefault="00E14932" w:rsidP="007A3BFF">
            <w:pPr>
              <w:spacing w:after="0" w:line="240" w:lineRule="auto"/>
              <w:jc w:val="center"/>
              <w:rPr>
                <w:rFonts w:ascii="Verdana" w:eastAsia="Times New Roman" w:hAnsi="Verdana" w:cs="Times New Roman"/>
                <w:b/>
                <w:bCs/>
                <w:kern w:val="0"/>
                <w:sz w:val="16"/>
                <w:szCs w:val="16"/>
                <w:lang w:eastAsia="es-CO"/>
                <w14:ligatures w14:val="none"/>
              </w:rPr>
            </w:pPr>
            <w:r w:rsidRPr="00684AB8">
              <w:rPr>
                <w:rFonts w:ascii="Verdana" w:eastAsia="Times New Roman" w:hAnsi="Verdana" w:cs="Times New Roman"/>
                <w:b/>
                <w:bCs/>
                <w:kern w:val="0"/>
                <w:sz w:val="16"/>
                <w:szCs w:val="16"/>
                <w:lang w:eastAsia="es-CO"/>
                <w14:ligatures w14:val="none"/>
              </w:rPr>
              <w:t>VALOR 2025</w:t>
            </w:r>
          </w:p>
        </w:tc>
        <w:tc>
          <w:tcPr>
            <w:tcW w:w="2558" w:type="dxa"/>
            <w:tcBorders>
              <w:top w:val="nil"/>
              <w:left w:val="nil"/>
              <w:bottom w:val="single" w:sz="4" w:space="0" w:color="auto"/>
              <w:right w:val="single" w:sz="4" w:space="0" w:color="auto"/>
            </w:tcBorders>
            <w:shd w:val="clear" w:color="auto" w:fill="auto"/>
            <w:noWrap/>
            <w:vAlign w:val="center"/>
            <w:hideMark/>
          </w:tcPr>
          <w:p w14:paraId="0873C5E7" w14:textId="77777777" w:rsidR="00E14932" w:rsidRPr="00684AB8" w:rsidRDefault="00E14932" w:rsidP="007A3BFF">
            <w:pPr>
              <w:spacing w:after="0" w:line="240" w:lineRule="auto"/>
              <w:jc w:val="center"/>
              <w:rPr>
                <w:rFonts w:ascii="Verdana" w:eastAsia="Times New Roman" w:hAnsi="Verdana" w:cs="Times New Roman"/>
                <w:b/>
                <w:bCs/>
                <w:kern w:val="0"/>
                <w:sz w:val="16"/>
                <w:szCs w:val="16"/>
                <w:lang w:eastAsia="es-CO"/>
                <w14:ligatures w14:val="none"/>
              </w:rPr>
            </w:pPr>
            <w:r w:rsidRPr="00684AB8">
              <w:rPr>
                <w:rFonts w:ascii="Verdana" w:eastAsia="Times New Roman" w:hAnsi="Verdana" w:cs="Times New Roman"/>
                <w:b/>
                <w:bCs/>
                <w:kern w:val="0"/>
                <w:sz w:val="16"/>
                <w:szCs w:val="16"/>
                <w:lang w:eastAsia="es-CO"/>
                <w14:ligatures w14:val="none"/>
              </w:rPr>
              <w:t>VALOR 2026</w:t>
            </w:r>
          </w:p>
        </w:tc>
      </w:tr>
      <w:tr w:rsidR="00E14932" w:rsidRPr="00684AB8" w14:paraId="6F80590B" w14:textId="77777777" w:rsidTr="007A3BFF">
        <w:trPr>
          <w:trHeight w:val="870"/>
          <w:jc w:val="center"/>
        </w:trPr>
        <w:tc>
          <w:tcPr>
            <w:tcW w:w="5252" w:type="dxa"/>
            <w:tcBorders>
              <w:top w:val="nil"/>
              <w:left w:val="single" w:sz="4" w:space="0" w:color="auto"/>
              <w:bottom w:val="single" w:sz="4" w:space="0" w:color="auto"/>
              <w:right w:val="single" w:sz="4" w:space="0" w:color="auto"/>
            </w:tcBorders>
            <w:shd w:val="clear" w:color="auto" w:fill="auto"/>
            <w:vAlign w:val="bottom"/>
            <w:hideMark/>
          </w:tcPr>
          <w:p w14:paraId="192D1CE8" w14:textId="77777777" w:rsidR="00E14932" w:rsidRPr="00684AB8" w:rsidRDefault="00E14932" w:rsidP="007A3BFF">
            <w:pPr>
              <w:spacing w:after="0" w:line="240" w:lineRule="auto"/>
              <w:rPr>
                <w:rFonts w:ascii="Verdana" w:eastAsia="Times New Roman" w:hAnsi="Verdana" w:cs="Times New Roman"/>
                <w:color w:val="000000"/>
                <w:kern w:val="0"/>
                <w:sz w:val="16"/>
                <w:szCs w:val="16"/>
                <w:lang w:eastAsia="es-CO"/>
                <w14:ligatures w14:val="none"/>
              </w:rPr>
            </w:pPr>
            <w:r w:rsidRPr="00684AB8">
              <w:rPr>
                <w:rFonts w:ascii="Verdana" w:eastAsia="Times New Roman" w:hAnsi="Verdana" w:cs="Times New Roman"/>
                <w:color w:val="000000"/>
                <w:kern w:val="0"/>
                <w:sz w:val="16"/>
                <w:szCs w:val="16"/>
                <w:lang w:eastAsia="es-CO"/>
                <w14:ligatures w14:val="none"/>
              </w:rPr>
              <w:t>Cont. 084/2022 Prestación del servicio de correo urbano, nacional e internacional para la admisión, curso y entrega a domicilio de manera oportuna, segura y efectiva, de la correspondencia oficial y demás envíos postales.</w:t>
            </w:r>
          </w:p>
        </w:tc>
        <w:tc>
          <w:tcPr>
            <w:tcW w:w="2590" w:type="dxa"/>
            <w:tcBorders>
              <w:top w:val="nil"/>
              <w:left w:val="nil"/>
              <w:bottom w:val="single" w:sz="4" w:space="0" w:color="auto"/>
              <w:right w:val="single" w:sz="4" w:space="0" w:color="auto"/>
            </w:tcBorders>
            <w:shd w:val="clear" w:color="auto" w:fill="auto"/>
            <w:noWrap/>
            <w:vAlign w:val="center"/>
            <w:hideMark/>
          </w:tcPr>
          <w:p w14:paraId="72BAB669" w14:textId="77777777" w:rsidR="00E14932" w:rsidRPr="00684AB8" w:rsidRDefault="00E14932" w:rsidP="007A3BFF">
            <w:pPr>
              <w:spacing w:after="0" w:line="240" w:lineRule="auto"/>
              <w:jc w:val="right"/>
              <w:rPr>
                <w:rFonts w:ascii="Verdana" w:eastAsia="Times New Roman" w:hAnsi="Verdana" w:cs="Times New Roman"/>
                <w:color w:val="000000"/>
                <w:kern w:val="0"/>
                <w:sz w:val="16"/>
                <w:szCs w:val="16"/>
                <w:lang w:eastAsia="es-CO"/>
                <w14:ligatures w14:val="none"/>
              </w:rPr>
            </w:pPr>
            <w:r w:rsidRPr="00684AB8">
              <w:rPr>
                <w:rFonts w:ascii="Verdana" w:eastAsia="Times New Roman" w:hAnsi="Verdana" w:cs="Times New Roman"/>
                <w:color w:val="000000"/>
                <w:kern w:val="0"/>
                <w:sz w:val="16"/>
                <w:szCs w:val="16"/>
                <w:lang w:eastAsia="es-CO"/>
                <w14:ligatures w14:val="none"/>
              </w:rPr>
              <w:t xml:space="preserve">              72.955.764,00 </w:t>
            </w:r>
          </w:p>
        </w:tc>
        <w:tc>
          <w:tcPr>
            <w:tcW w:w="2558" w:type="dxa"/>
            <w:tcBorders>
              <w:top w:val="nil"/>
              <w:left w:val="nil"/>
              <w:bottom w:val="single" w:sz="4" w:space="0" w:color="auto"/>
              <w:right w:val="single" w:sz="4" w:space="0" w:color="auto"/>
            </w:tcBorders>
            <w:shd w:val="clear" w:color="auto" w:fill="auto"/>
            <w:noWrap/>
            <w:vAlign w:val="center"/>
            <w:hideMark/>
          </w:tcPr>
          <w:p w14:paraId="7FF4DAF1" w14:textId="77777777" w:rsidR="00E14932" w:rsidRPr="00684AB8" w:rsidRDefault="00E14932" w:rsidP="007A3BFF">
            <w:pPr>
              <w:spacing w:after="0" w:line="240" w:lineRule="auto"/>
              <w:jc w:val="right"/>
              <w:rPr>
                <w:rFonts w:ascii="Verdana" w:eastAsia="Times New Roman" w:hAnsi="Verdana" w:cs="Times New Roman"/>
                <w:color w:val="000000"/>
                <w:kern w:val="0"/>
                <w:sz w:val="16"/>
                <w:szCs w:val="16"/>
                <w:lang w:eastAsia="es-CO"/>
                <w14:ligatures w14:val="none"/>
              </w:rPr>
            </w:pPr>
            <w:r w:rsidRPr="00684AB8">
              <w:rPr>
                <w:rFonts w:ascii="Verdana" w:eastAsia="Times New Roman" w:hAnsi="Verdana" w:cs="Times New Roman"/>
                <w:color w:val="000000"/>
                <w:kern w:val="0"/>
                <w:sz w:val="16"/>
                <w:szCs w:val="16"/>
                <w:lang w:eastAsia="es-CO"/>
                <w14:ligatures w14:val="none"/>
              </w:rPr>
              <w:t xml:space="preserve">              45.157.231,00 </w:t>
            </w:r>
          </w:p>
        </w:tc>
      </w:tr>
      <w:tr w:rsidR="00E14932" w:rsidRPr="00684AB8" w14:paraId="60471E1D" w14:textId="77777777" w:rsidTr="007A3BFF">
        <w:trPr>
          <w:trHeight w:val="945"/>
          <w:jc w:val="center"/>
        </w:trPr>
        <w:tc>
          <w:tcPr>
            <w:tcW w:w="5252" w:type="dxa"/>
            <w:tcBorders>
              <w:top w:val="nil"/>
              <w:left w:val="single" w:sz="4" w:space="0" w:color="auto"/>
              <w:bottom w:val="single" w:sz="4" w:space="0" w:color="auto"/>
              <w:right w:val="single" w:sz="4" w:space="0" w:color="auto"/>
            </w:tcBorders>
            <w:shd w:val="clear" w:color="auto" w:fill="auto"/>
            <w:vAlign w:val="bottom"/>
            <w:hideMark/>
          </w:tcPr>
          <w:p w14:paraId="29E4E0D3" w14:textId="77777777" w:rsidR="00E14932" w:rsidRPr="00684AB8" w:rsidRDefault="00E14932" w:rsidP="007A3BFF">
            <w:pPr>
              <w:spacing w:after="0" w:line="240" w:lineRule="auto"/>
              <w:rPr>
                <w:rFonts w:ascii="Verdana" w:eastAsia="Times New Roman" w:hAnsi="Verdana" w:cs="Times New Roman"/>
                <w:color w:val="000000"/>
                <w:kern w:val="0"/>
                <w:sz w:val="16"/>
                <w:szCs w:val="16"/>
                <w:lang w:eastAsia="es-CO"/>
                <w14:ligatures w14:val="none"/>
              </w:rPr>
            </w:pPr>
            <w:r w:rsidRPr="00684AB8">
              <w:rPr>
                <w:rFonts w:ascii="Verdana" w:eastAsia="Times New Roman" w:hAnsi="Verdana" w:cs="Times New Roman"/>
                <w:color w:val="000000"/>
                <w:kern w:val="0"/>
                <w:sz w:val="16"/>
                <w:szCs w:val="16"/>
                <w:lang w:eastAsia="es-CO"/>
                <w14:ligatures w14:val="none"/>
              </w:rPr>
              <w:t>O.C 110215 Servicio de conectividad de canal de INTERNET y renovación de la membresía del POOL direccionamiento IPV6 con Orden de Compra por Acuerdo Marco de Precios- AMP - Prestación de Servicios de Conectividad III - CCENEG-248-AMP-2020.</w:t>
            </w:r>
          </w:p>
        </w:tc>
        <w:tc>
          <w:tcPr>
            <w:tcW w:w="2590" w:type="dxa"/>
            <w:tcBorders>
              <w:top w:val="nil"/>
              <w:left w:val="nil"/>
              <w:bottom w:val="single" w:sz="4" w:space="0" w:color="auto"/>
              <w:right w:val="single" w:sz="4" w:space="0" w:color="auto"/>
            </w:tcBorders>
            <w:shd w:val="clear" w:color="auto" w:fill="auto"/>
            <w:noWrap/>
            <w:vAlign w:val="center"/>
            <w:hideMark/>
          </w:tcPr>
          <w:p w14:paraId="4C91D2CC" w14:textId="77777777" w:rsidR="00E14932" w:rsidRPr="00684AB8" w:rsidRDefault="00E14932" w:rsidP="007A3BFF">
            <w:pPr>
              <w:spacing w:after="0" w:line="240" w:lineRule="auto"/>
              <w:jc w:val="right"/>
              <w:rPr>
                <w:rFonts w:ascii="Verdana" w:eastAsia="Times New Roman" w:hAnsi="Verdana" w:cs="Times New Roman"/>
                <w:color w:val="000000"/>
                <w:kern w:val="0"/>
                <w:sz w:val="16"/>
                <w:szCs w:val="16"/>
                <w:lang w:eastAsia="es-CO"/>
                <w14:ligatures w14:val="none"/>
              </w:rPr>
            </w:pPr>
            <w:r w:rsidRPr="00684AB8">
              <w:rPr>
                <w:rFonts w:ascii="Verdana" w:eastAsia="Times New Roman" w:hAnsi="Verdana" w:cs="Times New Roman"/>
                <w:color w:val="000000"/>
                <w:kern w:val="0"/>
                <w:sz w:val="16"/>
                <w:szCs w:val="16"/>
                <w:lang w:eastAsia="es-CO"/>
                <w14:ligatures w14:val="none"/>
              </w:rPr>
              <w:t xml:space="preserve">              95.077.972,00 </w:t>
            </w:r>
          </w:p>
        </w:tc>
        <w:tc>
          <w:tcPr>
            <w:tcW w:w="2558" w:type="dxa"/>
            <w:tcBorders>
              <w:top w:val="nil"/>
              <w:left w:val="nil"/>
              <w:bottom w:val="single" w:sz="4" w:space="0" w:color="auto"/>
              <w:right w:val="single" w:sz="4" w:space="0" w:color="auto"/>
            </w:tcBorders>
            <w:shd w:val="clear" w:color="auto" w:fill="auto"/>
            <w:noWrap/>
            <w:vAlign w:val="center"/>
            <w:hideMark/>
          </w:tcPr>
          <w:p w14:paraId="1150B547" w14:textId="77777777" w:rsidR="00E14932" w:rsidRPr="00684AB8" w:rsidRDefault="00E14932" w:rsidP="007A3BFF">
            <w:pPr>
              <w:spacing w:after="0" w:line="240" w:lineRule="auto"/>
              <w:jc w:val="right"/>
              <w:rPr>
                <w:rFonts w:ascii="Verdana" w:eastAsia="Times New Roman" w:hAnsi="Verdana" w:cs="Times New Roman"/>
                <w:color w:val="000000"/>
                <w:kern w:val="0"/>
                <w:sz w:val="16"/>
                <w:szCs w:val="16"/>
                <w:lang w:eastAsia="es-CO"/>
                <w14:ligatures w14:val="none"/>
              </w:rPr>
            </w:pPr>
            <w:r w:rsidRPr="00684AB8">
              <w:rPr>
                <w:rFonts w:ascii="Verdana" w:eastAsia="Times New Roman" w:hAnsi="Verdana" w:cs="Times New Roman"/>
                <w:color w:val="000000"/>
                <w:kern w:val="0"/>
                <w:sz w:val="16"/>
                <w:szCs w:val="16"/>
                <w:lang w:eastAsia="es-CO"/>
                <w14:ligatures w14:val="none"/>
              </w:rPr>
              <w:t xml:space="preserve">              49.353.202,00 </w:t>
            </w:r>
          </w:p>
        </w:tc>
      </w:tr>
      <w:tr w:rsidR="00E14932" w:rsidRPr="00684AB8" w14:paraId="7D4480F5" w14:textId="77777777" w:rsidTr="007A3BFF">
        <w:trPr>
          <w:trHeight w:val="990"/>
          <w:jc w:val="center"/>
        </w:trPr>
        <w:tc>
          <w:tcPr>
            <w:tcW w:w="5252" w:type="dxa"/>
            <w:tcBorders>
              <w:top w:val="nil"/>
              <w:left w:val="single" w:sz="4" w:space="0" w:color="auto"/>
              <w:bottom w:val="single" w:sz="4" w:space="0" w:color="auto"/>
              <w:right w:val="single" w:sz="4" w:space="0" w:color="auto"/>
            </w:tcBorders>
            <w:shd w:val="clear" w:color="auto" w:fill="auto"/>
            <w:vAlign w:val="bottom"/>
            <w:hideMark/>
          </w:tcPr>
          <w:p w14:paraId="235B16A7" w14:textId="77777777" w:rsidR="00E14932" w:rsidRPr="00684AB8" w:rsidRDefault="00E14932" w:rsidP="007A3BFF">
            <w:pPr>
              <w:spacing w:after="0" w:line="240" w:lineRule="auto"/>
              <w:rPr>
                <w:rFonts w:ascii="Verdana" w:eastAsia="Times New Roman" w:hAnsi="Verdana" w:cs="Times New Roman"/>
                <w:color w:val="000000"/>
                <w:kern w:val="0"/>
                <w:sz w:val="16"/>
                <w:szCs w:val="16"/>
                <w:lang w:eastAsia="es-CO"/>
                <w14:ligatures w14:val="none"/>
              </w:rPr>
            </w:pPr>
            <w:r w:rsidRPr="00684AB8">
              <w:rPr>
                <w:rFonts w:ascii="Verdana" w:eastAsia="Times New Roman" w:hAnsi="Verdana" w:cs="Times New Roman"/>
                <w:color w:val="000000"/>
                <w:kern w:val="0"/>
                <w:sz w:val="16"/>
                <w:szCs w:val="16"/>
                <w:lang w:eastAsia="es-CO"/>
                <w14:ligatures w14:val="none"/>
              </w:rPr>
              <w:t>V.F Prestación de servicios de almacenamiento, custodia,</w:t>
            </w:r>
            <w:r>
              <w:rPr>
                <w:rFonts w:ascii="Verdana" w:eastAsia="Times New Roman" w:hAnsi="Verdana" w:cs="Times New Roman"/>
                <w:color w:val="000000"/>
                <w:kern w:val="0"/>
                <w:sz w:val="16"/>
                <w:szCs w:val="16"/>
                <w:lang w:eastAsia="es-CO"/>
                <w14:ligatures w14:val="none"/>
              </w:rPr>
              <w:t xml:space="preserve"> </w:t>
            </w:r>
            <w:r w:rsidRPr="00684AB8">
              <w:rPr>
                <w:rFonts w:ascii="Verdana" w:eastAsia="Times New Roman" w:hAnsi="Verdana" w:cs="Times New Roman"/>
                <w:color w:val="000000"/>
                <w:kern w:val="0"/>
                <w:sz w:val="16"/>
                <w:szCs w:val="16"/>
                <w:lang w:eastAsia="es-CO"/>
                <w14:ligatures w14:val="none"/>
              </w:rPr>
              <w:t>conservación, consulta y préstamo de documentos del archivo central de la U.A.E Agencia ITRC, incluido su transporte, cuando a ello haya lugar, así como los elementos necesarios.</w:t>
            </w:r>
          </w:p>
        </w:tc>
        <w:tc>
          <w:tcPr>
            <w:tcW w:w="2590" w:type="dxa"/>
            <w:tcBorders>
              <w:top w:val="nil"/>
              <w:left w:val="nil"/>
              <w:bottom w:val="single" w:sz="4" w:space="0" w:color="auto"/>
              <w:right w:val="single" w:sz="4" w:space="0" w:color="auto"/>
            </w:tcBorders>
            <w:shd w:val="clear" w:color="auto" w:fill="auto"/>
            <w:noWrap/>
            <w:vAlign w:val="center"/>
            <w:hideMark/>
          </w:tcPr>
          <w:p w14:paraId="7880CF85" w14:textId="77777777" w:rsidR="00E14932" w:rsidRPr="00684AB8" w:rsidRDefault="00E14932" w:rsidP="007A3BFF">
            <w:pPr>
              <w:spacing w:after="0" w:line="240" w:lineRule="auto"/>
              <w:jc w:val="right"/>
              <w:rPr>
                <w:rFonts w:ascii="Verdana" w:eastAsia="Times New Roman" w:hAnsi="Verdana" w:cs="Times New Roman"/>
                <w:color w:val="000000"/>
                <w:kern w:val="0"/>
                <w:sz w:val="16"/>
                <w:szCs w:val="16"/>
                <w:lang w:eastAsia="es-CO"/>
                <w14:ligatures w14:val="none"/>
              </w:rPr>
            </w:pPr>
            <w:r w:rsidRPr="00684AB8">
              <w:rPr>
                <w:rFonts w:ascii="Verdana" w:eastAsia="Times New Roman" w:hAnsi="Verdana" w:cs="Times New Roman"/>
                <w:color w:val="000000"/>
                <w:kern w:val="0"/>
                <w:sz w:val="16"/>
                <w:szCs w:val="16"/>
                <w:lang w:eastAsia="es-CO"/>
                <w14:ligatures w14:val="none"/>
              </w:rPr>
              <w:t xml:space="preserve">                6.615.000,00 </w:t>
            </w:r>
          </w:p>
        </w:tc>
        <w:tc>
          <w:tcPr>
            <w:tcW w:w="2558" w:type="dxa"/>
            <w:tcBorders>
              <w:top w:val="nil"/>
              <w:left w:val="nil"/>
              <w:bottom w:val="single" w:sz="4" w:space="0" w:color="auto"/>
              <w:right w:val="single" w:sz="4" w:space="0" w:color="auto"/>
            </w:tcBorders>
            <w:shd w:val="clear" w:color="auto" w:fill="auto"/>
            <w:noWrap/>
            <w:vAlign w:val="center"/>
            <w:hideMark/>
          </w:tcPr>
          <w:p w14:paraId="00A60CC5" w14:textId="77777777" w:rsidR="00E14932" w:rsidRPr="00684AB8" w:rsidRDefault="00E14932" w:rsidP="007A3BFF">
            <w:pPr>
              <w:spacing w:after="0" w:line="240" w:lineRule="auto"/>
              <w:jc w:val="right"/>
              <w:rPr>
                <w:rFonts w:ascii="Verdana" w:eastAsia="Times New Roman" w:hAnsi="Verdana" w:cs="Times New Roman"/>
                <w:color w:val="000000"/>
                <w:kern w:val="0"/>
                <w:sz w:val="16"/>
                <w:szCs w:val="16"/>
                <w:lang w:eastAsia="es-CO"/>
                <w14:ligatures w14:val="none"/>
              </w:rPr>
            </w:pPr>
            <w:r w:rsidRPr="00684AB8">
              <w:rPr>
                <w:rFonts w:ascii="Verdana" w:eastAsia="Times New Roman" w:hAnsi="Verdana" w:cs="Times New Roman"/>
                <w:color w:val="000000"/>
                <w:kern w:val="0"/>
                <w:sz w:val="16"/>
                <w:szCs w:val="16"/>
                <w:lang w:eastAsia="es-CO"/>
                <w14:ligatures w14:val="none"/>
              </w:rPr>
              <w:t xml:space="preserve">                4.051.688,00 </w:t>
            </w:r>
          </w:p>
        </w:tc>
      </w:tr>
      <w:tr w:rsidR="00E14932" w:rsidRPr="00684AB8" w14:paraId="1223A5F4" w14:textId="77777777" w:rsidTr="007A3BFF">
        <w:trPr>
          <w:trHeight w:val="660"/>
          <w:jc w:val="center"/>
        </w:trPr>
        <w:tc>
          <w:tcPr>
            <w:tcW w:w="5252" w:type="dxa"/>
            <w:tcBorders>
              <w:top w:val="nil"/>
              <w:left w:val="single" w:sz="4" w:space="0" w:color="auto"/>
              <w:bottom w:val="single" w:sz="4" w:space="0" w:color="auto"/>
              <w:right w:val="single" w:sz="4" w:space="0" w:color="auto"/>
            </w:tcBorders>
            <w:shd w:val="clear" w:color="auto" w:fill="auto"/>
            <w:vAlign w:val="bottom"/>
            <w:hideMark/>
          </w:tcPr>
          <w:p w14:paraId="48143B54" w14:textId="77777777" w:rsidR="00E14932" w:rsidRPr="00684AB8" w:rsidRDefault="00E14932" w:rsidP="007A3BFF">
            <w:pPr>
              <w:spacing w:after="0" w:line="240" w:lineRule="auto"/>
              <w:rPr>
                <w:rFonts w:ascii="Verdana" w:eastAsia="Times New Roman" w:hAnsi="Verdana" w:cs="Times New Roman"/>
                <w:color w:val="000000"/>
                <w:kern w:val="0"/>
                <w:sz w:val="16"/>
                <w:szCs w:val="16"/>
                <w:lang w:eastAsia="es-CO"/>
                <w14:ligatures w14:val="none"/>
              </w:rPr>
            </w:pPr>
            <w:r w:rsidRPr="00684AB8">
              <w:rPr>
                <w:rFonts w:ascii="Verdana" w:eastAsia="Times New Roman" w:hAnsi="Verdana" w:cs="Times New Roman"/>
                <w:color w:val="000000"/>
                <w:kern w:val="0"/>
                <w:sz w:val="16"/>
                <w:szCs w:val="16"/>
                <w:lang w:eastAsia="es-CO"/>
                <w14:ligatures w14:val="none"/>
              </w:rPr>
              <w:t>V.F Arrendamiento de bien inmueble con mobiliario, ubicado en la zona urbana de la ciudad de Bogotá D.C., para el funcionamiento de la sede Unidad Administrativa Especial Agencia ITRC</w:t>
            </w:r>
          </w:p>
        </w:tc>
        <w:tc>
          <w:tcPr>
            <w:tcW w:w="2590" w:type="dxa"/>
            <w:tcBorders>
              <w:top w:val="nil"/>
              <w:left w:val="nil"/>
              <w:bottom w:val="single" w:sz="4" w:space="0" w:color="auto"/>
              <w:right w:val="single" w:sz="4" w:space="0" w:color="auto"/>
            </w:tcBorders>
            <w:shd w:val="clear" w:color="auto" w:fill="auto"/>
            <w:noWrap/>
            <w:vAlign w:val="center"/>
            <w:hideMark/>
          </w:tcPr>
          <w:p w14:paraId="4B34E25A" w14:textId="77777777" w:rsidR="00E14932" w:rsidRPr="00684AB8" w:rsidRDefault="00E14932" w:rsidP="007A3BFF">
            <w:pPr>
              <w:spacing w:after="0" w:line="240" w:lineRule="auto"/>
              <w:jc w:val="right"/>
              <w:rPr>
                <w:rFonts w:ascii="Verdana" w:eastAsia="Times New Roman" w:hAnsi="Verdana" w:cs="Times New Roman"/>
                <w:color w:val="000000"/>
                <w:kern w:val="0"/>
                <w:sz w:val="16"/>
                <w:szCs w:val="16"/>
                <w:lang w:eastAsia="es-CO"/>
                <w14:ligatures w14:val="none"/>
              </w:rPr>
            </w:pPr>
            <w:r w:rsidRPr="00684AB8">
              <w:rPr>
                <w:rFonts w:ascii="Verdana" w:eastAsia="Times New Roman" w:hAnsi="Verdana" w:cs="Times New Roman"/>
                <w:color w:val="000000"/>
                <w:kern w:val="0"/>
                <w:sz w:val="16"/>
                <w:szCs w:val="16"/>
                <w:lang w:eastAsia="es-CO"/>
                <w14:ligatures w14:val="none"/>
              </w:rPr>
              <w:t xml:space="preserve">          1.440.903.648,00 </w:t>
            </w:r>
          </w:p>
        </w:tc>
        <w:tc>
          <w:tcPr>
            <w:tcW w:w="2558" w:type="dxa"/>
            <w:tcBorders>
              <w:top w:val="nil"/>
              <w:left w:val="nil"/>
              <w:bottom w:val="single" w:sz="4" w:space="0" w:color="auto"/>
              <w:right w:val="single" w:sz="4" w:space="0" w:color="auto"/>
            </w:tcBorders>
            <w:shd w:val="clear" w:color="auto" w:fill="auto"/>
            <w:noWrap/>
            <w:vAlign w:val="center"/>
            <w:hideMark/>
          </w:tcPr>
          <w:p w14:paraId="46DC728F" w14:textId="77777777" w:rsidR="00E14932" w:rsidRPr="00684AB8" w:rsidRDefault="00E14932" w:rsidP="007A3BFF">
            <w:pPr>
              <w:spacing w:after="0" w:line="240" w:lineRule="auto"/>
              <w:jc w:val="right"/>
              <w:rPr>
                <w:rFonts w:ascii="Verdana" w:eastAsia="Times New Roman" w:hAnsi="Verdana" w:cs="Times New Roman"/>
                <w:color w:val="000000"/>
                <w:kern w:val="0"/>
                <w:sz w:val="16"/>
                <w:szCs w:val="16"/>
                <w:lang w:eastAsia="es-CO"/>
                <w14:ligatures w14:val="none"/>
              </w:rPr>
            </w:pPr>
            <w:r w:rsidRPr="00684AB8">
              <w:rPr>
                <w:rFonts w:ascii="Verdana" w:eastAsia="Times New Roman" w:hAnsi="Verdana" w:cs="Times New Roman"/>
                <w:color w:val="000000"/>
                <w:kern w:val="0"/>
                <w:sz w:val="16"/>
                <w:szCs w:val="16"/>
                <w:lang w:eastAsia="es-CO"/>
                <w14:ligatures w14:val="none"/>
              </w:rPr>
              <w:t xml:space="preserve">            882.553.483,00 </w:t>
            </w:r>
          </w:p>
        </w:tc>
      </w:tr>
    </w:tbl>
    <w:p w14:paraId="7CA2387C" w14:textId="77777777" w:rsidR="00E14932" w:rsidRPr="00FA6B60" w:rsidRDefault="00E14932" w:rsidP="00E14932">
      <w:pPr>
        <w:jc w:val="both"/>
        <w:rPr>
          <w:rFonts w:ascii="Verdana" w:hAnsi="Verdana"/>
        </w:rPr>
      </w:pPr>
    </w:p>
    <w:p w14:paraId="61B17800" w14:textId="77777777" w:rsidR="00E14932" w:rsidRPr="00936621" w:rsidRDefault="00E14932" w:rsidP="002C0A72">
      <w:pPr>
        <w:jc w:val="both"/>
        <w:rPr>
          <w:rFonts w:ascii="Verdana" w:hAnsi="Verdana"/>
        </w:rPr>
      </w:pPr>
    </w:p>
    <w:sectPr w:rsidR="00E14932" w:rsidRPr="00936621" w:rsidSect="00757B36">
      <w:headerReference w:type="default" r:id="rId11"/>
      <w:footerReference w:type="default" r:id="rId12"/>
      <w:pgSz w:w="12240" w:h="15840"/>
      <w:pgMar w:top="212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B7A68A" w14:textId="77777777" w:rsidR="004B427C" w:rsidRDefault="004B427C" w:rsidP="00757B36">
      <w:pPr>
        <w:spacing w:after="0" w:line="240" w:lineRule="auto"/>
      </w:pPr>
      <w:r>
        <w:separator/>
      </w:r>
    </w:p>
  </w:endnote>
  <w:endnote w:type="continuationSeparator" w:id="0">
    <w:p w14:paraId="2F0529DF" w14:textId="77777777" w:rsidR="004B427C" w:rsidRDefault="004B427C" w:rsidP="00757B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lang w:val="es-ES"/>
      </w:rPr>
      <w:id w:val="-1071572585"/>
      <w:docPartObj>
        <w:docPartGallery w:val="Page Numbers (Bottom of Page)"/>
        <w:docPartUnique/>
      </w:docPartObj>
    </w:sdtPr>
    <w:sdtContent>
      <w:p w14:paraId="324BE145" w14:textId="0AFD8417" w:rsidR="00D34D20" w:rsidRDefault="00D34D20">
        <w:pPr>
          <w:pStyle w:val="Piedepgina"/>
          <w:jc w:val="right"/>
        </w:pPr>
        <w:r>
          <w:rPr>
            <w:noProof/>
            <w:lang w:eastAsia="es-CO"/>
          </w:rPr>
          <mc:AlternateContent>
            <mc:Choice Requires="wps">
              <w:drawing>
                <wp:anchor distT="0" distB="0" distL="114300" distR="114300" simplePos="0" relativeHeight="251659264" behindDoc="0" locked="0" layoutInCell="1" allowOverlap="1" wp14:anchorId="7AE5F12B" wp14:editId="69828E74">
                  <wp:simplePos x="0" y="0"/>
                  <wp:positionH relativeFrom="margin">
                    <wp:posOffset>-99060</wp:posOffset>
                  </wp:positionH>
                  <wp:positionV relativeFrom="paragraph">
                    <wp:posOffset>-248285</wp:posOffset>
                  </wp:positionV>
                  <wp:extent cx="6029325" cy="1229995"/>
                  <wp:effectExtent l="0" t="0" r="0" b="0"/>
                  <wp:wrapNone/>
                  <wp:docPr id="1223101586" name="Cuadro de texto 1"/>
                  <wp:cNvGraphicFramePr/>
                  <a:graphic xmlns:a="http://schemas.openxmlformats.org/drawingml/2006/main">
                    <a:graphicData uri="http://schemas.microsoft.com/office/word/2010/wordprocessingShape">
                      <wps:wsp>
                        <wps:cNvSpPr txBox="1"/>
                        <wps:spPr>
                          <a:xfrm>
                            <a:off x="0" y="0"/>
                            <a:ext cx="6029325" cy="1229995"/>
                          </a:xfrm>
                          <a:prstGeom prst="rect">
                            <a:avLst/>
                          </a:prstGeom>
                          <a:noFill/>
                          <a:ln w="6350">
                            <a:noFill/>
                          </a:ln>
                        </wps:spPr>
                        <wps:txbx>
                          <w:txbxContent>
                            <w:p w14:paraId="79D92C5A" w14:textId="5628690E" w:rsidR="00D34D20" w:rsidRPr="00256928" w:rsidRDefault="00D34D20" w:rsidP="00D34D20">
                              <w:pPr>
                                <w:spacing w:after="0" w:line="276" w:lineRule="auto"/>
                                <w:jc w:val="both"/>
                                <w:rPr>
                                  <w:rFonts w:ascii="Helvetica" w:hAnsi="Helvetica"/>
                                  <w:sz w:val="20"/>
                                  <w:szCs w:val="20"/>
                                </w:rPr>
                              </w:pPr>
                              <w:r w:rsidRPr="00256928">
                                <w:rPr>
                                  <w:rFonts w:ascii="Helvetica" w:hAnsi="Helvetica"/>
                                  <w:sz w:val="20"/>
                                  <w:szCs w:val="20"/>
                                </w:rPr>
                                <w:t>________________________________________________________________________</w:t>
                              </w:r>
                            </w:p>
                            <w:p w14:paraId="1B8765A5" w14:textId="1C0EC476" w:rsidR="00D34D20" w:rsidRPr="00813B78" w:rsidRDefault="00813B78" w:rsidP="00D34D20">
                              <w:pPr>
                                <w:spacing w:after="0" w:line="276" w:lineRule="auto"/>
                                <w:jc w:val="both"/>
                                <w:rPr>
                                  <w:rFonts w:ascii="Verdana" w:hAnsi="Verdana"/>
                                  <w:b/>
                                  <w:bCs/>
                                  <w:sz w:val="14"/>
                                  <w:szCs w:val="14"/>
                                </w:rPr>
                              </w:pPr>
                              <w:r w:rsidRPr="00813B78">
                                <w:rPr>
                                  <w:rFonts w:ascii="Verdana" w:hAnsi="Verdana"/>
                                  <w:b/>
                                  <w:bCs/>
                                  <w:sz w:val="14"/>
                                  <w:szCs w:val="14"/>
                                </w:rPr>
                                <w:t>Agencia del Inspector General de Tributos, Rentas y Contribuciones Parafiscales -ITRC</w:t>
                              </w:r>
                            </w:p>
                            <w:p w14:paraId="3453229D" w14:textId="009352A1" w:rsidR="00D34D20" w:rsidRPr="00813B78" w:rsidRDefault="00D34D20" w:rsidP="00D34D20">
                              <w:pPr>
                                <w:spacing w:after="0" w:line="276" w:lineRule="auto"/>
                                <w:jc w:val="both"/>
                                <w:rPr>
                                  <w:rFonts w:ascii="Verdana" w:hAnsi="Verdana"/>
                                  <w:sz w:val="16"/>
                                  <w:szCs w:val="16"/>
                                </w:rPr>
                              </w:pPr>
                              <w:r w:rsidRPr="00813B78">
                                <w:rPr>
                                  <w:rFonts w:ascii="Verdana" w:hAnsi="Verdana"/>
                                  <w:sz w:val="16"/>
                                  <w:szCs w:val="16"/>
                                </w:rPr>
                                <w:t xml:space="preserve">Dirección: </w:t>
                              </w:r>
                              <w:r w:rsidR="00813B78" w:rsidRPr="00813B78">
                                <w:rPr>
                                  <w:rFonts w:ascii="Verdana" w:hAnsi="Verdana"/>
                                  <w:sz w:val="16"/>
                                  <w:szCs w:val="16"/>
                                </w:rPr>
                                <w:t>Calle 26 #69-63</w:t>
                              </w:r>
                              <w:r w:rsidRPr="00813B78">
                                <w:rPr>
                                  <w:rFonts w:ascii="Verdana" w:hAnsi="Verdana"/>
                                  <w:sz w:val="16"/>
                                  <w:szCs w:val="16"/>
                                </w:rPr>
                                <w:t>, Bogotá D.C., Colombia</w:t>
                              </w:r>
                            </w:p>
                            <w:p w14:paraId="7463B94C" w14:textId="1787765F" w:rsidR="00D34D20" w:rsidRPr="00813B78" w:rsidRDefault="00D34D20" w:rsidP="00D34D20">
                              <w:pPr>
                                <w:spacing w:after="0" w:line="276" w:lineRule="auto"/>
                                <w:jc w:val="both"/>
                                <w:rPr>
                                  <w:rFonts w:ascii="Verdana" w:hAnsi="Verdana"/>
                                  <w:sz w:val="16"/>
                                  <w:szCs w:val="16"/>
                                </w:rPr>
                              </w:pPr>
                              <w:r w:rsidRPr="00813B78">
                                <w:rPr>
                                  <w:rFonts w:ascii="Verdana" w:hAnsi="Verdana"/>
                                  <w:sz w:val="16"/>
                                  <w:szCs w:val="16"/>
                                </w:rPr>
                                <w:t xml:space="preserve">Conmutador: (+57) 601 </w:t>
                              </w:r>
                              <w:r w:rsidR="00813B78" w:rsidRPr="00813B78">
                                <w:rPr>
                                  <w:rFonts w:ascii="Verdana" w:hAnsi="Verdana"/>
                                  <w:sz w:val="16"/>
                                  <w:szCs w:val="16"/>
                                </w:rPr>
                                <w:t>3907000</w:t>
                              </w:r>
                              <w:r w:rsidRPr="00813B78">
                                <w:rPr>
                                  <w:rFonts w:ascii="Verdana" w:hAnsi="Verdana"/>
                                  <w:sz w:val="16"/>
                                  <w:szCs w:val="16"/>
                                </w:rPr>
                                <w:t xml:space="preserve"> </w:t>
                              </w:r>
                            </w:p>
                            <w:p w14:paraId="3F743D65" w14:textId="36A20723" w:rsidR="00D34D20" w:rsidRPr="00813B78" w:rsidRDefault="00D34D20" w:rsidP="00256928">
                              <w:pPr>
                                <w:spacing w:after="0" w:line="276" w:lineRule="auto"/>
                                <w:jc w:val="both"/>
                                <w:rPr>
                                  <w:rFonts w:ascii="Verdana" w:hAnsi="Verdana"/>
                                  <w:sz w:val="16"/>
                                  <w:szCs w:val="16"/>
                                </w:rPr>
                              </w:pPr>
                              <w:r w:rsidRPr="00813B78">
                                <w:rPr>
                                  <w:rFonts w:ascii="Verdana" w:hAnsi="Verdana"/>
                                  <w:sz w:val="16"/>
                                  <w:szCs w:val="16"/>
                                </w:rPr>
                                <w:t xml:space="preserve">Línea </w:t>
                              </w:r>
                              <w:r w:rsidR="00F37AB3">
                                <w:rPr>
                                  <w:rFonts w:ascii="Verdana" w:hAnsi="Verdana"/>
                                  <w:sz w:val="16"/>
                                  <w:szCs w:val="16"/>
                                </w:rPr>
                                <w:t>gratuita</w:t>
                              </w:r>
                              <w:r w:rsidRPr="00813B78">
                                <w:rPr>
                                  <w:rFonts w:ascii="Verdana" w:hAnsi="Verdana"/>
                                  <w:sz w:val="16"/>
                                  <w:szCs w:val="16"/>
                                </w:rPr>
                                <w:t xml:space="preserve">: (+57) 01 8000 </w:t>
                              </w:r>
                              <w:r w:rsidR="00813B78" w:rsidRPr="00813B78">
                                <w:rPr>
                                  <w:rFonts w:ascii="Verdana" w:hAnsi="Verdana"/>
                                  <w:sz w:val="16"/>
                                  <w:szCs w:val="16"/>
                                </w:rPr>
                                <w:t>123004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E5F12B" id="_x0000_t202" coordsize="21600,21600" o:spt="202" path="m,l,21600r21600,l21600,xe">
                  <v:stroke joinstyle="miter"/>
                  <v:path gradientshapeok="t" o:connecttype="rect"/>
                </v:shapetype>
                <v:shape id="Cuadro de texto 1" o:spid="_x0000_s1026" type="#_x0000_t202" style="position:absolute;left:0;text-align:left;margin-left:-7.8pt;margin-top:-19.55pt;width:474.75pt;height:96.8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" filled="f" stroked="f" strokeweight=".5pt">
                  <v:textbox>
                    <w:txbxContent>
                      <w:p w14:paraId="79D92C5A" w14:textId="5628690E" w:rsidR="00D34D20" w:rsidRPr="00256928" w:rsidRDefault="00D34D20" w:rsidP="00D34D20">
                        <w:pPr>
                          <w:spacing w:after="0" w:line="276" w:lineRule="auto"/>
                          <w:jc w:val="both"/>
                          <w:rPr>
                            <w:rFonts w:ascii="Helvetica" w:hAnsi="Helvetica"/>
                            <w:sz w:val="20"/>
                            <w:szCs w:val="20"/>
                          </w:rPr>
                        </w:pPr>
                        <w:r w:rsidRPr="00256928">
                          <w:rPr>
                            <w:rFonts w:ascii="Helvetica" w:hAnsi="Helvetica"/>
                            <w:sz w:val="20"/>
                            <w:szCs w:val="20"/>
                          </w:rPr>
                          <w:t>________________________________________________________________________</w:t>
                        </w:r>
                      </w:p>
                      <w:p w14:paraId="1B8765A5" w14:textId="1C0EC476" w:rsidR="00D34D20" w:rsidRPr="00813B78" w:rsidRDefault="00813B78" w:rsidP="00D34D20">
                        <w:pPr>
                          <w:spacing w:after="0" w:line="276" w:lineRule="auto"/>
                          <w:jc w:val="both"/>
                          <w:rPr>
                            <w:rFonts w:ascii="Verdana" w:hAnsi="Verdana"/>
                            <w:b/>
                            <w:bCs/>
                            <w:sz w:val="14"/>
                            <w:szCs w:val="14"/>
                          </w:rPr>
                        </w:pPr>
                        <w:r w:rsidRPr="00813B78">
                          <w:rPr>
                            <w:rFonts w:ascii="Verdana" w:hAnsi="Verdana"/>
                            <w:b/>
                            <w:bCs/>
                            <w:sz w:val="14"/>
                            <w:szCs w:val="14"/>
                          </w:rPr>
                          <w:t>Agencia del Inspector General de Tributos, Rentas y Contribuciones Parafiscales -ITRC</w:t>
                        </w:r>
                      </w:p>
                      <w:p w14:paraId="3453229D" w14:textId="009352A1" w:rsidR="00D34D20" w:rsidRPr="00813B78" w:rsidRDefault="00D34D20" w:rsidP="00D34D20">
                        <w:pPr>
                          <w:spacing w:after="0" w:line="276" w:lineRule="auto"/>
                          <w:jc w:val="both"/>
                          <w:rPr>
                            <w:rFonts w:ascii="Verdana" w:hAnsi="Verdana"/>
                            <w:sz w:val="16"/>
                            <w:szCs w:val="16"/>
                          </w:rPr>
                        </w:pPr>
                        <w:r w:rsidRPr="00813B78">
                          <w:rPr>
                            <w:rFonts w:ascii="Verdana" w:hAnsi="Verdana"/>
                            <w:sz w:val="16"/>
                            <w:szCs w:val="16"/>
                          </w:rPr>
                          <w:t xml:space="preserve">Dirección: </w:t>
                        </w:r>
                        <w:r w:rsidR="00813B78" w:rsidRPr="00813B78">
                          <w:rPr>
                            <w:rFonts w:ascii="Verdana" w:hAnsi="Verdana"/>
                            <w:sz w:val="16"/>
                            <w:szCs w:val="16"/>
                          </w:rPr>
                          <w:t>Calle 26 #69-63</w:t>
                        </w:r>
                        <w:r w:rsidRPr="00813B78">
                          <w:rPr>
                            <w:rFonts w:ascii="Verdana" w:hAnsi="Verdana"/>
                            <w:sz w:val="16"/>
                            <w:szCs w:val="16"/>
                          </w:rPr>
                          <w:t>, Bogotá D.C., Colombia</w:t>
                        </w:r>
                      </w:p>
                      <w:p w14:paraId="7463B94C" w14:textId="1787765F" w:rsidR="00D34D20" w:rsidRPr="00813B78" w:rsidRDefault="00D34D20" w:rsidP="00D34D20">
                        <w:pPr>
                          <w:spacing w:after="0" w:line="276" w:lineRule="auto"/>
                          <w:jc w:val="both"/>
                          <w:rPr>
                            <w:rFonts w:ascii="Verdana" w:hAnsi="Verdana"/>
                            <w:sz w:val="16"/>
                            <w:szCs w:val="16"/>
                          </w:rPr>
                        </w:pPr>
                        <w:r w:rsidRPr="00813B78">
                          <w:rPr>
                            <w:rFonts w:ascii="Verdana" w:hAnsi="Verdana"/>
                            <w:sz w:val="16"/>
                            <w:szCs w:val="16"/>
                          </w:rPr>
                          <w:t xml:space="preserve">Conmutador: (+57) 601 </w:t>
                        </w:r>
                        <w:r w:rsidR="00813B78" w:rsidRPr="00813B78">
                          <w:rPr>
                            <w:rFonts w:ascii="Verdana" w:hAnsi="Verdana"/>
                            <w:sz w:val="16"/>
                            <w:szCs w:val="16"/>
                          </w:rPr>
                          <w:t>3907000</w:t>
                        </w:r>
                        <w:r w:rsidRPr="00813B78">
                          <w:rPr>
                            <w:rFonts w:ascii="Verdana" w:hAnsi="Verdana"/>
                            <w:sz w:val="16"/>
                            <w:szCs w:val="16"/>
                          </w:rPr>
                          <w:t xml:space="preserve"> </w:t>
                        </w:r>
                      </w:p>
                      <w:p w14:paraId="3F743D65" w14:textId="36A20723" w:rsidR="00D34D20" w:rsidRPr="00813B78" w:rsidRDefault="00D34D20" w:rsidP="00256928">
                        <w:pPr>
                          <w:spacing w:after="0" w:line="276" w:lineRule="auto"/>
                          <w:jc w:val="both"/>
                          <w:rPr>
                            <w:rFonts w:ascii="Verdana" w:hAnsi="Verdana"/>
                            <w:sz w:val="16"/>
                            <w:szCs w:val="16"/>
                          </w:rPr>
                        </w:pPr>
                        <w:r w:rsidRPr="00813B78">
                          <w:rPr>
                            <w:rFonts w:ascii="Verdana" w:hAnsi="Verdana"/>
                            <w:sz w:val="16"/>
                            <w:szCs w:val="16"/>
                          </w:rPr>
                          <w:t xml:space="preserve">Línea </w:t>
                        </w:r>
                        <w:r w:rsidR="00F37AB3">
                          <w:rPr>
                            <w:rFonts w:ascii="Verdana" w:hAnsi="Verdana"/>
                            <w:sz w:val="16"/>
                            <w:szCs w:val="16"/>
                          </w:rPr>
                          <w:t>gratuita</w:t>
                        </w:r>
                        <w:r w:rsidRPr="00813B78">
                          <w:rPr>
                            <w:rFonts w:ascii="Verdana" w:hAnsi="Verdana"/>
                            <w:sz w:val="16"/>
                            <w:szCs w:val="16"/>
                          </w:rPr>
                          <w:t xml:space="preserve">: (+57) 01 8000 </w:t>
                        </w:r>
                        <w:r w:rsidR="00813B78" w:rsidRPr="00813B78">
                          <w:rPr>
                            <w:rFonts w:ascii="Verdana" w:hAnsi="Verdana"/>
                            <w:sz w:val="16"/>
                            <w:szCs w:val="16"/>
                          </w:rPr>
                          <w:t>123004</w:t>
                        </w:r>
                      </w:p>
                    </w:txbxContent>
                  </v:textbox>
                  <w10:wrap anchorx="margin"/>
                </v:shape>
              </w:pict>
            </mc:Fallback>
          </mc:AlternateContent>
        </w:r>
        <w:r>
          <w:rPr>
            <w:lang w:val="es-ES"/>
          </w:rPr>
          <w:t xml:space="preserve">Página | </w:t>
        </w:r>
        <w:r>
          <w:fldChar w:fldCharType="begin"/>
        </w:r>
        <w:r>
          <w:instrText>PAGE   \* MERGEFORMAT</w:instrText>
        </w:r>
        <w:r>
          <w:fldChar w:fldCharType="separate"/>
        </w:r>
        <w:r w:rsidR="00EA523C" w:rsidRPr="00EA523C">
          <w:rPr>
            <w:noProof/>
            <w:lang w:val="es-ES"/>
          </w:rPr>
          <w:t>1</w:t>
        </w:r>
        <w:r>
          <w:fldChar w:fldCharType="end"/>
        </w:r>
        <w:r>
          <w:rPr>
            <w:lang w:val="es-ES"/>
          </w:rPr>
          <w:t xml:space="preserve"> </w:t>
        </w:r>
      </w:p>
    </w:sdtContent>
  </w:sdt>
  <w:p w14:paraId="409F4B9A" w14:textId="79830460" w:rsidR="00D34D20" w:rsidRPr="00D34D20" w:rsidRDefault="00D34D20" w:rsidP="00D34D20">
    <w:pPr>
      <w:spacing w:after="0" w:line="276" w:lineRule="auto"/>
      <w:jc w:val="both"/>
      <w:rPr>
        <w:rFonts w:ascii="Helvetica" w:hAnsi="Helveti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9C7EBF" w14:textId="77777777" w:rsidR="004B427C" w:rsidRDefault="004B427C" w:rsidP="00757B36">
      <w:pPr>
        <w:spacing w:after="0" w:line="240" w:lineRule="auto"/>
      </w:pPr>
      <w:r>
        <w:separator/>
      </w:r>
    </w:p>
  </w:footnote>
  <w:footnote w:type="continuationSeparator" w:id="0">
    <w:p w14:paraId="3ED33C4D" w14:textId="77777777" w:rsidR="004B427C" w:rsidRDefault="004B427C" w:rsidP="00757B36">
      <w:pPr>
        <w:spacing w:after="0" w:line="240" w:lineRule="auto"/>
      </w:pPr>
      <w:r>
        <w:continuationSeparator/>
      </w:r>
    </w:p>
  </w:footnote>
  <w:footnote w:id="1">
    <w:p w14:paraId="7FD9300B" w14:textId="55DB1529" w:rsidR="00CD5AB9" w:rsidRPr="00CD5AB9" w:rsidRDefault="00CD5AB9" w:rsidP="00CD5AB9">
      <w:pPr>
        <w:pStyle w:val="Textonotapie"/>
        <w:rPr>
          <w:rFonts w:ascii="Verdana" w:hAnsi="Verdana"/>
          <w:sz w:val="18"/>
          <w:szCs w:val="18"/>
        </w:rPr>
      </w:pPr>
      <w:r w:rsidRPr="00CD5AB9">
        <w:rPr>
          <w:rStyle w:val="Refdenotaalpie"/>
          <w:rFonts w:ascii="Verdana" w:hAnsi="Verdana"/>
          <w:sz w:val="18"/>
          <w:szCs w:val="18"/>
        </w:rPr>
        <w:footnoteRef/>
      </w:r>
      <w:r w:rsidRPr="00CD5AB9">
        <w:rPr>
          <w:rFonts w:ascii="Verdana" w:hAnsi="Verdana"/>
          <w:sz w:val="18"/>
          <w:szCs w:val="18"/>
        </w:rPr>
        <w:t xml:space="preserve"> El Ministerio de Hacienda y Crédito Público, mediante el Decreto 0766 del 20 de julio de 2024,</w:t>
      </w:r>
      <w:r w:rsidR="003640BE">
        <w:rPr>
          <w:rFonts w:ascii="Verdana" w:hAnsi="Verdana"/>
          <w:sz w:val="18"/>
          <w:szCs w:val="18"/>
        </w:rPr>
        <w:t xml:space="preserve"> </w:t>
      </w:r>
      <w:r w:rsidRPr="00CD5AB9">
        <w:rPr>
          <w:rFonts w:ascii="Verdana" w:hAnsi="Verdana"/>
          <w:sz w:val="18"/>
          <w:szCs w:val="18"/>
        </w:rPr>
        <w:t>aplazó unas apropiaciones presupuestales en el Presupuesto General de Nación de la vigencia fiscal 2024. Para el caso de la Agencia ITRC, bloquean en gastos de funcionamiento $262.666.324 y en gastos de Inversión $1.162.514.230, para un total de $1.425.180.554.</w:t>
      </w:r>
    </w:p>
    <w:p w14:paraId="5383287F" w14:textId="4A150DE2" w:rsidR="00CD5AB9" w:rsidRPr="00CD5AB9" w:rsidRDefault="00CD5AB9" w:rsidP="00CD5AB9">
      <w:pPr>
        <w:pStyle w:val="Textonotapie"/>
        <w:rPr>
          <w:rFonts w:ascii="Verdana" w:hAnsi="Verdana"/>
          <w:sz w:val="18"/>
          <w:szCs w:val="18"/>
        </w:rPr>
      </w:pPr>
      <w:r w:rsidRPr="00CD5AB9">
        <w:rPr>
          <w:rFonts w:ascii="Verdana" w:hAnsi="Verdana"/>
          <w:sz w:val="18"/>
          <w:szCs w:val="18"/>
        </w:rPr>
        <w:t>Por lo tanto, la ejecución del cuadro anterior tiene incluido los recursos que fueron bloqueados, los cuales no se podrán utilizar para la vigencia 2024.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099C83" w14:textId="500C63B0" w:rsidR="003125AF" w:rsidRDefault="00F02EF7" w:rsidP="00F02EF7">
    <w:pPr>
      <w:pStyle w:val="Encabezado"/>
      <w:jc w:val="center"/>
    </w:pPr>
    <w:r w:rsidRPr="00F02EF7">
      <w:rPr>
        <w:noProof/>
      </w:rPr>
      <w:drawing>
        <wp:inline distT="0" distB="0" distL="0" distR="0" wp14:anchorId="06593E58" wp14:editId="28B95C8F">
          <wp:extent cx="796045" cy="1006021"/>
          <wp:effectExtent l="0" t="0" r="0" b="0"/>
          <wp:docPr id="25" name="Imagen 24" descr="Logotipo&#10;&#10;Descripción generada automáticamente">
            <a:extLst xmlns:a="http://schemas.openxmlformats.org/drawingml/2006/main">
              <a:ext uri="{FF2B5EF4-FFF2-40B4-BE49-F238E27FC236}">
                <a16:creationId xmlns:a16="http://schemas.microsoft.com/office/drawing/2014/main" id="{FDBD4BB4-3E19-6766-8F27-1A4E63ABC62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n 24" descr="Logotipo&#10;&#10;Descripción generada automáticamente">
                    <a:extLst>
                      <a:ext uri="{FF2B5EF4-FFF2-40B4-BE49-F238E27FC236}">
                        <a16:creationId xmlns:a16="http://schemas.microsoft.com/office/drawing/2014/main" id="{FDBD4BB4-3E19-6766-8F27-1A4E63ABC626}"/>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96045" cy="100602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40984"/>
    <w:multiLevelType w:val="hybridMultilevel"/>
    <w:tmpl w:val="755E322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87E05B3"/>
    <w:multiLevelType w:val="hybridMultilevel"/>
    <w:tmpl w:val="A21A64FC"/>
    <w:lvl w:ilvl="0" w:tplc="0C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 w15:restartNumberingAfterBreak="0">
    <w:nsid w:val="232619CF"/>
    <w:multiLevelType w:val="hybridMultilevel"/>
    <w:tmpl w:val="7E2E336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25295BA9"/>
    <w:multiLevelType w:val="hybridMultilevel"/>
    <w:tmpl w:val="48CE916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 w15:restartNumberingAfterBreak="0">
    <w:nsid w:val="3A2F5D43"/>
    <w:multiLevelType w:val="hybridMultilevel"/>
    <w:tmpl w:val="9872B30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3B600B20"/>
    <w:multiLevelType w:val="hybridMultilevel"/>
    <w:tmpl w:val="EA9C017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5F131BDC"/>
    <w:multiLevelType w:val="hybridMultilevel"/>
    <w:tmpl w:val="D65C4360"/>
    <w:lvl w:ilvl="0" w:tplc="0C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 w15:restartNumberingAfterBreak="0">
    <w:nsid w:val="63B13949"/>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70670268"/>
    <w:multiLevelType w:val="hybridMultilevel"/>
    <w:tmpl w:val="25D0ECF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 w15:restartNumberingAfterBreak="0">
    <w:nsid w:val="71E93AE9"/>
    <w:multiLevelType w:val="hybridMultilevel"/>
    <w:tmpl w:val="9CC6D37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 w15:restartNumberingAfterBreak="0">
    <w:nsid w:val="7DB0188B"/>
    <w:multiLevelType w:val="hybridMultilevel"/>
    <w:tmpl w:val="4D46E478"/>
    <w:lvl w:ilvl="0" w:tplc="0C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num w:numId="1" w16cid:durableId="223638385">
    <w:abstractNumId w:val="0"/>
  </w:num>
  <w:num w:numId="2" w16cid:durableId="1775175864">
    <w:abstractNumId w:val="5"/>
  </w:num>
  <w:num w:numId="3" w16cid:durableId="1896113502">
    <w:abstractNumId w:val="2"/>
  </w:num>
  <w:num w:numId="4" w16cid:durableId="581842972">
    <w:abstractNumId w:val="10"/>
  </w:num>
  <w:num w:numId="5" w16cid:durableId="1237281180">
    <w:abstractNumId w:val="6"/>
  </w:num>
  <w:num w:numId="6" w16cid:durableId="908734553">
    <w:abstractNumId w:val="1"/>
  </w:num>
  <w:num w:numId="7" w16cid:durableId="1498764496">
    <w:abstractNumId w:val="8"/>
  </w:num>
  <w:num w:numId="8" w16cid:durableId="2052337457">
    <w:abstractNumId w:val="4"/>
  </w:num>
  <w:num w:numId="9" w16cid:durableId="226575294">
    <w:abstractNumId w:val="3"/>
  </w:num>
  <w:num w:numId="10" w16cid:durableId="883492793">
    <w:abstractNumId w:val="9"/>
  </w:num>
  <w:num w:numId="11" w16cid:durableId="42947305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7B36"/>
    <w:rsid w:val="00007C95"/>
    <w:rsid w:val="000204D6"/>
    <w:rsid w:val="00023C02"/>
    <w:rsid w:val="000445CC"/>
    <w:rsid w:val="0004671F"/>
    <w:rsid w:val="0006004C"/>
    <w:rsid w:val="00072E22"/>
    <w:rsid w:val="00091BDA"/>
    <w:rsid w:val="00096AA2"/>
    <w:rsid w:val="000A4173"/>
    <w:rsid w:val="000A6793"/>
    <w:rsid w:val="000C14E3"/>
    <w:rsid w:val="000C4A32"/>
    <w:rsid w:val="000C5226"/>
    <w:rsid w:val="000C7A1F"/>
    <w:rsid w:val="000D38FD"/>
    <w:rsid w:val="000D6C16"/>
    <w:rsid w:val="000E4565"/>
    <w:rsid w:val="00105DD9"/>
    <w:rsid w:val="001132E2"/>
    <w:rsid w:val="00117BFA"/>
    <w:rsid w:val="00131B2E"/>
    <w:rsid w:val="001446A6"/>
    <w:rsid w:val="00161700"/>
    <w:rsid w:val="001C04ED"/>
    <w:rsid w:val="001E4FFE"/>
    <w:rsid w:val="002055A0"/>
    <w:rsid w:val="0023095A"/>
    <w:rsid w:val="0023239B"/>
    <w:rsid w:val="00233A79"/>
    <w:rsid w:val="00255542"/>
    <w:rsid w:val="00256928"/>
    <w:rsid w:val="002647F7"/>
    <w:rsid w:val="00270C9B"/>
    <w:rsid w:val="00286420"/>
    <w:rsid w:val="00290BE0"/>
    <w:rsid w:val="002B7A04"/>
    <w:rsid w:val="002C0A72"/>
    <w:rsid w:val="002C69DA"/>
    <w:rsid w:val="002D6257"/>
    <w:rsid w:val="002F466E"/>
    <w:rsid w:val="002F5646"/>
    <w:rsid w:val="00304320"/>
    <w:rsid w:val="0030489C"/>
    <w:rsid w:val="003125AF"/>
    <w:rsid w:val="00322AC7"/>
    <w:rsid w:val="00324E7A"/>
    <w:rsid w:val="0032603E"/>
    <w:rsid w:val="0032682E"/>
    <w:rsid w:val="00334615"/>
    <w:rsid w:val="00336FBA"/>
    <w:rsid w:val="00351567"/>
    <w:rsid w:val="00352DA0"/>
    <w:rsid w:val="00352EC8"/>
    <w:rsid w:val="003617D0"/>
    <w:rsid w:val="003640BE"/>
    <w:rsid w:val="00367DD7"/>
    <w:rsid w:val="00371524"/>
    <w:rsid w:val="003832EE"/>
    <w:rsid w:val="00386329"/>
    <w:rsid w:val="00391CAE"/>
    <w:rsid w:val="003A0899"/>
    <w:rsid w:val="003A19E4"/>
    <w:rsid w:val="003A6DEB"/>
    <w:rsid w:val="00407EB1"/>
    <w:rsid w:val="0041307C"/>
    <w:rsid w:val="004241C8"/>
    <w:rsid w:val="00426698"/>
    <w:rsid w:val="0043033F"/>
    <w:rsid w:val="004357C6"/>
    <w:rsid w:val="00436E05"/>
    <w:rsid w:val="00437840"/>
    <w:rsid w:val="00470383"/>
    <w:rsid w:val="0048232F"/>
    <w:rsid w:val="004B427C"/>
    <w:rsid w:val="004C2D2B"/>
    <w:rsid w:val="004D1680"/>
    <w:rsid w:val="004E3896"/>
    <w:rsid w:val="004E5A23"/>
    <w:rsid w:val="004E630E"/>
    <w:rsid w:val="004E6B11"/>
    <w:rsid w:val="004F49F9"/>
    <w:rsid w:val="005211DD"/>
    <w:rsid w:val="00522D4E"/>
    <w:rsid w:val="00531108"/>
    <w:rsid w:val="0053654E"/>
    <w:rsid w:val="005419C2"/>
    <w:rsid w:val="00551221"/>
    <w:rsid w:val="005624B4"/>
    <w:rsid w:val="00583B2B"/>
    <w:rsid w:val="005929DF"/>
    <w:rsid w:val="005975A5"/>
    <w:rsid w:val="005B0514"/>
    <w:rsid w:val="005C2C27"/>
    <w:rsid w:val="005C338B"/>
    <w:rsid w:val="005D4BB8"/>
    <w:rsid w:val="005E685C"/>
    <w:rsid w:val="00611E05"/>
    <w:rsid w:val="0063043C"/>
    <w:rsid w:val="0064339E"/>
    <w:rsid w:val="006466AD"/>
    <w:rsid w:val="00646A00"/>
    <w:rsid w:val="00654C3D"/>
    <w:rsid w:val="00661B87"/>
    <w:rsid w:val="00686CA7"/>
    <w:rsid w:val="006A7AC5"/>
    <w:rsid w:val="006C1095"/>
    <w:rsid w:val="006C6370"/>
    <w:rsid w:val="006D33D3"/>
    <w:rsid w:val="006D42C7"/>
    <w:rsid w:val="006D6706"/>
    <w:rsid w:val="006D787D"/>
    <w:rsid w:val="006E743A"/>
    <w:rsid w:val="006F75CD"/>
    <w:rsid w:val="00700BD2"/>
    <w:rsid w:val="00705224"/>
    <w:rsid w:val="007125B7"/>
    <w:rsid w:val="00733C96"/>
    <w:rsid w:val="00735198"/>
    <w:rsid w:val="00737EC2"/>
    <w:rsid w:val="007570AA"/>
    <w:rsid w:val="00757B36"/>
    <w:rsid w:val="007632F2"/>
    <w:rsid w:val="00781782"/>
    <w:rsid w:val="00786B8A"/>
    <w:rsid w:val="007B0DCE"/>
    <w:rsid w:val="007C316A"/>
    <w:rsid w:val="007C3DE4"/>
    <w:rsid w:val="007D3EE6"/>
    <w:rsid w:val="007D6957"/>
    <w:rsid w:val="007D7AC8"/>
    <w:rsid w:val="007E39A0"/>
    <w:rsid w:val="007F11B3"/>
    <w:rsid w:val="007F1A8F"/>
    <w:rsid w:val="00807F3E"/>
    <w:rsid w:val="00812D46"/>
    <w:rsid w:val="00813B78"/>
    <w:rsid w:val="008234E0"/>
    <w:rsid w:val="00867F1F"/>
    <w:rsid w:val="008717DF"/>
    <w:rsid w:val="00871CF4"/>
    <w:rsid w:val="0089673D"/>
    <w:rsid w:val="008E292D"/>
    <w:rsid w:val="008F1D94"/>
    <w:rsid w:val="008F367D"/>
    <w:rsid w:val="008F50A1"/>
    <w:rsid w:val="009036DF"/>
    <w:rsid w:val="00913159"/>
    <w:rsid w:val="00936621"/>
    <w:rsid w:val="0094339B"/>
    <w:rsid w:val="00954ABC"/>
    <w:rsid w:val="00986576"/>
    <w:rsid w:val="009869F7"/>
    <w:rsid w:val="0099090A"/>
    <w:rsid w:val="00994576"/>
    <w:rsid w:val="00997AA6"/>
    <w:rsid w:val="009A1396"/>
    <w:rsid w:val="009B0437"/>
    <w:rsid w:val="009B2D4F"/>
    <w:rsid w:val="009B2DD7"/>
    <w:rsid w:val="009B60B6"/>
    <w:rsid w:val="009C09F6"/>
    <w:rsid w:val="009D46D7"/>
    <w:rsid w:val="009D6BA2"/>
    <w:rsid w:val="009E0790"/>
    <w:rsid w:val="009E1920"/>
    <w:rsid w:val="009E2943"/>
    <w:rsid w:val="009F22A5"/>
    <w:rsid w:val="009F7CF4"/>
    <w:rsid w:val="00A04AEA"/>
    <w:rsid w:val="00A23AFB"/>
    <w:rsid w:val="00A315DD"/>
    <w:rsid w:val="00A72CCB"/>
    <w:rsid w:val="00A7531B"/>
    <w:rsid w:val="00A82DC8"/>
    <w:rsid w:val="00A91E37"/>
    <w:rsid w:val="00AA0942"/>
    <w:rsid w:val="00AB20B2"/>
    <w:rsid w:val="00AC04EB"/>
    <w:rsid w:val="00AC3D0C"/>
    <w:rsid w:val="00AF6B0F"/>
    <w:rsid w:val="00B022D9"/>
    <w:rsid w:val="00B17D42"/>
    <w:rsid w:val="00B26FA4"/>
    <w:rsid w:val="00B3438C"/>
    <w:rsid w:val="00B35146"/>
    <w:rsid w:val="00B35C66"/>
    <w:rsid w:val="00B365FD"/>
    <w:rsid w:val="00B4424A"/>
    <w:rsid w:val="00B654C7"/>
    <w:rsid w:val="00B75BBF"/>
    <w:rsid w:val="00B75D91"/>
    <w:rsid w:val="00B843D8"/>
    <w:rsid w:val="00BA5493"/>
    <w:rsid w:val="00BC2C6A"/>
    <w:rsid w:val="00BD1087"/>
    <w:rsid w:val="00BD7907"/>
    <w:rsid w:val="00BE5E3D"/>
    <w:rsid w:val="00BF14A2"/>
    <w:rsid w:val="00BF1E3F"/>
    <w:rsid w:val="00C14B98"/>
    <w:rsid w:val="00C170B0"/>
    <w:rsid w:val="00C251A1"/>
    <w:rsid w:val="00C3195C"/>
    <w:rsid w:val="00C36F53"/>
    <w:rsid w:val="00C37507"/>
    <w:rsid w:val="00C57EE1"/>
    <w:rsid w:val="00C656D2"/>
    <w:rsid w:val="00C708C7"/>
    <w:rsid w:val="00C72C2F"/>
    <w:rsid w:val="00C9358B"/>
    <w:rsid w:val="00C9596D"/>
    <w:rsid w:val="00CA0C1C"/>
    <w:rsid w:val="00CD5AB9"/>
    <w:rsid w:val="00CE488E"/>
    <w:rsid w:val="00D07F18"/>
    <w:rsid w:val="00D14BA2"/>
    <w:rsid w:val="00D16E9E"/>
    <w:rsid w:val="00D20CE7"/>
    <w:rsid w:val="00D24756"/>
    <w:rsid w:val="00D34D20"/>
    <w:rsid w:val="00D41457"/>
    <w:rsid w:val="00D43377"/>
    <w:rsid w:val="00D45A40"/>
    <w:rsid w:val="00D529EA"/>
    <w:rsid w:val="00D634F6"/>
    <w:rsid w:val="00D640AD"/>
    <w:rsid w:val="00D7383F"/>
    <w:rsid w:val="00D73D58"/>
    <w:rsid w:val="00D814F4"/>
    <w:rsid w:val="00D94FA7"/>
    <w:rsid w:val="00D96C19"/>
    <w:rsid w:val="00DA49EB"/>
    <w:rsid w:val="00DA784A"/>
    <w:rsid w:val="00DD4652"/>
    <w:rsid w:val="00DE0F5E"/>
    <w:rsid w:val="00DE4585"/>
    <w:rsid w:val="00DF7802"/>
    <w:rsid w:val="00E14932"/>
    <w:rsid w:val="00E20D53"/>
    <w:rsid w:val="00E22F5B"/>
    <w:rsid w:val="00E266E1"/>
    <w:rsid w:val="00E53A87"/>
    <w:rsid w:val="00E57102"/>
    <w:rsid w:val="00E57CB3"/>
    <w:rsid w:val="00EA523C"/>
    <w:rsid w:val="00ED1ABA"/>
    <w:rsid w:val="00ED7B35"/>
    <w:rsid w:val="00EE25E7"/>
    <w:rsid w:val="00EE5DD1"/>
    <w:rsid w:val="00F02EF7"/>
    <w:rsid w:val="00F16825"/>
    <w:rsid w:val="00F249C1"/>
    <w:rsid w:val="00F30E22"/>
    <w:rsid w:val="00F335F5"/>
    <w:rsid w:val="00F36C18"/>
    <w:rsid w:val="00F37AB3"/>
    <w:rsid w:val="00F51621"/>
    <w:rsid w:val="00F61071"/>
    <w:rsid w:val="00F71DE0"/>
    <w:rsid w:val="00F81123"/>
    <w:rsid w:val="00FD7B2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9C4308"/>
  <w15:chartTrackingRefBased/>
  <w15:docId w15:val="{82F1AF6E-31FF-4CFD-85E0-BEF35F908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2F5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7B3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7B36"/>
  </w:style>
  <w:style w:type="paragraph" w:styleId="Piedepgina">
    <w:name w:val="footer"/>
    <w:basedOn w:val="Normal"/>
    <w:link w:val="PiedepginaCar"/>
    <w:uiPriority w:val="99"/>
    <w:unhideWhenUsed/>
    <w:rsid w:val="00757B3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57B36"/>
  </w:style>
  <w:style w:type="character" w:styleId="Hipervnculo">
    <w:name w:val="Hyperlink"/>
    <w:basedOn w:val="Fuentedeprrafopredeter"/>
    <w:uiPriority w:val="99"/>
    <w:unhideWhenUsed/>
    <w:rsid w:val="00757B36"/>
    <w:rPr>
      <w:color w:val="0563C1" w:themeColor="hyperlink"/>
      <w:u w:val="single"/>
    </w:rPr>
  </w:style>
  <w:style w:type="character" w:customStyle="1" w:styleId="Mencinsinresolver1">
    <w:name w:val="Mención sin resolver1"/>
    <w:basedOn w:val="Fuentedeprrafopredeter"/>
    <w:uiPriority w:val="99"/>
    <w:semiHidden/>
    <w:unhideWhenUsed/>
    <w:rsid w:val="00757B36"/>
    <w:rPr>
      <w:color w:val="605E5C"/>
      <w:shd w:val="clear" w:color="auto" w:fill="E1DFDD"/>
    </w:rPr>
  </w:style>
  <w:style w:type="paragraph" w:styleId="Prrafodelista">
    <w:name w:val="List Paragraph"/>
    <w:basedOn w:val="Normal"/>
    <w:uiPriority w:val="34"/>
    <w:qFormat/>
    <w:rsid w:val="00757B36"/>
    <w:pPr>
      <w:ind w:left="720"/>
      <w:contextualSpacing/>
    </w:pPr>
  </w:style>
  <w:style w:type="table" w:styleId="Tablaconcuadrcula">
    <w:name w:val="Table Grid"/>
    <w:basedOn w:val="Tablanormal"/>
    <w:uiPriority w:val="39"/>
    <w:rsid w:val="00F168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
    <w:rsid w:val="002C0A72"/>
    <w:pPr>
      <w:spacing w:before="100" w:beforeAutospacing="1" w:after="100" w:afterAutospacing="1" w:line="240" w:lineRule="auto"/>
    </w:pPr>
    <w:rPr>
      <w:rFonts w:ascii="Times New Roman" w:eastAsia="Times New Roman" w:hAnsi="Times New Roman" w:cs="Times New Roman"/>
      <w:kern w:val="0"/>
      <w:sz w:val="24"/>
      <w:szCs w:val="24"/>
      <w:lang w:eastAsia="es-CO"/>
      <w14:ligatures w14:val="none"/>
    </w:rPr>
  </w:style>
  <w:style w:type="character" w:customStyle="1" w:styleId="ui-provider">
    <w:name w:val="ui-provider"/>
    <w:basedOn w:val="Fuentedeprrafopredeter"/>
    <w:rsid w:val="002C0A72"/>
  </w:style>
  <w:style w:type="paragraph" w:styleId="Cierre">
    <w:name w:val="Closing"/>
    <w:basedOn w:val="Normal"/>
    <w:link w:val="CierreCar"/>
    <w:uiPriority w:val="99"/>
    <w:unhideWhenUsed/>
    <w:rsid w:val="00936621"/>
    <w:pPr>
      <w:spacing w:after="0" w:line="240" w:lineRule="auto"/>
      <w:ind w:left="4252"/>
    </w:pPr>
    <w:rPr>
      <w:rFonts w:ascii="Times New Roman" w:hAnsi="Times New Roman" w:cs="Times New Roman"/>
      <w:kern w:val="0"/>
      <w:sz w:val="24"/>
      <w:szCs w:val="24"/>
      <w:lang w:eastAsia="es-ES"/>
      <w14:ligatures w14:val="none"/>
    </w:rPr>
  </w:style>
  <w:style w:type="character" w:customStyle="1" w:styleId="CierreCar">
    <w:name w:val="Cierre Car"/>
    <w:basedOn w:val="Fuentedeprrafopredeter"/>
    <w:link w:val="Cierre"/>
    <w:uiPriority w:val="99"/>
    <w:rsid w:val="00936621"/>
    <w:rPr>
      <w:rFonts w:ascii="Times New Roman" w:hAnsi="Times New Roman" w:cs="Times New Roman"/>
      <w:kern w:val="0"/>
      <w:sz w:val="24"/>
      <w:szCs w:val="24"/>
      <w:lang w:eastAsia="es-ES"/>
      <w14:ligatures w14:val="none"/>
    </w:rPr>
  </w:style>
  <w:style w:type="paragraph" w:customStyle="1" w:styleId="Default">
    <w:name w:val="Default"/>
    <w:rsid w:val="00936621"/>
    <w:pPr>
      <w:autoSpaceDE w:val="0"/>
      <w:autoSpaceDN w:val="0"/>
      <w:adjustRightInd w:val="0"/>
      <w:spacing w:after="0" w:line="240" w:lineRule="auto"/>
    </w:pPr>
    <w:rPr>
      <w:rFonts w:ascii="Century Gothic" w:hAnsi="Century Gothic" w:cs="Century Gothic"/>
      <w:color w:val="000000"/>
      <w:kern w:val="0"/>
      <w:sz w:val="24"/>
      <w:szCs w:val="24"/>
      <w14:ligatures w14:val="none"/>
    </w:rPr>
  </w:style>
  <w:style w:type="paragraph" w:styleId="Descripcin">
    <w:name w:val="caption"/>
    <w:basedOn w:val="Normal"/>
    <w:next w:val="Normal"/>
    <w:uiPriority w:val="35"/>
    <w:unhideWhenUsed/>
    <w:qFormat/>
    <w:rsid w:val="00936621"/>
    <w:pPr>
      <w:spacing w:after="200" w:line="240" w:lineRule="auto"/>
    </w:pPr>
    <w:rPr>
      <w:i/>
      <w:iCs/>
      <w:color w:val="44546A" w:themeColor="text2"/>
      <w:sz w:val="18"/>
      <w:szCs w:val="18"/>
    </w:rPr>
  </w:style>
  <w:style w:type="paragraph" w:styleId="Textonotapie">
    <w:name w:val="footnote text"/>
    <w:basedOn w:val="Normal"/>
    <w:link w:val="TextonotapieCar"/>
    <w:uiPriority w:val="99"/>
    <w:semiHidden/>
    <w:unhideWhenUsed/>
    <w:rsid w:val="00CD5AB9"/>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CD5AB9"/>
    <w:rPr>
      <w:sz w:val="20"/>
      <w:szCs w:val="20"/>
    </w:rPr>
  </w:style>
  <w:style w:type="character" w:styleId="Refdenotaalpie">
    <w:name w:val="footnote reference"/>
    <w:basedOn w:val="Fuentedeprrafopredeter"/>
    <w:uiPriority w:val="99"/>
    <w:semiHidden/>
    <w:unhideWhenUsed/>
    <w:rsid w:val="00CD5AB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4511994">
      <w:bodyDiv w:val="1"/>
      <w:marLeft w:val="0"/>
      <w:marRight w:val="0"/>
      <w:marTop w:val="0"/>
      <w:marBottom w:val="0"/>
      <w:divBdr>
        <w:top w:val="none" w:sz="0" w:space="0" w:color="auto"/>
        <w:left w:val="none" w:sz="0" w:space="0" w:color="auto"/>
        <w:bottom w:val="none" w:sz="0" w:space="0" w:color="auto"/>
        <w:right w:val="none" w:sz="0" w:space="0" w:color="auto"/>
      </w:divBdr>
      <w:divsChild>
        <w:div w:id="1554463619">
          <w:marLeft w:val="0"/>
          <w:marRight w:val="0"/>
          <w:marTop w:val="240"/>
          <w:marBottom w:val="120"/>
          <w:divBdr>
            <w:top w:val="none" w:sz="0" w:space="0" w:color="auto"/>
            <w:left w:val="none" w:sz="0" w:space="0" w:color="auto"/>
            <w:bottom w:val="none" w:sz="0" w:space="0" w:color="auto"/>
            <w:right w:val="none" w:sz="0" w:space="0" w:color="auto"/>
          </w:divBdr>
        </w:div>
        <w:div w:id="759376973">
          <w:marLeft w:val="0"/>
          <w:marRight w:val="0"/>
          <w:marTop w:val="240"/>
          <w:marBottom w:val="120"/>
          <w:divBdr>
            <w:top w:val="none" w:sz="0" w:space="0" w:color="auto"/>
            <w:left w:val="none" w:sz="0" w:space="0" w:color="auto"/>
            <w:bottom w:val="none" w:sz="0" w:space="0" w:color="auto"/>
            <w:right w:val="none" w:sz="0" w:space="0" w:color="auto"/>
          </w:divBdr>
        </w:div>
        <w:div w:id="157811056">
          <w:marLeft w:val="0"/>
          <w:marRight w:val="0"/>
          <w:marTop w:val="240"/>
          <w:marBottom w:val="120"/>
          <w:divBdr>
            <w:top w:val="none" w:sz="0" w:space="0" w:color="auto"/>
            <w:left w:val="none" w:sz="0" w:space="0" w:color="auto"/>
            <w:bottom w:val="none" w:sz="0" w:space="0" w:color="auto"/>
            <w:right w:val="none" w:sz="0" w:space="0" w:color="auto"/>
          </w:divBdr>
        </w:div>
        <w:div w:id="657151886">
          <w:marLeft w:val="0"/>
          <w:marRight w:val="0"/>
          <w:marTop w:val="240"/>
          <w:marBottom w:val="120"/>
          <w:divBdr>
            <w:top w:val="none" w:sz="0" w:space="0" w:color="auto"/>
            <w:left w:val="none" w:sz="0" w:space="0" w:color="auto"/>
            <w:bottom w:val="none" w:sz="0" w:space="0" w:color="auto"/>
            <w:right w:val="none" w:sz="0" w:space="0" w:color="auto"/>
          </w:divBdr>
        </w:div>
        <w:div w:id="68965899">
          <w:marLeft w:val="0"/>
          <w:marRight w:val="0"/>
          <w:marTop w:val="240"/>
          <w:marBottom w:val="120"/>
          <w:divBdr>
            <w:top w:val="none" w:sz="0" w:space="0" w:color="auto"/>
            <w:left w:val="none" w:sz="0" w:space="0" w:color="auto"/>
            <w:bottom w:val="none" w:sz="0" w:space="0" w:color="auto"/>
            <w:right w:val="none" w:sz="0" w:space="0" w:color="auto"/>
          </w:divBdr>
        </w:div>
      </w:divsChild>
    </w:div>
    <w:div w:id="365445289">
      <w:bodyDiv w:val="1"/>
      <w:marLeft w:val="0"/>
      <w:marRight w:val="0"/>
      <w:marTop w:val="0"/>
      <w:marBottom w:val="0"/>
      <w:divBdr>
        <w:top w:val="none" w:sz="0" w:space="0" w:color="auto"/>
        <w:left w:val="none" w:sz="0" w:space="0" w:color="auto"/>
        <w:bottom w:val="none" w:sz="0" w:space="0" w:color="auto"/>
        <w:right w:val="none" w:sz="0" w:space="0" w:color="auto"/>
      </w:divBdr>
    </w:div>
    <w:div w:id="433597988">
      <w:bodyDiv w:val="1"/>
      <w:marLeft w:val="0"/>
      <w:marRight w:val="0"/>
      <w:marTop w:val="0"/>
      <w:marBottom w:val="0"/>
      <w:divBdr>
        <w:top w:val="none" w:sz="0" w:space="0" w:color="auto"/>
        <w:left w:val="none" w:sz="0" w:space="0" w:color="auto"/>
        <w:bottom w:val="none" w:sz="0" w:space="0" w:color="auto"/>
        <w:right w:val="none" w:sz="0" w:space="0" w:color="auto"/>
      </w:divBdr>
      <w:divsChild>
        <w:div w:id="734166500">
          <w:marLeft w:val="0"/>
          <w:marRight w:val="0"/>
          <w:marTop w:val="0"/>
          <w:marBottom w:val="160"/>
          <w:divBdr>
            <w:top w:val="none" w:sz="0" w:space="0" w:color="auto"/>
            <w:left w:val="none" w:sz="0" w:space="0" w:color="auto"/>
            <w:bottom w:val="none" w:sz="0" w:space="0" w:color="auto"/>
            <w:right w:val="none" w:sz="0" w:space="0" w:color="auto"/>
          </w:divBdr>
        </w:div>
        <w:div w:id="883517568">
          <w:marLeft w:val="0"/>
          <w:marRight w:val="0"/>
          <w:marTop w:val="0"/>
          <w:marBottom w:val="160"/>
          <w:divBdr>
            <w:top w:val="none" w:sz="0" w:space="0" w:color="auto"/>
            <w:left w:val="none" w:sz="0" w:space="0" w:color="auto"/>
            <w:bottom w:val="none" w:sz="0" w:space="0" w:color="auto"/>
            <w:right w:val="none" w:sz="0" w:space="0" w:color="auto"/>
          </w:divBdr>
        </w:div>
        <w:div w:id="228662675">
          <w:marLeft w:val="0"/>
          <w:marRight w:val="0"/>
          <w:marTop w:val="0"/>
          <w:marBottom w:val="160"/>
          <w:divBdr>
            <w:top w:val="none" w:sz="0" w:space="0" w:color="auto"/>
            <w:left w:val="none" w:sz="0" w:space="0" w:color="auto"/>
            <w:bottom w:val="none" w:sz="0" w:space="0" w:color="auto"/>
            <w:right w:val="none" w:sz="0" w:space="0" w:color="auto"/>
          </w:divBdr>
        </w:div>
      </w:divsChild>
    </w:div>
    <w:div w:id="484859269">
      <w:bodyDiv w:val="1"/>
      <w:marLeft w:val="0"/>
      <w:marRight w:val="0"/>
      <w:marTop w:val="0"/>
      <w:marBottom w:val="0"/>
      <w:divBdr>
        <w:top w:val="none" w:sz="0" w:space="0" w:color="auto"/>
        <w:left w:val="none" w:sz="0" w:space="0" w:color="auto"/>
        <w:bottom w:val="none" w:sz="0" w:space="0" w:color="auto"/>
        <w:right w:val="none" w:sz="0" w:space="0" w:color="auto"/>
      </w:divBdr>
      <w:divsChild>
        <w:div w:id="1832480904">
          <w:marLeft w:val="0"/>
          <w:marRight w:val="0"/>
          <w:marTop w:val="240"/>
          <w:marBottom w:val="120"/>
          <w:divBdr>
            <w:top w:val="none" w:sz="0" w:space="0" w:color="auto"/>
            <w:left w:val="none" w:sz="0" w:space="0" w:color="auto"/>
            <w:bottom w:val="none" w:sz="0" w:space="0" w:color="auto"/>
            <w:right w:val="none" w:sz="0" w:space="0" w:color="auto"/>
          </w:divBdr>
        </w:div>
        <w:div w:id="809324111">
          <w:marLeft w:val="0"/>
          <w:marRight w:val="0"/>
          <w:marTop w:val="240"/>
          <w:marBottom w:val="0"/>
          <w:divBdr>
            <w:top w:val="none" w:sz="0" w:space="0" w:color="auto"/>
            <w:left w:val="none" w:sz="0" w:space="0" w:color="auto"/>
            <w:bottom w:val="none" w:sz="0" w:space="0" w:color="auto"/>
            <w:right w:val="none" w:sz="0" w:space="0" w:color="auto"/>
          </w:divBdr>
        </w:div>
        <w:div w:id="1171947393">
          <w:marLeft w:val="0"/>
          <w:marRight w:val="0"/>
          <w:marTop w:val="240"/>
          <w:marBottom w:val="0"/>
          <w:divBdr>
            <w:top w:val="none" w:sz="0" w:space="0" w:color="auto"/>
            <w:left w:val="none" w:sz="0" w:space="0" w:color="auto"/>
            <w:bottom w:val="none" w:sz="0" w:space="0" w:color="auto"/>
            <w:right w:val="none" w:sz="0" w:space="0" w:color="auto"/>
          </w:divBdr>
        </w:div>
      </w:divsChild>
    </w:div>
    <w:div w:id="531192317">
      <w:bodyDiv w:val="1"/>
      <w:marLeft w:val="0"/>
      <w:marRight w:val="0"/>
      <w:marTop w:val="0"/>
      <w:marBottom w:val="0"/>
      <w:divBdr>
        <w:top w:val="none" w:sz="0" w:space="0" w:color="auto"/>
        <w:left w:val="none" w:sz="0" w:space="0" w:color="auto"/>
        <w:bottom w:val="none" w:sz="0" w:space="0" w:color="auto"/>
        <w:right w:val="none" w:sz="0" w:space="0" w:color="auto"/>
      </w:divBdr>
    </w:div>
    <w:div w:id="591862426">
      <w:bodyDiv w:val="1"/>
      <w:marLeft w:val="0"/>
      <w:marRight w:val="0"/>
      <w:marTop w:val="0"/>
      <w:marBottom w:val="0"/>
      <w:divBdr>
        <w:top w:val="none" w:sz="0" w:space="0" w:color="auto"/>
        <w:left w:val="none" w:sz="0" w:space="0" w:color="auto"/>
        <w:bottom w:val="none" w:sz="0" w:space="0" w:color="auto"/>
        <w:right w:val="none" w:sz="0" w:space="0" w:color="auto"/>
      </w:divBdr>
    </w:div>
    <w:div w:id="811095109">
      <w:bodyDiv w:val="1"/>
      <w:marLeft w:val="0"/>
      <w:marRight w:val="0"/>
      <w:marTop w:val="0"/>
      <w:marBottom w:val="0"/>
      <w:divBdr>
        <w:top w:val="none" w:sz="0" w:space="0" w:color="auto"/>
        <w:left w:val="none" w:sz="0" w:space="0" w:color="auto"/>
        <w:bottom w:val="none" w:sz="0" w:space="0" w:color="auto"/>
        <w:right w:val="none" w:sz="0" w:space="0" w:color="auto"/>
      </w:divBdr>
    </w:div>
    <w:div w:id="955911574">
      <w:bodyDiv w:val="1"/>
      <w:marLeft w:val="0"/>
      <w:marRight w:val="0"/>
      <w:marTop w:val="0"/>
      <w:marBottom w:val="0"/>
      <w:divBdr>
        <w:top w:val="none" w:sz="0" w:space="0" w:color="auto"/>
        <w:left w:val="none" w:sz="0" w:space="0" w:color="auto"/>
        <w:bottom w:val="none" w:sz="0" w:space="0" w:color="auto"/>
        <w:right w:val="none" w:sz="0" w:space="0" w:color="auto"/>
      </w:divBdr>
      <w:divsChild>
        <w:div w:id="504052189">
          <w:marLeft w:val="0"/>
          <w:marRight w:val="0"/>
          <w:marTop w:val="0"/>
          <w:marBottom w:val="160"/>
          <w:divBdr>
            <w:top w:val="none" w:sz="0" w:space="0" w:color="auto"/>
            <w:left w:val="none" w:sz="0" w:space="0" w:color="auto"/>
            <w:bottom w:val="none" w:sz="0" w:space="0" w:color="auto"/>
            <w:right w:val="none" w:sz="0" w:space="0" w:color="auto"/>
          </w:divBdr>
        </w:div>
        <w:div w:id="1518538906">
          <w:marLeft w:val="0"/>
          <w:marRight w:val="0"/>
          <w:marTop w:val="0"/>
          <w:marBottom w:val="160"/>
          <w:divBdr>
            <w:top w:val="none" w:sz="0" w:space="0" w:color="auto"/>
            <w:left w:val="none" w:sz="0" w:space="0" w:color="auto"/>
            <w:bottom w:val="none" w:sz="0" w:space="0" w:color="auto"/>
            <w:right w:val="none" w:sz="0" w:space="0" w:color="auto"/>
          </w:divBdr>
        </w:div>
        <w:div w:id="1896432142">
          <w:marLeft w:val="0"/>
          <w:marRight w:val="0"/>
          <w:marTop w:val="0"/>
          <w:marBottom w:val="160"/>
          <w:divBdr>
            <w:top w:val="none" w:sz="0" w:space="0" w:color="auto"/>
            <w:left w:val="none" w:sz="0" w:space="0" w:color="auto"/>
            <w:bottom w:val="none" w:sz="0" w:space="0" w:color="auto"/>
            <w:right w:val="none" w:sz="0" w:space="0" w:color="auto"/>
          </w:divBdr>
        </w:div>
      </w:divsChild>
    </w:div>
    <w:div w:id="1043989595">
      <w:bodyDiv w:val="1"/>
      <w:marLeft w:val="0"/>
      <w:marRight w:val="0"/>
      <w:marTop w:val="0"/>
      <w:marBottom w:val="0"/>
      <w:divBdr>
        <w:top w:val="none" w:sz="0" w:space="0" w:color="auto"/>
        <w:left w:val="none" w:sz="0" w:space="0" w:color="auto"/>
        <w:bottom w:val="none" w:sz="0" w:space="0" w:color="auto"/>
        <w:right w:val="none" w:sz="0" w:space="0" w:color="auto"/>
      </w:divBdr>
    </w:div>
    <w:div w:id="1352417580">
      <w:bodyDiv w:val="1"/>
      <w:marLeft w:val="0"/>
      <w:marRight w:val="0"/>
      <w:marTop w:val="0"/>
      <w:marBottom w:val="0"/>
      <w:divBdr>
        <w:top w:val="none" w:sz="0" w:space="0" w:color="auto"/>
        <w:left w:val="none" w:sz="0" w:space="0" w:color="auto"/>
        <w:bottom w:val="none" w:sz="0" w:space="0" w:color="auto"/>
        <w:right w:val="none" w:sz="0" w:space="0" w:color="auto"/>
      </w:divBdr>
    </w:div>
    <w:div w:id="1506480919">
      <w:bodyDiv w:val="1"/>
      <w:marLeft w:val="0"/>
      <w:marRight w:val="0"/>
      <w:marTop w:val="0"/>
      <w:marBottom w:val="0"/>
      <w:divBdr>
        <w:top w:val="none" w:sz="0" w:space="0" w:color="auto"/>
        <w:left w:val="none" w:sz="0" w:space="0" w:color="auto"/>
        <w:bottom w:val="none" w:sz="0" w:space="0" w:color="auto"/>
        <w:right w:val="none" w:sz="0" w:space="0" w:color="auto"/>
      </w:divBdr>
    </w:div>
    <w:div w:id="1808545954">
      <w:bodyDiv w:val="1"/>
      <w:marLeft w:val="0"/>
      <w:marRight w:val="0"/>
      <w:marTop w:val="0"/>
      <w:marBottom w:val="0"/>
      <w:divBdr>
        <w:top w:val="none" w:sz="0" w:space="0" w:color="auto"/>
        <w:left w:val="none" w:sz="0" w:space="0" w:color="auto"/>
        <w:bottom w:val="none" w:sz="0" w:space="0" w:color="auto"/>
        <w:right w:val="none" w:sz="0" w:space="0" w:color="auto"/>
      </w:divBdr>
      <w:divsChild>
        <w:div w:id="1397971922">
          <w:marLeft w:val="0"/>
          <w:marRight w:val="0"/>
          <w:marTop w:val="240"/>
          <w:marBottom w:val="120"/>
          <w:divBdr>
            <w:top w:val="none" w:sz="0" w:space="0" w:color="auto"/>
            <w:left w:val="none" w:sz="0" w:space="0" w:color="auto"/>
            <w:bottom w:val="none" w:sz="0" w:space="0" w:color="auto"/>
            <w:right w:val="none" w:sz="0" w:space="0" w:color="auto"/>
          </w:divBdr>
        </w:div>
        <w:div w:id="685446117">
          <w:marLeft w:val="0"/>
          <w:marRight w:val="0"/>
          <w:marTop w:val="240"/>
          <w:marBottom w:val="0"/>
          <w:divBdr>
            <w:top w:val="none" w:sz="0" w:space="0" w:color="auto"/>
            <w:left w:val="none" w:sz="0" w:space="0" w:color="auto"/>
            <w:bottom w:val="none" w:sz="0" w:space="0" w:color="auto"/>
            <w:right w:val="none" w:sz="0" w:space="0" w:color="auto"/>
          </w:divBdr>
        </w:div>
        <w:div w:id="1473863105">
          <w:marLeft w:val="0"/>
          <w:marRight w:val="0"/>
          <w:marTop w:val="240"/>
          <w:marBottom w:val="0"/>
          <w:divBdr>
            <w:top w:val="none" w:sz="0" w:space="0" w:color="auto"/>
            <w:left w:val="none" w:sz="0" w:space="0" w:color="auto"/>
            <w:bottom w:val="none" w:sz="0" w:space="0" w:color="auto"/>
            <w:right w:val="none" w:sz="0" w:space="0" w:color="auto"/>
          </w:divBdr>
        </w:div>
      </w:divsChild>
    </w:div>
    <w:div w:id="1973249490">
      <w:bodyDiv w:val="1"/>
      <w:marLeft w:val="0"/>
      <w:marRight w:val="0"/>
      <w:marTop w:val="0"/>
      <w:marBottom w:val="0"/>
      <w:divBdr>
        <w:top w:val="none" w:sz="0" w:space="0" w:color="auto"/>
        <w:left w:val="none" w:sz="0" w:space="0" w:color="auto"/>
        <w:bottom w:val="none" w:sz="0" w:space="0" w:color="auto"/>
        <w:right w:val="none" w:sz="0" w:space="0" w:color="auto"/>
      </w:divBdr>
      <w:divsChild>
        <w:div w:id="1042746725">
          <w:marLeft w:val="0"/>
          <w:marRight w:val="0"/>
          <w:marTop w:val="240"/>
          <w:marBottom w:val="120"/>
          <w:divBdr>
            <w:top w:val="none" w:sz="0" w:space="0" w:color="auto"/>
            <w:left w:val="none" w:sz="0" w:space="0" w:color="auto"/>
            <w:bottom w:val="none" w:sz="0" w:space="0" w:color="auto"/>
            <w:right w:val="none" w:sz="0" w:space="0" w:color="auto"/>
          </w:divBdr>
        </w:div>
        <w:div w:id="1432777724">
          <w:marLeft w:val="0"/>
          <w:marRight w:val="0"/>
          <w:marTop w:val="240"/>
          <w:marBottom w:val="120"/>
          <w:divBdr>
            <w:top w:val="none" w:sz="0" w:space="0" w:color="auto"/>
            <w:left w:val="none" w:sz="0" w:space="0" w:color="auto"/>
            <w:bottom w:val="none" w:sz="0" w:space="0" w:color="auto"/>
            <w:right w:val="none" w:sz="0" w:space="0" w:color="auto"/>
          </w:divBdr>
        </w:div>
        <w:div w:id="1016729458">
          <w:marLeft w:val="0"/>
          <w:marRight w:val="0"/>
          <w:marTop w:val="240"/>
          <w:marBottom w:val="120"/>
          <w:divBdr>
            <w:top w:val="none" w:sz="0" w:space="0" w:color="auto"/>
            <w:left w:val="none" w:sz="0" w:space="0" w:color="auto"/>
            <w:bottom w:val="none" w:sz="0" w:space="0" w:color="auto"/>
            <w:right w:val="none" w:sz="0" w:space="0" w:color="auto"/>
          </w:divBdr>
        </w:div>
        <w:div w:id="631449220">
          <w:marLeft w:val="0"/>
          <w:marRight w:val="0"/>
          <w:marTop w:val="240"/>
          <w:marBottom w:val="120"/>
          <w:divBdr>
            <w:top w:val="none" w:sz="0" w:space="0" w:color="auto"/>
            <w:left w:val="none" w:sz="0" w:space="0" w:color="auto"/>
            <w:bottom w:val="none" w:sz="0" w:space="0" w:color="auto"/>
            <w:right w:val="none" w:sz="0" w:space="0" w:color="auto"/>
          </w:divBdr>
        </w:div>
        <w:div w:id="692538209">
          <w:marLeft w:val="0"/>
          <w:marRight w:val="0"/>
          <w:marTop w:val="24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5b32c91-5d0f-41fe-ba98-6377a8562dc4">
      <Terms xmlns="http://schemas.microsoft.com/office/infopath/2007/PartnerControls"/>
    </lcf76f155ced4ddcb4097134ff3c332f>
    <TaxCatchAll xmlns="63555163-96ef-4bf0-b6dd-1a659b9184d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0D0CAFD994260B42AAAD5F229C549F00" ma:contentTypeVersion="14" ma:contentTypeDescription="Crear nuevo documento." ma:contentTypeScope="" ma:versionID="bb39bf19725556fb237221cdbd896379">
  <xsd:schema xmlns:xsd="http://www.w3.org/2001/XMLSchema" xmlns:xs="http://www.w3.org/2001/XMLSchema" xmlns:p="http://schemas.microsoft.com/office/2006/metadata/properties" xmlns:ns2="55b32c91-5d0f-41fe-ba98-6377a8562dc4" xmlns:ns3="63555163-96ef-4bf0-b6dd-1a659b9184dd" targetNamespace="http://schemas.microsoft.com/office/2006/metadata/properties" ma:root="true" ma:fieldsID="4b9b2154d7ddd09848b8b492abab4b0b" ns2:_="" ns3:_="">
    <xsd:import namespace="55b32c91-5d0f-41fe-ba98-6377a8562dc4"/>
    <xsd:import namespace="63555163-96ef-4bf0-b6dd-1a659b9184dd"/>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b32c91-5d0f-41fe-ba98-6377a8562d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Etiquetas de imagen" ma:readOnly="false" ma:fieldId="{5cf76f15-5ced-4ddc-b409-7134ff3c332f}" ma:taxonomyMulti="true" ma:sspId="18e58f56-551c-40b9-8687-469583f575dd"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3555163-96ef-4bf0-b6dd-1a659b9184dd"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85e9e76-a64c-461b-8449-398085b2adb2}" ma:internalName="TaxCatchAll" ma:showField="CatchAllData" ma:web="63555163-96ef-4bf0-b6dd-1a659b9184dd">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40D286-3A7D-4C5B-820A-83126B5A3B1E}">
  <ds:schemaRefs>
    <ds:schemaRef ds:uri="http://schemas.openxmlformats.org/officeDocument/2006/bibliography"/>
  </ds:schemaRefs>
</ds:datastoreItem>
</file>

<file path=customXml/itemProps2.xml><?xml version="1.0" encoding="utf-8"?>
<ds:datastoreItem xmlns:ds="http://schemas.openxmlformats.org/officeDocument/2006/customXml" ds:itemID="{3B3BE3B2-D794-435F-B90D-AB68F1C0243E}">
  <ds:schemaRefs>
    <ds:schemaRef ds:uri="http://schemas.microsoft.com/office/2006/metadata/properties"/>
    <ds:schemaRef ds:uri="http://schemas.microsoft.com/office/infopath/2007/PartnerControls"/>
    <ds:schemaRef ds:uri="55b32c91-5d0f-41fe-ba98-6377a8562dc4"/>
    <ds:schemaRef ds:uri="63555163-96ef-4bf0-b6dd-1a659b9184dd"/>
  </ds:schemaRefs>
</ds:datastoreItem>
</file>

<file path=customXml/itemProps3.xml><?xml version="1.0" encoding="utf-8"?>
<ds:datastoreItem xmlns:ds="http://schemas.openxmlformats.org/officeDocument/2006/customXml" ds:itemID="{D3F76E72-5ADA-4DC1-B3F9-C5C38429D4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b32c91-5d0f-41fe-ba98-6377a8562dc4"/>
    <ds:schemaRef ds:uri="63555163-96ef-4bf0-b6dd-1a659b9184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CEAD695-95F6-44F7-9D55-F0DF7F0C598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198</TotalTime>
  <Pages>18</Pages>
  <Words>6028</Words>
  <Characters>33160</Characters>
  <Application>Microsoft Office Word</Application>
  <DocSecurity>0</DocSecurity>
  <Lines>276</Lines>
  <Paragraphs>78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Camilo  Baracaldo Godoy</dc:creator>
  <cp:keywords/>
  <dc:description/>
  <cp:lastModifiedBy>Camilo Fernando Dussan Vargas</cp:lastModifiedBy>
  <cp:revision>68</cp:revision>
  <cp:lastPrinted>2023-05-29T14:55:00Z</cp:lastPrinted>
  <dcterms:created xsi:type="dcterms:W3CDTF">2024-08-16T16:08:00Z</dcterms:created>
  <dcterms:modified xsi:type="dcterms:W3CDTF">2024-08-16T20:53:00Z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1581713611</vt:i4>
  </property>
  <property fmtid="{D5CDD505-2E9C-101B-9397-08002B2CF9AE}" pid="3" name="ContentTypeId">
    <vt:lpwstr>0x0101000D0CAFD994260B42AAAD5F229C549F00</vt:lpwstr>
  </property>
</Properties>
</file>