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015793" w14:textId="77777777" w:rsidR="00B55E66" w:rsidRPr="00923405" w:rsidRDefault="00B55E66">
      <w:pPr>
        <w:spacing w:after="0" w:line="240" w:lineRule="auto"/>
        <w:jc w:val="both"/>
        <w:rPr>
          <w:rFonts w:ascii="Verdana" w:eastAsia="Verdana" w:hAnsi="Verdana" w:cs="Verdana"/>
          <w:sz w:val="22"/>
          <w:szCs w:val="22"/>
        </w:rPr>
      </w:pPr>
    </w:p>
    <w:p w14:paraId="10F7F5D6" w14:textId="7AE4E9FE" w:rsidR="007A78A4" w:rsidRPr="001F7EF3" w:rsidRDefault="001F7EF3" w:rsidP="001F7EF3">
      <w:pPr>
        <w:spacing w:after="0" w:line="240" w:lineRule="auto"/>
        <w:jc w:val="center"/>
        <w:rPr>
          <w:rStyle w:val="Hipervnculo"/>
          <w:rFonts w:ascii="Verdana" w:hAnsi="Verdana"/>
          <w:b/>
          <w:sz w:val="18"/>
          <w:szCs w:val="18"/>
        </w:rPr>
      </w:pPr>
      <w:r w:rsidRPr="001F7EF3">
        <w:rPr>
          <w:rStyle w:val="Hipervnculo"/>
          <w:rFonts w:ascii="Verdana" w:hAnsi="Verdana"/>
          <w:b/>
          <w:sz w:val="18"/>
          <w:szCs w:val="18"/>
        </w:rPr>
        <w:t>INSUMO DEBATE DE CONTROL POLITICO – MIERCOLES 21 DE AGOSTO DE 2024 / COMISION PRIMERA CAMARA DE REPRESENTANTES</w:t>
      </w:r>
    </w:p>
    <w:p w14:paraId="1A0EE9C7" w14:textId="77777777" w:rsidR="001827CF" w:rsidRPr="001F7EF3" w:rsidRDefault="001827CF" w:rsidP="001F7EF3">
      <w:pPr>
        <w:spacing w:after="0" w:line="240" w:lineRule="auto"/>
        <w:jc w:val="center"/>
        <w:rPr>
          <w:rFonts w:ascii="Verdana" w:eastAsia="Verdana" w:hAnsi="Verdana" w:cs="Verdana"/>
          <w:b/>
          <w:sz w:val="18"/>
          <w:szCs w:val="18"/>
        </w:rPr>
      </w:pPr>
    </w:p>
    <w:p w14:paraId="491721AE" w14:textId="77777777" w:rsidR="00B55E66" w:rsidRPr="00923405" w:rsidRDefault="0068230C">
      <w:pPr>
        <w:widowControl w:val="0"/>
        <w:spacing w:after="0" w:line="240" w:lineRule="auto"/>
        <w:jc w:val="both"/>
        <w:rPr>
          <w:rFonts w:ascii="Verdana" w:eastAsia="Verdana" w:hAnsi="Verdana" w:cs="Verdana"/>
          <w:sz w:val="22"/>
          <w:szCs w:val="22"/>
        </w:rPr>
      </w:pPr>
      <w:r w:rsidRPr="00923405">
        <w:rPr>
          <w:rFonts w:ascii="Verdana" w:eastAsia="Verdana" w:hAnsi="Verdana" w:cs="Verdana"/>
          <w:sz w:val="22"/>
          <w:szCs w:val="22"/>
        </w:rPr>
        <w:t xml:space="preserve"> </w:t>
      </w:r>
      <w:r w:rsidRPr="00923405">
        <w:rPr>
          <w:rFonts w:ascii="Verdana" w:eastAsia="Verdana" w:hAnsi="Verdana" w:cs="Verdana"/>
          <w:sz w:val="22"/>
          <w:szCs w:val="22"/>
        </w:rPr>
        <w:tab/>
      </w:r>
    </w:p>
    <w:p w14:paraId="20D61690" w14:textId="467A1700" w:rsidR="0058371B" w:rsidRPr="00923405" w:rsidRDefault="0068230C">
      <w:pPr>
        <w:widowControl w:val="0"/>
        <w:spacing w:after="0" w:line="240" w:lineRule="auto"/>
        <w:jc w:val="both"/>
        <w:rPr>
          <w:rFonts w:ascii="Verdana" w:eastAsia="Verdana" w:hAnsi="Verdana" w:cs="Verdana"/>
          <w:sz w:val="22"/>
          <w:szCs w:val="22"/>
        </w:rPr>
      </w:pPr>
      <w:r w:rsidRPr="00923405">
        <w:rPr>
          <w:rFonts w:ascii="Verdana" w:eastAsia="Verdana" w:hAnsi="Verdana" w:cs="Verdana"/>
          <w:b/>
          <w:sz w:val="22"/>
          <w:szCs w:val="22"/>
        </w:rPr>
        <w:t>Asunto:</w:t>
      </w:r>
      <w:r w:rsidRPr="00923405">
        <w:rPr>
          <w:rFonts w:ascii="Verdana" w:eastAsia="Verdana" w:hAnsi="Verdana" w:cs="Verdana"/>
          <w:sz w:val="22"/>
          <w:szCs w:val="22"/>
        </w:rPr>
        <w:t xml:space="preserve"> Solicitud de </w:t>
      </w:r>
      <w:r w:rsidR="007A78A4" w:rsidRPr="00923405">
        <w:rPr>
          <w:rFonts w:ascii="Verdana" w:eastAsia="Verdana" w:hAnsi="Verdana" w:cs="Verdana"/>
          <w:sz w:val="22"/>
          <w:szCs w:val="22"/>
        </w:rPr>
        <w:t xml:space="preserve">Comentarios – Entidades SHDA-Proposición 06/ 2024 (Comisión I Cámara) </w:t>
      </w:r>
    </w:p>
    <w:p w14:paraId="37E0CB07" w14:textId="77777777" w:rsidR="007A78A4" w:rsidRPr="00923405" w:rsidRDefault="007A78A4">
      <w:pPr>
        <w:widowControl w:val="0"/>
        <w:spacing w:after="0" w:line="240" w:lineRule="auto"/>
        <w:jc w:val="both"/>
        <w:rPr>
          <w:rFonts w:ascii="Verdana" w:eastAsia="Verdana" w:hAnsi="Verdana" w:cs="Verdana"/>
          <w:color w:val="000000"/>
          <w:sz w:val="22"/>
          <w:szCs w:val="22"/>
        </w:rPr>
      </w:pPr>
    </w:p>
    <w:p w14:paraId="4C5FBDEA" w14:textId="77777777" w:rsidR="00B55E66" w:rsidRPr="00923405" w:rsidRDefault="00B55E66">
      <w:pPr>
        <w:widowControl w:val="0"/>
        <w:spacing w:after="0" w:line="240" w:lineRule="auto"/>
        <w:jc w:val="both"/>
        <w:rPr>
          <w:rFonts w:ascii="Verdana" w:eastAsia="Verdana" w:hAnsi="Verdana" w:cs="Verdana"/>
          <w:color w:val="000000"/>
          <w:sz w:val="22"/>
          <w:szCs w:val="22"/>
        </w:rPr>
      </w:pPr>
    </w:p>
    <w:p w14:paraId="1005A9A7" w14:textId="77777777" w:rsidR="00B55E66" w:rsidRPr="00923405" w:rsidRDefault="0068230C">
      <w:pPr>
        <w:pBdr>
          <w:top w:val="nil"/>
          <w:left w:val="nil"/>
          <w:bottom w:val="nil"/>
          <w:right w:val="nil"/>
          <w:between w:val="nil"/>
        </w:pBdr>
        <w:shd w:val="clear" w:color="auto" w:fill="FFFFFF"/>
        <w:spacing w:after="0" w:line="240" w:lineRule="auto"/>
        <w:jc w:val="both"/>
        <w:rPr>
          <w:rFonts w:ascii="Verdana" w:eastAsia="Verdana" w:hAnsi="Verdana" w:cs="Verdana"/>
          <w:color w:val="000000"/>
          <w:sz w:val="22"/>
          <w:szCs w:val="22"/>
        </w:rPr>
      </w:pPr>
      <w:r w:rsidRPr="00923405">
        <w:rPr>
          <w:rFonts w:ascii="Verdana" w:eastAsia="Verdana" w:hAnsi="Verdana" w:cs="Verdana"/>
          <w:color w:val="222222"/>
          <w:sz w:val="22"/>
          <w:szCs w:val="22"/>
        </w:rPr>
        <w:t>Cordial saludo,</w:t>
      </w:r>
    </w:p>
    <w:p w14:paraId="444A37DF" w14:textId="77777777" w:rsidR="00B55E66" w:rsidRPr="00923405" w:rsidRDefault="00B55E66">
      <w:pPr>
        <w:pBdr>
          <w:top w:val="nil"/>
          <w:left w:val="nil"/>
          <w:bottom w:val="nil"/>
          <w:right w:val="nil"/>
          <w:between w:val="nil"/>
        </w:pBdr>
        <w:shd w:val="clear" w:color="auto" w:fill="FFFFFF"/>
        <w:spacing w:after="0" w:line="240" w:lineRule="auto"/>
        <w:jc w:val="both"/>
        <w:rPr>
          <w:rFonts w:ascii="Verdana" w:eastAsia="Verdana" w:hAnsi="Verdana" w:cs="Verdana"/>
          <w:color w:val="000000"/>
          <w:sz w:val="22"/>
          <w:szCs w:val="22"/>
        </w:rPr>
      </w:pPr>
    </w:p>
    <w:p w14:paraId="6E4E356F" w14:textId="77777777" w:rsidR="00B55E66" w:rsidRPr="00923405" w:rsidRDefault="00B55E66">
      <w:pPr>
        <w:pBdr>
          <w:top w:val="nil"/>
          <w:left w:val="nil"/>
          <w:bottom w:val="nil"/>
          <w:right w:val="nil"/>
          <w:between w:val="nil"/>
        </w:pBdr>
        <w:shd w:val="clear" w:color="auto" w:fill="FFFFFF"/>
        <w:spacing w:after="0" w:line="240" w:lineRule="auto"/>
        <w:jc w:val="both"/>
        <w:rPr>
          <w:rFonts w:ascii="Verdana" w:eastAsia="Verdana" w:hAnsi="Verdana" w:cs="Verdana"/>
          <w:color w:val="000000"/>
          <w:sz w:val="22"/>
          <w:szCs w:val="22"/>
        </w:rPr>
      </w:pPr>
    </w:p>
    <w:p w14:paraId="575EF498" w14:textId="1F3B5346" w:rsidR="007A78A4" w:rsidRPr="00923405" w:rsidRDefault="007A78A4" w:rsidP="00493299">
      <w:pPr>
        <w:pBdr>
          <w:top w:val="nil"/>
          <w:left w:val="nil"/>
          <w:bottom w:val="nil"/>
          <w:right w:val="nil"/>
          <w:between w:val="nil"/>
        </w:pBdr>
        <w:shd w:val="clear" w:color="auto" w:fill="FFFFFF"/>
        <w:spacing w:after="0" w:line="240" w:lineRule="auto"/>
        <w:jc w:val="both"/>
        <w:rPr>
          <w:rFonts w:ascii="Verdana" w:eastAsia="Verdana" w:hAnsi="Verdana" w:cs="Verdana"/>
          <w:color w:val="222222"/>
          <w:sz w:val="22"/>
          <w:szCs w:val="22"/>
        </w:rPr>
      </w:pPr>
      <w:r w:rsidRPr="00923405">
        <w:rPr>
          <w:rFonts w:ascii="Verdana" w:eastAsia="Verdana" w:hAnsi="Verdana" w:cs="Verdana"/>
          <w:color w:val="222222"/>
          <w:sz w:val="22"/>
          <w:szCs w:val="22"/>
        </w:rPr>
        <w:t>Acusamos recibido de su correo electrónico del 16 de agosto de 2024, r</w:t>
      </w:r>
      <w:r w:rsidR="0068230C">
        <w:rPr>
          <w:rFonts w:ascii="Verdana" w:eastAsia="Verdana" w:hAnsi="Verdana" w:cs="Verdana"/>
          <w:color w:val="222222"/>
          <w:sz w:val="22"/>
          <w:szCs w:val="22"/>
        </w:rPr>
        <w:t xml:space="preserve">adicado en el Fondo Adaptación </w:t>
      </w:r>
      <w:proofErr w:type="spellStart"/>
      <w:r w:rsidR="0068230C">
        <w:rPr>
          <w:rFonts w:ascii="Verdana" w:eastAsia="Verdana" w:hAnsi="Verdana" w:cs="Verdana"/>
          <w:color w:val="222222"/>
          <w:sz w:val="22"/>
          <w:szCs w:val="22"/>
        </w:rPr>
        <w:t>N</w:t>
      </w:r>
      <w:r w:rsidRPr="00923405">
        <w:rPr>
          <w:rFonts w:ascii="Verdana" w:eastAsia="Verdana" w:hAnsi="Verdana" w:cs="Verdana"/>
          <w:color w:val="222222"/>
          <w:sz w:val="22"/>
          <w:szCs w:val="22"/>
        </w:rPr>
        <w:t>ro</w:t>
      </w:r>
      <w:proofErr w:type="spellEnd"/>
      <w:r w:rsidRPr="00923405">
        <w:rPr>
          <w:rFonts w:ascii="Verdana" w:eastAsia="Verdana" w:hAnsi="Verdana" w:cs="Verdana"/>
          <w:color w:val="222222"/>
          <w:sz w:val="22"/>
          <w:szCs w:val="22"/>
        </w:rPr>
        <w:t xml:space="preserve"> R2024- 006594, mediante el cual manifiesta lo siguiente:</w:t>
      </w:r>
    </w:p>
    <w:p w14:paraId="03558292" w14:textId="77777777" w:rsidR="007A78A4" w:rsidRPr="00923405" w:rsidRDefault="007A78A4" w:rsidP="00493299">
      <w:pPr>
        <w:pBdr>
          <w:top w:val="nil"/>
          <w:left w:val="nil"/>
          <w:bottom w:val="nil"/>
          <w:right w:val="nil"/>
          <w:between w:val="nil"/>
        </w:pBdr>
        <w:shd w:val="clear" w:color="auto" w:fill="FFFFFF"/>
        <w:spacing w:after="0" w:line="240" w:lineRule="auto"/>
        <w:jc w:val="both"/>
        <w:rPr>
          <w:rFonts w:ascii="Verdana" w:eastAsia="Verdana" w:hAnsi="Verdana" w:cs="Verdana"/>
          <w:color w:val="222222"/>
          <w:sz w:val="22"/>
          <w:szCs w:val="22"/>
        </w:rPr>
      </w:pPr>
    </w:p>
    <w:p w14:paraId="1068E3F2" w14:textId="77777777" w:rsidR="007A78A4" w:rsidRPr="00923405" w:rsidRDefault="007A78A4" w:rsidP="00493299">
      <w:pPr>
        <w:pBdr>
          <w:top w:val="nil"/>
          <w:left w:val="nil"/>
          <w:bottom w:val="nil"/>
          <w:right w:val="nil"/>
          <w:between w:val="nil"/>
        </w:pBdr>
        <w:shd w:val="clear" w:color="auto" w:fill="FFFFFF"/>
        <w:spacing w:after="0" w:line="240" w:lineRule="auto"/>
        <w:jc w:val="both"/>
        <w:rPr>
          <w:rFonts w:ascii="Verdana" w:eastAsia="Verdana" w:hAnsi="Verdana" w:cs="Verdana"/>
          <w:color w:val="222222"/>
          <w:sz w:val="22"/>
          <w:szCs w:val="22"/>
        </w:rPr>
      </w:pPr>
    </w:p>
    <w:p w14:paraId="5CD91AA6" w14:textId="41F67115" w:rsidR="007A78A4" w:rsidRPr="007A78A4" w:rsidRDefault="007A78A4" w:rsidP="00493299">
      <w:pPr>
        <w:pBdr>
          <w:top w:val="nil"/>
          <w:left w:val="nil"/>
          <w:bottom w:val="nil"/>
          <w:right w:val="nil"/>
          <w:between w:val="nil"/>
        </w:pBdr>
        <w:shd w:val="clear" w:color="auto" w:fill="FFFFFF"/>
        <w:spacing w:after="0" w:line="240" w:lineRule="auto"/>
        <w:jc w:val="both"/>
        <w:rPr>
          <w:rFonts w:ascii="Verdana" w:eastAsia="Verdana" w:hAnsi="Verdana" w:cs="Verdana"/>
          <w:i/>
          <w:iCs/>
          <w:color w:val="222222"/>
          <w:sz w:val="20"/>
          <w:szCs w:val="20"/>
        </w:rPr>
      </w:pPr>
      <w:r w:rsidRPr="00923405">
        <w:rPr>
          <w:rFonts w:ascii="Verdana" w:eastAsia="Verdana" w:hAnsi="Verdana" w:cs="Verdana"/>
          <w:color w:val="222222"/>
          <w:sz w:val="22"/>
          <w:szCs w:val="22"/>
        </w:rPr>
        <w:t>“</w:t>
      </w:r>
      <w:r w:rsidRPr="007A78A4">
        <w:rPr>
          <w:rFonts w:ascii="Verdana" w:eastAsia="Verdana" w:hAnsi="Verdana" w:cs="Verdana"/>
          <w:i/>
          <w:iCs/>
          <w:color w:val="222222"/>
          <w:sz w:val="20"/>
          <w:szCs w:val="20"/>
        </w:rPr>
        <w:t xml:space="preserve">El señor </w:t>
      </w:r>
      <w:proofErr w:type="gramStart"/>
      <w:r w:rsidRPr="007A78A4">
        <w:rPr>
          <w:rFonts w:ascii="Verdana" w:eastAsia="Verdana" w:hAnsi="Verdana" w:cs="Verdana"/>
          <w:i/>
          <w:iCs/>
          <w:color w:val="222222"/>
          <w:sz w:val="20"/>
          <w:szCs w:val="20"/>
        </w:rPr>
        <w:t>Ministro</w:t>
      </w:r>
      <w:proofErr w:type="gramEnd"/>
      <w:r w:rsidRPr="007A78A4">
        <w:rPr>
          <w:rFonts w:ascii="Verdana" w:eastAsia="Verdana" w:hAnsi="Verdana" w:cs="Verdana"/>
          <w:i/>
          <w:iCs/>
          <w:color w:val="222222"/>
          <w:sz w:val="20"/>
          <w:szCs w:val="20"/>
        </w:rPr>
        <w:t xml:space="preserve"> ha sido citado a debate de control político en la Comisión Primera de la Cámara de Representantes (correo que precede), por lo cual, atentamente solicitamos a cada una de la</w:t>
      </w:r>
      <w:r w:rsidR="0068230C">
        <w:rPr>
          <w:rFonts w:ascii="Verdana" w:eastAsia="Verdana" w:hAnsi="Verdana" w:cs="Verdana"/>
          <w:i/>
          <w:iCs/>
          <w:color w:val="222222"/>
          <w:sz w:val="20"/>
          <w:szCs w:val="20"/>
        </w:rPr>
        <w:t>s</w:t>
      </w:r>
      <w:r w:rsidRPr="007A78A4">
        <w:rPr>
          <w:rFonts w:ascii="Verdana" w:eastAsia="Verdana" w:hAnsi="Verdana" w:cs="Verdana"/>
          <w:i/>
          <w:iCs/>
          <w:color w:val="222222"/>
          <w:sz w:val="20"/>
          <w:szCs w:val="20"/>
        </w:rPr>
        <w:t xml:space="preserve"> entidades diligenciar las preguntas 2, 5, 6, 8, 11 y 12 de la proposición, en el archivo Excel anexo.</w:t>
      </w:r>
    </w:p>
    <w:p w14:paraId="0FE03823" w14:textId="77777777" w:rsidR="007A78A4" w:rsidRPr="007A78A4" w:rsidRDefault="007A78A4" w:rsidP="00493299">
      <w:pPr>
        <w:pBdr>
          <w:top w:val="nil"/>
          <w:left w:val="nil"/>
          <w:bottom w:val="nil"/>
          <w:right w:val="nil"/>
          <w:between w:val="nil"/>
        </w:pBdr>
        <w:shd w:val="clear" w:color="auto" w:fill="FFFFFF"/>
        <w:spacing w:after="0" w:line="240" w:lineRule="auto"/>
        <w:jc w:val="both"/>
        <w:rPr>
          <w:rFonts w:ascii="Verdana" w:eastAsia="Verdana" w:hAnsi="Verdana" w:cs="Verdana"/>
          <w:i/>
          <w:iCs/>
          <w:color w:val="222222"/>
          <w:sz w:val="20"/>
          <w:szCs w:val="20"/>
        </w:rPr>
      </w:pPr>
      <w:r w:rsidRPr="007A78A4">
        <w:rPr>
          <w:rFonts w:ascii="Verdana" w:eastAsia="Verdana" w:hAnsi="Verdana" w:cs="Verdana"/>
          <w:i/>
          <w:iCs/>
          <w:color w:val="222222"/>
          <w:sz w:val="20"/>
          <w:szCs w:val="20"/>
        </w:rPr>
        <w:t> </w:t>
      </w:r>
    </w:p>
    <w:p w14:paraId="27D6446C" w14:textId="71DFB788" w:rsidR="007A78A4" w:rsidRPr="007A78A4" w:rsidRDefault="007A78A4" w:rsidP="00493299">
      <w:pPr>
        <w:pBdr>
          <w:top w:val="nil"/>
          <w:left w:val="nil"/>
          <w:bottom w:val="nil"/>
          <w:right w:val="nil"/>
          <w:between w:val="nil"/>
        </w:pBdr>
        <w:shd w:val="clear" w:color="auto" w:fill="FFFFFF"/>
        <w:spacing w:after="0" w:line="240" w:lineRule="auto"/>
        <w:jc w:val="both"/>
        <w:rPr>
          <w:rFonts w:ascii="Verdana" w:eastAsia="Verdana" w:hAnsi="Verdana" w:cs="Verdana"/>
          <w:i/>
          <w:iCs/>
          <w:color w:val="222222"/>
          <w:sz w:val="20"/>
          <w:szCs w:val="20"/>
        </w:rPr>
      </w:pPr>
      <w:r w:rsidRPr="007A78A4">
        <w:rPr>
          <w:rFonts w:ascii="Verdana" w:eastAsia="Verdana" w:hAnsi="Verdana" w:cs="Verdana"/>
          <w:i/>
          <w:iCs/>
          <w:color w:val="222222"/>
          <w:sz w:val="20"/>
          <w:szCs w:val="20"/>
        </w:rPr>
        <w:t>Hemos dejado como guía ejemplos en algunas preguntas, de información reportada por el Ministerio en años anteriores, con el propósito de contar en lo posible con un esquema estándar que facilite la presentación y lectura de la información. Es importante anotar que las preguntas 1 y 9 del cuestionario que también se refiere a las entidades del sector, serán resueltas por la OAP del Ministerio, con base en la información de los reportes SIIF de ejecución presupuestal de cada año, y los indicadores del PND.</w:t>
      </w:r>
      <w:r w:rsidRPr="00923405">
        <w:rPr>
          <w:rFonts w:ascii="Verdana" w:eastAsia="Verdana" w:hAnsi="Verdana" w:cs="Verdana"/>
          <w:i/>
          <w:iCs/>
          <w:color w:val="222222"/>
          <w:sz w:val="20"/>
          <w:szCs w:val="20"/>
        </w:rPr>
        <w:t>”</w:t>
      </w:r>
    </w:p>
    <w:p w14:paraId="6FAEC1EE" w14:textId="77777777" w:rsidR="007A78A4" w:rsidRPr="00923405" w:rsidRDefault="007A78A4" w:rsidP="00493299">
      <w:pPr>
        <w:pBdr>
          <w:top w:val="nil"/>
          <w:left w:val="nil"/>
          <w:bottom w:val="nil"/>
          <w:right w:val="nil"/>
          <w:between w:val="nil"/>
        </w:pBdr>
        <w:shd w:val="clear" w:color="auto" w:fill="FFFFFF"/>
        <w:spacing w:after="0" w:line="240" w:lineRule="auto"/>
        <w:jc w:val="both"/>
        <w:rPr>
          <w:rFonts w:ascii="Verdana" w:eastAsia="Verdana" w:hAnsi="Verdana" w:cs="Verdana"/>
          <w:color w:val="222222"/>
          <w:sz w:val="22"/>
          <w:szCs w:val="22"/>
        </w:rPr>
      </w:pPr>
    </w:p>
    <w:p w14:paraId="43C62D73" w14:textId="26FB3324" w:rsidR="007A78A4" w:rsidRPr="00923405" w:rsidRDefault="007A78A4" w:rsidP="00493299">
      <w:pPr>
        <w:pBdr>
          <w:top w:val="nil"/>
          <w:left w:val="nil"/>
          <w:bottom w:val="nil"/>
          <w:right w:val="nil"/>
          <w:between w:val="nil"/>
        </w:pBdr>
        <w:shd w:val="clear" w:color="auto" w:fill="FFFFFF"/>
        <w:spacing w:after="0" w:line="240" w:lineRule="auto"/>
        <w:jc w:val="both"/>
        <w:rPr>
          <w:rFonts w:ascii="Verdana" w:eastAsia="Verdana" w:hAnsi="Verdana" w:cs="Verdana"/>
          <w:color w:val="222222"/>
          <w:sz w:val="22"/>
          <w:szCs w:val="22"/>
        </w:rPr>
      </w:pPr>
      <w:r w:rsidRPr="00923405">
        <w:rPr>
          <w:rFonts w:ascii="Verdana" w:eastAsia="Verdana" w:hAnsi="Verdana" w:cs="Verdana"/>
          <w:color w:val="222222"/>
          <w:sz w:val="22"/>
          <w:szCs w:val="22"/>
        </w:rPr>
        <w:t>En atención a lo anterior, de conformidad con la información</w:t>
      </w:r>
      <w:r w:rsidR="00551044" w:rsidRPr="00923405">
        <w:rPr>
          <w:rFonts w:ascii="Verdana" w:eastAsia="Verdana" w:hAnsi="Verdana" w:cs="Verdana"/>
          <w:color w:val="222222"/>
          <w:sz w:val="22"/>
          <w:szCs w:val="22"/>
        </w:rPr>
        <w:t xml:space="preserve"> que reposa en los archivos del </w:t>
      </w:r>
      <w:r w:rsidR="0068230C">
        <w:rPr>
          <w:rFonts w:ascii="Verdana" w:eastAsia="Verdana" w:hAnsi="Verdana" w:cs="Verdana"/>
          <w:color w:val="222222"/>
          <w:sz w:val="22"/>
          <w:szCs w:val="22"/>
        </w:rPr>
        <w:t>Fondo Adaptación</w:t>
      </w:r>
      <w:r w:rsidR="00551044" w:rsidRPr="00923405">
        <w:rPr>
          <w:rFonts w:ascii="Verdana" w:eastAsia="Verdana" w:hAnsi="Verdana" w:cs="Verdana"/>
          <w:color w:val="222222"/>
          <w:sz w:val="22"/>
          <w:szCs w:val="22"/>
        </w:rPr>
        <w:t>, nos permitimos dar respuesta a cada uno de los puntos, así:</w:t>
      </w:r>
    </w:p>
    <w:p w14:paraId="658571DD" w14:textId="77777777" w:rsidR="00551044" w:rsidRPr="00923405" w:rsidRDefault="00551044" w:rsidP="00493299">
      <w:pPr>
        <w:pBdr>
          <w:top w:val="nil"/>
          <w:left w:val="nil"/>
          <w:bottom w:val="nil"/>
          <w:right w:val="nil"/>
          <w:between w:val="nil"/>
        </w:pBdr>
        <w:shd w:val="clear" w:color="auto" w:fill="FFFFFF"/>
        <w:spacing w:after="0" w:line="240" w:lineRule="auto"/>
        <w:jc w:val="both"/>
        <w:rPr>
          <w:rFonts w:ascii="Verdana" w:eastAsia="Verdana" w:hAnsi="Verdana" w:cs="Verdana"/>
          <w:color w:val="222222"/>
          <w:sz w:val="22"/>
          <w:szCs w:val="22"/>
        </w:rPr>
      </w:pPr>
    </w:p>
    <w:p w14:paraId="7961C35D" w14:textId="77777777" w:rsidR="00092FC3" w:rsidRPr="00923405" w:rsidRDefault="00092FC3" w:rsidP="00923405">
      <w:pPr>
        <w:pStyle w:val="Cierre"/>
        <w:ind w:left="0"/>
        <w:contextualSpacing/>
        <w:jc w:val="both"/>
        <w:rPr>
          <w:rFonts w:ascii="Verdana" w:hAnsi="Verdana" w:cs="Arial"/>
          <w:b/>
          <w:sz w:val="22"/>
          <w:szCs w:val="22"/>
        </w:rPr>
      </w:pPr>
    </w:p>
    <w:p w14:paraId="3690BB26" w14:textId="77777777" w:rsidR="00092FC3" w:rsidRPr="00923405" w:rsidRDefault="00092FC3" w:rsidP="00923405">
      <w:pPr>
        <w:pStyle w:val="Cierre"/>
        <w:numPr>
          <w:ilvl w:val="0"/>
          <w:numId w:val="16"/>
        </w:numPr>
        <w:contextualSpacing/>
        <w:jc w:val="both"/>
        <w:rPr>
          <w:rFonts w:ascii="Verdana" w:hAnsi="Verdana" w:cs="Arial"/>
          <w:b/>
          <w:sz w:val="22"/>
          <w:szCs w:val="22"/>
        </w:rPr>
      </w:pPr>
      <w:r w:rsidRPr="00923405">
        <w:rPr>
          <w:rFonts w:ascii="Verdana" w:hAnsi="Verdana" w:cs="Arial"/>
          <w:b/>
          <w:sz w:val="22"/>
          <w:szCs w:val="22"/>
        </w:rPr>
        <w:t>Sírvase informar el porcentaje y rubro destinado para el pago de los contratos de prestación de servicios y si este corresponde a la partida de inversión o gasto de funcionamiento para las vigencias 2023 y 2024.</w:t>
      </w:r>
    </w:p>
    <w:p w14:paraId="69687E17" w14:textId="77777777" w:rsidR="00092FC3" w:rsidRPr="00923405" w:rsidRDefault="00092FC3" w:rsidP="00092FC3">
      <w:pPr>
        <w:pStyle w:val="Cierre"/>
        <w:contextualSpacing/>
        <w:jc w:val="both"/>
        <w:rPr>
          <w:rFonts w:ascii="Verdana" w:hAnsi="Verdana" w:cs="Arial"/>
          <w:b/>
          <w:sz w:val="22"/>
          <w:szCs w:val="22"/>
        </w:rPr>
      </w:pPr>
    </w:p>
    <w:p w14:paraId="68BA17A9" w14:textId="50ED1A0C" w:rsidR="00092FC3" w:rsidRPr="00923405" w:rsidRDefault="00092FC3" w:rsidP="00092FC3">
      <w:pPr>
        <w:pStyle w:val="Cierre"/>
        <w:ind w:left="0"/>
        <w:contextualSpacing/>
        <w:jc w:val="both"/>
        <w:rPr>
          <w:rFonts w:ascii="Verdana" w:hAnsi="Verdana" w:cs="Arial"/>
          <w:b/>
          <w:bCs/>
          <w:sz w:val="22"/>
          <w:szCs w:val="22"/>
        </w:rPr>
      </w:pPr>
      <w:r w:rsidRPr="00923405">
        <w:rPr>
          <w:rFonts w:ascii="Verdana" w:hAnsi="Verdana" w:cs="Arial"/>
          <w:b/>
          <w:bCs/>
          <w:sz w:val="22"/>
          <w:szCs w:val="22"/>
        </w:rPr>
        <w:t>Respuesta</w:t>
      </w:r>
      <w:r w:rsidR="00F05820">
        <w:rPr>
          <w:rFonts w:ascii="Verdana" w:hAnsi="Verdana" w:cs="Arial"/>
          <w:b/>
          <w:bCs/>
          <w:sz w:val="22"/>
          <w:szCs w:val="22"/>
        </w:rPr>
        <w:t>/</w:t>
      </w:r>
    </w:p>
    <w:p w14:paraId="462AB065" w14:textId="77777777" w:rsidR="00092FC3" w:rsidRPr="00923405" w:rsidRDefault="00092FC3" w:rsidP="00092FC3">
      <w:pPr>
        <w:pStyle w:val="Cierre"/>
        <w:ind w:left="0"/>
        <w:contextualSpacing/>
        <w:jc w:val="both"/>
        <w:rPr>
          <w:rFonts w:ascii="Verdana" w:hAnsi="Verdana" w:cs="Arial"/>
          <w:b/>
          <w:bCs/>
          <w:sz w:val="22"/>
          <w:szCs w:val="22"/>
        </w:rPr>
      </w:pPr>
    </w:p>
    <w:p w14:paraId="6EBDF226" w14:textId="473FB2CF" w:rsidR="00092FC3" w:rsidRPr="00923405" w:rsidRDefault="00092FC3" w:rsidP="00493299">
      <w:pPr>
        <w:pStyle w:val="Cierre"/>
        <w:ind w:left="0"/>
        <w:contextualSpacing/>
        <w:jc w:val="both"/>
        <w:rPr>
          <w:rFonts w:ascii="Verdana" w:hAnsi="Verdana" w:cs="Arial"/>
          <w:bCs/>
          <w:sz w:val="22"/>
          <w:szCs w:val="22"/>
        </w:rPr>
      </w:pPr>
      <w:r w:rsidRPr="00923405">
        <w:rPr>
          <w:rFonts w:ascii="Verdana" w:hAnsi="Verdana" w:cs="Arial"/>
          <w:bCs/>
          <w:sz w:val="22"/>
          <w:szCs w:val="22"/>
        </w:rPr>
        <w:t xml:space="preserve">A </w:t>
      </w:r>
      <w:r w:rsidR="00923405" w:rsidRPr="00923405">
        <w:rPr>
          <w:rFonts w:ascii="Verdana" w:hAnsi="Verdana" w:cs="Arial"/>
          <w:bCs/>
          <w:sz w:val="22"/>
          <w:szCs w:val="22"/>
        </w:rPr>
        <w:t>continuación,</w:t>
      </w:r>
      <w:r w:rsidRPr="00923405">
        <w:rPr>
          <w:rFonts w:ascii="Verdana" w:hAnsi="Verdana" w:cs="Arial"/>
          <w:bCs/>
          <w:sz w:val="22"/>
          <w:szCs w:val="22"/>
        </w:rPr>
        <w:t xml:space="preserve"> se relaciona el porcentaje y rubro destinado para el pago de los contratos de prestación de servicios por los conceptos de gasto de funcionamiento e inversión, así:</w:t>
      </w:r>
    </w:p>
    <w:p w14:paraId="07FF8562" w14:textId="77777777" w:rsidR="00092FC3" w:rsidRPr="00923405" w:rsidRDefault="00092FC3" w:rsidP="00092FC3">
      <w:pPr>
        <w:pStyle w:val="Cierre"/>
        <w:ind w:left="0"/>
        <w:contextualSpacing/>
        <w:jc w:val="both"/>
        <w:rPr>
          <w:rFonts w:ascii="Verdana" w:hAnsi="Verdana" w:cs="Arial"/>
          <w:bCs/>
          <w:sz w:val="22"/>
          <w:szCs w:val="22"/>
        </w:rPr>
      </w:pPr>
    </w:p>
    <w:p w14:paraId="70ACB187" w14:textId="77777777" w:rsidR="00092FC3" w:rsidRPr="00923405" w:rsidRDefault="00092FC3" w:rsidP="00092FC3">
      <w:pPr>
        <w:pStyle w:val="Cierre"/>
        <w:ind w:left="0"/>
        <w:contextualSpacing/>
        <w:jc w:val="both"/>
        <w:rPr>
          <w:rFonts w:ascii="Verdana" w:hAnsi="Verdana" w:cs="Arial"/>
          <w:b/>
          <w:bCs/>
          <w:sz w:val="22"/>
          <w:szCs w:val="22"/>
        </w:rPr>
      </w:pPr>
      <w:r w:rsidRPr="00923405">
        <w:rPr>
          <w:rFonts w:ascii="Verdana" w:hAnsi="Verdana" w:cs="Arial"/>
          <w:b/>
          <w:bCs/>
          <w:sz w:val="22"/>
          <w:szCs w:val="22"/>
        </w:rPr>
        <w:t>VIGENCIA 2023</w:t>
      </w:r>
    </w:p>
    <w:p w14:paraId="2C237956" w14:textId="77777777" w:rsidR="00092FC3" w:rsidRPr="00923405" w:rsidRDefault="00092FC3" w:rsidP="00092FC3">
      <w:pPr>
        <w:pStyle w:val="Cierre"/>
        <w:ind w:left="0"/>
        <w:contextualSpacing/>
        <w:jc w:val="both"/>
        <w:rPr>
          <w:rFonts w:ascii="Verdana" w:hAnsi="Verdana" w:cs="Arial"/>
          <w:bCs/>
          <w:sz w:val="22"/>
          <w:szCs w:val="22"/>
        </w:rPr>
      </w:pPr>
    </w:p>
    <w:tbl>
      <w:tblPr>
        <w:tblW w:w="7366" w:type="dxa"/>
        <w:tblInd w:w="1301" w:type="dxa"/>
        <w:tblCellMar>
          <w:left w:w="70" w:type="dxa"/>
          <w:right w:w="70" w:type="dxa"/>
        </w:tblCellMar>
        <w:tblLook w:val="04A0" w:firstRow="1" w:lastRow="0" w:firstColumn="1" w:lastColumn="0" w:noHBand="0" w:noVBand="1"/>
      </w:tblPr>
      <w:tblGrid>
        <w:gridCol w:w="2920"/>
        <w:gridCol w:w="2360"/>
        <w:gridCol w:w="2086"/>
      </w:tblGrid>
      <w:tr w:rsidR="00092FC3" w:rsidRPr="00923405" w14:paraId="5D8078B3" w14:textId="77777777" w:rsidTr="00D37812">
        <w:trPr>
          <w:trHeight w:val="510"/>
        </w:trPr>
        <w:tc>
          <w:tcPr>
            <w:tcW w:w="2920" w:type="dxa"/>
            <w:tcBorders>
              <w:top w:val="single" w:sz="4" w:space="0" w:color="auto"/>
              <w:left w:val="single" w:sz="4" w:space="0" w:color="auto"/>
              <w:bottom w:val="single" w:sz="4" w:space="0" w:color="auto"/>
              <w:right w:val="single" w:sz="4" w:space="0" w:color="auto"/>
            </w:tcBorders>
            <w:shd w:val="clear" w:color="000000" w:fill="2B4B71"/>
            <w:vAlign w:val="bottom"/>
            <w:hideMark/>
          </w:tcPr>
          <w:p w14:paraId="67F2A44B" w14:textId="77777777" w:rsidR="00092FC3" w:rsidRPr="00923405" w:rsidRDefault="00092FC3" w:rsidP="0068230C">
            <w:pPr>
              <w:spacing w:after="0" w:line="240" w:lineRule="auto"/>
              <w:jc w:val="center"/>
              <w:rPr>
                <w:rFonts w:ascii="Verdana" w:eastAsia="Times New Roman" w:hAnsi="Verdana"/>
                <w:b/>
                <w:bCs/>
                <w:color w:val="FFFFFF"/>
                <w:sz w:val="20"/>
                <w:szCs w:val="20"/>
              </w:rPr>
            </w:pPr>
            <w:r w:rsidRPr="00923405">
              <w:rPr>
                <w:rFonts w:ascii="Verdana" w:eastAsia="Times New Roman" w:hAnsi="Verdana"/>
                <w:b/>
                <w:bCs/>
                <w:color w:val="FFFFFF"/>
                <w:sz w:val="20"/>
                <w:szCs w:val="20"/>
              </w:rPr>
              <w:t>TIPO DE GASTO</w:t>
            </w:r>
          </w:p>
        </w:tc>
        <w:tc>
          <w:tcPr>
            <w:tcW w:w="2360" w:type="dxa"/>
            <w:tcBorders>
              <w:top w:val="single" w:sz="4" w:space="0" w:color="auto"/>
              <w:left w:val="nil"/>
              <w:bottom w:val="single" w:sz="4" w:space="0" w:color="auto"/>
              <w:right w:val="single" w:sz="4" w:space="0" w:color="auto"/>
            </w:tcBorders>
            <w:shd w:val="clear" w:color="000000" w:fill="2B4B71"/>
            <w:vAlign w:val="bottom"/>
            <w:hideMark/>
          </w:tcPr>
          <w:p w14:paraId="6295B918" w14:textId="77777777" w:rsidR="00092FC3" w:rsidRPr="00923405" w:rsidRDefault="00092FC3" w:rsidP="0068230C">
            <w:pPr>
              <w:spacing w:after="0" w:line="240" w:lineRule="auto"/>
              <w:jc w:val="center"/>
              <w:rPr>
                <w:rFonts w:ascii="Verdana" w:eastAsia="Times New Roman" w:hAnsi="Verdana"/>
                <w:b/>
                <w:bCs/>
                <w:color w:val="FFFFFF"/>
                <w:sz w:val="20"/>
                <w:szCs w:val="20"/>
              </w:rPr>
            </w:pPr>
            <w:r w:rsidRPr="00923405">
              <w:rPr>
                <w:rFonts w:ascii="Verdana" w:eastAsia="Times New Roman" w:hAnsi="Verdana"/>
                <w:b/>
                <w:bCs/>
                <w:color w:val="FFFFFF"/>
                <w:sz w:val="20"/>
                <w:szCs w:val="20"/>
              </w:rPr>
              <w:t>RUBRO PRESTACIÓN DE SERVICIOS</w:t>
            </w:r>
          </w:p>
        </w:tc>
        <w:tc>
          <w:tcPr>
            <w:tcW w:w="2086" w:type="dxa"/>
            <w:tcBorders>
              <w:top w:val="single" w:sz="4" w:space="0" w:color="auto"/>
              <w:left w:val="nil"/>
              <w:bottom w:val="single" w:sz="4" w:space="0" w:color="auto"/>
              <w:right w:val="single" w:sz="4" w:space="0" w:color="auto"/>
            </w:tcBorders>
            <w:shd w:val="clear" w:color="000000" w:fill="2B4B71"/>
            <w:vAlign w:val="bottom"/>
            <w:hideMark/>
          </w:tcPr>
          <w:p w14:paraId="24EAC47B" w14:textId="77777777" w:rsidR="00092FC3" w:rsidRPr="00923405" w:rsidRDefault="00092FC3" w:rsidP="0068230C">
            <w:pPr>
              <w:spacing w:after="0" w:line="240" w:lineRule="auto"/>
              <w:jc w:val="center"/>
              <w:rPr>
                <w:rFonts w:ascii="Verdana" w:eastAsia="Times New Roman" w:hAnsi="Verdana"/>
                <w:b/>
                <w:bCs/>
                <w:color w:val="FFFFFF"/>
                <w:sz w:val="20"/>
                <w:szCs w:val="20"/>
              </w:rPr>
            </w:pPr>
            <w:r w:rsidRPr="00923405">
              <w:rPr>
                <w:rFonts w:ascii="Verdana" w:eastAsia="Times New Roman" w:hAnsi="Verdana"/>
                <w:b/>
                <w:bCs/>
                <w:color w:val="FFFFFF"/>
                <w:sz w:val="20"/>
                <w:szCs w:val="20"/>
              </w:rPr>
              <w:t xml:space="preserve">% PARTICIPACIÓN </w:t>
            </w:r>
          </w:p>
        </w:tc>
      </w:tr>
      <w:tr w:rsidR="00092FC3" w:rsidRPr="00923405" w14:paraId="3A08FA47" w14:textId="77777777" w:rsidTr="00D37812">
        <w:trPr>
          <w:trHeight w:val="255"/>
        </w:trPr>
        <w:tc>
          <w:tcPr>
            <w:tcW w:w="2920" w:type="dxa"/>
            <w:vMerge w:val="restart"/>
            <w:tcBorders>
              <w:top w:val="nil"/>
              <w:left w:val="single" w:sz="4" w:space="0" w:color="auto"/>
              <w:bottom w:val="single" w:sz="4" w:space="0" w:color="auto"/>
              <w:right w:val="single" w:sz="4" w:space="0" w:color="auto"/>
            </w:tcBorders>
            <w:shd w:val="clear" w:color="auto" w:fill="auto"/>
            <w:vAlign w:val="center"/>
            <w:hideMark/>
          </w:tcPr>
          <w:p w14:paraId="24A358F3" w14:textId="77777777" w:rsidR="00092FC3" w:rsidRPr="00923405" w:rsidRDefault="00092FC3" w:rsidP="0068230C">
            <w:pPr>
              <w:spacing w:after="0" w:line="240" w:lineRule="auto"/>
              <w:rPr>
                <w:rFonts w:ascii="Verdana" w:eastAsia="Times New Roman" w:hAnsi="Verdana"/>
                <w:b/>
                <w:bCs/>
                <w:color w:val="000000"/>
                <w:sz w:val="20"/>
                <w:szCs w:val="20"/>
              </w:rPr>
            </w:pPr>
            <w:r w:rsidRPr="00923405">
              <w:rPr>
                <w:rFonts w:ascii="Verdana" w:eastAsia="Times New Roman" w:hAnsi="Verdana"/>
                <w:b/>
                <w:bCs/>
                <w:color w:val="000000"/>
                <w:sz w:val="20"/>
                <w:szCs w:val="20"/>
              </w:rPr>
              <w:t>FUNCIONAMIENTO</w:t>
            </w:r>
          </w:p>
        </w:tc>
        <w:tc>
          <w:tcPr>
            <w:tcW w:w="2360" w:type="dxa"/>
            <w:tcBorders>
              <w:top w:val="nil"/>
              <w:left w:val="nil"/>
              <w:bottom w:val="single" w:sz="4" w:space="0" w:color="auto"/>
              <w:right w:val="single" w:sz="4" w:space="0" w:color="auto"/>
            </w:tcBorders>
            <w:shd w:val="clear" w:color="auto" w:fill="auto"/>
            <w:noWrap/>
            <w:vAlign w:val="bottom"/>
            <w:hideMark/>
          </w:tcPr>
          <w:p w14:paraId="299827AA" w14:textId="77777777" w:rsidR="00092FC3" w:rsidRPr="00923405" w:rsidRDefault="00092FC3" w:rsidP="0068230C">
            <w:pPr>
              <w:spacing w:after="0" w:line="240" w:lineRule="auto"/>
              <w:rPr>
                <w:rFonts w:ascii="Verdana" w:eastAsia="Times New Roman" w:hAnsi="Verdana"/>
                <w:b/>
                <w:bCs/>
                <w:color w:val="000000"/>
                <w:sz w:val="20"/>
                <w:szCs w:val="20"/>
              </w:rPr>
            </w:pPr>
            <w:r w:rsidRPr="00923405">
              <w:rPr>
                <w:rFonts w:ascii="Verdana" w:eastAsia="Times New Roman" w:hAnsi="Verdana"/>
                <w:b/>
                <w:bCs/>
                <w:color w:val="000000"/>
                <w:sz w:val="20"/>
                <w:szCs w:val="20"/>
              </w:rPr>
              <w:t>A-02-02-02-008-002</w:t>
            </w:r>
          </w:p>
        </w:tc>
        <w:tc>
          <w:tcPr>
            <w:tcW w:w="2086" w:type="dxa"/>
            <w:vMerge w:val="restart"/>
            <w:tcBorders>
              <w:top w:val="nil"/>
              <w:left w:val="single" w:sz="4" w:space="0" w:color="auto"/>
              <w:bottom w:val="single" w:sz="4" w:space="0" w:color="auto"/>
              <w:right w:val="single" w:sz="4" w:space="0" w:color="auto"/>
            </w:tcBorders>
            <w:shd w:val="clear" w:color="auto" w:fill="auto"/>
            <w:vAlign w:val="center"/>
            <w:hideMark/>
          </w:tcPr>
          <w:p w14:paraId="4D365FE0" w14:textId="77777777" w:rsidR="00092FC3" w:rsidRPr="00923405" w:rsidRDefault="00092FC3" w:rsidP="0068230C">
            <w:pPr>
              <w:spacing w:after="0" w:line="240" w:lineRule="auto"/>
              <w:jc w:val="center"/>
              <w:rPr>
                <w:rFonts w:ascii="Verdana" w:eastAsia="Times New Roman" w:hAnsi="Verdana"/>
                <w:b/>
                <w:bCs/>
                <w:color w:val="000000"/>
                <w:sz w:val="20"/>
                <w:szCs w:val="20"/>
              </w:rPr>
            </w:pPr>
            <w:r w:rsidRPr="00923405">
              <w:rPr>
                <w:rFonts w:ascii="Verdana" w:eastAsia="Times New Roman" w:hAnsi="Verdana"/>
                <w:b/>
                <w:bCs/>
                <w:color w:val="000000"/>
                <w:sz w:val="20"/>
                <w:szCs w:val="20"/>
              </w:rPr>
              <w:t>6,46%</w:t>
            </w:r>
          </w:p>
        </w:tc>
      </w:tr>
      <w:tr w:rsidR="00092FC3" w:rsidRPr="00923405" w14:paraId="4EFE5D02" w14:textId="77777777" w:rsidTr="00D37812">
        <w:trPr>
          <w:trHeight w:val="255"/>
        </w:trPr>
        <w:tc>
          <w:tcPr>
            <w:tcW w:w="2920" w:type="dxa"/>
            <w:vMerge/>
            <w:tcBorders>
              <w:top w:val="nil"/>
              <w:left w:val="single" w:sz="4" w:space="0" w:color="auto"/>
              <w:bottom w:val="single" w:sz="4" w:space="0" w:color="auto"/>
              <w:right w:val="single" w:sz="4" w:space="0" w:color="auto"/>
            </w:tcBorders>
            <w:vAlign w:val="center"/>
            <w:hideMark/>
          </w:tcPr>
          <w:p w14:paraId="057650D6" w14:textId="77777777" w:rsidR="00092FC3" w:rsidRPr="00923405" w:rsidRDefault="00092FC3" w:rsidP="0068230C">
            <w:pPr>
              <w:spacing w:after="0" w:line="240" w:lineRule="auto"/>
              <w:rPr>
                <w:rFonts w:ascii="Verdana" w:eastAsia="Times New Roman" w:hAnsi="Verdana"/>
                <w:b/>
                <w:bCs/>
                <w:color w:val="000000"/>
                <w:sz w:val="20"/>
                <w:szCs w:val="20"/>
              </w:rPr>
            </w:pPr>
          </w:p>
        </w:tc>
        <w:tc>
          <w:tcPr>
            <w:tcW w:w="2360" w:type="dxa"/>
            <w:tcBorders>
              <w:top w:val="nil"/>
              <w:left w:val="nil"/>
              <w:bottom w:val="single" w:sz="4" w:space="0" w:color="auto"/>
              <w:right w:val="single" w:sz="4" w:space="0" w:color="auto"/>
            </w:tcBorders>
            <w:shd w:val="clear" w:color="auto" w:fill="auto"/>
            <w:noWrap/>
            <w:vAlign w:val="bottom"/>
            <w:hideMark/>
          </w:tcPr>
          <w:p w14:paraId="2707C975" w14:textId="77777777" w:rsidR="00092FC3" w:rsidRPr="00923405" w:rsidRDefault="00092FC3" w:rsidP="0068230C">
            <w:pPr>
              <w:spacing w:after="0" w:line="240" w:lineRule="auto"/>
              <w:rPr>
                <w:rFonts w:ascii="Verdana" w:eastAsia="Times New Roman" w:hAnsi="Verdana"/>
                <w:b/>
                <w:bCs/>
                <w:color w:val="000000"/>
                <w:sz w:val="20"/>
                <w:szCs w:val="20"/>
              </w:rPr>
            </w:pPr>
            <w:r w:rsidRPr="00923405">
              <w:rPr>
                <w:rFonts w:ascii="Verdana" w:eastAsia="Times New Roman" w:hAnsi="Verdana"/>
                <w:b/>
                <w:bCs/>
                <w:color w:val="000000"/>
                <w:sz w:val="20"/>
                <w:szCs w:val="20"/>
              </w:rPr>
              <w:t>A-02-02-02-008-005</w:t>
            </w:r>
          </w:p>
        </w:tc>
        <w:tc>
          <w:tcPr>
            <w:tcW w:w="2086" w:type="dxa"/>
            <w:vMerge/>
            <w:tcBorders>
              <w:top w:val="nil"/>
              <w:left w:val="single" w:sz="4" w:space="0" w:color="auto"/>
              <w:bottom w:val="single" w:sz="4" w:space="0" w:color="auto"/>
              <w:right w:val="single" w:sz="4" w:space="0" w:color="auto"/>
            </w:tcBorders>
            <w:vAlign w:val="center"/>
            <w:hideMark/>
          </w:tcPr>
          <w:p w14:paraId="70C84B51" w14:textId="77777777" w:rsidR="00092FC3" w:rsidRPr="00923405" w:rsidRDefault="00092FC3" w:rsidP="0068230C">
            <w:pPr>
              <w:spacing w:after="0" w:line="240" w:lineRule="auto"/>
              <w:rPr>
                <w:rFonts w:ascii="Verdana" w:eastAsia="Times New Roman" w:hAnsi="Verdana"/>
                <w:b/>
                <w:bCs/>
                <w:color w:val="000000"/>
                <w:sz w:val="20"/>
                <w:szCs w:val="20"/>
              </w:rPr>
            </w:pPr>
          </w:p>
        </w:tc>
      </w:tr>
      <w:tr w:rsidR="00092FC3" w:rsidRPr="00923405" w14:paraId="43328277" w14:textId="77777777" w:rsidTr="00D37812">
        <w:trPr>
          <w:trHeight w:val="240"/>
        </w:trPr>
        <w:tc>
          <w:tcPr>
            <w:tcW w:w="2920" w:type="dxa"/>
            <w:vMerge/>
            <w:tcBorders>
              <w:top w:val="nil"/>
              <w:left w:val="single" w:sz="4" w:space="0" w:color="auto"/>
              <w:bottom w:val="single" w:sz="4" w:space="0" w:color="auto"/>
              <w:right w:val="single" w:sz="4" w:space="0" w:color="auto"/>
            </w:tcBorders>
            <w:vAlign w:val="center"/>
            <w:hideMark/>
          </w:tcPr>
          <w:p w14:paraId="0F42F5DD" w14:textId="77777777" w:rsidR="00092FC3" w:rsidRPr="00923405" w:rsidRDefault="00092FC3" w:rsidP="0068230C">
            <w:pPr>
              <w:spacing w:after="0" w:line="240" w:lineRule="auto"/>
              <w:rPr>
                <w:rFonts w:ascii="Verdana" w:eastAsia="Times New Roman" w:hAnsi="Verdana"/>
                <w:b/>
                <w:bCs/>
                <w:color w:val="000000"/>
                <w:sz w:val="20"/>
                <w:szCs w:val="20"/>
              </w:rPr>
            </w:pPr>
          </w:p>
        </w:tc>
        <w:tc>
          <w:tcPr>
            <w:tcW w:w="2360" w:type="dxa"/>
            <w:tcBorders>
              <w:top w:val="nil"/>
              <w:left w:val="nil"/>
              <w:bottom w:val="single" w:sz="4" w:space="0" w:color="auto"/>
              <w:right w:val="single" w:sz="4" w:space="0" w:color="auto"/>
            </w:tcBorders>
            <w:shd w:val="clear" w:color="auto" w:fill="auto"/>
            <w:noWrap/>
            <w:vAlign w:val="bottom"/>
            <w:hideMark/>
          </w:tcPr>
          <w:p w14:paraId="16DED47D" w14:textId="77777777" w:rsidR="00092FC3" w:rsidRPr="00923405" w:rsidRDefault="00092FC3" w:rsidP="0068230C">
            <w:pPr>
              <w:spacing w:after="0" w:line="240" w:lineRule="auto"/>
              <w:rPr>
                <w:rFonts w:ascii="Verdana" w:eastAsia="Times New Roman" w:hAnsi="Verdana"/>
                <w:b/>
                <w:bCs/>
                <w:color w:val="000000"/>
                <w:sz w:val="20"/>
                <w:szCs w:val="20"/>
              </w:rPr>
            </w:pPr>
            <w:r w:rsidRPr="00923405">
              <w:rPr>
                <w:rFonts w:ascii="Verdana" w:eastAsia="Times New Roman" w:hAnsi="Verdana"/>
                <w:b/>
                <w:bCs/>
                <w:color w:val="000000"/>
                <w:sz w:val="20"/>
                <w:szCs w:val="20"/>
              </w:rPr>
              <w:t>A-02-02-02-009-006</w:t>
            </w:r>
          </w:p>
        </w:tc>
        <w:tc>
          <w:tcPr>
            <w:tcW w:w="2086" w:type="dxa"/>
            <w:vMerge/>
            <w:tcBorders>
              <w:top w:val="nil"/>
              <w:left w:val="single" w:sz="4" w:space="0" w:color="auto"/>
              <w:bottom w:val="single" w:sz="4" w:space="0" w:color="auto"/>
              <w:right w:val="single" w:sz="4" w:space="0" w:color="auto"/>
            </w:tcBorders>
            <w:vAlign w:val="center"/>
            <w:hideMark/>
          </w:tcPr>
          <w:p w14:paraId="7D8A7189" w14:textId="77777777" w:rsidR="00092FC3" w:rsidRPr="00923405" w:rsidRDefault="00092FC3" w:rsidP="0068230C">
            <w:pPr>
              <w:spacing w:after="0" w:line="240" w:lineRule="auto"/>
              <w:rPr>
                <w:rFonts w:ascii="Verdana" w:eastAsia="Times New Roman" w:hAnsi="Verdana"/>
                <w:b/>
                <w:bCs/>
                <w:color w:val="000000"/>
                <w:sz w:val="20"/>
                <w:szCs w:val="20"/>
              </w:rPr>
            </w:pPr>
          </w:p>
        </w:tc>
      </w:tr>
    </w:tbl>
    <w:p w14:paraId="03C3E614" w14:textId="77777777" w:rsidR="00092FC3" w:rsidRPr="00923405" w:rsidRDefault="00092FC3" w:rsidP="00092FC3">
      <w:pPr>
        <w:pStyle w:val="Cierre"/>
        <w:ind w:left="0"/>
        <w:contextualSpacing/>
        <w:jc w:val="both"/>
        <w:rPr>
          <w:rFonts w:ascii="Verdana" w:hAnsi="Verdana" w:cs="Arial"/>
          <w:bCs/>
          <w:sz w:val="22"/>
          <w:szCs w:val="22"/>
        </w:rPr>
      </w:pPr>
    </w:p>
    <w:tbl>
      <w:tblPr>
        <w:tblW w:w="7366" w:type="dxa"/>
        <w:tblInd w:w="1301" w:type="dxa"/>
        <w:tblCellMar>
          <w:left w:w="70" w:type="dxa"/>
          <w:right w:w="70" w:type="dxa"/>
        </w:tblCellMar>
        <w:tblLook w:val="04A0" w:firstRow="1" w:lastRow="0" w:firstColumn="1" w:lastColumn="0" w:noHBand="0" w:noVBand="1"/>
      </w:tblPr>
      <w:tblGrid>
        <w:gridCol w:w="2920"/>
        <w:gridCol w:w="2360"/>
        <w:gridCol w:w="2086"/>
      </w:tblGrid>
      <w:tr w:rsidR="00092FC3" w:rsidRPr="00923405" w14:paraId="582A2DA2" w14:textId="77777777" w:rsidTr="00D37812">
        <w:trPr>
          <w:trHeight w:val="510"/>
        </w:trPr>
        <w:tc>
          <w:tcPr>
            <w:tcW w:w="2920" w:type="dxa"/>
            <w:tcBorders>
              <w:top w:val="single" w:sz="4" w:space="0" w:color="auto"/>
              <w:left w:val="single" w:sz="4" w:space="0" w:color="auto"/>
              <w:bottom w:val="single" w:sz="4" w:space="0" w:color="auto"/>
              <w:right w:val="single" w:sz="4" w:space="0" w:color="auto"/>
            </w:tcBorders>
            <w:shd w:val="clear" w:color="000000" w:fill="2B4B71"/>
            <w:vAlign w:val="bottom"/>
            <w:hideMark/>
          </w:tcPr>
          <w:p w14:paraId="0D5E2E63" w14:textId="77777777" w:rsidR="00092FC3" w:rsidRPr="00923405" w:rsidRDefault="00092FC3" w:rsidP="0068230C">
            <w:pPr>
              <w:spacing w:after="0" w:line="240" w:lineRule="auto"/>
              <w:jc w:val="center"/>
              <w:rPr>
                <w:rFonts w:ascii="Verdana" w:eastAsia="Times New Roman" w:hAnsi="Verdana"/>
                <w:b/>
                <w:bCs/>
                <w:color w:val="FFFFFF"/>
                <w:sz w:val="20"/>
                <w:szCs w:val="20"/>
              </w:rPr>
            </w:pPr>
            <w:r w:rsidRPr="00923405">
              <w:rPr>
                <w:rFonts w:ascii="Verdana" w:eastAsia="Times New Roman" w:hAnsi="Verdana"/>
                <w:b/>
                <w:bCs/>
                <w:color w:val="FFFFFF"/>
                <w:sz w:val="20"/>
                <w:szCs w:val="20"/>
              </w:rPr>
              <w:t>TIPO DE GASTO</w:t>
            </w:r>
          </w:p>
        </w:tc>
        <w:tc>
          <w:tcPr>
            <w:tcW w:w="2360" w:type="dxa"/>
            <w:tcBorders>
              <w:top w:val="single" w:sz="4" w:space="0" w:color="auto"/>
              <w:left w:val="nil"/>
              <w:bottom w:val="single" w:sz="4" w:space="0" w:color="auto"/>
              <w:right w:val="single" w:sz="4" w:space="0" w:color="auto"/>
            </w:tcBorders>
            <w:shd w:val="clear" w:color="000000" w:fill="2B4B71"/>
            <w:vAlign w:val="bottom"/>
            <w:hideMark/>
          </w:tcPr>
          <w:p w14:paraId="71264A61" w14:textId="77777777" w:rsidR="00092FC3" w:rsidRPr="00923405" w:rsidRDefault="00092FC3" w:rsidP="0068230C">
            <w:pPr>
              <w:spacing w:after="0" w:line="240" w:lineRule="auto"/>
              <w:jc w:val="center"/>
              <w:rPr>
                <w:rFonts w:ascii="Verdana" w:eastAsia="Times New Roman" w:hAnsi="Verdana"/>
                <w:b/>
                <w:bCs/>
                <w:color w:val="FFFFFF"/>
                <w:sz w:val="20"/>
                <w:szCs w:val="20"/>
              </w:rPr>
            </w:pPr>
            <w:r w:rsidRPr="00923405">
              <w:rPr>
                <w:rFonts w:ascii="Verdana" w:eastAsia="Times New Roman" w:hAnsi="Verdana"/>
                <w:b/>
                <w:bCs/>
                <w:color w:val="FFFFFF"/>
                <w:sz w:val="20"/>
                <w:szCs w:val="20"/>
              </w:rPr>
              <w:t>RUBRO</w:t>
            </w:r>
          </w:p>
        </w:tc>
        <w:tc>
          <w:tcPr>
            <w:tcW w:w="2086" w:type="dxa"/>
            <w:tcBorders>
              <w:top w:val="single" w:sz="4" w:space="0" w:color="auto"/>
              <w:left w:val="nil"/>
              <w:bottom w:val="single" w:sz="4" w:space="0" w:color="auto"/>
              <w:right w:val="single" w:sz="4" w:space="0" w:color="auto"/>
            </w:tcBorders>
            <w:shd w:val="clear" w:color="000000" w:fill="2B4B71"/>
            <w:vAlign w:val="bottom"/>
            <w:hideMark/>
          </w:tcPr>
          <w:p w14:paraId="650050D7" w14:textId="77777777" w:rsidR="00092FC3" w:rsidRPr="00923405" w:rsidRDefault="00092FC3" w:rsidP="0068230C">
            <w:pPr>
              <w:spacing w:after="0" w:line="240" w:lineRule="auto"/>
              <w:jc w:val="center"/>
              <w:rPr>
                <w:rFonts w:ascii="Verdana" w:eastAsia="Times New Roman" w:hAnsi="Verdana"/>
                <w:b/>
                <w:bCs/>
                <w:color w:val="FFFFFF"/>
                <w:sz w:val="20"/>
                <w:szCs w:val="20"/>
              </w:rPr>
            </w:pPr>
            <w:r w:rsidRPr="00923405">
              <w:rPr>
                <w:rFonts w:ascii="Verdana" w:eastAsia="Times New Roman" w:hAnsi="Verdana"/>
                <w:b/>
                <w:bCs/>
                <w:color w:val="FFFFFF"/>
                <w:sz w:val="20"/>
                <w:szCs w:val="20"/>
              </w:rPr>
              <w:t xml:space="preserve">% PARTICIPACIÓN </w:t>
            </w:r>
          </w:p>
        </w:tc>
      </w:tr>
      <w:tr w:rsidR="00092FC3" w:rsidRPr="00923405" w14:paraId="7FA5A0D4" w14:textId="77777777" w:rsidTr="00D37812">
        <w:trPr>
          <w:trHeight w:val="330"/>
        </w:trPr>
        <w:tc>
          <w:tcPr>
            <w:tcW w:w="2920" w:type="dxa"/>
            <w:tcBorders>
              <w:top w:val="nil"/>
              <w:left w:val="single" w:sz="4" w:space="0" w:color="auto"/>
              <w:bottom w:val="single" w:sz="4" w:space="0" w:color="auto"/>
              <w:right w:val="single" w:sz="4" w:space="0" w:color="auto"/>
            </w:tcBorders>
            <w:shd w:val="clear" w:color="auto" w:fill="auto"/>
            <w:noWrap/>
            <w:vAlign w:val="bottom"/>
            <w:hideMark/>
          </w:tcPr>
          <w:p w14:paraId="65257E69" w14:textId="77777777" w:rsidR="00092FC3" w:rsidRPr="00923405" w:rsidRDefault="00092FC3" w:rsidP="0068230C">
            <w:pPr>
              <w:spacing w:after="0" w:line="240" w:lineRule="auto"/>
              <w:rPr>
                <w:rFonts w:ascii="Verdana" w:eastAsia="Times New Roman" w:hAnsi="Verdana"/>
                <w:b/>
                <w:bCs/>
                <w:color w:val="000000"/>
                <w:sz w:val="20"/>
                <w:szCs w:val="20"/>
              </w:rPr>
            </w:pPr>
            <w:r w:rsidRPr="00923405">
              <w:rPr>
                <w:rFonts w:ascii="Verdana" w:eastAsia="Times New Roman" w:hAnsi="Verdana"/>
                <w:b/>
                <w:bCs/>
                <w:color w:val="000000"/>
                <w:sz w:val="20"/>
                <w:szCs w:val="20"/>
              </w:rPr>
              <w:t xml:space="preserve">INVERSIÓN </w:t>
            </w:r>
          </w:p>
        </w:tc>
        <w:tc>
          <w:tcPr>
            <w:tcW w:w="2360" w:type="dxa"/>
            <w:tcBorders>
              <w:top w:val="nil"/>
              <w:left w:val="nil"/>
              <w:bottom w:val="single" w:sz="4" w:space="0" w:color="auto"/>
              <w:right w:val="single" w:sz="4" w:space="0" w:color="auto"/>
            </w:tcBorders>
            <w:shd w:val="clear" w:color="auto" w:fill="auto"/>
            <w:noWrap/>
            <w:vAlign w:val="bottom"/>
            <w:hideMark/>
          </w:tcPr>
          <w:p w14:paraId="6A6F64D3" w14:textId="77777777" w:rsidR="00092FC3" w:rsidRPr="00923405" w:rsidRDefault="00092FC3" w:rsidP="0068230C">
            <w:pPr>
              <w:spacing w:after="0" w:line="240" w:lineRule="auto"/>
              <w:rPr>
                <w:rFonts w:ascii="Verdana" w:eastAsia="Times New Roman" w:hAnsi="Verdana"/>
                <w:b/>
                <w:bCs/>
                <w:color w:val="000000"/>
                <w:sz w:val="20"/>
                <w:szCs w:val="20"/>
              </w:rPr>
            </w:pPr>
            <w:r w:rsidRPr="00923405">
              <w:rPr>
                <w:rFonts w:ascii="Verdana" w:eastAsia="Times New Roman" w:hAnsi="Verdana"/>
                <w:b/>
                <w:bCs/>
                <w:color w:val="000000"/>
                <w:sz w:val="20"/>
                <w:szCs w:val="20"/>
              </w:rPr>
              <w:t>C-1303-1000</w:t>
            </w:r>
          </w:p>
        </w:tc>
        <w:tc>
          <w:tcPr>
            <w:tcW w:w="2086" w:type="dxa"/>
            <w:tcBorders>
              <w:top w:val="nil"/>
              <w:left w:val="nil"/>
              <w:bottom w:val="single" w:sz="4" w:space="0" w:color="auto"/>
              <w:right w:val="single" w:sz="4" w:space="0" w:color="auto"/>
            </w:tcBorders>
            <w:shd w:val="clear" w:color="auto" w:fill="auto"/>
            <w:noWrap/>
            <w:vAlign w:val="bottom"/>
            <w:hideMark/>
          </w:tcPr>
          <w:p w14:paraId="4E7BD4F5" w14:textId="77777777" w:rsidR="00092FC3" w:rsidRPr="00923405" w:rsidRDefault="00092FC3" w:rsidP="0068230C">
            <w:pPr>
              <w:spacing w:after="0" w:line="240" w:lineRule="auto"/>
              <w:jc w:val="center"/>
              <w:rPr>
                <w:rFonts w:ascii="Verdana" w:eastAsia="Times New Roman" w:hAnsi="Verdana"/>
                <w:b/>
                <w:bCs/>
                <w:color w:val="000000"/>
                <w:sz w:val="20"/>
                <w:szCs w:val="20"/>
              </w:rPr>
            </w:pPr>
            <w:r w:rsidRPr="00923405">
              <w:rPr>
                <w:rFonts w:ascii="Verdana" w:eastAsia="Times New Roman" w:hAnsi="Verdana"/>
                <w:b/>
                <w:bCs/>
                <w:color w:val="000000"/>
                <w:sz w:val="20"/>
                <w:szCs w:val="20"/>
              </w:rPr>
              <w:t>20,94%</w:t>
            </w:r>
          </w:p>
        </w:tc>
      </w:tr>
    </w:tbl>
    <w:p w14:paraId="1017DF74" w14:textId="77777777" w:rsidR="00092FC3" w:rsidRPr="00923405" w:rsidRDefault="00092FC3" w:rsidP="00092FC3">
      <w:pPr>
        <w:pStyle w:val="Cierre"/>
        <w:ind w:left="0"/>
        <w:contextualSpacing/>
        <w:jc w:val="both"/>
        <w:rPr>
          <w:rFonts w:ascii="Verdana" w:hAnsi="Verdana" w:cs="Arial"/>
          <w:b/>
          <w:bCs/>
          <w:sz w:val="22"/>
          <w:szCs w:val="22"/>
        </w:rPr>
      </w:pPr>
    </w:p>
    <w:p w14:paraId="7EE4111F" w14:textId="305FB39D" w:rsidR="00092FC3" w:rsidRPr="00923405" w:rsidRDefault="00092FC3" w:rsidP="00923405">
      <w:pPr>
        <w:pStyle w:val="Cierre"/>
        <w:ind w:left="0"/>
        <w:contextualSpacing/>
        <w:jc w:val="both"/>
        <w:rPr>
          <w:rFonts w:ascii="Verdana" w:hAnsi="Verdana" w:cs="Arial"/>
          <w:bCs/>
          <w:sz w:val="22"/>
          <w:szCs w:val="22"/>
        </w:rPr>
      </w:pPr>
      <w:r w:rsidRPr="00923405">
        <w:rPr>
          <w:rFonts w:ascii="Verdana" w:hAnsi="Verdana" w:cs="Arial"/>
          <w:bCs/>
          <w:sz w:val="22"/>
          <w:szCs w:val="22"/>
        </w:rPr>
        <w:t xml:space="preserve">Durante el año 2023 el Fondo Adaptación realizó pagos por $151.334 millones de los cuales </w:t>
      </w:r>
      <w:r w:rsidR="00D73951" w:rsidRPr="00923405">
        <w:rPr>
          <w:rFonts w:ascii="Verdana" w:hAnsi="Verdana" w:cs="Arial"/>
          <w:bCs/>
          <w:sz w:val="22"/>
          <w:szCs w:val="22"/>
        </w:rPr>
        <w:t xml:space="preserve">$31.699 millones </w:t>
      </w:r>
      <w:r w:rsidR="00D73951">
        <w:rPr>
          <w:rFonts w:ascii="Verdana" w:hAnsi="Verdana" w:cs="Arial"/>
          <w:bCs/>
          <w:sz w:val="22"/>
          <w:szCs w:val="22"/>
        </w:rPr>
        <w:t xml:space="preserve">corresponden a </w:t>
      </w:r>
      <w:r w:rsidRPr="00923405">
        <w:rPr>
          <w:rFonts w:ascii="Verdana" w:hAnsi="Verdana" w:cs="Arial"/>
          <w:bCs/>
          <w:sz w:val="22"/>
          <w:szCs w:val="22"/>
        </w:rPr>
        <w:t>contratos de prestación de servicios, equivalente al 20,9%.</w:t>
      </w:r>
    </w:p>
    <w:p w14:paraId="0E71C402" w14:textId="77777777" w:rsidR="00092FC3" w:rsidRPr="00923405" w:rsidRDefault="00092FC3" w:rsidP="00092FC3">
      <w:pPr>
        <w:pStyle w:val="Cierre"/>
        <w:ind w:left="0"/>
        <w:contextualSpacing/>
        <w:jc w:val="both"/>
        <w:rPr>
          <w:rFonts w:ascii="Verdana" w:hAnsi="Verdana" w:cs="Arial"/>
          <w:b/>
          <w:bCs/>
          <w:sz w:val="22"/>
          <w:szCs w:val="22"/>
        </w:rPr>
      </w:pPr>
    </w:p>
    <w:p w14:paraId="3D792A03" w14:textId="77777777" w:rsidR="00092FC3" w:rsidRPr="00923405" w:rsidRDefault="00092FC3" w:rsidP="00092FC3">
      <w:pPr>
        <w:pStyle w:val="Cierre"/>
        <w:ind w:left="0"/>
        <w:contextualSpacing/>
        <w:jc w:val="both"/>
        <w:rPr>
          <w:rFonts w:ascii="Verdana" w:hAnsi="Verdana" w:cs="Arial"/>
          <w:b/>
          <w:bCs/>
          <w:sz w:val="22"/>
          <w:szCs w:val="22"/>
        </w:rPr>
      </w:pPr>
      <w:r w:rsidRPr="00923405">
        <w:rPr>
          <w:rFonts w:ascii="Verdana" w:hAnsi="Verdana" w:cs="Arial"/>
          <w:b/>
          <w:bCs/>
          <w:sz w:val="22"/>
          <w:szCs w:val="22"/>
        </w:rPr>
        <w:t>VIGENCIA 2024</w:t>
      </w:r>
    </w:p>
    <w:p w14:paraId="6C4D9226" w14:textId="77777777" w:rsidR="00092FC3" w:rsidRPr="00923405" w:rsidRDefault="00092FC3" w:rsidP="00092FC3">
      <w:pPr>
        <w:pStyle w:val="Cierre"/>
        <w:ind w:left="0"/>
        <w:contextualSpacing/>
        <w:jc w:val="both"/>
        <w:rPr>
          <w:rFonts w:ascii="Verdana" w:hAnsi="Verdana" w:cs="Arial"/>
          <w:bCs/>
          <w:sz w:val="22"/>
          <w:szCs w:val="22"/>
        </w:rPr>
      </w:pPr>
    </w:p>
    <w:tbl>
      <w:tblPr>
        <w:tblW w:w="7366" w:type="dxa"/>
        <w:tblInd w:w="1301" w:type="dxa"/>
        <w:tblLayout w:type="fixed"/>
        <w:tblCellMar>
          <w:left w:w="70" w:type="dxa"/>
          <w:right w:w="70" w:type="dxa"/>
        </w:tblCellMar>
        <w:tblLook w:val="04A0" w:firstRow="1" w:lastRow="0" w:firstColumn="1" w:lastColumn="0" w:noHBand="0" w:noVBand="1"/>
      </w:tblPr>
      <w:tblGrid>
        <w:gridCol w:w="2830"/>
        <w:gridCol w:w="2410"/>
        <w:gridCol w:w="2126"/>
      </w:tblGrid>
      <w:tr w:rsidR="00092FC3" w:rsidRPr="00923405" w14:paraId="703537B4" w14:textId="77777777" w:rsidTr="00D37812">
        <w:trPr>
          <w:trHeight w:val="510"/>
        </w:trPr>
        <w:tc>
          <w:tcPr>
            <w:tcW w:w="2830" w:type="dxa"/>
            <w:tcBorders>
              <w:top w:val="single" w:sz="4" w:space="0" w:color="auto"/>
              <w:left w:val="single" w:sz="4" w:space="0" w:color="auto"/>
              <w:bottom w:val="single" w:sz="4" w:space="0" w:color="auto"/>
              <w:right w:val="single" w:sz="4" w:space="0" w:color="auto"/>
            </w:tcBorders>
            <w:shd w:val="clear" w:color="000000" w:fill="2B4B71"/>
            <w:vAlign w:val="bottom"/>
            <w:hideMark/>
          </w:tcPr>
          <w:p w14:paraId="76ECAC92" w14:textId="77777777" w:rsidR="00092FC3" w:rsidRPr="00923405" w:rsidRDefault="00092FC3" w:rsidP="0068230C">
            <w:pPr>
              <w:spacing w:after="0" w:line="240" w:lineRule="auto"/>
              <w:jc w:val="center"/>
              <w:rPr>
                <w:rFonts w:ascii="Verdana" w:eastAsia="Times New Roman" w:hAnsi="Verdana"/>
                <w:b/>
                <w:bCs/>
                <w:color w:val="FFFFFF"/>
                <w:sz w:val="20"/>
                <w:szCs w:val="20"/>
              </w:rPr>
            </w:pPr>
            <w:r w:rsidRPr="00923405">
              <w:rPr>
                <w:rFonts w:ascii="Verdana" w:eastAsia="Times New Roman" w:hAnsi="Verdana"/>
                <w:b/>
                <w:bCs/>
                <w:color w:val="FFFFFF"/>
                <w:sz w:val="20"/>
                <w:szCs w:val="20"/>
              </w:rPr>
              <w:t>TIPO DE GASTO</w:t>
            </w:r>
          </w:p>
        </w:tc>
        <w:tc>
          <w:tcPr>
            <w:tcW w:w="2410" w:type="dxa"/>
            <w:tcBorders>
              <w:top w:val="single" w:sz="4" w:space="0" w:color="auto"/>
              <w:left w:val="nil"/>
              <w:bottom w:val="single" w:sz="4" w:space="0" w:color="auto"/>
              <w:right w:val="single" w:sz="4" w:space="0" w:color="auto"/>
            </w:tcBorders>
            <w:shd w:val="clear" w:color="000000" w:fill="2B4B71"/>
            <w:vAlign w:val="bottom"/>
            <w:hideMark/>
          </w:tcPr>
          <w:p w14:paraId="70A5451D" w14:textId="77777777" w:rsidR="00092FC3" w:rsidRPr="00923405" w:rsidRDefault="00092FC3" w:rsidP="0068230C">
            <w:pPr>
              <w:spacing w:after="0" w:line="240" w:lineRule="auto"/>
              <w:jc w:val="center"/>
              <w:rPr>
                <w:rFonts w:ascii="Verdana" w:eastAsia="Times New Roman" w:hAnsi="Verdana"/>
                <w:b/>
                <w:bCs/>
                <w:color w:val="FFFFFF"/>
                <w:sz w:val="20"/>
                <w:szCs w:val="20"/>
              </w:rPr>
            </w:pPr>
            <w:r w:rsidRPr="00923405">
              <w:rPr>
                <w:rFonts w:ascii="Verdana" w:eastAsia="Times New Roman" w:hAnsi="Verdana"/>
                <w:b/>
                <w:bCs/>
                <w:color w:val="FFFFFF"/>
                <w:sz w:val="20"/>
                <w:szCs w:val="20"/>
              </w:rPr>
              <w:t>RUBRO</w:t>
            </w:r>
          </w:p>
        </w:tc>
        <w:tc>
          <w:tcPr>
            <w:tcW w:w="2126" w:type="dxa"/>
            <w:tcBorders>
              <w:top w:val="single" w:sz="4" w:space="0" w:color="auto"/>
              <w:left w:val="nil"/>
              <w:bottom w:val="single" w:sz="4" w:space="0" w:color="auto"/>
              <w:right w:val="single" w:sz="4" w:space="0" w:color="auto"/>
            </w:tcBorders>
            <w:shd w:val="clear" w:color="000000" w:fill="2B4B71"/>
            <w:vAlign w:val="bottom"/>
            <w:hideMark/>
          </w:tcPr>
          <w:p w14:paraId="0F594EEB" w14:textId="77777777" w:rsidR="00092FC3" w:rsidRPr="00923405" w:rsidRDefault="00092FC3" w:rsidP="0068230C">
            <w:pPr>
              <w:spacing w:after="0" w:line="240" w:lineRule="auto"/>
              <w:jc w:val="center"/>
              <w:rPr>
                <w:rFonts w:ascii="Verdana" w:eastAsia="Times New Roman" w:hAnsi="Verdana"/>
                <w:b/>
                <w:bCs/>
                <w:color w:val="FFFFFF"/>
                <w:sz w:val="20"/>
                <w:szCs w:val="20"/>
              </w:rPr>
            </w:pPr>
            <w:r w:rsidRPr="00923405">
              <w:rPr>
                <w:rFonts w:ascii="Verdana" w:eastAsia="Times New Roman" w:hAnsi="Verdana"/>
                <w:b/>
                <w:bCs/>
                <w:color w:val="FFFFFF"/>
                <w:sz w:val="20"/>
                <w:szCs w:val="20"/>
              </w:rPr>
              <w:t xml:space="preserve">% PARTICIPACIÓN </w:t>
            </w:r>
          </w:p>
        </w:tc>
      </w:tr>
      <w:tr w:rsidR="00092FC3" w:rsidRPr="00923405" w14:paraId="5FDEEBD7" w14:textId="77777777" w:rsidTr="00D37812">
        <w:trPr>
          <w:trHeight w:val="255"/>
        </w:trPr>
        <w:tc>
          <w:tcPr>
            <w:tcW w:w="2830" w:type="dxa"/>
            <w:vMerge w:val="restart"/>
            <w:tcBorders>
              <w:top w:val="nil"/>
              <w:left w:val="single" w:sz="4" w:space="0" w:color="auto"/>
              <w:bottom w:val="single" w:sz="4" w:space="0" w:color="auto"/>
              <w:right w:val="single" w:sz="4" w:space="0" w:color="auto"/>
            </w:tcBorders>
            <w:shd w:val="clear" w:color="auto" w:fill="auto"/>
            <w:vAlign w:val="center"/>
            <w:hideMark/>
          </w:tcPr>
          <w:p w14:paraId="44A6E648" w14:textId="77777777" w:rsidR="00092FC3" w:rsidRPr="00923405" w:rsidRDefault="00092FC3" w:rsidP="0068230C">
            <w:pPr>
              <w:spacing w:after="0" w:line="240" w:lineRule="auto"/>
              <w:rPr>
                <w:rFonts w:ascii="Verdana" w:eastAsia="Times New Roman" w:hAnsi="Verdana"/>
                <w:b/>
                <w:bCs/>
                <w:color w:val="000000"/>
                <w:sz w:val="20"/>
                <w:szCs w:val="20"/>
              </w:rPr>
            </w:pPr>
            <w:r w:rsidRPr="00923405">
              <w:rPr>
                <w:rFonts w:ascii="Verdana" w:eastAsia="Times New Roman" w:hAnsi="Verdana"/>
                <w:b/>
                <w:bCs/>
                <w:color w:val="000000"/>
                <w:sz w:val="20"/>
                <w:szCs w:val="20"/>
              </w:rPr>
              <w:t>FUNCIONAMIENTO</w:t>
            </w:r>
          </w:p>
        </w:tc>
        <w:tc>
          <w:tcPr>
            <w:tcW w:w="2410" w:type="dxa"/>
            <w:tcBorders>
              <w:top w:val="nil"/>
              <w:left w:val="nil"/>
              <w:bottom w:val="single" w:sz="4" w:space="0" w:color="auto"/>
              <w:right w:val="single" w:sz="4" w:space="0" w:color="auto"/>
            </w:tcBorders>
            <w:shd w:val="clear" w:color="auto" w:fill="auto"/>
            <w:noWrap/>
            <w:vAlign w:val="bottom"/>
            <w:hideMark/>
          </w:tcPr>
          <w:p w14:paraId="51DD3597" w14:textId="77777777" w:rsidR="00092FC3" w:rsidRPr="00923405" w:rsidRDefault="00092FC3" w:rsidP="0068230C">
            <w:pPr>
              <w:spacing w:after="0" w:line="240" w:lineRule="auto"/>
              <w:rPr>
                <w:rFonts w:ascii="Verdana" w:eastAsia="Times New Roman" w:hAnsi="Verdana"/>
                <w:b/>
                <w:bCs/>
                <w:color w:val="000000"/>
                <w:sz w:val="20"/>
                <w:szCs w:val="20"/>
              </w:rPr>
            </w:pPr>
            <w:r w:rsidRPr="00923405">
              <w:rPr>
                <w:rFonts w:ascii="Verdana" w:eastAsia="Times New Roman" w:hAnsi="Verdana"/>
                <w:b/>
                <w:bCs/>
                <w:color w:val="000000"/>
                <w:sz w:val="20"/>
                <w:szCs w:val="20"/>
              </w:rPr>
              <w:t>A-02-02-02-008-002</w:t>
            </w:r>
          </w:p>
        </w:tc>
        <w:tc>
          <w:tcPr>
            <w:tcW w:w="212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E5DCF1A" w14:textId="77777777" w:rsidR="00092FC3" w:rsidRPr="00923405" w:rsidRDefault="00092FC3" w:rsidP="00D37812">
            <w:pPr>
              <w:spacing w:after="0" w:line="240" w:lineRule="auto"/>
              <w:jc w:val="center"/>
              <w:rPr>
                <w:rFonts w:ascii="Verdana" w:eastAsia="Times New Roman" w:hAnsi="Verdana"/>
                <w:b/>
                <w:bCs/>
                <w:color w:val="000000"/>
                <w:sz w:val="20"/>
                <w:szCs w:val="20"/>
              </w:rPr>
            </w:pPr>
            <w:r w:rsidRPr="00923405">
              <w:rPr>
                <w:rFonts w:ascii="Verdana" w:eastAsia="Times New Roman" w:hAnsi="Verdana"/>
                <w:b/>
                <w:bCs/>
                <w:color w:val="000000"/>
                <w:sz w:val="20"/>
                <w:szCs w:val="20"/>
              </w:rPr>
              <w:t>4,86%</w:t>
            </w:r>
          </w:p>
        </w:tc>
      </w:tr>
      <w:tr w:rsidR="00092FC3" w:rsidRPr="00923405" w14:paraId="246B2190" w14:textId="77777777" w:rsidTr="00D37812">
        <w:trPr>
          <w:trHeight w:val="255"/>
        </w:trPr>
        <w:tc>
          <w:tcPr>
            <w:tcW w:w="2830" w:type="dxa"/>
            <w:vMerge/>
            <w:tcBorders>
              <w:top w:val="nil"/>
              <w:left w:val="single" w:sz="4" w:space="0" w:color="auto"/>
              <w:bottom w:val="single" w:sz="4" w:space="0" w:color="auto"/>
              <w:right w:val="single" w:sz="4" w:space="0" w:color="auto"/>
            </w:tcBorders>
            <w:vAlign w:val="center"/>
            <w:hideMark/>
          </w:tcPr>
          <w:p w14:paraId="060A7751" w14:textId="77777777" w:rsidR="00092FC3" w:rsidRPr="00923405" w:rsidRDefault="00092FC3" w:rsidP="0068230C">
            <w:pPr>
              <w:spacing w:after="0" w:line="240" w:lineRule="auto"/>
              <w:rPr>
                <w:rFonts w:ascii="Verdana" w:eastAsia="Times New Roman" w:hAnsi="Verdana"/>
                <w:b/>
                <w:bCs/>
                <w:color w:val="000000"/>
                <w:sz w:val="20"/>
                <w:szCs w:val="20"/>
              </w:rPr>
            </w:pPr>
          </w:p>
        </w:tc>
        <w:tc>
          <w:tcPr>
            <w:tcW w:w="2410" w:type="dxa"/>
            <w:tcBorders>
              <w:top w:val="nil"/>
              <w:left w:val="nil"/>
              <w:bottom w:val="single" w:sz="4" w:space="0" w:color="auto"/>
              <w:right w:val="single" w:sz="4" w:space="0" w:color="auto"/>
            </w:tcBorders>
            <w:shd w:val="clear" w:color="auto" w:fill="auto"/>
            <w:noWrap/>
            <w:vAlign w:val="bottom"/>
            <w:hideMark/>
          </w:tcPr>
          <w:p w14:paraId="5A901A98" w14:textId="77777777" w:rsidR="00092FC3" w:rsidRPr="00923405" w:rsidRDefault="00092FC3" w:rsidP="0068230C">
            <w:pPr>
              <w:spacing w:after="0" w:line="240" w:lineRule="auto"/>
              <w:rPr>
                <w:rFonts w:ascii="Verdana" w:eastAsia="Times New Roman" w:hAnsi="Verdana"/>
                <w:b/>
                <w:bCs/>
                <w:color w:val="000000"/>
                <w:sz w:val="20"/>
                <w:szCs w:val="20"/>
              </w:rPr>
            </w:pPr>
            <w:r w:rsidRPr="00923405">
              <w:rPr>
                <w:rFonts w:ascii="Verdana" w:eastAsia="Times New Roman" w:hAnsi="Verdana"/>
                <w:b/>
                <w:bCs/>
                <w:color w:val="000000"/>
                <w:sz w:val="20"/>
                <w:szCs w:val="20"/>
              </w:rPr>
              <w:t>A-02-02-02-008-003</w:t>
            </w:r>
          </w:p>
        </w:tc>
        <w:tc>
          <w:tcPr>
            <w:tcW w:w="2126" w:type="dxa"/>
            <w:vMerge/>
            <w:tcBorders>
              <w:top w:val="nil"/>
              <w:left w:val="single" w:sz="4" w:space="0" w:color="auto"/>
              <w:bottom w:val="single" w:sz="4" w:space="0" w:color="auto"/>
              <w:right w:val="single" w:sz="4" w:space="0" w:color="auto"/>
            </w:tcBorders>
            <w:vAlign w:val="center"/>
            <w:hideMark/>
          </w:tcPr>
          <w:p w14:paraId="65590D96" w14:textId="77777777" w:rsidR="00092FC3" w:rsidRPr="00923405" w:rsidRDefault="00092FC3" w:rsidP="0068230C">
            <w:pPr>
              <w:spacing w:after="0" w:line="240" w:lineRule="auto"/>
              <w:rPr>
                <w:rFonts w:ascii="Verdana" w:eastAsia="Times New Roman" w:hAnsi="Verdana"/>
                <w:b/>
                <w:bCs/>
                <w:color w:val="000000"/>
                <w:sz w:val="20"/>
                <w:szCs w:val="20"/>
              </w:rPr>
            </w:pPr>
          </w:p>
        </w:tc>
      </w:tr>
    </w:tbl>
    <w:p w14:paraId="3CF364A2" w14:textId="77777777" w:rsidR="00092FC3" w:rsidRPr="00923405" w:rsidRDefault="00092FC3" w:rsidP="00092FC3">
      <w:pPr>
        <w:pStyle w:val="Cierre"/>
        <w:ind w:left="0"/>
        <w:contextualSpacing/>
        <w:jc w:val="both"/>
        <w:rPr>
          <w:rFonts w:ascii="Verdana" w:hAnsi="Verdana" w:cs="Arial"/>
          <w:bCs/>
          <w:sz w:val="22"/>
          <w:szCs w:val="22"/>
        </w:rPr>
      </w:pPr>
    </w:p>
    <w:tbl>
      <w:tblPr>
        <w:tblW w:w="7366" w:type="dxa"/>
        <w:tblInd w:w="1301" w:type="dxa"/>
        <w:tblLayout w:type="fixed"/>
        <w:tblCellMar>
          <w:left w:w="70" w:type="dxa"/>
          <w:right w:w="70" w:type="dxa"/>
        </w:tblCellMar>
        <w:tblLook w:val="04A0" w:firstRow="1" w:lastRow="0" w:firstColumn="1" w:lastColumn="0" w:noHBand="0" w:noVBand="1"/>
      </w:tblPr>
      <w:tblGrid>
        <w:gridCol w:w="2830"/>
        <w:gridCol w:w="2410"/>
        <w:gridCol w:w="2126"/>
      </w:tblGrid>
      <w:tr w:rsidR="00092FC3" w:rsidRPr="00923405" w14:paraId="32E24970" w14:textId="77777777" w:rsidTr="00D37812">
        <w:trPr>
          <w:trHeight w:val="510"/>
        </w:trPr>
        <w:tc>
          <w:tcPr>
            <w:tcW w:w="2830" w:type="dxa"/>
            <w:tcBorders>
              <w:top w:val="single" w:sz="4" w:space="0" w:color="auto"/>
              <w:left w:val="single" w:sz="4" w:space="0" w:color="auto"/>
              <w:bottom w:val="single" w:sz="4" w:space="0" w:color="auto"/>
              <w:right w:val="single" w:sz="4" w:space="0" w:color="auto"/>
            </w:tcBorders>
            <w:shd w:val="clear" w:color="000000" w:fill="2B4B71"/>
            <w:vAlign w:val="bottom"/>
            <w:hideMark/>
          </w:tcPr>
          <w:p w14:paraId="60687417" w14:textId="77777777" w:rsidR="00092FC3" w:rsidRPr="00923405" w:rsidRDefault="00092FC3" w:rsidP="0068230C">
            <w:pPr>
              <w:spacing w:after="0" w:line="240" w:lineRule="auto"/>
              <w:jc w:val="center"/>
              <w:rPr>
                <w:rFonts w:ascii="Verdana" w:eastAsia="Times New Roman" w:hAnsi="Verdana"/>
                <w:b/>
                <w:bCs/>
                <w:color w:val="FFFFFF"/>
                <w:sz w:val="20"/>
                <w:szCs w:val="20"/>
              </w:rPr>
            </w:pPr>
            <w:r w:rsidRPr="00923405">
              <w:rPr>
                <w:rFonts w:ascii="Verdana" w:eastAsia="Times New Roman" w:hAnsi="Verdana"/>
                <w:b/>
                <w:bCs/>
                <w:color w:val="FFFFFF"/>
                <w:sz w:val="20"/>
                <w:szCs w:val="20"/>
              </w:rPr>
              <w:t>TIPO DE GASTO</w:t>
            </w:r>
          </w:p>
        </w:tc>
        <w:tc>
          <w:tcPr>
            <w:tcW w:w="2410" w:type="dxa"/>
            <w:tcBorders>
              <w:top w:val="single" w:sz="4" w:space="0" w:color="auto"/>
              <w:left w:val="nil"/>
              <w:bottom w:val="single" w:sz="4" w:space="0" w:color="auto"/>
              <w:right w:val="single" w:sz="4" w:space="0" w:color="auto"/>
            </w:tcBorders>
            <w:shd w:val="clear" w:color="000000" w:fill="2B4B71"/>
            <w:vAlign w:val="bottom"/>
            <w:hideMark/>
          </w:tcPr>
          <w:p w14:paraId="223A7D02" w14:textId="77777777" w:rsidR="00092FC3" w:rsidRPr="00923405" w:rsidRDefault="00092FC3" w:rsidP="0068230C">
            <w:pPr>
              <w:spacing w:after="0" w:line="240" w:lineRule="auto"/>
              <w:jc w:val="center"/>
              <w:rPr>
                <w:rFonts w:ascii="Verdana" w:eastAsia="Times New Roman" w:hAnsi="Verdana"/>
                <w:b/>
                <w:bCs/>
                <w:color w:val="FFFFFF"/>
                <w:sz w:val="20"/>
                <w:szCs w:val="20"/>
              </w:rPr>
            </w:pPr>
            <w:r w:rsidRPr="00923405">
              <w:rPr>
                <w:rFonts w:ascii="Verdana" w:eastAsia="Times New Roman" w:hAnsi="Verdana"/>
                <w:b/>
                <w:bCs/>
                <w:color w:val="FFFFFF"/>
                <w:sz w:val="20"/>
                <w:szCs w:val="20"/>
              </w:rPr>
              <w:t>RUBRO</w:t>
            </w:r>
          </w:p>
        </w:tc>
        <w:tc>
          <w:tcPr>
            <w:tcW w:w="2126" w:type="dxa"/>
            <w:tcBorders>
              <w:top w:val="single" w:sz="4" w:space="0" w:color="auto"/>
              <w:left w:val="nil"/>
              <w:bottom w:val="single" w:sz="4" w:space="0" w:color="auto"/>
              <w:right w:val="single" w:sz="4" w:space="0" w:color="auto"/>
            </w:tcBorders>
            <w:shd w:val="clear" w:color="000000" w:fill="2B4B71"/>
            <w:vAlign w:val="bottom"/>
            <w:hideMark/>
          </w:tcPr>
          <w:p w14:paraId="38DA89B9" w14:textId="77777777" w:rsidR="00092FC3" w:rsidRPr="00923405" w:rsidRDefault="00092FC3" w:rsidP="0068230C">
            <w:pPr>
              <w:spacing w:after="0" w:line="240" w:lineRule="auto"/>
              <w:jc w:val="center"/>
              <w:rPr>
                <w:rFonts w:ascii="Verdana" w:eastAsia="Times New Roman" w:hAnsi="Verdana"/>
                <w:b/>
                <w:bCs/>
                <w:color w:val="FFFFFF"/>
                <w:sz w:val="20"/>
                <w:szCs w:val="20"/>
              </w:rPr>
            </w:pPr>
            <w:r w:rsidRPr="00923405">
              <w:rPr>
                <w:rFonts w:ascii="Verdana" w:eastAsia="Times New Roman" w:hAnsi="Verdana"/>
                <w:b/>
                <w:bCs/>
                <w:color w:val="FFFFFF"/>
                <w:sz w:val="20"/>
                <w:szCs w:val="20"/>
              </w:rPr>
              <w:t xml:space="preserve">% PARTICIPACIÓN </w:t>
            </w:r>
          </w:p>
        </w:tc>
      </w:tr>
      <w:tr w:rsidR="00092FC3" w:rsidRPr="00923405" w14:paraId="5786F78A" w14:textId="77777777" w:rsidTr="00D37812">
        <w:trPr>
          <w:trHeight w:val="345"/>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14:paraId="2E280F40" w14:textId="77777777" w:rsidR="00092FC3" w:rsidRPr="00923405" w:rsidRDefault="00092FC3" w:rsidP="0068230C">
            <w:pPr>
              <w:spacing w:after="0" w:line="240" w:lineRule="auto"/>
              <w:rPr>
                <w:rFonts w:ascii="Verdana" w:eastAsia="Times New Roman" w:hAnsi="Verdana"/>
                <w:b/>
                <w:bCs/>
                <w:color w:val="000000"/>
                <w:sz w:val="20"/>
                <w:szCs w:val="20"/>
              </w:rPr>
            </w:pPr>
            <w:r w:rsidRPr="00923405">
              <w:rPr>
                <w:rFonts w:ascii="Verdana" w:eastAsia="Times New Roman" w:hAnsi="Verdana"/>
                <w:b/>
                <w:bCs/>
                <w:color w:val="000000"/>
                <w:sz w:val="20"/>
                <w:szCs w:val="20"/>
              </w:rPr>
              <w:t>INVERSIÓN</w:t>
            </w:r>
          </w:p>
        </w:tc>
        <w:tc>
          <w:tcPr>
            <w:tcW w:w="2410" w:type="dxa"/>
            <w:tcBorders>
              <w:top w:val="nil"/>
              <w:left w:val="nil"/>
              <w:bottom w:val="single" w:sz="4" w:space="0" w:color="auto"/>
              <w:right w:val="single" w:sz="4" w:space="0" w:color="auto"/>
            </w:tcBorders>
            <w:shd w:val="clear" w:color="auto" w:fill="auto"/>
            <w:noWrap/>
            <w:vAlign w:val="bottom"/>
            <w:hideMark/>
          </w:tcPr>
          <w:p w14:paraId="51DDE19E" w14:textId="77777777" w:rsidR="00092FC3" w:rsidRPr="00923405" w:rsidRDefault="00092FC3" w:rsidP="0068230C">
            <w:pPr>
              <w:spacing w:after="0" w:line="240" w:lineRule="auto"/>
              <w:rPr>
                <w:rFonts w:ascii="Verdana" w:eastAsia="Times New Roman" w:hAnsi="Verdana"/>
                <w:b/>
                <w:bCs/>
                <w:color w:val="000000"/>
                <w:sz w:val="20"/>
                <w:szCs w:val="20"/>
              </w:rPr>
            </w:pPr>
            <w:r w:rsidRPr="00923405">
              <w:rPr>
                <w:rFonts w:ascii="Verdana" w:eastAsia="Times New Roman" w:hAnsi="Verdana"/>
                <w:b/>
                <w:bCs/>
                <w:color w:val="000000"/>
                <w:sz w:val="20"/>
                <w:szCs w:val="20"/>
              </w:rPr>
              <w:t>C-1303-1000</w:t>
            </w:r>
          </w:p>
        </w:tc>
        <w:tc>
          <w:tcPr>
            <w:tcW w:w="2126" w:type="dxa"/>
            <w:tcBorders>
              <w:top w:val="nil"/>
              <w:left w:val="nil"/>
              <w:bottom w:val="single" w:sz="4" w:space="0" w:color="auto"/>
              <w:right w:val="single" w:sz="4" w:space="0" w:color="auto"/>
            </w:tcBorders>
            <w:shd w:val="clear" w:color="auto" w:fill="auto"/>
            <w:noWrap/>
            <w:vAlign w:val="bottom"/>
            <w:hideMark/>
          </w:tcPr>
          <w:p w14:paraId="48253C4B" w14:textId="77777777" w:rsidR="00092FC3" w:rsidRPr="00923405" w:rsidRDefault="00092FC3" w:rsidP="0068230C">
            <w:pPr>
              <w:spacing w:after="0" w:line="240" w:lineRule="auto"/>
              <w:jc w:val="center"/>
              <w:rPr>
                <w:rFonts w:ascii="Verdana" w:eastAsia="Times New Roman" w:hAnsi="Verdana"/>
                <w:b/>
                <w:bCs/>
                <w:color w:val="000000"/>
                <w:sz w:val="20"/>
                <w:szCs w:val="20"/>
              </w:rPr>
            </w:pPr>
            <w:r w:rsidRPr="00923405">
              <w:rPr>
                <w:rFonts w:ascii="Verdana" w:eastAsia="Times New Roman" w:hAnsi="Verdana"/>
                <w:b/>
                <w:bCs/>
                <w:color w:val="000000"/>
                <w:sz w:val="20"/>
                <w:szCs w:val="20"/>
              </w:rPr>
              <w:t>28,13%</w:t>
            </w:r>
          </w:p>
        </w:tc>
      </w:tr>
    </w:tbl>
    <w:p w14:paraId="6FD3515B" w14:textId="77777777" w:rsidR="00092FC3" w:rsidRPr="00923405" w:rsidRDefault="00092FC3" w:rsidP="00092FC3">
      <w:pPr>
        <w:pStyle w:val="Cierre"/>
        <w:ind w:left="0"/>
        <w:contextualSpacing/>
        <w:jc w:val="both"/>
        <w:rPr>
          <w:rFonts w:ascii="Verdana" w:hAnsi="Verdana" w:cs="Arial"/>
          <w:bCs/>
          <w:sz w:val="22"/>
          <w:szCs w:val="22"/>
          <w:highlight w:val="cyan"/>
        </w:rPr>
      </w:pPr>
    </w:p>
    <w:p w14:paraId="18E5034D" w14:textId="12A84967" w:rsidR="00092FC3" w:rsidRPr="00923405" w:rsidRDefault="00092FC3" w:rsidP="00092FC3">
      <w:pPr>
        <w:pStyle w:val="Cierre"/>
        <w:ind w:left="0"/>
        <w:contextualSpacing/>
        <w:jc w:val="both"/>
        <w:rPr>
          <w:rFonts w:ascii="Verdana" w:hAnsi="Verdana" w:cs="Arial"/>
          <w:bCs/>
          <w:sz w:val="22"/>
          <w:szCs w:val="22"/>
        </w:rPr>
      </w:pPr>
      <w:r w:rsidRPr="00923405">
        <w:rPr>
          <w:rFonts w:ascii="Verdana" w:hAnsi="Verdana" w:cs="Arial"/>
          <w:bCs/>
          <w:sz w:val="22"/>
          <w:szCs w:val="22"/>
        </w:rPr>
        <w:t xml:space="preserve">Durante el año 2024 el Fondo Adaptación, con corte a julio de 2024, ha realizado pagos por $80.299 millones de los cuales </w:t>
      </w:r>
      <w:r w:rsidR="00D73951" w:rsidRPr="00923405">
        <w:rPr>
          <w:rFonts w:ascii="Verdana" w:hAnsi="Verdana" w:cs="Arial"/>
          <w:bCs/>
          <w:sz w:val="22"/>
          <w:szCs w:val="22"/>
        </w:rPr>
        <w:t>$22.594 millones</w:t>
      </w:r>
      <w:r w:rsidR="00D73951">
        <w:rPr>
          <w:rFonts w:ascii="Verdana" w:hAnsi="Verdana" w:cs="Arial"/>
          <w:bCs/>
          <w:sz w:val="22"/>
          <w:szCs w:val="22"/>
        </w:rPr>
        <w:t xml:space="preserve"> corresponden</w:t>
      </w:r>
      <w:r w:rsidRPr="00923405">
        <w:rPr>
          <w:rFonts w:ascii="Verdana" w:hAnsi="Verdana" w:cs="Arial"/>
          <w:bCs/>
          <w:sz w:val="22"/>
          <w:szCs w:val="22"/>
        </w:rPr>
        <w:t xml:space="preserve"> a contratos de prestación de servicios, equivalente al 28,13%.</w:t>
      </w:r>
    </w:p>
    <w:p w14:paraId="0E56D47E" w14:textId="77777777" w:rsidR="00092FC3" w:rsidRPr="00923405" w:rsidRDefault="00092FC3">
      <w:pPr>
        <w:pBdr>
          <w:top w:val="nil"/>
          <w:left w:val="nil"/>
          <w:bottom w:val="nil"/>
          <w:right w:val="nil"/>
          <w:between w:val="nil"/>
        </w:pBdr>
        <w:shd w:val="clear" w:color="auto" w:fill="FFFFFF"/>
        <w:spacing w:after="0" w:line="240" w:lineRule="auto"/>
        <w:jc w:val="both"/>
        <w:rPr>
          <w:rFonts w:ascii="Verdana" w:eastAsia="Verdana" w:hAnsi="Verdana" w:cs="Verdana"/>
          <w:color w:val="222222"/>
          <w:sz w:val="22"/>
          <w:szCs w:val="22"/>
        </w:rPr>
      </w:pPr>
    </w:p>
    <w:p w14:paraId="504C155C" w14:textId="2B1A72FA" w:rsidR="00820E71" w:rsidRPr="00923405" w:rsidRDefault="00820E71" w:rsidP="00923405">
      <w:pPr>
        <w:pStyle w:val="Cierre"/>
        <w:numPr>
          <w:ilvl w:val="0"/>
          <w:numId w:val="14"/>
        </w:numPr>
        <w:spacing w:before="100" w:beforeAutospacing="1" w:after="100" w:afterAutospacing="1"/>
        <w:contextualSpacing/>
        <w:jc w:val="both"/>
        <w:rPr>
          <w:rFonts w:ascii="Verdana" w:hAnsi="Verdana" w:cs="Arial"/>
          <w:b/>
          <w:sz w:val="22"/>
          <w:szCs w:val="22"/>
        </w:rPr>
      </w:pPr>
      <w:r w:rsidRPr="00923405">
        <w:rPr>
          <w:rFonts w:ascii="Verdana" w:hAnsi="Verdana" w:cs="Arial"/>
          <w:b/>
          <w:sz w:val="22"/>
          <w:szCs w:val="22"/>
        </w:rPr>
        <w:t xml:space="preserve">Sírvase informar, de forma discriminada, el aporte y/o responsabilidad por parte de su </w:t>
      </w:r>
      <w:r w:rsidR="00F05820" w:rsidRPr="00923405">
        <w:rPr>
          <w:rFonts w:ascii="Verdana" w:hAnsi="Verdana" w:cs="Arial"/>
          <w:b/>
          <w:sz w:val="22"/>
          <w:szCs w:val="22"/>
        </w:rPr>
        <w:t>sector y</w:t>
      </w:r>
      <w:r w:rsidRPr="00923405">
        <w:rPr>
          <w:rFonts w:ascii="Verdana" w:hAnsi="Verdana" w:cs="Arial"/>
          <w:b/>
          <w:sz w:val="22"/>
          <w:szCs w:val="22"/>
        </w:rPr>
        <w:t xml:space="preserve"> entidades adscritas, a los programas sociales estratégicos y el presupuesto requerido para cumplir a cabalidad en 2025. </w:t>
      </w:r>
    </w:p>
    <w:p w14:paraId="7A4B86D0" w14:textId="77777777" w:rsidR="00F05820" w:rsidRDefault="00F05820" w:rsidP="00F05820">
      <w:pPr>
        <w:pStyle w:val="Cierre"/>
        <w:ind w:left="360"/>
        <w:contextualSpacing/>
        <w:jc w:val="both"/>
        <w:rPr>
          <w:rFonts w:ascii="Verdana" w:hAnsi="Verdana" w:cs="Arial"/>
          <w:b/>
          <w:bCs/>
          <w:sz w:val="22"/>
          <w:szCs w:val="22"/>
        </w:rPr>
      </w:pPr>
    </w:p>
    <w:p w14:paraId="1985A145" w14:textId="619DB592" w:rsidR="00F05820" w:rsidRPr="00923405" w:rsidRDefault="00F05820" w:rsidP="00F05820">
      <w:pPr>
        <w:pStyle w:val="Cierre"/>
        <w:ind w:left="360"/>
        <w:contextualSpacing/>
        <w:jc w:val="both"/>
        <w:rPr>
          <w:rFonts w:ascii="Verdana" w:hAnsi="Verdana" w:cs="Arial"/>
          <w:b/>
          <w:bCs/>
          <w:sz w:val="22"/>
          <w:szCs w:val="22"/>
        </w:rPr>
      </w:pPr>
      <w:r w:rsidRPr="00923405">
        <w:rPr>
          <w:rFonts w:ascii="Verdana" w:hAnsi="Verdana" w:cs="Arial"/>
          <w:b/>
          <w:bCs/>
          <w:sz w:val="22"/>
          <w:szCs w:val="22"/>
        </w:rPr>
        <w:t>Respuesta</w:t>
      </w:r>
      <w:r>
        <w:rPr>
          <w:rFonts w:ascii="Verdana" w:hAnsi="Verdana" w:cs="Arial"/>
          <w:b/>
          <w:bCs/>
          <w:sz w:val="22"/>
          <w:szCs w:val="22"/>
        </w:rPr>
        <w:t>/</w:t>
      </w:r>
    </w:p>
    <w:p w14:paraId="3F628729" w14:textId="77777777" w:rsidR="00820E71" w:rsidRPr="00923405" w:rsidRDefault="00820E71" w:rsidP="00820E71">
      <w:pPr>
        <w:autoSpaceDE w:val="0"/>
        <w:autoSpaceDN w:val="0"/>
        <w:adjustRightInd w:val="0"/>
        <w:spacing w:after="0" w:line="240" w:lineRule="auto"/>
        <w:contextualSpacing/>
        <w:jc w:val="both"/>
        <w:rPr>
          <w:rFonts w:ascii="Verdana" w:hAnsi="Verdana"/>
        </w:rPr>
      </w:pPr>
    </w:p>
    <w:p w14:paraId="41E81247" w14:textId="58B02262" w:rsidR="00820E71" w:rsidRPr="00923405" w:rsidRDefault="00820E71" w:rsidP="00493299">
      <w:pPr>
        <w:autoSpaceDE w:val="0"/>
        <w:autoSpaceDN w:val="0"/>
        <w:adjustRightInd w:val="0"/>
        <w:spacing w:after="0" w:line="240" w:lineRule="auto"/>
        <w:contextualSpacing/>
        <w:jc w:val="both"/>
        <w:rPr>
          <w:rFonts w:ascii="Verdana" w:hAnsi="Verdana"/>
          <w:sz w:val="22"/>
          <w:szCs w:val="22"/>
        </w:rPr>
      </w:pPr>
      <w:r w:rsidRPr="00923405">
        <w:rPr>
          <w:rFonts w:ascii="Verdana" w:hAnsi="Verdana"/>
          <w:sz w:val="22"/>
          <w:szCs w:val="22"/>
        </w:rPr>
        <w:t xml:space="preserve">En cuanto a los programas sociales estratégicos a cargo del Fondo Adaptación, informamos que desde la Subgerencia de Regiones se tramita la </w:t>
      </w:r>
      <w:r w:rsidR="00923405" w:rsidRPr="00923405">
        <w:rPr>
          <w:rFonts w:ascii="Verdana" w:hAnsi="Verdana"/>
          <w:sz w:val="22"/>
          <w:szCs w:val="22"/>
        </w:rPr>
        <w:t>inclusión en</w:t>
      </w:r>
      <w:r w:rsidRPr="00923405">
        <w:rPr>
          <w:rFonts w:ascii="Verdana" w:hAnsi="Verdana"/>
          <w:sz w:val="22"/>
          <w:szCs w:val="22"/>
        </w:rPr>
        <w:t xml:space="preserve"> todos los proyectos de la entidad una visión de integralidad participación ciudadana y reducción de vulnerabilidad socioeconómica de las comunidades afectadas por la variabilidad climática. A continuación, se exponen los siguientes dos puntos: </w:t>
      </w:r>
    </w:p>
    <w:p w14:paraId="7F11F439" w14:textId="77777777" w:rsidR="00820E71" w:rsidRPr="00923405" w:rsidRDefault="00820E71" w:rsidP="00493299">
      <w:pPr>
        <w:autoSpaceDE w:val="0"/>
        <w:autoSpaceDN w:val="0"/>
        <w:adjustRightInd w:val="0"/>
        <w:spacing w:after="0" w:line="240" w:lineRule="auto"/>
        <w:contextualSpacing/>
        <w:jc w:val="both"/>
        <w:rPr>
          <w:rFonts w:ascii="Verdana" w:hAnsi="Verdana"/>
          <w:sz w:val="22"/>
          <w:szCs w:val="22"/>
        </w:rPr>
      </w:pPr>
    </w:p>
    <w:p w14:paraId="6ED32504" w14:textId="77777777" w:rsidR="00820E71" w:rsidRPr="00923405" w:rsidRDefault="00820E71" w:rsidP="00493299">
      <w:pPr>
        <w:pStyle w:val="Prrafodelista"/>
        <w:numPr>
          <w:ilvl w:val="0"/>
          <w:numId w:val="15"/>
        </w:numPr>
        <w:autoSpaceDE w:val="0"/>
        <w:autoSpaceDN w:val="0"/>
        <w:adjustRightInd w:val="0"/>
        <w:spacing w:after="0" w:line="240" w:lineRule="auto"/>
        <w:jc w:val="both"/>
        <w:rPr>
          <w:rFonts w:ascii="Verdana" w:hAnsi="Verdana"/>
          <w:sz w:val="22"/>
          <w:szCs w:val="22"/>
        </w:rPr>
      </w:pPr>
      <w:r w:rsidRPr="00923405">
        <w:rPr>
          <w:rFonts w:ascii="Verdana" w:hAnsi="Verdana"/>
          <w:sz w:val="22"/>
          <w:szCs w:val="22"/>
        </w:rPr>
        <w:t>Política y Estrategia de Gestión Social.</w:t>
      </w:r>
    </w:p>
    <w:p w14:paraId="1696982C" w14:textId="77777777" w:rsidR="00923405" w:rsidRPr="00923405" w:rsidRDefault="00923405" w:rsidP="00493299">
      <w:pPr>
        <w:pStyle w:val="Prrafodelista"/>
        <w:autoSpaceDE w:val="0"/>
        <w:autoSpaceDN w:val="0"/>
        <w:adjustRightInd w:val="0"/>
        <w:spacing w:after="0" w:line="240" w:lineRule="auto"/>
        <w:jc w:val="both"/>
        <w:rPr>
          <w:rFonts w:ascii="Verdana" w:hAnsi="Verdana"/>
        </w:rPr>
      </w:pPr>
    </w:p>
    <w:p w14:paraId="35400377" w14:textId="77777777" w:rsidR="00820E71" w:rsidRDefault="00820E71" w:rsidP="00493299">
      <w:pPr>
        <w:autoSpaceDE w:val="0"/>
        <w:autoSpaceDN w:val="0"/>
        <w:adjustRightInd w:val="0"/>
        <w:spacing w:after="0" w:line="240" w:lineRule="auto"/>
        <w:contextualSpacing/>
        <w:jc w:val="both"/>
        <w:rPr>
          <w:rFonts w:ascii="Verdana" w:hAnsi="Verdana"/>
          <w:sz w:val="22"/>
          <w:szCs w:val="22"/>
        </w:rPr>
      </w:pPr>
      <w:r w:rsidRPr="00923405">
        <w:rPr>
          <w:rFonts w:ascii="Verdana" w:hAnsi="Verdana"/>
          <w:sz w:val="22"/>
          <w:szCs w:val="22"/>
        </w:rPr>
        <w:t>El Fondo Adaptación en escucha permanente de las necesidades de las comunidades y en atención a la evolución que han tenido los Equipos de Trabajo de la Entidad y del propio proceso de Gestión Social identificó la necesidad de centrar sus acciones en el trabajo colaborativo, comunitario y responsable que considere el propósito transformador del Plan Nacional de Desarrollo.</w:t>
      </w:r>
    </w:p>
    <w:p w14:paraId="6CF1E4A3" w14:textId="77777777" w:rsidR="00923405" w:rsidRPr="00923405" w:rsidRDefault="00923405" w:rsidP="00493299">
      <w:pPr>
        <w:autoSpaceDE w:val="0"/>
        <w:autoSpaceDN w:val="0"/>
        <w:adjustRightInd w:val="0"/>
        <w:spacing w:after="0" w:line="240" w:lineRule="auto"/>
        <w:contextualSpacing/>
        <w:jc w:val="both"/>
        <w:rPr>
          <w:rFonts w:ascii="Verdana" w:hAnsi="Verdana"/>
          <w:sz w:val="22"/>
          <w:szCs w:val="22"/>
        </w:rPr>
      </w:pPr>
    </w:p>
    <w:p w14:paraId="73D1AD31" w14:textId="77777777" w:rsidR="00820E71" w:rsidRPr="00923405" w:rsidRDefault="00820E71" w:rsidP="00493299">
      <w:pPr>
        <w:autoSpaceDE w:val="0"/>
        <w:autoSpaceDN w:val="0"/>
        <w:adjustRightInd w:val="0"/>
        <w:spacing w:after="0" w:line="240" w:lineRule="auto"/>
        <w:contextualSpacing/>
        <w:jc w:val="both"/>
        <w:rPr>
          <w:rFonts w:ascii="Verdana" w:hAnsi="Verdana"/>
          <w:sz w:val="22"/>
          <w:szCs w:val="22"/>
        </w:rPr>
      </w:pPr>
      <w:r w:rsidRPr="00923405">
        <w:rPr>
          <w:rFonts w:ascii="Verdana" w:hAnsi="Verdana"/>
          <w:sz w:val="22"/>
          <w:szCs w:val="22"/>
        </w:rPr>
        <w:t>Este propósito enfocado en proteger la vida, hacia la meta de que TODOS podamos vivir una vida digna</w:t>
      </w:r>
      <w:r w:rsidRPr="00923405">
        <w:rPr>
          <w:rFonts w:ascii="Verdana" w:hAnsi="Verdana"/>
          <w:sz w:val="22"/>
          <w:szCs w:val="22"/>
        </w:rPr>
        <w:footnoteReference w:id="1"/>
      </w:r>
      <w:r w:rsidRPr="00923405">
        <w:rPr>
          <w:rFonts w:ascii="Verdana" w:hAnsi="Verdana"/>
          <w:sz w:val="22"/>
          <w:szCs w:val="22"/>
        </w:rPr>
        <w:t xml:space="preserve"> dándole valor a todas sus formas, nos permitió comprender que nuestro quehacer debe contribuir a minimizar las condiciones de vulnerabilidad de las comunidades a las que nos aproximamos, devolviéndoles su capacidad como territorio desde una perspectiva integral que amplía la mirada hacia el entorno que les rodea, reconociendo sus expresiones culturales y tradiciones.</w:t>
      </w:r>
    </w:p>
    <w:p w14:paraId="4DEE1D26" w14:textId="77777777" w:rsidR="00820E71" w:rsidRPr="00923405" w:rsidRDefault="00820E71" w:rsidP="00493299">
      <w:pPr>
        <w:autoSpaceDE w:val="0"/>
        <w:autoSpaceDN w:val="0"/>
        <w:adjustRightInd w:val="0"/>
        <w:spacing w:after="0" w:line="240" w:lineRule="auto"/>
        <w:contextualSpacing/>
        <w:jc w:val="both"/>
        <w:rPr>
          <w:rFonts w:ascii="Verdana" w:hAnsi="Verdana"/>
          <w:sz w:val="22"/>
          <w:szCs w:val="22"/>
        </w:rPr>
      </w:pPr>
    </w:p>
    <w:p w14:paraId="42E10775" w14:textId="3E427832" w:rsidR="00820E71" w:rsidRPr="00923405" w:rsidRDefault="00820E71" w:rsidP="00493299">
      <w:pPr>
        <w:autoSpaceDE w:val="0"/>
        <w:autoSpaceDN w:val="0"/>
        <w:adjustRightInd w:val="0"/>
        <w:spacing w:after="0" w:line="240" w:lineRule="auto"/>
        <w:contextualSpacing/>
        <w:jc w:val="both"/>
        <w:rPr>
          <w:rFonts w:ascii="Verdana" w:hAnsi="Verdana"/>
          <w:sz w:val="22"/>
          <w:szCs w:val="22"/>
        </w:rPr>
      </w:pPr>
      <w:r w:rsidRPr="00923405">
        <w:rPr>
          <w:rFonts w:ascii="Verdana" w:hAnsi="Verdana"/>
          <w:sz w:val="22"/>
          <w:szCs w:val="22"/>
        </w:rPr>
        <w:t>En esta línea, el Fondo Adaptación en el 2024 realizó el proceso de actualización de la Política de Gestión Social la cual propone trascender de la mera veeduría y la participación ciudadana en el marco contractual y de seguimiento; hacia el rol activo y de empoderamiento que le pertenece a la comunidad en cada una de las actuaciones que realiza la Entidad. Este camino, versa la mirada hacia un relacionamiento directo con las comunidades entendido como una apuesta participativa amplia e incluyente; que inclina las decisiones de la entidad hacia una perspectiva de mayor alcance basada en el respeto y la protección de los ecosistemas y la vida humana</w:t>
      </w:r>
      <w:r w:rsidR="00923405">
        <w:rPr>
          <w:rFonts w:ascii="Verdana" w:hAnsi="Verdana"/>
          <w:sz w:val="22"/>
          <w:szCs w:val="22"/>
        </w:rPr>
        <w:t xml:space="preserve"> </w:t>
      </w:r>
      <w:r w:rsidRPr="00923405">
        <w:rPr>
          <w:rFonts w:ascii="Verdana" w:hAnsi="Verdana"/>
          <w:sz w:val="16"/>
          <w:szCs w:val="16"/>
        </w:rPr>
        <w:footnoteReference w:id="2"/>
      </w:r>
      <w:r w:rsidRPr="00923405">
        <w:rPr>
          <w:rFonts w:ascii="Verdana" w:hAnsi="Verdana"/>
          <w:sz w:val="16"/>
          <w:szCs w:val="16"/>
        </w:rPr>
        <w:t>.</w:t>
      </w:r>
      <w:r w:rsidRPr="00923405">
        <w:rPr>
          <w:rFonts w:ascii="Verdana" w:hAnsi="Verdana"/>
          <w:sz w:val="22"/>
          <w:szCs w:val="22"/>
        </w:rPr>
        <w:t xml:space="preserve"> </w:t>
      </w:r>
    </w:p>
    <w:p w14:paraId="4DE7E660" w14:textId="77777777" w:rsidR="00820E71" w:rsidRPr="00923405" w:rsidRDefault="00820E71" w:rsidP="00493299">
      <w:pPr>
        <w:autoSpaceDE w:val="0"/>
        <w:autoSpaceDN w:val="0"/>
        <w:adjustRightInd w:val="0"/>
        <w:spacing w:after="0" w:line="240" w:lineRule="auto"/>
        <w:contextualSpacing/>
        <w:jc w:val="both"/>
        <w:rPr>
          <w:rFonts w:ascii="Verdana" w:hAnsi="Verdana"/>
          <w:sz w:val="22"/>
          <w:szCs w:val="22"/>
        </w:rPr>
      </w:pPr>
    </w:p>
    <w:p w14:paraId="547DC6AB" w14:textId="77777777" w:rsidR="00820E71" w:rsidRPr="00493299" w:rsidRDefault="00820E71" w:rsidP="00493299">
      <w:pPr>
        <w:autoSpaceDE w:val="0"/>
        <w:autoSpaceDN w:val="0"/>
        <w:adjustRightInd w:val="0"/>
        <w:spacing w:after="0" w:line="240" w:lineRule="auto"/>
        <w:contextualSpacing/>
        <w:jc w:val="both"/>
        <w:rPr>
          <w:rFonts w:ascii="Verdana" w:hAnsi="Verdana"/>
          <w:sz w:val="22"/>
          <w:szCs w:val="22"/>
        </w:rPr>
      </w:pPr>
      <w:r w:rsidRPr="00923405">
        <w:rPr>
          <w:rFonts w:ascii="Verdana" w:hAnsi="Verdana"/>
          <w:sz w:val="22"/>
          <w:szCs w:val="22"/>
        </w:rPr>
        <w:t>Por su parte la Estrategia Social se constituye en un lineamiento técnico para la gestión y viabilidad social, que brinda herramientas para la generación de procesos de participación ciudadana, control y acompañamiento social durante todo el ciclo</w:t>
      </w:r>
      <w:r w:rsidRPr="00923405">
        <w:rPr>
          <w:rFonts w:ascii="Verdana" w:hAnsi="Verdana"/>
        </w:rPr>
        <w:t xml:space="preserve"> </w:t>
      </w:r>
      <w:r w:rsidRPr="00493299">
        <w:rPr>
          <w:rFonts w:ascii="Verdana" w:hAnsi="Verdana"/>
          <w:sz w:val="22"/>
          <w:szCs w:val="22"/>
        </w:rPr>
        <w:t xml:space="preserve">de vida del proyecto proporcionando instrumentos que contribuyan de manera efectiva en la sostenibilidad de estos; a corto, mediano y largo plazo. La implementación de esta Estrategia requiere de una apropiación plena de la Política de Gestión Social del F.A por parte de todos los equipos de trabajo de la entidad, contratistas e interventorías; por tanto, es indispensable e imperativo, realizar una lectura previa y comprensiva de los documentos, así como participar en los espacios de capacitación ofrecidos por la Subgerencia de Regiones. </w:t>
      </w:r>
    </w:p>
    <w:p w14:paraId="783B6722" w14:textId="77777777" w:rsidR="00820E71" w:rsidRPr="00493299" w:rsidRDefault="00820E71" w:rsidP="00493299">
      <w:pPr>
        <w:spacing w:after="0" w:line="240" w:lineRule="auto"/>
        <w:jc w:val="both"/>
        <w:rPr>
          <w:rFonts w:ascii="Verdana" w:hAnsi="Verdana"/>
          <w:sz w:val="22"/>
          <w:szCs w:val="22"/>
        </w:rPr>
      </w:pPr>
    </w:p>
    <w:p w14:paraId="19F07B77" w14:textId="77777777" w:rsidR="00820E71" w:rsidRPr="00493299" w:rsidRDefault="00820E71" w:rsidP="00493299">
      <w:pPr>
        <w:spacing w:after="0" w:line="240" w:lineRule="auto"/>
        <w:jc w:val="both"/>
        <w:rPr>
          <w:rFonts w:ascii="Verdana" w:hAnsi="Verdana"/>
          <w:sz w:val="22"/>
          <w:szCs w:val="22"/>
        </w:rPr>
      </w:pPr>
      <w:r w:rsidRPr="00493299">
        <w:rPr>
          <w:rFonts w:ascii="Verdana" w:hAnsi="Verdana"/>
          <w:sz w:val="22"/>
          <w:szCs w:val="22"/>
        </w:rPr>
        <w:t xml:space="preserve">En esta línea se proponen actividades específicas para una adecuada implementación de la Política de Gestión Social del Fondo, dentro de las cuales se incluye el análisis de la población objetivo con el fin de que la planeación de los proyectos integre un proceso de que permita alinear los objetivos y los resultados atendiendo a las nuevas realidades de adaptación al cambio climático y a la verdadera vocación de la población y el territorio. </w:t>
      </w:r>
    </w:p>
    <w:p w14:paraId="39BD3E4D" w14:textId="77777777" w:rsidR="00820E71" w:rsidRPr="00493299" w:rsidRDefault="00820E71" w:rsidP="00493299">
      <w:pPr>
        <w:spacing w:after="0" w:line="240" w:lineRule="auto"/>
        <w:jc w:val="both"/>
        <w:rPr>
          <w:rFonts w:ascii="Verdana" w:hAnsi="Verdana"/>
          <w:sz w:val="22"/>
          <w:szCs w:val="22"/>
        </w:rPr>
      </w:pPr>
    </w:p>
    <w:p w14:paraId="2C0BE10C" w14:textId="77777777" w:rsidR="00820E71" w:rsidRPr="00493299" w:rsidRDefault="00820E71" w:rsidP="00493299">
      <w:pPr>
        <w:spacing w:after="0" w:line="240" w:lineRule="auto"/>
        <w:jc w:val="both"/>
        <w:rPr>
          <w:rFonts w:ascii="Verdana" w:hAnsi="Verdana"/>
          <w:sz w:val="22"/>
          <w:szCs w:val="22"/>
        </w:rPr>
      </w:pPr>
      <w:r w:rsidRPr="00493299">
        <w:rPr>
          <w:rFonts w:ascii="Verdana" w:hAnsi="Verdana"/>
          <w:sz w:val="22"/>
          <w:szCs w:val="22"/>
        </w:rPr>
        <w:t xml:space="preserve">Lo anterior con un enfoque integral que visualice las actuaciones de la Entidad desde escala territorial, exaltando la gestión social como la herramienta que posibilita identificar los problemas de una comunidad y aportar en la construcción colectiva de soluciones a las necesidades de los habitantes de un territorio para el mejoramiento de sus condiciones de vida; su logro implica la inclusión de los diferentes actores del proceso, conocimiento del territorio, compresión de las problemáticas y alcance real y eficiente de las soluciones. </w:t>
      </w:r>
    </w:p>
    <w:p w14:paraId="5EC5515D" w14:textId="77777777" w:rsidR="00820E71" w:rsidRPr="00493299" w:rsidRDefault="00820E71" w:rsidP="00493299">
      <w:pPr>
        <w:spacing w:after="0" w:line="240" w:lineRule="auto"/>
        <w:jc w:val="both"/>
        <w:rPr>
          <w:rFonts w:ascii="Verdana" w:hAnsi="Verdana"/>
          <w:sz w:val="22"/>
          <w:szCs w:val="22"/>
        </w:rPr>
      </w:pPr>
    </w:p>
    <w:p w14:paraId="52CF4BFA" w14:textId="77777777" w:rsidR="00820E71" w:rsidRPr="00493299" w:rsidRDefault="00820E71" w:rsidP="00493299">
      <w:pPr>
        <w:spacing w:after="0" w:line="240" w:lineRule="auto"/>
        <w:jc w:val="both"/>
        <w:rPr>
          <w:rFonts w:ascii="Verdana" w:hAnsi="Verdana"/>
          <w:sz w:val="22"/>
          <w:szCs w:val="22"/>
        </w:rPr>
      </w:pPr>
      <w:r w:rsidRPr="00493299">
        <w:rPr>
          <w:rFonts w:ascii="Verdana" w:hAnsi="Verdana"/>
          <w:sz w:val="22"/>
          <w:szCs w:val="22"/>
        </w:rPr>
        <w:t xml:space="preserve">Está dirigida a todos los colaboradores y contratistas del Fondo Adaptación con el fin de llevar a cabo una gestión social integral en los proyectos y actuaciones de la Entidad, involucrando a la comunidad en todas sus formas en cada una de las etapas del ciclo de </w:t>
      </w:r>
      <w:r w:rsidRPr="00493299">
        <w:rPr>
          <w:rFonts w:ascii="Verdana" w:hAnsi="Verdana"/>
          <w:sz w:val="22"/>
          <w:szCs w:val="22"/>
        </w:rPr>
        <w:lastRenderedPageBreak/>
        <w:t>proyecto, permitiéndoles participar y realizar aportes significativos; de manera que las actuaciones de la Entidad sean coherentes con sus tradiciones, culturas, realidades e intereses; contribuyendo significativamente con la sostenibilidad, la protección de los ecosistemas y la vida humana.</w:t>
      </w:r>
    </w:p>
    <w:p w14:paraId="477D5F1B" w14:textId="77777777" w:rsidR="00092FC3" w:rsidRPr="00493299" w:rsidRDefault="00092FC3" w:rsidP="00493299">
      <w:pPr>
        <w:spacing w:after="0" w:line="240" w:lineRule="auto"/>
        <w:jc w:val="both"/>
        <w:rPr>
          <w:rFonts w:ascii="Verdana" w:hAnsi="Verdana"/>
          <w:sz w:val="22"/>
          <w:szCs w:val="22"/>
        </w:rPr>
      </w:pPr>
    </w:p>
    <w:p w14:paraId="75A2A4F0" w14:textId="77777777" w:rsidR="00820E71" w:rsidRDefault="00820E71" w:rsidP="00493299">
      <w:pPr>
        <w:spacing w:after="0" w:line="240" w:lineRule="auto"/>
        <w:jc w:val="both"/>
        <w:rPr>
          <w:rFonts w:ascii="Verdana" w:hAnsi="Verdana"/>
          <w:sz w:val="22"/>
          <w:szCs w:val="22"/>
        </w:rPr>
      </w:pPr>
      <w:r w:rsidRPr="00493299">
        <w:rPr>
          <w:rFonts w:ascii="Verdana" w:hAnsi="Verdana"/>
          <w:sz w:val="22"/>
          <w:szCs w:val="22"/>
        </w:rPr>
        <w:t>Para ello, es fundamental conocer las dinámicas de los territorios donde el Fondo pretende realizar sus actuaciones; partiendo de la realidad pluriétnica y multicultural de nuestro país, promoviendo un ejercicio social que priorice el respeto de los derechos con enfoque diferencial; teniendo en cuenta las perspectivas y necesidades específicas de los diversos grupos poblacionales, considerando factores como la edad o la fase del ciclo vital, orientación sexual, identidad de género, origen étnico y discapacidad, entre otros aspectos.</w:t>
      </w:r>
    </w:p>
    <w:p w14:paraId="22163A3B" w14:textId="77777777" w:rsidR="00493299" w:rsidRPr="00493299" w:rsidRDefault="00493299" w:rsidP="00493299">
      <w:pPr>
        <w:spacing w:after="0" w:line="240" w:lineRule="auto"/>
        <w:jc w:val="both"/>
        <w:rPr>
          <w:rFonts w:ascii="Verdana" w:hAnsi="Verdana"/>
          <w:sz w:val="22"/>
          <w:szCs w:val="22"/>
        </w:rPr>
      </w:pPr>
    </w:p>
    <w:p w14:paraId="7B9E7356" w14:textId="77777777" w:rsidR="00820E71" w:rsidRPr="00493299" w:rsidRDefault="00820E71" w:rsidP="00493299">
      <w:pPr>
        <w:spacing w:after="0" w:line="240" w:lineRule="auto"/>
        <w:jc w:val="both"/>
        <w:rPr>
          <w:rFonts w:ascii="Verdana" w:hAnsi="Verdana"/>
          <w:sz w:val="22"/>
          <w:szCs w:val="22"/>
        </w:rPr>
      </w:pPr>
      <w:r w:rsidRPr="00493299">
        <w:rPr>
          <w:rFonts w:ascii="Verdana" w:hAnsi="Verdana"/>
          <w:sz w:val="22"/>
          <w:szCs w:val="22"/>
        </w:rPr>
        <w:t>Se pretende así, que los proyectos adelantados por el Fondo Adaptación se conviertan en catalizadores de la acción comunitaria hacia la reconstrucción del tejido social involucrando a todos los equipos de trabajo del Fondo de manera convergente y proactiva.</w:t>
      </w:r>
    </w:p>
    <w:p w14:paraId="08BB96AB" w14:textId="77777777" w:rsidR="00820E71" w:rsidRPr="00923405" w:rsidRDefault="00820E71" w:rsidP="00493299">
      <w:pPr>
        <w:spacing w:after="0" w:line="240" w:lineRule="auto"/>
        <w:jc w:val="both"/>
        <w:rPr>
          <w:rFonts w:ascii="Verdana" w:hAnsi="Verdana"/>
        </w:rPr>
      </w:pPr>
    </w:p>
    <w:p w14:paraId="1F8FCB4E" w14:textId="77777777" w:rsidR="00820E71" w:rsidRPr="00493299" w:rsidRDefault="00820E71" w:rsidP="00820E71">
      <w:pPr>
        <w:spacing w:after="0" w:line="240" w:lineRule="auto"/>
        <w:jc w:val="both"/>
        <w:rPr>
          <w:rFonts w:ascii="Verdana" w:hAnsi="Verdana"/>
          <w:b/>
          <w:bCs/>
          <w:sz w:val="20"/>
          <w:szCs w:val="20"/>
        </w:rPr>
      </w:pPr>
      <w:proofErr w:type="gramStart"/>
      <w:r w:rsidRPr="00493299">
        <w:rPr>
          <w:rFonts w:ascii="Verdana" w:hAnsi="Verdana"/>
          <w:b/>
          <w:bCs/>
          <w:sz w:val="20"/>
          <w:szCs w:val="20"/>
        </w:rPr>
        <w:t>Link</w:t>
      </w:r>
      <w:proofErr w:type="gramEnd"/>
      <w:r w:rsidRPr="00493299">
        <w:rPr>
          <w:rFonts w:ascii="Verdana" w:hAnsi="Verdana"/>
          <w:b/>
          <w:bCs/>
          <w:sz w:val="20"/>
          <w:szCs w:val="20"/>
        </w:rPr>
        <w:t xml:space="preserve"> de publicación de Política y Estrategia de Gestión Social: </w:t>
      </w:r>
    </w:p>
    <w:p w14:paraId="6A77371D" w14:textId="77777777" w:rsidR="00820E71" w:rsidRPr="00493299" w:rsidRDefault="00191B45" w:rsidP="00820E71">
      <w:pPr>
        <w:spacing w:after="0" w:line="240" w:lineRule="auto"/>
        <w:jc w:val="both"/>
        <w:rPr>
          <w:rFonts w:ascii="Verdana" w:hAnsi="Verdana"/>
          <w:sz w:val="20"/>
          <w:szCs w:val="20"/>
        </w:rPr>
      </w:pPr>
      <w:hyperlink r:id="rId9" w:history="1">
        <w:r w:rsidR="00820E71" w:rsidRPr="00493299">
          <w:rPr>
            <w:rStyle w:val="Hipervnculo"/>
            <w:rFonts w:ascii="Verdana" w:hAnsi="Verdana"/>
            <w:sz w:val="20"/>
            <w:szCs w:val="20"/>
          </w:rPr>
          <w:t>https://www.fondoadaptacion.gov.co/index.php/politica-interaccion-social/politicas-y-lineamientos.html</w:t>
        </w:r>
      </w:hyperlink>
    </w:p>
    <w:p w14:paraId="7A8A542F" w14:textId="77777777" w:rsidR="00820E71" w:rsidRPr="00493299" w:rsidRDefault="00820E71" w:rsidP="00820E71">
      <w:pPr>
        <w:spacing w:after="0" w:line="240" w:lineRule="auto"/>
        <w:jc w:val="both"/>
        <w:rPr>
          <w:rFonts w:ascii="Verdana" w:hAnsi="Verdana"/>
          <w:sz w:val="20"/>
          <w:szCs w:val="20"/>
        </w:rPr>
      </w:pPr>
    </w:p>
    <w:p w14:paraId="27CC8A8F" w14:textId="77777777" w:rsidR="00820E71" w:rsidRPr="00493299" w:rsidRDefault="00820E71" w:rsidP="00820E71">
      <w:pPr>
        <w:pStyle w:val="Prrafodelista"/>
        <w:numPr>
          <w:ilvl w:val="0"/>
          <w:numId w:val="15"/>
        </w:numPr>
        <w:autoSpaceDE w:val="0"/>
        <w:autoSpaceDN w:val="0"/>
        <w:adjustRightInd w:val="0"/>
        <w:spacing w:after="0" w:line="240" w:lineRule="auto"/>
        <w:jc w:val="both"/>
        <w:rPr>
          <w:rFonts w:ascii="Verdana" w:hAnsi="Verdana"/>
          <w:sz w:val="22"/>
          <w:szCs w:val="22"/>
        </w:rPr>
      </w:pPr>
      <w:r w:rsidRPr="00493299">
        <w:rPr>
          <w:rFonts w:ascii="Verdana" w:hAnsi="Verdana"/>
          <w:sz w:val="22"/>
          <w:szCs w:val="22"/>
        </w:rPr>
        <w:t xml:space="preserve">Desarrollo socioeconómico adaptado al cambio climático </w:t>
      </w:r>
    </w:p>
    <w:p w14:paraId="6CEC509C" w14:textId="77777777" w:rsidR="00820E71" w:rsidRPr="00923405" w:rsidRDefault="00820E71" w:rsidP="00820E71">
      <w:pPr>
        <w:pStyle w:val="Prrafodelista"/>
        <w:autoSpaceDE w:val="0"/>
        <w:autoSpaceDN w:val="0"/>
        <w:adjustRightInd w:val="0"/>
        <w:spacing w:after="0" w:line="240" w:lineRule="auto"/>
        <w:jc w:val="both"/>
        <w:rPr>
          <w:rFonts w:ascii="Verdana" w:hAnsi="Verdana"/>
        </w:rPr>
      </w:pPr>
    </w:p>
    <w:p w14:paraId="40DD6782" w14:textId="77777777" w:rsidR="00820E71" w:rsidRPr="00923405" w:rsidRDefault="00820E71" w:rsidP="00820E71">
      <w:pPr>
        <w:pStyle w:val="NormalWeb"/>
        <w:spacing w:before="0" w:beforeAutospacing="0" w:after="0" w:afterAutospacing="0"/>
        <w:jc w:val="both"/>
        <w:rPr>
          <w:rFonts w:ascii="Verdana" w:hAnsi="Verdana" w:cs="Arial"/>
          <w:color w:val="000000"/>
          <w:sz w:val="22"/>
          <w:szCs w:val="22"/>
        </w:rPr>
      </w:pPr>
      <w:r w:rsidRPr="00923405">
        <w:rPr>
          <w:rFonts w:ascii="Verdana" w:hAnsi="Verdana" w:cs="Arial"/>
          <w:color w:val="000000"/>
          <w:sz w:val="22"/>
          <w:szCs w:val="22"/>
        </w:rPr>
        <w:t>Implementar acciones integrales por parte del Fondo Adaptación como mecanismo de implementación de la Política de Gestión Social involucrando una visión integral socioeconómica para el desarrollo de las actuaciones de la Entidad. Esto mediante la generación de mecanismos coordinados que permitan considerar de manera progresiva e integral las necesidades reales de la comunidad durante las diferentes etapas: planeación, formulación, ejecución y entrega. </w:t>
      </w:r>
    </w:p>
    <w:p w14:paraId="08D8C35E" w14:textId="77777777" w:rsidR="00820E71" w:rsidRPr="00923405" w:rsidRDefault="00820E71" w:rsidP="00820E71">
      <w:pPr>
        <w:pStyle w:val="NormalWeb"/>
        <w:spacing w:before="0" w:beforeAutospacing="0" w:after="0" w:afterAutospacing="0"/>
        <w:jc w:val="both"/>
        <w:rPr>
          <w:rFonts w:ascii="Verdana" w:hAnsi="Verdana" w:cs="Arial"/>
          <w:color w:val="000000"/>
          <w:sz w:val="22"/>
          <w:szCs w:val="22"/>
        </w:rPr>
      </w:pPr>
    </w:p>
    <w:p w14:paraId="7ECB9827" w14:textId="77777777" w:rsidR="00820E71" w:rsidRPr="00923405" w:rsidRDefault="00820E71" w:rsidP="00820E71">
      <w:pPr>
        <w:pStyle w:val="NormalWeb"/>
        <w:spacing w:before="0" w:beforeAutospacing="0" w:after="0" w:afterAutospacing="0"/>
        <w:jc w:val="both"/>
        <w:rPr>
          <w:rFonts w:ascii="Verdana" w:hAnsi="Verdana" w:cs="Arial"/>
          <w:sz w:val="22"/>
          <w:szCs w:val="22"/>
        </w:rPr>
      </w:pPr>
      <w:r w:rsidRPr="00923405">
        <w:rPr>
          <w:rFonts w:ascii="Verdana" w:hAnsi="Verdana" w:cs="Arial"/>
          <w:sz w:val="22"/>
          <w:szCs w:val="22"/>
        </w:rPr>
        <w:t>Lo anterior, bajo la premisa de contribuir a la construcción de comunidades económicamente activas y adaptadas a su nuevo entorno. </w:t>
      </w:r>
    </w:p>
    <w:p w14:paraId="63991A69" w14:textId="77777777" w:rsidR="00820E71" w:rsidRPr="00923405" w:rsidRDefault="00820E71" w:rsidP="00820E71">
      <w:pPr>
        <w:pStyle w:val="NormalWeb"/>
        <w:spacing w:before="0" w:beforeAutospacing="0" w:after="0" w:afterAutospacing="0"/>
        <w:jc w:val="both"/>
        <w:rPr>
          <w:rFonts w:ascii="Verdana" w:hAnsi="Verdana" w:cs="Arial"/>
          <w:sz w:val="22"/>
          <w:szCs w:val="22"/>
        </w:rPr>
      </w:pPr>
    </w:p>
    <w:p w14:paraId="03970CEF" w14:textId="77777777" w:rsidR="00820E71" w:rsidRPr="00923405" w:rsidRDefault="00820E71" w:rsidP="00820E71">
      <w:pPr>
        <w:pStyle w:val="NormalWeb"/>
        <w:spacing w:before="0" w:beforeAutospacing="0" w:after="0" w:afterAutospacing="0"/>
        <w:jc w:val="both"/>
        <w:rPr>
          <w:rFonts w:ascii="Verdana" w:hAnsi="Verdana" w:cs="Arial"/>
          <w:sz w:val="22"/>
          <w:szCs w:val="22"/>
        </w:rPr>
      </w:pPr>
      <w:r w:rsidRPr="00923405">
        <w:rPr>
          <w:rFonts w:ascii="Verdana" w:hAnsi="Verdana" w:cs="Arial"/>
          <w:sz w:val="22"/>
          <w:szCs w:val="22"/>
        </w:rPr>
        <w:t>Los Proyectos de Desarrollo Socioeconómico tiene la finalidad de aumentar la efectividad del impacto esperado en la implementación de la Política de Gestión Social, en el desarrollo de las obras de infraestructura y proyectos en general ejecutados por el Fondo de Adaptación, de manera que, al realizar un diagnóstico, una estructuración participativa con las comunidades se logre oportunidad, eficacia, apropiación y sostenibilidad de los proyectos prolongando el bienestar derivado de estos.</w:t>
      </w:r>
    </w:p>
    <w:p w14:paraId="54D7D7AF" w14:textId="77777777" w:rsidR="00820E71" w:rsidRPr="00923405" w:rsidRDefault="00820E71" w:rsidP="00820E71">
      <w:pPr>
        <w:pStyle w:val="NormalWeb"/>
        <w:spacing w:before="0" w:beforeAutospacing="0" w:after="0" w:afterAutospacing="0"/>
        <w:jc w:val="both"/>
        <w:rPr>
          <w:rFonts w:ascii="Verdana" w:hAnsi="Verdana" w:cs="Arial"/>
          <w:sz w:val="22"/>
          <w:szCs w:val="22"/>
        </w:rPr>
      </w:pPr>
    </w:p>
    <w:p w14:paraId="777A2A84" w14:textId="77777777" w:rsidR="00820E71" w:rsidRPr="00923405" w:rsidRDefault="00820E71" w:rsidP="00820E71">
      <w:pPr>
        <w:pStyle w:val="NormalWeb"/>
        <w:spacing w:before="0" w:beforeAutospacing="0" w:after="0" w:afterAutospacing="0"/>
        <w:jc w:val="both"/>
        <w:rPr>
          <w:rFonts w:ascii="Verdana" w:hAnsi="Verdana" w:cs="Arial"/>
          <w:sz w:val="22"/>
          <w:szCs w:val="22"/>
        </w:rPr>
      </w:pPr>
      <w:r w:rsidRPr="00923405">
        <w:rPr>
          <w:rFonts w:ascii="Verdana" w:hAnsi="Verdana" w:cs="Arial"/>
          <w:sz w:val="22"/>
          <w:szCs w:val="22"/>
        </w:rPr>
        <w:t xml:space="preserve">La implementación de esta estrategia contaría con el análisis de la información técnica y social; a través de un equipo multidisciplinar conformado para el desarrollo de las diferentes etapas del proyecto según la línea de intervención. </w:t>
      </w:r>
    </w:p>
    <w:p w14:paraId="24BDF0E8" w14:textId="77777777" w:rsidR="00820E71" w:rsidRPr="00923405" w:rsidRDefault="00820E71" w:rsidP="00820E71">
      <w:pPr>
        <w:pStyle w:val="NormalWeb"/>
        <w:spacing w:before="0" w:beforeAutospacing="0" w:after="0" w:afterAutospacing="0"/>
        <w:jc w:val="both"/>
        <w:rPr>
          <w:rFonts w:ascii="Verdana" w:hAnsi="Verdana" w:cs="Arial"/>
          <w:sz w:val="22"/>
          <w:szCs w:val="22"/>
        </w:rPr>
      </w:pPr>
    </w:p>
    <w:p w14:paraId="25CFBDF0" w14:textId="77777777" w:rsidR="00820E71" w:rsidRPr="00493299" w:rsidRDefault="00820E71" w:rsidP="00820E71">
      <w:pPr>
        <w:autoSpaceDE w:val="0"/>
        <w:autoSpaceDN w:val="0"/>
        <w:adjustRightInd w:val="0"/>
        <w:spacing w:after="0" w:line="240" w:lineRule="auto"/>
        <w:contextualSpacing/>
        <w:jc w:val="both"/>
        <w:rPr>
          <w:rFonts w:ascii="Verdana" w:hAnsi="Verdana"/>
          <w:sz w:val="22"/>
          <w:szCs w:val="22"/>
        </w:rPr>
      </w:pPr>
      <w:r w:rsidRPr="00493299">
        <w:rPr>
          <w:rFonts w:ascii="Verdana" w:hAnsi="Verdana"/>
          <w:sz w:val="22"/>
          <w:szCs w:val="22"/>
        </w:rPr>
        <w:t xml:space="preserve">El presupuesto requerido para el 2025 está compuesto de la siguiente manera: </w:t>
      </w:r>
    </w:p>
    <w:p w14:paraId="2DB668DF" w14:textId="77777777" w:rsidR="00820E71" w:rsidRPr="00923405" w:rsidRDefault="00820E71" w:rsidP="00820E71">
      <w:pPr>
        <w:autoSpaceDE w:val="0"/>
        <w:autoSpaceDN w:val="0"/>
        <w:adjustRightInd w:val="0"/>
        <w:spacing w:after="0" w:line="240" w:lineRule="auto"/>
        <w:contextualSpacing/>
        <w:jc w:val="both"/>
        <w:rPr>
          <w:rFonts w:ascii="Verdana" w:hAnsi="Verdana"/>
        </w:rPr>
      </w:pPr>
    </w:p>
    <w:tbl>
      <w:tblPr>
        <w:tblStyle w:val="Tablaconcuadrcula"/>
        <w:tblW w:w="8841" w:type="dxa"/>
        <w:jc w:val="center"/>
        <w:tblLook w:val="04A0" w:firstRow="1" w:lastRow="0" w:firstColumn="1" w:lastColumn="0" w:noHBand="0" w:noVBand="1"/>
      </w:tblPr>
      <w:tblGrid>
        <w:gridCol w:w="6658"/>
        <w:gridCol w:w="2183"/>
      </w:tblGrid>
      <w:tr w:rsidR="00820E71" w:rsidRPr="00493299" w14:paraId="3E94574E" w14:textId="77777777" w:rsidTr="00493299">
        <w:trPr>
          <w:trHeight w:val="354"/>
          <w:jc w:val="center"/>
        </w:trPr>
        <w:tc>
          <w:tcPr>
            <w:tcW w:w="6658" w:type="dxa"/>
            <w:shd w:val="clear" w:color="auto" w:fill="1F4E79" w:themeFill="accent1" w:themeFillShade="80"/>
            <w:vAlign w:val="center"/>
          </w:tcPr>
          <w:p w14:paraId="49E1EDD5" w14:textId="77777777" w:rsidR="00820E71" w:rsidRPr="00F05820" w:rsidRDefault="00820E71" w:rsidP="0068230C">
            <w:pPr>
              <w:autoSpaceDE w:val="0"/>
              <w:autoSpaceDN w:val="0"/>
              <w:adjustRightInd w:val="0"/>
              <w:contextualSpacing/>
              <w:jc w:val="both"/>
              <w:rPr>
                <w:rFonts w:ascii="Verdana" w:hAnsi="Verdana"/>
                <w:b/>
                <w:bCs/>
                <w:color w:val="FFFFFF" w:themeColor="background1"/>
                <w:sz w:val="18"/>
                <w:szCs w:val="18"/>
              </w:rPr>
            </w:pPr>
            <w:r w:rsidRPr="00F05820">
              <w:rPr>
                <w:rFonts w:ascii="Verdana" w:hAnsi="Verdana"/>
                <w:b/>
                <w:bCs/>
                <w:color w:val="FFFFFF" w:themeColor="background1"/>
                <w:sz w:val="18"/>
                <w:szCs w:val="18"/>
              </w:rPr>
              <w:t>Rubro</w:t>
            </w:r>
          </w:p>
        </w:tc>
        <w:tc>
          <w:tcPr>
            <w:tcW w:w="2183" w:type="dxa"/>
            <w:shd w:val="clear" w:color="auto" w:fill="1F4E79" w:themeFill="accent1" w:themeFillShade="80"/>
            <w:vAlign w:val="center"/>
          </w:tcPr>
          <w:p w14:paraId="7B6DCE68" w14:textId="77777777" w:rsidR="00820E71" w:rsidRPr="00F05820" w:rsidRDefault="00820E71" w:rsidP="0068230C">
            <w:pPr>
              <w:autoSpaceDE w:val="0"/>
              <w:autoSpaceDN w:val="0"/>
              <w:adjustRightInd w:val="0"/>
              <w:contextualSpacing/>
              <w:rPr>
                <w:rFonts w:ascii="Verdana" w:hAnsi="Verdana"/>
                <w:b/>
                <w:bCs/>
                <w:color w:val="FFFFFF" w:themeColor="background1"/>
                <w:sz w:val="18"/>
                <w:szCs w:val="18"/>
              </w:rPr>
            </w:pPr>
            <w:r w:rsidRPr="00F05820">
              <w:rPr>
                <w:rFonts w:ascii="Verdana" w:hAnsi="Verdana"/>
                <w:b/>
                <w:bCs/>
                <w:color w:val="FFFFFF" w:themeColor="background1"/>
                <w:sz w:val="18"/>
                <w:szCs w:val="18"/>
              </w:rPr>
              <w:t>Necesidad 2025</w:t>
            </w:r>
          </w:p>
        </w:tc>
      </w:tr>
      <w:tr w:rsidR="00820E71" w:rsidRPr="00493299" w14:paraId="6A56F9CA" w14:textId="77777777" w:rsidTr="0068230C">
        <w:trPr>
          <w:trHeight w:val="354"/>
          <w:jc w:val="center"/>
        </w:trPr>
        <w:tc>
          <w:tcPr>
            <w:tcW w:w="6658" w:type="dxa"/>
            <w:vAlign w:val="center"/>
          </w:tcPr>
          <w:p w14:paraId="5BE617FC" w14:textId="77777777" w:rsidR="00820E71" w:rsidRPr="00493299" w:rsidRDefault="00820E71" w:rsidP="0068230C">
            <w:pPr>
              <w:autoSpaceDE w:val="0"/>
              <w:autoSpaceDN w:val="0"/>
              <w:adjustRightInd w:val="0"/>
              <w:contextualSpacing/>
              <w:jc w:val="both"/>
              <w:rPr>
                <w:rFonts w:ascii="Verdana" w:hAnsi="Verdana"/>
                <w:sz w:val="18"/>
                <w:szCs w:val="18"/>
              </w:rPr>
            </w:pPr>
            <w:r w:rsidRPr="00493299">
              <w:rPr>
                <w:rFonts w:ascii="Verdana" w:hAnsi="Verdana"/>
                <w:sz w:val="18"/>
                <w:szCs w:val="18"/>
              </w:rPr>
              <w:t>Región Pacífico</w:t>
            </w:r>
          </w:p>
          <w:p w14:paraId="253317C8" w14:textId="77777777" w:rsidR="00820E71" w:rsidRPr="00493299" w:rsidRDefault="00820E71" w:rsidP="0068230C">
            <w:pPr>
              <w:autoSpaceDE w:val="0"/>
              <w:autoSpaceDN w:val="0"/>
              <w:adjustRightInd w:val="0"/>
              <w:contextualSpacing/>
              <w:jc w:val="both"/>
              <w:rPr>
                <w:rFonts w:ascii="Verdana" w:hAnsi="Verdana"/>
                <w:sz w:val="18"/>
                <w:szCs w:val="18"/>
              </w:rPr>
            </w:pPr>
            <w:r w:rsidRPr="00493299">
              <w:rPr>
                <w:rFonts w:ascii="Verdana" w:hAnsi="Verdana"/>
                <w:sz w:val="18"/>
                <w:szCs w:val="18"/>
              </w:rPr>
              <w:lastRenderedPageBreak/>
              <w:t>IMPLEMENTAR INTERVENCIONES PARA LA RESTAURACIÓN DE LAS DINÁMICAS ECOSISTÉMICAS Y DEL HABITAT ALREDEDOR DEL AGUA ADAPTADAS AL CONTEXTO ACTUAL DE CAMBIO CLIMÁTICO Y REDUCCIÓN DEL RIESGO DE DESASTRE ANTE FENÓMENOS DE ORIGEN HIDROMETEOROLÓGICO EN LA REGIÓN PACÍFICA</w:t>
            </w:r>
          </w:p>
        </w:tc>
        <w:tc>
          <w:tcPr>
            <w:tcW w:w="2183" w:type="dxa"/>
            <w:vAlign w:val="center"/>
          </w:tcPr>
          <w:p w14:paraId="34242973" w14:textId="77777777" w:rsidR="00820E71" w:rsidRPr="00493299" w:rsidRDefault="00820E71" w:rsidP="0068230C">
            <w:pPr>
              <w:autoSpaceDE w:val="0"/>
              <w:autoSpaceDN w:val="0"/>
              <w:adjustRightInd w:val="0"/>
              <w:contextualSpacing/>
              <w:jc w:val="right"/>
              <w:rPr>
                <w:rFonts w:ascii="Verdana" w:hAnsi="Verdana"/>
                <w:sz w:val="18"/>
                <w:szCs w:val="18"/>
              </w:rPr>
            </w:pPr>
            <w:r w:rsidRPr="00493299">
              <w:rPr>
                <w:rFonts w:ascii="Verdana" w:hAnsi="Verdana"/>
                <w:sz w:val="18"/>
                <w:szCs w:val="18"/>
              </w:rPr>
              <w:lastRenderedPageBreak/>
              <w:t>$29.043.202.866</w:t>
            </w:r>
          </w:p>
        </w:tc>
      </w:tr>
      <w:tr w:rsidR="00820E71" w:rsidRPr="00493299" w14:paraId="1A033AA2" w14:textId="77777777" w:rsidTr="0068230C">
        <w:trPr>
          <w:trHeight w:val="354"/>
          <w:jc w:val="center"/>
        </w:trPr>
        <w:tc>
          <w:tcPr>
            <w:tcW w:w="6658" w:type="dxa"/>
            <w:vAlign w:val="center"/>
          </w:tcPr>
          <w:p w14:paraId="25B9B27F" w14:textId="77777777" w:rsidR="00820E71" w:rsidRPr="00493299" w:rsidRDefault="00820E71" w:rsidP="0068230C">
            <w:pPr>
              <w:autoSpaceDE w:val="0"/>
              <w:autoSpaceDN w:val="0"/>
              <w:adjustRightInd w:val="0"/>
              <w:contextualSpacing/>
              <w:jc w:val="both"/>
              <w:rPr>
                <w:rFonts w:ascii="Verdana" w:hAnsi="Verdana"/>
                <w:sz w:val="18"/>
                <w:szCs w:val="18"/>
              </w:rPr>
            </w:pPr>
            <w:r w:rsidRPr="00493299">
              <w:rPr>
                <w:rFonts w:ascii="Verdana" w:hAnsi="Verdana"/>
                <w:sz w:val="18"/>
                <w:szCs w:val="18"/>
              </w:rPr>
              <w:t>Ciénaga de la Virgen</w:t>
            </w:r>
          </w:p>
          <w:p w14:paraId="60016C21" w14:textId="77777777" w:rsidR="00820E71" w:rsidRPr="00493299" w:rsidRDefault="00820E71" w:rsidP="0068230C">
            <w:pPr>
              <w:autoSpaceDE w:val="0"/>
              <w:autoSpaceDN w:val="0"/>
              <w:adjustRightInd w:val="0"/>
              <w:contextualSpacing/>
              <w:jc w:val="both"/>
              <w:rPr>
                <w:rFonts w:ascii="Verdana" w:hAnsi="Verdana"/>
                <w:sz w:val="18"/>
                <w:szCs w:val="18"/>
              </w:rPr>
            </w:pPr>
            <w:r w:rsidRPr="00493299">
              <w:rPr>
                <w:rFonts w:ascii="Verdana" w:hAnsi="Verdana"/>
                <w:sz w:val="18"/>
                <w:szCs w:val="18"/>
              </w:rPr>
              <w:t>IMPLEMENTACIÓN DE INTERVENCIONES PARA LA RESTAURACIÓN DE LAS DINÁMICAS ECOSISTÉMICAS ALREDEDOR DEL AGUA ADAPTADAS AL CONTEXTO ACTUAL DE CAMBIO CLIMÁTICO Y GESTIÓN DEL RIESGO EN LA CIÉNAGA DE LA VIRGEN, EN LA CIUDAD DE CARTAGENA</w:t>
            </w:r>
          </w:p>
        </w:tc>
        <w:tc>
          <w:tcPr>
            <w:tcW w:w="2183" w:type="dxa"/>
            <w:vAlign w:val="center"/>
          </w:tcPr>
          <w:p w14:paraId="319E1E75" w14:textId="77777777" w:rsidR="00820E71" w:rsidRPr="00493299" w:rsidRDefault="00820E71" w:rsidP="0068230C">
            <w:pPr>
              <w:autoSpaceDE w:val="0"/>
              <w:autoSpaceDN w:val="0"/>
              <w:adjustRightInd w:val="0"/>
              <w:contextualSpacing/>
              <w:jc w:val="right"/>
              <w:rPr>
                <w:rFonts w:ascii="Verdana" w:hAnsi="Verdana"/>
                <w:sz w:val="18"/>
                <w:szCs w:val="18"/>
              </w:rPr>
            </w:pPr>
            <w:r w:rsidRPr="00493299">
              <w:rPr>
                <w:rFonts w:ascii="Verdana" w:hAnsi="Verdana"/>
                <w:sz w:val="18"/>
                <w:szCs w:val="18"/>
              </w:rPr>
              <w:t>$5.378.370.901</w:t>
            </w:r>
          </w:p>
        </w:tc>
      </w:tr>
      <w:tr w:rsidR="00820E71" w:rsidRPr="00493299" w14:paraId="6923D203" w14:textId="77777777" w:rsidTr="0068230C">
        <w:trPr>
          <w:trHeight w:val="354"/>
          <w:jc w:val="center"/>
        </w:trPr>
        <w:tc>
          <w:tcPr>
            <w:tcW w:w="6658" w:type="dxa"/>
            <w:vAlign w:val="center"/>
          </w:tcPr>
          <w:p w14:paraId="08ED2150" w14:textId="77777777" w:rsidR="00820E71" w:rsidRPr="00493299" w:rsidRDefault="00820E71" w:rsidP="0068230C">
            <w:pPr>
              <w:autoSpaceDE w:val="0"/>
              <w:autoSpaceDN w:val="0"/>
              <w:adjustRightInd w:val="0"/>
              <w:contextualSpacing/>
              <w:jc w:val="both"/>
              <w:rPr>
                <w:rFonts w:ascii="Verdana" w:hAnsi="Verdana"/>
                <w:sz w:val="18"/>
                <w:szCs w:val="18"/>
              </w:rPr>
            </w:pPr>
            <w:r w:rsidRPr="00493299">
              <w:rPr>
                <w:rFonts w:ascii="Verdana" w:hAnsi="Verdana"/>
                <w:sz w:val="18"/>
                <w:szCs w:val="18"/>
              </w:rPr>
              <w:t>Proyecto - La Guajira</w:t>
            </w:r>
          </w:p>
          <w:p w14:paraId="0C239FFB" w14:textId="77777777" w:rsidR="00820E71" w:rsidRPr="00493299" w:rsidRDefault="00820E71" w:rsidP="0068230C">
            <w:pPr>
              <w:autoSpaceDE w:val="0"/>
              <w:autoSpaceDN w:val="0"/>
              <w:adjustRightInd w:val="0"/>
              <w:contextualSpacing/>
              <w:jc w:val="both"/>
              <w:rPr>
                <w:rFonts w:ascii="Verdana" w:hAnsi="Verdana"/>
                <w:sz w:val="18"/>
                <w:szCs w:val="18"/>
              </w:rPr>
            </w:pPr>
            <w:r w:rsidRPr="00493299">
              <w:rPr>
                <w:rFonts w:ascii="Verdana" w:hAnsi="Verdana"/>
                <w:sz w:val="18"/>
                <w:szCs w:val="18"/>
              </w:rPr>
              <w:t>IMPLEMENTACIÓN DE ESTRATEGIAS DE ADAPTACIÓN ECOSISTÉMICA Y DEL HÁBITAT PARA LA RESILIENCIA HÍDRICA EN EL CONTEXTO ACTUAL DE CAMBIO CLIMÁTICO Y GESTIÓN DEL RIESGO EN EL DEPARTAMENTO DE LA GUAJIRA</w:t>
            </w:r>
          </w:p>
        </w:tc>
        <w:tc>
          <w:tcPr>
            <w:tcW w:w="2183" w:type="dxa"/>
            <w:vAlign w:val="center"/>
          </w:tcPr>
          <w:p w14:paraId="4DBD1036" w14:textId="77777777" w:rsidR="00820E71" w:rsidRPr="00493299" w:rsidRDefault="00820E71" w:rsidP="0068230C">
            <w:pPr>
              <w:autoSpaceDE w:val="0"/>
              <w:autoSpaceDN w:val="0"/>
              <w:adjustRightInd w:val="0"/>
              <w:contextualSpacing/>
              <w:jc w:val="right"/>
              <w:rPr>
                <w:rFonts w:ascii="Verdana" w:hAnsi="Verdana"/>
                <w:sz w:val="18"/>
                <w:szCs w:val="18"/>
              </w:rPr>
            </w:pPr>
            <w:r w:rsidRPr="00493299">
              <w:rPr>
                <w:rFonts w:ascii="Verdana" w:hAnsi="Verdana"/>
                <w:sz w:val="18"/>
                <w:szCs w:val="18"/>
              </w:rPr>
              <w:t>$21.782.402.149</w:t>
            </w:r>
          </w:p>
        </w:tc>
      </w:tr>
      <w:tr w:rsidR="00820E71" w:rsidRPr="00493299" w14:paraId="1B53A7B3" w14:textId="77777777" w:rsidTr="0068230C">
        <w:trPr>
          <w:trHeight w:val="154"/>
          <w:jc w:val="center"/>
        </w:trPr>
        <w:tc>
          <w:tcPr>
            <w:tcW w:w="6658" w:type="dxa"/>
            <w:vAlign w:val="center"/>
          </w:tcPr>
          <w:p w14:paraId="1E3CBA99" w14:textId="77777777" w:rsidR="00820E71" w:rsidRPr="00493299" w:rsidRDefault="00820E71" w:rsidP="0068230C">
            <w:pPr>
              <w:autoSpaceDE w:val="0"/>
              <w:autoSpaceDN w:val="0"/>
              <w:adjustRightInd w:val="0"/>
              <w:contextualSpacing/>
              <w:jc w:val="both"/>
              <w:rPr>
                <w:rFonts w:ascii="Verdana" w:hAnsi="Verdana"/>
                <w:sz w:val="18"/>
                <w:szCs w:val="18"/>
              </w:rPr>
            </w:pPr>
            <w:r w:rsidRPr="00493299">
              <w:rPr>
                <w:rFonts w:ascii="Verdana" w:hAnsi="Verdana"/>
                <w:sz w:val="18"/>
                <w:szCs w:val="18"/>
              </w:rPr>
              <w:t>Proyecto Desarrollo Socioeconómico San Benito Abad</w:t>
            </w:r>
          </w:p>
        </w:tc>
        <w:tc>
          <w:tcPr>
            <w:tcW w:w="2183" w:type="dxa"/>
            <w:vAlign w:val="center"/>
          </w:tcPr>
          <w:p w14:paraId="1ACF3C94" w14:textId="77777777" w:rsidR="00820E71" w:rsidRPr="00493299" w:rsidRDefault="00820E71" w:rsidP="0068230C">
            <w:pPr>
              <w:autoSpaceDE w:val="0"/>
              <w:autoSpaceDN w:val="0"/>
              <w:adjustRightInd w:val="0"/>
              <w:contextualSpacing/>
              <w:jc w:val="right"/>
              <w:rPr>
                <w:rFonts w:ascii="Verdana" w:hAnsi="Verdana"/>
                <w:sz w:val="18"/>
                <w:szCs w:val="18"/>
              </w:rPr>
            </w:pPr>
            <w:r w:rsidRPr="00493299">
              <w:rPr>
                <w:rFonts w:ascii="Verdana" w:hAnsi="Verdana"/>
                <w:sz w:val="18"/>
                <w:szCs w:val="18"/>
              </w:rPr>
              <w:t>$23.529.999.656</w:t>
            </w:r>
          </w:p>
        </w:tc>
      </w:tr>
      <w:tr w:rsidR="00820E71" w:rsidRPr="00493299" w14:paraId="7C32DEE1" w14:textId="77777777" w:rsidTr="0068230C">
        <w:trPr>
          <w:trHeight w:val="186"/>
          <w:jc w:val="center"/>
        </w:trPr>
        <w:tc>
          <w:tcPr>
            <w:tcW w:w="6658" w:type="dxa"/>
            <w:vAlign w:val="center"/>
          </w:tcPr>
          <w:p w14:paraId="73553EC3" w14:textId="77777777" w:rsidR="00820E71" w:rsidRPr="00493299" w:rsidRDefault="00820E71" w:rsidP="0068230C">
            <w:pPr>
              <w:autoSpaceDE w:val="0"/>
              <w:autoSpaceDN w:val="0"/>
              <w:adjustRightInd w:val="0"/>
              <w:contextualSpacing/>
              <w:jc w:val="both"/>
              <w:rPr>
                <w:rFonts w:ascii="Verdana" w:hAnsi="Verdana"/>
                <w:sz w:val="18"/>
                <w:szCs w:val="18"/>
              </w:rPr>
            </w:pPr>
            <w:r w:rsidRPr="00493299">
              <w:rPr>
                <w:rFonts w:ascii="Verdana" w:hAnsi="Verdana"/>
                <w:sz w:val="18"/>
                <w:szCs w:val="18"/>
              </w:rPr>
              <w:t xml:space="preserve">Proyecto Desarrollo Socioeconómico Achí </w:t>
            </w:r>
          </w:p>
        </w:tc>
        <w:tc>
          <w:tcPr>
            <w:tcW w:w="2183" w:type="dxa"/>
            <w:vAlign w:val="center"/>
          </w:tcPr>
          <w:p w14:paraId="2855BCA5" w14:textId="77777777" w:rsidR="00820E71" w:rsidRPr="00493299" w:rsidRDefault="00820E71" w:rsidP="0068230C">
            <w:pPr>
              <w:autoSpaceDE w:val="0"/>
              <w:autoSpaceDN w:val="0"/>
              <w:adjustRightInd w:val="0"/>
              <w:contextualSpacing/>
              <w:jc w:val="right"/>
              <w:rPr>
                <w:rFonts w:ascii="Verdana" w:hAnsi="Verdana"/>
                <w:sz w:val="18"/>
                <w:szCs w:val="18"/>
              </w:rPr>
            </w:pPr>
            <w:r w:rsidRPr="00493299">
              <w:rPr>
                <w:rFonts w:ascii="Verdana" w:hAnsi="Verdana"/>
                <w:sz w:val="18"/>
                <w:szCs w:val="18"/>
              </w:rPr>
              <w:t>$30.532.178.225</w:t>
            </w:r>
          </w:p>
        </w:tc>
      </w:tr>
      <w:tr w:rsidR="00820E71" w:rsidRPr="00493299" w14:paraId="2C49D7D1" w14:textId="77777777" w:rsidTr="0068230C">
        <w:trPr>
          <w:trHeight w:val="186"/>
          <w:jc w:val="center"/>
        </w:trPr>
        <w:tc>
          <w:tcPr>
            <w:tcW w:w="6658" w:type="dxa"/>
            <w:vAlign w:val="center"/>
          </w:tcPr>
          <w:p w14:paraId="469D4EE1" w14:textId="77777777" w:rsidR="00820E71" w:rsidRPr="00493299" w:rsidRDefault="00820E71" w:rsidP="0068230C">
            <w:pPr>
              <w:autoSpaceDE w:val="0"/>
              <w:autoSpaceDN w:val="0"/>
              <w:adjustRightInd w:val="0"/>
              <w:contextualSpacing/>
              <w:jc w:val="both"/>
              <w:rPr>
                <w:rFonts w:ascii="Verdana" w:hAnsi="Verdana"/>
                <w:sz w:val="18"/>
                <w:szCs w:val="18"/>
              </w:rPr>
            </w:pPr>
            <w:r w:rsidRPr="00493299">
              <w:rPr>
                <w:rFonts w:ascii="Verdana" w:hAnsi="Verdana"/>
                <w:sz w:val="18"/>
                <w:szCs w:val="18"/>
              </w:rPr>
              <w:t xml:space="preserve">Desarrollo Socioeconómico adaptado pesca, frutales y otros </w:t>
            </w:r>
          </w:p>
        </w:tc>
        <w:tc>
          <w:tcPr>
            <w:tcW w:w="2183" w:type="dxa"/>
            <w:vAlign w:val="center"/>
          </w:tcPr>
          <w:p w14:paraId="1BE7F25F" w14:textId="77777777" w:rsidR="00820E71" w:rsidRPr="00493299" w:rsidRDefault="00820E71" w:rsidP="0068230C">
            <w:pPr>
              <w:autoSpaceDE w:val="0"/>
              <w:autoSpaceDN w:val="0"/>
              <w:adjustRightInd w:val="0"/>
              <w:contextualSpacing/>
              <w:jc w:val="right"/>
              <w:rPr>
                <w:rFonts w:ascii="Verdana" w:hAnsi="Verdana"/>
                <w:sz w:val="18"/>
                <w:szCs w:val="18"/>
              </w:rPr>
            </w:pPr>
            <w:r w:rsidRPr="00493299">
              <w:rPr>
                <w:rFonts w:ascii="Verdana" w:hAnsi="Verdana"/>
                <w:sz w:val="18"/>
                <w:szCs w:val="18"/>
              </w:rPr>
              <w:t>$50.000.000.000</w:t>
            </w:r>
          </w:p>
        </w:tc>
      </w:tr>
      <w:tr w:rsidR="00820E71" w:rsidRPr="00493299" w14:paraId="0DCE0FAA" w14:textId="77777777" w:rsidTr="0068230C">
        <w:trPr>
          <w:trHeight w:val="354"/>
          <w:jc w:val="center"/>
        </w:trPr>
        <w:tc>
          <w:tcPr>
            <w:tcW w:w="6658" w:type="dxa"/>
            <w:vAlign w:val="center"/>
          </w:tcPr>
          <w:p w14:paraId="27E93456" w14:textId="77777777" w:rsidR="00820E71" w:rsidRPr="00493299" w:rsidRDefault="00820E71" w:rsidP="0068230C">
            <w:pPr>
              <w:autoSpaceDE w:val="0"/>
              <w:autoSpaceDN w:val="0"/>
              <w:adjustRightInd w:val="0"/>
              <w:contextualSpacing/>
              <w:jc w:val="both"/>
              <w:rPr>
                <w:rFonts w:ascii="Verdana" w:hAnsi="Verdana"/>
                <w:sz w:val="18"/>
                <w:szCs w:val="18"/>
              </w:rPr>
            </w:pPr>
            <w:r w:rsidRPr="00493299">
              <w:rPr>
                <w:rFonts w:ascii="Verdana" w:hAnsi="Verdana"/>
                <w:sz w:val="18"/>
                <w:szCs w:val="18"/>
              </w:rPr>
              <w:t>Gestión Social 2025</w:t>
            </w:r>
          </w:p>
        </w:tc>
        <w:tc>
          <w:tcPr>
            <w:tcW w:w="2183" w:type="dxa"/>
            <w:vAlign w:val="center"/>
          </w:tcPr>
          <w:p w14:paraId="38897EB1" w14:textId="77777777" w:rsidR="00820E71" w:rsidRPr="00493299" w:rsidRDefault="00820E71" w:rsidP="0068230C">
            <w:pPr>
              <w:autoSpaceDE w:val="0"/>
              <w:autoSpaceDN w:val="0"/>
              <w:adjustRightInd w:val="0"/>
              <w:contextualSpacing/>
              <w:jc w:val="right"/>
              <w:rPr>
                <w:rFonts w:ascii="Verdana" w:hAnsi="Verdana"/>
                <w:sz w:val="18"/>
                <w:szCs w:val="18"/>
              </w:rPr>
            </w:pPr>
            <w:r w:rsidRPr="00493299">
              <w:rPr>
                <w:rFonts w:ascii="Verdana" w:hAnsi="Verdana"/>
                <w:sz w:val="18"/>
                <w:szCs w:val="18"/>
              </w:rPr>
              <w:t>$ 2.825.719.272</w:t>
            </w:r>
          </w:p>
        </w:tc>
      </w:tr>
    </w:tbl>
    <w:p w14:paraId="353BAB8C" w14:textId="41BBF60D" w:rsidR="00820E71" w:rsidRPr="00D37812" w:rsidRDefault="00D37812" w:rsidP="00820E71">
      <w:pPr>
        <w:autoSpaceDE w:val="0"/>
        <w:autoSpaceDN w:val="0"/>
        <w:adjustRightInd w:val="0"/>
        <w:spacing w:after="0" w:line="240" w:lineRule="auto"/>
        <w:contextualSpacing/>
        <w:jc w:val="both"/>
        <w:rPr>
          <w:rFonts w:ascii="Verdana" w:hAnsi="Verdana"/>
          <w:b/>
          <w:bCs/>
          <w:sz w:val="16"/>
          <w:szCs w:val="16"/>
        </w:rPr>
      </w:pPr>
      <w:r>
        <w:rPr>
          <w:rFonts w:ascii="Verdana" w:hAnsi="Verdana"/>
          <w:b/>
          <w:bCs/>
          <w:sz w:val="16"/>
          <w:szCs w:val="16"/>
        </w:rPr>
        <w:t xml:space="preserve">          </w:t>
      </w:r>
      <w:r w:rsidRPr="00D37812">
        <w:rPr>
          <w:rFonts w:ascii="Verdana" w:hAnsi="Verdana"/>
          <w:b/>
          <w:bCs/>
          <w:sz w:val="16"/>
          <w:szCs w:val="16"/>
        </w:rPr>
        <w:t>Fuente de Información: Subgerencia de Regiones</w:t>
      </w:r>
    </w:p>
    <w:p w14:paraId="0BF9F3A1" w14:textId="77777777" w:rsidR="00D37812" w:rsidRDefault="00D37812" w:rsidP="00493299">
      <w:pPr>
        <w:autoSpaceDE w:val="0"/>
        <w:autoSpaceDN w:val="0"/>
        <w:adjustRightInd w:val="0"/>
        <w:spacing w:after="0" w:line="240" w:lineRule="auto"/>
        <w:contextualSpacing/>
        <w:jc w:val="both"/>
        <w:rPr>
          <w:rFonts w:ascii="Verdana" w:hAnsi="Verdana"/>
          <w:b/>
          <w:bCs/>
          <w:sz w:val="22"/>
          <w:szCs w:val="22"/>
        </w:rPr>
      </w:pPr>
    </w:p>
    <w:p w14:paraId="4D30FBF1" w14:textId="62DB23D1" w:rsidR="00820E71" w:rsidRPr="00493299" w:rsidRDefault="00820E71" w:rsidP="00493299">
      <w:pPr>
        <w:autoSpaceDE w:val="0"/>
        <w:autoSpaceDN w:val="0"/>
        <w:adjustRightInd w:val="0"/>
        <w:spacing w:after="0" w:line="240" w:lineRule="auto"/>
        <w:contextualSpacing/>
        <w:jc w:val="both"/>
        <w:rPr>
          <w:rFonts w:ascii="Verdana" w:hAnsi="Verdana"/>
          <w:sz w:val="22"/>
          <w:szCs w:val="22"/>
        </w:rPr>
      </w:pPr>
      <w:r w:rsidRPr="00493299">
        <w:rPr>
          <w:rFonts w:ascii="Verdana" w:hAnsi="Verdana"/>
          <w:b/>
          <w:bCs/>
          <w:sz w:val="22"/>
          <w:szCs w:val="22"/>
        </w:rPr>
        <w:t>Nota:</w:t>
      </w:r>
      <w:r w:rsidRPr="00493299">
        <w:rPr>
          <w:rFonts w:ascii="Verdana" w:hAnsi="Verdana"/>
          <w:sz w:val="22"/>
          <w:szCs w:val="22"/>
        </w:rPr>
        <w:t xml:space="preserve"> Para el Desarrollo Socioeconómico de la Recuperación de las Dinámicas Hídricas se tiene planeada una contratación 2024 por $46.648.236.982 con un alcance de los 11 municipios de la región de la Mojana en el marco de las medidas no estructurales. Adicionalmente, las intervenciones implican impactos de tipo social, económico, ambiental. </w:t>
      </w:r>
    </w:p>
    <w:p w14:paraId="6B3E1D79" w14:textId="77777777" w:rsidR="00820E71" w:rsidRPr="00493299" w:rsidRDefault="00820E71" w:rsidP="00493299">
      <w:pPr>
        <w:autoSpaceDE w:val="0"/>
        <w:autoSpaceDN w:val="0"/>
        <w:adjustRightInd w:val="0"/>
        <w:spacing w:before="100" w:beforeAutospacing="1" w:after="100" w:afterAutospacing="1" w:line="240" w:lineRule="auto"/>
        <w:contextualSpacing/>
        <w:jc w:val="both"/>
        <w:rPr>
          <w:rFonts w:ascii="Verdana" w:hAnsi="Verdana"/>
          <w:sz w:val="22"/>
          <w:szCs w:val="22"/>
        </w:rPr>
      </w:pPr>
    </w:p>
    <w:p w14:paraId="30642031" w14:textId="77777777" w:rsidR="00092FC3" w:rsidRPr="00923405" w:rsidRDefault="00092FC3" w:rsidP="00092FC3">
      <w:pPr>
        <w:pStyle w:val="Cierre"/>
        <w:numPr>
          <w:ilvl w:val="0"/>
          <w:numId w:val="14"/>
        </w:numPr>
        <w:spacing w:before="100" w:beforeAutospacing="1" w:after="100" w:afterAutospacing="1"/>
        <w:contextualSpacing/>
        <w:jc w:val="both"/>
        <w:rPr>
          <w:rFonts w:ascii="Verdana" w:hAnsi="Verdana" w:cs="Arial"/>
          <w:b/>
          <w:sz w:val="22"/>
          <w:szCs w:val="22"/>
        </w:rPr>
      </w:pPr>
      <w:r w:rsidRPr="00923405">
        <w:rPr>
          <w:rFonts w:ascii="Verdana" w:hAnsi="Verdana" w:cs="Arial"/>
          <w:b/>
          <w:sz w:val="22"/>
          <w:szCs w:val="22"/>
        </w:rPr>
        <w:t>Sírvase informar y explicar si considera que sus necesidades presupuestales están incluidas en el proyecto de Presupuesto del año 2025.</w:t>
      </w:r>
    </w:p>
    <w:p w14:paraId="0C33BD30" w14:textId="77777777" w:rsidR="00092FC3" w:rsidRPr="00923405" w:rsidRDefault="00092FC3" w:rsidP="00092FC3">
      <w:pPr>
        <w:pStyle w:val="Cierre"/>
        <w:spacing w:before="100" w:beforeAutospacing="1" w:after="100" w:afterAutospacing="1"/>
        <w:contextualSpacing/>
        <w:jc w:val="both"/>
        <w:rPr>
          <w:rFonts w:ascii="Verdana" w:hAnsi="Verdana" w:cs="Arial"/>
          <w:b/>
          <w:sz w:val="22"/>
          <w:szCs w:val="22"/>
        </w:rPr>
      </w:pPr>
    </w:p>
    <w:p w14:paraId="37ED958F" w14:textId="77777777" w:rsidR="00092FC3" w:rsidRPr="00923405" w:rsidRDefault="00092FC3" w:rsidP="00092FC3">
      <w:pPr>
        <w:pStyle w:val="Cierre"/>
        <w:numPr>
          <w:ilvl w:val="0"/>
          <w:numId w:val="17"/>
        </w:numPr>
        <w:spacing w:before="100" w:beforeAutospacing="1" w:after="100" w:afterAutospacing="1"/>
        <w:contextualSpacing/>
        <w:jc w:val="both"/>
        <w:rPr>
          <w:rFonts w:ascii="Verdana" w:hAnsi="Verdana" w:cs="Arial"/>
          <w:b/>
          <w:sz w:val="22"/>
          <w:szCs w:val="22"/>
        </w:rPr>
      </w:pPr>
      <w:r w:rsidRPr="00923405">
        <w:rPr>
          <w:rFonts w:ascii="Verdana" w:hAnsi="Verdana" w:cs="Arial"/>
          <w:b/>
          <w:sz w:val="22"/>
          <w:szCs w:val="22"/>
        </w:rPr>
        <w:t xml:space="preserve">Sírvase indicar valor, monto y destinación de proyectos de inversión y/o gastos de funcionamiento que su respectiva cartera considera que son prioritarios para el logro de los objetivos misionales de la misma, y que no hayan sido incluidos en el proyecto de Presupuesto del año 2025. Sírvase explicitar porque es importante que los mismos sean incluidos en el proyecto de presupuesto. </w:t>
      </w:r>
    </w:p>
    <w:p w14:paraId="308F4E7D" w14:textId="77777777" w:rsidR="00092FC3" w:rsidRPr="00923405" w:rsidRDefault="00092FC3" w:rsidP="00092FC3">
      <w:pPr>
        <w:pStyle w:val="Cierre"/>
        <w:spacing w:before="100" w:beforeAutospacing="1" w:after="100" w:afterAutospacing="1"/>
        <w:contextualSpacing/>
        <w:jc w:val="both"/>
        <w:rPr>
          <w:rFonts w:ascii="Verdana" w:hAnsi="Verdana" w:cs="Arial"/>
          <w:b/>
          <w:sz w:val="22"/>
          <w:szCs w:val="22"/>
        </w:rPr>
      </w:pPr>
    </w:p>
    <w:p w14:paraId="04C2EC74" w14:textId="308208F2" w:rsidR="00092FC3" w:rsidRPr="00923405" w:rsidRDefault="00092FC3" w:rsidP="00092FC3">
      <w:pPr>
        <w:pStyle w:val="Cierre"/>
        <w:spacing w:before="100" w:beforeAutospacing="1" w:after="27" w:afterAutospacing="1"/>
        <w:ind w:left="0"/>
        <w:contextualSpacing/>
        <w:jc w:val="both"/>
        <w:rPr>
          <w:rFonts w:ascii="Verdana" w:hAnsi="Verdana" w:cs="Arial"/>
          <w:b/>
          <w:bCs/>
          <w:sz w:val="22"/>
          <w:szCs w:val="22"/>
        </w:rPr>
      </w:pPr>
      <w:r w:rsidRPr="00923405">
        <w:rPr>
          <w:rFonts w:ascii="Verdana" w:hAnsi="Verdana" w:cs="Arial"/>
          <w:b/>
          <w:bCs/>
          <w:sz w:val="22"/>
          <w:szCs w:val="22"/>
        </w:rPr>
        <w:t>Respuesta</w:t>
      </w:r>
      <w:r w:rsidR="00F05820">
        <w:rPr>
          <w:rFonts w:ascii="Verdana" w:hAnsi="Verdana" w:cs="Arial"/>
          <w:b/>
          <w:bCs/>
          <w:sz w:val="22"/>
          <w:szCs w:val="22"/>
        </w:rPr>
        <w:t>/</w:t>
      </w:r>
    </w:p>
    <w:p w14:paraId="44F5C5DA" w14:textId="77777777" w:rsidR="00092FC3" w:rsidRPr="00923405" w:rsidRDefault="00092FC3" w:rsidP="00092FC3">
      <w:pPr>
        <w:pStyle w:val="Cierre"/>
        <w:spacing w:before="100" w:beforeAutospacing="1" w:after="27" w:afterAutospacing="1"/>
        <w:ind w:left="0"/>
        <w:contextualSpacing/>
        <w:jc w:val="both"/>
        <w:rPr>
          <w:rFonts w:ascii="Verdana" w:hAnsi="Verdana" w:cs="Arial"/>
          <w:b/>
          <w:bCs/>
          <w:sz w:val="22"/>
          <w:szCs w:val="22"/>
        </w:rPr>
      </w:pPr>
    </w:p>
    <w:p w14:paraId="23B42060" w14:textId="6384E3FC" w:rsidR="00092FC3" w:rsidRPr="00923405" w:rsidRDefault="00092FC3" w:rsidP="00092FC3">
      <w:pPr>
        <w:pStyle w:val="Cierre"/>
        <w:spacing w:before="100" w:beforeAutospacing="1" w:after="27" w:afterAutospacing="1"/>
        <w:ind w:left="0"/>
        <w:contextualSpacing/>
        <w:jc w:val="both"/>
        <w:rPr>
          <w:rFonts w:ascii="Verdana" w:hAnsi="Verdana" w:cs="Arial"/>
          <w:bCs/>
          <w:sz w:val="22"/>
          <w:szCs w:val="22"/>
        </w:rPr>
      </w:pPr>
      <w:r w:rsidRPr="00923405">
        <w:rPr>
          <w:rFonts w:ascii="Verdana" w:hAnsi="Verdana" w:cs="Arial"/>
          <w:bCs/>
          <w:sz w:val="22"/>
          <w:szCs w:val="22"/>
        </w:rPr>
        <w:t>En el proyecto de presupuesto de 2025</w:t>
      </w:r>
      <w:r w:rsidR="00493299">
        <w:rPr>
          <w:rFonts w:ascii="Verdana" w:hAnsi="Verdana" w:cs="Arial"/>
          <w:bCs/>
          <w:sz w:val="22"/>
          <w:szCs w:val="22"/>
        </w:rPr>
        <w:t>,</w:t>
      </w:r>
      <w:r w:rsidRPr="00923405">
        <w:rPr>
          <w:rFonts w:ascii="Verdana" w:hAnsi="Verdana" w:cs="Arial"/>
          <w:bCs/>
          <w:sz w:val="22"/>
          <w:szCs w:val="22"/>
        </w:rPr>
        <w:t xml:space="preserve"> no han sido incluidas las siguientes necesidades de recursos por </w:t>
      </w:r>
      <w:r w:rsidRPr="00923405">
        <w:rPr>
          <w:rFonts w:ascii="Verdana" w:hAnsi="Verdana" w:cs="Arial"/>
          <w:b/>
          <w:sz w:val="22"/>
          <w:szCs w:val="22"/>
        </w:rPr>
        <w:t>$834.165 millones</w:t>
      </w:r>
      <w:r w:rsidRPr="00923405">
        <w:rPr>
          <w:rFonts w:ascii="Verdana" w:hAnsi="Verdana" w:cs="Arial"/>
          <w:bCs/>
          <w:sz w:val="22"/>
          <w:szCs w:val="22"/>
        </w:rPr>
        <w:t xml:space="preserve">: </w:t>
      </w:r>
    </w:p>
    <w:p w14:paraId="504AD718" w14:textId="77777777" w:rsidR="00092FC3" w:rsidRPr="00493299" w:rsidRDefault="00092FC3" w:rsidP="00092FC3">
      <w:pPr>
        <w:pStyle w:val="Cierre"/>
        <w:spacing w:before="100" w:beforeAutospacing="1" w:after="100" w:afterAutospacing="1"/>
        <w:contextualSpacing/>
        <w:jc w:val="both"/>
        <w:rPr>
          <w:rFonts w:ascii="Verdana" w:hAnsi="Verdana" w:cs="Arial"/>
          <w:b/>
          <w:sz w:val="16"/>
          <w:szCs w:val="16"/>
        </w:rPr>
      </w:pPr>
    </w:p>
    <w:p w14:paraId="622A93DA" w14:textId="77777777" w:rsidR="00092FC3" w:rsidRPr="00493299" w:rsidRDefault="00092FC3" w:rsidP="00092FC3">
      <w:pPr>
        <w:pStyle w:val="Cierre"/>
        <w:spacing w:before="100" w:beforeAutospacing="1" w:after="100" w:afterAutospacing="1"/>
        <w:ind w:left="0"/>
        <w:contextualSpacing/>
        <w:jc w:val="center"/>
        <w:rPr>
          <w:rFonts w:ascii="Verdana" w:hAnsi="Verdana" w:cs="Arial"/>
          <w:b/>
          <w:sz w:val="16"/>
          <w:szCs w:val="16"/>
        </w:rPr>
      </w:pPr>
      <w:r w:rsidRPr="00493299">
        <w:rPr>
          <w:rFonts w:ascii="Verdana" w:hAnsi="Verdana" w:cs="Arial"/>
          <w:b/>
          <w:sz w:val="16"/>
          <w:szCs w:val="16"/>
        </w:rPr>
        <w:t>SECCIÓN PRESUPUESTAL 13-15-00 FONDO ADAPTACIÓN</w:t>
      </w:r>
    </w:p>
    <w:p w14:paraId="1676EDC3" w14:textId="77777777" w:rsidR="00092FC3" w:rsidRPr="00493299" w:rsidRDefault="00092FC3" w:rsidP="00092FC3">
      <w:pPr>
        <w:pStyle w:val="Cierre"/>
        <w:spacing w:before="100" w:beforeAutospacing="1" w:after="100" w:afterAutospacing="1"/>
        <w:ind w:left="0"/>
        <w:contextualSpacing/>
        <w:jc w:val="center"/>
        <w:rPr>
          <w:rFonts w:ascii="Verdana" w:hAnsi="Verdana" w:cs="Arial"/>
          <w:b/>
          <w:sz w:val="16"/>
          <w:szCs w:val="16"/>
        </w:rPr>
      </w:pPr>
      <w:r w:rsidRPr="00493299">
        <w:rPr>
          <w:rFonts w:ascii="Verdana" w:hAnsi="Verdana" w:cs="Arial"/>
          <w:b/>
          <w:sz w:val="16"/>
          <w:szCs w:val="16"/>
        </w:rPr>
        <w:t xml:space="preserve">NECESIDADES PRESUPUESTALES NO INCLUIDAS EN EL PROYECTO DE PRESUPUESTO 2025 </w:t>
      </w:r>
    </w:p>
    <w:p w14:paraId="6B8C03F7" w14:textId="77777777" w:rsidR="00092FC3" w:rsidRPr="00493299" w:rsidRDefault="00092FC3" w:rsidP="00092FC3">
      <w:pPr>
        <w:pStyle w:val="Cierre"/>
        <w:spacing w:before="100" w:beforeAutospacing="1" w:after="100" w:afterAutospacing="1"/>
        <w:ind w:left="0"/>
        <w:contextualSpacing/>
        <w:jc w:val="center"/>
        <w:rPr>
          <w:rFonts w:ascii="Verdana" w:hAnsi="Verdana" w:cs="Arial"/>
          <w:b/>
          <w:sz w:val="16"/>
          <w:szCs w:val="16"/>
        </w:rPr>
      </w:pPr>
    </w:p>
    <w:p w14:paraId="7581086C" w14:textId="77777777" w:rsidR="00092FC3" w:rsidRPr="00493299" w:rsidRDefault="00092FC3" w:rsidP="00293D90">
      <w:pPr>
        <w:pStyle w:val="Cierre"/>
        <w:spacing w:before="100" w:beforeAutospacing="1"/>
        <w:ind w:left="0" w:firstLine="720"/>
        <w:contextualSpacing/>
        <w:jc w:val="both"/>
        <w:rPr>
          <w:rFonts w:ascii="Verdana" w:hAnsi="Verdana" w:cs="Arial"/>
          <w:sz w:val="16"/>
          <w:szCs w:val="16"/>
        </w:rPr>
      </w:pPr>
      <w:r w:rsidRPr="00493299">
        <w:rPr>
          <w:rFonts w:ascii="Verdana" w:hAnsi="Verdana" w:cs="Arial"/>
          <w:sz w:val="16"/>
          <w:szCs w:val="16"/>
        </w:rPr>
        <w:t>Cifras en millones</w:t>
      </w:r>
    </w:p>
    <w:tbl>
      <w:tblPr>
        <w:tblW w:w="8645" w:type="dxa"/>
        <w:jc w:val="center"/>
        <w:tblCellMar>
          <w:left w:w="70" w:type="dxa"/>
          <w:right w:w="70" w:type="dxa"/>
        </w:tblCellMar>
        <w:tblLook w:val="04A0" w:firstRow="1" w:lastRow="0" w:firstColumn="1" w:lastColumn="0" w:noHBand="0" w:noVBand="1"/>
      </w:tblPr>
      <w:tblGrid>
        <w:gridCol w:w="5665"/>
        <w:gridCol w:w="2980"/>
      </w:tblGrid>
      <w:tr w:rsidR="00092FC3" w:rsidRPr="00923405" w14:paraId="371BF822" w14:textId="77777777" w:rsidTr="00493299">
        <w:trPr>
          <w:trHeight w:val="765"/>
          <w:jc w:val="center"/>
        </w:trPr>
        <w:tc>
          <w:tcPr>
            <w:tcW w:w="5665" w:type="dxa"/>
            <w:tcBorders>
              <w:top w:val="single" w:sz="4" w:space="0" w:color="auto"/>
              <w:left w:val="single" w:sz="4" w:space="0" w:color="auto"/>
              <w:bottom w:val="single" w:sz="4" w:space="0" w:color="auto"/>
              <w:right w:val="single" w:sz="4" w:space="0" w:color="auto"/>
            </w:tcBorders>
            <w:shd w:val="clear" w:color="auto" w:fill="1F4E79" w:themeFill="accent1" w:themeFillShade="80"/>
            <w:vAlign w:val="center"/>
            <w:hideMark/>
          </w:tcPr>
          <w:p w14:paraId="722D1470" w14:textId="77777777" w:rsidR="00092FC3" w:rsidRPr="00923405" w:rsidRDefault="00092FC3" w:rsidP="0068230C">
            <w:pPr>
              <w:spacing w:after="0" w:line="240" w:lineRule="auto"/>
              <w:jc w:val="center"/>
              <w:rPr>
                <w:rFonts w:ascii="Verdana" w:eastAsia="Times New Roman" w:hAnsi="Verdana"/>
                <w:b/>
                <w:bCs/>
                <w:color w:val="FFFFFF"/>
                <w:sz w:val="20"/>
                <w:szCs w:val="20"/>
              </w:rPr>
            </w:pPr>
            <w:r w:rsidRPr="00923405">
              <w:rPr>
                <w:rFonts w:ascii="Verdana" w:eastAsia="Times New Roman" w:hAnsi="Verdana"/>
                <w:b/>
                <w:bCs/>
                <w:color w:val="FFFFFF"/>
                <w:sz w:val="20"/>
                <w:szCs w:val="20"/>
              </w:rPr>
              <w:t>CONCEPTO</w:t>
            </w:r>
          </w:p>
        </w:tc>
        <w:tc>
          <w:tcPr>
            <w:tcW w:w="2980" w:type="dxa"/>
            <w:tcBorders>
              <w:top w:val="single" w:sz="4" w:space="0" w:color="auto"/>
              <w:left w:val="nil"/>
              <w:bottom w:val="single" w:sz="4" w:space="0" w:color="auto"/>
              <w:right w:val="single" w:sz="4" w:space="0" w:color="auto"/>
            </w:tcBorders>
            <w:shd w:val="clear" w:color="auto" w:fill="1F4E79" w:themeFill="accent1" w:themeFillShade="80"/>
            <w:vAlign w:val="center"/>
            <w:hideMark/>
          </w:tcPr>
          <w:p w14:paraId="4675FA9B" w14:textId="77777777" w:rsidR="00092FC3" w:rsidRPr="00923405" w:rsidRDefault="00092FC3" w:rsidP="0068230C">
            <w:pPr>
              <w:spacing w:after="0" w:line="240" w:lineRule="auto"/>
              <w:jc w:val="center"/>
              <w:rPr>
                <w:rFonts w:ascii="Verdana" w:eastAsia="Times New Roman" w:hAnsi="Verdana"/>
                <w:b/>
                <w:bCs/>
                <w:color w:val="FFFFFF"/>
                <w:sz w:val="20"/>
                <w:szCs w:val="20"/>
              </w:rPr>
            </w:pPr>
            <w:r w:rsidRPr="00923405">
              <w:rPr>
                <w:rFonts w:ascii="Verdana" w:eastAsia="Times New Roman" w:hAnsi="Verdana"/>
                <w:b/>
                <w:bCs/>
                <w:color w:val="FFFFFF"/>
                <w:sz w:val="20"/>
                <w:szCs w:val="20"/>
              </w:rPr>
              <w:t>Necesidades presupuestales no incluidas en el proyecto de presupuesto de 2025</w:t>
            </w:r>
          </w:p>
        </w:tc>
      </w:tr>
      <w:tr w:rsidR="00092FC3" w:rsidRPr="00923405" w14:paraId="46639B02" w14:textId="77777777" w:rsidTr="00493299">
        <w:trPr>
          <w:trHeight w:val="300"/>
          <w:jc w:val="center"/>
        </w:trPr>
        <w:tc>
          <w:tcPr>
            <w:tcW w:w="5665" w:type="dxa"/>
            <w:tcBorders>
              <w:top w:val="nil"/>
              <w:left w:val="single" w:sz="4" w:space="0" w:color="auto"/>
              <w:bottom w:val="single" w:sz="4" w:space="0" w:color="auto"/>
              <w:right w:val="single" w:sz="4" w:space="0" w:color="auto"/>
            </w:tcBorders>
            <w:shd w:val="clear" w:color="auto" w:fill="auto"/>
            <w:vAlign w:val="center"/>
            <w:hideMark/>
          </w:tcPr>
          <w:p w14:paraId="470AF270" w14:textId="77777777" w:rsidR="00092FC3" w:rsidRPr="00923405" w:rsidRDefault="00092FC3" w:rsidP="0068230C">
            <w:pPr>
              <w:spacing w:after="0" w:line="240" w:lineRule="auto"/>
              <w:jc w:val="both"/>
              <w:rPr>
                <w:rFonts w:ascii="Verdana" w:eastAsia="Times New Roman" w:hAnsi="Verdana"/>
                <w:b/>
                <w:bCs/>
                <w:color w:val="000000"/>
                <w:sz w:val="20"/>
                <w:szCs w:val="20"/>
              </w:rPr>
            </w:pPr>
            <w:r w:rsidRPr="00923405">
              <w:rPr>
                <w:rFonts w:ascii="Verdana" w:eastAsia="Times New Roman" w:hAnsi="Verdana"/>
                <w:b/>
                <w:bCs/>
                <w:color w:val="000000"/>
                <w:sz w:val="20"/>
                <w:szCs w:val="20"/>
              </w:rPr>
              <w:t xml:space="preserve"> FUNCIONAMIENTO</w:t>
            </w:r>
          </w:p>
        </w:tc>
        <w:tc>
          <w:tcPr>
            <w:tcW w:w="2980" w:type="dxa"/>
            <w:tcBorders>
              <w:top w:val="nil"/>
              <w:left w:val="nil"/>
              <w:bottom w:val="single" w:sz="4" w:space="0" w:color="auto"/>
              <w:right w:val="single" w:sz="4" w:space="0" w:color="auto"/>
            </w:tcBorders>
            <w:shd w:val="clear" w:color="auto" w:fill="auto"/>
            <w:vAlign w:val="center"/>
            <w:hideMark/>
          </w:tcPr>
          <w:p w14:paraId="0A039479" w14:textId="77777777" w:rsidR="00092FC3" w:rsidRPr="00923405" w:rsidRDefault="00092FC3" w:rsidP="0068230C">
            <w:pPr>
              <w:spacing w:after="0" w:line="240" w:lineRule="auto"/>
              <w:jc w:val="right"/>
              <w:rPr>
                <w:rFonts w:ascii="Verdana" w:eastAsia="Times New Roman" w:hAnsi="Verdana"/>
                <w:b/>
                <w:bCs/>
                <w:color w:val="000000"/>
                <w:sz w:val="20"/>
                <w:szCs w:val="20"/>
              </w:rPr>
            </w:pPr>
            <w:r w:rsidRPr="00923405">
              <w:rPr>
                <w:rFonts w:ascii="Verdana" w:eastAsia="Times New Roman" w:hAnsi="Verdana"/>
                <w:b/>
                <w:bCs/>
                <w:color w:val="000000"/>
                <w:sz w:val="20"/>
                <w:szCs w:val="20"/>
              </w:rPr>
              <w:t>$ 8.256</w:t>
            </w:r>
          </w:p>
        </w:tc>
      </w:tr>
      <w:tr w:rsidR="00092FC3" w:rsidRPr="00923405" w14:paraId="75BD872C" w14:textId="77777777" w:rsidTr="00493299">
        <w:trPr>
          <w:trHeight w:val="300"/>
          <w:jc w:val="center"/>
        </w:trPr>
        <w:tc>
          <w:tcPr>
            <w:tcW w:w="5665" w:type="dxa"/>
            <w:tcBorders>
              <w:top w:val="nil"/>
              <w:left w:val="single" w:sz="4" w:space="0" w:color="auto"/>
              <w:bottom w:val="single" w:sz="4" w:space="0" w:color="auto"/>
              <w:right w:val="single" w:sz="4" w:space="0" w:color="auto"/>
            </w:tcBorders>
            <w:shd w:val="clear" w:color="auto" w:fill="auto"/>
            <w:vAlign w:val="center"/>
            <w:hideMark/>
          </w:tcPr>
          <w:p w14:paraId="763E6647" w14:textId="77777777" w:rsidR="00092FC3" w:rsidRPr="00923405" w:rsidRDefault="00092FC3" w:rsidP="0068230C">
            <w:pPr>
              <w:spacing w:after="0" w:line="240" w:lineRule="auto"/>
              <w:jc w:val="both"/>
              <w:rPr>
                <w:rFonts w:ascii="Verdana" w:eastAsia="Times New Roman" w:hAnsi="Verdana"/>
                <w:b/>
                <w:bCs/>
                <w:color w:val="000000"/>
                <w:sz w:val="20"/>
                <w:szCs w:val="20"/>
              </w:rPr>
            </w:pPr>
            <w:r w:rsidRPr="00923405">
              <w:rPr>
                <w:rFonts w:ascii="Verdana" w:eastAsia="Times New Roman" w:hAnsi="Verdana"/>
                <w:b/>
                <w:bCs/>
                <w:color w:val="000000"/>
                <w:sz w:val="20"/>
                <w:szCs w:val="20"/>
              </w:rPr>
              <w:t>SERVICIO DE LA DEUDA PÚBLICA</w:t>
            </w:r>
          </w:p>
        </w:tc>
        <w:tc>
          <w:tcPr>
            <w:tcW w:w="2980" w:type="dxa"/>
            <w:tcBorders>
              <w:top w:val="nil"/>
              <w:left w:val="nil"/>
              <w:bottom w:val="single" w:sz="4" w:space="0" w:color="auto"/>
              <w:right w:val="single" w:sz="4" w:space="0" w:color="auto"/>
            </w:tcBorders>
            <w:shd w:val="clear" w:color="auto" w:fill="auto"/>
            <w:vAlign w:val="center"/>
            <w:hideMark/>
          </w:tcPr>
          <w:p w14:paraId="52E6A7BB" w14:textId="77777777" w:rsidR="00092FC3" w:rsidRPr="00923405" w:rsidRDefault="00092FC3" w:rsidP="0068230C">
            <w:pPr>
              <w:spacing w:after="0" w:line="240" w:lineRule="auto"/>
              <w:jc w:val="right"/>
              <w:rPr>
                <w:rFonts w:ascii="Verdana" w:eastAsia="Times New Roman" w:hAnsi="Verdana"/>
                <w:b/>
                <w:bCs/>
                <w:color w:val="000000"/>
                <w:sz w:val="20"/>
                <w:szCs w:val="20"/>
              </w:rPr>
            </w:pPr>
            <w:r w:rsidRPr="00923405">
              <w:rPr>
                <w:rFonts w:ascii="Verdana" w:eastAsia="Times New Roman" w:hAnsi="Verdana"/>
                <w:b/>
                <w:bCs/>
                <w:color w:val="000000"/>
                <w:sz w:val="20"/>
                <w:szCs w:val="20"/>
              </w:rPr>
              <w:t>$ 7.918</w:t>
            </w:r>
          </w:p>
        </w:tc>
      </w:tr>
      <w:tr w:rsidR="00092FC3" w:rsidRPr="00923405" w14:paraId="4234577A" w14:textId="77777777" w:rsidTr="00493299">
        <w:trPr>
          <w:trHeight w:val="300"/>
          <w:jc w:val="center"/>
        </w:trPr>
        <w:tc>
          <w:tcPr>
            <w:tcW w:w="5665" w:type="dxa"/>
            <w:tcBorders>
              <w:top w:val="nil"/>
              <w:left w:val="single" w:sz="4" w:space="0" w:color="auto"/>
              <w:bottom w:val="single" w:sz="4" w:space="0" w:color="auto"/>
              <w:right w:val="single" w:sz="4" w:space="0" w:color="auto"/>
            </w:tcBorders>
            <w:shd w:val="clear" w:color="auto" w:fill="auto"/>
            <w:vAlign w:val="center"/>
            <w:hideMark/>
          </w:tcPr>
          <w:p w14:paraId="02F7A5D0" w14:textId="77777777" w:rsidR="00092FC3" w:rsidRPr="00923405" w:rsidRDefault="00092FC3" w:rsidP="0068230C">
            <w:pPr>
              <w:spacing w:after="0" w:line="240" w:lineRule="auto"/>
              <w:jc w:val="both"/>
              <w:rPr>
                <w:rFonts w:ascii="Verdana" w:eastAsia="Times New Roman" w:hAnsi="Verdana"/>
                <w:b/>
                <w:bCs/>
                <w:color w:val="000000"/>
                <w:sz w:val="20"/>
                <w:szCs w:val="20"/>
              </w:rPr>
            </w:pPr>
            <w:r w:rsidRPr="00923405">
              <w:rPr>
                <w:rFonts w:ascii="Verdana" w:eastAsia="Times New Roman" w:hAnsi="Verdana"/>
                <w:b/>
                <w:bCs/>
                <w:color w:val="000000"/>
                <w:sz w:val="20"/>
                <w:szCs w:val="20"/>
              </w:rPr>
              <w:lastRenderedPageBreak/>
              <w:t xml:space="preserve"> INVERSION</w:t>
            </w:r>
          </w:p>
        </w:tc>
        <w:tc>
          <w:tcPr>
            <w:tcW w:w="2980" w:type="dxa"/>
            <w:tcBorders>
              <w:top w:val="nil"/>
              <w:left w:val="nil"/>
              <w:bottom w:val="single" w:sz="4" w:space="0" w:color="auto"/>
              <w:right w:val="single" w:sz="4" w:space="0" w:color="auto"/>
            </w:tcBorders>
            <w:shd w:val="clear" w:color="auto" w:fill="auto"/>
            <w:vAlign w:val="center"/>
            <w:hideMark/>
          </w:tcPr>
          <w:p w14:paraId="71A0D5BB" w14:textId="77777777" w:rsidR="00092FC3" w:rsidRPr="00923405" w:rsidRDefault="00092FC3" w:rsidP="0068230C">
            <w:pPr>
              <w:spacing w:after="0" w:line="240" w:lineRule="auto"/>
              <w:jc w:val="right"/>
              <w:rPr>
                <w:rFonts w:ascii="Verdana" w:eastAsia="Times New Roman" w:hAnsi="Verdana"/>
                <w:b/>
                <w:bCs/>
                <w:color w:val="000000"/>
                <w:sz w:val="20"/>
                <w:szCs w:val="20"/>
              </w:rPr>
            </w:pPr>
            <w:r w:rsidRPr="00923405">
              <w:rPr>
                <w:rFonts w:ascii="Verdana" w:eastAsia="Times New Roman" w:hAnsi="Verdana"/>
                <w:b/>
                <w:bCs/>
                <w:color w:val="000000"/>
                <w:sz w:val="20"/>
                <w:szCs w:val="20"/>
              </w:rPr>
              <w:t>$ 817.991</w:t>
            </w:r>
          </w:p>
        </w:tc>
      </w:tr>
      <w:tr w:rsidR="00092FC3" w:rsidRPr="00923405" w14:paraId="3309833B" w14:textId="77777777" w:rsidTr="00493299">
        <w:trPr>
          <w:trHeight w:val="1020"/>
          <w:jc w:val="center"/>
        </w:trPr>
        <w:tc>
          <w:tcPr>
            <w:tcW w:w="5665" w:type="dxa"/>
            <w:tcBorders>
              <w:top w:val="nil"/>
              <w:left w:val="single" w:sz="4" w:space="0" w:color="auto"/>
              <w:bottom w:val="single" w:sz="4" w:space="0" w:color="auto"/>
              <w:right w:val="single" w:sz="4" w:space="0" w:color="auto"/>
            </w:tcBorders>
            <w:shd w:val="clear" w:color="auto" w:fill="auto"/>
            <w:vAlign w:val="center"/>
            <w:hideMark/>
          </w:tcPr>
          <w:p w14:paraId="6D0CCD7E" w14:textId="77777777" w:rsidR="00092FC3" w:rsidRPr="00923405" w:rsidRDefault="00092FC3" w:rsidP="0068230C">
            <w:pPr>
              <w:spacing w:after="0" w:line="240" w:lineRule="auto"/>
              <w:jc w:val="both"/>
              <w:rPr>
                <w:rFonts w:ascii="Verdana" w:eastAsia="Times New Roman" w:hAnsi="Verdana"/>
                <w:color w:val="000000"/>
                <w:sz w:val="20"/>
                <w:szCs w:val="20"/>
              </w:rPr>
            </w:pPr>
            <w:r w:rsidRPr="00923405">
              <w:rPr>
                <w:rFonts w:ascii="Verdana" w:eastAsia="Times New Roman" w:hAnsi="Verdana"/>
                <w:color w:val="000000"/>
                <w:sz w:val="20"/>
                <w:szCs w:val="20"/>
                <w:lang w:val="es-MX"/>
              </w:rPr>
              <w:t>Implementación de intervenciones para la restauración de las dinámicas ecosistémicas y del hábitat alrededor del agua adaptadas al contexto actual de cambio climático y reducción del riesgo de desastre ante fenómenos de origen hidrometeorológico en la región Pacífica</w:t>
            </w:r>
          </w:p>
        </w:tc>
        <w:tc>
          <w:tcPr>
            <w:tcW w:w="2980" w:type="dxa"/>
            <w:tcBorders>
              <w:top w:val="nil"/>
              <w:left w:val="nil"/>
              <w:bottom w:val="single" w:sz="4" w:space="0" w:color="auto"/>
              <w:right w:val="single" w:sz="4" w:space="0" w:color="auto"/>
            </w:tcBorders>
            <w:shd w:val="clear" w:color="auto" w:fill="auto"/>
            <w:vAlign w:val="center"/>
            <w:hideMark/>
          </w:tcPr>
          <w:p w14:paraId="1F344360" w14:textId="77777777" w:rsidR="00092FC3" w:rsidRPr="00923405" w:rsidRDefault="00092FC3" w:rsidP="0068230C">
            <w:pPr>
              <w:spacing w:after="0" w:line="240" w:lineRule="auto"/>
              <w:jc w:val="right"/>
              <w:rPr>
                <w:rFonts w:ascii="Verdana" w:eastAsia="Times New Roman" w:hAnsi="Verdana"/>
                <w:color w:val="000000"/>
                <w:sz w:val="20"/>
                <w:szCs w:val="20"/>
              </w:rPr>
            </w:pPr>
            <w:r w:rsidRPr="00923405">
              <w:rPr>
                <w:rFonts w:ascii="Verdana" w:eastAsia="Times New Roman" w:hAnsi="Verdana"/>
                <w:color w:val="000000"/>
                <w:sz w:val="20"/>
                <w:szCs w:val="20"/>
                <w:lang w:val="es-MX"/>
              </w:rPr>
              <w:t>$ 257.301</w:t>
            </w:r>
          </w:p>
        </w:tc>
      </w:tr>
      <w:tr w:rsidR="00092FC3" w:rsidRPr="00923405" w14:paraId="4F042991" w14:textId="77777777" w:rsidTr="00493299">
        <w:trPr>
          <w:trHeight w:val="765"/>
          <w:jc w:val="center"/>
        </w:trPr>
        <w:tc>
          <w:tcPr>
            <w:tcW w:w="5665" w:type="dxa"/>
            <w:tcBorders>
              <w:top w:val="nil"/>
              <w:left w:val="single" w:sz="4" w:space="0" w:color="auto"/>
              <w:bottom w:val="single" w:sz="4" w:space="0" w:color="auto"/>
              <w:right w:val="single" w:sz="4" w:space="0" w:color="auto"/>
            </w:tcBorders>
            <w:shd w:val="clear" w:color="auto" w:fill="auto"/>
            <w:vAlign w:val="center"/>
            <w:hideMark/>
          </w:tcPr>
          <w:p w14:paraId="0EFC419B" w14:textId="77777777" w:rsidR="00092FC3" w:rsidRPr="00923405" w:rsidRDefault="00092FC3" w:rsidP="0068230C">
            <w:pPr>
              <w:spacing w:after="0" w:line="240" w:lineRule="auto"/>
              <w:jc w:val="both"/>
              <w:rPr>
                <w:rFonts w:ascii="Verdana" w:eastAsia="Times New Roman" w:hAnsi="Verdana"/>
                <w:color w:val="000000"/>
                <w:sz w:val="20"/>
                <w:szCs w:val="20"/>
              </w:rPr>
            </w:pPr>
            <w:r w:rsidRPr="00923405">
              <w:rPr>
                <w:rFonts w:ascii="Verdana" w:eastAsia="Times New Roman" w:hAnsi="Verdana"/>
                <w:color w:val="000000"/>
                <w:sz w:val="20"/>
                <w:szCs w:val="20"/>
                <w:lang w:val="es-MX"/>
              </w:rPr>
              <w:t>Implementación de estrategias de adaptación ecosistémica y del hábitat para la resiliencia hídrica en el contexto actual de cambio climático y gestión del riesgo en el departamento de La Guajira</w:t>
            </w:r>
          </w:p>
        </w:tc>
        <w:tc>
          <w:tcPr>
            <w:tcW w:w="2980" w:type="dxa"/>
            <w:tcBorders>
              <w:top w:val="nil"/>
              <w:left w:val="nil"/>
              <w:bottom w:val="single" w:sz="4" w:space="0" w:color="auto"/>
              <w:right w:val="single" w:sz="4" w:space="0" w:color="auto"/>
            </w:tcBorders>
            <w:shd w:val="clear" w:color="auto" w:fill="auto"/>
            <w:vAlign w:val="center"/>
            <w:hideMark/>
          </w:tcPr>
          <w:p w14:paraId="7E6DA29C" w14:textId="77777777" w:rsidR="00092FC3" w:rsidRPr="00923405" w:rsidRDefault="00092FC3" w:rsidP="0068230C">
            <w:pPr>
              <w:spacing w:after="0" w:line="240" w:lineRule="auto"/>
              <w:jc w:val="right"/>
              <w:rPr>
                <w:rFonts w:ascii="Verdana" w:eastAsia="Times New Roman" w:hAnsi="Verdana"/>
                <w:color w:val="000000"/>
                <w:sz w:val="20"/>
                <w:szCs w:val="20"/>
              </w:rPr>
            </w:pPr>
            <w:r w:rsidRPr="00923405">
              <w:rPr>
                <w:rFonts w:ascii="Verdana" w:eastAsia="Times New Roman" w:hAnsi="Verdana"/>
                <w:color w:val="000000"/>
                <w:sz w:val="20"/>
                <w:szCs w:val="20"/>
                <w:lang w:val="es-MX"/>
              </w:rPr>
              <w:t>$ 205.779</w:t>
            </w:r>
          </w:p>
        </w:tc>
      </w:tr>
      <w:tr w:rsidR="00092FC3" w:rsidRPr="00923405" w14:paraId="3C050349" w14:textId="77777777" w:rsidTr="00493299">
        <w:trPr>
          <w:trHeight w:val="1020"/>
          <w:jc w:val="center"/>
        </w:trPr>
        <w:tc>
          <w:tcPr>
            <w:tcW w:w="5665" w:type="dxa"/>
            <w:tcBorders>
              <w:top w:val="nil"/>
              <w:left w:val="single" w:sz="4" w:space="0" w:color="auto"/>
              <w:bottom w:val="single" w:sz="4" w:space="0" w:color="auto"/>
              <w:right w:val="single" w:sz="4" w:space="0" w:color="auto"/>
            </w:tcBorders>
            <w:shd w:val="clear" w:color="auto" w:fill="auto"/>
            <w:vAlign w:val="center"/>
            <w:hideMark/>
          </w:tcPr>
          <w:p w14:paraId="6DBB72EB" w14:textId="77777777" w:rsidR="00092FC3" w:rsidRPr="00923405" w:rsidRDefault="00092FC3" w:rsidP="0068230C">
            <w:pPr>
              <w:spacing w:after="0" w:line="240" w:lineRule="auto"/>
              <w:jc w:val="both"/>
              <w:rPr>
                <w:rFonts w:ascii="Verdana" w:eastAsia="Times New Roman" w:hAnsi="Verdana"/>
                <w:color w:val="000000"/>
                <w:sz w:val="20"/>
                <w:szCs w:val="20"/>
              </w:rPr>
            </w:pPr>
            <w:r w:rsidRPr="00923405">
              <w:rPr>
                <w:rFonts w:ascii="Verdana" w:eastAsia="Times New Roman" w:hAnsi="Verdana"/>
                <w:color w:val="000000"/>
                <w:sz w:val="20"/>
                <w:szCs w:val="20"/>
                <w:lang w:val="es-MX"/>
              </w:rPr>
              <w:t>Implementación de intervenciones para la restauración de las dinámicas ecosistémicas y del hábitat alrededor del agua adaptadas al contexto actual de cambio climático y reducción del riesgo en la Ciénaga de La Virgen, de la ciudad de Cartagena</w:t>
            </w:r>
          </w:p>
        </w:tc>
        <w:tc>
          <w:tcPr>
            <w:tcW w:w="2980" w:type="dxa"/>
            <w:tcBorders>
              <w:top w:val="nil"/>
              <w:left w:val="nil"/>
              <w:bottom w:val="single" w:sz="4" w:space="0" w:color="auto"/>
              <w:right w:val="single" w:sz="4" w:space="0" w:color="auto"/>
            </w:tcBorders>
            <w:shd w:val="clear" w:color="auto" w:fill="auto"/>
            <w:vAlign w:val="center"/>
            <w:hideMark/>
          </w:tcPr>
          <w:p w14:paraId="4B349A01" w14:textId="77777777" w:rsidR="00092FC3" w:rsidRPr="00923405" w:rsidRDefault="00092FC3" w:rsidP="0068230C">
            <w:pPr>
              <w:spacing w:after="0" w:line="240" w:lineRule="auto"/>
              <w:jc w:val="right"/>
              <w:rPr>
                <w:rFonts w:ascii="Verdana" w:eastAsia="Times New Roman" w:hAnsi="Verdana"/>
                <w:color w:val="000000"/>
                <w:sz w:val="20"/>
                <w:szCs w:val="20"/>
              </w:rPr>
            </w:pPr>
            <w:r w:rsidRPr="00923405">
              <w:rPr>
                <w:rFonts w:ascii="Verdana" w:eastAsia="Times New Roman" w:hAnsi="Verdana"/>
                <w:color w:val="000000"/>
                <w:sz w:val="20"/>
                <w:szCs w:val="20"/>
                <w:lang w:val="es-MX"/>
              </w:rPr>
              <w:t>$ 116.362</w:t>
            </w:r>
          </w:p>
        </w:tc>
      </w:tr>
      <w:tr w:rsidR="00092FC3" w:rsidRPr="00923405" w14:paraId="605204D8" w14:textId="77777777" w:rsidTr="00493299">
        <w:trPr>
          <w:trHeight w:val="300"/>
          <w:jc w:val="center"/>
        </w:trPr>
        <w:tc>
          <w:tcPr>
            <w:tcW w:w="5665" w:type="dxa"/>
            <w:tcBorders>
              <w:top w:val="nil"/>
              <w:left w:val="single" w:sz="4" w:space="0" w:color="auto"/>
              <w:bottom w:val="single" w:sz="4" w:space="0" w:color="auto"/>
              <w:right w:val="single" w:sz="4" w:space="0" w:color="auto"/>
            </w:tcBorders>
            <w:shd w:val="clear" w:color="auto" w:fill="auto"/>
            <w:vAlign w:val="center"/>
            <w:hideMark/>
          </w:tcPr>
          <w:p w14:paraId="275BE914" w14:textId="77777777" w:rsidR="00092FC3" w:rsidRPr="00923405" w:rsidRDefault="00092FC3" w:rsidP="0068230C">
            <w:pPr>
              <w:spacing w:after="0" w:line="240" w:lineRule="auto"/>
              <w:jc w:val="both"/>
              <w:rPr>
                <w:rFonts w:ascii="Verdana" w:eastAsia="Times New Roman" w:hAnsi="Verdana"/>
                <w:color w:val="000000"/>
                <w:sz w:val="20"/>
                <w:szCs w:val="20"/>
              </w:rPr>
            </w:pPr>
            <w:r w:rsidRPr="00923405">
              <w:rPr>
                <w:rFonts w:ascii="Verdana" w:eastAsia="Times New Roman" w:hAnsi="Verdana"/>
                <w:color w:val="000000"/>
                <w:sz w:val="20"/>
                <w:szCs w:val="20"/>
              </w:rPr>
              <w:t>Implementación de medidas de adaptación a la variabilidad climática.</w:t>
            </w:r>
          </w:p>
        </w:tc>
        <w:tc>
          <w:tcPr>
            <w:tcW w:w="2980" w:type="dxa"/>
            <w:tcBorders>
              <w:top w:val="nil"/>
              <w:left w:val="nil"/>
              <w:bottom w:val="single" w:sz="4" w:space="0" w:color="auto"/>
              <w:right w:val="single" w:sz="4" w:space="0" w:color="auto"/>
            </w:tcBorders>
            <w:shd w:val="clear" w:color="auto" w:fill="auto"/>
            <w:vAlign w:val="center"/>
            <w:hideMark/>
          </w:tcPr>
          <w:p w14:paraId="0C096AC7" w14:textId="77777777" w:rsidR="00092FC3" w:rsidRPr="00923405" w:rsidRDefault="00092FC3" w:rsidP="0068230C">
            <w:pPr>
              <w:spacing w:after="0" w:line="240" w:lineRule="auto"/>
              <w:jc w:val="right"/>
              <w:rPr>
                <w:rFonts w:ascii="Verdana" w:eastAsia="Times New Roman" w:hAnsi="Verdana"/>
                <w:color w:val="000000"/>
                <w:sz w:val="20"/>
                <w:szCs w:val="20"/>
              </w:rPr>
            </w:pPr>
            <w:r w:rsidRPr="00923405">
              <w:rPr>
                <w:rFonts w:ascii="Verdana" w:eastAsia="Times New Roman" w:hAnsi="Verdana"/>
                <w:color w:val="000000"/>
                <w:sz w:val="20"/>
                <w:szCs w:val="20"/>
              </w:rPr>
              <w:t>$ 103.230</w:t>
            </w:r>
          </w:p>
        </w:tc>
      </w:tr>
      <w:tr w:rsidR="00092FC3" w:rsidRPr="00923405" w14:paraId="7098128A" w14:textId="77777777" w:rsidTr="00293D90">
        <w:trPr>
          <w:trHeight w:val="510"/>
          <w:jc w:val="center"/>
        </w:trPr>
        <w:tc>
          <w:tcPr>
            <w:tcW w:w="5665" w:type="dxa"/>
            <w:tcBorders>
              <w:top w:val="nil"/>
              <w:left w:val="single" w:sz="4" w:space="0" w:color="auto"/>
              <w:bottom w:val="single" w:sz="4" w:space="0" w:color="auto"/>
              <w:right w:val="single" w:sz="4" w:space="0" w:color="auto"/>
            </w:tcBorders>
            <w:shd w:val="clear" w:color="auto" w:fill="auto"/>
            <w:vAlign w:val="center"/>
            <w:hideMark/>
          </w:tcPr>
          <w:p w14:paraId="4590C748" w14:textId="77777777" w:rsidR="00092FC3" w:rsidRPr="00923405" w:rsidRDefault="00092FC3" w:rsidP="0068230C">
            <w:pPr>
              <w:spacing w:after="0" w:line="240" w:lineRule="auto"/>
              <w:jc w:val="both"/>
              <w:rPr>
                <w:rFonts w:ascii="Verdana" w:eastAsia="Times New Roman" w:hAnsi="Verdana"/>
                <w:color w:val="000000"/>
                <w:sz w:val="20"/>
                <w:szCs w:val="20"/>
              </w:rPr>
            </w:pPr>
            <w:r w:rsidRPr="00923405">
              <w:rPr>
                <w:rFonts w:ascii="Verdana" w:eastAsia="Times New Roman" w:hAnsi="Verdana"/>
                <w:color w:val="000000"/>
                <w:sz w:val="20"/>
                <w:szCs w:val="20"/>
              </w:rPr>
              <w:t>Reconstrucción de zonas e infraestructuras afectadas por la ocurrencia del fenómeno de La Niña 2010-2011.</w:t>
            </w:r>
          </w:p>
        </w:tc>
        <w:tc>
          <w:tcPr>
            <w:tcW w:w="2980" w:type="dxa"/>
            <w:tcBorders>
              <w:top w:val="nil"/>
              <w:left w:val="nil"/>
              <w:bottom w:val="single" w:sz="4" w:space="0" w:color="auto"/>
              <w:right w:val="single" w:sz="4" w:space="0" w:color="auto"/>
            </w:tcBorders>
            <w:shd w:val="clear" w:color="auto" w:fill="auto"/>
            <w:vAlign w:val="center"/>
            <w:hideMark/>
          </w:tcPr>
          <w:p w14:paraId="5E39F5D0" w14:textId="77777777" w:rsidR="00092FC3" w:rsidRPr="00923405" w:rsidRDefault="00092FC3" w:rsidP="0068230C">
            <w:pPr>
              <w:spacing w:after="0" w:line="240" w:lineRule="auto"/>
              <w:jc w:val="right"/>
              <w:rPr>
                <w:rFonts w:ascii="Verdana" w:eastAsia="Times New Roman" w:hAnsi="Verdana"/>
                <w:color w:val="000000"/>
                <w:sz w:val="20"/>
                <w:szCs w:val="20"/>
              </w:rPr>
            </w:pPr>
            <w:r w:rsidRPr="00923405">
              <w:rPr>
                <w:rFonts w:ascii="Verdana" w:eastAsia="Times New Roman" w:hAnsi="Verdana"/>
                <w:color w:val="000000"/>
                <w:sz w:val="20"/>
                <w:szCs w:val="20"/>
              </w:rPr>
              <w:t>$ 135.319</w:t>
            </w:r>
          </w:p>
        </w:tc>
      </w:tr>
      <w:tr w:rsidR="00092FC3" w:rsidRPr="00923405" w14:paraId="7F559475" w14:textId="77777777" w:rsidTr="00293D90">
        <w:trPr>
          <w:trHeight w:val="300"/>
          <w:jc w:val="center"/>
        </w:trPr>
        <w:tc>
          <w:tcPr>
            <w:tcW w:w="5665" w:type="dxa"/>
            <w:tcBorders>
              <w:top w:val="single" w:sz="4" w:space="0" w:color="auto"/>
              <w:left w:val="single" w:sz="4" w:space="0" w:color="auto"/>
              <w:bottom w:val="single" w:sz="4" w:space="0" w:color="auto"/>
              <w:right w:val="single" w:sz="4" w:space="0" w:color="auto"/>
            </w:tcBorders>
            <w:shd w:val="clear" w:color="000000" w:fill="2B4B71"/>
            <w:vAlign w:val="center"/>
            <w:hideMark/>
          </w:tcPr>
          <w:p w14:paraId="150C1A24" w14:textId="77777777" w:rsidR="00092FC3" w:rsidRPr="00493299" w:rsidRDefault="00092FC3" w:rsidP="0068230C">
            <w:pPr>
              <w:spacing w:after="0" w:line="240" w:lineRule="auto"/>
              <w:jc w:val="center"/>
              <w:rPr>
                <w:rFonts w:ascii="Verdana" w:eastAsia="Times New Roman" w:hAnsi="Verdana"/>
                <w:b/>
                <w:bCs/>
                <w:color w:val="FFFFFF"/>
                <w:sz w:val="20"/>
                <w:szCs w:val="20"/>
              </w:rPr>
            </w:pPr>
            <w:r w:rsidRPr="00493299">
              <w:rPr>
                <w:rFonts w:ascii="Verdana" w:eastAsia="Times New Roman" w:hAnsi="Verdana"/>
                <w:b/>
                <w:bCs/>
                <w:color w:val="FFFFFF"/>
                <w:sz w:val="20"/>
                <w:szCs w:val="20"/>
              </w:rPr>
              <w:t>TOTAL</w:t>
            </w:r>
          </w:p>
        </w:tc>
        <w:tc>
          <w:tcPr>
            <w:tcW w:w="2980" w:type="dxa"/>
            <w:tcBorders>
              <w:top w:val="single" w:sz="4" w:space="0" w:color="auto"/>
              <w:left w:val="nil"/>
              <w:bottom w:val="single" w:sz="4" w:space="0" w:color="auto"/>
              <w:right w:val="single" w:sz="4" w:space="0" w:color="auto"/>
            </w:tcBorders>
            <w:shd w:val="clear" w:color="000000" w:fill="2B4B71"/>
            <w:vAlign w:val="center"/>
            <w:hideMark/>
          </w:tcPr>
          <w:p w14:paraId="0C53A109" w14:textId="77777777" w:rsidR="00092FC3" w:rsidRPr="00493299" w:rsidRDefault="00092FC3" w:rsidP="0068230C">
            <w:pPr>
              <w:spacing w:after="0" w:line="240" w:lineRule="auto"/>
              <w:jc w:val="right"/>
              <w:rPr>
                <w:rFonts w:ascii="Verdana" w:eastAsia="Times New Roman" w:hAnsi="Verdana"/>
                <w:b/>
                <w:bCs/>
                <w:color w:val="FFFFFF"/>
                <w:sz w:val="20"/>
                <w:szCs w:val="20"/>
              </w:rPr>
            </w:pPr>
            <w:r w:rsidRPr="00493299">
              <w:rPr>
                <w:rFonts w:ascii="Verdana" w:eastAsia="Times New Roman" w:hAnsi="Verdana"/>
                <w:b/>
                <w:bCs/>
                <w:color w:val="FFFFFF"/>
                <w:sz w:val="20"/>
                <w:szCs w:val="20"/>
              </w:rPr>
              <w:t>$ 834.165</w:t>
            </w:r>
          </w:p>
        </w:tc>
      </w:tr>
    </w:tbl>
    <w:p w14:paraId="112D4391" w14:textId="77777777" w:rsidR="00092FC3" w:rsidRPr="00923405" w:rsidRDefault="00092FC3" w:rsidP="00092FC3">
      <w:pPr>
        <w:pStyle w:val="Cierre"/>
        <w:ind w:left="0"/>
        <w:contextualSpacing/>
        <w:jc w:val="both"/>
        <w:rPr>
          <w:rFonts w:ascii="Verdana" w:hAnsi="Verdana" w:cs="Arial"/>
          <w:b/>
          <w:sz w:val="22"/>
          <w:szCs w:val="22"/>
          <w:u w:val="single"/>
        </w:rPr>
      </w:pPr>
    </w:p>
    <w:p w14:paraId="106A2F37" w14:textId="77777777" w:rsidR="00493299" w:rsidRDefault="00493299" w:rsidP="00092FC3">
      <w:pPr>
        <w:pStyle w:val="Cierre"/>
        <w:ind w:left="0"/>
        <w:contextualSpacing/>
        <w:jc w:val="both"/>
        <w:rPr>
          <w:rFonts w:ascii="Verdana" w:hAnsi="Verdana" w:cs="Arial"/>
          <w:b/>
          <w:sz w:val="22"/>
          <w:szCs w:val="22"/>
          <w:u w:val="single"/>
        </w:rPr>
      </w:pPr>
    </w:p>
    <w:p w14:paraId="1085DD48" w14:textId="2C3BE26D" w:rsidR="00092FC3" w:rsidRPr="00923405" w:rsidRDefault="00092FC3" w:rsidP="00092FC3">
      <w:pPr>
        <w:pStyle w:val="Cierre"/>
        <w:ind w:left="0"/>
        <w:contextualSpacing/>
        <w:jc w:val="both"/>
        <w:rPr>
          <w:rFonts w:ascii="Verdana" w:hAnsi="Verdana" w:cs="Arial"/>
          <w:b/>
          <w:sz w:val="22"/>
          <w:szCs w:val="22"/>
          <w:u w:val="single"/>
        </w:rPr>
      </w:pPr>
      <w:r w:rsidRPr="00923405">
        <w:rPr>
          <w:rFonts w:ascii="Verdana" w:hAnsi="Verdana" w:cs="Arial"/>
          <w:b/>
          <w:sz w:val="22"/>
          <w:szCs w:val="22"/>
          <w:u w:val="single"/>
        </w:rPr>
        <w:t>Funcionamiento</w:t>
      </w:r>
    </w:p>
    <w:p w14:paraId="7A86D132" w14:textId="77777777" w:rsidR="00092FC3" w:rsidRPr="00923405" w:rsidRDefault="00092FC3" w:rsidP="00092FC3">
      <w:pPr>
        <w:spacing w:after="0" w:line="240" w:lineRule="auto"/>
        <w:jc w:val="both"/>
        <w:rPr>
          <w:rFonts w:ascii="Verdana" w:hAnsi="Verdana"/>
          <w:bCs/>
        </w:rPr>
      </w:pPr>
    </w:p>
    <w:p w14:paraId="2114544A" w14:textId="77777777" w:rsidR="00092FC3" w:rsidRPr="00493299" w:rsidRDefault="00092FC3" w:rsidP="00493299">
      <w:pPr>
        <w:spacing w:after="0" w:line="240" w:lineRule="auto"/>
        <w:jc w:val="both"/>
        <w:rPr>
          <w:rFonts w:ascii="Verdana" w:hAnsi="Verdana"/>
          <w:bCs/>
          <w:sz w:val="22"/>
          <w:szCs w:val="22"/>
        </w:rPr>
      </w:pPr>
      <w:r w:rsidRPr="00493299">
        <w:rPr>
          <w:rFonts w:ascii="Verdana" w:hAnsi="Verdana"/>
          <w:bCs/>
          <w:sz w:val="22"/>
          <w:szCs w:val="22"/>
        </w:rPr>
        <w:t>Las necesidades de recursos de Funcionamiento son de $52.690 millones, que comparadas con el Proyecto de Presupuesto 2025, presenta una diferencia de $8.256 millones que corresponden principalmente a la cuenta de Adquisición de Bienes y Servicios para los servicios de Tecnología de Inversión, Gestión Documental y Arrendamiento del inmueble de la Sede de la Entidad.</w:t>
      </w:r>
    </w:p>
    <w:p w14:paraId="23F26EBB" w14:textId="77777777" w:rsidR="00092FC3" w:rsidRPr="00493299" w:rsidRDefault="00092FC3" w:rsidP="00493299">
      <w:pPr>
        <w:spacing w:after="0" w:line="240" w:lineRule="auto"/>
        <w:jc w:val="both"/>
        <w:rPr>
          <w:rFonts w:ascii="Verdana" w:hAnsi="Verdana"/>
          <w:bCs/>
          <w:sz w:val="22"/>
          <w:szCs w:val="22"/>
        </w:rPr>
      </w:pPr>
    </w:p>
    <w:p w14:paraId="268EB93A" w14:textId="77777777" w:rsidR="00092FC3" w:rsidRPr="00493299" w:rsidRDefault="00092FC3" w:rsidP="00493299">
      <w:pPr>
        <w:spacing w:after="0" w:line="240" w:lineRule="auto"/>
        <w:jc w:val="both"/>
        <w:rPr>
          <w:rFonts w:ascii="Verdana" w:hAnsi="Verdana"/>
          <w:bCs/>
          <w:sz w:val="22"/>
          <w:szCs w:val="22"/>
        </w:rPr>
      </w:pPr>
      <w:r w:rsidRPr="00493299">
        <w:rPr>
          <w:rFonts w:ascii="Verdana" w:hAnsi="Verdana"/>
          <w:bCs/>
          <w:sz w:val="22"/>
          <w:szCs w:val="22"/>
        </w:rPr>
        <w:t>Uno de los aspectos para tener en cuenta es en Tecnologías de la Información, toda vez que la Entidad no cuenta con infraestructura propia y por lo tanto los servicios se encuentran tercerizados. Teniendo en cuenta el tipo de información que maneja en la Entidad se priorizaron los servicios en la nube, los cuales tienen un costo por demanda.</w:t>
      </w:r>
    </w:p>
    <w:p w14:paraId="4C64AFE0" w14:textId="77777777" w:rsidR="00092FC3" w:rsidRPr="00493299" w:rsidRDefault="00092FC3" w:rsidP="00493299">
      <w:pPr>
        <w:spacing w:after="0" w:line="240" w:lineRule="auto"/>
        <w:jc w:val="both"/>
        <w:rPr>
          <w:rFonts w:ascii="Verdana" w:hAnsi="Verdana"/>
          <w:bCs/>
          <w:sz w:val="22"/>
          <w:szCs w:val="22"/>
        </w:rPr>
      </w:pPr>
    </w:p>
    <w:p w14:paraId="4DBBFAFE" w14:textId="77777777" w:rsidR="00092FC3" w:rsidRPr="00493299" w:rsidRDefault="00092FC3" w:rsidP="00493299">
      <w:pPr>
        <w:spacing w:after="0" w:line="240" w:lineRule="auto"/>
        <w:jc w:val="both"/>
        <w:rPr>
          <w:rFonts w:ascii="Verdana" w:hAnsi="Verdana"/>
          <w:bCs/>
          <w:sz w:val="22"/>
          <w:szCs w:val="22"/>
        </w:rPr>
      </w:pPr>
      <w:r w:rsidRPr="00493299">
        <w:rPr>
          <w:rFonts w:ascii="Verdana" w:hAnsi="Verdana"/>
          <w:bCs/>
          <w:sz w:val="22"/>
          <w:szCs w:val="22"/>
        </w:rPr>
        <w:t xml:space="preserve">Actualmente se tiene una estrategia </w:t>
      </w:r>
      <w:proofErr w:type="spellStart"/>
      <w:r w:rsidRPr="00493299">
        <w:rPr>
          <w:rFonts w:ascii="Verdana" w:hAnsi="Verdana"/>
          <w:bCs/>
          <w:sz w:val="22"/>
          <w:szCs w:val="22"/>
        </w:rPr>
        <w:t>multinube</w:t>
      </w:r>
      <w:proofErr w:type="spellEnd"/>
      <w:r w:rsidRPr="00493299">
        <w:rPr>
          <w:rFonts w:ascii="Verdana" w:hAnsi="Verdana"/>
          <w:bCs/>
          <w:sz w:val="22"/>
          <w:szCs w:val="22"/>
        </w:rPr>
        <w:t xml:space="preserve"> en donde se mantienen servicios de tecnología  de información en Oracle </w:t>
      </w:r>
      <w:proofErr w:type="spellStart"/>
      <w:r w:rsidRPr="00493299">
        <w:rPr>
          <w:rFonts w:ascii="Verdana" w:hAnsi="Verdana"/>
          <w:bCs/>
          <w:sz w:val="22"/>
          <w:szCs w:val="22"/>
        </w:rPr>
        <w:t>cloud</w:t>
      </w:r>
      <w:proofErr w:type="spellEnd"/>
      <w:r w:rsidRPr="00493299">
        <w:rPr>
          <w:rFonts w:ascii="Verdana" w:hAnsi="Verdana"/>
          <w:bCs/>
          <w:sz w:val="22"/>
          <w:szCs w:val="22"/>
        </w:rPr>
        <w:t xml:space="preserve"> y Google </w:t>
      </w:r>
      <w:proofErr w:type="spellStart"/>
      <w:r w:rsidRPr="00493299">
        <w:rPr>
          <w:rFonts w:ascii="Verdana" w:hAnsi="Verdana"/>
          <w:bCs/>
          <w:sz w:val="22"/>
          <w:szCs w:val="22"/>
        </w:rPr>
        <w:t>cloud</w:t>
      </w:r>
      <w:proofErr w:type="spellEnd"/>
      <w:r w:rsidRPr="00493299">
        <w:rPr>
          <w:rFonts w:ascii="Verdana" w:hAnsi="Verdana"/>
          <w:bCs/>
          <w:sz w:val="22"/>
          <w:szCs w:val="22"/>
        </w:rPr>
        <w:t xml:space="preserve"> </w:t>
      </w:r>
      <w:proofErr w:type="spellStart"/>
      <w:r w:rsidRPr="00493299">
        <w:rPr>
          <w:rFonts w:ascii="Verdana" w:hAnsi="Verdana"/>
          <w:bCs/>
          <w:sz w:val="22"/>
          <w:szCs w:val="22"/>
        </w:rPr>
        <w:t>platform</w:t>
      </w:r>
      <w:proofErr w:type="spellEnd"/>
      <w:r w:rsidRPr="00493299">
        <w:rPr>
          <w:rFonts w:ascii="Verdana" w:hAnsi="Verdana"/>
          <w:bCs/>
          <w:sz w:val="22"/>
          <w:szCs w:val="22"/>
        </w:rPr>
        <w:t xml:space="preserve">, y se amplió el portafolio de servicios utilizando la Inteligencia Artificial y analítica de datos sobre Amazon Web </w:t>
      </w:r>
      <w:proofErr w:type="spellStart"/>
      <w:r w:rsidRPr="00493299">
        <w:rPr>
          <w:rFonts w:ascii="Verdana" w:hAnsi="Verdana"/>
          <w:bCs/>
          <w:sz w:val="22"/>
          <w:szCs w:val="22"/>
        </w:rPr>
        <w:t>Services</w:t>
      </w:r>
      <w:proofErr w:type="spellEnd"/>
      <w:r w:rsidRPr="00493299">
        <w:rPr>
          <w:rFonts w:ascii="Verdana" w:hAnsi="Verdana"/>
          <w:bCs/>
          <w:sz w:val="22"/>
          <w:szCs w:val="22"/>
        </w:rPr>
        <w:t>, lo cual implica la redundancia de  los servicios para proteger los activos de información de la Entidad; en términos de información geográfica con mapas de proyectos e intervenciones realizadas por el Fondo en las diferentes regiones del país, gestión documental e información administrativa financiera.</w:t>
      </w:r>
    </w:p>
    <w:p w14:paraId="3F98BB37" w14:textId="77777777" w:rsidR="00092FC3" w:rsidRPr="00493299" w:rsidRDefault="00092FC3" w:rsidP="00493299">
      <w:pPr>
        <w:spacing w:after="0" w:line="240" w:lineRule="auto"/>
        <w:jc w:val="both"/>
        <w:rPr>
          <w:rFonts w:ascii="Verdana" w:hAnsi="Verdana"/>
          <w:bCs/>
          <w:sz w:val="22"/>
          <w:szCs w:val="22"/>
        </w:rPr>
      </w:pPr>
    </w:p>
    <w:p w14:paraId="6152F7C2" w14:textId="77777777" w:rsidR="00092FC3" w:rsidRPr="00493299" w:rsidRDefault="00092FC3" w:rsidP="00493299">
      <w:pPr>
        <w:spacing w:after="0" w:line="240" w:lineRule="auto"/>
        <w:jc w:val="both"/>
        <w:rPr>
          <w:rFonts w:ascii="Verdana" w:hAnsi="Verdana"/>
          <w:bCs/>
          <w:sz w:val="22"/>
          <w:szCs w:val="22"/>
        </w:rPr>
      </w:pPr>
      <w:r w:rsidRPr="00493299">
        <w:rPr>
          <w:rFonts w:ascii="Verdana" w:hAnsi="Verdana"/>
          <w:bCs/>
          <w:sz w:val="22"/>
          <w:szCs w:val="22"/>
        </w:rPr>
        <w:t xml:space="preserve">Mantener esto implica un costo los cuales serán recurrentes y adicionales a los servicios que actualmente tiene la entidad; se estima que en información documental se va a crecer en un 80%, en cuanto a la información geográfica se requieren análisis multitemporales que implican consumo de procesamiento por demanda en la nube en tiempo real; la plataforma de analítica que se está implementando este año, requiere una mayor </w:t>
      </w:r>
      <w:r w:rsidRPr="00493299">
        <w:rPr>
          <w:rFonts w:ascii="Verdana" w:hAnsi="Verdana"/>
          <w:bCs/>
          <w:sz w:val="22"/>
          <w:szCs w:val="22"/>
        </w:rPr>
        <w:lastRenderedPageBreak/>
        <w:t>capacidad de cómputo y almacenamiento para extrapolar los servicios implementados para La Mojana a todo el país.</w:t>
      </w:r>
    </w:p>
    <w:p w14:paraId="46F7B1F5" w14:textId="77777777" w:rsidR="00092FC3" w:rsidRPr="00493299" w:rsidRDefault="00092FC3" w:rsidP="00493299">
      <w:pPr>
        <w:spacing w:after="0" w:line="240" w:lineRule="auto"/>
        <w:jc w:val="both"/>
        <w:rPr>
          <w:rFonts w:ascii="Verdana" w:hAnsi="Verdana"/>
          <w:bCs/>
          <w:sz w:val="22"/>
          <w:szCs w:val="22"/>
        </w:rPr>
      </w:pPr>
    </w:p>
    <w:p w14:paraId="2772CDBC" w14:textId="77777777" w:rsidR="00092FC3" w:rsidRPr="00493299" w:rsidRDefault="00092FC3" w:rsidP="00493299">
      <w:pPr>
        <w:spacing w:after="0" w:line="240" w:lineRule="auto"/>
        <w:jc w:val="both"/>
        <w:rPr>
          <w:rFonts w:ascii="Verdana" w:hAnsi="Verdana"/>
          <w:bCs/>
          <w:sz w:val="22"/>
          <w:szCs w:val="22"/>
        </w:rPr>
      </w:pPr>
      <w:r w:rsidRPr="00493299">
        <w:rPr>
          <w:rFonts w:ascii="Verdana" w:hAnsi="Verdana"/>
          <w:bCs/>
          <w:sz w:val="22"/>
          <w:szCs w:val="22"/>
        </w:rPr>
        <w:t xml:space="preserve">Otro aspecto importante </w:t>
      </w:r>
      <w:proofErr w:type="gramStart"/>
      <w:r w:rsidRPr="00493299">
        <w:rPr>
          <w:rFonts w:ascii="Verdana" w:hAnsi="Verdana"/>
          <w:bCs/>
          <w:sz w:val="22"/>
          <w:szCs w:val="22"/>
        </w:rPr>
        <w:t>a</w:t>
      </w:r>
      <w:proofErr w:type="gramEnd"/>
      <w:r w:rsidRPr="00493299">
        <w:rPr>
          <w:rFonts w:ascii="Verdana" w:hAnsi="Verdana"/>
          <w:bCs/>
          <w:sz w:val="22"/>
          <w:szCs w:val="22"/>
        </w:rPr>
        <w:t xml:space="preserve"> tener en cuenta es la digitalización e indexación de la información recibida y por recibir de parte de los proyectos misionales, que se proyecta en aproximadamente 500 metros lineales para la vigencia 2025, proceso que se inició en 2024 con el alistamiento de los expedientes, indispensable para el inicio de la actividad. </w:t>
      </w:r>
    </w:p>
    <w:p w14:paraId="7A4B74F1" w14:textId="77777777" w:rsidR="00092FC3" w:rsidRPr="00493299" w:rsidRDefault="00092FC3" w:rsidP="00493299">
      <w:pPr>
        <w:spacing w:after="0" w:line="240" w:lineRule="auto"/>
        <w:jc w:val="both"/>
        <w:rPr>
          <w:rFonts w:ascii="Verdana" w:hAnsi="Verdana"/>
          <w:bCs/>
          <w:sz w:val="22"/>
          <w:szCs w:val="22"/>
        </w:rPr>
      </w:pPr>
    </w:p>
    <w:p w14:paraId="3BD244FA" w14:textId="77777777" w:rsidR="00092FC3" w:rsidRPr="00493299" w:rsidRDefault="00092FC3" w:rsidP="00493299">
      <w:pPr>
        <w:spacing w:after="0" w:line="240" w:lineRule="auto"/>
        <w:jc w:val="both"/>
        <w:rPr>
          <w:rFonts w:ascii="Verdana" w:hAnsi="Verdana"/>
          <w:bCs/>
          <w:sz w:val="22"/>
          <w:szCs w:val="22"/>
        </w:rPr>
      </w:pPr>
      <w:r w:rsidRPr="00493299">
        <w:rPr>
          <w:rFonts w:ascii="Verdana" w:hAnsi="Verdana"/>
          <w:bCs/>
          <w:sz w:val="22"/>
          <w:szCs w:val="22"/>
        </w:rPr>
        <w:t>Así mismo, con ocasión de la vigencia futura aprobada hasta la vigencia 2026 para el Macroproyecto La Mojana, la Entidad se ve en la necesidad de contar con mayor cantidad de funcionarios y colaboradores de forma presencial, lo que implica un cambio de sede en la cual se cuenta con aumento de espacio en metros cuadrados, puestos de trabajo, salas coworking e infraestructura acorde a la regulación normativa que permita dar cumplimiento de la norma NTC10 y tecnología para el racionamiento y buen uso de los servicios públicos.</w:t>
      </w:r>
    </w:p>
    <w:p w14:paraId="0CACF561" w14:textId="77777777" w:rsidR="00092FC3" w:rsidRPr="00923405" w:rsidRDefault="00092FC3" w:rsidP="00092FC3">
      <w:pPr>
        <w:spacing w:after="0" w:line="240" w:lineRule="auto"/>
        <w:jc w:val="both"/>
        <w:rPr>
          <w:rFonts w:ascii="Verdana" w:hAnsi="Verdana"/>
          <w:bCs/>
        </w:rPr>
      </w:pPr>
    </w:p>
    <w:p w14:paraId="624E3372" w14:textId="77777777" w:rsidR="00092FC3" w:rsidRPr="00923405" w:rsidRDefault="00092FC3" w:rsidP="00092FC3">
      <w:pPr>
        <w:spacing w:after="0" w:line="240" w:lineRule="auto"/>
        <w:jc w:val="both"/>
        <w:rPr>
          <w:rFonts w:ascii="Verdana" w:hAnsi="Verdana"/>
          <w:b/>
          <w:u w:val="single"/>
        </w:rPr>
      </w:pPr>
      <w:r w:rsidRPr="00923405">
        <w:rPr>
          <w:rFonts w:ascii="Verdana" w:hAnsi="Verdana"/>
          <w:b/>
          <w:u w:val="single"/>
        </w:rPr>
        <w:t>En cuanto a las necesidades de Inversión</w:t>
      </w:r>
    </w:p>
    <w:p w14:paraId="6D1898DE" w14:textId="77777777" w:rsidR="00092FC3" w:rsidRPr="00923405" w:rsidRDefault="00092FC3" w:rsidP="00092FC3">
      <w:pPr>
        <w:spacing w:after="0" w:line="240" w:lineRule="auto"/>
        <w:jc w:val="both"/>
        <w:rPr>
          <w:rFonts w:ascii="Verdana" w:hAnsi="Verdana"/>
          <w:bCs/>
        </w:rPr>
      </w:pPr>
    </w:p>
    <w:p w14:paraId="63AD7189" w14:textId="77777777" w:rsidR="00092FC3" w:rsidRPr="00493299" w:rsidRDefault="00092FC3" w:rsidP="00493299">
      <w:pPr>
        <w:widowControl w:val="0"/>
        <w:spacing w:after="0" w:line="240" w:lineRule="auto"/>
        <w:jc w:val="both"/>
        <w:rPr>
          <w:rFonts w:ascii="Verdana" w:eastAsia="Verdana" w:hAnsi="Verdana"/>
          <w:sz w:val="22"/>
          <w:szCs w:val="22"/>
        </w:rPr>
      </w:pPr>
      <w:r w:rsidRPr="00493299">
        <w:rPr>
          <w:rFonts w:ascii="Verdana" w:eastAsia="Verdana" w:hAnsi="Verdana"/>
          <w:sz w:val="22"/>
          <w:szCs w:val="22"/>
        </w:rPr>
        <w:t>En el marco del Plan Nacional de Desarrollo 2022-2026 "Colombia Potencia Mundial de La Vida", se ha delineado una estrategia nacional crucial para abordar los desafíos ambientales y territoriales en todo el país. En este contexto, la estrategia denominada "El Ordenamiento Territorial Alrededor del Agua y con Justicia Ambiental" emerge como una respuesta integral a la necesidad de promover la gestión sostenible del recurso hídrico y garantizar la equidad ambiental en los territorios afectados.</w:t>
      </w:r>
    </w:p>
    <w:p w14:paraId="0FE97C66" w14:textId="77777777" w:rsidR="00092FC3" w:rsidRPr="00493299" w:rsidRDefault="00092FC3" w:rsidP="00493299">
      <w:pPr>
        <w:widowControl w:val="0"/>
        <w:spacing w:after="0" w:line="240" w:lineRule="auto"/>
        <w:jc w:val="both"/>
        <w:rPr>
          <w:rFonts w:ascii="Verdana" w:eastAsia="Verdana" w:hAnsi="Verdana"/>
          <w:sz w:val="22"/>
          <w:szCs w:val="22"/>
        </w:rPr>
      </w:pPr>
    </w:p>
    <w:p w14:paraId="0B56108D" w14:textId="77777777" w:rsidR="00092FC3" w:rsidRPr="00493299" w:rsidRDefault="00092FC3" w:rsidP="00493299">
      <w:pPr>
        <w:widowControl w:val="0"/>
        <w:spacing w:after="0" w:line="240" w:lineRule="auto"/>
        <w:jc w:val="both"/>
        <w:rPr>
          <w:rFonts w:ascii="Verdana" w:eastAsia="Verdana" w:hAnsi="Verdana"/>
          <w:sz w:val="22"/>
          <w:szCs w:val="22"/>
        </w:rPr>
      </w:pPr>
      <w:r w:rsidRPr="00493299">
        <w:rPr>
          <w:rFonts w:ascii="Verdana" w:eastAsia="Verdana" w:hAnsi="Verdana"/>
          <w:sz w:val="22"/>
          <w:szCs w:val="22"/>
        </w:rPr>
        <w:t>En este sentido, el Fondo Adaptación ha diseñado una estrategia para el análisis e intervención integral del territorio en cuatro líneas de acción: 1) Diseñar y formular estrategias integrales de intervención adaptadas y para la recuperación de las dinámicas ecosistémicas alrededor del agua en el contexto de cambio climático y gestión del riesgo de desastres, 2) Diseñar e implementar estrategias de restauración ecológica participativa de los ecosistemas y recuperación de servicios ecosistémicos adaptadas al cambio climático y la gestión del riesgo de desastres,  3) Implementar intervenciones para el mejoramiento de la calidad y adaptabilidad del hábitat y medios de vida y 4) Formular estrategias de gobernanza y fortalecimiento de capacidades locales y proponer un modelo de gobernanza territorial para la adaptación climática y fortalecimiento de capacidades locales.</w:t>
      </w:r>
    </w:p>
    <w:p w14:paraId="7FC5AD3D" w14:textId="77777777" w:rsidR="00092FC3" w:rsidRPr="00493299" w:rsidRDefault="00092FC3" w:rsidP="00493299">
      <w:pPr>
        <w:widowControl w:val="0"/>
        <w:spacing w:after="0" w:line="240" w:lineRule="auto"/>
        <w:jc w:val="both"/>
        <w:rPr>
          <w:rFonts w:ascii="Verdana" w:eastAsia="Verdana" w:hAnsi="Verdana"/>
          <w:sz w:val="22"/>
          <w:szCs w:val="22"/>
        </w:rPr>
      </w:pPr>
    </w:p>
    <w:p w14:paraId="5D93E9F4" w14:textId="77777777" w:rsidR="00092FC3" w:rsidRPr="00493299" w:rsidRDefault="00092FC3" w:rsidP="00493299">
      <w:pPr>
        <w:widowControl w:val="0"/>
        <w:spacing w:after="0" w:line="240" w:lineRule="auto"/>
        <w:jc w:val="both"/>
        <w:rPr>
          <w:rFonts w:ascii="Verdana" w:eastAsia="Verdana" w:hAnsi="Verdana"/>
          <w:sz w:val="22"/>
          <w:szCs w:val="22"/>
        </w:rPr>
      </w:pPr>
      <w:r w:rsidRPr="00493299">
        <w:rPr>
          <w:rFonts w:ascii="Verdana" w:eastAsia="Verdana" w:hAnsi="Verdana"/>
          <w:sz w:val="22"/>
          <w:szCs w:val="22"/>
        </w:rPr>
        <w:t>Teniendo en cuenta lo anterior y dentro de la estrategia nacional, se han identificado la Ecorregión del Pacífico, el departamento de la Guajira y la Ciénaga de La Virgen, de la ciudad de Cartagena como áreas prioritarias para la intervención, dada su importancia ambiental, social y económica, así como los desafíos específicos que enfrentan en términos de riesgo de inundación y gestión del agua. En respuesta a estas necesidades, se han propuesto los siguientes proyectos estratégicos de impacto regional:</w:t>
      </w:r>
    </w:p>
    <w:p w14:paraId="0E832BF5" w14:textId="77777777" w:rsidR="00092FC3" w:rsidRPr="00923405" w:rsidRDefault="00092FC3" w:rsidP="00092FC3">
      <w:pPr>
        <w:widowControl w:val="0"/>
        <w:spacing w:after="0" w:line="240" w:lineRule="auto"/>
        <w:jc w:val="both"/>
        <w:rPr>
          <w:rFonts w:ascii="Verdana" w:eastAsia="Verdana" w:hAnsi="Verdana"/>
        </w:rPr>
      </w:pPr>
    </w:p>
    <w:p w14:paraId="593A0236" w14:textId="77777777" w:rsidR="00092FC3" w:rsidRPr="00493299" w:rsidRDefault="00092FC3" w:rsidP="00493299">
      <w:pPr>
        <w:widowControl w:val="0"/>
        <w:spacing w:after="0" w:line="240" w:lineRule="auto"/>
        <w:jc w:val="both"/>
        <w:rPr>
          <w:rFonts w:ascii="Verdana" w:eastAsia="Verdana" w:hAnsi="Verdana"/>
          <w:sz w:val="22"/>
          <w:szCs w:val="22"/>
        </w:rPr>
      </w:pPr>
      <w:r w:rsidRPr="00493299">
        <w:rPr>
          <w:rFonts w:ascii="Verdana" w:eastAsia="Verdana" w:hAnsi="Verdana"/>
          <w:b/>
          <w:sz w:val="22"/>
          <w:szCs w:val="22"/>
        </w:rPr>
        <w:t xml:space="preserve">Implementación de intervenciones para la restauración de las dinámicas ecosistémicas y del hábitat alrededor del agua adaptadas al contexto actual de cambio climático y reducción del riesgo de desastre ante fenómenos de origen hidrometeorológico en la región Pacífica, </w:t>
      </w:r>
      <w:r w:rsidRPr="00493299">
        <w:rPr>
          <w:rFonts w:ascii="Verdana" w:eastAsia="Verdana" w:hAnsi="Verdana"/>
          <w:sz w:val="22"/>
          <w:szCs w:val="22"/>
        </w:rPr>
        <w:t xml:space="preserve">BPIN 202400000000166, con un horizonte de planeación de dos años y un valor total de $384.563 millones. Es importante precisar </w:t>
      </w:r>
      <w:r w:rsidRPr="00493299">
        <w:rPr>
          <w:rFonts w:ascii="Verdana" w:eastAsia="Verdana" w:hAnsi="Verdana"/>
          <w:sz w:val="22"/>
          <w:szCs w:val="22"/>
        </w:rPr>
        <w:lastRenderedPageBreak/>
        <w:t>que este proyecto se encuentra viabilizado técnicamente por el DNP y de acuerdo con su plan de inversión para el año 2025 se requiere la asignación de $257.301 millones.</w:t>
      </w:r>
    </w:p>
    <w:p w14:paraId="2173B1E7" w14:textId="77777777" w:rsidR="00092FC3" w:rsidRPr="00493299" w:rsidRDefault="00092FC3" w:rsidP="00493299">
      <w:pPr>
        <w:widowControl w:val="0"/>
        <w:spacing w:after="0" w:line="240" w:lineRule="auto"/>
        <w:jc w:val="both"/>
        <w:rPr>
          <w:rFonts w:ascii="Verdana" w:eastAsia="Verdana" w:hAnsi="Verdana"/>
          <w:sz w:val="22"/>
          <w:szCs w:val="22"/>
        </w:rPr>
      </w:pPr>
    </w:p>
    <w:p w14:paraId="6E7CAE0D" w14:textId="77777777" w:rsidR="00092FC3" w:rsidRPr="00493299" w:rsidRDefault="00092FC3" w:rsidP="00092FC3">
      <w:pPr>
        <w:widowControl w:val="0"/>
        <w:spacing w:after="0" w:line="240" w:lineRule="auto"/>
        <w:jc w:val="both"/>
        <w:rPr>
          <w:rFonts w:ascii="Verdana" w:eastAsia="Verdana" w:hAnsi="Verdana"/>
          <w:sz w:val="22"/>
          <w:szCs w:val="22"/>
        </w:rPr>
      </w:pPr>
      <w:r w:rsidRPr="00493299">
        <w:rPr>
          <w:rFonts w:ascii="Verdana" w:eastAsia="Verdana" w:hAnsi="Verdana"/>
          <w:b/>
          <w:sz w:val="22"/>
          <w:szCs w:val="22"/>
        </w:rPr>
        <w:t xml:space="preserve">Implementación de estrategias de adaptación ecosistémica y del hábitat para la resiliencia hídrica en el contexto actual de cambio climático y gestión del riesgo en el departamento de La Guajira, </w:t>
      </w:r>
      <w:r w:rsidRPr="00493299">
        <w:rPr>
          <w:rFonts w:ascii="Verdana" w:eastAsia="Verdana" w:hAnsi="Verdana"/>
          <w:sz w:val="22"/>
          <w:szCs w:val="22"/>
        </w:rPr>
        <w:t>BPIN 202400000000172, con un horizonte de planeación de dos años y un valor total de $326.885 millones. Este proyecto también se encuentra viabilizado técnicamente por el DNP y de acuerdo con su plan de inversión para el año 2025 se requiere la asignación de $205.779 millones.</w:t>
      </w:r>
    </w:p>
    <w:p w14:paraId="402E1F56" w14:textId="77777777" w:rsidR="00092FC3" w:rsidRPr="00493299" w:rsidRDefault="00092FC3" w:rsidP="00092FC3">
      <w:pPr>
        <w:widowControl w:val="0"/>
        <w:spacing w:after="0" w:line="240" w:lineRule="auto"/>
        <w:jc w:val="both"/>
        <w:rPr>
          <w:rFonts w:ascii="Verdana" w:eastAsia="Verdana" w:hAnsi="Verdana"/>
          <w:sz w:val="22"/>
          <w:szCs w:val="22"/>
        </w:rPr>
      </w:pPr>
    </w:p>
    <w:p w14:paraId="4474EE66" w14:textId="77777777" w:rsidR="00092FC3" w:rsidRPr="00493299" w:rsidRDefault="00092FC3" w:rsidP="00092FC3">
      <w:pPr>
        <w:widowControl w:val="0"/>
        <w:spacing w:after="0" w:line="240" w:lineRule="auto"/>
        <w:jc w:val="both"/>
        <w:rPr>
          <w:rFonts w:ascii="Verdana" w:eastAsia="Verdana" w:hAnsi="Verdana"/>
          <w:sz w:val="22"/>
          <w:szCs w:val="22"/>
        </w:rPr>
      </w:pPr>
      <w:r w:rsidRPr="00493299">
        <w:rPr>
          <w:rFonts w:ascii="Verdana" w:eastAsia="Verdana" w:hAnsi="Verdana"/>
          <w:b/>
          <w:sz w:val="22"/>
          <w:szCs w:val="22"/>
        </w:rPr>
        <w:t xml:space="preserve">Implementación de intervenciones para la restauración de las dinámicas ecosistémicas y del hábitat alrededor del agua adaptadas al contexto actual de cambio climático y reducción del riesgo en la Ciénaga de La Virgen, de la ciudad de Cartagena, </w:t>
      </w:r>
      <w:r w:rsidRPr="00493299">
        <w:rPr>
          <w:rFonts w:ascii="Verdana" w:eastAsia="Verdana" w:hAnsi="Verdana"/>
          <w:sz w:val="22"/>
          <w:szCs w:val="22"/>
        </w:rPr>
        <w:t>BPIN 202400000000187, con un horizonte de planeación de dos años y un valor total de $136.778 millones. Proyecto viabilizado técnicamente por el DNP y de acuerdo con su plan de inversión para el año 2025 se requiere la asignación de $116.362 millones.</w:t>
      </w:r>
    </w:p>
    <w:p w14:paraId="54EA95D2" w14:textId="77777777" w:rsidR="00092FC3" w:rsidRPr="00493299" w:rsidRDefault="00092FC3" w:rsidP="00092FC3">
      <w:pPr>
        <w:widowControl w:val="0"/>
        <w:spacing w:after="0" w:line="240" w:lineRule="auto"/>
        <w:jc w:val="both"/>
        <w:rPr>
          <w:rFonts w:ascii="Verdana" w:eastAsia="Verdana" w:hAnsi="Verdana"/>
          <w:sz w:val="22"/>
          <w:szCs w:val="22"/>
        </w:rPr>
      </w:pPr>
      <w:r w:rsidRPr="00493299">
        <w:rPr>
          <w:rFonts w:ascii="Verdana" w:eastAsia="Verdana" w:hAnsi="Verdana"/>
          <w:sz w:val="22"/>
          <w:szCs w:val="22"/>
        </w:rPr>
        <w:t>Por otro lado, durante la vigencia 2023 y en concordancia con los ejes y metas del Plan Nacional de Desarrollo Colombia Potencia Mundial de la Vida 2022 – 2026, el Fondo Adaptación presentó los siguientes proyectos de inversión, los cuales cuentan con viabilidad técnica por parte del DNP, sin asignación de recursos:</w:t>
      </w:r>
    </w:p>
    <w:p w14:paraId="4682802A" w14:textId="77777777" w:rsidR="00092FC3" w:rsidRPr="00493299" w:rsidRDefault="00092FC3" w:rsidP="00092FC3">
      <w:pPr>
        <w:widowControl w:val="0"/>
        <w:spacing w:after="0" w:line="240" w:lineRule="auto"/>
        <w:jc w:val="both"/>
        <w:rPr>
          <w:rFonts w:ascii="Verdana" w:eastAsia="Verdana" w:hAnsi="Verdana"/>
          <w:sz w:val="22"/>
          <w:szCs w:val="22"/>
        </w:rPr>
      </w:pPr>
    </w:p>
    <w:p w14:paraId="177BB429" w14:textId="77777777" w:rsidR="00092FC3" w:rsidRPr="00493299" w:rsidRDefault="00092FC3" w:rsidP="00092FC3">
      <w:pPr>
        <w:widowControl w:val="0"/>
        <w:spacing w:after="0" w:line="240" w:lineRule="auto"/>
        <w:jc w:val="both"/>
        <w:rPr>
          <w:rFonts w:ascii="Verdana" w:eastAsia="Verdana" w:hAnsi="Verdana"/>
          <w:sz w:val="22"/>
          <w:szCs w:val="22"/>
        </w:rPr>
      </w:pPr>
      <w:r w:rsidRPr="00493299">
        <w:rPr>
          <w:rFonts w:ascii="Verdana" w:eastAsia="Verdana" w:hAnsi="Verdana"/>
          <w:b/>
          <w:sz w:val="22"/>
          <w:szCs w:val="22"/>
        </w:rPr>
        <w:t>Implementación de medidas de adaptación a la variabilidad climática</w:t>
      </w:r>
      <w:r w:rsidRPr="00493299">
        <w:rPr>
          <w:rFonts w:ascii="Verdana" w:eastAsia="Verdana" w:hAnsi="Verdana"/>
          <w:sz w:val="22"/>
          <w:szCs w:val="22"/>
        </w:rPr>
        <w:t>, BPIN 202300000000330, con el cual muestra una alternativa para la estructuración y ejecución de intervenciones integrales de adaptación a la variabilidad climática para la recuperación ambiental, social, económica y física que permita el desarrollo sostenible y el mejoramiento de las condiciones de vida de la población, acorde con las condiciones mismas de la región. Este proyecto tiene un horizonte de planeación de tres años y un valor de $1.975.095 millones. De acuerdo con su plan de inversión para el año 2025 se requiere la asignación de $103.230 millones.</w:t>
      </w:r>
    </w:p>
    <w:p w14:paraId="7FBB47C1" w14:textId="77777777" w:rsidR="00092FC3" w:rsidRPr="00493299" w:rsidRDefault="00092FC3" w:rsidP="00092FC3">
      <w:pPr>
        <w:widowControl w:val="0"/>
        <w:spacing w:after="0" w:line="240" w:lineRule="auto"/>
        <w:jc w:val="both"/>
        <w:rPr>
          <w:rFonts w:ascii="Verdana" w:eastAsia="Verdana" w:hAnsi="Verdana"/>
          <w:sz w:val="22"/>
          <w:szCs w:val="22"/>
        </w:rPr>
      </w:pPr>
    </w:p>
    <w:p w14:paraId="6603D5A7" w14:textId="62621B33" w:rsidR="00092FC3" w:rsidRPr="00493299" w:rsidRDefault="00092FC3" w:rsidP="00493299">
      <w:pPr>
        <w:widowControl w:val="0"/>
        <w:spacing w:after="0" w:line="240" w:lineRule="auto"/>
        <w:jc w:val="both"/>
        <w:rPr>
          <w:rFonts w:ascii="Verdana" w:eastAsia="Verdana" w:hAnsi="Verdana"/>
          <w:sz w:val="22"/>
          <w:szCs w:val="22"/>
        </w:rPr>
      </w:pPr>
      <w:r w:rsidRPr="00493299">
        <w:rPr>
          <w:rFonts w:ascii="Verdana" w:eastAsia="Verdana" w:hAnsi="Verdana"/>
          <w:b/>
          <w:sz w:val="22"/>
          <w:szCs w:val="22"/>
        </w:rPr>
        <w:t>Reconstrucción de zonas e infraestructuras afectadas por la ocurrencia del fenómeno de la Niña 2010-2011 Nacional</w:t>
      </w:r>
      <w:r w:rsidRPr="00493299">
        <w:rPr>
          <w:rFonts w:ascii="Verdana" w:eastAsia="Verdana" w:hAnsi="Verdana"/>
          <w:sz w:val="22"/>
          <w:szCs w:val="22"/>
        </w:rPr>
        <w:t>, BPIN 202300000000313, con un horizonte de planeación de cinco años y un valor de $4.034.919 millones. De acuerdo con su plan de inversión para el año 2025 se requiere la asignación de $135.319 millones.</w:t>
      </w:r>
    </w:p>
    <w:p w14:paraId="71E40D2F" w14:textId="77777777" w:rsidR="00092FC3" w:rsidRPr="00923405" w:rsidRDefault="00092FC3" w:rsidP="00493299">
      <w:pPr>
        <w:widowControl w:val="0"/>
        <w:tabs>
          <w:tab w:val="left" w:pos="1530"/>
        </w:tabs>
        <w:spacing w:before="1" w:after="0" w:line="240" w:lineRule="auto"/>
        <w:ind w:right="1807"/>
        <w:jc w:val="both"/>
        <w:rPr>
          <w:rFonts w:ascii="Verdana" w:eastAsia="Verdana" w:hAnsi="Verdana" w:cs="Verdana"/>
          <w:b/>
          <w:i/>
          <w:sz w:val="22"/>
          <w:szCs w:val="22"/>
        </w:rPr>
      </w:pPr>
    </w:p>
    <w:p w14:paraId="504ABB9E" w14:textId="77777777" w:rsidR="00092FC3" w:rsidRPr="00923405" w:rsidRDefault="00092FC3" w:rsidP="00493299">
      <w:pPr>
        <w:pStyle w:val="Cierre"/>
        <w:numPr>
          <w:ilvl w:val="0"/>
          <w:numId w:val="18"/>
        </w:numPr>
        <w:contextualSpacing/>
        <w:jc w:val="both"/>
        <w:rPr>
          <w:rFonts w:ascii="Verdana" w:hAnsi="Verdana" w:cs="Arial"/>
          <w:b/>
          <w:sz w:val="22"/>
          <w:szCs w:val="22"/>
        </w:rPr>
      </w:pPr>
      <w:r w:rsidRPr="00923405">
        <w:rPr>
          <w:rFonts w:ascii="Verdana" w:hAnsi="Verdana" w:cs="Arial"/>
          <w:b/>
          <w:sz w:val="22"/>
          <w:szCs w:val="22"/>
        </w:rPr>
        <w:t>Sírvase informar la ejecución presupuestal y resultados misionales de los años 2023 y lo que va corrido del año 2024, por componentes y principales rubros presupuestales o programas, de cada una de las entidades que Usted dirige (por componentes de funcionamiento e inversión los rubros más importantes)</w:t>
      </w:r>
    </w:p>
    <w:p w14:paraId="5E0C817A" w14:textId="77777777" w:rsidR="00092FC3" w:rsidRPr="00923405" w:rsidRDefault="00092FC3" w:rsidP="00092FC3">
      <w:pPr>
        <w:spacing w:after="0" w:line="240" w:lineRule="auto"/>
        <w:rPr>
          <w:rFonts w:ascii="Verdana" w:hAnsi="Verdana"/>
          <w:b/>
        </w:rPr>
      </w:pPr>
    </w:p>
    <w:p w14:paraId="20D0006F" w14:textId="225C73D6" w:rsidR="00092FC3" w:rsidRPr="00F05820" w:rsidRDefault="00092FC3" w:rsidP="00092FC3">
      <w:pPr>
        <w:spacing w:after="0" w:line="240" w:lineRule="auto"/>
        <w:rPr>
          <w:rFonts w:ascii="Verdana" w:hAnsi="Verdana"/>
          <w:b/>
          <w:sz w:val="22"/>
          <w:szCs w:val="22"/>
        </w:rPr>
      </w:pPr>
      <w:r w:rsidRPr="00F05820">
        <w:rPr>
          <w:rFonts w:ascii="Verdana" w:hAnsi="Verdana"/>
          <w:b/>
          <w:sz w:val="22"/>
          <w:szCs w:val="22"/>
        </w:rPr>
        <w:t>Respuesta</w:t>
      </w:r>
      <w:r w:rsidR="00F05820" w:rsidRPr="00F05820">
        <w:rPr>
          <w:rFonts w:ascii="Verdana" w:hAnsi="Verdana"/>
          <w:b/>
          <w:sz w:val="22"/>
          <w:szCs w:val="22"/>
        </w:rPr>
        <w:t>/</w:t>
      </w:r>
    </w:p>
    <w:p w14:paraId="66AD775E" w14:textId="77777777" w:rsidR="00092FC3" w:rsidRPr="00923405" w:rsidRDefault="00092FC3" w:rsidP="00092FC3">
      <w:pPr>
        <w:spacing w:after="0" w:line="240" w:lineRule="auto"/>
        <w:jc w:val="both"/>
        <w:rPr>
          <w:rFonts w:ascii="Verdana" w:hAnsi="Verdana"/>
          <w:bCs/>
        </w:rPr>
      </w:pPr>
    </w:p>
    <w:p w14:paraId="27C93135" w14:textId="77777777" w:rsidR="00092FC3" w:rsidRPr="00493299" w:rsidRDefault="00092FC3" w:rsidP="00092FC3">
      <w:pPr>
        <w:spacing w:after="0" w:line="240" w:lineRule="auto"/>
        <w:jc w:val="both"/>
        <w:rPr>
          <w:rFonts w:ascii="Verdana" w:hAnsi="Verdana"/>
          <w:bCs/>
          <w:sz w:val="22"/>
          <w:szCs w:val="22"/>
        </w:rPr>
      </w:pPr>
      <w:r w:rsidRPr="00493299">
        <w:rPr>
          <w:rFonts w:ascii="Verdana" w:hAnsi="Verdana"/>
          <w:bCs/>
          <w:sz w:val="22"/>
          <w:szCs w:val="22"/>
        </w:rPr>
        <w:t>A continuación, se presenta la información correspondiente a la Entidad:</w:t>
      </w:r>
    </w:p>
    <w:p w14:paraId="6C7192D8" w14:textId="77777777" w:rsidR="00092FC3" w:rsidRPr="00F05820" w:rsidRDefault="00092FC3" w:rsidP="00092FC3">
      <w:pPr>
        <w:spacing w:after="0" w:line="240" w:lineRule="auto"/>
        <w:rPr>
          <w:rFonts w:ascii="Verdana" w:hAnsi="Verdana"/>
          <w:b/>
          <w:sz w:val="22"/>
          <w:szCs w:val="22"/>
          <w:u w:val="single"/>
        </w:rPr>
      </w:pPr>
      <w:bookmarkStart w:id="0" w:name="_Hlk143788008"/>
    </w:p>
    <w:p w14:paraId="5C1B6B71" w14:textId="77777777" w:rsidR="00092FC3" w:rsidRPr="00F05820" w:rsidRDefault="00092FC3" w:rsidP="00092FC3">
      <w:pPr>
        <w:spacing w:after="0" w:line="240" w:lineRule="auto"/>
        <w:rPr>
          <w:rFonts w:ascii="Verdana" w:hAnsi="Verdana"/>
          <w:b/>
          <w:sz w:val="22"/>
          <w:szCs w:val="22"/>
          <w:u w:val="single"/>
        </w:rPr>
      </w:pPr>
      <w:r w:rsidRPr="00F05820">
        <w:rPr>
          <w:rFonts w:ascii="Verdana" w:hAnsi="Verdana"/>
          <w:b/>
          <w:sz w:val="22"/>
          <w:szCs w:val="22"/>
          <w:u w:val="single"/>
        </w:rPr>
        <w:t>Año 2023:</w:t>
      </w:r>
    </w:p>
    <w:p w14:paraId="22F5BB60" w14:textId="77777777" w:rsidR="00092FC3" w:rsidRPr="00923405" w:rsidRDefault="00092FC3" w:rsidP="00092FC3">
      <w:pPr>
        <w:spacing w:after="0" w:line="240" w:lineRule="auto"/>
        <w:rPr>
          <w:rFonts w:ascii="Verdana" w:hAnsi="Verdana"/>
          <w:b/>
          <w:u w:val="single"/>
        </w:rPr>
      </w:pPr>
    </w:p>
    <w:p w14:paraId="482205E0" w14:textId="77777777" w:rsidR="00092FC3" w:rsidRPr="00493299" w:rsidRDefault="00092FC3" w:rsidP="00092FC3">
      <w:pPr>
        <w:spacing w:after="0" w:line="240" w:lineRule="auto"/>
        <w:contextualSpacing/>
        <w:jc w:val="center"/>
        <w:rPr>
          <w:rFonts w:ascii="Verdana" w:hAnsi="Verdana"/>
          <w:b/>
          <w:sz w:val="20"/>
          <w:szCs w:val="20"/>
        </w:rPr>
      </w:pPr>
      <w:r w:rsidRPr="00493299">
        <w:rPr>
          <w:rFonts w:ascii="Verdana" w:hAnsi="Verdana"/>
          <w:b/>
          <w:sz w:val="20"/>
          <w:szCs w:val="20"/>
        </w:rPr>
        <w:lastRenderedPageBreak/>
        <w:t>EJECUCIÓN PRESUPUESTAL FONDO ADAPTACIÓN</w:t>
      </w:r>
    </w:p>
    <w:p w14:paraId="5C483E76" w14:textId="77777777" w:rsidR="00092FC3" w:rsidRPr="00493299" w:rsidRDefault="00092FC3" w:rsidP="00092FC3">
      <w:pPr>
        <w:spacing w:after="0" w:line="240" w:lineRule="auto"/>
        <w:contextualSpacing/>
        <w:jc w:val="center"/>
        <w:rPr>
          <w:rFonts w:ascii="Verdana" w:hAnsi="Verdana"/>
          <w:sz w:val="20"/>
          <w:szCs w:val="20"/>
        </w:rPr>
      </w:pPr>
      <w:r w:rsidRPr="00493299">
        <w:rPr>
          <w:rFonts w:ascii="Verdana" w:hAnsi="Verdana"/>
          <w:b/>
          <w:sz w:val="20"/>
          <w:szCs w:val="20"/>
        </w:rPr>
        <w:t>AÑO 2023 (diciembre)</w:t>
      </w:r>
      <w:r w:rsidRPr="00493299">
        <w:rPr>
          <w:rFonts w:ascii="Verdana" w:hAnsi="Verdana"/>
          <w:sz w:val="20"/>
          <w:szCs w:val="20"/>
        </w:rPr>
        <w:tab/>
      </w:r>
    </w:p>
    <w:p w14:paraId="5A9117C5" w14:textId="77777777" w:rsidR="00092FC3" w:rsidRPr="00923405" w:rsidRDefault="00092FC3" w:rsidP="00092FC3">
      <w:pPr>
        <w:spacing w:after="0" w:line="240" w:lineRule="auto"/>
        <w:contextualSpacing/>
        <w:rPr>
          <w:rFonts w:ascii="Verdana" w:hAnsi="Verdana"/>
          <w:sz w:val="16"/>
          <w:szCs w:val="16"/>
        </w:rPr>
      </w:pPr>
    </w:p>
    <w:tbl>
      <w:tblPr>
        <w:tblW w:w="8845" w:type="dxa"/>
        <w:tblCellMar>
          <w:left w:w="70" w:type="dxa"/>
          <w:right w:w="70" w:type="dxa"/>
        </w:tblCellMar>
        <w:tblLook w:val="04A0" w:firstRow="1" w:lastRow="0" w:firstColumn="1" w:lastColumn="0" w:noHBand="0" w:noVBand="1"/>
      </w:tblPr>
      <w:tblGrid>
        <w:gridCol w:w="1787"/>
        <w:gridCol w:w="1283"/>
        <w:gridCol w:w="1283"/>
        <w:gridCol w:w="1017"/>
        <w:gridCol w:w="1017"/>
        <w:gridCol w:w="1017"/>
        <w:gridCol w:w="1017"/>
        <w:gridCol w:w="1018"/>
      </w:tblGrid>
      <w:tr w:rsidR="00092FC3" w:rsidRPr="00923405" w14:paraId="538359DE" w14:textId="77777777" w:rsidTr="0068230C">
        <w:trPr>
          <w:trHeight w:val="315"/>
        </w:trPr>
        <w:tc>
          <w:tcPr>
            <w:tcW w:w="1515" w:type="dxa"/>
            <w:tcBorders>
              <w:top w:val="nil"/>
              <w:left w:val="nil"/>
              <w:bottom w:val="single" w:sz="8" w:space="0" w:color="auto"/>
              <w:right w:val="nil"/>
            </w:tcBorders>
            <w:shd w:val="clear" w:color="auto" w:fill="auto"/>
            <w:noWrap/>
            <w:vAlign w:val="bottom"/>
            <w:hideMark/>
          </w:tcPr>
          <w:p w14:paraId="0B49D7C8" w14:textId="77777777" w:rsidR="00092FC3" w:rsidRPr="00923405" w:rsidRDefault="00092FC3" w:rsidP="0068230C">
            <w:pPr>
              <w:spacing w:after="0" w:line="240" w:lineRule="auto"/>
              <w:rPr>
                <w:rFonts w:ascii="Verdana" w:eastAsia="Times New Roman" w:hAnsi="Verdana"/>
                <w:color w:val="000000"/>
              </w:rPr>
            </w:pPr>
            <w:r w:rsidRPr="00923405">
              <w:rPr>
                <w:rFonts w:ascii="Verdana" w:eastAsia="Times New Roman" w:hAnsi="Verdana"/>
                <w:color w:val="000000"/>
              </w:rPr>
              <w:t> </w:t>
            </w:r>
          </w:p>
        </w:tc>
        <w:tc>
          <w:tcPr>
            <w:tcW w:w="1119" w:type="dxa"/>
            <w:tcBorders>
              <w:top w:val="nil"/>
              <w:left w:val="nil"/>
              <w:bottom w:val="single" w:sz="8" w:space="0" w:color="auto"/>
              <w:right w:val="nil"/>
            </w:tcBorders>
            <w:shd w:val="clear" w:color="auto" w:fill="auto"/>
            <w:noWrap/>
            <w:vAlign w:val="bottom"/>
            <w:hideMark/>
          </w:tcPr>
          <w:p w14:paraId="2AE7C6C2" w14:textId="77777777" w:rsidR="00092FC3" w:rsidRPr="00923405" w:rsidRDefault="00092FC3" w:rsidP="0068230C">
            <w:pPr>
              <w:spacing w:after="0" w:line="240" w:lineRule="auto"/>
              <w:rPr>
                <w:rFonts w:ascii="Verdana" w:eastAsia="Times New Roman" w:hAnsi="Verdana"/>
                <w:color w:val="000000"/>
              </w:rPr>
            </w:pPr>
            <w:r w:rsidRPr="00923405">
              <w:rPr>
                <w:rFonts w:ascii="Verdana" w:eastAsia="Times New Roman" w:hAnsi="Verdana"/>
                <w:color w:val="000000"/>
              </w:rPr>
              <w:t> </w:t>
            </w:r>
          </w:p>
        </w:tc>
        <w:tc>
          <w:tcPr>
            <w:tcW w:w="1119" w:type="dxa"/>
            <w:tcBorders>
              <w:top w:val="nil"/>
              <w:left w:val="nil"/>
              <w:bottom w:val="single" w:sz="8" w:space="0" w:color="auto"/>
              <w:right w:val="nil"/>
            </w:tcBorders>
            <w:shd w:val="clear" w:color="auto" w:fill="auto"/>
            <w:noWrap/>
            <w:vAlign w:val="bottom"/>
            <w:hideMark/>
          </w:tcPr>
          <w:p w14:paraId="18C0D5AC" w14:textId="77777777" w:rsidR="00092FC3" w:rsidRPr="00923405" w:rsidRDefault="00092FC3" w:rsidP="0068230C">
            <w:pPr>
              <w:spacing w:after="0" w:line="240" w:lineRule="auto"/>
              <w:rPr>
                <w:rFonts w:ascii="Verdana" w:eastAsia="Times New Roman" w:hAnsi="Verdana"/>
                <w:color w:val="000000"/>
              </w:rPr>
            </w:pPr>
            <w:r w:rsidRPr="00923405">
              <w:rPr>
                <w:rFonts w:ascii="Verdana" w:eastAsia="Times New Roman" w:hAnsi="Verdana"/>
                <w:color w:val="000000"/>
              </w:rPr>
              <w:t> </w:t>
            </w:r>
          </w:p>
        </w:tc>
        <w:tc>
          <w:tcPr>
            <w:tcW w:w="1017" w:type="dxa"/>
            <w:tcBorders>
              <w:top w:val="nil"/>
              <w:left w:val="nil"/>
              <w:bottom w:val="single" w:sz="8" w:space="0" w:color="auto"/>
              <w:right w:val="nil"/>
            </w:tcBorders>
            <w:shd w:val="clear" w:color="auto" w:fill="auto"/>
            <w:noWrap/>
            <w:vAlign w:val="bottom"/>
            <w:hideMark/>
          </w:tcPr>
          <w:p w14:paraId="38D1EF1E" w14:textId="77777777" w:rsidR="00092FC3" w:rsidRPr="00923405" w:rsidRDefault="00092FC3" w:rsidP="0068230C">
            <w:pPr>
              <w:spacing w:after="0" w:line="240" w:lineRule="auto"/>
              <w:rPr>
                <w:rFonts w:ascii="Verdana" w:eastAsia="Times New Roman" w:hAnsi="Verdana"/>
                <w:color w:val="000000"/>
              </w:rPr>
            </w:pPr>
            <w:r w:rsidRPr="00923405">
              <w:rPr>
                <w:rFonts w:ascii="Verdana" w:eastAsia="Times New Roman" w:hAnsi="Verdana"/>
                <w:color w:val="000000"/>
              </w:rPr>
              <w:t> </w:t>
            </w:r>
          </w:p>
        </w:tc>
        <w:tc>
          <w:tcPr>
            <w:tcW w:w="1017" w:type="dxa"/>
            <w:tcBorders>
              <w:top w:val="nil"/>
              <w:left w:val="nil"/>
              <w:bottom w:val="single" w:sz="8" w:space="0" w:color="auto"/>
              <w:right w:val="nil"/>
            </w:tcBorders>
            <w:shd w:val="clear" w:color="auto" w:fill="auto"/>
            <w:noWrap/>
            <w:vAlign w:val="bottom"/>
            <w:hideMark/>
          </w:tcPr>
          <w:p w14:paraId="68CF1E40" w14:textId="77777777" w:rsidR="00092FC3" w:rsidRPr="00923405" w:rsidRDefault="00092FC3" w:rsidP="0068230C">
            <w:pPr>
              <w:spacing w:after="0" w:line="240" w:lineRule="auto"/>
              <w:rPr>
                <w:rFonts w:ascii="Verdana" w:eastAsia="Times New Roman" w:hAnsi="Verdana"/>
                <w:color w:val="000000"/>
              </w:rPr>
            </w:pPr>
            <w:r w:rsidRPr="00923405">
              <w:rPr>
                <w:rFonts w:ascii="Verdana" w:eastAsia="Times New Roman" w:hAnsi="Verdana"/>
                <w:color w:val="000000"/>
              </w:rPr>
              <w:t> </w:t>
            </w:r>
          </w:p>
        </w:tc>
        <w:tc>
          <w:tcPr>
            <w:tcW w:w="1017" w:type="dxa"/>
            <w:tcBorders>
              <w:top w:val="nil"/>
              <w:left w:val="nil"/>
              <w:bottom w:val="single" w:sz="8" w:space="0" w:color="auto"/>
              <w:right w:val="nil"/>
            </w:tcBorders>
            <w:shd w:val="clear" w:color="auto" w:fill="auto"/>
            <w:noWrap/>
            <w:vAlign w:val="bottom"/>
            <w:hideMark/>
          </w:tcPr>
          <w:p w14:paraId="6CC85A9C" w14:textId="77777777" w:rsidR="00092FC3" w:rsidRPr="00923405" w:rsidRDefault="00092FC3" w:rsidP="0068230C">
            <w:pPr>
              <w:spacing w:after="0" w:line="240" w:lineRule="auto"/>
              <w:rPr>
                <w:rFonts w:ascii="Verdana" w:eastAsia="Times New Roman" w:hAnsi="Verdana"/>
                <w:color w:val="000000"/>
              </w:rPr>
            </w:pPr>
            <w:r w:rsidRPr="00923405">
              <w:rPr>
                <w:rFonts w:ascii="Verdana" w:eastAsia="Times New Roman" w:hAnsi="Verdana"/>
                <w:color w:val="000000"/>
              </w:rPr>
              <w:t> </w:t>
            </w:r>
          </w:p>
        </w:tc>
        <w:tc>
          <w:tcPr>
            <w:tcW w:w="2035" w:type="dxa"/>
            <w:gridSpan w:val="2"/>
            <w:tcBorders>
              <w:top w:val="nil"/>
              <w:left w:val="nil"/>
              <w:bottom w:val="single" w:sz="8" w:space="0" w:color="auto"/>
              <w:right w:val="nil"/>
            </w:tcBorders>
            <w:shd w:val="clear" w:color="auto" w:fill="auto"/>
            <w:noWrap/>
            <w:vAlign w:val="center"/>
            <w:hideMark/>
          </w:tcPr>
          <w:p w14:paraId="5D48F8F3" w14:textId="77777777" w:rsidR="00092FC3" w:rsidRPr="00923405" w:rsidRDefault="00092FC3" w:rsidP="0068230C">
            <w:pPr>
              <w:spacing w:after="0" w:line="240" w:lineRule="auto"/>
              <w:jc w:val="right"/>
              <w:rPr>
                <w:rFonts w:ascii="Verdana" w:eastAsia="Times New Roman" w:hAnsi="Verdana"/>
                <w:color w:val="000000"/>
                <w:sz w:val="14"/>
                <w:szCs w:val="14"/>
              </w:rPr>
            </w:pPr>
            <w:r w:rsidRPr="00923405">
              <w:rPr>
                <w:rFonts w:ascii="Verdana" w:eastAsia="Times New Roman" w:hAnsi="Verdana"/>
                <w:color w:val="000000"/>
                <w:sz w:val="14"/>
                <w:szCs w:val="14"/>
              </w:rPr>
              <w:t>Cifras en millones</w:t>
            </w:r>
          </w:p>
        </w:tc>
      </w:tr>
      <w:tr w:rsidR="00092FC3" w:rsidRPr="00923405" w14:paraId="471B9DB5" w14:textId="77777777" w:rsidTr="00493299">
        <w:trPr>
          <w:trHeight w:val="315"/>
        </w:trPr>
        <w:tc>
          <w:tcPr>
            <w:tcW w:w="8845" w:type="dxa"/>
            <w:gridSpan w:val="8"/>
            <w:tcBorders>
              <w:top w:val="single" w:sz="8" w:space="0" w:color="auto"/>
              <w:left w:val="single" w:sz="8" w:space="0" w:color="auto"/>
              <w:bottom w:val="single" w:sz="8" w:space="0" w:color="auto"/>
              <w:right w:val="single" w:sz="8" w:space="0" w:color="000000"/>
            </w:tcBorders>
            <w:shd w:val="clear" w:color="auto" w:fill="1F4E79" w:themeFill="accent1" w:themeFillShade="80"/>
            <w:vAlign w:val="center"/>
            <w:hideMark/>
          </w:tcPr>
          <w:p w14:paraId="711B8073" w14:textId="77777777" w:rsidR="00092FC3" w:rsidRPr="00923405" w:rsidRDefault="00092FC3" w:rsidP="0068230C">
            <w:pPr>
              <w:spacing w:after="0" w:line="240" w:lineRule="auto"/>
              <w:jc w:val="center"/>
              <w:rPr>
                <w:rFonts w:ascii="Verdana" w:eastAsia="Times New Roman" w:hAnsi="Verdana"/>
                <w:b/>
                <w:bCs/>
                <w:color w:val="FFFFFF"/>
                <w:sz w:val="14"/>
                <w:szCs w:val="14"/>
              </w:rPr>
            </w:pPr>
            <w:r w:rsidRPr="00923405">
              <w:rPr>
                <w:rFonts w:ascii="Verdana" w:eastAsia="Times New Roman" w:hAnsi="Verdana"/>
                <w:b/>
                <w:bCs/>
                <w:color w:val="FFFFFF"/>
                <w:sz w:val="14"/>
                <w:szCs w:val="14"/>
              </w:rPr>
              <w:t>EJECUCIÓN RESUMEN - FONDO ADAPTACIÓN -AÑO 2023</w:t>
            </w:r>
          </w:p>
        </w:tc>
      </w:tr>
      <w:tr w:rsidR="00092FC3" w:rsidRPr="00923405" w14:paraId="7510E937" w14:textId="77777777" w:rsidTr="00493299">
        <w:trPr>
          <w:trHeight w:val="315"/>
        </w:trPr>
        <w:tc>
          <w:tcPr>
            <w:tcW w:w="1515" w:type="dxa"/>
            <w:vMerge w:val="restart"/>
            <w:tcBorders>
              <w:top w:val="nil"/>
              <w:left w:val="single" w:sz="8" w:space="0" w:color="auto"/>
              <w:bottom w:val="single" w:sz="8" w:space="0" w:color="000000"/>
              <w:right w:val="single" w:sz="8" w:space="0" w:color="auto"/>
            </w:tcBorders>
            <w:shd w:val="clear" w:color="auto" w:fill="1F4E79" w:themeFill="accent1" w:themeFillShade="80"/>
            <w:vAlign w:val="center"/>
            <w:hideMark/>
          </w:tcPr>
          <w:p w14:paraId="097E122F" w14:textId="77777777" w:rsidR="00092FC3" w:rsidRPr="00923405" w:rsidRDefault="00092FC3" w:rsidP="0068230C">
            <w:pPr>
              <w:spacing w:after="0" w:line="240" w:lineRule="auto"/>
              <w:jc w:val="center"/>
              <w:rPr>
                <w:rFonts w:ascii="Verdana" w:eastAsia="Times New Roman" w:hAnsi="Verdana"/>
                <w:b/>
                <w:bCs/>
                <w:color w:val="FFFFFF"/>
                <w:sz w:val="14"/>
                <w:szCs w:val="14"/>
              </w:rPr>
            </w:pPr>
            <w:r w:rsidRPr="00923405">
              <w:rPr>
                <w:rFonts w:ascii="Verdana" w:eastAsia="Times New Roman" w:hAnsi="Verdana"/>
                <w:b/>
                <w:bCs/>
                <w:color w:val="FFFFFF"/>
                <w:sz w:val="14"/>
                <w:szCs w:val="14"/>
              </w:rPr>
              <w:t>CONCEPTO</w:t>
            </w:r>
          </w:p>
        </w:tc>
        <w:tc>
          <w:tcPr>
            <w:tcW w:w="1119" w:type="dxa"/>
            <w:vMerge w:val="restart"/>
            <w:tcBorders>
              <w:top w:val="nil"/>
              <w:left w:val="single" w:sz="8" w:space="0" w:color="auto"/>
              <w:bottom w:val="single" w:sz="8" w:space="0" w:color="000000"/>
              <w:right w:val="single" w:sz="8" w:space="0" w:color="auto"/>
            </w:tcBorders>
            <w:shd w:val="clear" w:color="auto" w:fill="1F4E79" w:themeFill="accent1" w:themeFillShade="80"/>
            <w:vAlign w:val="center"/>
            <w:hideMark/>
          </w:tcPr>
          <w:p w14:paraId="448C37FE" w14:textId="77777777" w:rsidR="00092FC3" w:rsidRPr="00923405" w:rsidRDefault="00092FC3" w:rsidP="0068230C">
            <w:pPr>
              <w:spacing w:after="0" w:line="240" w:lineRule="auto"/>
              <w:jc w:val="center"/>
              <w:rPr>
                <w:rFonts w:ascii="Verdana" w:eastAsia="Times New Roman" w:hAnsi="Verdana"/>
                <w:b/>
                <w:bCs/>
                <w:color w:val="FFFFFF"/>
                <w:sz w:val="14"/>
                <w:szCs w:val="14"/>
              </w:rPr>
            </w:pPr>
            <w:r w:rsidRPr="00923405">
              <w:rPr>
                <w:rFonts w:ascii="Verdana" w:eastAsia="Times New Roman" w:hAnsi="Verdana"/>
                <w:b/>
                <w:bCs/>
                <w:color w:val="FFFFFF"/>
                <w:sz w:val="14"/>
                <w:szCs w:val="14"/>
              </w:rPr>
              <w:t>APROPIACION INICIAL 2023</w:t>
            </w:r>
          </w:p>
        </w:tc>
        <w:tc>
          <w:tcPr>
            <w:tcW w:w="1119" w:type="dxa"/>
            <w:vMerge w:val="restart"/>
            <w:tcBorders>
              <w:top w:val="nil"/>
              <w:left w:val="single" w:sz="8" w:space="0" w:color="auto"/>
              <w:bottom w:val="single" w:sz="8" w:space="0" w:color="000000"/>
              <w:right w:val="single" w:sz="8" w:space="0" w:color="auto"/>
            </w:tcBorders>
            <w:shd w:val="clear" w:color="auto" w:fill="1F4E79" w:themeFill="accent1" w:themeFillShade="80"/>
            <w:vAlign w:val="center"/>
            <w:hideMark/>
          </w:tcPr>
          <w:p w14:paraId="524CD77A" w14:textId="77777777" w:rsidR="00092FC3" w:rsidRPr="00923405" w:rsidRDefault="00092FC3" w:rsidP="0068230C">
            <w:pPr>
              <w:spacing w:after="0" w:line="240" w:lineRule="auto"/>
              <w:jc w:val="center"/>
              <w:rPr>
                <w:rFonts w:ascii="Verdana" w:eastAsia="Times New Roman" w:hAnsi="Verdana"/>
                <w:b/>
                <w:bCs/>
                <w:color w:val="FFFFFF"/>
                <w:sz w:val="14"/>
                <w:szCs w:val="14"/>
              </w:rPr>
            </w:pPr>
            <w:r w:rsidRPr="00923405">
              <w:rPr>
                <w:rFonts w:ascii="Verdana" w:eastAsia="Times New Roman" w:hAnsi="Verdana"/>
                <w:b/>
                <w:bCs/>
                <w:color w:val="FFFFFF"/>
                <w:sz w:val="14"/>
                <w:szCs w:val="14"/>
              </w:rPr>
              <w:t>APROPIACION VIGENTE 2023</w:t>
            </w:r>
          </w:p>
        </w:tc>
        <w:tc>
          <w:tcPr>
            <w:tcW w:w="1017" w:type="dxa"/>
            <w:vMerge w:val="restart"/>
            <w:tcBorders>
              <w:top w:val="nil"/>
              <w:left w:val="single" w:sz="8" w:space="0" w:color="auto"/>
              <w:bottom w:val="single" w:sz="8" w:space="0" w:color="000000"/>
              <w:right w:val="single" w:sz="8" w:space="0" w:color="auto"/>
            </w:tcBorders>
            <w:shd w:val="clear" w:color="auto" w:fill="1F4E79" w:themeFill="accent1" w:themeFillShade="80"/>
            <w:vAlign w:val="center"/>
            <w:hideMark/>
          </w:tcPr>
          <w:p w14:paraId="68F332BE" w14:textId="77777777" w:rsidR="00092FC3" w:rsidRPr="00923405" w:rsidRDefault="00092FC3" w:rsidP="0068230C">
            <w:pPr>
              <w:spacing w:after="0" w:line="240" w:lineRule="auto"/>
              <w:jc w:val="center"/>
              <w:rPr>
                <w:rFonts w:ascii="Verdana" w:eastAsia="Times New Roman" w:hAnsi="Verdana"/>
                <w:b/>
                <w:bCs/>
                <w:color w:val="FFFFFF"/>
                <w:sz w:val="14"/>
                <w:szCs w:val="14"/>
              </w:rPr>
            </w:pPr>
            <w:r w:rsidRPr="00923405">
              <w:rPr>
                <w:rFonts w:ascii="Verdana" w:eastAsia="Times New Roman" w:hAnsi="Verdana"/>
                <w:b/>
                <w:bCs/>
                <w:color w:val="FFFFFF"/>
                <w:sz w:val="14"/>
                <w:szCs w:val="14"/>
              </w:rPr>
              <w:t>% PART.</w:t>
            </w:r>
          </w:p>
        </w:tc>
        <w:tc>
          <w:tcPr>
            <w:tcW w:w="2035" w:type="dxa"/>
            <w:gridSpan w:val="2"/>
            <w:tcBorders>
              <w:top w:val="single" w:sz="8" w:space="0" w:color="auto"/>
              <w:left w:val="nil"/>
              <w:bottom w:val="single" w:sz="8" w:space="0" w:color="auto"/>
              <w:right w:val="single" w:sz="8" w:space="0" w:color="000000"/>
            </w:tcBorders>
            <w:shd w:val="clear" w:color="auto" w:fill="1F4E79" w:themeFill="accent1" w:themeFillShade="80"/>
            <w:vAlign w:val="center"/>
            <w:hideMark/>
          </w:tcPr>
          <w:p w14:paraId="54EE918B" w14:textId="77777777" w:rsidR="00092FC3" w:rsidRPr="00923405" w:rsidRDefault="00092FC3" w:rsidP="0068230C">
            <w:pPr>
              <w:spacing w:after="0" w:line="240" w:lineRule="auto"/>
              <w:jc w:val="center"/>
              <w:rPr>
                <w:rFonts w:ascii="Verdana" w:eastAsia="Times New Roman" w:hAnsi="Verdana"/>
                <w:b/>
                <w:bCs/>
                <w:color w:val="FFFFFF"/>
                <w:sz w:val="14"/>
                <w:szCs w:val="14"/>
              </w:rPr>
            </w:pPr>
            <w:r w:rsidRPr="00923405">
              <w:rPr>
                <w:rFonts w:ascii="Verdana" w:eastAsia="Times New Roman" w:hAnsi="Verdana"/>
                <w:b/>
                <w:bCs/>
                <w:color w:val="FFFFFF"/>
                <w:sz w:val="14"/>
                <w:szCs w:val="14"/>
              </w:rPr>
              <w:t>COMPROMISOS 2023</w:t>
            </w:r>
          </w:p>
        </w:tc>
        <w:tc>
          <w:tcPr>
            <w:tcW w:w="2035" w:type="dxa"/>
            <w:gridSpan w:val="2"/>
            <w:tcBorders>
              <w:top w:val="single" w:sz="8" w:space="0" w:color="auto"/>
              <w:left w:val="nil"/>
              <w:bottom w:val="single" w:sz="8" w:space="0" w:color="auto"/>
              <w:right w:val="single" w:sz="8" w:space="0" w:color="000000"/>
            </w:tcBorders>
            <w:shd w:val="clear" w:color="auto" w:fill="1F4E79" w:themeFill="accent1" w:themeFillShade="80"/>
            <w:vAlign w:val="center"/>
            <w:hideMark/>
          </w:tcPr>
          <w:p w14:paraId="5F525843" w14:textId="77777777" w:rsidR="00092FC3" w:rsidRPr="00923405" w:rsidRDefault="00092FC3" w:rsidP="0068230C">
            <w:pPr>
              <w:spacing w:after="0" w:line="240" w:lineRule="auto"/>
              <w:jc w:val="center"/>
              <w:rPr>
                <w:rFonts w:ascii="Verdana" w:eastAsia="Times New Roman" w:hAnsi="Verdana"/>
                <w:b/>
                <w:bCs/>
                <w:color w:val="FFFFFF"/>
                <w:sz w:val="14"/>
                <w:szCs w:val="14"/>
              </w:rPr>
            </w:pPr>
            <w:r w:rsidRPr="00923405">
              <w:rPr>
                <w:rFonts w:ascii="Verdana" w:eastAsia="Times New Roman" w:hAnsi="Verdana"/>
                <w:b/>
                <w:bCs/>
                <w:color w:val="FFFFFF"/>
                <w:sz w:val="14"/>
                <w:szCs w:val="14"/>
              </w:rPr>
              <w:t>OBLIGACIONES 2023</w:t>
            </w:r>
          </w:p>
        </w:tc>
      </w:tr>
      <w:tr w:rsidR="00092FC3" w:rsidRPr="00923405" w14:paraId="0FF42D5D" w14:textId="77777777" w:rsidTr="00493299">
        <w:trPr>
          <w:trHeight w:val="315"/>
        </w:trPr>
        <w:tc>
          <w:tcPr>
            <w:tcW w:w="1515" w:type="dxa"/>
            <w:vMerge/>
            <w:tcBorders>
              <w:top w:val="nil"/>
              <w:left w:val="single" w:sz="8" w:space="0" w:color="auto"/>
              <w:bottom w:val="single" w:sz="8" w:space="0" w:color="000000"/>
              <w:right w:val="single" w:sz="8" w:space="0" w:color="auto"/>
            </w:tcBorders>
            <w:shd w:val="clear" w:color="auto" w:fill="1F4E79" w:themeFill="accent1" w:themeFillShade="80"/>
            <w:vAlign w:val="center"/>
            <w:hideMark/>
          </w:tcPr>
          <w:p w14:paraId="24CFCBE2" w14:textId="77777777" w:rsidR="00092FC3" w:rsidRPr="00923405" w:rsidRDefault="00092FC3" w:rsidP="0068230C">
            <w:pPr>
              <w:spacing w:after="0" w:line="240" w:lineRule="auto"/>
              <w:rPr>
                <w:rFonts w:ascii="Verdana" w:eastAsia="Times New Roman" w:hAnsi="Verdana"/>
                <w:b/>
                <w:bCs/>
                <w:color w:val="FFFFFF"/>
                <w:sz w:val="14"/>
                <w:szCs w:val="14"/>
              </w:rPr>
            </w:pPr>
          </w:p>
        </w:tc>
        <w:tc>
          <w:tcPr>
            <w:tcW w:w="1119" w:type="dxa"/>
            <w:vMerge/>
            <w:tcBorders>
              <w:top w:val="nil"/>
              <w:left w:val="single" w:sz="8" w:space="0" w:color="auto"/>
              <w:bottom w:val="single" w:sz="8" w:space="0" w:color="000000"/>
              <w:right w:val="single" w:sz="8" w:space="0" w:color="auto"/>
            </w:tcBorders>
            <w:shd w:val="clear" w:color="auto" w:fill="1F4E79" w:themeFill="accent1" w:themeFillShade="80"/>
            <w:vAlign w:val="center"/>
            <w:hideMark/>
          </w:tcPr>
          <w:p w14:paraId="52CD5BF7" w14:textId="77777777" w:rsidR="00092FC3" w:rsidRPr="00923405" w:rsidRDefault="00092FC3" w:rsidP="0068230C">
            <w:pPr>
              <w:spacing w:after="0" w:line="240" w:lineRule="auto"/>
              <w:rPr>
                <w:rFonts w:ascii="Verdana" w:eastAsia="Times New Roman" w:hAnsi="Verdana"/>
                <w:b/>
                <w:bCs/>
                <w:color w:val="FFFFFF"/>
                <w:sz w:val="14"/>
                <w:szCs w:val="14"/>
              </w:rPr>
            </w:pPr>
          </w:p>
        </w:tc>
        <w:tc>
          <w:tcPr>
            <w:tcW w:w="1119" w:type="dxa"/>
            <w:vMerge/>
            <w:tcBorders>
              <w:top w:val="nil"/>
              <w:left w:val="single" w:sz="8" w:space="0" w:color="auto"/>
              <w:bottom w:val="single" w:sz="8" w:space="0" w:color="000000"/>
              <w:right w:val="single" w:sz="8" w:space="0" w:color="auto"/>
            </w:tcBorders>
            <w:shd w:val="clear" w:color="auto" w:fill="1F4E79" w:themeFill="accent1" w:themeFillShade="80"/>
            <w:vAlign w:val="center"/>
            <w:hideMark/>
          </w:tcPr>
          <w:p w14:paraId="2B4DFBC8" w14:textId="77777777" w:rsidR="00092FC3" w:rsidRPr="00923405" w:rsidRDefault="00092FC3" w:rsidP="0068230C">
            <w:pPr>
              <w:spacing w:after="0" w:line="240" w:lineRule="auto"/>
              <w:rPr>
                <w:rFonts w:ascii="Verdana" w:eastAsia="Times New Roman" w:hAnsi="Verdana"/>
                <w:b/>
                <w:bCs/>
                <w:color w:val="FFFFFF"/>
                <w:sz w:val="14"/>
                <w:szCs w:val="14"/>
              </w:rPr>
            </w:pPr>
          </w:p>
        </w:tc>
        <w:tc>
          <w:tcPr>
            <w:tcW w:w="1017" w:type="dxa"/>
            <w:vMerge/>
            <w:tcBorders>
              <w:top w:val="nil"/>
              <w:left w:val="single" w:sz="8" w:space="0" w:color="auto"/>
              <w:bottom w:val="single" w:sz="8" w:space="0" w:color="000000"/>
              <w:right w:val="single" w:sz="8" w:space="0" w:color="auto"/>
            </w:tcBorders>
            <w:shd w:val="clear" w:color="auto" w:fill="1F4E79" w:themeFill="accent1" w:themeFillShade="80"/>
            <w:vAlign w:val="center"/>
            <w:hideMark/>
          </w:tcPr>
          <w:p w14:paraId="69C0F475" w14:textId="77777777" w:rsidR="00092FC3" w:rsidRPr="00923405" w:rsidRDefault="00092FC3" w:rsidP="0068230C">
            <w:pPr>
              <w:spacing w:after="0" w:line="240" w:lineRule="auto"/>
              <w:rPr>
                <w:rFonts w:ascii="Verdana" w:eastAsia="Times New Roman" w:hAnsi="Verdana"/>
                <w:b/>
                <w:bCs/>
                <w:color w:val="FFFFFF"/>
                <w:sz w:val="14"/>
                <w:szCs w:val="14"/>
              </w:rPr>
            </w:pPr>
          </w:p>
        </w:tc>
        <w:tc>
          <w:tcPr>
            <w:tcW w:w="1017" w:type="dxa"/>
            <w:tcBorders>
              <w:top w:val="nil"/>
              <w:left w:val="nil"/>
              <w:bottom w:val="single" w:sz="8" w:space="0" w:color="auto"/>
              <w:right w:val="single" w:sz="8" w:space="0" w:color="auto"/>
            </w:tcBorders>
            <w:shd w:val="clear" w:color="auto" w:fill="1F4E79" w:themeFill="accent1" w:themeFillShade="80"/>
            <w:vAlign w:val="center"/>
            <w:hideMark/>
          </w:tcPr>
          <w:p w14:paraId="2A6F0D50" w14:textId="77777777" w:rsidR="00092FC3" w:rsidRPr="00923405" w:rsidRDefault="00092FC3" w:rsidP="0068230C">
            <w:pPr>
              <w:spacing w:after="0" w:line="240" w:lineRule="auto"/>
              <w:jc w:val="center"/>
              <w:rPr>
                <w:rFonts w:ascii="Verdana" w:eastAsia="Times New Roman" w:hAnsi="Verdana"/>
                <w:b/>
                <w:bCs/>
                <w:color w:val="FFFFFF"/>
                <w:sz w:val="14"/>
                <w:szCs w:val="14"/>
              </w:rPr>
            </w:pPr>
            <w:r w:rsidRPr="00923405">
              <w:rPr>
                <w:rFonts w:ascii="Verdana" w:eastAsia="Times New Roman" w:hAnsi="Verdana"/>
                <w:b/>
                <w:bCs/>
                <w:color w:val="FFFFFF"/>
                <w:sz w:val="14"/>
                <w:szCs w:val="14"/>
              </w:rPr>
              <w:t>Valor</w:t>
            </w:r>
          </w:p>
        </w:tc>
        <w:tc>
          <w:tcPr>
            <w:tcW w:w="1017" w:type="dxa"/>
            <w:tcBorders>
              <w:top w:val="nil"/>
              <w:left w:val="nil"/>
              <w:bottom w:val="single" w:sz="8" w:space="0" w:color="auto"/>
              <w:right w:val="single" w:sz="8" w:space="0" w:color="auto"/>
            </w:tcBorders>
            <w:shd w:val="clear" w:color="auto" w:fill="1F4E79" w:themeFill="accent1" w:themeFillShade="80"/>
            <w:vAlign w:val="center"/>
            <w:hideMark/>
          </w:tcPr>
          <w:p w14:paraId="015E839E" w14:textId="77777777" w:rsidR="00092FC3" w:rsidRPr="00923405" w:rsidRDefault="00092FC3" w:rsidP="0068230C">
            <w:pPr>
              <w:spacing w:after="0" w:line="240" w:lineRule="auto"/>
              <w:jc w:val="center"/>
              <w:rPr>
                <w:rFonts w:ascii="Verdana" w:eastAsia="Times New Roman" w:hAnsi="Verdana"/>
                <w:b/>
                <w:bCs/>
                <w:color w:val="FFFFFF"/>
                <w:sz w:val="14"/>
                <w:szCs w:val="14"/>
              </w:rPr>
            </w:pPr>
            <w:r w:rsidRPr="00923405">
              <w:rPr>
                <w:rFonts w:ascii="Verdana" w:eastAsia="Times New Roman" w:hAnsi="Verdana"/>
                <w:b/>
                <w:bCs/>
                <w:color w:val="FFFFFF"/>
                <w:sz w:val="14"/>
                <w:szCs w:val="14"/>
              </w:rPr>
              <w:t xml:space="preserve">% </w:t>
            </w:r>
          </w:p>
        </w:tc>
        <w:tc>
          <w:tcPr>
            <w:tcW w:w="1017" w:type="dxa"/>
            <w:tcBorders>
              <w:top w:val="nil"/>
              <w:left w:val="nil"/>
              <w:bottom w:val="single" w:sz="8" w:space="0" w:color="auto"/>
              <w:right w:val="single" w:sz="8" w:space="0" w:color="auto"/>
            </w:tcBorders>
            <w:shd w:val="clear" w:color="auto" w:fill="1F4E79" w:themeFill="accent1" w:themeFillShade="80"/>
            <w:vAlign w:val="center"/>
            <w:hideMark/>
          </w:tcPr>
          <w:p w14:paraId="21EBF7CD" w14:textId="77777777" w:rsidR="00092FC3" w:rsidRPr="00923405" w:rsidRDefault="00092FC3" w:rsidP="0068230C">
            <w:pPr>
              <w:spacing w:after="0" w:line="240" w:lineRule="auto"/>
              <w:jc w:val="center"/>
              <w:rPr>
                <w:rFonts w:ascii="Verdana" w:eastAsia="Times New Roman" w:hAnsi="Verdana"/>
                <w:b/>
                <w:bCs/>
                <w:color w:val="FFFFFF"/>
                <w:sz w:val="14"/>
                <w:szCs w:val="14"/>
              </w:rPr>
            </w:pPr>
            <w:r w:rsidRPr="00923405">
              <w:rPr>
                <w:rFonts w:ascii="Verdana" w:eastAsia="Times New Roman" w:hAnsi="Verdana"/>
                <w:b/>
                <w:bCs/>
                <w:color w:val="FFFFFF"/>
                <w:sz w:val="14"/>
                <w:szCs w:val="14"/>
              </w:rPr>
              <w:t>Valor</w:t>
            </w:r>
          </w:p>
        </w:tc>
        <w:tc>
          <w:tcPr>
            <w:tcW w:w="1017" w:type="dxa"/>
            <w:tcBorders>
              <w:top w:val="nil"/>
              <w:left w:val="nil"/>
              <w:bottom w:val="single" w:sz="8" w:space="0" w:color="auto"/>
              <w:right w:val="single" w:sz="8" w:space="0" w:color="auto"/>
            </w:tcBorders>
            <w:shd w:val="clear" w:color="auto" w:fill="1F4E79" w:themeFill="accent1" w:themeFillShade="80"/>
            <w:vAlign w:val="center"/>
            <w:hideMark/>
          </w:tcPr>
          <w:p w14:paraId="748E3E2D" w14:textId="77777777" w:rsidR="00092FC3" w:rsidRPr="00923405" w:rsidRDefault="00092FC3" w:rsidP="0068230C">
            <w:pPr>
              <w:spacing w:after="0" w:line="240" w:lineRule="auto"/>
              <w:jc w:val="center"/>
              <w:rPr>
                <w:rFonts w:ascii="Verdana" w:eastAsia="Times New Roman" w:hAnsi="Verdana"/>
                <w:b/>
                <w:bCs/>
                <w:color w:val="FFFFFF"/>
                <w:sz w:val="14"/>
                <w:szCs w:val="14"/>
              </w:rPr>
            </w:pPr>
            <w:r w:rsidRPr="00923405">
              <w:rPr>
                <w:rFonts w:ascii="Verdana" w:eastAsia="Times New Roman" w:hAnsi="Verdana"/>
                <w:b/>
                <w:bCs/>
                <w:color w:val="FFFFFF"/>
                <w:sz w:val="14"/>
                <w:szCs w:val="14"/>
              </w:rPr>
              <w:t xml:space="preserve">% </w:t>
            </w:r>
          </w:p>
        </w:tc>
      </w:tr>
      <w:tr w:rsidR="00092FC3" w:rsidRPr="00923405" w14:paraId="33D95A49" w14:textId="77777777" w:rsidTr="0068230C">
        <w:trPr>
          <w:trHeight w:val="315"/>
        </w:trPr>
        <w:tc>
          <w:tcPr>
            <w:tcW w:w="1515" w:type="dxa"/>
            <w:tcBorders>
              <w:top w:val="nil"/>
              <w:left w:val="single" w:sz="8" w:space="0" w:color="auto"/>
              <w:bottom w:val="single" w:sz="8" w:space="0" w:color="auto"/>
              <w:right w:val="single" w:sz="8" w:space="0" w:color="auto"/>
            </w:tcBorders>
            <w:shd w:val="clear" w:color="000000" w:fill="FFCC66"/>
            <w:vAlign w:val="center"/>
            <w:hideMark/>
          </w:tcPr>
          <w:p w14:paraId="257CFEF6" w14:textId="77777777" w:rsidR="00092FC3" w:rsidRPr="00923405" w:rsidRDefault="00092FC3" w:rsidP="0068230C">
            <w:pPr>
              <w:spacing w:after="0" w:line="240" w:lineRule="auto"/>
              <w:jc w:val="center"/>
              <w:rPr>
                <w:rFonts w:ascii="Verdana" w:eastAsia="Times New Roman" w:hAnsi="Verdana"/>
                <w:b/>
                <w:bCs/>
                <w:color w:val="000000"/>
                <w:sz w:val="14"/>
                <w:szCs w:val="14"/>
              </w:rPr>
            </w:pPr>
            <w:r w:rsidRPr="00923405">
              <w:rPr>
                <w:rFonts w:ascii="Verdana" w:eastAsia="Times New Roman" w:hAnsi="Verdana"/>
                <w:b/>
                <w:bCs/>
                <w:color w:val="000000"/>
                <w:sz w:val="14"/>
                <w:szCs w:val="14"/>
              </w:rPr>
              <w:t xml:space="preserve"> FUNCIONAMIENTO</w:t>
            </w:r>
          </w:p>
        </w:tc>
        <w:tc>
          <w:tcPr>
            <w:tcW w:w="1119" w:type="dxa"/>
            <w:tcBorders>
              <w:top w:val="nil"/>
              <w:left w:val="nil"/>
              <w:bottom w:val="single" w:sz="8" w:space="0" w:color="auto"/>
              <w:right w:val="single" w:sz="8" w:space="0" w:color="auto"/>
            </w:tcBorders>
            <w:shd w:val="clear" w:color="000000" w:fill="FFCC66"/>
            <w:vAlign w:val="center"/>
            <w:hideMark/>
          </w:tcPr>
          <w:p w14:paraId="474DE35B" w14:textId="77777777" w:rsidR="00092FC3" w:rsidRPr="00923405" w:rsidRDefault="00092FC3" w:rsidP="0068230C">
            <w:pPr>
              <w:spacing w:after="0" w:line="240" w:lineRule="auto"/>
              <w:jc w:val="center"/>
              <w:rPr>
                <w:rFonts w:ascii="Verdana" w:eastAsia="Times New Roman" w:hAnsi="Verdana"/>
                <w:b/>
                <w:bCs/>
                <w:color w:val="000000"/>
                <w:sz w:val="14"/>
                <w:szCs w:val="14"/>
              </w:rPr>
            </w:pPr>
            <w:r w:rsidRPr="00923405">
              <w:rPr>
                <w:rFonts w:ascii="Verdana" w:eastAsia="Times New Roman" w:hAnsi="Verdana"/>
                <w:b/>
                <w:bCs/>
                <w:color w:val="000000"/>
                <w:sz w:val="14"/>
                <w:szCs w:val="14"/>
              </w:rPr>
              <w:t>32.218</w:t>
            </w:r>
          </w:p>
        </w:tc>
        <w:tc>
          <w:tcPr>
            <w:tcW w:w="1119" w:type="dxa"/>
            <w:tcBorders>
              <w:top w:val="nil"/>
              <w:left w:val="nil"/>
              <w:bottom w:val="single" w:sz="8" w:space="0" w:color="auto"/>
              <w:right w:val="single" w:sz="8" w:space="0" w:color="auto"/>
            </w:tcBorders>
            <w:shd w:val="clear" w:color="000000" w:fill="FFCC66"/>
            <w:vAlign w:val="center"/>
            <w:hideMark/>
          </w:tcPr>
          <w:p w14:paraId="1217F88C" w14:textId="77777777" w:rsidR="00092FC3" w:rsidRPr="00923405" w:rsidRDefault="00092FC3" w:rsidP="0068230C">
            <w:pPr>
              <w:spacing w:after="0" w:line="240" w:lineRule="auto"/>
              <w:jc w:val="center"/>
              <w:rPr>
                <w:rFonts w:ascii="Verdana" w:eastAsia="Times New Roman" w:hAnsi="Verdana"/>
                <w:b/>
                <w:bCs/>
                <w:color w:val="000000"/>
                <w:sz w:val="14"/>
                <w:szCs w:val="14"/>
              </w:rPr>
            </w:pPr>
            <w:r w:rsidRPr="00923405">
              <w:rPr>
                <w:rFonts w:ascii="Verdana" w:eastAsia="Times New Roman" w:hAnsi="Verdana"/>
                <w:b/>
                <w:bCs/>
                <w:color w:val="000000"/>
                <w:sz w:val="14"/>
                <w:szCs w:val="14"/>
              </w:rPr>
              <w:t>41.400</w:t>
            </w:r>
          </w:p>
        </w:tc>
        <w:tc>
          <w:tcPr>
            <w:tcW w:w="1017" w:type="dxa"/>
            <w:tcBorders>
              <w:top w:val="nil"/>
              <w:left w:val="nil"/>
              <w:bottom w:val="single" w:sz="8" w:space="0" w:color="auto"/>
              <w:right w:val="single" w:sz="8" w:space="0" w:color="auto"/>
            </w:tcBorders>
            <w:shd w:val="clear" w:color="000000" w:fill="FFCC66"/>
            <w:vAlign w:val="center"/>
            <w:hideMark/>
          </w:tcPr>
          <w:p w14:paraId="3CA6C835" w14:textId="77777777" w:rsidR="00092FC3" w:rsidRPr="00923405" w:rsidRDefault="00092FC3" w:rsidP="0068230C">
            <w:pPr>
              <w:spacing w:after="0" w:line="240" w:lineRule="auto"/>
              <w:jc w:val="center"/>
              <w:rPr>
                <w:rFonts w:ascii="Verdana" w:eastAsia="Times New Roman" w:hAnsi="Verdana"/>
                <w:b/>
                <w:bCs/>
                <w:color w:val="000000"/>
                <w:sz w:val="14"/>
                <w:szCs w:val="14"/>
              </w:rPr>
            </w:pPr>
            <w:r w:rsidRPr="00923405">
              <w:rPr>
                <w:rFonts w:ascii="Verdana" w:eastAsia="Times New Roman" w:hAnsi="Verdana"/>
                <w:b/>
                <w:bCs/>
                <w:color w:val="000000"/>
                <w:sz w:val="14"/>
                <w:szCs w:val="14"/>
              </w:rPr>
              <w:t>26,51%</w:t>
            </w:r>
          </w:p>
        </w:tc>
        <w:tc>
          <w:tcPr>
            <w:tcW w:w="1017" w:type="dxa"/>
            <w:tcBorders>
              <w:top w:val="nil"/>
              <w:left w:val="nil"/>
              <w:bottom w:val="single" w:sz="8" w:space="0" w:color="auto"/>
              <w:right w:val="single" w:sz="8" w:space="0" w:color="auto"/>
            </w:tcBorders>
            <w:shd w:val="clear" w:color="000000" w:fill="FFCC66"/>
            <w:vAlign w:val="center"/>
            <w:hideMark/>
          </w:tcPr>
          <w:p w14:paraId="655B7FAE" w14:textId="77777777" w:rsidR="00092FC3" w:rsidRPr="00923405" w:rsidRDefault="00092FC3" w:rsidP="0068230C">
            <w:pPr>
              <w:spacing w:after="0" w:line="240" w:lineRule="auto"/>
              <w:jc w:val="center"/>
              <w:rPr>
                <w:rFonts w:ascii="Verdana" w:eastAsia="Times New Roman" w:hAnsi="Verdana"/>
                <w:b/>
                <w:bCs/>
                <w:color w:val="000000"/>
                <w:sz w:val="14"/>
                <w:szCs w:val="14"/>
              </w:rPr>
            </w:pPr>
            <w:r w:rsidRPr="00923405">
              <w:rPr>
                <w:rFonts w:ascii="Verdana" w:eastAsia="Times New Roman" w:hAnsi="Verdana"/>
                <w:b/>
                <w:bCs/>
                <w:color w:val="000000"/>
                <w:sz w:val="14"/>
                <w:szCs w:val="14"/>
              </w:rPr>
              <w:t>36.778</w:t>
            </w:r>
          </w:p>
        </w:tc>
        <w:tc>
          <w:tcPr>
            <w:tcW w:w="1017" w:type="dxa"/>
            <w:tcBorders>
              <w:top w:val="nil"/>
              <w:left w:val="nil"/>
              <w:bottom w:val="single" w:sz="8" w:space="0" w:color="auto"/>
              <w:right w:val="single" w:sz="8" w:space="0" w:color="auto"/>
            </w:tcBorders>
            <w:shd w:val="clear" w:color="000000" w:fill="FFCC66"/>
            <w:vAlign w:val="center"/>
            <w:hideMark/>
          </w:tcPr>
          <w:p w14:paraId="023E1BAB" w14:textId="77777777" w:rsidR="00092FC3" w:rsidRPr="00923405" w:rsidRDefault="00092FC3" w:rsidP="0068230C">
            <w:pPr>
              <w:spacing w:after="0" w:line="240" w:lineRule="auto"/>
              <w:jc w:val="center"/>
              <w:rPr>
                <w:rFonts w:ascii="Verdana" w:eastAsia="Times New Roman" w:hAnsi="Verdana"/>
                <w:b/>
                <w:bCs/>
                <w:color w:val="000000"/>
                <w:sz w:val="14"/>
                <w:szCs w:val="14"/>
              </w:rPr>
            </w:pPr>
            <w:r w:rsidRPr="00923405">
              <w:rPr>
                <w:rFonts w:ascii="Verdana" w:eastAsia="Times New Roman" w:hAnsi="Verdana"/>
                <w:b/>
                <w:bCs/>
                <w:color w:val="000000"/>
                <w:sz w:val="14"/>
                <w:szCs w:val="14"/>
              </w:rPr>
              <w:t>88,84%</w:t>
            </w:r>
          </w:p>
        </w:tc>
        <w:tc>
          <w:tcPr>
            <w:tcW w:w="1017" w:type="dxa"/>
            <w:tcBorders>
              <w:top w:val="nil"/>
              <w:left w:val="nil"/>
              <w:bottom w:val="single" w:sz="8" w:space="0" w:color="auto"/>
              <w:right w:val="single" w:sz="8" w:space="0" w:color="auto"/>
            </w:tcBorders>
            <w:shd w:val="clear" w:color="000000" w:fill="FFCC66"/>
            <w:vAlign w:val="center"/>
            <w:hideMark/>
          </w:tcPr>
          <w:p w14:paraId="23B8205A" w14:textId="77777777" w:rsidR="00092FC3" w:rsidRPr="00923405" w:rsidRDefault="00092FC3" w:rsidP="0068230C">
            <w:pPr>
              <w:spacing w:after="0" w:line="240" w:lineRule="auto"/>
              <w:jc w:val="center"/>
              <w:rPr>
                <w:rFonts w:ascii="Verdana" w:eastAsia="Times New Roman" w:hAnsi="Verdana"/>
                <w:b/>
                <w:bCs/>
                <w:color w:val="000000"/>
                <w:sz w:val="14"/>
                <w:szCs w:val="14"/>
              </w:rPr>
            </w:pPr>
            <w:r w:rsidRPr="00923405">
              <w:rPr>
                <w:rFonts w:ascii="Verdana" w:eastAsia="Times New Roman" w:hAnsi="Verdana"/>
                <w:b/>
                <w:bCs/>
                <w:color w:val="000000"/>
                <w:sz w:val="14"/>
                <w:szCs w:val="14"/>
              </w:rPr>
              <w:t>36.778</w:t>
            </w:r>
          </w:p>
        </w:tc>
        <w:tc>
          <w:tcPr>
            <w:tcW w:w="1017" w:type="dxa"/>
            <w:tcBorders>
              <w:top w:val="nil"/>
              <w:left w:val="nil"/>
              <w:bottom w:val="single" w:sz="8" w:space="0" w:color="auto"/>
              <w:right w:val="single" w:sz="8" w:space="0" w:color="auto"/>
            </w:tcBorders>
            <w:shd w:val="clear" w:color="000000" w:fill="FFCC66"/>
            <w:vAlign w:val="center"/>
            <w:hideMark/>
          </w:tcPr>
          <w:p w14:paraId="69BDDD22" w14:textId="77777777" w:rsidR="00092FC3" w:rsidRPr="00923405" w:rsidRDefault="00092FC3" w:rsidP="0068230C">
            <w:pPr>
              <w:spacing w:after="0" w:line="240" w:lineRule="auto"/>
              <w:jc w:val="center"/>
              <w:rPr>
                <w:rFonts w:ascii="Verdana" w:eastAsia="Times New Roman" w:hAnsi="Verdana"/>
                <w:b/>
                <w:bCs/>
                <w:color w:val="000000"/>
                <w:sz w:val="14"/>
                <w:szCs w:val="14"/>
              </w:rPr>
            </w:pPr>
            <w:r w:rsidRPr="00923405">
              <w:rPr>
                <w:rFonts w:ascii="Verdana" w:eastAsia="Times New Roman" w:hAnsi="Verdana"/>
                <w:b/>
                <w:bCs/>
                <w:color w:val="000000"/>
                <w:sz w:val="14"/>
                <w:szCs w:val="14"/>
              </w:rPr>
              <w:t>88,84%</w:t>
            </w:r>
          </w:p>
        </w:tc>
      </w:tr>
      <w:tr w:rsidR="00092FC3" w:rsidRPr="00923405" w14:paraId="5E4F4F6A" w14:textId="77777777" w:rsidTr="0068230C">
        <w:trPr>
          <w:trHeight w:val="375"/>
        </w:trPr>
        <w:tc>
          <w:tcPr>
            <w:tcW w:w="1515" w:type="dxa"/>
            <w:tcBorders>
              <w:top w:val="nil"/>
              <w:left w:val="single" w:sz="8" w:space="0" w:color="auto"/>
              <w:bottom w:val="single" w:sz="8" w:space="0" w:color="auto"/>
              <w:right w:val="single" w:sz="8" w:space="0" w:color="auto"/>
            </w:tcBorders>
            <w:shd w:val="clear" w:color="auto" w:fill="auto"/>
            <w:vAlign w:val="center"/>
            <w:hideMark/>
          </w:tcPr>
          <w:p w14:paraId="346982CE" w14:textId="77777777" w:rsidR="00092FC3" w:rsidRPr="00923405" w:rsidRDefault="00092FC3" w:rsidP="0068230C">
            <w:pPr>
              <w:spacing w:after="0" w:line="240" w:lineRule="auto"/>
              <w:rPr>
                <w:rFonts w:ascii="Verdana" w:eastAsia="Times New Roman" w:hAnsi="Verdana"/>
                <w:b/>
                <w:bCs/>
                <w:color w:val="000000"/>
                <w:sz w:val="14"/>
                <w:szCs w:val="14"/>
              </w:rPr>
            </w:pPr>
            <w:r w:rsidRPr="00923405">
              <w:rPr>
                <w:rFonts w:ascii="Verdana" w:eastAsia="Times New Roman" w:hAnsi="Verdana"/>
                <w:b/>
                <w:bCs/>
                <w:color w:val="000000"/>
                <w:sz w:val="14"/>
                <w:szCs w:val="14"/>
              </w:rPr>
              <w:t xml:space="preserve"> GASTOS DE PERSONAL</w:t>
            </w:r>
          </w:p>
        </w:tc>
        <w:tc>
          <w:tcPr>
            <w:tcW w:w="1119" w:type="dxa"/>
            <w:tcBorders>
              <w:top w:val="nil"/>
              <w:left w:val="nil"/>
              <w:bottom w:val="single" w:sz="8" w:space="0" w:color="auto"/>
              <w:right w:val="single" w:sz="8" w:space="0" w:color="auto"/>
            </w:tcBorders>
            <w:shd w:val="clear" w:color="auto" w:fill="auto"/>
            <w:vAlign w:val="center"/>
            <w:hideMark/>
          </w:tcPr>
          <w:p w14:paraId="4ECBDBF9" w14:textId="77777777" w:rsidR="00092FC3" w:rsidRPr="00923405" w:rsidRDefault="00092FC3" w:rsidP="0068230C">
            <w:pPr>
              <w:spacing w:after="0" w:line="240" w:lineRule="auto"/>
              <w:jc w:val="center"/>
              <w:rPr>
                <w:rFonts w:ascii="Verdana" w:eastAsia="Times New Roman" w:hAnsi="Verdana"/>
                <w:color w:val="000000"/>
                <w:sz w:val="14"/>
                <w:szCs w:val="14"/>
              </w:rPr>
            </w:pPr>
            <w:r w:rsidRPr="00923405">
              <w:rPr>
                <w:rFonts w:ascii="Verdana" w:eastAsia="Times New Roman" w:hAnsi="Verdana"/>
                <w:color w:val="000000"/>
                <w:sz w:val="14"/>
                <w:szCs w:val="14"/>
              </w:rPr>
              <w:t>23.834</w:t>
            </w:r>
          </w:p>
        </w:tc>
        <w:tc>
          <w:tcPr>
            <w:tcW w:w="1119" w:type="dxa"/>
            <w:tcBorders>
              <w:top w:val="nil"/>
              <w:left w:val="nil"/>
              <w:bottom w:val="single" w:sz="8" w:space="0" w:color="auto"/>
              <w:right w:val="single" w:sz="8" w:space="0" w:color="auto"/>
            </w:tcBorders>
            <w:shd w:val="clear" w:color="auto" w:fill="auto"/>
            <w:vAlign w:val="center"/>
            <w:hideMark/>
          </w:tcPr>
          <w:p w14:paraId="7DC2AFB4" w14:textId="77777777" w:rsidR="00092FC3" w:rsidRPr="00923405" w:rsidRDefault="00092FC3" w:rsidP="0068230C">
            <w:pPr>
              <w:spacing w:after="0" w:line="240" w:lineRule="auto"/>
              <w:jc w:val="center"/>
              <w:rPr>
                <w:rFonts w:ascii="Verdana" w:eastAsia="Times New Roman" w:hAnsi="Verdana"/>
                <w:color w:val="000000"/>
                <w:sz w:val="14"/>
                <w:szCs w:val="14"/>
              </w:rPr>
            </w:pPr>
            <w:r w:rsidRPr="00923405">
              <w:rPr>
                <w:rFonts w:ascii="Verdana" w:eastAsia="Times New Roman" w:hAnsi="Verdana"/>
                <w:color w:val="000000"/>
                <w:sz w:val="14"/>
                <w:szCs w:val="14"/>
              </w:rPr>
              <w:t>*22.534</w:t>
            </w:r>
          </w:p>
        </w:tc>
        <w:tc>
          <w:tcPr>
            <w:tcW w:w="1017" w:type="dxa"/>
            <w:tcBorders>
              <w:top w:val="nil"/>
              <w:left w:val="nil"/>
              <w:bottom w:val="single" w:sz="8" w:space="0" w:color="auto"/>
              <w:right w:val="single" w:sz="8" w:space="0" w:color="auto"/>
            </w:tcBorders>
            <w:shd w:val="clear" w:color="auto" w:fill="auto"/>
            <w:vAlign w:val="center"/>
            <w:hideMark/>
          </w:tcPr>
          <w:p w14:paraId="30DB7AD6" w14:textId="77777777" w:rsidR="00092FC3" w:rsidRPr="00923405" w:rsidRDefault="00092FC3" w:rsidP="0068230C">
            <w:pPr>
              <w:spacing w:after="0" w:line="240" w:lineRule="auto"/>
              <w:jc w:val="center"/>
              <w:rPr>
                <w:rFonts w:ascii="Verdana" w:eastAsia="Times New Roman" w:hAnsi="Verdana"/>
                <w:color w:val="000000"/>
                <w:sz w:val="14"/>
                <w:szCs w:val="14"/>
              </w:rPr>
            </w:pPr>
            <w:r w:rsidRPr="00923405">
              <w:rPr>
                <w:rFonts w:ascii="Verdana" w:eastAsia="Times New Roman" w:hAnsi="Verdana"/>
                <w:color w:val="000000"/>
                <w:sz w:val="14"/>
                <w:szCs w:val="14"/>
              </w:rPr>
              <w:t>14,43%</w:t>
            </w:r>
          </w:p>
        </w:tc>
        <w:tc>
          <w:tcPr>
            <w:tcW w:w="1017" w:type="dxa"/>
            <w:tcBorders>
              <w:top w:val="nil"/>
              <w:left w:val="nil"/>
              <w:bottom w:val="single" w:sz="8" w:space="0" w:color="auto"/>
              <w:right w:val="single" w:sz="8" w:space="0" w:color="auto"/>
            </w:tcBorders>
            <w:shd w:val="clear" w:color="auto" w:fill="auto"/>
            <w:vAlign w:val="center"/>
            <w:hideMark/>
          </w:tcPr>
          <w:p w14:paraId="6F0433B0" w14:textId="77777777" w:rsidR="00092FC3" w:rsidRPr="00923405" w:rsidRDefault="00092FC3" w:rsidP="0068230C">
            <w:pPr>
              <w:spacing w:after="0" w:line="240" w:lineRule="auto"/>
              <w:jc w:val="center"/>
              <w:rPr>
                <w:rFonts w:ascii="Verdana" w:eastAsia="Times New Roman" w:hAnsi="Verdana"/>
                <w:color w:val="000000"/>
                <w:sz w:val="14"/>
                <w:szCs w:val="14"/>
              </w:rPr>
            </w:pPr>
            <w:r w:rsidRPr="00923405">
              <w:rPr>
                <w:rFonts w:ascii="Verdana" w:eastAsia="Times New Roman" w:hAnsi="Verdana"/>
                <w:color w:val="000000"/>
                <w:sz w:val="14"/>
                <w:szCs w:val="14"/>
              </w:rPr>
              <w:t>19.564</w:t>
            </w:r>
          </w:p>
        </w:tc>
        <w:tc>
          <w:tcPr>
            <w:tcW w:w="1017" w:type="dxa"/>
            <w:tcBorders>
              <w:top w:val="nil"/>
              <w:left w:val="nil"/>
              <w:bottom w:val="single" w:sz="8" w:space="0" w:color="auto"/>
              <w:right w:val="single" w:sz="8" w:space="0" w:color="auto"/>
            </w:tcBorders>
            <w:shd w:val="clear" w:color="auto" w:fill="auto"/>
            <w:vAlign w:val="center"/>
            <w:hideMark/>
          </w:tcPr>
          <w:p w14:paraId="0F3FDFE0" w14:textId="77777777" w:rsidR="00092FC3" w:rsidRPr="00923405" w:rsidRDefault="00092FC3" w:rsidP="0068230C">
            <w:pPr>
              <w:spacing w:after="0" w:line="240" w:lineRule="auto"/>
              <w:jc w:val="center"/>
              <w:rPr>
                <w:rFonts w:ascii="Verdana" w:eastAsia="Times New Roman" w:hAnsi="Verdana"/>
                <w:color w:val="000000"/>
                <w:sz w:val="14"/>
                <w:szCs w:val="14"/>
              </w:rPr>
            </w:pPr>
            <w:r w:rsidRPr="00923405">
              <w:rPr>
                <w:rFonts w:ascii="Verdana" w:eastAsia="Times New Roman" w:hAnsi="Verdana"/>
                <w:color w:val="000000"/>
                <w:sz w:val="14"/>
                <w:szCs w:val="14"/>
              </w:rPr>
              <w:t>86,82%</w:t>
            </w:r>
          </w:p>
        </w:tc>
        <w:tc>
          <w:tcPr>
            <w:tcW w:w="1017" w:type="dxa"/>
            <w:tcBorders>
              <w:top w:val="nil"/>
              <w:left w:val="nil"/>
              <w:bottom w:val="single" w:sz="8" w:space="0" w:color="auto"/>
              <w:right w:val="single" w:sz="8" w:space="0" w:color="auto"/>
            </w:tcBorders>
            <w:shd w:val="clear" w:color="auto" w:fill="auto"/>
            <w:vAlign w:val="center"/>
            <w:hideMark/>
          </w:tcPr>
          <w:p w14:paraId="207C4E72" w14:textId="77777777" w:rsidR="00092FC3" w:rsidRPr="00923405" w:rsidRDefault="00092FC3" w:rsidP="0068230C">
            <w:pPr>
              <w:spacing w:after="0" w:line="240" w:lineRule="auto"/>
              <w:jc w:val="center"/>
              <w:rPr>
                <w:rFonts w:ascii="Verdana" w:eastAsia="Times New Roman" w:hAnsi="Verdana"/>
                <w:color w:val="000000"/>
                <w:sz w:val="14"/>
                <w:szCs w:val="14"/>
              </w:rPr>
            </w:pPr>
            <w:r w:rsidRPr="00923405">
              <w:rPr>
                <w:rFonts w:ascii="Verdana" w:eastAsia="Times New Roman" w:hAnsi="Verdana"/>
                <w:color w:val="000000"/>
                <w:sz w:val="14"/>
                <w:szCs w:val="14"/>
              </w:rPr>
              <w:t>19.564</w:t>
            </w:r>
          </w:p>
        </w:tc>
        <w:tc>
          <w:tcPr>
            <w:tcW w:w="1017" w:type="dxa"/>
            <w:tcBorders>
              <w:top w:val="nil"/>
              <w:left w:val="nil"/>
              <w:bottom w:val="single" w:sz="8" w:space="0" w:color="auto"/>
              <w:right w:val="single" w:sz="8" w:space="0" w:color="auto"/>
            </w:tcBorders>
            <w:shd w:val="clear" w:color="auto" w:fill="auto"/>
            <w:vAlign w:val="center"/>
            <w:hideMark/>
          </w:tcPr>
          <w:p w14:paraId="5BDA3C7C" w14:textId="77777777" w:rsidR="00092FC3" w:rsidRPr="00923405" w:rsidRDefault="00092FC3" w:rsidP="0068230C">
            <w:pPr>
              <w:spacing w:after="0" w:line="240" w:lineRule="auto"/>
              <w:jc w:val="center"/>
              <w:rPr>
                <w:rFonts w:ascii="Verdana" w:eastAsia="Times New Roman" w:hAnsi="Verdana"/>
                <w:color w:val="000000"/>
                <w:sz w:val="14"/>
                <w:szCs w:val="14"/>
              </w:rPr>
            </w:pPr>
            <w:r w:rsidRPr="00923405">
              <w:rPr>
                <w:rFonts w:ascii="Verdana" w:eastAsia="Times New Roman" w:hAnsi="Verdana"/>
                <w:color w:val="000000"/>
                <w:sz w:val="14"/>
                <w:szCs w:val="14"/>
              </w:rPr>
              <w:t>86,82%</w:t>
            </w:r>
          </w:p>
        </w:tc>
      </w:tr>
      <w:tr w:rsidR="00092FC3" w:rsidRPr="00923405" w14:paraId="677C0FF2" w14:textId="77777777" w:rsidTr="0068230C">
        <w:trPr>
          <w:trHeight w:val="555"/>
        </w:trPr>
        <w:tc>
          <w:tcPr>
            <w:tcW w:w="1515" w:type="dxa"/>
            <w:tcBorders>
              <w:top w:val="nil"/>
              <w:left w:val="single" w:sz="8" w:space="0" w:color="auto"/>
              <w:bottom w:val="single" w:sz="8" w:space="0" w:color="auto"/>
              <w:right w:val="single" w:sz="8" w:space="0" w:color="auto"/>
            </w:tcBorders>
            <w:shd w:val="clear" w:color="auto" w:fill="auto"/>
            <w:vAlign w:val="center"/>
            <w:hideMark/>
          </w:tcPr>
          <w:p w14:paraId="23A684B4" w14:textId="77777777" w:rsidR="00092FC3" w:rsidRPr="00923405" w:rsidRDefault="00092FC3" w:rsidP="0068230C">
            <w:pPr>
              <w:spacing w:after="0" w:line="240" w:lineRule="auto"/>
              <w:rPr>
                <w:rFonts w:ascii="Verdana" w:eastAsia="Times New Roman" w:hAnsi="Verdana"/>
                <w:b/>
                <w:bCs/>
                <w:color w:val="000000"/>
                <w:sz w:val="14"/>
                <w:szCs w:val="14"/>
              </w:rPr>
            </w:pPr>
            <w:r w:rsidRPr="00923405">
              <w:rPr>
                <w:rFonts w:ascii="Verdana" w:eastAsia="Times New Roman" w:hAnsi="Verdana"/>
                <w:b/>
                <w:bCs/>
                <w:color w:val="000000"/>
                <w:sz w:val="14"/>
                <w:szCs w:val="14"/>
              </w:rPr>
              <w:t xml:space="preserve"> ADQUISICIÓN DE BIENES Y SERVICIOS</w:t>
            </w:r>
          </w:p>
        </w:tc>
        <w:tc>
          <w:tcPr>
            <w:tcW w:w="1119" w:type="dxa"/>
            <w:tcBorders>
              <w:top w:val="nil"/>
              <w:left w:val="nil"/>
              <w:bottom w:val="single" w:sz="8" w:space="0" w:color="auto"/>
              <w:right w:val="single" w:sz="8" w:space="0" w:color="auto"/>
            </w:tcBorders>
            <w:shd w:val="clear" w:color="auto" w:fill="auto"/>
            <w:vAlign w:val="center"/>
            <w:hideMark/>
          </w:tcPr>
          <w:p w14:paraId="463DB625" w14:textId="77777777" w:rsidR="00092FC3" w:rsidRPr="00923405" w:rsidRDefault="00092FC3" w:rsidP="0068230C">
            <w:pPr>
              <w:spacing w:after="0" w:line="240" w:lineRule="auto"/>
              <w:jc w:val="center"/>
              <w:rPr>
                <w:rFonts w:ascii="Verdana" w:eastAsia="Times New Roman" w:hAnsi="Verdana"/>
                <w:color w:val="000000"/>
                <w:sz w:val="14"/>
                <w:szCs w:val="14"/>
              </w:rPr>
            </w:pPr>
            <w:r w:rsidRPr="00923405">
              <w:rPr>
                <w:rFonts w:ascii="Verdana" w:eastAsia="Times New Roman" w:hAnsi="Verdana"/>
                <w:color w:val="000000"/>
                <w:sz w:val="14"/>
                <w:szCs w:val="14"/>
              </w:rPr>
              <w:t>5.778</w:t>
            </w:r>
          </w:p>
        </w:tc>
        <w:tc>
          <w:tcPr>
            <w:tcW w:w="1119" w:type="dxa"/>
            <w:tcBorders>
              <w:top w:val="nil"/>
              <w:left w:val="nil"/>
              <w:bottom w:val="single" w:sz="8" w:space="0" w:color="auto"/>
              <w:right w:val="single" w:sz="8" w:space="0" w:color="auto"/>
            </w:tcBorders>
            <w:shd w:val="clear" w:color="auto" w:fill="auto"/>
            <w:vAlign w:val="center"/>
            <w:hideMark/>
          </w:tcPr>
          <w:p w14:paraId="48819197" w14:textId="77777777" w:rsidR="00092FC3" w:rsidRPr="00923405" w:rsidRDefault="00092FC3" w:rsidP="0068230C">
            <w:pPr>
              <w:spacing w:after="0" w:line="240" w:lineRule="auto"/>
              <w:jc w:val="center"/>
              <w:rPr>
                <w:rFonts w:ascii="Verdana" w:eastAsia="Times New Roman" w:hAnsi="Verdana"/>
                <w:color w:val="000000"/>
                <w:sz w:val="14"/>
                <w:szCs w:val="14"/>
              </w:rPr>
            </w:pPr>
            <w:r w:rsidRPr="00923405">
              <w:rPr>
                <w:rFonts w:ascii="Verdana" w:eastAsia="Times New Roman" w:hAnsi="Verdana"/>
                <w:color w:val="000000"/>
                <w:sz w:val="14"/>
                <w:szCs w:val="14"/>
              </w:rPr>
              <w:t>*7.063</w:t>
            </w:r>
          </w:p>
        </w:tc>
        <w:tc>
          <w:tcPr>
            <w:tcW w:w="1017" w:type="dxa"/>
            <w:tcBorders>
              <w:top w:val="nil"/>
              <w:left w:val="nil"/>
              <w:bottom w:val="single" w:sz="8" w:space="0" w:color="auto"/>
              <w:right w:val="single" w:sz="8" w:space="0" w:color="auto"/>
            </w:tcBorders>
            <w:shd w:val="clear" w:color="auto" w:fill="auto"/>
            <w:vAlign w:val="center"/>
            <w:hideMark/>
          </w:tcPr>
          <w:p w14:paraId="2DBB3A21" w14:textId="77777777" w:rsidR="00092FC3" w:rsidRPr="00923405" w:rsidRDefault="00092FC3" w:rsidP="0068230C">
            <w:pPr>
              <w:spacing w:after="0" w:line="240" w:lineRule="auto"/>
              <w:jc w:val="center"/>
              <w:rPr>
                <w:rFonts w:ascii="Verdana" w:eastAsia="Times New Roman" w:hAnsi="Verdana"/>
                <w:color w:val="000000"/>
                <w:sz w:val="14"/>
                <w:szCs w:val="14"/>
              </w:rPr>
            </w:pPr>
            <w:r w:rsidRPr="00923405">
              <w:rPr>
                <w:rFonts w:ascii="Verdana" w:eastAsia="Times New Roman" w:hAnsi="Verdana"/>
                <w:color w:val="000000"/>
                <w:sz w:val="14"/>
                <w:szCs w:val="14"/>
              </w:rPr>
              <w:t>4,52%</w:t>
            </w:r>
          </w:p>
        </w:tc>
        <w:tc>
          <w:tcPr>
            <w:tcW w:w="1017" w:type="dxa"/>
            <w:tcBorders>
              <w:top w:val="nil"/>
              <w:left w:val="nil"/>
              <w:bottom w:val="single" w:sz="8" w:space="0" w:color="auto"/>
              <w:right w:val="single" w:sz="8" w:space="0" w:color="auto"/>
            </w:tcBorders>
            <w:shd w:val="clear" w:color="auto" w:fill="auto"/>
            <w:vAlign w:val="center"/>
            <w:hideMark/>
          </w:tcPr>
          <w:p w14:paraId="02B1C987" w14:textId="77777777" w:rsidR="00092FC3" w:rsidRPr="00923405" w:rsidRDefault="00092FC3" w:rsidP="0068230C">
            <w:pPr>
              <w:spacing w:after="0" w:line="240" w:lineRule="auto"/>
              <w:jc w:val="center"/>
              <w:rPr>
                <w:rFonts w:ascii="Verdana" w:eastAsia="Times New Roman" w:hAnsi="Verdana"/>
                <w:color w:val="000000"/>
                <w:sz w:val="14"/>
                <w:szCs w:val="14"/>
              </w:rPr>
            </w:pPr>
            <w:r w:rsidRPr="00923405">
              <w:rPr>
                <w:rFonts w:ascii="Verdana" w:eastAsia="Times New Roman" w:hAnsi="Verdana"/>
                <w:color w:val="000000"/>
                <w:sz w:val="14"/>
                <w:szCs w:val="14"/>
              </w:rPr>
              <w:t>6.748</w:t>
            </w:r>
          </w:p>
        </w:tc>
        <w:tc>
          <w:tcPr>
            <w:tcW w:w="1017" w:type="dxa"/>
            <w:tcBorders>
              <w:top w:val="nil"/>
              <w:left w:val="nil"/>
              <w:bottom w:val="single" w:sz="8" w:space="0" w:color="auto"/>
              <w:right w:val="single" w:sz="8" w:space="0" w:color="auto"/>
            </w:tcBorders>
            <w:shd w:val="clear" w:color="auto" w:fill="auto"/>
            <w:vAlign w:val="center"/>
            <w:hideMark/>
          </w:tcPr>
          <w:p w14:paraId="798CE2BB" w14:textId="77777777" w:rsidR="00092FC3" w:rsidRPr="00923405" w:rsidRDefault="00092FC3" w:rsidP="0068230C">
            <w:pPr>
              <w:spacing w:after="0" w:line="240" w:lineRule="auto"/>
              <w:jc w:val="center"/>
              <w:rPr>
                <w:rFonts w:ascii="Verdana" w:eastAsia="Times New Roman" w:hAnsi="Verdana"/>
                <w:color w:val="000000"/>
                <w:sz w:val="14"/>
                <w:szCs w:val="14"/>
              </w:rPr>
            </w:pPr>
            <w:r w:rsidRPr="00923405">
              <w:rPr>
                <w:rFonts w:ascii="Verdana" w:eastAsia="Times New Roman" w:hAnsi="Verdana"/>
                <w:color w:val="000000"/>
                <w:sz w:val="14"/>
                <w:szCs w:val="14"/>
              </w:rPr>
              <w:t>95,54%</w:t>
            </w:r>
          </w:p>
        </w:tc>
        <w:tc>
          <w:tcPr>
            <w:tcW w:w="1017" w:type="dxa"/>
            <w:tcBorders>
              <w:top w:val="nil"/>
              <w:left w:val="nil"/>
              <w:bottom w:val="single" w:sz="8" w:space="0" w:color="auto"/>
              <w:right w:val="single" w:sz="8" w:space="0" w:color="auto"/>
            </w:tcBorders>
            <w:shd w:val="clear" w:color="auto" w:fill="auto"/>
            <w:vAlign w:val="center"/>
            <w:hideMark/>
          </w:tcPr>
          <w:p w14:paraId="2CE323F6" w14:textId="77777777" w:rsidR="00092FC3" w:rsidRPr="00923405" w:rsidRDefault="00092FC3" w:rsidP="0068230C">
            <w:pPr>
              <w:spacing w:after="0" w:line="240" w:lineRule="auto"/>
              <w:jc w:val="center"/>
              <w:rPr>
                <w:rFonts w:ascii="Verdana" w:eastAsia="Times New Roman" w:hAnsi="Verdana"/>
                <w:color w:val="000000"/>
                <w:sz w:val="14"/>
                <w:szCs w:val="14"/>
              </w:rPr>
            </w:pPr>
            <w:r w:rsidRPr="00923405">
              <w:rPr>
                <w:rFonts w:ascii="Verdana" w:eastAsia="Times New Roman" w:hAnsi="Verdana"/>
                <w:color w:val="000000"/>
                <w:sz w:val="14"/>
                <w:szCs w:val="14"/>
              </w:rPr>
              <w:t>6.748</w:t>
            </w:r>
          </w:p>
        </w:tc>
        <w:tc>
          <w:tcPr>
            <w:tcW w:w="1017" w:type="dxa"/>
            <w:tcBorders>
              <w:top w:val="nil"/>
              <w:left w:val="nil"/>
              <w:bottom w:val="single" w:sz="8" w:space="0" w:color="auto"/>
              <w:right w:val="single" w:sz="8" w:space="0" w:color="auto"/>
            </w:tcBorders>
            <w:shd w:val="clear" w:color="auto" w:fill="auto"/>
            <w:vAlign w:val="center"/>
            <w:hideMark/>
          </w:tcPr>
          <w:p w14:paraId="20E760DF" w14:textId="77777777" w:rsidR="00092FC3" w:rsidRPr="00923405" w:rsidRDefault="00092FC3" w:rsidP="0068230C">
            <w:pPr>
              <w:spacing w:after="0" w:line="240" w:lineRule="auto"/>
              <w:jc w:val="center"/>
              <w:rPr>
                <w:rFonts w:ascii="Verdana" w:eastAsia="Times New Roman" w:hAnsi="Verdana"/>
                <w:color w:val="000000"/>
                <w:sz w:val="14"/>
                <w:szCs w:val="14"/>
              </w:rPr>
            </w:pPr>
            <w:r w:rsidRPr="00923405">
              <w:rPr>
                <w:rFonts w:ascii="Verdana" w:eastAsia="Times New Roman" w:hAnsi="Verdana"/>
                <w:color w:val="000000"/>
                <w:sz w:val="14"/>
                <w:szCs w:val="14"/>
              </w:rPr>
              <w:t>95,54%</w:t>
            </w:r>
          </w:p>
        </w:tc>
      </w:tr>
      <w:tr w:rsidR="00092FC3" w:rsidRPr="00923405" w14:paraId="19EFEA7C" w14:textId="77777777" w:rsidTr="0068230C">
        <w:trPr>
          <w:trHeight w:val="315"/>
        </w:trPr>
        <w:tc>
          <w:tcPr>
            <w:tcW w:w="1515" w:type="dxa"/>
            <w:tcBorders>
              <w:top w:val="nil"/>
              <w:left w:val="single" w:sz="8" w:space="0" w:color="auto"/>
              <w:bottom w:val="single" w:sz="8" w:space="0" w:color="auto"/>
              <w:right w:val="single" w:sz="8" w:space="0" w:color="auto"/>
            </w:tcBorders>
            <w:shd w:val="clear" w:color="auto" w:fill="auto"/>
            <w:vAlign w:val="center"/>
            <w:hideMark/>
          </w:tcPr>
          <w:p w14:paraId="1D7C94F4" w14:textId="77777777" w:rsidR="00092FC3" w:rsidRPr="00923405" w:rsidRDefault="00092FC3" w:rsidP="0068230C">
            <w:pPr>
              <w:spacing w:after="0" w:line="240" w:lineRule="auto"/>
              <w:rPr>
                <w:rFonts w:ascii="Verdana" w:eastAsia="Times New Roman" w:hAnsi="Verdana"/>
                <w:b/>
                <w:bCs/>
                <w:color w:val="000000"/>
                <w:sz w:val="14"/>
                <w:szCs w:val="14"/>
              </w:rPr>
            </w:pPr>
            <w:r w:rsidRPr="00923405">
              <w:rPr>
                <w:rFonts w:ascii="Verdana" w:eastAsia="Times New Roman" w:hAnsi="Verdana"/>
                <w:b/>
                <w:bCs/>
                <w:color w:val="000000"/>
                <w:sz w:val="14"/>
                <w:szCs w:val="14"/>
              </w:rPr>
              <w:t xml:space="preserve"> TRANSFERENCIAS</w:t>
            </w:r>
          </w:p>
        </w:tc>
        <w:tc>
          <w:tcPr>
            <w:tcW w:w="1119" w:type="dxa"/>
            <w:tcBorders>
              <w:top w:val="nil"/>
              <w:left w:val="nil"/>
              <w:bottom w:val="single" w:sz="8" w:space="0" w:color="auto"/>
              <w:right w:val="single" w:sz="8" w:space="0" w:color="auto"/>
            </w:tcBorders>
            <w:shd w:val="clear" w:color="auto" w:fill="auto"/>
            <w:vAlign w:val="center"/>
            <w:hideMark/>
          </w:tcPr>
          <w:p w14:paraId="4F6B068B" w14:textId="77777777" w:rsidR="00092FC3" w:rsidRPr="00923405" w:rsidRDefault="00092FC3" w:rsidP="0068230C">
            <w:pPr>
              <w:spacing w:after="0" w:line="240" w:lineRule="auto"/>
              <w:jc w:val="center"/>
              <w:rPr>
                <w:rFonts w:ascii="Verdana" w:eastAsia="Times New Roman" w:hAnsi="Verdana"/>
                <w:color w:val="000000"/>
                <w:sz w:val="14"/>
                <w:szCs w:val="14"/>
              </w:rPr>
            </w:pPr>
            <w:r w:rsidRPr="00923405">
              <w:rPr>
                <w:rFonts w:ascii="Verdana" w:eastAsia="Times New Roman" w:hAnsi="Verdana"/>
                <w:color w:val="000000"/>
                <w:sz w:val="14"/>
                <w:szCs w:val="14"/>
              </w:rPr>
              <w:t>1.156</w:t>
            </w:r>
          </w:p>
        </w:tc>
        <w:tc>
          <w:tcPr>
            <w:tcW w:w="1119" w:type="dxa"/>
            <w:tcBorders>
              <w:top w:val="nil"/>
              <w:left w:val="nil"/>
              <w:bottom w:val="single" w:sz="8" w:space="0" w:color="auto"/>
              <w:right w:val="single" w:sz="8" w:space="0" w:color="auto"/>
            </w:tcBorders>
            <w:shd w:val="clear" w:color="auto" w:fill="auto"/>
            <w:vAlign w:val="center"/>
            <w:hideMark/>
          </w:tcPr>
          <w:p w14:paraId="57E6DB49" w14:textId="77777777" w:rsidR="00092FC3" w:rsidRPr="00923405" w:rsidRDefault="00092FC3" w:rsidP="0068230C">
            <w:pPr>
              <w:spacing w:after="0" w:line="240" w:lineRule="auto"/>
              <w:jc w:val="center"/>
              <w:rPr>
                <w:rFonts w:ascii="Verdana" w:eastAsia="Times New Roman" w:hAnsi="Verdana"/>
                <w:color w:val="000000"/>
                <w:sz w:val="14"/>
                <w:szCs w:val="14"/>
              </w:rPr>
            </w:pPr>
            <w:r w:rsidRPr="00923405">
              <w:rPr>
                <w:rFonts w:ascii="Verdana" w:eastAsia="Times New Roman" w:hAnsi="Verdana"/>
                <w:color w:val="000000"/>
                <w:sz w:val="14"/>
                <w:szCs w:val="14"/>
              </w:rPr>
              <w:t>10.337</w:t>
            </w:r>
          </w:p>
        </w:tc>
        <w:tc>
          <w:tcPr>
            <w:tcW w:w="1017" w:type="dxa"/>
            <w:tcBorders>
              <w:top w:val="nil"/>
              <w:left w:val="nil"/>
              <w:bottom w:val="single" w:sz="8" w:space="0" w:color="auto"/>
              <w:right w:val="single" w:sz="8" w:space="0" w:color="auto"/>
            </w:tcBorders>
            <w:shd w:val="clear" w:color="auto" w:fill="auto"/>
            <w:vAlign w:val="center"/>
            <w:hideMark/>
          </w:tcPr>
          <w:p w14:paraId="4E7762B9" w14:textId="77777777" w:rsidR="00092FC3" w:rsidRPr="00923405" w:rsidRDefault="00092FC3" w:rsidP="0068230C">
            <w:pPr>
              <w:spacing w:after="0" w:line="240" w:lineRule="auto"/>
              <w:jc w:val="center"/>
              <w:rPr>
                <w:rFonts w:ascii="Verdana" w:eastAsia="Times New Roman" w:hAnsi="Verdana"/>
                <w:color w:val="000000"/>
                <w:sz w:val="14"/>
                <w:szCs w:val="14"/>
              </w:rPr>
            </w:pPr>
            <w:r w:rsidRPr="00923405">
              <w:rPr>
                <w:rFonts w:ascii="Verdana" w:eastAsia="Times New Roman" w:hAnsi="Verdana"/>
                <w:color w:val="000000"/>
                <w:sz w:val="14"/>
                <w:szCs w:val="14"/>
              </w:rPr>
              <w:t>6,62%</w:t>
            </w:r>
          </w:p>
        </w:tc>
        <w:tc>
          <w:tcPr>
            <w:tcW w:w="1017" w:type="dxa"/>
            <w:tcBorders>
              <w:top w:val="nil"/>
              <w:left w:val="nil"/>
              <w:bottom w:val="single" w:sz="8" w:space="0" w:color="auto"/>
              <w:right w:val="single" w:sz="8" w:space="0" w:color="auto"/>
            </w:tcBorders>
            <w:shd w:val="clear" w:color="auto" w:fill="auto"/>
            <w:vAlign w:val="center"/>
            <w:hideMark/>
          </w:tcPr>
          <w:p w14:paraId="55133FED" w14:textId="77777777" w:rsidR="00092FC3" w:rsidRPr="00923405" w:rsidRDefault="00092FC3" w:rsidP="0068230C">
            <w:pPr>
              <w:spacing w:after="0" w:line="240" w:lineRule="auto"/>
              <w:jc w:val="center"/>
              <w:rPr>
                <w:rFonts w:ascii="Verdana" w:eastAsia="Times New Roman" w:hAnsi="Verdana"/>
                <w:color w:val="000000"/>
                <w:sz w:val="14"/>
                <w:szCs w:val="14"/>
              </w:rPr>
            </w:pPr>
            <w:r w:rsidRPr="00923405">
              <w:rPr>
                <w:rFonts w:ascii="Verdana" w:eastAsia="Times New Roman" w:hAnsi="Verdana"/>
                <w:color w:val="000000"/>
                <w:sz w:val="14"/>
                <w:szCs w:val="14"/>
              </w:rPr>
              <w:t>10.186</w:t>
            </w:r>
          </w:p>
        </w:tc>
        <w:tc>
          <w:tcPr>
            <w:tcW w:w="1017" w:type="dxa"/>
            <w:tcBorders>
              <w:top w:val="nil"/>
              <w:left w:val="nil"/>
              <w:bottom w:val="single" w:sz="8" w:space="0" w:color="auto"/>
              <w:right w:val="single" w:sz="8" w:space="0" w:color="auto"/>
            </w:tcBorders>
            <w:shd w:val="clear" w:color="auto" w:fill="auto"/>
            <w:vAlign w:val="center"/>
            <w:hideMark/>
          </w:tcPr>
          <w:p w14:paraId="5E885671" w14:textId="77777777" w:rsidR="00092FC3" w:rsidRPr="00923405" w:rsidRDefault="00092FC3" w:rsidP="0068230C">
            <w:pPr>
              <w:spacing w:after="0" w:line="240" w:lineRule="auto"/>
              <w:jc w:val="center"/>
              <w:rPr>
                <w:rFonts w:ascii="Verdana" w:eastAsia="Times New Roman" w:hAnsi="Verdana"/>
                <w:color w:val="000000"/>
                <w:sz w:val="14"/>
                <w:szCs w:val="14"/>
              </w:rPr>
            </w:pPr>
            <w:r w:rsidRPr="00923405">
              <w:rPr>
                <w:rFonts w:ascii="Verdana" w:eastAsia="Times New Roman" w:hAnsi="Verdana"/>
                <w:color w:val="000000"/>
                <w:sz w:val="14"/>
                <w:szCs w:val="14"/>
              </w:rPr>
              <w:t>98,54%</w:t>
            </w:r>
          </w:p>
        </w:tc>
        <w:tc>
          <w:tcPr>
            <w:tcW w:w="1017" w:type="dxa"/>
            <w:tcBorders>
              <w:top w:val="nil"/>
              <w:left w:val="nil"/>
              <w:bottom w:val="single" w:sz="8" w:space="0" w:color="auto"/>
              <w:right w:val="single" w:sz="8" w:space="0" w:color="auto"/>
            </w:tcBorders>
            <w:shd w:val="clear" w:color="auto" w:fill="auto"/>
            <w:vAlign w:val="center"/>
            <w:hideMark/>
          </w:tcPr>
          <w:p w14:paraId="2F6903BF" w14:textId="77777777" w:rsidR="00092FC3" w:rsidRPr="00923405" w:rsidRDefault="00092FC3" w:rsidP="0068230C">
            <w:pPr>
              <w:spacing w:after="0" w:line="240" w:lineRule="auto"/>
              <w:jc w:val="center"/>
              <w:rPr>
                <w:rFonts w:ascii="Verdana" w:eastAsia="Times New Roman" w:hAnsi="Verdana"/>
                <w:color w:val="000000"/>
                <w:sz w:val="14"/>
                <w:szCs w:val="14"/>
              </w:rPr>
            </w:pPr>
            <w:r w:rsidRPr="00923405">
              <w:rPr>
                <w:rFonts w:ascii="Verdana" w:eastAsia="Times New Roman" w:hAnsi="Verdana"/>
                <w:color w:val="000000"/>
                <w:sz w:val="14"/>
                <w:szCs w:val="14"/>
              </w:rPr>
              <w:t>10.186</w:t>
            </w:r>
          </w:p>
        </w:tc>
        <w:tc>
          <w:tcPr>
            <w:tcW w:w="1017" w:type="dxa"/>
            <w:tcBorders>
              <w:top w:val="nil"/>
              <w:left w:val="nil"/>
              <w:bottom w:val="single" w:sz="8" w:space="0" w:color="auto"/>
              <w:right w:val="single" w:sz="8" w:space="0" w:color="auto"/>
            </w:tcBorders>
            <w:shd w:val="clear" w:color="auto" w:fill="auto"/>
            <w:vAlign w:val="center"/>
            <w:hideMark/>
          </w:tcPr>
          <w:p w14:paraId="6AC16FEE" w14:textId="77777777" w:rsidR="00092FC3" w:rsidRPr="00923405" w:rsidRDefault="00092FC3" w:rsidP="0068230C">
            <w:pPr>
              <w:spacing w:after="0" w:line="240" w:lineRule="auto"/>
              <w:jc w:val="center"/>
              <w:rPr>
                <w:rFonts w:ascii="Verdana" w:eastAsia="Times New Roman" w:hAnsi="Verdana"/>
                <w:color w:val="000000"/>
                <w:sz w:val="14"/>
                <w:szCs w:val="14"/>
              </w:rPr>
            </w:pPr>
            <w:r w:rsidRPr="00923405">
              <w:rPr>
                <w:rFonts w:ascii="Verdana" w:eastAsia="Times New Roman" w:hAnsi="Verdana"/>
                <w:color w:val="000000"/>
                <w:sz w:val="14"/>
                <w:szCs w:val="14"/>
              </w:rPr>
              <w:t>98,54%</w:t>
            </w:r>
          </w:p>
        </w:tc>
      </w:tr>
      <w:tr w:rsidR="00092FC3" w:rsidRPr="00923405" w14:paraId="7AEBA6FA" w14:textId="77777777" w:rsidTr="0068230C">
        <w:trPr>
          <w:trHeight w:val="915"/>
        </w:trPr>
        <w:tc>
          <w:tcPr>
            <w:tcW w:w="1515" w:type="dxa"/>
            <w:tcBorders>
              <w:top w:val="nil"/>
              <w:left w:val="single" w:sz="8" w:space="0" w:color="auto"/>
              <w:bottom w:val="single" w:sz="8" w:space="0" w:color="auto"/>
              <w:right w:val="single" w:sz="8" w:space="0" w:color="auto"/>
            </w:tcBorders>
            <w:shd w:val="clear" w:color="auto" w:fill="auto"/>
            <w:vAlign w:val="center"/>
            <w:hideMark/>
          </w:tcPr>
          <w:p w14:paraId="2403558A" w14:textId="77777777" w:rsidR="00092FC3" w:rsidRPr="00923405" w:rsidRDefault="00092FC3" w:rsidP="0068230C">
            <w:pPr>
              <w:spacing w:after="0" w:line="240" w:lineRule="auto"/>
              <w:rPr>
                <w:rFonts w:ascii="Verdana" w:eastAsia="Times New Roman" w:hAnsi="Verdana"/>
                <w:b/>
                <w:bCs/>
                <w:color w:val="000000"/>
                <w:sz w:val="14"/>
                <w:szCs w:val="14"/>
              </w:rPr>
            </w:pPr>
            <w:r w:rsidRPr="00923405">
              <w:rPr>
                <w:rFonts w:ascii="Verdana" w:eastAsia="Times New Roman" w:hAnsi="Verdana"/>
                <w:b/>
                <w:bCs/>
                <w:color w:val="000000"/>
                <w:sz w:val="14"/>
                <w:szCs w:val="14"/>
              </w:rPr>
              <w:t xml:space="preserve"> GASTOS POR TRIBUTOS, MULTAS, SANCIONES E INTERES DE MORA</w:t>
            </w:r>
          </w:p>
        </w:tc>
        <w:tc>
          <w:tcPr>
            <w:tcW w:w="1119" w:type="dxa"/>
            <w:tcBorders>
              <w:top w:val="nil"/>
              <w:left w:val="nil"/>
              <w:bottom w:val="single" w:sz="8" w:space="0" w:color="auto"/>
              <w:right w:val="single" w:sz="8" w:space="0" w:color="auto"/>
            </w:tcBorders>
            <w:shd w:val="clear" w:color="auto" w:fill="auto"/>
            <w:vAlign w:val="center"/>
            <w:hideMark/>
          </w:tcPr>
          <w:p w14:paraId="2EF55558" w14:textId="77777777" w:rsidR="00092FC3" w:rsidRPr="00923405" w:rsidRDefault="00092FC3" w:rsidP="0068230C">
            <w:pPr>
              <w:spacing w:after="0" w:line="240" w:lineRule="auto"/>
              <w:jc w:val="center"/>
              <w:rPr>
                <w:rFonts w:ascii="Verdana" w:eastAsia="Times New Roman" w:hAnsi="Verdana"/>
                <w:color w:val="000000"/>
                <w:sz w:val="14"/>
                <w:szCs w:val="14"/>
              </w:rPr>
            </w:pPr>
            <w:r w:rsidRPr="00923405">
              <w:rPr>
                <w:rFonts w:ascii="Verdana" w:eastAsia="Times New Roman" w:hAnsi="Verdana"/>
                <w:color w:val="000000"/>
                <w:sz w:val="14"/>
                <w:szCs w:val="14"/>
              </w:rPr>
              <w:t>1.450</w:t>
            </w:r>
          </w:p>
        </w:tc>
        <w:tc>
          <w:tcPr>
            <w:tcW w:w="1119" w:type="dxa"/>
            <w:tcBorders>
              <w:top w:val="nil"/>
              <w:left w:val="nil"/>
              <w:bottom w:val="single" w:sz="8" w:space="0" w:color="auto"/>
              <w:right w:val="single" w:sz="8" w:space="0" w:color="auto"/>
            </w:tcBorders>
            <w:shd w:val="clear" w:color="auto" w:fill="auto"/>
            <w:vAlign w:val="center"/>
            <w:hideMark/>
          </w:tcPr>
          <w:p w14:paraId="14D7CC04" w14:textId="77777777" w:rsidR="00092FC3" w:rsidRPr="00923405" w:rsidRDefault="00092FC3" w:rsidP="0068230C">
            <w:pPr>
              <w:spacing w:after="0" w:line="240" w:lineRule="auto"/>
              <w:jc w:val="center"/>
              <w:rPr>
                <w:rFonts w:ascii="Verdana" w:eastAsia="Times New Roman" w:hAnsi="Verdana"/>
                <w:color w:val="000000"/>
                <w:sz w:val="14"/>
                <w:szCs w:val="14"/>
              </w:rPr>
            </w:pPr>
            <w:r w:rsidRPr="00923405">
              <w:rPr>
                <w:rFonts w:ascii="Verdana" w:eastAsia="Times New Roman" w:hAnsi="Verdana"/>
                <w:color w:val="000000"/>
                <w:sz w:val="14"/>
                <w:szCs w:val="14"/>
              </w:rPr>
              <w:t>1.466</w:t>
            </w:r>
          </w:p>
        </w:tc>
        <w:tc>
          <w:tcPr>
            <w:tcW w:w="1017" w:type="dxa"/>
            <w:tcBorders>
              <w:top w:val="nil"/>
              <w:left w:val="nil"/>
              <w:bottom w:val="single" w:sz="8" w:space="0" w:color="auto"/>
              <w:right w:val="single" w:sz="8" w:space="0" w:color="auto"/>
            </w:tcBorders>
            <w:shd w:val="clear" w:color="auto" w:fill="auto"/>
            <w:vAlign w:val="center"/>
            <w:hideMark/>
          </w:tcPr>
          <w:p w14:paraId="35BA6E06" w14:textId="77777777" w:rsidR="00092FC3" w:rsidRPr="00923405" w:rsidRDefault="00092FC3" w:rsidP="0068230C">
            <w:pPr>
              <w:spacing w:after="0" w:line="240" w:lineRule="auto"/>
              <w:jc w:val="center"/>
              <w:rPr>
                <w:rFonts w:ascii="Verdana" w:eastAsia="Times New Roman" w:hAnsi="Verdana"/>
                <w:color w:val="000000"/>
                <w:sz w:val="14"/>
                <w:szCs w:val="14"/>
              </w:rPr>
            </w:pPr>
            <w:r w:rsidRPr="00923405">
              <w:rPr>
                <w:rFonts w:ascii="Verdana" w:eastAsia="Times New Roman" w:hAnsi="Verdana"/>
                <w:color w:val="000000"/>
                <w:sz w:val="14"/>
                <w:szCs w:val="14"/>
              </w:rPr>
              <w:t>0,94%</w:t>
            </w:r>
          </w:p>
        </w:tc>
        <w:tc>
          <w:tcPr>
            <w:tcW w:w="1017" w:type="dxa"/>
            <w:tcBorders>
              <w:top w:val="nil"/>
              <w:left w:val="nil"/>
              <w:bottom w:val="single" w:sz="8" w:space="0" w:color="auto"/>
              <w:right w:val="single" w:sz="8" w:space="0" w:color="auto"/>
            </w:tcBorders>
            <w:shd w:val="clear" w:color="auto" w:fill="auto"/>
            <w:vAlign w:val="center"/>
            <w:hideMark/>
          </w:tcPr>
          <w:p w14:paraId="4C1BBB57" w14:textId="77777777" w:rsidR="00092FC3" w:rsidRPr="00923405" w:rsidRDefault="00092FC3" w:rsidP="0068230C">
            <w:pPr>
              <w:spacing w:after="0" w:line="240" w:lineRule="auto"/>
              <w:jc w:val="center"/>
              <w:rPr>
                <w:rFonts w:ascii="Verdana" w:eastAsia="Times New Roman" w:hAnsi="Verdana"/>
                <w:color w:val="000000"/>
                <w:sz w:val="14"/>
                <w:szCs w:val="14"/>
              </w:rPr>
            </w:pPr>
            <w:r w:rsidRPr="00923405">
              <w:rPr>
                <w:rFonts w:ascii="Verdana" w:eastAsia="Times New Roman" w:hAnsi="Verdana"/>
                <w:color w:val="000000"/>
                <w:sz w:val="14"/>
                <w:szCs w:val="14"/>
              </w:rPr>
              <w:t>280</w:t>
            </w:r>
          </w:p>
        </w:tc>
        <w:tc>
          <w:tcPr>
            <w:tcW w:w="1017" w:type="dxa"/>
            <w:tcBorders>
              <w:top w:val="nil"/>
              <w:left w:val="nil"/>
              <w:bottom w:val="single" w:sz="8" w:space="0" w:color="auto"/>
              <w:right w:val="single" w:sz="8" w:space="0" w:color="auto"/>
            </w:tcBorders>
            <w:shd w:val="clear" w:color="auto" w:fill="auto"/>
            <w:vAlign w:val="center"/>
            <w:hideMark/>
          </w:tcPr>
          <w:p w14:paraId="5EEEC64E" w14:textId="77777777" w:rsidR="00092FC3" w:rsidRPr="00923405" w:rsidRDefault="00092FC3" w:rsidP="0068230C">
            <w:pPr>
              <w:spacing w:after="0" w:line="240" w:lineRule="auto"/>
              <w:jc w:val="center"/>
              <w:rPr>
                <w:rFonts w:ascii="Verdana" w:eastAsia="Times New Roman" w:hAnsi="Verdana"/>
                <w:color w:val="000000"/>
                <w:sz w:val="14"/>
                <w:szCs w:val="14"/>
              </w:rPr>
            </w:pPr>
            <w:r w:rsidRPr="00923405">
              <w:rPr>
                <w:rFonts w:ascii="Verdana" w:eastAsia="Times New Roman" w:hAnsi="Verdana"/>
                <w:color w:val="000000"/>
                <w:sz w:val="14"/>
                <w:szCs w:val="14"/>
              </w:rPr>
              <w:t>19,10%</w:t>
            </w:r>
          </w:p>
        </w:tc>
        <w:tc>
          <w:tcPr>
            <w:tcW w:w="1017" w:type="dxa"/>
            <w:tcBorders>
              <w:top w:val="nil"/>
              <w:left w:val="nil"/>
              <w:bottom w:val="single" w:sz="8" w:space="0" w:color="auto"/>
              <w:right w:val="single" w:sz="8" w:space="0" w:color="auto"/>
            </w:tcBorders>
            <w:shd w:val="clear" w:color="auto" w:fill="auto"/>
            <w:vAlign w:val="center"/>
            <w:hideMark/>
          </w:tcPr>
          <w:p w14:paraId="093A860A" w14:textId="77777777" w:rsidR="00092FC3" w:rsidRPr="00923405" w:rsidRDefault="00092FC3" w:rsidP="0068230C">
            <w:pPr>
              <w:spacing w:after="0" w:line="240" w:lineRule="auto"/>
              <w:jc w:val="center"/>
              <w:rPr>
                <w:rFonts w:ascii="Verdana" w:eastAsia="Times New Roman" w:hAnsi="Verdana"/>
                <w:color w:val="000000"/>
                <w:sz w:val="14"/>
                <w:szCs w:val="14"/>
              </w:rPr>
            </w:pPr>
            <w:r w:rsidRPr="00923405">
              <w:rPr>
                <w:rFonts w:ascii="Verdana" w:eastAsia="Times New Roman" w:hAnsi="Verdana"/>
                <w:color w:val="000000"/>
                <w:sz w:val="14"/>
                <w:szCs w:val="14"/>
              </w:rPr>
              <w:t>280</w:t>
            </w:r>
          </w:p>
        </w:tc>
        <w:tc>
          <w:tcPr>
            <w:tcW w:w="1017" w:type="dxa"/>
            <w:tcBorders>
              <w:top w:val="nil"/>
              <w:left w:val="nil"/>
              <w:bottom w:val="single" w:sz="8" w:space="0" w:color="auto"/>
              <w:right w:val="single" w:sz="8" w:space="0" w:color="auto"/>
            </w:tcBorders>
            <w:shd w:val="clear" w:color="auto" w:fill="auto"/>
            <w:vAlign w:val="center"/>
            <w:hideMark/>
          </w:tcPr>
          <w:p w14:paraId="2534F019" w14:textId="77777777" w:rsidR="00092FC3" w:rsidRPr="00923405" w:rsidRDefault="00092FC3" w:rsidP="0068230C">
            <w:pPr>
              <w:spacing w:after="0" w:line="240" w:lineRule="auto"/>
              <w:jc w:val="center"/>
              <w:rPr>
                <w:rFonts w:ascii="Verdana" w:eastAsia="Times New Roman" w:hAnsi="Verdana"/>
                <w:color w:val="000000"/>
                <w:sz w:val="14"/>
                <w:szCs w:val="14"/>
              </w:rPr>
            </w:pPr>
            <w:r w:rsidRPr="00923405">
              <w:rPr>
                <w:rFonts w:ascii="Verdana" w:eastAsia="Times New Roman" w:hAnsi="Verdana"/>
                <w:color w:val="000000"/>
                <w:sz w:val="14"/>
                <w:szCs w:val="14"/>
              </w:rPr>
              <w:t>19,10%</w:t>
            </w:r>
          </w:p>
        </w:tc>
      </w:tr>
      <w:tr w:rsidR="00092FC3" w:rsidRPr="00923405" w14:paraId="68CE6978" w14:textId="77777777" w:rsidTr="0068230C">
        <w:trPr>
          <w:trHeight w:val="375"/>
        </w:trPr>
        <w:tc>
          <w:tcPr>
            <w:tcW w:w="1515" w:type="dxa"/>
            <w:tcBorders>
              <w:top w:val="nil"/>
              <w:left w:val="single" w:sz="8" w:space="0" w:color="auto"/>
              <w:bottom w:val="single" w:sz="8" w:space="0" w:color="auto"/>
              <w:right w:val="single" w:sz="8" w:space="0" w:color="auto"/>
            </w:tcBorders>
            <w:shd w:val="clear" w:color="000000" w:fill="FFCC66"/>
            <w:vAlign w:val="center"/>
            <w:hideMark/>
          </w:tcPr>
          <w:p w14:paraId="3D71B1FE" w14:textId="77777777" w:rsidR="00092FC3" w:rsidRPr="00923405" w:rsidRDefault="00092FC3" w:rsidP="0068230C">
            <w:pPr>
              <w:spacing w:after="0" w:line="240" w:lineRule="auto"/>
              <w:jc w:val="center"/>
              <w:rPr>
                <w:rFonts w:ascii="Verdana" w:eastAsia="Times New Roman" w:hAnsi="Verdana"/>
                <w:b/>
                <w:bCs/>
                <w:color w:val="000000"/>
                <w:sz w:val="14"/>
                <w:szCs w:val="14"/>
              </w:rPr>
            </w:pPr>
            <w:r w:rsidRPr="00923405">
              <w:rPr>
                <w:rFonts w:ascii="Verdana" w:eastAsia="Times New Roman" w:hAnsi="Verdana"/>
                <w:b/>
                <w:bCs/>
                <w:color w:val="000000"/>
                <w:sz w:val="14"/>
                <w:szCs w:val="14"/>
              </w:rPr>
              <w:t>SERVICIO DE LA DEUDA PÚBLICA</w:t>
            </w:r>
          </w:p>
        </w:tc>
        <w:tc>
          <w:tcPr>
            <w:tcW w:w="1119" w:type="dxa"/>
            <w:tcBorders>
              <w:top w:val="nil"/>
              <w:left w:val="nil"/>
              <w:bottom w:val="single" w:sz="8" w:space="0" w:color="auto"/>
              <w:right w:val="single" w:sz="8" w:space="0" w:color="auto"/>
            </w:tcBorders>
            <w:shd w:val="clear" w:color="000000" w:fill="FFCC66"/>
            <w:vAlign w:val="center"/>
            <w:hideMark/>
          </w:tcPr>
          <w:p w14:paraId="4DC629C6" w14:textId="77777777" w:rsidR="00092FC3" w:rsidRPr="00923405" w:rsidRDefault="00092FC3" w:rsidP="0068230C">
            <w:pPr>
              <w:spacing w:after="0" w:line="240" w:lineRule="auto"/>
              <w:jc w:val="center"/>
              <w:rPr>
                <w:rFonts w:ascii="Verdana" w:eastAsia="Times New Roman" w:hAnsi="Verdana"/>
                <w:b/>
                <w:bCs/>
                <w:color w:val="000000"/>
                <w:sz w:val="14"/>
                <w:szCs w:val="14"/>
              </w:rPr>
            </w:pPr>
            <w:r w:rsidRPr="00923405">
              <w:rPr>
                <w:rFonts w:ascii="Verdana" w:eastAsia="Times New Roman" w:hAnsi="Verdana"/>
                <w:b/>
                <w:bCs/>
                <w:color w:val="000000"/>
                <w:sz w:val="14"/>
                <w:szCs w:val="14"/>
              </w:rPr>
              <w:t>1.600</w:t>
            </w:r>
          </w:p>
        </w:tc>
        <w:tc>
          <w:tcPr>
            <w:tcW w:w="1119" w:type="dxa"/>
            <w:tcBorders>
              <w:top w:val="nil"/>
              <w:left w:val="nil"/>
              <w:bottom w:val="single" w:sz="8" w:space="0" w:color="auto"/>
              <w:right w:val="single" w:sz="8" w:space="0" w:color="auto"/>
            </w:tcBorders>
            <w:shd w:val="clear" w:color="000000" w:fill="FFCC66"/>
            <w:vAlign w:val="center"/>
            <w:hideMark/>
          </w:tcPr>
          <w:p w14:paraId="463D7C3A" w14:textId="77777777" w:rsidR="00092FC3" w:rsidRPr="00923405" w:rsidRDefault="00092FC3" w:rsidP="0068230C">
            <w:pPr>
              <w:spacing w:after="0" w:line="240" w:lineRule="auto"/>
              <w:jc w:val="center"/>
              <w:rPr>
                <w:rFonts w:ascii="Verdana" w:eastAsia="Times New Roman" w:hAnsi="Verdana"/>
                <w:b/>
                <w:bCs/>
                <w:color w:val="000000"/>
                <w:sz w:val="14"/>
                <w:szCs w:val="14"/>
              </w:rPr>
            </w:pPr>
            <w:r w:rsidRPr="00923405">
              <w:rPr>
                <w:rFonts w:ascii="Verdana" w:eastAsia="Times New Roman" w:hAnsi="Verdana"/>
                <w:b/>
                <w:bCs/>
                <w:color w:val="000000"/>
                <w:sz w:val="14"/>
                <w:szCs w:val="14"/>
              </w:rPr>
              <w:t>1.600</w:t>
            </w:r>
          </w:p>
        </w:tc>
        <w:tc>
          <w:tcPr>
            <w:tcW w:w="1017" w:type="dxa"/>
            <w:tcBorders>
              <w:top w:val="nil"/>
              <w:left w:val="nil"/>
              <w:bottom w:val="single" w:sz="8" w:space="0" w:color="auto"/>
              <w:right w:val="single" w:sz="8" w:space="0" w:color="auto"/>
            </w:tcBorders>
            <w:shd w:val="clear" w:color="000000" w:fill="FFCC66"/>
            <w:vAlign w:val="center"/>
            <w:hideMark/>
          </w:tcPr>
          <w:p w14:paraId="3FD39B1B" w14:textId="77777777" w:rsidR="00092FC3" w:rsidRPr="00923405" w:rsidRDefault="00092FC3" w:rsidP="0068230C">
            <w:pPr>
              <w:spacing w:after="0" w:line="240" w:lineRule="auto"/>
              <w:jc w:val="center"/>
              <w:rPr>
                <w:rFonts w:ascii="Verdana" w:eastAsia="Times New Roman" w:hAnsi="Verdana"/>
                <w:b/>
                <w:bCs/>
                <w:color w:val="000000"/>
                <w:sz w:val="14"/>
                <w:szCs w:val="14"/>
              </w:rPr>
            </w:pPr>
            <w:r w:rsidRPr="00923405">
              <w:rPr>
                <w:rFonts w:ascii="Verdana" w:eastAsia="Times New Roman" w:hAnsi="Verdana"/>
                <w:b/>
                <w:bCs/>
                <w:color w:val="000000"/>
                <w:sz w:val="14"/>
                <w:szCs w:val="14"/>
              </w:rPr>
              <w:t>1,02%</w:t>
            </w:r>
          </w:p>
        </w:tc>
        <w:tc>
          <w:tcPr>
            <w:tcW w:w="1017" w:type="dxa"/>
            <w:tcBorders>
              <w:top w:val="nil"/>
              <w:left w:val="nil"/>
              <w:bottom w:val="single" w:sz="8" w:space="0" w:color="auto"/>
              <w:right w:val="single" w:sz="8" w:space="0" w:color="auto"/>
            </w:tcBorders>
            <w:shd w:val="clear" w:color="000000" w:fill="FFCC66"/>
            <w:vAlign w:val="center"/>
            <w:hideMark/>
          </w:tcPr>
          <w:p w14:paraId="33F23313" w14:textId="77777777" w:rsidR="00092FC3" w:rsidRPr="00923405" w:rsidRDefault="00092FC3" w:rsidP="0068230C">
            <w:pPr>
              <w:spacing w:after="0" w:line="240" w:lineRule="auto"/>
              <w:jc w:val="center"/>
              <w:rPr>
                <w:rFonts w:ascii="Verdana" w:eastAsia="Times New Roman" w:hAnsi="Verdana"/>
                <w:b/>
                <w:bCs/>
                <w:color w:val="000000"/>
                <w:sz w:val="14"/>
                <w:szCs w:val="14"/>
              </w:rPr>
            </w:pPr>
            <w:r w:rsidRPr="00923405">
              <w:rPr>
                <w:rFonts w:ascii="Verdana" w:eastAsia="Times New Roman" w:hAnsi="Verdana"/>
                <w:b/>
                <w:bCs/>
                <w:color w:val="000000"/>
                <w:sz w:val="14"/>
                <w:szCs w:val="14"/>
              </w:rPr>
              <w:t>1.600</w:t>
            </w:r>
          </w:p>
        </w:tc>
        <w:tc>
          <w:tcPr>
            <w:tcW w:w="1017" w:type="dxa"/>
            <w:tcBorders>
              <w:top w:val="nil"/>
              <w:left w:val="nil"/>
              <w:bottom w:val="single" w:sz="8" w:space="0" w:color="auto"/>
              <w:right w:val="single" w:sz="8" w:space="0" w:color="auto"/>
            </w:tcBorders>
            <w:shd w:val="clear" w:color="000000" w:fill="FFCC66"/>
            <w:vAlign w:val="center"/>
            <w:hideMark/>
          </w:tcPr>
          <w:p w14:paraId="6D9E38B1" w14:textId="77777777" w:rsidR="00092FC3" w:rsidRPr="00923405" w:rsidRDefault="00092FC3" w:rsidP="0068230C">
            <w:pPr>
              <w:spacing w:after="0" w:line="240" w:lineRule="auto"/>
              <w:jc w:val="center"/>
              <w:rPr>
                <w:rFonts w:ascii="Verdana" w:eastAsia="Times New Roman" w:hAnsi="Verdana"/>
                <w:b/>
                <w:bCs/>
                <w:color w:val="000000"/>
                <w:sz w:val="14"/>
                <w:szCs w:val="14"/>
              </w:rPr>
            </w:pPr>
            <w:r w:rsidRPr="00923405">
              <w:rPr>
                <w:rFonts w:ascii="Verdana" w:eastAsia="Times New Roman" w:hAnsi="Verdana"/>
                <w:b/>
                <w:bCs/>
                <w:color w:val="000000"/>
                <w:sz w:val="14"/>
                <w:szCs w:val="14"/>
              </w:rPr>
              <w:t>100,00%</w:t>
            </w:r>
          </w:p>
        </w:tc>
        <w:tc>
          <w:tcPr>
            <w:tcW w:w="1017" w:type="dxa"/>
            <w:tcBorders>
              <w:top w:val="nil"/>
              <w:left w:val="nil"/>
              <w:bottom w:val="single" w:sz="8" w:space="0" w:color="auto"/>
              <w:right w:val="single" w:sz="8" w:space="0" w:color="auto"/>
            </w:tcBorders>
            <w:shd w:val="clear" w:color="000000" w:fill="FFCC66"/>
            <w:vAlign w:val="center"/>
            <w:hideMark/>
          </w:tcPr>
          <w:p w14:paraId="69F1C181" w14:textId="77777777" w:rsidR="00092FC3" w:rsidRPr="00923405" w:rsidRDefault="00092FC3" w:rsidP="0068230C">
            <w:pPr>
              <w:spacing w:after="0" w:line="240" w:lineRule="auto"/>
              <w:jc w:val="center"/>
              <w:rPr>
                <w:rFonts w:ascii="Verdana" w:eastAsia="Times New Roman" w:hAnsi="Verdana"/>
                <w:b/>
                <w:bCs/>
                <w:color w:val="000000"/>
                <w:sz w:val="14"/>
                <w:szCs w:val="14"/>
              </w:rPr>
            </w:pPr>
            <w:r w:rsidRPr="00923405">
              <w:rPr>
                <w:rFonts w:ascii="Verdana" w:eastAsia="Times New Roman" w:hAnsi="Verdana"/>
                <w:b/>
                <w:bCs/>
                <w:color w:val="000000"/>
                <w:sz w:val="14"/>
                <w:szCs w:val="14"/>
              </w:rPr>
              <w:t>1.600</w:t>
            </w:r>
          </w:p>
        </w:tc>
        <w:tc>
          <w:tcPr>
            <w:tcW w:w="1017" w:type="dxa"/>
            <w:tcBorders>
              <w:top w:val="nil"/>
              <w:left w:val="nil"/>
              <w:bottom w:val="single" w:sz="8" w:space="0" w:color="auto"/>
              <w:right w:val="single" w:sz="8" w:space="0" w:color="auto"/>
            </w:tcBorders>
            <w:shd w:val="clear" w:color="000000" w:fill="FFCC66"/>
            <w:vAlign w:val="center"/>
            <w:hideMark/>
          </w:tcPr>
          <w:p w14:paraId="7A995E95" w14:textId="77777777" w:rsidR="00092FC3" w:rsidRPr="00923405" w:rsidRDefault="00092FC3" w:rsidP="0068230C">
            <w:pPr>
              <w:spacing w:after="0" w:line="240" w:lineRule="auto"/>
              <w:jc w:val="center"/>
              <w:rPr>
                <w:rFonts w:ascii="Verdana" w:eastAsia="Times New Roman" w:hAnsi="Verdana"/>
                <w:b/>
                <w:bCs/>
                <w:color w:val="000000"/>
                <w:sz w:val="14"/>
                <w:szCs w:val="14"/>
              </w:rPr>
            </w:pPr>
            <w:r w:rsidRPr="00923405">
              <w:rPr>
                <w:rFonts w:ascii="Verdana" w:eastAsia="Times New Roman" w:hAnsi="Verdana"/>
                <w:b/>
                <w:bCs/>
                <w:color w:val="000000"/>
                <w:sz w:val="14"/>
                <w:szCs w:val="14"/>
              </w:rPr>
              <w:t>100,00%</w:t>
            </w:r>
          </w:p>
        </w:tc>
      </w:tr>
      <w:tr w:rsidR="00092FC3" w:rsidRPr="00923405" w14:paraId="0E849CD0" w14:textId="77777777" w:rsidTr="0068230C">
        <w:trPr>
          <w:trHeight w:val="375"/>
        </w:trPr>
        <w:tc>
          <w:tcPr>
            <w:tcW w:w="1515" w:type="dxa"/>
            <w:tcBorders>
              <w:top w:val="nil"/>
              <w:left w:val="single" w:sz="8" w:space="0" w:color="auto"/>
              <w:bottom w:val="single" w:sz="8" w:space="0" w:color="auto"/>
              <w:right w:val="single" w:sz="8" w:space="0" w:color="auto"/>
            </w:tcBorders>
            <w:shd w:val="clear" w:color="auto" w:fill="auto"/>
            <w:vAlign w:val="center"/>
            <w:hideMark/>
          </w:tcPr>
          <w:p w14:paraId="51B11DCC" w14:textId="77777777" w:rsidR="00092FC3" w:rsidRPr="00923405" w:rsidRDefault="00092FC3" w:rsidP="0068230C">
            <w:pPr>
              <w:spacing w:after="0" w:line="240" w:lineRule="auto"/>
              <w:rPr>
                <w:rFonts w:ascii="Verdana" w:eastAsia="Times New Roman" w:hAnsi="Verdana"/>
                <w:b/>
                <w:bCs/>
                <w:color w:val="000000"/>
                <w:sz w:val="14"/>
                <w:szCs w:val="14"/>
              </w:rPr>
            </w:pPr>
            <w:r w:rsidRPr="00923405">
              <w:rPr>
                <w:rFonts w:ascii="Verdana" w:eastAsia="Times New Roman" w:hAnsi="Verdana"/>
                <w:b/>
                <w:bCs/>
                <w:color w:val="000000"/>
                <w:sz w:val="14"/>
                <w:szCs w:val="14"/>
              </w:rPr>
              <w:t>APORTE FONDO DE CONTINGENCIAS</w:t>
            </w:r>
          </w:p>
        </w:tc>
        <w:tc>
          <w:tcPr>
            <w:tcW w:w="1119" w:type="dxa"/>
            <w:tcBorders>
              <w:top w:val="nil"/>
              <w:left w:val="nil"/>
              <w:bottom w:val="single" w:sz="8" w:space="0" w:color="auto"/>
              <w:right w:val="single" w:sz="8" w:space="0" w:color="auto"/>
            </w:tcBorders>
            <w:shd w:val="clear" w:color="auto" w:fill="auto"/>
            <w:vAlign w:val="center"/>
            <w:hideMark/>
          </w:tcPr>
          <w:p w14:paraId="12D108F5" w14:textId="77777777" w:rsidR="00092FC3" w:rsidRPr="00923405" w:rsidRDefault="00092FC3" w:rsidP="0068230C">
            <w:pPr>
              <w:spacing w:after="0" w:line="240" w:lineRule="auto"/>
              <w:jc w:val="center"/>
              <w:rPr>
                <w:rFonts w:ascii="Verdana" w:eastAsia="Times New Roman" w:hAnsi="Verdana"/>
                <w:color w:val="000000"/>
                <w:sz w:val="14"/>
                <w:szCs w:val="14"/>
              </w:rPr>
            </w:pPr>
            <w:r w:rsidRPr="00923405">
              <w:rPr>
                <w:rFonts w:ascii="Verdana" w:eastAsia="Times New Roman" w:hAnsi="Verdana"/>
                <w:color w:val="000000"/>
                <w:sz w:val="14"/>
                <w:szCs w:val="14"/>
              </w:rPr>
              <w:t>1.600</w:t>
            </w:r>
          </w:p>
        </w:tc>
        <w:tc>
          <w:tcPr>
            <w:tcW w:w="1119" w:type="dxa"/>
            <w:tcBorders>
              <w:top w:val="nil"/>
              <w:left w:val="nil"/>
              <w:bottom w:val="single" w:sz="8" w:space="0" w:color="auto"/>
              <w:right w:val="single" w:sz="8" w:space="0" w:color="auto"/>
            </w:tcBorders>
            <w:shd w:val="clear" w:color="auto" w:fill="auto"/>
            <w:vAlign w:val="center"/>
            <w:hideMark/>
          </w:tcPr>
          <w:p w14:paraId="78515D6B" w14:textId="77777777" w:rsidR="00092FC3" w:rsidRPr="00923405" w:rsidRDefault="00092FC3" w:rsidP="0068230C">
            <w:pPr>
              <w:spacing w:after="0" w:line="240" w:lineRule="auto"/>
              <w:jc w:val="center"/>
              <w:rPr>
                <w:rFonts w:ascii="Verdana" w:eastAsia="Times New Roman" w:hAnsi="Verdana"/>
                <w:color w:val="000000"/>
                <w:sz w:val="14"/>
                <w:szCs w:val="14"/>
              </w:rPr>
            </w:pPr>
            <w:r w:rsidRPr="00923405">
              <w:rPr>
                <w:rFonts w:ascii="Verdana" w:eastAsia="Times New Roman" w:hAnsi="Verdana"/>
                <w:color w:val="000000"/>
                <w:sz w:val="14"/>
                <w:szCs w:val="14"/>
              </w:rPr>
              <w:t>1.600</w:t>
            </w:r>
          </w:p>
        </w:tc>
        <w:tc>
          <w:tcPr>
            <w:tcW w:w="1017" w:type="dxa"/>
            <w:tcBorders>
              <w:top w:val="nil"/>
              <w:left w:val="nil"/>
              <w:bottom w:val="single" w:sz="8" w:space="0" w:color="auto"/>
              <w:right w:val="single" w:sz="8" w:space="0" w:color="auto"/>
            </w:tcBorders>
            <w:shd w:val="clear" w:color="auto" w:fill="auto"/>
            <w:vAlign w:val="center"/>
            <w:hideMark/>
          </w:tcPr>
          <w:p w14:paraId="6479B779" w14:textId="77777777" w:rsidR="00092FC3" w:rsidRPr="00923405" w:rsidRDefault="00092FC3" w:rsidP="0068230C">
            <w:pPr>
              <w:spacing w:after="0" w:line="240" w:lineRule="auto"/>
              <w:jc w:val="center"/>
              <w:rPr>
                <w:rFonts w:ascii="Verdana" w:eastAsia="Times New Roman" w:hAnsi="Verdana"/>
                <w:color w:val="000000"/>
                <w:sz w:val="14"/>
                <w:szCs w:val="14"/>
              </w:rPr>
            </w:pPr>
            <w:r w:rsidRPr="00923405">
              <w:rPr>
                <w:rFonts w:ascii="Verdana" w:eastAsia="Times New Roman" w:hAnsi="Verdana"/>
                <w:color w:val="000000"/>
                <w:sz w:val="14"/>
                <w:szCs w:val="14"/>
              </w:rPr>
              <w:t>1,02%</w:t>
            </w:r>
          </w:p>
        </w:tc>
        <w:tc>
          <w:tcPr>
            <w:tcW w:w="1017" w:type="dxa"/>
            <w:tcBorders>
              <w:top w:val="nil"/>
              <w:left w:val="nil"/>
              <w:bottom w:val="single" w:sz="8" w:space="0" w:color="auto"/>
              <w:right w:val="single" w:sz="8" w:space="0" w:color="auto"/>
            </w:tcBorders>
            <w:shd w:val="clear" w:color="auto" w:fill="auto"/>
            <w:vAlign w:val="center"/>
            <w:hideMark/>
          </w:tcPr>
          <w:p w14:paraId="2C80827D" w14:textId="77777777" w:rsidR="00092FC3" w:rsidRPr="00923405" w:rsidRDefault="00092FC3" w:rsidP="0068230C">
            <w:pPr>
              <w:spacing w:after="0" w:line="240" w:lineRule="auto"/>
              <w:jc w:val="center"/>
              <w:rPr>
                <w:rFonts w:ascii="Verdana" w:eastAsia="Times New Roman" w:hAnsi="Verdana"/>
                <w:color w:val="000000"/>
                <w:sz w:val="14"/>
                <w:szCs w:val="14"/>
              </w:rPr>
            </w:pPr>
            <w:r w:rsidRPr="00923405">
              <w:rPr>
                <w:rFonts w:ascii="Verdana" w:eastAsia="Times New Roman" w:hAnsi="Verdana"/>
                <w:color w:val="000000"/>
                <w:sz w:val="14"/>
                <w:szCs w:val="14"/>
              </w:rPr>
              <w:t>1.600</w:t>
            </w:r>
          </w:p>
        </w:tc>
        <w:tc>
          <w:tcPr>
            <w:tcW w:w="1017" w:type="dxa"/>
            <w:tcBorders>
              <w:top w:val="nil"/>
              <w:left w:val="nil"/>
              <w:bottom w:val="single" w:sz="8" w:space="0" w:color="auto"/>
              <w:right w:val="single" w:sz="8" w:space="0" w:color="auto"/>
            </w:tcBorders>
            <w:shd w:val="clear" w:color="auto" w:fill="auto"/>
            <w:vAlign w:val="center"/>
            <w:hideMark/>
          </w:tcPr>
          <w:p w14:paraId="591AAD9B" w14:textId="77777777" w:rsidR="00092FC3" w:rsidRPr="00923405" w:rsidRDefault="00092FC3" w:rsidP="0068230C">
            <w:pPr>
              <w:spacing w:after="0" w:line="240" w:lineRule="auto"/>
              <w:jc w:val="center"/>
              <w:rPr>
                <w:rFonts w:ascii="Verdana" w:eastAsia="Times New Roman" w:hAnsi="Verdana"/>
                <w:color w:val="000000"/>
                <w:sz w:val="14"/>
                <w:szCs w:val="14"/>
              </w:rPr>
            </w:pPr>
            <w:r w:rsidRPr="00923405">
              <w:rPr>
                <w:rFonts w:ascii="Verdana" w:eastAsia="Times New Roman" w:hAnsi="Verdana"/>
                <w:color w:val="000000"/>
                <w:sz w:val="14"/>
                <w:szCs w:val="14"/>
              </w:rPr>
              <w:t>100,00%</w:t>
            </w:r>
          </w:p>
        </w:tc>
        <w:tc>
          <w:tcPr>
            <w:tcW w:w="1017" w:type="dxa"/>
            <w:tcBorders>
              <w:top w:val="nil"/>
              <w:left w:val="nil"/>
              <w:bottom w:val="single" w:sz="8" w:space="0" w:color="auto"/>
              <w:right w:val="single" w:sz="8" w:space="0" w:color="auto"/>
            </w:tcBorders>
            <w:shd w:val="clear" w:color="auto" w:fill="auto"/>
            <w:vAlign w:val="center"/>
            <w:hideMark/>
          </w:tcPr>
          <w:p w14:paraId="6F82F5FD" w14:textId="77777777" w:rsidR="00092FC3" w:rsidRPr="00923405" w:rsidRDefault="00092FC3" w:rsidP="0068230C">
            <w:pPr>
              <w:spacing w:after="0" w:line="240" w:lineRule="auto"/>
              <w:jc w:val="center"/>
              <w:rPr>
                <w:rFonts w:ascii="Verdana" w:eastAsia="Times New Roman" w:hAnsi="Verdana"/>
                <w:color w:val="000000"/>
                <w:sz w:val="14"/>
                <w:szCs w:val="14"/>
              </w:rPr>
            </w:pPr>
            <w:r w:rsidRPr="00923405">
              <w:rPr>
                <w:rFonts w:ascii="Verdana" w:eastAsia="Times New Roman" w:hAnsi="Verdana"/>
                <w:color w:val="000000"/>
                <w:sz w:val="14"/>
                <w:szCs w:val="14"/>
              </w:rPr>
              <w:t>1.600</w:t>
            </w:r>
          </w:p>
        </w:tc>
        <w:tc>
          <w:tcPr>
            <w:tcW w:w="1017" w:type="dxa"/>
            <w:tcBorders>
              <w:top w:val="nil"/>
              <w:left w:val="nil"/>
              <w:bottom w:val="single" w:sz="8" w:space="0" w:color="auto"/>
              <w:right w:val="single" w:sz="8" w:space="0" w:color="auto"/>
            </w:tcBorders>
            <w:shd w:val="clear" w:color="auto" w:fill="auto"/>
            <w:vAlign w:val="center"/>
            <w:hideMark/>
          </w:tcPr>
          <w:p w14:paraId="0E23CD38" w14:textId="77777777" w:rsidR="00092FC3" w:rsidRPr="00923405" w:rsidRDefault="00092FC3" w:rsidP="0068230C">
            <w:pPr>
              <w:spacing w:after="0" w:line="240" w:lineRule="auto"/>
              <w:jc w:val="center"/>
              <w:rPr>
                <w:rFonts w:ascii="Verdana" w:eastAsia="Times New Roman" w:hAnsi="Verdana"/>
                <w:color w:val="000000"/>
                <w:sz w:val="14"/>
                <w:szCs w:val="14"/>
              </w:rPr>
            </w:pPr>
            <w:r w:rsidRPr="00923405">
              <w:rPr>
                <w:rFonts w:ascii="Verdana" w:eastAsia="Times New Roman" w:hAnsi="Verdana"/>
                <w:color w:val="000000"/>
                <w:sz w:val="14"/>
                <w:szCs w:val="14"/>
              </w:rPr>
              <w:t>100,00%</w:t>
            </w:r>
          </w:p>
        </w:tc>
      </w:tr>
      <w:tr w:rsidR="00092FC3" w:rsidRPr="00923405" w14:paraId="035C5EA7" w14:textId="77777777" w:rsidTr="0068230C">
        <w:trPr>
          <w:trHeight w:val="315"/>
        </w:trPr>
        <w:tc>
          <w:tcPr>
            <w:tcW w:w="1515" w:type="dxa"/>
            <w:tcBorders>
              <w:top w:val="nil"/>
              <w:left w:val="single" w:sz="8" w:space="0" w:color="auto"/>
              <w:bottom w:val="single" w:sz="8" w:space="0" w:color="auto"/>
              <w:right w:val="single" w:sz="8" w:space="0" w:color="auto"/>
            </w:tcBorders>
            <w:shd w:val="clear" w:color="000000" w:fill="FFCC66"/>
            <w:vAlign w:val="center"/>
            <w:hideMark/>
          </w:tcPr>
          <w:p w14:paraId="10808546" w14:textId="77777777" w:rsidR="00092FC3" w:rsidRPr="00923405" w:rsidRDefault="00092FC3" w:rsidP="0068230C">
            <w:pPr>
              <w:spacing w:after="0" w:line="240" w:lineRule="auto"/>
              <w:jc w:val="center"/>
              <w:rPr>
                <w:rFonts w:ascii="Verdana" w:eastAsia="Times New Roman" w:hAnsi="Verdana"/>
                <w:b/>
                <w:bCs/>
                <w:color w:val="000000"/>
                <w:sz w:val="14"/>
                <w:szCs w:val="14"/>
              </w:rPr>
            </w:pPr>
            <w:r w:rsidRPr="00923405">
              <w:rPr>
                <w:rFonts w:ascii="Verdana" w:eastAsia="Times New Roman" w:hAnsi="Verdana"/>
                <w:b/>
                <w:bCs/>
                <w:color w:val="000000"/>
                <w:sz w:val="14"/>
                <w:szCs w:val="14"/>
              </w:rPr>
              <w:t xml:space="preserve"> INVERSION</w:t>
            </w:r>
          </w:p>
        </w:tc>
        <w:tc>
          <w:tcPr>
            <w:tcW w:w="1119" w:type="dxa"/>
            <w:tcBorders>
              <w:top w:val="nil"/>
              <w:left w:val="nil"/>
              <w:bottom w:val="single" w:sz="8" w:space="0" w:color="auto"/>
              <w:right w:val="single" w:sz="8" w:space="0" w:color="auto"/>
            </w:tcBorders>
            <w:shd w:val="clear" w:color="000000" w:fill="FFCC66"/>
            <w:vAlign w:val="center"/>
            <w:hideMark/>
          </w:tcPr>
          <w:p w14:paraId="2D857A44" w14:textId="77777777" w:rsidR="00092FC3" w:rsidRPr="00923405" w:rsidRDefault="00092FC3" w:rsidP="0068230C">
            <w:pPr>
              <w:spacing w:after="0" w:line="240" w:lineRule="auto"/>
              <w:jc w:val="center"/>
              <w:rPr>
                <w:rFonts w:ascii="Verdana" w:eastAsia="Times New Roman" w:hAnsi="Verdana"/>
                <w:b/>
                <w:bCs/>
                <w:color w:val="000000"/>
                <w:sz w:val="14"/>
                <w:szCs w:val="14"/>
              </w:rPr>
            </w:pPr>
            <w:r w:rsidRPr="00923405">
              <w:rPr>
                <w:rFonts w:ascii="Verdana" w:eastAsia="Times New Roman" w:hAnsi="Verdana"/>
                <w:b/>
                <w:bCs/>
                <w:color w:val="000000"/>
                <w:sz w:val="14"/>
                <w:szCs w:val="14"/>
              </w:rPr>
              <w:t>113.194</w:t>
            </w:r>
          </w:p>
        </w:tc>
        <w:tc>
          <w:tcPr>
            <w:tcW w:w="1119" w:type="dxa"/>
            <w:tcBorders>
              <w:top w:val="nil"/>
              <w:left w:val="nil"/>
              <w:bottom w:val="single" w:sz="8" w:space="0" w:color="auto"/>
              <w:right w:val="single" w:sz="8" w:space="0" w:color="auto"/>
            </w:tcBorders>
            <w:shd w:val="clear" w:color="000000" w:fill="FFCC66"/>
            <w:vAlign w:val="center"/>
            <w:hideMark/>
          </w:tcPr>
          <w:p w14:paraId="74B04024" w14:textId="77777777" w:rsidR="00092FC3" w:rsidRPr="00923405" w:rsidRDefault="00092FC3" w:rsidP="0068230C">
            <w:pPr>
              <w:spacing w:after="0" w:line="240" w:lineRule="auto"/>
              <w:jc w:val="center"/>
              <w:rPr>
                <w:rFonts w:ascii="Verdana" w:eastAsia="Times New Roman" w:hAnsi="Verdana"/>
                <w:b/>
                <w:bCs/>
                <w:color w:val="000000"/>
                <w:sz w:val="14"/>
                <w:szCs w:val="14"/>
              </w:rPr>
            </w:pPr>
            <w:r w:rsidRPr="00923405">
              <w:rPr>
                <w:rFonts w:ascii="Verdana" w:eastAsia="Times New Roman" w:hAnsi="Verdana"/>
                <w:b/>
                <w:bCs/>
                <w:color w:val="000000"/>
                <w:sz w:val="14"/>
                <w:szCs w:val="14"/>
              </w:rPr>
              <w:t>113.194</w:t>
            </w:r>
          </w:p>
        </w:tc>
        <w:tc>
          <w:tcPr>
            <w:tcW w:w="1017" w:type="dxa"/>
            <w:tcBorders>
              <w:top w:val="nil"/>
              <w:left w:val="nil"/>
              <w:bottom w:val="single" w:sz="8" w:space="0" w:color="auto"/>
              <w:right w:val="single" w:sz="8" w:space="0" w:color="auto"/>
            </w:tcBorders>
            <w:shd w:val="clear" w:color="000000" w:fill="FFCC66"/>
            <w:vAlign w:val="center"/>
            <w:hideMark/>
          </w:tcPr>
          <w:p w14:paraId="2899A32F" w14:textId="77777777" w:rsidR="00092FC3" w:rsidRPr="00923405" w:rsidRDefault="00092FC3" w:rsidP="0068230C">
            <w:pPr>
              <w:spacing w:after="0" w:line="240" w:lineRule="auto"/>
              <w:jc w:val="center"/>
              <w:rPr>
                <w:rFonts w:ascii="Verdana" w:eastAsia="Times New Roman" w:hAnsi="Verdana"/>
                <w:b/>
                <w:bCs/>
                <w:color w:val="000000"/>
                <w:sz w:val="14"/>
                <w:szCs w:val="14"/>
              </w:rPr>
            </w:pPr>
            <w:r w:rsidRPr="00923405">
              <w:rPr>
                <w:rFonts w:ascii="Verdana" w:eastAsia="Times New Roman" w:hAnsi="Verdana"/>
                <w:b/>
                <w:bCs/>
                <w:color w:val="000000"/>
                <w:sz w:val="14"/>
                <w:szCs w:val="14"/>
              </w:rPr>
              <w:t>72,47%</w:t>
            </w:r>
          </w:p>
        </w:tc>
        <w:tc>
          <w:tcPr>
            <w:tcW w:w="1017" w:type="dxa"/>
            <w:tcBorders>
              <w:top w:val="nil"/>
              <w:left w:val="nil"/>
              <w:bottom w:val="single" w:sz="8" w:space="0" w:color="auto"/>
              <w:right w:val="single" w:sz="8" w:space="0" w:color="auto"/>
            </w:tcBorders>
            <w:shd w:val="clear" w:color="000000" w:fill="FFCC66"/>
            <w:vAlign w:val="center"/>
            <w:hideMark/>
          </w:tcPr>
          <w:p w14:paraId="29161087" w14:textId="77777777" w:rsidR="00092FC3" w:rsidRPr="00923405" w:rsidRDefault="00092FC3" w:rsidP="0068230C">
            <w:pPr>
              <w:spacing w:after="0" w:line="240" w:lineRule="auto"/>
              <w:jc w:val="center"/>
              <w:rPr>
                <w:rFonts w:ascii="Verdana" w:eastAsia="Times New Roman" w:hAnsi="Verdana"/>
                <w:b/>
                <w:bCs/>
                <w:color w:val="000000"/>
                <w:sz w:val="14"/>
                <w:szCs w:val="14"/>
              </w:rPr>
            </w:pPr>
            <w:r w:rsidRPr="00923405">
              <w:rPr>
                <w:rFonts w:ascii="Verdana" w:eastAsia="Times New Roman" w:hAnsi="Verdana"/>
                <w:b/>
                <w:bCs/>
                <w:color w:val="000000"/>
                <w:sz w:val="14"/>
                <w:szCs w:val="14"/>
              </w:rPr>
              <w:t>113.194</w:t>
            </w:r>
          </w:p>
        </w:tc>
        <w:tc>
          <w:tcPr>
            <w:tcW w:w="1017" w:type="dxa"/>
            <w:tcBorders>
              <w:top w:val="nil"/>
              <w:left w:val="nil"/>
              <w:bottom w:val="single" w:sz="8" w:space="0" w:color="auto"/>
              <w:right w:val="single" w:sz="8" w:space="0" w:color="auto"/>
            </w:tcBorders>
            <w:shd w:val="clear" w:color="000000" w:fill="FFCC66"/>
            <w:vAlign w:val="center"/>
            <w:hideMark/>
          </w:tcPr>
          <w:p w14:paraId="4E84C556" w14:textId="77777777" w:rsidR="00092FC3" w:rsidRPr="00923405" w:rsidRDefault="00092FC3" w:rsidP="0068230C">
            <w:pPr>
              <w:spacing w:after="0" w:line="240" w:lineRule="auto"/>
              <w:jc w:val="center"/>
              <w:rPr>
                <w:rFonts w:ascii="Verdana" w:eastAsia="Times New Roman" w:hAnsi="Verdana"/>
                <w:b/>
                <w:bCs/>
                <w:color w:val="000000"/>
                <w:sz w:val="14"/>
                <w:szCs w:val="14"/>
              </w:rPr>
            </w:pPr>
            <w:r w:rsidRPr="00923405">
              <w:rPr>
                <w:rFonts w:ascii="Verdana" w:eastAsia="Times New Roman" w:hAnsi="Verdana"/>
                <w:b/>
                <w:bCs/>
                <w:color w:val="000000"/>
                <w:sz w:val="14"/>
                <w:szCs w:val="14"/>
              </w:rPr>
              <w:t>100,00%</w:t>
            </w:r>
          </w:p>
        </w:tc>
        <w:tc>
          <w:tcPr>
            <w:tcW w:w="1017" w:type="dxa"/>
            <w:tcBorders>
              <w:top w:val="nil"/>
              <w:left w:val="nil"/>
              <w:bottom w:val="single" w:sz="8" w:space="0" w:color="auto"/>
              <w:right w:val="single" w:sz="8" w:space="0" w:color="auto"/>
            </w:tcBorders>
            <w:shd w:val="clear" w:color="000000" w:fill="FFCC66"/>
            <w:vAlign w:val="center"/>
            <w:hideMark/>
          </w:tcPr>
          <w:p w14:paraId="56935A38" w14:textId="77777777" w:rsidR="00092FC3" w:rsidRPr="00923405" w:rsidRDefault="00092FC3" w:rsidP="0068230C">
            <w:pPr>
              <w:spacing w:after="0" w:line="240" w:lineRule="auto"/>
              <w:jc w:val="center"/>
              <w:rPr>
                <w:rFonts w:ascii="Verdana" w:eastAsia="Times New Roman" w:hAnsi="Verdana"/>
                <w:b/>
                <w:bCs/>
                <w:color w:val="000000"/>
                <w:sz w:val="14"/>
                <w:szCs w:val="14"/>
              </w:rPr>
            </w:pPr>
            <w:r w:rsidRPr="00923405">
              <w:rPr>
                <w:rFonts w:ascii="Verdana" w:eastAsia="Times New Roman" w:hAnsi="Verdana"/>
                <w:b/>
                <w:bCs/>
                <w:color w:val="000000"/>
                <w:sz w:val="14"/>
                <w:szCs w:val="14"/>
              </w:rPr>
              <w:t>113.194</w:t>
            </w:r>
          </w:p>
        </w:tc>
        <w:tc>
          <w:tcPr>
            <w:tcW w:w="1017" w:type="dxa"/>
            <w:tcBorders>
              <w:top w:val="nil"/>
              <w:left w:val="nil"/>
              <w:bottom w:val="single" w:sz="8" w:space="0" w:color="auto"/>
              <w:right w:val="single" w:sz="8" w:space="0" w:color="auto"/>
            </w:tcBorders>
            <w:shd w:val="clear" w:color="000000" w:fill="FFCC66"/>
            <w:vAlign w:val="center"/>
            <w:hideMark/>
          </w:tcPr>
          <w:p w14:paraId="6DF8F859" w14:textId="77777777" w:rsidR="00092FC3" w:rsidRPr="00923405" w:rsidRDefault="00092FC3" w:rsidP="0068230C">
            <w:pPr>
              <w:spacing w:after="0" w:line="240" w:lineRule="auto"/>
              <w:jc w:val="center"/>
              <w:rPr>
                <w:rFonts w:ascii="Verdana" w:eastAsia="Times New Roman" w:hAnsi="Verdana"/>
                <w:b/>
                <w:bCs/>
                <w:color w:val="000000"/>
                <w:sz w:val="14"/>
                <w:szCs w:val="14"/>
              </w:rPr>
            </w:pPr>
            <w:r w:rsidRPr="00923405">
              <w:rPr>
                <w:rFonts w:ascii="Verdana" w:eastAsia="Times New Roman" w:hAnsi="Verdana"/>
                <w:b/>
                <w:bCs/>
                <w:color w:val="000000"/>
                <w:sz w:val="14"/>
                <w:szCs w:val="14"/>
              </w:rPr>
              <w:t>100,00%</w:t>
            </w:r>
          </w:p>
        </w:tc>
      </w:tr>
      <w:tr w:rsidR="00092FC3" w:rsidRPr="00923405" w14:paraId="004D3305" w14:textId="77777777" w:rsidTr="00293D90">
        <w:trPr>
          <w:trHeight w:val="1815"/>
        </w:trPr>
        <w:tc>
          <w:tcPr>
            <w:tcW w:w="1515" w:type="dxa"/>
            <w:tcBorders>
              <w:top w:val="nil"/>
              <w:left w:val="single" w:sz="8" w:space="0" w:color="auto"/>
              <w:bottom w:val="single" w:sz="8" w:space="0" w:color="auto"/>
              <w:right w:val="single" w:sz="8" w:space="0" w:color="auto"/>
            </w:tcBorders>
            <w:shd w:val="clear" w:color="auto" w:fill="auto"/>
            <w:vAlign w:val="center"/>
            <w:hideMark/>
          </w:tcPr>
          <w:p w14:paraId="09A7EAF0" w14:textId="77777777" w:rsidR="00092FC3" w:rsidRPr="00923405" w:rsidRDefault="00092FC3" w:rsidP="0068230C">
            <w:pPr>
              <w:spacing w:after="0" w:line="240" w:lineRule="auto"/>
              <w:rPr>
                <w:rFonts w:ascii="Verdana" w:eastAsia="Times New Roman" w:hAnsi="Verdana"/>
                <w:b/>
                <w:bCs/>
                <w:color w:val="000000"/>
                <w:sz w:val="14"/>
                <w:szCs w:val="14"/>
              </w:rPr>
            </w:pPr>
            <w:r w:rsidRPr="00923405">
              <w:rPr>
                <w:rFonts w:ascii="Verdana" w:eastAsia="Times New Roman" w:hAnsi="Verdana"/>
                <w:b/>
                <w:bCs/>
                <w:color w:val="000000"/>
                <w:sz w:val="14"/>
                <w:szCs w:val="14"/>
              </w:rPr>
              <w:t>RECONSTRUCCIÓN DE ZONAS E INFRAESTRUCTURAS AFECTADAS POR LA OCURRENCIA DEL FENÓMENO DE LA NIÑA 2010-2011.  NACIONAL</w:t>
            </w:r>
            <w:proofErr w:type="gramStart"/>
            <w:r w:rsidRPr="00923405">
              <w:rPr>
                <w:rFonts w:ascii="Verdana" w:eastAsia="Times New Roman" w:hAnsi="Verdana"/>
                <w:b/>
                <w:bCs/>
                <w:color w:val="000000"/>
                <w:sz w:val="14"/>
                <w:szCs w:val="14"/>
              </w:rPr>
              <w:t>-[</w:t>
            </w:r>
            <w:proofErr w:type="gramEnd"/>
            <w:r w:rsidRPr="00923405">
              <w:rPr>
                <w:rFonts w:ascii="Verdana" w:eastAsia="Times New Roman" w:hAnsi="Verdana"/>
                <w:b/>
                <w:bCs/>
                <w:color w:val="000000"/>
                <w:sz w:val="14"/>
                <w:szCs w:val="14"/>
              </w:rPr>
              <w:t>PREVIO CONCEPTO DNP]</w:t>
            </w:r>
          </w:p>
        </w:tc>
        <w:tc>
          <w:tcPr>
            <w:tcW w:w="1119" w:type="dxa"/>
            <w:tcBorders>
              <w:top w:val="nil"/>
              <w:left w:val="nil"/>
              <w:bottom w:val="single" w:sz="8" w:space="0" w:color="auto"/>
              <w:right w:val="single" w:sz="8" w:space="0" w:color="auto"/>
            </w:tcBorders>
            <w:shd w:val="clear" w:color="auto" w:fill="auto"/>
            <w:vAlign w:val="center"/>
            <w:hideMark/>
          </w:tcPr>
          <w:p w14:paraId="09ECAA7E" w14:textId="77777777" w:rsidR="00092FC3" w:rsidRPr="00923405" w:rsidRDefault="00092FC3" w:rsidP="0068230C">
            <w:pPr>
              <w:spacing w:after="0" w:line="240" w:lineRule="auto"/>
              <w:jc w:val="center"/>
              <w:rPr>
                <w:rFonts w:ascii="Verdana" w:eastAsia="Times New Roman" w:hAnsi="Verdana"/>
                <w:color w:val="000000"/>
                <w:sz w:val="14"/>
                <w:szCs w:val="14"/>
              </w:rPr>
            </w:pPr>
            <w:r w:rsidRPr="00923405">
              <w:rPr>
                <w:rFonts w:ascii="Verdana" w:eastAsia="Times New Roman" w:hAnsi="Verdana"/>
                <w:color w:val="000000"/>
                <w:sz w:val="14"/>
                <w:szCs w:val="14"/>
              </w:rPr>
              <w:t>113.194</w:t>
            </w:r>
          </w:p>
        </w:tc>
        <w:tc>
          <w:tcPr>
            <w:tcW w:w="1119" w:type="dxa"/>
            <w:tcBorders>
              <w:top w:val="nil"/>
              <w:left w:val="nil"/>
              <w:bottom w:val="single" w:sz="8" w:space="0" w:color="auto"/>
              <w:right w:val="single" w:sz="8" w:space="0" w:color="auto"/>
            </w:tcBorders>
            <w:shd w:val="clear" w:color="auto" w:fill="auto"/>
            <w:vAlign w:val="center"/>
            <w:hideMark/>
          </w:tcPr>
          <w:p w14:paraId="57556B2E" w14:textId="77777777" w:rsidR="00092FC3" w:rsidRPr="00923405" w:rsidRDefault="00092FC3" w:rsidP="0068230C">
            <w:pPr>
              <w:spacing w:after="0" w:line="240" w:lineRule="auto"/>
              <w:jc w:val="center"/>
              <w:rPr>
                <w:rFonts w:ascii="Verdana" w:eastAsia="Times New Roman" w:hAnsi="Verdana"/>
                <w:color w:val="000000"/>
                <w:sz w:val="14"/>
                <w:szCs w:val="14"/>
              </w:rPr>
            </w:pPr>
            <w:r w:rsidRPr="00923405">
              <w:rPr>
                <w:rFonts w:ascii="Verdana" w:eastAsia="Times New Roman" w:hAnsi="Verdana"/>
                <w:color w:val="000000"/>
                <w:sz w:val="14"/>
                <w:szCs w:val="14"/>
              </w:rPr>
              <w:t>113.194</w:t>
            </w:r>
          </w:p>
        </w:tc>
        <w:tc>
          <w:tcPr>
            <w:tcW w:w="1017" w:type="dxa"/>
            <w:tcBorders>
              <w:top w:val="nil"/>
              <w:left w:val="nil"/>
              <w:bottom w:val="single" w:sz="8" w:space="0" w:color="auto"/>
              <w:right w:val="single" w:sz="8" w:space="0" w:color="auto"/>
            </w:tcBorders>
            <w:shd w:val="clear" w:color="auto" w:fill="auto"/>
            <w:vAlign w:val="center"/>
            <w:hideMark/>
          </w:tcPr>
          <w:p w14:paraId="02FDA186" w14:textId="77777777" w:rsidR="00092FC3" w:rsidRPr="00923405" w:rsidRDefault="00092FC3" w:rsidP="0068230C">
            <w:pPr>
              <w:spacing w:after="0" w:line="240" w:lineRule="auto"/>
              <w:jc w:val="center"/>
              <w:rPr>
                <w:rFonts w:ascii="Verdana" w:eastAsia="Times New Roman" w:hAnsi="Verdana"/>
                <w:color w:val="000000"/>
                <w:sz w:val="14"/>
                <w:szCs w:val="14"/>
              </w:rPr>
            </w:pPr>
            <w:r w:rsidRPr="00923405">
              <w:rPr>
                <w:rFonts w:ascii="Verdana" w:eastAsia="Times New Roman" w:hAnsi="Verdana"/>
                <w:color w:val="000000"/>
                <w:sz w:val="14"/>
                <w:szCs w:val="14"/>
              </w:rPr>
              <w:t>72,47%</w:t>
            </w:r>
          </w:p>
        </w:tc>
        <w:tc>
          <w:tcPr>
            <w:tcW w:w="1017" w:type="dxa"/>
            <w:tcBorders>
              <w:top w:val="nil"/>
              <w:left w:val="nil"/>
              <w:bottom w:val="single" w:sz="8" w:space="0" w:color="auto"/>
              <w:right w:val="single" w:sz="8" w:space="0" w:color="auto"/>
            </w:tcBorders>
            <w:shd w:val="clear" w:color="auto" w:fill="auto"/>
            <w:vAlign w:val="center"/>
            <w:hideMark/>
          </w:tcPr>
          <w:p w14:paraId="572A550A" w14:textId="77777777" w:rsidR="00092FC3" w:rsidRPr="00923405" w:rsidRDefault="00092FC3" w:rsidP="0068230C">
            <w:pPr>
              <w:spacing w:after="0" w:line="240" w:lineRule="auto"/>
              <w:jc w:val="center"/>
              <w:rPr>
                <w:rFonts w:ascii="Verdana" w:eastAsia="Times New Roman" w:hAnsi="Verdana"/>
                <w:color w:val="000000"/>
                <w:sz w:val="14"/>
                <w:szCs w:val="14"/>
              </w:rPr>
            </w:pPr>
            <w:r w:rsidRPr="00923405">
              <w:rPr>
                <w:rFonts w:ascii="Verdana" w:eastAsia="Times New Roman" w:hAnsi="Verdana"/>
                <w:color w:val="000000"/>
                <w:sz w:val="14"/>
                <w:szCs w:val="14"/>
              </w:rPr>
              <w:t>113.194</w:t>
            </w:r>
          </w:p>
        </w:tc>
        <w:tc>
          <w:tcPr>
            <w:tcW w:w="1017" w:type="dxa"/>
            <w:tcBorders>
              <w:top w:val="nil"/>
              <w:left w:val="nil"/>
              <w:bottom w:val="single" w:sz="8" w:space="0" w:color="auto"/>
              <w:right w:val="single" w:sz="8" w:space="0" w:color="auto"/>
            </w:tcBorders>
            <w:shd w:val="clear" w:color="auto" w:fill="auto"/>
            <w:vAlign w:val="center"/>
            <w:hideMark/>
          </w:tcPr>
          <w:p w14:paraId="0E0D45CB" w14:textId="77777777" w:rsidR="00092FC3" w:rsidRPr="00923405" w:rsidRDefault="00092FC3" w:rsidP="0068230C">
            <w:pPr>
              <w:spacing w:after="0" w:line="240" w:lineRule="auto"/>
              <w:jc w:val="center"/>
              <w:rPr>
                <w:rFonts w:ascii="Verdana" w:eastAsia="Times New Roman" w:hAnsi="Verdana"/>
                <w:color w:val="000000"/>
                <w:sz w:val="14"/>
                <w:szCs w:val="14"/>
              </w:rPr>
            </w:pPr>
            <w:r w:rsidRPr="00923405">
              <w:rPr>
                <w:rFonts w:ascii="Verdana" w:eastAsia="Times New Roman" w:hAnsi="Verdana"/>
                <w:color w:val="000000"/>
                <w:sz w:val="14"/>
                <w:szCs w:val="14"/>
              </w:rPr>
              <w:t>100,00%</w:t>
            </w:r>
          </w:p>
        </w:tc>
        <w:tc>
          <w:tcPr>
            <w:tcW w:w="1017" w:type="dxa"/>
            <w:tcBorders>
              <w:top w:val="nil"/>
              <w:left w:val="nil"/>
              <w:bottom w:val="single" w:sz="8" w:space="0" w:color="auto"/>
              <w:right w:val="single" w:sz="8" w:space="0" w:color="auto"/>
            </w:tcBorders>
            <w:shd w:val="clear" w:color="auto" w:fill="auto"/>
            <w:vAlign w:val="center"/>
            <w:hideMark/>
          </w:tcPr>
          <w:p w14:paraId="2E3B291B" w14:textId="77777777" w:rsidR="00092FC3" w:rsidRPr="00923405" w:rsidRDefault="00092FC3" w:rsidP="0068230C">
            <w:pPr>
              <w:spacing w:after="0" w:line="240" w:lineRule="auto"/>
              <w:jc w:val="center"/>
              <w:rPr>
                <w:rFonts w:ascii="Verdana" w:eastAsia="Times New Roman" w:hAnsi="Verdana"/>
                <w:color w:val="000000"/>
                <w:sz w:val="14"/>
                <w:szCs w:val="14"/>
              </w:rPr>
            </w:pPr>
            <w:r w:rsidRPr="00923405">
              <w:rPr>
                <w:rFonts w:ascii="Verdana" w:eastAsia="Times New Roman" w:hAnsi="Verdana"/>
                <w:color w:val="000000"/>
                <w:sz w:val="14"/>
                <w:szCs w:val="14"/>
              </w:rPr>
              <w:t>113.194</w:t>
            </w:r>
          </w:p>
        </w:tc>
        <w:tc>
          <w:tcPr>
            <w:tcW w:w="1017" w:type="dxa"/>
            <w:tcBorders>
              <w:top w:val="nil"/>
              <w:left w:val="nil"/>
              <w:bottom w:val="single" w:sz="8" w:space="0" w:color="auto"/>
              <w:right w:val="single" w:sz="8" w:space="0" w:color="auto"/>
            </w:tcBorders>
            <w:shd w:val="clear" w:color="auto" w:fill="auto"/>
            <w:vAlign w:val="center"/>
            <w:hideMark/>
          </w:tcPr>
          <w:p w14:paraId="2EA4B8AB" w14:textId="77777777" w:rsidR="00092FC3" w:rsidRPr="00923405" w:rsidRDefault="00092FC3" w:rsidP="0068230C">
            <w:pPr>
              <w:spacing w:after="0" w:line="240" w:lineRule="auto"/>
              <w:jc w:val="center"/>
              <w:rPr>
                <w:rFonts w:ascii="Verdana" w:eastAsia="Times New Roman" w:hAnsi="Verdana"/>
                <w:color w:val="000000"/>
                <w:sz w:val="14"/>
                <w:szCs w:val="14"/>
              </w:rPr>
            </w:pPr>
            <w:r w:rsidRPr="00923405">
              <w:rPr>
                <w:rFonts w:ascii="Verdana" w:eastAsia="Times New Roman" w:hAnsi="Verdana"/>
                <w:color w:val="000000"/>
                <w:sz w:val="14"/>
                <w:szCs w:val="14"/>
              </w:rPr>
              <w:t>100,00%</w:t>
            </w:r>
          </w:p>
        </w:tc>
      </w:tr>
      <w:tr w:rsidR="00092FC3" w:rsidRPr="00923405" w14:paraId="78BA3269" w14:textId="77777777" w:rsidTr="00293D90">
        <w:trPr>
          <w:trHeight w:val="315"/>
        </w:trPr>
        <w:tc>
          <w:tcPr>
            <w:tcW w:w="1515" w:type="dxa"/>
            <w:tcBorders>
              <w:top w:val="single" w:sz="8" w:space="0" w:color="auto"/>
              <w:left w:val="single" w:sz="8" w:space="0" w:color="auto"/>
              <w:bottom w:val="single" w:sz="8" w:space="0" w:color="auto"/>
              <w:right w:val="single" w:sz="8" w:space="0" w:color="auto"/>
            </w:tcBorders>
            <w:shd w:val="clear" w:color="000000" w:fill="2B4B71"/>
            <w:vAlign w:val="center"/>
            <w:hideMark/>
          </w:tcPr>
          <w:p w14:paraId="2CAAF174" w14:textId="77777777" w:rsidR="00092FC3" w:rsidRPr="00923405" w:rsidRDefault="00092FC3" w:rsidP="0068230C">
            <w:pPr>
              <w:spacing w:after="0" w:line="240" w:lineRule="auto"/>
              <w:jc w:val="center"/>
              <w:rPr>
                <w:rFonts w:ascii="Verdana" w:eastAsia="Times New Roman" w:hAnsi="Verdana"/>
                <w:b/>
                <w:bCs/>
                <w:color w:val="FFFFFF"/>
                <w:sz w:val="14"/>
                <w:szCs w:val="14"/>
              </w:rPr>
            </w:pPr>
            <w:r w:rsidRPr="00923405">
              <w:rPr>
                <w:rFonts w:ascii="Verdana" w:eastAsia="Times New Roman" w:hAnsi="Verdana"/>
                <w:b/>
                <w:bCs/>
                <w:color w:val="FFFFFF"/>
                <w:sz w:val="14"/>
                <w:szCs w:val="14"/>
              </w:rPr>
              <w:t xml:space="preserve">TOTAL </w:t>
            </w:r>
          </w:p>
        </w:tc>
        <w:tc>
          <w:tcPr>
            <w:tcW w:w="1119" w:type="dxa"/>
            <w:tcBorders>
              <w:top w:val="single" w:sz="8" w:space="0" w:color="auto"/>
              <w:left w:val="nil"/>
              <w:bottom w:val="single" w:sz="8" w:space="0" w:color="auto"/>
              <w:right w:val="single" w:sz="8" w:space="0" w:color="auto"/>
            </w:tcBorders>
            <w:shd w:val="clear" w:color="000000" w:fill="2B4B71"/>
            <w:vAlign w:val="center"/>
            <w:hideMark/>
          </w:tcPr>
          <w:p w14:paraId="34FDB02E" w14:textId="77777777" w:rsidR="00092FC3" w:rsidRPr="00923405" w:rsidRDefault="00092FC3" w:rsidP="0068230C">
            <w:pPr>
              <w:spacing w:after="0" w:line="240" w:lineRule="auto"/>
              <w:jc w:val="center"/>
              <w:rPr>
                <w:rFonts w:ascii="Verdana" w:eastAsia="Times New Roman" w:hAnsi="Verdana"/>
                <w:b/>
                <w:bCs/>
                <w:color w:val="FFFFFF"/>
                <w:sz w:val="14"/>
                <w:szCs w:val="14"/>
              </w:rPr>
            </w:pPr>
            <w:r w:rsidRPr="00923405">
              <w:rPr>
                <w:rFonts w:ascii="Verdana" w:eastAsia="Times New Roman" w:hAnsi="Verdana"/>
                <w:b/>
                <w:bCs/>
                <w:color w:val="FFFFFF"/>
                <w:sz w:val="14"/>
                <w:szCs w:val="14"/>
              </w:rPr>
              <w:t>147.012</w:t>
            </w:r>
          </w:p>
        </w:tc>
        <w:tc>
          <w:tcPr>
            <w:tcW w:w="1119" w:type="dxa"/>
            <w:tcBorders>
              <w:top w:val="single" w:sz="8" w:space="0" w:color="auto"/>
              <w:left w:val="nil"/>
              <w:bottom w:val="single" w:sz="8" w:space="0" w:color="auto"/>
              <w:right w:val="single" w:sz="8" w:space="0" w:color="auto"/>
            </w:tcBorders>
            <w:shd w:val="clear" w:color="000000" w:fill="2B4B71"/>
            <w:vAlign w:val="center"/>
            <w:hideMark/>
          </w:tcPr>
          <w:p w14:paraId="035CB00D" w14:textId="77777777" w:rsidR="00092FC3" w:rsidRPr="00923405" w:rsidRDefault="00092FC3" w:rsidP="0068230C">
            <w:pPr>
              <w:spacing w:after="0" w:line="240" w:lineRule="auto"/>
              <w:jc w:val="center"/>
              <w:rPr>
                <w:rFonts w:ascii="Verdana" w:eastAsia="Times New Roman" w:hAnsi="Verdana"/>
                <w:b/>
                <w:bCs/>
                <w:color w:val="FFFFFF"/>
                <w:sz w:val="14"/>
                <w:szCs w:val="14"/>
              </w:rPr>
            </w:pPr>
            <w:r w:rsidRPr="00923405">
              <w:rPr>
                <w:rFonts w:ascii="Verdana" w:eastAsia="Times New Roman" w:hAnsi="Verdana"/>
                <w:b/>
                <w:bCs/>
                <w:color w:val="FFFFFF"/>
                <w:sz w:val="14"/>
                <w:szCs w:val="14"/>
              </w:rPr>
              <w:t>156.194</w:t>
            </w:r>
          </w:p>
        </w:tc>
        <w:tc>
          <w:tcPr>
            <w:tcW w:w="1017" w:type="dxa"/>
            <w:tcBorders>
              <w:top w:val="single" w:sz="8" w:space="0" w:color="auto"/>
              <w:left w:val="nil"/>
              <w:bottom w:val="single" w:sz="8" w:space="0" w:color="auto"/>
              <w:right w:val="single" w:sz="8" w:space="0" w:color="auto"/>
            </w:tcBorders>
            <w:shd w:val="clear" w:color="000000" w:fill="2B4B71"/>
            <w:vAlign w:val="center"/>
            <w:hideMark/>
          </w:tcPr>
          <w:p w14:paraId="15DAA650" w14:textId="77777777" w:rsidR="00092FC3" w:rsidRPr="00923405" w:rsidRDefault="00092FC3" w:rsidP="0068230C">
            <w:pPr>
              <w:spacing w:after="0" w:line="240" w:lineRule="auto"/>
              <w:jc w:val="center"/>
              <w:rPr>
                <w:rFonts w:ascii="Verdana" w:eastAsia="Times New Roman" w:hAnsi="Verdana"/>
                <w:b/>
                <w:bCs/>
                <w:color w:val="FFFFFF"/>
                <w:sz w:val="14"/>
                <w:szCs w:val="14"/>
              </w:rPr>
            </w:pPr>
            <w:r w:rsidRPr="00923405">
              <w:rPr>
                <w:rFonts w:ascii="Verdana" w:eastAsia="Times New Roman" w:hAnsi="Verdana"/>
                <w:b/>
                <w:bCs/>
                <w:color w:val="FFFFFF"/>
                <w:sz w:val="14"/>
                <w:szCs w:val="14"/>
              </w:rPr>
              <w:t>100,00%</w:t>
            </w:r>
          </w:p>
        </w:tc>
        <w:tc>
          <w:tcPr>
            <w:tcW w:w="1017" w:type="dxa"/>
            <w:tcBorders>
              <w:top w:val="single" w:sz="8" w:space="0" w:color="auto"/>
              <w:left w:val="nil"/>
              <w:bottom w:val="single" w:sz="8" w:space="0" w:color="auto"/>
              <w:right w:val="single" w:sz="8" w:space="0" w:color="auto"/>
            </w:tcBorders>
            <w:shd w:val="clear" w:color="000000" w:fill="2B4B71"/>
            <w:vAlign w:val="center"/>
            <w:hideMark/>
          </w:tcPr>
          <w:p w14:paraId="002AF866" w14:textId="77777777" w:rsidR="00092FC3" w:rsidRPr="00923405" w:rsidRDefault="00092FC3" w:rsidP="0068230C">
            <w:pPr>
              <w:spacing w:after="0" w:line="240" w:lineRule="auto"/>
              <w:jc w:val="center"/>
              <w:rPr>
                <w:rFonts w:ascii="Verdana" w:eastAsia="Times New Roman" w:hAnsi="Verdana"/>
                <w:b/>
                <w:bCs/>
                <w:color w:val="FFFFFF"/>
                <w:sz w:val="14"/>
                <w:szCs w:val="14"/>
              </w:rPr>
            </w:pPr>
            <w:r w:rsidRPr="00923405">
              <w:rPr>
                <w:rFonts w:ascii="Verdana" w:eastAsia="Times New Roman" w:hAnsi="Verdana"/>
                <w:b/>
                <w:bCs/>
                <w:color w:val="FFFFFF"/>
                <w:sz w:val="14"/>
                <w:szCs w:val="14"/>
              </w:rPr>
              <w:t>151.572</w:t>
            </w:r>
          </w:p>
        </w:tc>
        <w:tc>
          <w:tcPr>
            <w:tcW w:w="1017" w:type="dxa"/>
            <w:tcBorders>
              <w:top w:val="single" w:sz="8" w:space="0" w:color="auto"/>
              <w:left w:val="nil"/>
              <w:bottom w:val="single" w:sz="8" w:space="0" w:color="auto"/>
              <w:right w:val="single" w:sz="8" w:space="0" w:color="auto"/>
            </w:tcBorders>
            <w:shd w:val="clear" w:color="000000" w:fill="2B4B71"/>
            <w:vAlign w:val="center"/>
            <w:hideMark/>
          </w:tcPr>
          <w:p w14:paraId="0B88106A" w14:textId="77777777" w:rsidR="00092FC3" w:rsidRPr="00923405" w:rsidRDefault="00092FC3" w:rsidP="0068230C">
            <w:pPr>
              <w:spacing w:after="0" w:line="240" w:lineRule="auto"/>
              <w:jc w:val="center"/>
              <w:rPr>
                <w:rFonts w:ascii="Verdana" w:eastAsia="Times New Roman" w:hAnsi="Verdana"/>
                <w:b/>
                <w:bCs/>
                <w:color w:val="FFFFFF"/>
                <w:sz w:val="14"/>
                <w:szCs w:val="14"/>
              </w:rPr>
            </w:pPr>
            <w:r w:rsidRPr="00923405">
              <w:rPr>
                <w:rFonts w:ascii="Verdana" w:eastAsia="Times New Roman" w:hAnsi="Verdana"/>
                <w:b/>
                <w:bCs/>
                <w:color w:val="FFFFFF"/>
                <w:sz w:val="14"/>
                <w:szCs w:val="14"/>
              </w:rPr>
              <w:t>97,04%</w:t>
            </w:r>
          </w:p>
        </w:tc>
        <w:tc>
          <w:tcPr>
            <w:tcW w:w="1017" w:type="dxa"/>
            <w:tcBorders>
              <w:top w:val="single" w:sz="8" w:space="0" w:color="auto"/>
              <w:left w:val="nil"/>
              <w:bottom w:val="single" w:sz="8" w:space="0" w:color="auto"/>
              <w:right w:val="single" w:sz="8" w:space="0" w:color="auto"/>
            </w:tcBorders>
            <w:shd w:val="clear" w:color="000000" w:fill="2B4B71"/>
            <w:vAlign w:val="center"/>
            <w:hideMark/>
          </w:tcPr>
          <w:p w14:paraId="7DEA5E30" w14:textId="77777777" w:rsidR="00092FC3" w:rsidRPr="00923405" w:rsidRDefault="00092FC3" w:rsidP="0068230C">
            <w:pPr>
              <w:spacing w:after="0" w:line="240" w:lineRule="auto"/>
              <w:jc w:val="center"/>
              <w:rPr>
                <w:rFonts w:ascii="Verdana" w:eastAsia="Times New Roman" w:hAnsi="Verdana"/>
                <w:b/>
                <w:bCs/>
                <w:color w:val="FFFFFF"/>
                <w:sz w:val="14"/>
                <w:szCs w:val="14"/>
              </w:rPr>
            </w:pPr>
            <w:r w:rsidRPr="00923405">
              <w:rPr>
                <w:rFonts w:ascii="Verdana" w:eastAsia="Times New Roman" w:hAnsi="Verdana"/>
                <w:b/>
                <w:bCs/>
                <w:color w:val="FFFFFF"/>
                <w:sz w:val="14"/>
                <w:szCs w:val="14"/>
              </w:rPr>
              <w:t>151.572</w:t>
            </w:r>
          </w:p>
        </w:tc>
        <w:tc>
          <w:tcPr>
            <w:tcW w:w="1017" w:type="dxa"/>
            <w:tcBorders>
              <w:top w:val="single" w:sz="8" w:space="0" w:color="auto"/>
              <w:left w:val="nil"/>
              <w:bottom w:val="single" w:sz="8" w:space="0" w:color="auto"/>
              <w:right w:val="single" w:sz="8" w:space="0" w:color="auto"/>
            </w:tcBorders>
            <w:shd w:val="clear" w:color="000000" w:fill="2B4B71"/>
            <w:vAlign w:val="center"/>
            <w:hideMark/>
          </w:tcPr>
          <w:p w14:paraId="232C620C" w14:textId="77777777" w:rsidR="00092FC3" w:rsidRPr="00923405" w:rsidRDefault="00092FC3" w:rsidP="0068230C">
            <w:pPr>
              <w:spacing w:after="0" w:line="240" w:lineRule="auto"/>
              <w:jc w:val="center"/>
              <w:rPr>
                <w:rFonts w:ascii="Verdana" w:eastAsia="Times New Roman" w:hAnsi="Verdana"/>
                <w:b/>
                <w:bCs/>
                <w:color w:val="FFFFFF"/>
                <w:sz w:val="14"/>
                <w:szCs w:val="14"/>
              </w:rPr>
            </w:pPr>
            <w:r w:rsidRPr="00923405">
              <w:rPr>
                <w:rFonts w:ascii="Verdana" w:eastAsia="Times New Roman" w:hAnsi="Verdana"/>
                <w:b/>
                <w:bCs/>
                <w:color w:val="FFFFFF"/>
                <w:sz w:val="14"/>
                <w:szCs w:val="14"/>
              </w:rPr>
              <w:t>97,04%</w:t>
            </w:r>
          </w:p>
        </w:tc>
      </w:tr>
    </w:tbl>
    <w:p w14:paraId="1A2CCDFF" w14:textId="77777777" w:rsidR="00092FC3" w:rsidRPr="00D37812" w:rsidRDefault="00092FC3" w:rsidP="00092FC3">
      <w:pPr>
        <w:spacing w:before="100" w:beforeAutospacing="1" w:after="100" w:afterAutospacing="1"/>
        <w:contextualSpacing/>
        <w:rPr>
          <w:rFonts w:ascii="Verdana" w:hAnsi="Verdana"/>
          <w:b/>
          <w:bCs/>
          <w:sz w:val="16"/>
          <w:szCs w:val="16"/>
        </w:rPr>
      </w:pPr>
      <w:r w:rsidRPr="00D37812">
        <w:rPr>
          <w:rFonts w:ascii="Verdana" w:hAnsi="Verdana"/>
          <w:b/>
          <w:bCs/>
          <w:sz w:val="16"/>
          <w:szCs w:val="16"/>
        </w:rPr>
        <w:t>Fuente: Reporte SIIF Nación con corte 31 de diciembre de 2023</w:t>
      </w:r>
    </w:p>
    <w:p w14:paraId="43E7802F" w14:textId="77777777" w:rsidR="00092FC3" w:rsidRPr="00923405" w:rsidRDefault="00092FC3" w:rsidP="00092FC3">
      <w:pPr>
        <w:spacing w:before="100" w:beforeAutospacing="1" w:after="100" w:afterAutospacing="1"/>
        <w:contextualSpacing/>
        <w:jc w:val="right"/>
        <w:rPr>
          <w:rFonts w:ascii="Verdana" w:hAnsi="Verdana"/>
          <w:sz w:val="16"/>
          <w:szCs w:val="16"/>
        </w:rPr>
      </w:pPr>
    </w:p>
    <w:p w14:paraId="232D6F08" w14:textId="77777777" w:rsidR="00092FC3" w:rsidRPr="00923405" w:rsidRDefault="00092FC3" w:rsidP="00092FC3">
      <w:pPr>
        <w:spacing w:before="100" w:beforeAutospacing="1" w:after="100" w:afterAutospacing="1"/>
        <w:contextualSpacing/>
        <w:jc w:val="both"/>
        <w:rPr>
          <w:rFonts w:ascii="Verdana" w:hAnsi="Verdana"/>
          <w:sz w:val="16"/>
          <w:szCs w:val="16"/>
        </w:rPr>
      </w:pPr>
      <w:r w:rsidRPr="00923405">
        <w:rPr>
          <w:rFonts w:ascii="Verdana" w:hAnsi="Verdana"/>
          <w:sz w:val="16"/>
          <w:szCs w:val="16"/>
        </w:rPr>
        <w:t xml:space="preserve">*Traslado presupuestal de la cuenta de Gastos de Personal a la cuenta de Adquisición de Bienes y Servicios de $1.300 millones y de Adquisición de Bienes y Servicios a Multas, Sanciones e Intereses de Mora por $16 millones. </w:t>
      </w:r>
    </w:p>
    <w:p w14:paraId="21094539" w14:textId="77777777" w:rsidR="00092FC3" w:rsidRPr="00923405" w:rsidRDefault="00092FC3" w:rsidP="00092FC3">
      <w:pPr>
        <w:spacing w:before="100" w:beforeAutospacing="1" w:after="100" w:afterAutospacing="1"/>
        <w:contextualSpacing/>
        <w:jc w:val="both"/>
        <w:rPr>
          <w:rFonts w:ascii="Verdana" w:hAnsi="Verdana"/>
          <w:sz w:val="16"/>
          <w:szCs w:val="16"/>
        </w:rPr>
      </w:pPr>
    </w:p>
    <w:p w14:paraId="7BB161D6" w14:textId="77777777" w:rsidR="00092FC3" w:rsidRPr="00923405" w:rsidRDefault="00092FC3" w:rsidP="00092FC3">
      <w:pPr>
        <w:spacing w:before="100" w:beforeAutospacing="1" w:after="100" w:afterAutospacing="1"/>
        <w:contextualSpacing/>
        <w:jc w:val="both"/>
        <w:rPr>
          <w:rFonts w:ascii="Verdana" w:hAnsi="Verdana"/>
          <w:sz w:val="16"/>
          <w:szCs w:val="16"/>
        </w:rPr>
      </w:pPr>
      <w:r w:rsidRPr="00923405">
        <w:rPr>
          <w:rFonts w:ascii="Verdana" w:hAnsi="Verdana"/>
          <w:sz w:val="16"/>
          <w:szCs w:val="16"/>
        </w:rPr>
        <w:t>Del Ministerio de Hacienda y Crédito Público se recibió distribución de recursos para la cuenta de Sentencias y Conciliaciones por $9.181 millones.</w:t>
      </w:r>
    </w:p>
    <w:p w14:paraId="5F034F8B" w14:textId="77777777" w:rsidR="00092FC3" w:rsidRPr="00923405" w:rsidRDefault="00092FC3" w:rsidP="00092FC3">
      <w:pPr>
        <w:spacing w:before="100" w:beforeAutospacing="1" w:after="100" w:afterAutospacing="1"/>
        <w:contextualSpacing/>
        <w:jc w:val="both"/>
        <w:rPr>
          <w:rFonts w:ascii="Verdana" w:hAnsi="Verdana"/>
          <w:sz w:val="16"/>
          <w:szCs w:val="16"/>
        </w:rPr>
      </w:pPr>
    </w:p>
    <w:p w14:paraId="1D0F6AA1" w14:textId="77777777" w:rsidR="00092FC3" w:rsidRPr="00923405" w:rsidRDefault="00092FC3" w:rsidP="00092FC3">
      <w:pPr>
        <w:spacing w:before="100" w:beforeAutospacing="1" w:after="100" w:afterAutospacing="1"/>
        <w:contextualSpacing/>
        <w:jc w:val="both"/>
        <w:rPr>
          <w:rFonts w:ascii="Verdana" w:hAnsi="Verdana"/>
          <w:sz w:val="14"/>
          <w:szCs w:val="14"/>
        </w:rPr>
      </w:pPr>
    </w:p>
    <w:p w14:paraId="737A61E0" w14:textId="77777777" w:rsidR="00092FC3" w:rsidRPr="00493299" w:rsidRDefault="00092FC3" w:rsidP="00092FC3">
      <w:pPr>
        <w:spacing w:before="100" w:beforeAutospacing="1" w:after="100" w:afterAutospacing="1"/>
        <w:ind w:right="49"/>
        <w:contextualSpacing/>
        <w:jc w:val="both"/>
        <w:rPr>
          <w:rFonts w:ascii="Verdana" w:hAnsi="Verdana"/>
          <w:sz w:val="22"/>
          <w:szCs w:val="22"/>
        </w:rPr>
      </w:pPr>
      <w:r w:rsidRPr="00493299">
        <w:rPr>
          <w:rFonts w:ascii="Verdana" w:hAnsi="Verdana"/>
          <w:sz w:val="22"/>
          <w:szCs w:val="22"/>
        </w:rPr>
        <w:t>A continuación, se presentan los rubros presupuestales y resultados misionales del Fondo Adaptación en el año 2023:</w:t>
      </w:r>
    </w:p>
    <w:p w14:paraId="3909C1D7" w14:textId="77777777" w:rsidR="00092FC3" w:rsidRPr="00493299" w:rsidRDefault="00092FC3" w:rsidP="00092FC3">
      <w:pPr>
        <w:spacing w:before="100" w:beforeAutospacing="1" w:after="100" w:afterAutospacing="1"/>
        <w:contextualSpacing/>
        <w:jc w:val="both"/>
        <w:rPr>
          <w:rFonts w:ascii="Verdana" w:hAnsi="Verdana"/>
          <w:sz w:val="22"/>
          <w:szCs w:val="22"/>
        </w:rPr>
      </w:pPr>
    </w:p>
    <w:p w14:paraId="465E2B7F" w14:textId="77777777" w:rsidR="00092FC3" w:rsidRPr="00493299" w:rsidRDefault="00092FC3" w:rsidP="00092FC3">
      <w:pPr>
        <w:spacing w:before="100" w:beforeAutospacing="1" w:after="100" w:afterAutospacing="1"/>
        <w:contextualSpacing/>
        <w:jc w:val="both"/>
        <w:rPr>
          <w:rFonts w:ascii="Verdana" w:hAnsi="Verdana"/>
          <w:b/>
          <w:sz w:val="22"/>
          <w:szCs w:val="22"/>
          <w:u w:val="single"/>
        </w:rPr>
      </w:pPr>
      <w:r w:rsidRPr="00493299">
        <w:rPr>
          <w:rFonts w:ascii="Verdana" w:hAnsi="Verdana"/>
          <w:b/>
          <w:sz w:val="22"/>
          <w:szCs w:val="22"/>
          <w:u w:val="single"/>
        </w:rPr>
        <w:t>Año 2023:</w:t>
      </w:r>
    </w:p>
    <w:p w14:paraId="25B79189" w14:textId="77777777" w:rsidR="00092FC3" w:rsidRPr="00923405" w:rsidRDefault="00092FC3" w:rsidP="00092FC3">
      <w:pPr>
        <w:spacing w:before="100" w:beforeAutospacing="1" w:after="100" w:afterAutospacing="1"/>
        <w:contextualSpacing/>
        <w:jc w:val="both"/>
        <w:rPr>
          <w:rFonts w:ascii="Verdana" w:hAnsi="Verdana"/>
          <w:b/>
          <w:u w:val="single"/>
        </w:rPr>
      </w:pPr>
    </w:p>
    <w:tbl>
      <w:tblPr>
        <w:tblStyle w:val="Tablaconcuadrcula"/>
        <w:tblW w:w="0" w:type="auto"/>
        <w:jc w:val="center"/>
        <w:tblLayout w:type="fixed"/>
        <w:tblLook w:val="04A0" w:firstRow="1" w:lastRow="0" w:firstColumn="1" w:lastColumn="0" w:noHBand="0" w:noVBand="1"/>
      </w:tblPr>
      <w:tblGrid>
        <w:gridCol w:w="1413"/>
        <w:gridCol w:w="2126"/>
        <w:gridCol w:w="5289"/>
      </w:tblGrid>
      <w:tr w:rsidR="00092FC3" w:rsidRPr="00923405" w14:paraId="05231D5A" w14:textId="77777777" w:rsidTr="00493299">
        <w:trPr>
          <w:trHeight w:val="170"/>
          <w:tblHeader/>
          <w:jc w:val="center"/>
        </w:trPr>
        <w:tc>
          <w:tcPr>
            <w:tcW w:w="1413" w:type="dxa"/>
            <w:shd w:val="clear" w:color="auto" w:fill="1F4E79" w:themeFill="accent1" w:themeFillShade="80"/>
            <w:vAlign w:val="center"/>
          </w:tcPr>
          <w:p w14:paraId="0E570BEA" w14:textId="77777777" w:rsidR="00092FC3" w:rsidRPr="00011701" w:rsidRDefault="00092FC3" w:rsidP="0068230C">
            <w:pPr>
              <w:jc w:val="center"/>
              <w:textAlignment w:val="center"/>
              <w:rPr>
                <w:rFonts w:ascii="Verdana" w:hAnsi="Verdana"/>
                <w:b/>
                <w:bCs/>
                <w:color w:val="FFFFFF" w:themeColor="background1"/>
                <w:kern w:val="24"/>
                <w:sz w:val="18"/>
                <w:szCs w:val="18"/>
              </w:rPr>
            </w:pPr>
            <w:r w:rsidRPr="00011701">
              <w:rPr>
                <w:rFonts w:ascii="Verdana" w:hAnsi="Verdana"/>
                <w:b/>
                <w:bCs/>
                <w:color w:val="FFFFFF" w:themeColor="background1"/>
                <w:kern w:val="24"/>
                <w:sz w:val="18"/>
                <w:szCs w:val="18"/>
              </w:rPr>
              <w:t>CONCEPTO</w:t>
            </w:r>
          </w:p>
        </w:tc>
        <w:tc>
          <w:tcPr>
            <w:tcW w:w="2126" w:type="dxa"/>
            <w:shd w:val="clear" w:color="auto" w:fill="1F4E79" w:themeFill="accent1" w:themeFillShade="80"/>
            <w:vAlign w:val="center"/>
          </w:tcPr>
          <w:p w14:paraId="3C70CD00" w14:textId="77777777" w:rsidR="00092FC3" w:rsidRPr="00011701" w:rsidRDefault="00092FC3" w:rsidP="0068230C">
            <w:pPr>
              <w:jc w:val="center"/>
              <w:textAlignment w:val="center"/>
              <w:rPr>
                <w:rFonts w:ascii="Verdana" w:hAnsi="Verdana"/>
                <w:b/>
                <w:bCs/>
                <w:color w:val="FFFFFF" w:themeColor="background1"/>
                <w:kern w:val="24"/>
                <w:sz w:val="18"/>
                <w:szCs w:val="18"/>
              </w:rPr>
            </w:pPr>
            <w:r w:rsidRPr="00011701">
              <w:rPr>
                <w:rFonts w:ascii="Verdana" w:hAnsi="Verdana"/>
                <w:b/>
                <w:bCs/>
                <w:color w:val="FFFFFF" w:themeColor="background1"/>
                <w:kern w:val="24"/>
                <w:sz w:val="18"/>
                <w:szCs w:val="18"/>
              </w:rPr>
              <w:t>PRINCIPALES RUBROS PRESUPUESTALES</w:t>
            </w:r>
          </w:p>
        </w:tc>
        <w:tc>
          <w:tcPr>
            <w:tcW w:w="5289" w:type="dxa"/>
            <w:shd w:val="clear" w:color="auto" w:fill="1F4E79" w:themeFill="accent1" w:themeFillShade="80"/>
            <w:vAlign w:val="center"/>
          </w:tcPr>
          <w:p w14:paraId="4E754D4B" w14:textId="77777777" w:rsidR="00092FC3" w:rsidRPr="00011701" w:rsidRDefault="00092FC3" w:rsidP="0068230C">
            <w:pPr>
              <w:jc w:val="center"/>
              <w:textAlignment w:val="center"/>
              <w:rPr>
                <w:rFonts w:ascii="Verdana" w:hAnsi="Verdana"/>
                <w:b/>
                <w:bCs/>
                <w:color w:val="FFFFFF" w:themeColor="background1"/>
                <w:kern w:val="24"/>
                <w:sz w:val="18"/>
                <w:szCs w:val="18"/>
              </w:rPr>
            </w:pPr>
            <w:r w:rsidRPr="00011701">
              <w:rPr>
                <w:rFonts w:ascii="Verdana" w:hAnsi="Verdana"/>
                <w:b/>
                <w:bCs/>
                <w:color w:val="FFFFFF" w:themeColor="background1"/>
                <w:kern w:val="24"/>
                <w:sz w:val="18"/>
                <w:szCs w:val="18"/>
              </w:rPr>
              <w:t>RESULTADO MISIONAL</w:t>
            </w:r>
          </w:p>
        </w:tc>
      </w:tr>
      <w:tr w:rsidR="00092FC3" w:rsidRPr="00923405" w14:paraId="6E55A2CB" w14:textId="77777777" w:rsidTr="0068230C">
        <w:trPr>
          <w:trHeight w:val="170"/>
          <w:tblHeader/>
          <w:jc w:val="center"/>
        </w:trPr>
        <w:tc>
          <w:tcPr>
            <w:tcW w:w="8828" w:type="dxa"/>
            <w:gridSpan w:val="3"/>
            <w:vAlign w:val="center"/>
          </w:tcPr>
          <w:p w14:paraId="2F29B6C6" w14:textId="77777777" w:rsidR="00092FC3" w:rsidRPr="00923405" w:rsidRDefault="00092FC3" w:rsidP="0068230C">
            <w:pPr>
              <w:contextualSpacing/>
              <w:jc w:val="center"/>
              <w:rPr>
                <w:rFonts w:ascii="Verdana" w:hAnsi="Verdana"/>
                <w:sz w:val="18"/>
                <w:szCs w:val="18"/>
              </w:rPr>
            </w:pPr>
            <w:r w:rsidRPr="00923405">
              <w:rPr>
                <w:rFonts w:ascii="Verdana" w:hAnsi="Verdana"/>
                <w:b/>
                <w:sz w:val="18"/>
                <w:szCs w:val="18"/>
              </w:rPr>
              <w:t>FUNCIONAMIENTO</w:t>
            </w:r>
          </w:p>
        </w:tc>
      </w:tr>
      <w:tr w:rsidR="00092FC3" w:rsidRPr="00923405" w14:paraId="5F2F0BB7" w14:textId="77777777" w:rsidTr="00493299">
        <w:trPr>
          <w:trHeight w:val="170"/>
          <w:jc w:val="center"/>
        </w:trPr>
        <w:tc>
          <w:tcPr>
            <w:tcW w:w="1413" w:type="dxa"/>
            <w:vAlign w:val="center"/>
          </w:tcPr>
          <w:p w14:paraId="66532FEB" w14:textId="77777777" w:rsidR="00092FC3" w:rsidRPr="00923405" w:rsidRDefault="00092FC3" w:rsidP="0068230C">
            <w:pPr>
              <w:contextualSpacing/>
              <w:jc w:val="both"/>
              <w:rPr>
                <w:rFonts w:ascii="Verdana" w:hAnsi="Verdana"/>
                <w:sz w:val="18"/>
                <w:szCs w:val="18"/>
              </w:rPr>
            </w:pPr>
            <w:r w:rsidRPr="00923405">
              <w:rPr>
                <w:rFonts w:ascii="Verdana" w:hAnsi="Verdana"/>
                <w:sz w:val="18"/>
                <w:szCs w:val="18"/>
              </w:rPr>
              <w:t>Gastos de Personal /Nación</w:t>
            </w:r>
          </w:p>
        </w:tc>
        <w:tc>
          <w:tcPr>
            <w:tcW w:w="2126" w:type="dxa"/>
            <w:vAlign w:val="center"/>
          </w:tcPr>
          <w:p w14:paraId="2062330C" w14:textId="77777777" w:rsidR="00092FC3" w:rsidRPr="00923405" w:rsidRDefault="00092FC3" w:rsidP="0068230C">
            <w:pPr>
              <w:contextualSpacing/>
              <w:jc w:val="both"/>
              <w:rPr>
                <w:rFonts w:ascii="Verdana" w:hAnsi="Verdana"/>
                <w:sz w:val="18"/>
                <w:szCs w:val="18"/>
              </w:rPr>
            </w:pPr>
            <w:r w:rsidRPr="00923405">
              <w:rPr>
                <w:rFonts w:ascii="Verdana" w:hAnsi="Verdana"/>
                <w:sz w:val="18"/>
                <w:szCs w:val="18"/>
              </w:rPr>
              <w:t>Salario</w:t>
            </w:r>
          </w:p>
          <w:p w14:paraId="724D23AE" w14:textId="77777777" w:rsidR="00092FC3" w:rsidRPr="00923405" w:rsidRDefault="00092FC3" w:rsidP="0068230C">
            <w:pPr>
              <w:contextualSpacing/>
              <w:jc w:val="both"/>
              <w:rPr>
                <w:rFonts w:ascii="Verdana" w:hAnsi="Verdana"/>
                <w:sz w:val="18"/>
                <w:szCs w:val="18"/>
              </w:rPr>
            </w:pPr>
            <w:r w:rsidRPr="00923405">
              <w:rPr>
                <w:rFonts w:ascii="Verdana" w:hAnsi="Verdana"/>
                <w:sz w:val="18"/>
                <w:szCs w:val="18"/>
              </w:rPr>
              <w:lastRenderedPageBreak/>
              <w:t>Contribuciones inherentes a la nómina</w:t>
            </w:r>
          </w:p>
          <w:p w14:paraId="145EBFA0" w14:textId="77777777" w:rsidR="00092FC3" w:rsidRPr="00923405" w:rsidRDefault="00092FC3" w:rsidP="0068230C">
            <w:pPr>
              <w:contextualSpacing/>
              <w:jc w:val="both"/>
              <w:rPr>
                <w:rFonts w:ascii="Verdana" w:hAnsi="Verdana"/>
                <w:sz w:val="18"/>
                <w:szCs w:val="18"/>
              </w:rPr>
            </w:pPr>
            <w:r w:rsidRPr="00923405">
              <w:rPr>
                <w:rFonts w:ascii="Verdana" w:hAnsi="Verdana"/>
                <w:sz w:val="18"/>
                <w:szCs w:val="18"/>
              </w:rPr>
              <w:t xml:space="preserve">Remuneraciones no constitutivas de factor salarial </w:t>
            </w:r>
          </w:p>
        </w:tc>
        <w:tc>
          <w:tcPr>
            <w:tcW w:w="5289" w:type="dxa"/>
            <w:vAlign w:val="center"/>
          </w:tcPr>
          <w:p w14:paraId="11EA28E1" w14:textId="77777777" w:rsidR="00092FC3" w:rsidRPr="00923405" w:rsidRDefault="00092FC3" w:rsidP="0068230C">
            <w:pPr>
              <w:contextualSpacing/>
              <w:jc w:val="both"/>
              <w:rPr>
                <w:rFonts w:ascii="Verdana" w:eastAsia="Arial Narrow" w:hAnsi="Verdana"/>
                <w:color w:val="201F1E"/>
                <w:sz w:val="18"/>
                <w:szCs w:val="18"/>
                <w:lang w:val="es"/>
              </w:rPr>
            </w:pPr>
            <w:r w:rsidRPr="00923405">
              <w:rPr>
                <w:rFonts w:ascii="Verdana" w:eastAsia="Arial Narrow" w:hAnsi="Verdana"/>
                <w:color w:val="201F1E"/>
                <w:sz w:val="18"/>
                <w:szCs w:val="18"/>
                <w:lang w:val="es"/>
              </w:rPr>
              <w:lastRenderedPageBreak/>
              <w:t xml:space="preserve">Durante la vigencia 2023 se presentaron vacancias en la planta de personal que no se cubrieron debido a que no </w:t>
            </w:r>
            <w:r w:rsidRPr="00923405">
              <w:rPr>
                <w:rFonts w:ascii="Verdana" w:eastAsia="Arial Narrow" w:hAnsi="Verdana"/>
                <w:color w:val="201F1E"/>
                <w:sz w:val="18"/>
                <w:szCs w:val="18"/>
                <w:lang w:val="es"/>
              </w:rPr>
              <w:lastRenderedPageBreak/>
              <w:t>se culminó el proceso para el nombramiento de las hojas de vida presentadas.</w:t>
            </w:r>
          </w:p>
        </w:tc>
      </w:tr>
      <w:tr w:rsidR="00092FC3" w:rsidRPr="00923405" w14:paraId="5B571943" w14:textId="77777777" w:rsidTr="00493299">
        <w:trPr>
          <w:trHeight w:val="170"/>
          <w:jc w:val="center"/>
        </w:trPr>
        <w:tc>
          <w:tcPr>
            <w:tcW w:w="1413" w:type="dxa"/>
            <w:vAlign w:val="center"/>
          </w:tcPr>
          <w:p w14:paraId="2AE14C5D" w14:textId="77777777" w:rsidR="00092FC3" w:rsidRPr="00923405" w:rsidRDefault="00092FC3" w:rsidP="0068230C">
            <w:pPr>
              <w:contextualSpacing/>
              <w:jc w:val="both"/>
              <w:rPr>
                <w:rFonts w:ascii="Verdana" w:hAnsi="Verdana"/>
                <w:sz w:val="18"/>
                <w:szCs w:val="18"/>
              </w:rPr>
            </w:pPr>
            <w:r w:rsidRPr="00923405">
              <w:rPr>
                <w:rFonts w:ascii="Verdana" w:hAnsi="Verdana"/>
                <w:sz w:val="18"/>
                <w:szCs w:val="18"/>
              </w:rPr>
              <w:lastRenderedPageBreak/>
              <w:t>Transferencias</w:t>
            </w:r>
          </w:p>
        </w:tc>
        <w:tc>
          <w:tcPr>
            <w:tcW w:w="2126" w:type="dxa"/>
            <w:vAlign w:val="center"/>
          </w:tcPr>
          <w:p w14:paraId="203B604E" w14:textId="77777777" w:rsidR="00092FC3" w:rsidRPr="00923405" w:rsidRDefault="00092FC3" w:rsidP="0068230C">
            <w:pPr>
              <w:contextualSpacing/>
              <w:jc w:val="both"/>
              <w:rPr>
                <w:rFonts w:ascii="Verdana" w:hAnsi="Verdana"/>
                <w:sz w:val="18"/>
                <w:szCs w:val="18"/>
              </w:rPr>
            </w:pPr>
            <w:r w:rsidRPr="00923405">
              <w:rPr>
                <w:rFonts w:ascii="Verdana" w:hAnsi="Verdana"/>
                <w:sz w:val="18"/>
                <w:szCs w:val="18"/>
              </w:rPr>
              <w:t>Sentencias y Conciliaciones</w:t>
            </w:r>
          </w:p>
        </w:tc>
        <w:tc>
          <w:tcPr>
            <w:tcW w:w="5289" w:type="dxa"/>
            <w:vAlign w:val="center"/>
          </w:tcPr>
          <w:p w14:paraId="20EA65FB" w14:textId="77777777" w:rsidR="00092FC3" w:rsidRPr="00923405" w:rsidRDefault="00092FC3" w:rsidP="0068230C">
            <w:pPr>
              <w:contextualSpacing/>
              <w:jc w:val="both"/>
              <w:rPr>
                <w:rFonts w:ascii="Verdana" w:eastAsia="Arial Narrow" w:hAnsi="Verdana"/>
                <w:color w:val="201F1E"/>
                <w:sz w:val="18"/>
                <w:szCs w:val="18"/>
                <w:lang w:val="es"/>
              </w:rPr>
            </w:pPr>
            <w:r w:rsidRPr="00923405">
              <w:rPr>
                <w:rFonts w:ascii="Verdana" w:eastAsia="Arial Narrow" w:hAnsi="Verdana"/>
                <w:color w:val="201F1E"/>
                <w:sz w:val="18"/>
                <w:szCs w:val="18"/>
                <w:lang w:val="es"/>
              </w:rPr>
              <w:t>Se cubrió el Laudo Arbitral del macroproyecto de Gramalote</w:t>
            </w:r>
          </w:p>
        </w:tc>
      </w:tr>
      <w:tr w:rsidR="00092FC3" w:rsidRPr="00923405" w14:paraId="0419EB21" w14:textId="77777777" w:rsidTr="0068230C">
        <w:trPr>
          <w:trHeight w:val="170"/>
          <w:tblHeader/>
          <w:jc w:val="center"/>
        </w:trPr>
        <w:tc>
          <w:tcPr>
            <w:tcW w:w="8828" w:type="dxa"/>
            <w:gridSpan w:val="3"/>
            <w:vAlign w:val="center"/>
          </w:tcPr>
          <w:p w14:paraId="3770F954" w14:textId="77777777" w:rsidR="00092FC3" w:rsidRPr="00923405" w:rsidRDefault="00092FC3" w:rsidP="0068230C">
            <w:pPr>
              <w:contextualSpacing/>
              <w:jc w:val="center"/>
              <w:rPr>
                <w:rFonts w:ascii="Verdana" w:hAnsi="Verdana"/>
                <w:sz w:val="18"/>
                <w:szCs w:val="18"/>
              </w:rPr>
            </w:pPr>
            <w:r w:rsidRPr="00923405">
              <w:rPr>
                <w:rFonts w:ascii="Verdana" w:hAnsi="Verdana"/>
                <w:b/>
                <w:sz w:val="18"/>
                <w:szCs w:val="18"/>
              </w:rPr>
              <w:t>SERVICIOS DE LA DEUDA PÚBLICA</w:t>
            </w:r>
          </w:p>
        </w:tc>
      </w:tr>
      <w:tr w:rsidR="00092FC3" w:rsidRPr="00923405" w14:paraId="4406B225" w14:textId="77777777" w:rsidTr="00493299">
        <w:trPr>
          <w:trHeight w:val="170"/>
          <w:jc w:val="center"/>
        </w:trPr>
        <w:tc>
          <w:tcPr>
            <w:tcW w:w="1413" w:type="dxa"/>
            <w:vAlign w:val="center"/>
          </w:tcPr>
          <w:p w14:paraId="715DFBC5" w14:textId="77777777" w:rsidR="00092FC3" w:rsidRPr="00923405" w:rsidRDefault="00092FC3" w:rsidP="0068230C">
            <w:pPr>
              <w:contextualSpacing/>
              <w:jc w:val="both"/>
              <w:rPr>
                <w:rFonts w:ascii="Verdana" w:hAnsi="Verdana"/>
                <w:sz w:val="18"/>
                <w:szCs w:val="18"/>
              </w:rPr>
            </w:pPr>
            <w:r w:rsidRPr="00923405">
              <w:rPr>
                <w:rFonts w:ascii="Verdana" w:hAnsi="Verdana"/>
                <w:sz w:val="18"/>
                <w:szCs w:val="18"/>
              </w:rPr>
              <w:t>Deuda Pública</w:t>
            </w:r>
          </w:p>
        </w:tc>
        <w:tc>
          <w:tcPr>
            <w:tcW w:w="2126" w:type="dxa"/>
            <w:vAlign w:val="center"/>
          </w:tcPr>
          <w:p w14:paraId="3D90A9E8" w14:textId="77777777" w:rsidR="00092FC3" w:rsidRPr="00923405" w:rsidRDefault="00092FC3" w:rsidP="0068230C">
            <w:pPr>
              <w:contextualSpacing/>
              <w:jc w:val="both"/>
              <w:rPr>
                <w:rFonts w:ascii="Verdana" w:hAnsi="Verdana"/>
                <w:sz w:val="18"/>
                <w:szCs w:val="18"/>
              </w:rPr>
            </w:pPr>
            <w:r w:rsidRPr="00923405">
              <w:rPr>
                <w:rFonts w:ascii="Verdana" w:hAnsi="Verdana"/>
                <w:sz w:val="18"/>
                <w:szCs w:val="18"/>
              </w:rPr>
              <w:t>Fondo de Contingencias</w:t>
            </w:r>
          </w:p>
        </w:tc>
        <w:tc>
          <w:tcPr>
            <w:tcW w:w="5289" w:type="dxa"/>
            <w:vAlign w:val="center"/>
          </w:tcPr>
          <w:p w14:paraId="71D2EE23" w14:textId="77777777" w:rsidR="00092FC3" w:rsidRPr="00923405" w:rsidRDefault="00092FC3" w:rsidP="0068230C">
            <w:pPr>
              <w:contextualSpacing/>
              <w:jc w:val="both"/>
              <w:rPr>
                <w:rFonts w:ascii="Verdana" w:eastAsia="Arial Narrow" w:hAnsi="Verdana"/>
                <w:color w:val="201F1E"/>
                <w:sz w:val="18"/>
                <w:szCs w:val="18"/>
                <w:lang w:val="es"/>
              </w:rPr>
            </w:pPr>
            <w:r w:rsidRPr="00923405">
              <w:rPr>
                <w:rFonts w:ascii="Verdana" w:eastAsia="Arial Narrow" w:hAnsi="Verdana"/>
                <w:color w:val="201F1E"/>
                <w:sz w:val="18"/>
                <w:szCs w:val="18"/>
                <w:lang w:val="es"/>
              </w:rPr>
              <w:t>Aporte al Fondo de Contingencias de acuerdo con lo indicado la Ley 448 de 1998 o las normas que lo modifiquen.</w:t>
            </w:r>
          </w:p>
        </w:tc>
      </w:tr>
    </w:tbl>
    <w:p w14:paraId="4FED11FA" w14:textId="77777777" w:rsidR="00092FC3" w:rsidRPr="00923405" w:rsidRDefault="00092FC3" w:rsidP="00092FC3">
      <w:pPr>
        <w:rPr>
          <w:rFonts w:ascii="Verdana" w:hAnsi="Verdana"/>
        </w:rPr>
      </w:pPr>
    </w:p>
    <w:tbl>
      <w:tblPr>
        <w:tblStyle w:val="Tablaconcuadrcula"/>
        <w:tblW w:w="0" w:type="auto"/>
        <w:jc w:val="center"/>
        <w:tblLook w:val="04A0" w:firstRow="1" w:lastRow="0" w:firstColumn="1" w:lastColumn="0" w:noHBand="0" w:noVBand="1"/>
      </w:tblPr>
      <w:tblGrid>
        <w:gridCol w:w="2554"/>
        <w:gridCol w:w="1648"/>
        <w:gridCol w:w="4679"/>
      </w:tblGrid>
      <w:tr w:rsidR="00092FC3" w:rsidRPr="00923405" w14:paraId="7DA209C2" w14:textId="77777777" w:rsidTr="00493299">
        <w:trPr>
          <w:trHeight w:val="649"/>
          <w:tblHeader/>
          <w:jc w:val="center"/>
        </w:trPr>
        <w:tc>
          <w:tcPr>
            <w:tcW w:w="2554" w:type="dxa"/>
            <w:shd w:val="clear" w:color="auto" w:fill="1F4E79" w:themeFill="accent1" w:themeFillShade="80"/>
            <w:vAlign w:val="center"/>
          </w:tcPr>
          <w:p w14:paraId="54D78A2C" w14:textId="77777777" w:rsidR="00092FC3" w:rsidRPr="00011701" w:rsidRDefault="00092FC3" w:rsidP="0068230C">
            <w:pPr>
              <w:jc w:val="center"/>
              <w:textAlignment w:val="center"/>
              <w:rPr>
                <w:rFonts w:ascii="Verdana" w:hAnsi="Verdana"/>
                <w:b/>
                <w:bCs/>
                <w:color w:val="FFFFFF" w:themeColor="background1"/>
                <w:kern w:val="24"/>
                <w:sz w:val="20"/>
                <w:szCs w:val="20"/>
              </w:rPr>
            </w:pPr>
            <w:r w:rsidRPr="00011701">
              <w:rPr>
                <w:rFonts w:ascii="Verdana" w:hAnsi="Verdana"/>
                <w:b/>
                <w:bCs/>
                <w:color w:val="FFFFFF" w:themeColor="background1"/>
                <w:kern w:val="24"/>
                <w:sz w:val="20"/>
                <w:szCs w:val="20"/>
              </w:rPr>
              <w:t>PROGRAMA</w:t>
            </w:r>
          </w:p>
        </w:tc>
        <w:tc>
          <w:tcPr>
            <w:tcW w:w="1595" w:type="dxa"/>
            <w:shd w:val="clear" w:color="auto" w:fill="1F4E79" w:themeFill="accent1" w:themeFillShade="80"/>
            <w:vAlign w:val="center"/>
          </w:tcPr>
          <w:p w14:paraId="6BDC9877" w14:textId="77777777" w:rsidR="00092FC3" w:rsidRPr="00011701" w:rsidRDefault="00092FC3" w:rsidP="0068230C">
            <w:pPr>
              <w:jc w:val="center"/>
              <w:textAlignment w:val="center"/>
              <w:rPr>
                <w:rFonts w:ascii="Verdana" w:hAnsi="Verdana"/>
                <w:b/>
                <w:bCs/>
                <w:color w:val="FFFFFF" w:themeColor="background1"/>
                <w:kern w:val="24"/>
                <w:sz w:val="20"/>
                <w:szCs w:val="20"/>
              </w:rPr>
            </w:pPr>
            <w:r w:rsidRPr="00011701">
              <w:rPr>
                <w:rFonts w:ascii="Verdana" w:hAnsi="Verdana"/>
                <w:b/>
                <w:bCs/>
                <w:color w:val="FFFFFF" w:themeColor="background1"/>
                <w:kern w:val="24"/>
                <w:sz w:val="20"/>
                <w:szCs w:val="20"/>
              </w:rPr>
              <w:t>PROYECTO</w:t>
            </w:r>
          </w:p>
        </w:tc>
        <w:tc>
          <w:tcPr>
            <w:tcW w:w="4679" w:type="dxa"/>
            <w:shd w:val="clear" w:color="auto" w:fill="1F4E79" w:themeFill="accent1" w:themeFillShade="80"/>
            <w:vAlign w:val="center"/>
          </w:tcPr>
          <w:p w14:paraId="08D20F4F" w14:textId="77777777" w:rsidR="00092FC3" w:rsidRPr="00011701" w:rsidRDefault="00092FC3" w:rsidP="0068230C">
            <w:pPr>
              <w:jc w:val="center"/>
              <w:textAlignment w:val="center"/>
              <w:rPr>
                <w:rFonts w:ascii="Verdana" w:hAnsi="Verdana"/>
                <w:b/>
                <w:bCs/>
                <w:color w:val="FFFFFF" w:themeColor="background1"/>
                <w:kern w:val="24"/>
                <w:sz w:val="20"/>
                <w:szCs w:val="20"/>
              </w:rPr>
            </w:pPr>
            <w:r w:rsidRPr="00011701">
              <w:rPr>
                <w:rFonts w:ascii="Verdana" w:hAnsi="Verdana"/>
                <w:b/>
                <w:bCs/>
                <w:color w:val="FFFFFF" w:themeColor="background1"/>
                <w:kern w:val="24"/>
                <w:sz w:val="20"/>
                <w:szCs w:val="20"/>
              </w:rPr>
              <w:t>RESULTADO MISIONAL</w:t>
            </w:r>
          </w:p>
        </w:tc>
      </w:tr>
      <w:tr w:rsidR="00092FC3" w:rsidRPr="00923405" w14:paraId="35B70BFD" w14:textId="77777777" w:rsidTr="0068230C">
        <w:trPr>
          <w:tblHeader/>
          <w:jc w:val="center"/>
        </w:trPr>
        <w:tc>
          <w:tcPr>
            <w:tcW w:w="8828" w:type="dxa"/>
            <w:gridSpan w:val="3"/>
          </w:tcPr>
          <w:p w14:paraId="4C5D634B" w14:textId="77777777" w:rsidR="00092FC3" w:rsidRPr="00923405" w:rsidRDefault="00092FC3" w:rsidP="0068230C">
            <w:pPr>
              <w:pStyle w:val="NormalWeb"/>
              <w:contextualSpacing/>
              <w:jc w:val="center"/>
              <w:rPr>
                <w:rFonts w:ascii="Verdana" w:hAnsi="Verdana" w:cs="Arial"/>
                <w:sz w:val="20"/>
                <w:szCs w:val="20"/>
              </w:rPr>
            </w:pPr>
            <w:r w:rsidRPr="00923405">
              <w:rPr>
                <w:rFonts w:ascii="Verdana" w:hAnsi="Verdana" w:cs="Arial"/>
                <w:b/>
                <w:sz w:val="20"/>
                <w:szCs w:val="20"/>
              </w:rPr>
              <w:t>INVERSIÓN</w:t>
            </w:r>
          </w:p>
        </w:tc>
      </w:tr>
      <w:tr w:rsidR="00092FC3" w:rsidRPr="00923405" w14:paraId="053BE067" w14:textId="77777777" w:rsidTr="0068230C">
        <w:trPr>
          <w:trHeight w:val="626"/>
          <w:jc w:val="center"/>
        </w:trPr>
        <w:tc>
          <w:tcPr>
            <w:tcW w:w="2554" w:type="dxa"/>
            <w:vAlign w:val="center"/>
          </w:tcPr>
          <w:p w14:paraId="4A53B749" w14:textId="0E4120F3" w:rsidR="00092FC3" w:rsidRPr="00493299" w:rsidRDefault="00092FC3" w:rsidP="0068230C">
            <w:pPr>
              <w:spacing w:before="100" w:beforeAutospacing="1" w:after="100" w:afterAutospacing="1"/>
              <w:contextualSpacing/>
              <w:jc w:val="both"/>
              <w:rPr>
                <w:rFonts w:ascii="Verdana" w:hAnsi="Verdana"/>
                <w:sz w:val="18"/>
                <w:szCs w:val="18"/>
              </w:rPr>
            </w:pPr>
            <w:r w:rsidRPr="00493299">
              <w:rPr>
                <w:rFonts w:ascii="Verdana" w:hAnsi="Verdana"/>
                <w:sz w:val="18"/>
                <w:szCs w:val="18"/>
              </w:rPr>
              <w:t>Transformación productiva, internacionalización y acción climática / e. reducción de la vulnerabilidad fiscal y financiera ante riesgos climáticos y desastres</w:t>
            </w:r>
          </w:p>
        </w:tc>
        <w:tc>
          <w:tcPr>
            <w:tcW w:w="1595" w:type="dxa"/>
            <w:vAlign w:val="center"/>
          </w:tcPr>
          <w:p w14:paraId="08AB4536" w14:textId="77777777" w:rsidR="00092FC3" w:rsidRPr="00493299" w:rsidRDefault="00092FC3" w:rsidP="0068230C">
            <w:pPr>
              <w:spacing w:before="100" w:beforeAutospacing="1" w:after="100" w:afterAutospacing="1"/>
              <w:contextualSpacing/>
              <w:jc w:val="both"/>
              <w:rPr>
                <w:rFonts w:ascii="Verdana" w:hAnsi="Verdana"/>
                <w:sz w:val="18"/>
                <w:szCs w:val="18"/>
              </w:rPr>
            </w:pPr>
            <w:r w:rsidRPr="00493299">
              <w:rPr>
                <w:rFonts w:ascii="Verdana" w:hAnsi="Verdana"/>
                <w:sz w:val="18"/>
                <w:szCs w:val="18"/>
              </w:rPr>
              <w:t>Reconstrucción de zonas e infraestructuras afectadas por la ocurrencia del fenómeno de la Niña 2010-2011</w:t>
            </w:r>
          </w:p>
        </w:tc>
        <w:tc>
          <w:tcPr>
            <w:tcW w:w="4679" w:type="dxa"/>
          </w:tcPr>
          <w:p w14:paraId="2D8AEC5B" w14:textId="77777777" w:rsidR="00092FC3" w:rsidRPr="00493299" w:rsidRDefault="00092FC3" w:rsidP="0068230C">
            <w:pPr>
              <w:pStyle w:val="NormalWeb"/>
              <w:contextualSpacing/>
              <w:jc w:val="both"/>
              <w:rPr>
                <w:rFonts w:ascii="Verdana" w:eastAsia="+mn-ea" w:hAnsi="Verdana" w:cs="Arial"/>
                <w:bCs/>
                <w:kern w:val="24"/>
                <w:sz w:val="18"/>
                <w:szCs w:val="18"/>
              </w:rPr>
            </w:pPr>
            <w:r w:rsidRPr="00493299">
              <w:rPr>
                <w:rFonts w:ascii="Verdana" w:eastAsia="+mn-ea" w:hAnsi="Verdana" w:cs="Arial"/>
                <w:bCs/>
                <w:kern w:val="24"/>
                <w:sz w:val="18"/>
                <w:szCs w:val="18"/>
              </w:rPr>
              <w:t>Resultados generales 2023:</w:t>
            </w:r>
          </w:p>
          <w:p w14:paraId="459A1A54" w14:textId="77777777" w:rsidR="00092FC3" w:rsidRPr="00493299" w:rsidRDefault="00092FC3" w:rsidP="0068230C">
            <w:pPr>
              <w:pStyle w:val="NormalWeb"/>
              <w:contextualSpacing/>
              <w:jc w:val="both"/>
              <w:rPr>
                <w:rFonts w:ascii="Verdana" w:eastAsia="+mn-ea" w:hAnsi="Verdana" w:cs="Arial"/>
                <w:bCs/>
                <w:kern w:val="24"/>
                <w:sz w:val="18"/>
                <w:szCs w:val="18"/>
              </w:rPr>
            </w:pPr>
            <w:r w:rsidRPr="00493299">
              <w:rPr>
                <w:rFonts w:ascii="Verdana" w:eastAsia="+mn-ea" w:hAnsi="Verdana" w:cs="Arial"/>
                <w:bCs/>
                <w:kern w:val="24"/>
                <w:sz w:val="18"/>
                <w:szCs w:val="18"/>
              </w:rPr>
              <w:t>Entrega de 50 proyectos, los cuales se encuentran asociados a los siguientes productos:</w:t>
            </w:r>
          </w:p>
          <w:p w14:paraId="43F0D5FE" w14:textId="77777777" w:rsidR="00092FC3" w:rsidRPr="00493299" w:rsidRDefault="00092FC3" w:rsidP="0068230C">
            <w:pPr>
              <w:pStyle w:val="NormalWeb"/>
              <w:contextualSpacing/>
              <w:jc w:val="both"/>
              <w:rPr>
                <w:rFonts w:ascii="Verdana" w:eastAsia="+mn-ea" w:hAnsi="Verdana" w:cs="Arial"/>
                <w:bCs/>
                <w:kern w:val="24"/>
                <w:sz w:val="18"/>
                <w:szCs w:val="18"/>
              </w:rPr>
            </w:pPr>
            <w:r w:rsidRPr="00493299">
              <w:rPr>
                <w:rFonts w:ascii="Verdana" w:eastAsia="+mn-ea" w:hAnsi="Verdana" w:cs="Arial"/>
                <w:bCs/>
                <w:kern w:val="24"/>
                <w:sz w:val="18"/>
                <w:szCs w:val="18"/>
              </w:rPr>
              <w:t>1.359 viviendas</w:t>
            </w:r>
          </w:p>
          <w:p w14:paraId="094E4413" w14:textId="77777777" w:rsidR="00092FC3" w:rsidRPr="00493299" w:rsidRDefault="00092FC3" w:rsidP="0068230C">
            <w:pPr>
              <w:pStyle w:val="NormalWeb"/>
              <w:contextualSpacing/>
              <w:jc w:val="both"/>
              <w:rPr>
                <w:rFonts w:ascii="Verdana" w:eastAsia="+mn-ea" w:hAnsi="Verdana" w:cs="Arial"/>
                <w:bCs/>
                <w:kern w:val="24"/>
                <w:sz w:val="18"/>
                <w:szCs w:val="18"/>
              </w:rPr>
            </w:pPr>
            <w:r w:rsidRPr="00493299">
              <w:rPr>
                <w:rFonts w:ascii="Verdana" w:eastAsia="+mn-ea" w:hAnsi="Verdana" w:cs="Arial"/>
                <w:bCs/>
                <w:kern w:val="24"/>
                <w:sz w:val="18"/>
                <w:szCs w:val="18"/>
              </w:rPr>
              <w:t>1 IPS en Mahates – Bolívar</w:t>
            </w:r>
          </w:p>
          <w:p w14:paraId="1A96355E" w14:textId="77777777" w:rsidR="00092FC3" w:rsidRPr="00493299" w:rsidRDefault="00092FC3" w:rsidP="0068230C">
            <w:pPr>
              <w:pStyle w:val="NormalWeb"/>
              <w:contextualSpacing/>
              <w:jc w:val="both"/>
              <w:rPr>
                <w:rFonts w:ascii="Verdana" w:eastAsia="+mn-ea" w:hAnsi="Verdana" w:cs="Arial"/>
                <w:bCs/>
                <w:kern w:val="24"/>
                <w:sz w:val="18"/>
                <w:szCs w:val="18"/>
              </w:rPr>
            </w:pPr>
            <w:r w:rsidRPr="00493299">
              <w:rPr>
                <w:rFonts w:ascii="Verdana" w:eastAsia="+mn-ea" w:hAnsi="Verdana" w:cs="Arial"/>
                <w:bCs/>
                <w:kern w:val="24"/>
                <w:sz w:val="18"/>
                <w:szCs w:val="18"/>
              </w:rPr>
              <w:t>4 sedes Educativas en Guaranda – Sucre (3) y Achí – Bolívar (1)</w:t>
            </w:r>
          </w:p>
          <w:p w14:paraId="0F8A0DED" w14:textId="77777777" w:rsidR="00092FC3" w:rsidRPr="00493299" w:rsidRDefault="00092FC3" w:rsidP="0068230C">
            <w:pPr>
              <w:pStyle w:val="NormalWeb"/>
              <w:contextualSpacing/>
              <w:jc w:val="both"/>
              <w:rPr>
                <w:rFonts w:ascii="Verdana" w:eastAsia="+mn-ea" w:hAnsi="Verdana" w:cs="Arial"/>
                <w:bCs/>
                <w:kern w:val="24"/>
                <w:sz w:val="18"/>
                <w:szCs w:val="18"/>
              </w:rPr>
            </w:pPr>
            <w:r w:rsidRPr="00493299">
              <w:rPr>
                <w:rFonts w:ascii="Verdana" w:eastAsia="+mn-ea" w:hAnsi="Verdana" w:cs="Arial"/>
                <w:bCs/>
                <w:kern w:val="24"/>
                <w:sz w:val="18"/>
                <w:szCs w:val="18"/>
              </w:rPr>
              <w:t xml:space="preserve">3 acueductos en </w:t>
            </w:r>
            <w:proofErr w:type="spellStart"/>
            <w:r w:rsidRPr="00493299">
              <w:rPr>
                <w:rFonts w:ascii="Verdana" w:eastAsia="+mn-ea" w:hAnsi="Verdana" w:cs="Arial"/>
                <w:bCs/>
                <w:kern w:val="24"/>
                <w:sz w:val="18"/>
                <w:szCs w:val="18"/>
              </w:rPr>
              <w:t>Nóvita</w:t>
            </w:r>
            <w:proofErr w:type="spellEnd"/>
            <w:r w:rsidRPr="00493299">
              <w:rPr>
                <w:rFonts w:ascii="Verdana" w:eastAsia="+mn-ea" w:hAnsi="Verdana" w:cs="Arial"/>
                <w:bCs/>
                <w:kern w:val="24"/>
                <w:sz w:val="18"/>
                <w:szCs w:val="18"/>
              </w:rPr>
              <w:t xml:space="preserve"> – Chocó (2) y Aguachica – Cesar (1)</w:t>
            </w:r>
          </w:p>
          <w:p w14:paraId="3E44E81B" w14:textId="77777777" w:rsidR="00092FC3" w:rsidRPr="00493299" w:rsidRDefault="00092FC3" w:rsidP="0068230C">
            <w:pPr>
              <w:pStyle w:val="NormalWeb"/>
              <w:contextualSpacing/>
              <w:jc w:val="both"/>
              <w:rPr>
                <w:rFonts w:ascii="Verdana" w:eastAsia="+mn-ea" w:hAnsi="Verdana" w:cs="Arial"/>
                <w:bCs/>
                <w:kern w:val="24"/>
                <w:sz w:val="18"/>
                <w:szCs w:val="18"/>
              </w:rPr>
            </w:pPr>
            <w:r w:rsidRPr="00493299">
              <w:rPr>
                <w:rFonts w:ascii="Verdana" w:eastAsia="+mn-ea" w:hAnsi="Verdana" w:cs="Arial"/>
                <w:bCs/>
                <w:kern w:val="24"/>
                <w:sz w:val="18"/>
                <w:szCs w:val="18"/>
              </w:rPr>
              <w:t>1 PTAR en Candelaria – Atlántico</w:t>
            </w:r>
          </w:p>
          <w:p w14:paraId="748937AF" w14:textId="77777777" w:rsidR="00092FC3" w:rsidRPr="00493299" w:rsidRDefault="00092FC3" w:rsidP="0068230C">
            <w:pPr>
              <w:pStyle w:val="NormalWeb"/>
              <w:contextualSpacing/>
              <w:jc w:val="both"/>
              <w:rPr>
                <w:rFonts w:ascii="Verdana" w:eastAsia="+mn-ea" w:hAnsi="Verdana" w:cs="Arial"/>
                <w:bCs/>
                <w:kern w:val="24"/>
                <w:sz w:val="18"/>
                <w:szCs w:val="18"/>
              </w:rPr>
            </w:pPr>
            <w:r w:rsidRPr="00493299">
              <w:rPr>
                <w:rFonts w:ascii="Verdana" w:eastAsia="+mn-ea" w:hAnsi="Verdana" w:cs="Arial"/>
                <w:bCs/>
                <w:kern w:val="24"/>
                <w:sz w:val="18"/>
                <w:szCs w:val="18"/>
              </w:rPr>
              <w:t xml:space="preserve">7,7 </w:t>
            </w:r>
            <w:proofErr w:type="gramStart"/>
            <w:r w:rsidRPr="00493299">
              <w:rPr>
                <w:rFonts w:ascii="Verdana" w:eastAsia="+mn-ea" w:hAnsi="Verdana" w:cs="Arial"/>
                <w:bCs/>
                <w:kern w:val="24"/>
                <w:sz w:val="18"/>
                <w:szCs w:val="18"/>
              </w:rPr>
              <w:t>Km</w:t>
            </w:r>
            <w:proofErr w:type="gramEnd"/>
            <w:r w:rsidRPr="00493299">
              <w:rPr>
                <w:rFonts w:ascii="Verdana" w:eastAsia="+mn-ea" w:hAnsi="Verdana" w:cs="Arial"/>
                <w:bCs/>
                <w:kern w:val="24"/>
                <w:sz w:val="18"/>
                <w:szCs w:val="18"/>
              </w:rPr>
              <w:t xml:space="preserve"> de Jarillón de Cali correspondiente al tramo V y tramo VI</w:t>
            </w:r>
          </w:p>
          <w:p w14:paraId="4F2A39A5" w14:textId="77777777" w:rsidR="00092FC3" w:rsidRPr="00493299" w:rsidRDefault="00092FC3" w:rsidP="0068230C">
            <w:pPr>
              <w:pStyle w:val="NormalWeb"/>
              <w:contextualSpacing/>
              <w:jc w:val="both"/>
              <w:rPr>
                <w:rFonts w:ascii="Verdana" w:eastAsia="+mn-ea" w:hAnsi="Verdana" w:cs="Arial"/>
                <w:bCs/>
                <w:kern w:val="24"/>
                <w:sz w:val="18"/>
                <w:szCs w:val="18"/>
              </w:rPr>
            </w:pPr>
            <w:r w:rsidRPr="00493299">
              <w:rPr>
                <w:rFonts w:ascii="Verdana" w:eastAsia="+mn-ea" w:hAnsi="Verdana" w:cs="Arial"/>
                <w:bCs/>
                <w:kern w:val="24"/>
                <w:sz w:val="18"/>
                <w:szCs w:val="18"/>
              </w:rPr>
              <w:t xml:space="preserve">3 obras de reducción Río </w:t>
            </w:r>
            <w:proofErr w:type="spellStart"/>
            <w:r w:rsidRPr="00493299">
              <w:rPr>
                <w:rFonts w:ascii="Verdana" w:eastAsia="+mn-ea" w:hAnsi="Verdana" w:cs="Arial"/>
                <w:bCs/>
                <w:kern w:val="24"/>
                <w:sz w:val="18"/>
                <w:szCs w:val="18"/>
              </w:rPr>
              <w:t>Fonce</w:t>
            </w:r>
            <w:proofErr w:type="spellEnd"/>
            <w:r w:rsidRPr="00493299">
              <w:rPr>
                <w:rFonts w:ascii="Verdana" w:eastAsia="+mn-ea" w:hAnsi="Verdana" w:cs="Arial"/>
                <w:bCs/>
                <w:kern w:val="24"/>
                <w:sz w:val="18"/>
                <w:szCs w:val="18"/>
              </w:rPr>
              <w:t xml:space="preserve"> (Estabilización represa La Laja, 2 puentes San Joaquín – Hospital Onzaga (Santander)</w:t>
            </w:r>
          </w:p>
          <w:p w14:paraId="21F25F90" w14:textId="77777777" w:rsidR="00092FC3" w:rsidRPr="00493299" w:rsidRDefault="00092FC3" w:rsidP="0068230C">
            <w:pPr>
              <w:pStyle w:val="NormalWeb"/>
              <w:contextualSpacing/>
              <w:jc w:val="both"/>
              <w:rPr>
                <w:rFonts w:ascii="Verdana" w:eastAsia="+mn-ea" w:hAnsi="Verdana" w:cs="Arial"/>
                <w:bCs/>
                <w:kern w:val="24"/>
                <w:sz w:val="18"/>
                <w:szCs w:val="18"/>
              </w:rPr>
            </w:pPr>
            <w:r w:rsidRPr="00493299">
              <w:rPr>
                <w:rFonts w:ascii="Verdana" w:eastAsia="+mn-ea" w:hAnsi="Verdana" w:cs="Arial"/>
                <w:bCs/>
                <w:kern w:val="24"/>
                <w:sz w:val="18"/>
                <w:szCs w:val="18"/>
              </w:rPr>
              <w:t>1 POMCA adoptado – Río Loro – Río Las Ceibas y Otros Directos Magdalena</w:t>
            </w:r>
          </w:p>
          <w:p w14:paraId="6A48CB03" w14:textId="77777777" w:rsidR="00092FC3" w:rsidRPr="00493299" w:rsidRDefault="00092FC3" w:rsidP="0068230C">
            <w:pPr>
              <w:pStyle w:val="NormalWeb"/>
              <w:contextualSpacing/>
              <w:jc w:val="both"/>
              <w:rPr>
                <w:rFonts w:ascii="Verdana" w:eastAsia="+mn-ea" w:hAnsi="Verdana" w:cs="Arial"/>
                <w:bCs/>
                <w:kern w:val="24"/>
                <w:sz w:val="18"/>
                <w:szCs w:val="18"/>
              </w:rPr>
            </w:pPr>
            <w:r w:rsidRPr="00493299">
              <w:rPr>
                <w:rFonts w:ascii="Verdana" w:eastAsia="+mn-ea" w:hAnsi="Verdana" w:cs="Arial"/>
                <w:bCs/>
                <w:kern w:val="24"/>
                <w:sz w:val="18"/>
                <w:szCs w:val="18"/>
              </w:rPr>
              <w:t>3 POMCA con ruta metodológica aprobada por comunicades: Canal del Dique, Medio y Bajo Sinú y Alto Río Cauca</w:t>
            </w:r>
          </w:p>
          <w:p w14:paraId="05A118AC" w14:textId="77777777" w:rsidR="00092FC3" w:rsidRPr="00493299" w:rsidRDefault="00092FC3" w:rsidP="0068230C">
            <w:pPr>
              <w:pStyle w:val="NormalWeb"/>
              <w:contextualSpacing/>
              <w:jc w:val="both"/>
              <w:rPr>
                <w:rFonts w:ascii="Verdana" w:eastAsia="+mn-ea" w:hAnsi="Verdana" w:cs="Arial"/>
                <w:bCs/>
                <w:kern w:val="24"/>
                <w:sz w:val="18"/>
                <w:szCs w:val="18"/>
              </w:rPr>
            </w:pPr>
            <w:r w:rsidRPr="00493299">
              <w:rPr>
                <w:rFonts w:ascii="Verdana" w:eastAsia="+mn-ea" w:hAnsi="Verdana" w:cs="Arial"/>
                <w:bCs/>
                <w:kern w:val="24"/>
                <w:sz w:val="18"/>
                <w:szCs w:val="18"/>
              </w:rPr>
              <w:t xml:space="preserve">1 acompañamiento y asesoría en la selección </w:t>
            </w:r>
            <w:proofErr w:type="gramStart"/>
            <w:r w:rsidRPr="00493299">
              <w:rPr>
                <w:rFonts w:ascii="Verdana" w:eastAsia="+mn-ea" w:hAnsi="Verdana" w:cs="Arial"/>
                <w:bCs/>
                <w:kern w:val="24"/>
                <w:sz w:val="18"/>
                <w:szCs w:val="18"/>
              </w:rPr>
              <w:t>dela</w:t>
            </w:r>
            <w:proofErr w:type="gramEnd"/>
            <w:r w:rsidRPr="00493299">
              <w:rPr>
                <w:rFonts w:ascii="Verdana" w:eastAsia="+mn-ea" w:hAnsi="Verdana" w:cs="Arial"/>
                <w:bCs/>
                <w:kern w:val="24"/>
                <w:sz w:val="18"/>
                <w:szCs w:val="18"/>
              </w:rPr>
              <w:t xml:space="preserve"> interventoría de la APP del Canal del Dique</w:t>
            </w:r>
          </w:p>
          <w:p w14:paraId="103C2527" w14:textId="77777777" w:rsidR="00092FC3" w:rsidRPr="00493299" w:rsidRDefault="00092FC3" w:rsidP="0068230C">
            <w:pPr>
              <w:pStyle w:val="NormalWeb"/>
              <w:contextualSpacing/>
              <w:jc w:val="both"/>
              <w:rPr>
                <w:rFonts w:ascii="Verdana" w:eastAsia="+mn-ea" w:hAnsi="Verdana" w:cs="Arial"/>
                <w:bCs/>
                <w:kern w:val="24"/>
                <w:sz w:val="18"/>
                <w:szCs w:val="18"/>
              </w:rPr>
            </w:pPr>
            <w:r w:rsidRPr="00493299">
              <w:rPr>
                <w:rFonts w:ascii="Verdana" w:eastAsia="+mn-ea" w:hAnsi="Verdana" w:cs="Arial"/>
                <w:bCs/>
                <w:kern w:val="24"/>
                <w:sz w:val="18"/>
                <w:szCs w:val="18"/>
              </w:rPr>
              <w:t>Terminación de 5 acuerdo de consulta previa comunidad de Gambote</w:t>
            </w:r>
          </w:p>
          <w:p w14:paraId="6E69F227" w14:textId="77777777" w:rsidR="00092FC3" w:rsidRPr="00493299" w:rsidRDefault="00092FC3" w:rsidP="0068230C">
            <w:pPr>
              <w:pStyle w:val="NormalWeb"/>
              <w:contextualSpacing/>
              <w:jc w:val="both"/>
              <w:rPr>
                <w:rFonts w:ascii="Verdana" w:eastAsia="+mn-ea" w:hAnsi="Verdana" w:cs="Arial"/>
                <w:bCs/>
                <w:kern w:val="24"/>
                <w:sz w:val="18"/>
                <w:szCs w:val="18"/>
              </w:rPr>
            </w:pPr>
            <w:r w:rsidRPr="00493299">
              <w:rPr>
                <w:rFonts w:ascii="Verdana" w:eastAsia="+mn-ea" w:hAnsi="Verdana" w:cs="Arial"/>
                <w:bCs/>
                <w:kern w:val="24"/>
                <w:sz w:val="18"/>
                <w:szCs w:val="18"/>
              </w:rPr>
              <w:t>171 planes de negocio en el nuevo casco urbano de Gramalote – Norte de Santander</w:t>
            </w:r>
          </w:p>
          <w:p w14:paraId="717BA9B7" w14:textId="77777777" w:rsidR="00092FC3" w:rsidRPr="00493299" w:rsidRDefault="00092FC3" w:rsidP="0068230C">
            <w:pPr>
              <w:pStyle w:val="NormalWeb"/>
              <w:contextualSpacing/>
              <w:jc w:val="both"/>
              <w:rPr>
                <w:rFonts w:ascii="Verdana" w:eastAsia="+mn-ea" w:hAnsi="Verdana" w:cs="Arial"/>
                <w:bCs/>
                <w:kern w:val="24"/>
                <w:sz w:val="18"/>
                <w:szCs w:val="18"/>
              </w:rPr>
            </w:pPr>
            <w:r w:rsidRPr="00493299">
              <w:rPr>
                <w:rFonts w:ascii="Verdana" w:eastAsia="+mn-ea" w:hAnsi="Verdana" w:cs="Arial"/>
                <w:bCs/>
                <w:kern w:val="24"/>
                <w:sz w:val="18"/>
                <w:szCs w:val="18"/>
              </w:rPr>
              <w:t>26 lotes comerciales escriturados y con plan de negocios en el nuevo casco urbano de Gramalote – Norte de Santander</w:t>
            </w:r>
          </w:p>
          <w:p w14:paraId="302AD2E2" w14:textId="77777777" w:rsidR="00092FC3" w:rsidRPr="00493299" w:rsidRDefault="00092FC3" w:rsidP="0068230C">
            <w:pPr>
              <w:pStyle w:val="NormalWeb"/>
              <w:contextualSpacing/>
              <w:jc w:val="both"/>
              <w:rPr>
                <w:rFonts w:ascii="Verdana" w:eastAsia="+mn-ea" w:hAnsi="Verdana" w:cs="Arial"/>
                <w:bCs/>
                <w:kern w:val="24"/>
                <w:sz w:val="18"/>
                <w:szCs w:val="18"/>
              </w:rPr>
            </w:pPr>
            <w:r w:rsidRPr="00493299">
              <w:rPr>
                <w:rFonts w:ascii="Verdana" w:eastAsia="+mn-ea" w:hAnsi="Verdana" w:cs="Arial"/>
                <w:bCs/>
                <w:kern w:val="24"/>
                <w:sz w:val="18"/>
                <w:szCs w:val="18"/>
              </w:rPr>
              <w:t xml:space="preserve">17 proyectos productivos de 16 asociaciones de </w:t>
            </w:r>
            <w:proofErr w:type="spellStart"/>
            <w:r w:rsidRPr="00493299">
              <w:rPr>
                <w:rFonts w:ascii="Verdana" w:eastAsia="+mn-ea" w:hAnsi="Verdana" w:cs="Arial"/>
                <w:bCs/>
                <w:kern w:val="24"/>
                <w:sz w:val="18"/>
                <w:szCs w:val="18"/>
              </w:rPr>
              <w:t>Yatí</w:t>
            </w:r>
            <w:proofErr w:type="spellEnd"/>
            <w:r w:rsidRPr="00493299">
              <w:rPr>
                <w:rFonts w:ascii="Verdana" w:eastAsia="+mn-ea" w:hAnsi="Verdana" w:cs="Arial"/>
                <w:bCs/>
                <w:kern w:val="24"/>
                <w:sz w:val="18"/>
                <w:szCs w:val="18"/>
              </w:rPr>
              <w:t xml:space="preserve"> – La Bodega</w:t>
            </w:r>
          </w:p>
          <w:p w14:paraId="75E8F640" w14:textId="77777777" w:rsidR="00092FC3" w:rsidRPr="00493299" w:rsidRDefault="00092FC3" w:rsidP="0068230C">
            <w:pPr>
              <w:pStyle w:val="NormalWeb"/>
              <w:contextualSpacing/>
              <w:jc w:val="both"/>
              <w:rPr>
                <w:rFonts w:ascii="Verdana" w:eastAsia="+mn-ea" w:hAnsi="Verdana" w:cs="Arial"/>
                <w:bCs/>
                <w:kern w:val="24"/>
                <w:sz w:val="18"/>
                <w:szCs w:val="18"/>
              </w:rPr>
            </w:pPr>
          </w:p>
        </w:tc>
      </w:tr>
    </w:tbl>
    <w:p w14:paraId="651C794D" w14:textId="77777777" w:rsidR="00092FC3" w:rsidRPr="00923405" w:rsidRDefault="00092FC3" w:rsidP="00092FC3">
      <w:pPr>
        <w:rPr>
          <w:rFonts w:ascii="Verdana" w:hAnsi="Verdana"/>
          <w:b/>
          <w:u w:val="single"/>
        </w:rPr>
      </w:pPr>
    </w:p>
    <w:p w14:paraId="10666D6C" w14:textId="77777777" w:rsidR="00092FC3" w:rsidRPr="00493299" w:rsidRDefault="00092FC3" w:rsidP="00092FC3">
      <w:pPr>
        <w:rPr>
          <w:rFonts w:ascii="Verdana" w:hAnsi="Verdana"/>
          <w:b/>
          <w:sz w:val="22"/>
          <w:szCs w:val="22"/>
          <w:u w:val="single"/>
        </w:rPr>
      </w:pPr>
      <w:bookmarkStart w:id="1" w:name="_Hlk143788047"/>
      <w:bookmarkEnd w:id="0"/>
      <w:r w:rsidRPr="00493299">
        <w:rPr>
          <w:rFonts w:ascii="Verdana" w:hAnsi="Verdana"/>
          <w:b/>
          <w:sz w:val="22"/>
          <w:szCs w:val="22"/>
          <w:u w:val="single"/>
        </w:rPr>
        <w:t>Año 2024:</w:t>
      </w:r>
    </w:p>
    <w:p w14:paraId="448071AB" w14:textId="77777777" w:rsidR="00092FC3" w:rsidRPr="00493299" w:rsidRDefault="00092FC3" w:rsidP="00092FC3">
      <w:pPr>
        <w:spacing w:before="100" w:beforeAutospacing="1" w:after="100" w:afterAutospacing="1"/>
        <w:contextualSpacing/>
        <w:jc w:val="center"/>
        <w:rPr>
          <w:rFonts w:ascii="Verdana" w:hAnsi="Verdana"/>
          <w:b/>
          <w:sz w:val="22"/>
          <w:szCs w:val="22"/>
        </w:rPr>
      </w:pPr>
      <w:r w:rsidRPr="00493299">
        <w:rPr>
          <w:rFonts w:ascii="Verdana" w:hAnsi="Verdana"/>
          <w:b/>
          <w:sz w:val="22"/>
          <w:szCs w:val="22"/>
        </w:rPr>
        <w:lastRenderedPageBreak/>
        <w:t>EJECUCIÓN PRESUPUESTAL FONDO ADAPTACIÓN</w:t>
      </w:r>
    </w:p>
    <w:p w14:paraId="0E95981F" w14:textId="77777777" w:rsidR="00092FC3" w:rsidRPr="00493299" w:rsidRDefault="00092FC3" w:rsidP="00092FC3">
      <w:pPr>
        <w:spacing w:before="100" w:beforeAutospacing="1" w:after="100" w:afterAutospacing="1"/>
        <w:contextualSpacing/>
        <w:jc w:val="center"/>
        <w:rPr>
          <w:rFonts w:ascii="Verdana" w:hAnsi="Verdana"/>
          <w:sz w:val="22"/>
          <w:szCs w:val="22"/>
        </w:rPr>
      </w:pPr>
      <w:r w:rsidRPr="00493299">
        <w:rPr>
          <w:rFonts w:ascii="Verdana" w:hAnsi="Verdana"/>
          <w:b/>
          <w:sz w:val="22"/>
          <w:szCs w:val="22"/>
        </w:rPr>
        <w:t>AL 31 DE JULIO DE 2024</w:t>
      </w:r>
      <w:r w:rsidRPr="00493299">
        <w:rPr>
          <w:rFonts w:ascii="Verdana" w:hAnsi="Verdana"/>
          <w:sz w:val="22"/>
          <w:szCs w:val="22"/>
        </w:rPr>
        <w:tab/>
      </w:r>
    </w:p>
    <w:p w14:paraId="1BF99F6D" w14:textId="77777777" w:rsidR="00092FC3" w:rsidRPr="00493299" w:rsidRDefault="00092FC3" w:rsidP="00092FC3">
      <w:pPr>
        <w:spacing w:before="100" w:beforeAutospacing="1" w:after="100" w:afterAutospacing="1"/>
        <w:contextualSpacing/>
        <w:jc w:val="center"/>
        <w:rPr>
          <w:rFonts w:ascii="Verdana" w:hAnsi="Verdana"/>
          <w:sz w:val="22"/>
          <w:szCs w:val="22"/>
        </w:rPr>
      </w:pPr>
    </w:p>
    <w:p w14:paraId="5265DAFC" w14:textId="77777777" w:rsidR="00092FC3" w:rsidRPr="00493299" w:rsidRDefault="00092FC3" w:rsidP="00092FC3">
      <w:pPr>
        <w:spacing w:before="100" w:beforeAutospacing="1" w:after="100" w:afterAutospacing="1"/>
        <w:ind w:right="49"/>
        <w:contextualSpacing/>
        <w:jc w:val="both"/>
        <w:rPr>
          <w:rFonts w:ascii="Verdana" w:hAnsi="Verdana"/>
          <w:sz w:val="22"/>
          <w:szCs w:val="22"/>
        </w:rPr>
      </w:pPr>
      <w:r w:rsidRPr="00493299">
        <w:rPr>
          <w:rFonts w:ascii="Verdana" w:hAnsi="Verdana"/>
          <w:sz w:val="22"/>
          <w:szCs w:val="22"/>
        </w:rPr>
        <w:t>A continuación, se presentan los principales rubros presupuestales y resultados misionales del Fondo Adaptación en el año 2024 con corte a 31 de julio:</w:t>
      </w:r>
    </w:p>
    <w:p w14:paraId="288ECCD7" w14:textId="77777777" w:rsidR="00092FC3" w:rsidRPr="00923405" w:rsidRDefault="00092FC3" w:rsidP="00092FC3">
      <w:pPr>
        <w:spacing w:before="100" w:beforeAutospacing="1" w:after="100" w:afterAutospacing="1"/>
        <w:ind w:right="758"/>
        <w:contextualSpacing/>
        <w:jc w:val="both"/>
        <w:rPr>
          <w:rFonts w:ascii="Verdana" w:hAnsi="Verdana"/>
        </w:rPr>
      </w:pPr>
    </w:p>
    <w:tbl>
      <w:tblPr>
        <w:tblW w:w="9649" w:type="dxa"/>
        <w:tblCellMar>
          <w:left w:w="70" w:type="dxa"/>
          <w:right w:w="70" w:type="dxa"/>
        </w:tblCellMar>
        <w:tblLook w:val="04A0" w:firstRow="1" w:lastRow="0" w:firstColumn="1" w:lastColumn="0" w:noHBand="0" w:noVBand="1"/>
      </w:tblPr>
      <w:tblGrid>
        <w:gridCol w:w="2160"/>
        <w:gridCol w:w="1276"/>
        <w:gridCol w:w="1275"/>
        <w:gridCol w:w="1052"/>
        <w:gridCol w:w="1052"/>
        <w:gridCol w:w="1052"/>
        <w:gridCol w:w="1052"/>
        <w:gridCol w:w="1053"/>
      </w:tblGrid>
      <w:tr w:rsidR="00092FC3" w:rsidRPr="00923405" w14:paraId="48EB34B6" w14:textId="77777777" w:rsidTr="00293D90">
        <w:trPr>
          <w:trHeight w:val="312"/>
        </w:trPr>
        <w:tc>
          <w:tcPr>
            <w:tcW w:w="1787" w:type="dxa"/>
            <w:tcBorders>
              <w:top w:val="nil"/>
              <w:left w:val="nil"/>
              <w:bottom w:val="single" w:sz="8" w:space="0" w:color="auto"/>
              <w:right w:val="nil"/>
            </w:tcBorders>
            <w:shd w:val="clear" w:color="auto" w:fill="auto"/>
            <w:noWrap/>
            <w:vAlign w:val="bottom"/>
            <w:hideMark/>
          </w:tcPr>
          <w:p w14:paraId="09551F0A" w14:textId="77777777" w:rsidR="00092FC3" w:rsidRPr="00923405" w:rsidRDefault="00092FC3" w:rsidP="0068230C">
            <w:pPr>
              <w:spacing w:after="0" w:line="240" w:lineRule="auto"/>
              <w:rPr>
                <w:rFonts w:ascii="Verdana" w:eastAsia="Times New Roman" w:hAnsi="Verdana"/>
                <w:color w:val="000000"/>
              </w:rPr>
            </w:pPr>
            <w:r w:rsidRPr="00923405">
              <w:rPr>
                <w:rFonts w:ascii="Verdana" w:eastAsia="Times New Roman" w:hAnsi="Verdana"/>
                <w:color w:val="000000"/>
              </w:rPr>
              <w:t> </w:t>
            </w:r>
          </w:p>
        </w:tc>
        <w:tc>
          <w:tcPr>
            <w:tcW w:w="1283" w:type="dxa"/>
            <w:tcBorders>
              <w:top w:val="nil"/>
              <w:left w:val="nil"/>
              <w:bottom w:val="single" w:sz="8" w:space="0" w:color="auto"/>
              <w:right w:val="nil"/>
            </w:tcBorders>
            <w:shd w:val="clear" w:color="auto" w:fill="auto"/>
            <w:noWrap/>
            <w:vAlign w:val="bottom"/>
            <w:hideMark/>
          </w:tcPr>
          <w:p w14:paraId="21946853" w14:textId="77777777" w:rsidR="00092FC3" w:rsidRPr="00923405" w:rsidRDefault="00092FC3" w:rsidP="0068230C">
            <w:pPr>
              <w:spacing w:after="0" w:line="240" w:lineRule="auto"/>
              <w:rPr>
                <w:rFonts w:ascii="Verdana" w:eastAsia="Times New Roman" w:hAnsi="Verdana"/>
                <w:color w:val="000000"/>
              </w:rPr>
            </w:pPr>
            <w:r w:rsidRPr="00923405">
              <w:rPr>
                <w:rFonts w:ascii="Verdana" w:eastAsia="Times New Roman" w:hAnsi="Verdana"/>
                <w:color w:val="000000"/>
              </w:rPr>
              <w:t> </w:t>
            </w:r>
          </w:p>
        </w:tc>
        <w:tc>
          <w:tcPr>
            <w:tcW w:w="1283" w:type="dxa"/>
            <w:tcBorders>
              <w:top w:val="nil"/>
              <w:left w:val="nil"/>
              <w:bottom w:val="single" w:sz="8" w:space="0" w:color="auto"/>
              <w:right w:val="nil"/>
            </w:tcBorders>
            <w:shd w:val="clear" w:color="auto" w:fill="auto"/>
            <w:noWrap/>
            <w:vAlign w:val="bottom"/>
            <w:hideMark/>
          </w:tcPr>
          <w:p w14:paraId="5572F9A4" w14:textId="77777777" w:rsidR="00092FC3" w:rsidRPr="00923405" w:rsidRDefault="00092FC3" w:rsidP="0068230C">
            <w:pPr>
              <w:spacing w:after="0" w:line="240" w:lineRule="auto"/>
              <w:rPr>
                <w:rFonts w:ascii="Verdana" w:eastAsia="Times New Roman" w:hAnsi="Verdana"/>
                <w:color w:val="000000"/>
              </w:rPr>
            </w:pPr>
            <w:r w:rsidRPr="00923405">
              <w:rPr>
                <w:rFonts w:ascii="Verdana" w:eastAsia="Times New Roman" w:hAnsi="Verdana"/>
                <w:color w:val="000000"/>
              </w:rPr>
              <w:t> </w:t>
            </w:r>
          </w:p>
        </w:tc>
        <w:tc>
          <w:tcPr>
            <w:tcW w:w="1059" w:type="dxa"/>
            <w:tcBorders>
              <w:top w:val="nil"/>
              <w:left w:val="nil"/>
              <w:bottom w:val="single" w:sz="8" w:space="0" w:color="auto"/>
              <w:right w:val="nil"/>
            </w:tcBorders>
            <w:shd w:val="clear" w:color="auto" w:fill="auto"/>
            <w:noWrap/>
            <w:vAlign w:val="bottom"/>
            <w:hideMark/>
          </w:tcPr>
          <w:p w14:paraId="36DFD8FA" w14:textId="77777777" w:rsidR="00092FC3" w:rsidRPr="00923405" w:rsidRDefault="00092FC3" w:rsidP="0068230C">
            <w:pPr>
              <w:spacing w:after="0" w:line="240" w:lineRule="auto"/>
              <w:rPr>
                <w:rFonts w:ascii="Verdana" w:eastAsia="Times New Roman" w:hAnsi="Verdana"/>
                <w:color w:val="000000"/>
              </w:rPr>
            </w:pPr>
            <w:r w:rsidRPr="00923405">
              <w:rPr>
                <w:rFonts w:ascii="Verdana" w:eastAsia="Times New Roman" w:hAnsi="Verdana"/>
                <w:color w:val="000000"/>
              </w:rPr>
              <w:t> </w:t>
            </w:r>
          </w:p>
        </w:tc>
        <w:tc>
          <w:tcPr>
            <w:tcW w:w="1059" w:type="dxa"/>
            <w:tcBorders>
              <w:top w:val="nil"/>
              <w:left w:val="nil"/>
              <w:bottom w:val="single" w:sz="8" w:space="0" w:color="auto"/>
              <w:right w:val="nil"/>
            </w:tcBorders>
            <w:shd w:val="clear" w:color="auto" w:fill="auto"/>
            <w:noWrap/>
            <w:vAlign w:val="bottom"/>
            <w:hideMark/>
          </w:tcPr>
          <w:p w14:paraId="4493C4D7" w14:textId="77777777" w:rsidR="00092FC3" w:rsidRPr="00923405" w:rsidRDefault="00092FC3" w:rsidP="0068230C">
            <w:pPr>
              <w:spacing w:after="0" w:line="240" w:lineRule="auto"/>
              <w:rPr>
                <w:rFonts w:ascii="Verdana" w:eastAsia="Times New Roman" w:hAnsi="Verdana"/>
                <w:color w:val="000000"/>
              </w:rPr>
            </w:pPr>
            <w:r w:rsidRPr="00923405">
              <w:rPr>
                <w:rFonts w:ascii="Verdana" w:eastAsia="Times New Roman" w:hAnsi="Verdana"/>
                <w:color w:val="000000"/>
              </w:rPr>
              <w:t> </w:t>
            </w:r>
          </w:p>
        </w:tc>
        <w:tc>
          <w:tcPr>
            <w:tcW w:w="1059" w:type="dxa"/>
            <w:tcBorders>
              <w:top w:val="nil"/>
              <w:left w:val="nil"/>
              <w:bottom w:val="single" w:sz="8" w:space="0" w:color="auto"/>
              <w:right w:val="nil"/>
            </w:tcBorders>
            <w:shd w:val="clear" w:color="auto" w:fill="auto"/>
            <w:noWrap/>
            <w:vAlign w:val="bottom"/>
            <w:hideMark/>
          </w:tcPr>
          <w:p w14:paraId="73F333A9" w14:textId="77777777" w:rsidR="00092FC3" w:rsidRPr="00923405" w:rsidRDefault="00092FC3" w:rsidP="0068230C">
            <w:pPr>
              <w:spacing w:after="0" w:line="240" w:lineRule="auto"/>
              <w:rPr>
                <w:rFonts w:ascii="Verdana" w:eastAsia="Times New Roman" w:hAnsi="Verdana"/>
                <w:color w:val="000000"/>
              </w:rPr>
            </w:pPr>
            <w:r w:rsidRPr="00923405">
              <w:rPr>
                <w:rFonts w:ascii="Verdana" w:eastAsia="Times New Roman" w:hAnsi="Verdana"/>
                <w:color w:val="000000"/>
              </w:rPr>
              <w:t> </w:t>
            </w:r>
          </w:p>
        </w:tc>
        <w:tc>
          <w:tcPr>
            <w:tcW w:w="2119" w:type="dxa"/>
            <w:gridSpan w:val="2"/>
            <w:tcBorders>
              <w:top w:val="nil"/>
              <w:left w:val="nil"/>
              <w:bottom w:val="single" w:sz="8" w:space="0" w:color="auto"/>
              <w:right w:val="nil"/>
            </w:tcBorders>
            <w:shd w:val="clear" w:color="auto" w:fill="auto"/>
            <w:noWrap/>
            <w:vAlign w:val="center"/>
            <w:hideMark/>
          </w:tcPr>
          <w:p w14:paraId="5411C624" w14:textId="77777777" w:rsidR="00092FC3" w:rsidRPr="00923405" w:rsidRDefault="00092FC3" w:rsidP="0068230C">
            <w:pPr>
              <w:spacing w:after="0" w:line="240" w:lineRule="auto"/>
              <w:jc w:val="right"/>
              <w:rPr>
                <w:rFonts w:ascii="Verdana" w:eastAsia="Times New Roman" w:hAnsi="Verdana"/>
                <w:color w:val="000000"/>
                <w:sz w:val="14"/>
                <w:szCs w:val="14"/>
              </w:rPr>
            </w:pPr>
            <w:r w:rsidRPr="00923405">
              <w:rPr>
                <w:rFonts w:ascii="Verdana" w:eastAsia="Times New Roman" w:hAnsi="Verdana"/>
                <w:color w:val="000000"/>
                <w:sz w:val="14"/>
                <w:szCs w:val="14"/>
              </w:rPr>
              <w:t>Cifras en millones</w:t>
            </w:r>
          </w:p>
        </w:tc>
      </w:tr>
      <w:tr w:rsidR="00092FC3" w:rsidRPr="00923405" w14:paraId="1D945504" w14:textId="77777777" w:rsidTr="00293D90">
        <w:trPr>
          <w:trHeight w:val="312"/>
        </w:trPr>
        <w:tc>
          <w:tcPr>
            <w:tcW w:w="9649" w:type="dxa"/>
            <w:gridSpan w:val="8"/>
            <w:tcBorders>
              <w:top w:val="single" w:sz="8" w:space="0" w:color="auto"/>
              <w:left w:val="single" w:sz="8" w:space="0" w:color="auto"/>
              <w:bottom w:val="single" w:sz="8" w:space="0" w:color="auto"/>
              <w:right w:val="single" w:sz="8" w:space="0" w:color="000000"/>
            </w:tcBorders>
            <w:shd w:val="clear" w:color="auto" w:fill="2B4B71"/>
            <w:vAlign w:val="center"/>
            <w:hideMark/>
          </w:tcPr>
          <w:p w14:paraId="0251F799" w14:textId="77777777" w:rsidR="00092FC3" w:rsidRPr="00923405" w:rsidRDefault="00092FC3" w:rsidP="0068230C">
            <w:pPr>
              <w:spacing w:after="0" w:line="240" w:lineRule="auto"/>
              <w:jc w:val="center"/>
              <w:rPr>
                <w:rFonts w:ascii="Verdana" w:eastAsia="Times New Roman" w:hAnsi="Verdana"/>
                <w:b/>
                <w:bCs/>
                <w:color w:val="FFFFFF"/>
                <w:sz w:val="14"/>
                <w:szCs w:val="14"/>
              </w:rPr>
            </w:pPr>
            <w:r w:rsidRPr="00923405">
              <w:rPr>
                <w:rFonts w:ascii="Verdana" w:eastAsia="Times New Roman" w:hAnsi="Verdana"/>
                <w:b/>
                <w:bCs/>
                <w:color w:val="FFFFFF"/>
                <w:sz w:val="14"/>
                <w:szCs w:val="14"/>
              </w:rPr>
              <w:t>EJECUCIÓN RESUMEN - FONDO ADAPTACIÓN -AÑO 2024 A 31 DE JULIO</w:t>
            </w:r>
          </w:p>
        </w:tc>
      </w:tr>
      <w:tr w:rsidR="00092FC3" w:rsidRPr="00923405" w14:paraId="40E5194B" w14:textId="77777777" w:rsidTr="00293D90">
        <w:trPr>
          <w:trHeight w:val="312"/>
        </w:trPr>
        <w:tc>
          <w:tcPr>
            <w:tcW w:w="1787" w:type="dxa"/>
            <w:vMerge w:val="restart"/>
            <w:tcBorders>
              <w:top w:val="nil"/>
              <w:left w:val="single" w:sz="8" w:space="0" w:color="auto"/>
              <w:bottom w:val="single" w:sz="8" w:space="0" w:color="000000"/>
              <w:right w:val="single" w:sz="8" w:space="0" w:color="auto"/>
            </w:tcBorders>
            <w:shd w:val="clear" w:color="auto" w:fill="2B4B71"/>
            <w:vAlign w:val="center"/>
            <w:hideMark/>
          </w:tcPr>
          <w:p w14:paraId="5E8E4947" w14:textId="77777777" w:rsidR="00092FC3" w:rsidRPr="00923405" w:rsidRDefault="00092FC3" w:rsidP="0068230C">
            <w:pPr>
              <w:spacing w:after="0" w:line="240" w:lineRule="auto"/>
              <w:jc w:val="center"/>
              <w:rPr>
                <w:rFonts w:ascii="Verdana" w:eastAsia="Times New Roman" w:hAnsi="Verdana"/>
                <w:b/>
                <w:bCs/>
                <w:color w:val="FFFFFF"/>
                <w:sz w:val="14"/>
                <w:szCs w:val="14"/>
              </w:rPr>
            </w:pPr>
            <w:r w:rsidRPr="00923405">
              <w:rPr>
                <w:rFonts w:ascii="Verdana" w:eastAsia="Times New Roman" w:hAnsi="Verdana"/>
                <w:b/>
                <w:bCs/>
                <w:color w:val="FFFFFF"/>
                <w:sz w:val="14"/>
                <w:szCs w:val="14"/>
              </w:rPr>
              <w:t>CONCEPTO</w:t>
            </w:r>
          </w:p>
        </w:tc>
        <w:tc>
          <w:tcPr>
            <w:tcW w:w="1283" w:type="dxa"/>
            <w:vMerge w:val="restart"/>
            <w:tcBorders>
              <w:top w:val="nil"/>
              <w:left w:val="single" w:sz="8" w:space="0" w:color="auto"/>
              <w:bottom w:val="single" w:sz="8" w:space="0" w:color="000000"/>
              <w:right w:val="single" w:sz="8" w:space="0" w:color="auto"/>
            </w:tcBorders>
            <w:shd w:val="clear" w:color="auto" w:fill="2B4B71"/>
            <w:vAlign w:val="center"/>
            <w:hideMark/>
          </w:tcPr>
          <w:p w14:paraId="139E1CEF" w14:textId="77777777" w:rsidR="00092FC3" w:rsidRPr="00923405" w:rsidRDefault="00092FC3" w:rsidP="0068230C">
            <w:pPr>
              <w:spacing w:after="0" w:line="240" w:lineRule="auto"/>
              <w:jc w:val="center"/>
              <w:rPr>
                <w:rFonts w:ascii="Verdana" w:eastAsia="Times New Roman" w:hAnsi="Verdana"/>
                <w:b/>
                <w:bCs/>
                <w:color w:val="FFFFFF"/>
                <w:sz w:val="14"/>
                <w:szCs w:val="14"/>
              </w:rPr>
            </w:pPr>
            <w:r w:rsidRPr="00923405">
              <w:rPr>
                <w:rFonts w:ascii="Verdana" w:eastAsia="Times New Roman" w:hAnsi="Verdana"/>
                <w:b/>
                <w:bCs/>
                <w:color w:val="FFFFFF"/>
                <w:sz w:val="14"/>
                <w:szCs w:val="14"/>
              </w:rPr>
              <w:t>APROPIACION INICIAL 2024</w:t>
            </w:r>
          </w:p>
        </w:tc>
        <w:tc>
          <w:tcPr>
            <w:tcW w:w="1283" w:type="dxa"/>
            <w:vMerge w:val="restart"/>
            <w:tcBorders>
              <w:top w:val="nil"/>
              <w:left w:val="single" w:sz="8" w:space="0" w:color="auto"/>
              <w:bottom w:val="single" w:sz="8" w:space="0" w:color="000000"/>
              <w:right w:val="single" w:sz="8" w:space="0" w:color="auto"/>
            </w:tcBorders>
            <w:shd w:val="clear" w:color="auto" w:fill="2B4B71"/>
            <w:vAlign w:val="center"/>
            <w:hideMark/>
          </w:tcPr>
          <w:p w14:paraId="33C8C522" w14:textId="77777777" w:rsidR="00092FC3" w:rsidRPr="00923405" w:rsidRDefault="00092FC3" w:rsidP="0068230C">
            <w:pPr>
              <w:spacing w:after="0" w:line="240" w:lineRule="auto"/>
              <w:jc w:val="center"/>
              <w:rPr>
                <w:rFonts w:ascii="Verdana" w:eastAsia="Times New Roman" w:hAnsi="Verdana"/>
                <w:b/>
                <w:bCs/>
                <w:color w:val="FFFFFF"/>
                <w:sz w:val="14"/>
                <w:szCs w:val="14"/>
              </w:rPr>
            </w:pPr>
            <w:r w:rsidRPr="00923405">
              <w:rPr>
                <w:rFonts w:ascii="Verdana" w:eastAsia="Times New Roman" w:hAnsi="Verdana"/>
                <w:b/>
                <w:bCs/>
                <w:color w:val="FFFFFF"/>
                <w:sz w:val="14"/>
                <w:szCs w:val="14"/>
              </w:rPr>
              <w:t>APROPIACION VIGENTE 2024</w:t>
            </w:r>
          </w:p>
        </w:tc>
        <w:tc>
          <w:tcPr>
            <w:tcW w:w="1059" w:type="dxa"/>
            <w:vMerge w:val="restart"/>
            <w:tcBorders>
              <w:top w:val="nil"/>
              <w:left w:val="single" w:sz="8" w:space="0" w:color="auto"/>
              <w:bottom w:val="single" w:sz="8" w:space="0" w:color="000000"/>
              <w:right w:val="single" w:sz="8" w:space="0" w:color="auto"/>
            </w:tcBorders>
            <w:shd w:val="clear" w:color="auto" w:fill="2B4B71"/>
            <w:vAlign w:val="center"/>
            <w:hideMark/>
          </w:tcPr>
          <w:p w14:paraId="383F67B1" w14:textId="77777777" w:rsidR="00092FC3" w:rsidRPr="00923405" w:rsidRDefault="00092FC3" w:rsidP="0068230C">
            <w:pPr>
              <w:spacing w:after="0" w:line="240" w:lineRule="auto"/>
              <w:jc w:val="center"/>
              <w:rPr>
                <w:rFonts w:ascii="Verdana" w:eastAsia="Times New Roman" w:hAnsi="Verdana"/>
                <w:b/>
                <w:bCs/>
                <w:color w:val="FFFFFF"/>
                <w:sz w:val="14"/>
                <w:szCs w:val="14"/>
              </w:rPr>
            </w:pPr>
            <w:r w:rsidRPr="00923405">
              <w:rPr>
                <w:rFonts w:ascii="Verdana" w:eastAsia="Times New Roman" w:hAnsi="Verdana"/>
                <w:b/>
                <w:bCs/>
                <w:color w:val="FFFFFF"/>
                <w:sz w:val="14"/>
                <w:szCs w:val="14"/>
              </w:rPr>
              <w:t>% PART.</w:t>
            </w:r>
          </w:p>
        </w:tc>
        <w:tc>
          <w:tcPr>
            <w:tcW w:w="2118" w:type="dxa"/>
            <w:gridSpan w:val="2"/>
            <w:tcBorders>
              <w:top w:val="single" w:sz="8" w:space="0" w:color="auto"/>
              <w:left w:val="nil"/>
              <w:bottom w:val="single" w:sz="8" w:space="0" w:color="auto"/>
              <w:right w:val="single" w:sz="8" w:space="0" w:color="000000"/>
            </w:tcBorders>
            <w:shd w:val="clear" w:color="auto" w:fill="2B4B71"/>
            <w:vAlign w:val="center"/>
            <w:hideMark/>
          </w:tcPr>
          <w:p w14:paraId="7379CFEF" w14:textId="77777777" w:rsidR="00092FC3" w:rsidRPr="00923405" w:rsidRDefault="00092FC3" w:rsidP="0068230C">
            <w:pPr>
              <w:spacing w:after="0" w:line="240" w:lineRule="auto"/>
              <w:jc w:val="center"/>
              <w:rPr>
                <w:rFonts w:ascii="Verdana" w:eastAsia="Times New Roman" w:hAnsi="Verdana"/>
                <w:b/>
                <w:bCs/>
                <w:color w:val="FFFFFF"/>
                <w:sz w:val="14"/>
                <w:szCs w:val="14"/>
              </w:rPr>
            </w:pPr>
            <w:r w:rsidRPr="00923405">
              <w:rPr>
                <w:rFonts w:ascii="Verdana" w:eastAsia="Times New Roman" w:hAnsi="Verdana"/>
                <w:b/>
                <w:bCs/>
                <w:color w:val="FFFFFF"/>
                <w:sz w:val="14"/>
                <w:szCs w:val="14"/>
              </w:rPr>
              <w:t>COMPROMISOS 2024</w:t>
            </w:r>
          </w:p>
        </w:tc>
        <w:tc>
          <w:tcPr>
            <w:tcW w:w="2119" w:type="dxa"/>
            <w:gridSpan w:val="2"/>
            <w:tcBorders>
              <w:top w:val="single" w:sz="8" w:space="0" w:color="auto"/>
              <w:left w:val="nil"/>
              <w:bottom w:val="single" w:sz="8" w:space="0" w:color="auto"/>
              <w:right w:val="single" w:sz="8" w:space="0" w:color="000000"/>
            </w:tcBorders>
            <w:shd w:val="clear" w:color="auto" w:fill="2B4B71"/>
            <w:vAlign w:val="center"/>
            <w:hideMark/>
          </w:tcPr>
          <w:p w14:paraId="232AED7A" w14:textId="77777777" w:rsidR="00092FC3" w:rsidRPr="00923405" w:rsidRDefault="00092FC3" w:rsidP="0068230C">
            <w:pPr>
              <w:spacing w:after="0" w:line="240" w:lineRule="auto"/>
              <w:jc w:val="center"/>
              <w:rPr>
                <w:rFonts w:ascii="Verdana" w:eastAsia="Times New Roman" w:hAnsi="Verdana"/>
                <w:b/>
                <w:bCs/>
                <w:color w:val="FFFFFF"/>
                <w:sz w:val="14"/>
                <w:szCs w:val="14"/>
              </w:rPr>
            </w:pPr>
            <w:r w:rsidRPr="00923405">
              <w:rPr>
                <w:rFonts w:ascii="Verdana" w:eastAsia="Times New Roman" w:hAnsi="Verdana"/>
                <w:b/>
                <w:bCs/>
                <w:color w:val="FFFFFF"/>
                <w:sz w:val="14"/>
                <w:szCs w:val="14"/>
              </w:rPr>
              <w:t>OBLIGACIONES 2024</w:t>
            </w:r>
          </w:p>
        </w:tc>
      </w:tr>
      <w:tr w:rsidR="00092FC3" w:rsidRPr="00923405" w14:paraId="3A332937" w14:textId="77777777" w:rsidTr="00293D90">
        <w:trPr>
          <w:trHeight w:val="312"/>
        </w:trPr>
        <w:tc>
          <w:tcPr>
            <w:tcW w:w="1787" w:type="dxa"/>
            <w:vMerge/>
            <w:tcBorders>
              <w:top w:val="nil"/>
              <w:left w:val="single" w:sz="8" w:space="0" w:color="auto"/>
              <w:bottom w:val="single" w:sz="8" w:space="0" w:color="000000"/>
              <w:right w:val="single" w:sz="8" w:space="0" w:color="auto"/>
            </w:tcBorders>
            <w:shd w:val="clear" w:color="auto" w:fill="2B4B71"/>
            <w:vAlign w:val="center"/>
            <w:hideMark/>
          </w:tcPr>
          <w:p w14:paraId="30082006" w14:textId="77777777" w:rsidR="00092FC3" w:rsidRPr="00923405" w:rsidRDefault="00092FC3" w:rsidP="0068230C">
            <w:pPr>
              <w:spacing w:after="0" w:line="240" w:lineRule="auto"/>
              <w:rPr>
                <w:rFonts w:ascii="Verdana" w:eastAsia="Times New Roman" w:hAnsi="Verdana"/>
                <w:b/>
                <w:bCs/>
                <w:color w:val="FFFFFF"/>
                <w:sz w:val="14"/>
                <w:szCs w:val="14"/>
              </w:rPr>
            </w:pPr>
          </w:p>
        </w:tc>
        <w:tc>
          <w:tcPr>
            <w:tcW w:w="1283" w:type="dxa"/>
            <w:vMerge/>
            <w:tcBorders>
              <w:top w:val="nil"/>
              <w:left w:val="single" w:sz="8" w:space="0" w:color="auto"/>
              <w:bottom w:val="single" w:sz="8" w:space="0" w:color="000000"/>
              <w:right w:val="single" w:sz="8" w:space="0" w:color="auto"/>
            </w:tcBorders>
            <w:shd w:val="clear" w:color="auto" w:fill="2B4B71"/>
            <w:vAlign w:val="center"/>
            <w:hideMark/>
          </w:tcPr>
          <w:p w14:paraId="42C14E7C" w14:textId="77777777" w:rsidR="00092FC3" w:rsidRPr="00923405" w:rsidRDefault="00092FC3" w:rsidP="0068230C">
            <w:pPr>
              <w:spacing w:after="0" w:line="240" w:lineRule="auto"/>
              <w:rPr>
                <w:rFonts w:ascii="Verdana" w:eastAsia="Times New Roman" w:hAnsi="Verdana"/>
                <w:b/>
                <w:bCs/>
                <w:color w:val="FFFFFF"/>
                <w:sz w:val="14"/>
                <w:szCs w:val="14"/>
              </w:rPr>
            </w:pPr>
          </w:p>
        </w:tc>
        <w:tc>
          <w:tcPr>
            <w:tcW w:w="1283" w:type="dxa"/>
            <w:vMerge/>
            <w:tcBorders>
              <w:top w:val="nil"/>
              <w:left w:val="single" w:sz="8" w:space="0" w:color="auto"/>
              <w:bottom w:val="single" w:sz="8" w:space="0" w:color="000000"/>
              <w:right w:val="single" w:sz="8" w:space="0" w:color="auto"/>
            </w:tcBorders>
            <w:shd w:val="clear" w:color="auto" w:fill="2B4B71"/>
            <w:vAlign w:val="center"/>
            <w:hideMark/>
          </w:tcPr>
          <w:p w14:paraId="0CECCFC1" w14:textId="77777777" w:rsidR="00092FC3" w:rsidRPr="00923405" w:rsidRDefault="00092FC3" w:rsidP="0068230C">
            <w:pPr>
              <w:spacing w:after="0" w:line="240" w:lineRule="auto"/>
              <w:rPr>
                <w:rFonts w:ascii="Verdana" w:eastAsia="Times New Roman" w:hAnsi="Verdana"/>
                <w:b/>
                <w:bCs/>
                <w:color w:val="FFFFFF"/>
                <w:sz w:val="14"/>
                <w:szCs w:val="14"/>
              </w:rPr>
            </w:pPr>
          </w:p>
        </w:tc>
        <w:tc>
          <w:tcPr>
            <w:tcW w:w="1059" w:type="dxa"/>
            <w:vMerge/>
            <w:tcBorders>
              <w:top w:val="nil"/>
              <w:left w:val="single" w:sz="8" w:space="0" w:color="auto"/>
              <w:bottom w:val="single" w:sz="8" w:space="0" w:color="000000"/>
              <w:right w:val="single" w:sz="8" w:space="0" w:color="auto"/>
            </w:tcBorders>
            <w:shd w:val="clear" w:color="auto" w:fill="2B4B71"/>
            <w:vAlign w:val="center"/>
            <w:hideMark/>
          </w:tcPr>
          <w:p w14:paraId="73EAD762" w14:textId="77777777" w:rsidR="00092FC3" w:rsidRPr="00923405" w:rsidRDefault="00092FC3" w:rsidP="0068230C">
            <w:pPr>
              <w:spacing w:after="0" w:line="240" w:lineRule="auto"/>
              <w:rPr>
                <w:rFonts w:ascii="Verdana" w:eastAsia="Times New Roman" w:hAnsi="Verdana"/>
                <w:b/>
                <w:bCs/>
                <w:color w:val="FFFFFF"/>
                <w:sz w:val="14"/>
                <w:szCs w:val="14"/>
              </w:rPr>
            </w:pPr>
          </w:p>
        </w:tc>
        <w:tc>
          <w:tcPr>
            <w:tcW w:w="1059" w:type="dxa"/>
            <w:tcBorders>
              <w:top w:val="nil"/>
              <w:left w:val="nil"/>
              <w:bottom w:val="single" w:sz="8" w:space="0" w:color="auto"/>
              <w:right w:val="single" w:sz="8" w:space="0" w:color="auto"/>
            </w:tcBorders>
            <w:shd w:val="clear" w:color="auto" w:fill="2B4B71"/>
            <w:vAlign w:val="center"/>
            <w:hideMark/>
          </w:tcPr>
          <w:p w14:paraId="1355B441" w14:textId="77777777" w:rsidR="00092FC3" w:rsidRPr="00923405" w:rsidRDefault="00092FC3" w:rsidP="0068230C">
            <w:pPr>
              <w:spacing w:after="0" w:line="240" w:lineRule="auto"/>
              <w:jc w:val="center"/>
              <w:rPr>
                <w:rFonts w:ascii="Verdana" w:eastAsia="Times New Roman" w:hAnsi="Verdana"/>
                <w:b/>
                <w:bCs/>
                <w:color w:val="FFFFFF"/>
                <w:sz w:val="14"/>
                <w:szCs w:val="14"/>
              </w:rPr>
            </w:pPr>
            <w:r w:rsidRPr="00923405">
              <w:rPr>
                <w:rFonts w:ascii="Verdana" w:eastAsia="Times New Roman" w:hAnsi="Verdana"/>
                <w:b/>
                <w:bCs/>
                <w:color w:val="FFFFFF"/>
                <w:sz w:val="14"/>
                <w:szCs w:val="14"/>
              </w:rPr>
              <w:t>Valor</w:t>
            </w:r>
          </w:p>
        </w:tc>
        <w:tc>
          <w:tcPr>
            <w:tcW w:w="1059" w:type="dxa"/>
            <w:tcBorders>
              <w:top w:val="nil"/>
              <w:left w:val="nil"/>
              <w:bottom w:val="single" w:sz="8" w:space="0" w:color="auto"/>
              <w:right w:val="single" w:sz="8" w:space="0" w:color="auto"/>
            </w:tcBorders>
            <w:shd w:val="clear" w:color="auto" w:fill="2B4B71"/>
            <w:vAlign w:val="center"/>
            <w:hideMark/>
          </w:tcPr>
          <w:p w14:paraId="59F0D995" w14:textId="77777777" w:rsidR="00092FC3" w:rsidRPr="00923405" w:rsidRDefault="00092FC3" w:rsidP="0068230C">
            <w:pPr>
              <w:spacing w:after="0" w:line="240" w:lineRule="auto"/>
              <w:jc w:val="center"/>
              <w:rPr>
                <w:rFonts w:ascii="Verdana" w:eastAsia="Times New Roman" w:hAnsi="Verdana"/>
                <w:b/>
                <w:bCs/>
                <w:color w:val="FFFFFF"/>
                <w:sz w:val="14"/>
                <w:szCs w:val="14"/>
              </w:rPr>
            </w:pPr>
            <w:r w:rsidRPr="00923405">
              <w:rPr>
                <w:rFonts w:ascii="Verdana" w:eastAsia="Times New Roman" w:hAnsi="Verdana"/>
                <w:b/>
                <w:bCs/>
                <w:color w:val="FFFFFF"/>
                <w:sz w:val="14"/>
                <w:szCs w:val="14"/>
              </w:rPr>
              <w:t xml:space="preserve">% </w:t>
            </w:r>
          </w:p>
        </w:tc>
        <w:tc>
          <w:tcPr>
            <w:tcW w:w="1059" w:type="dxa"/>
            <w:tcBorders>
              <w:top w:val="nil"/>
              <w:left w:val="nil"/>
              <w:bottom w:val="single" w:sz="8" w:space="0" w:color="auto"/>
              <w:right w:val="single" w:sz="8" w:space="0" w:color="auto"/>
            </w:tcBorders>
            <w:shd w:val="clear" w:color="auto" w:fill="2B4B71"/>
            <w:vAlign w:val="center"/>
            <w:hideMark/>
          </w:tcPr>
          <w:p w14:paraId="07D81D46" w14:textId="77777777" w:rsidR="00092FC3" w:rsidRPr="00923405" w:rsidRDefault="00092FC3" w:rsidP="0068230C">
            <w:pPr>
              <w:spacing w:after="0" w:line="240" w:lineRule="auto"/>
              <w:jc w:val="center"/>
              <w:rPr>
                <w:rFonts w:ascii="Verdana" w:eastAsia="Times New Roman" w:hAnsi="Verdana"/>
                <w:b/>
                <w:bCs/>
                <w:color w:val="FFFFFF"/>
                <w:sz w:val="14"/>
                <w:szCs w:val="14"/>
              </w:rPr>
            </w:pPr>
            <w:r w:rsidRPr="00923405">
              <w:rPr>
                <w:rFonts w:ascii="Verdana" w:eastAsia="Times New Roman" w:hAnsi="Verdana"/>
                <w:b/>
                <w:bCs/>
                <w:color w:val="FFFFFF"/>
                <w:sz w:val="14"/>
                <w:szCs w:val="14"/>
              </w:rPr>
              <w:t>Valor</w:t>
            </w:r>
          </w:p>
        </w:tc>
        <w:tc>
          <w:tcPr>
            <w:tcW w:w="1060" w:type="dxa"/>
            <w:tcBorders>
              <w:top w:val="nil"/>
              <w:left w:val="nil"/>
              <w:bottom w:val="single" w:sz="8" w:space="0" w:color="auto"/>
              <w:right w:val="single" w:sz="8" w:space="0" w:color="auto"/>
            </w:tcBorders>
            <w:shd w:val="clear" w:color="auto" w:fill="2B4B71"/>
            <w:vAlign w:val="center"/>
            <w:hideMark/>
          </w:tcPr>
          <w:p w14:paraId="08E7A860" w14:textId="77777777" w:rsidR="00092FC3" w:rsidRPr="00923405" w:rsidRDefault="00092FC3" w:rsidP="0068230C">
            <w:pPr>
              <w:spacing w:after="0" w:line="240" w:lineRule="auto"/>
              <w:jc w:val="center"/>
              <w:rPr>
                <w:rFonts w:ascii="Verdana" w:eastAsia="Times New Roman" w:hAnsi="Verdana"/>
                <w:b/>
                <w:bCs/>
                <w:color w:val="FFFFFF"/>
                <w:sz w:val="14"/>
                <w:szCs w:val="14"/>
              </w:rPr>
            </w:pPr>
            <w:r w:rsidRPr="00923405">
              <w:rPr>
                <w:rFonts w:ascii="Verdana" w:eastAsia="Times New Roman" w:hAnsi="Verdana"/>
                <w:b/>
                <w:bCs/>
                <w:color w:val="FFFFFF"/>
                <w:sz w:val="14"/>
                <w:szCs w:val="14"/>
              </w:rPr>
              <w:t xml:space="preserve">% </w:t>
            </w:r>
          </w:p>
        </w:tc>
      </w:tr>
      <w:tr w:rsidR="00092FC3" w:rsidRPr="00923405" w14:paraId="527A95CE" w14:textId="77777777" w:rsidTr="0068230C">
        <w:trPr>
          <w:trHeight w:val="312"/>
        </w:trPr>
        <w:tc>
          <w:tcPr>
            <w:tcW w:w="1787" w:type="dxa"/>
            <w:tcBorders>
              <w:top w:val="nil"/>
              <w:left w:val="single" w:sz="8" w:space="0" w:color="auto"/>
              <w:bottom w:val="single" w:sz="8" w:space="0" w:color="auto"/>
              <w:right w:val="single" w:sz="8" w:space="0" w:color="auto"/>
            </w:tcBorders>
            <w:shd w:val="clear" w:color="000000" w:fill="FFCC66"/>
            <w:vAlign w:val="center"/>
            <w:hideMark/>
          </w:tcPr>
          <w:p w14:paraId="57C1019D" w14:textId="77777777" w:rsidR="00092FC3" w:rsidRPr="00923405" w:rsidRDefault="00092FC3" w:rsidP="0068230C">
            <w:pPr>
              <w:spacing w:after="0" w:line="240" w:lineRule="auto"/>
              <w:jc w:val="center"/>
              <w:rPr>
                <w:rFonts w:ascii="Verdana" w:eastAsia="Times New Roman" w:hAnsi="Verdana"/>
                <w:b/>
                <w:bCs/>
                <w:color w:val="000000"/>
                <w:sz w:val="14"/>
                <w:szCs w:val="14"/>
              </w:rPr>
            </w:pPr>
            <w:r w:rsidRPr="00923405">
              <w:rPr>
                <w:rFonts w:ascii="Verdana" w:eastAsia="Times New Roman" w:hAnsi="Verdana"/>
                <w:b/>
                <w:bCs/>
                <w:color w:val="000000"/>
                <w:sz w:val="14"/>
                <w:szCs w:val="14"/>
              </w:rPr>
              <w:t xml:space="preserve"> FUNCIONAMIENTO</w:t>
            </w:r>
          </w:p>
        </w:tc>
        <w:tc>
          <w:tcPr>
            <w:tcW w:w="1283" w:type="dxa"/>
            <w:tcBorders>
              <w:top w:val="nil"/>
              <w:left w:val="nil"/>
              <w:bottom w:val="single" w:sz="8" w:space="0" w:color="auto"/>
              <w:right w:val="single" w:sz="8" w:space="0" w:color="auto"/>
            </w:tcBorders>
            <w:shd w:val="clear" w:color="000000" w:fill="FFCC66"/>
            <w:vAlign w:val="center"/>
            <w:hideMark/>
          </w:tcPr>
          <w:p w14:paraId="2267CDB0" w14:textId="77777777" w:rsidR="00092FC3" w:rsidRPr="00923405" w:rsidRDefault="00092FC3" w:rsidP="0068230C">
            <w:pPr>
              <w:spacing w:after="0" w:line="240" w:lineRule="auto"/>
              <w:jc w:val="center"/>
              <w:rPr>
                <w:rFonts w:ascii="Verdana" w:eastAsia="Times New Roman" w:hAnsi="Verdana"/>
                <w:b/>
                <w:bCs/>
                <w:color w:val="000000"/>
                <w:sz w:val="14"/>
                <w:szCs w:val="14"/>
              </w:rPr>
            </w:pPr>
            <w:r w:rsidRPr="00923405">
              <w:rPr>
                <w:rFonts w:ascii="Verdana" w:eastAsia="Times New Roman" w:hAnsi="Verdana"/>
                <w:b/>
                <w:bCs/>
                <w:color w:val="000000"/>
                <w:sz w:val="14"/>
                <w:szCs w:val="14"/>
              </w:rPr>
              <w:t>45.542</w:t>
            </w:r>
          </w:p>
        </w:tc>
        <w:tc>
          <w:tcPr>
            <w:tcW w:w="1283" w:type="dxa"/>
            <w:tcBorders>
              <w:top w:val="nil"/>
              <w:left w:val="nil"/>
              <w:bottom w:val="single" w:sz="8" w:space="0" w:color="auto"/>
              <w:right w:val="single" w:sz="8" w:space="0" w:color="auto"/>
            </w:tcBorders>
            <w:shd w:val="clear" w:color="000000" w:fill="FFCC66"/>
            <w:vAlign w:val="center"/>
            <w:hideMark/>
          </w:tcPr>
          <w:p w14:paraId="034A90C3" w14:textId="77777777" w:rsidR="00092FC3" w:rsidRPr="00923405" w:rsidRDefault="00092FC3" w:rsidP="0068230C">
            <w:pPr>
              <w:spacing w:after="0" w:line="240" w:lineRule="auto"/>
              <w:jc w:val="center"/>
              <w:rPr>
                <w:rFonts w:ascii="Verdana" w:eastAsia="Times New Roman" w:hAnsi="Verdana"/>
                <w:b/>
                <w:bCs/>
                <w:color w:val="000000"/>
                <w:sz w:val="14"/>
                <w:szCs w:val="14"/>
              </w:rPr>
            </w:pPr>
            <w:r w:rsidRPr="00923405">
              <w:rPr>
                <w:rFonts w:ascii="Verdana" w:eastAsia="Times New Roman" w:hAnsi="Verdana"/>
                <w:b/>
                <w:bCs/>
                <w:color w:val="000000"/>
                <w:sz w:val="14"/>
                <w:szCs w:val="14"/>
              </w:rPr>
              <w:t>45.542</w:t>
            </w:r>
          </w:p>
        </w:tc>
        <w:tc>
          <w:tcPr>
            <w:tcW w:w="1059" w:type="dxa"/>
            <w:tcBorders>
              <w:top w:val="nil"/>
              <w:left w:val="nil"/>
              <w:bottom w:val="single" w:sz="8" w:space="0" w:color="auto"/>
              <w:right w:val="single" w:sz="8" w:space="0" w:color="auto"/>
            </w:tcBorders>
            <w:shd w:val="clear" w:color="000000" w:fill="FFCC66"/>
            <w:vAlign w:val="center"/>
            <w:hideMark/>
          </w:tcPr>
          <w:p w14:paraId="5EA048AD" w14:textId="77777777" w:rsidR="00092FC3" w:rsidRPr="00923405" w:rsidRDefault="00092FC3" w:rsidP="0068230C">
            <w:pPr>
              <w:spacing w:after="0" w:line="240" w:lineRule="auto"/>
              <w:jc w:val="center"/>
              <w:rPr>
                <w:rFonts w:ascii="Verdana" w:eastAsia="Times New Roman" w:hAnsi="Verdana"/>
                <w:b/>
                <w:bCs/>
                <w:color w:val="000000"/>
                <w:sz w:val="14"/>
                <w:szCs w:val="14"/>
              </w:rPr>
            </w:pPr>
            <w:r w:rsidRPr="00923405">
              <w:rPr>
                <w:rFonts w:ascii="Verdana" w:eastAsia="Times New Roman" w:hAnsi="Verdana"/>
                <w:b/>
                <w:bCs/>
                <w:color w:val="000000"/>
                <w:sz w:val="14"/>
                <w:szCs w:val="14"/>
              </w:rPr>
              <w:t>23,45%</w:t>
            </w:r>
          </w:p>
        </w:tc>
        <w:tc>
          <w:tcPr>
            <w:tcW w:w="1059" w:type="dxa"/>
            <w:tcBorders>
              <w:top w:val="nil"/>
              <w:left w:val="nil"/>
              <w:bottom w:val="single" w:sz="8" w:space="0" w:color="auto"/>
              <w:right w:val="single" w:sz="8" w:space="0" w:color="auto"/>
            </w:tcBorders>
            <w:shd w:val="clear" w:color="000000" w:fill="FFCC66"/>
            <w:vAlign w:val="center"/>
            <w:hideMark/>
          </w:tcPr>
          <w:p w14:paraId="46110BC3" w14:textId="77777777" w:rsidR="00092FC3" w:rsidRPr="00923405" w:rsidRDefault="00092FC3" w:rsidP="0068230C">
            <w:pPr>
              <w:spacing w:after="0" w:line="240" w:lineRule="auto"/>
              <w:jc w:val="center"/>
              <w:rPr>
                <w:rFonts w:ascii="Verdana" w:eastAsia="Times New Roman" w:hAnsi="Verdana"/>
                <w:b/>
                <w:bCs/>
                <w:color w:val="000000"/>
                <w:sz w:val="14"/>
                <w:szCs w:val="14"/>
              </w:rPr>
            </w:pPr>
            <w:r w:rsidRPr="00923405">
              <w:rPr>
                <w:rFonts w:ascii="Verdana" w:eastAsia="Times New Roman" w:hAnsi="Verdana"/>
                <w:b/>
                <w:bCs/>
                <w:color w:val="000000"/>
                <w:sz w:val="14"/>
                <w:szCs w:val="14"/>
              </w:rPr>
              <w:t>16.112</w:t>
            </w:r>
          </w:p>
        </w:tc>
        <w:tc>
          <w:tcPr>
            <w:tcW w:w="1059" w:type="dxa"/>
            <w:tcBorders>
              <w:top w:val="nil"/>
              <w:left w:val="nil"/>
              <w:bottom w:val="single" w:sz="8" w:space="0" w:color="auto"/>
              <w:right w:val="single" w:sz="8" w:space="0" w:color="auto"/>
            </w:tcBorders>
            <w:shd w:val="clear" w:color="000000" w:fill="FFCC66"/>
            <w:vAlign w:val="center"/>
            <w:hideMark/>
          </w:tcPr>
          <w:p w14:paraId="16FD0C70" w14:textId="77777777" w:rsidR="00092FC3" w:rsidRPr="00923405" w:rsidRDefault="00092FC3" w:rsidP="0068230C">
            <w:pPr>
              <w:spacing w:after="0" w:line="240" w:lineRule="auto"/>
              <w:jc w:val="center"/>
              <w:rPr>
                <w:rFonts w:ascii="Verdana" w:eastAsia="Times New Roman" w:hAnsi="Verdana"/>
                <w:b/>
                <w:bCs/>
                <w:color w:val="000000"/>
                <w:sz w:val="14"/>
                <w:szCs w:val="14"/>
              </w:rPr>
            </w:pPr>
            <w:r w:rsidRPr="00923405">
              <w:rPr>
                <w:rFonts w:ascii="Verdana" w:eastAsia="Times New Roman" w:hAnsi="Verdana"/>
                <w:b/>
                <w:bCs/>
                <w:color w:val="000000"/>
                <w:sz w:val="14"/>
                <w:szCs w:val="14"/>
              </w:rPr>
              <w:t>35,38%</w:t>
            </w:r>
          </w:p>
        </w:tc>
        <w:tc>
          <w:tcPr>
            <w:tcW w:w="1059" w:type="dxa"/>
            <w:tcBorders>
              <w:top w:val="nil"/>
              <w:left w:val="nil"/>
              <w:bottom w:val="single" w:sz="8" w:space="0" w:color="auto"/>
              <w:right w:val="single" w:sz="8" w:space="0" w:color="auto"/>
            </w:tcBorders>
            <w:shd w:val="clear" w:color="000000" w:fill="FFCC66"/>
            <w:vAlign w:val="center"/>
            <w:hideMark/>
          </w:tcPr>
          <w:p w14:paraId="04D2DAF1" w14:textId="77777777" w:rsidR="00092FC3" w:rsidRPr="00923405" w:rsidRDefault="00092FC3" w:rsidP="0068230C">
            <w:pPr>
              <w:spacing w:after="0" w:line="240" w:lineRule="auto"/>
              <w:jc w:val="center"/>
              <w:rPr>
                <w:rFonts w:ascii="Verdana" w:eastAsia="Times New Roman" w:hAnsi="Verdana"/>
                <w:b/>
                <w:bCs/>
                <w:color w:val="000000"/>
                <w:sz w:val="14"/>
                <w:szCs w:val="14"/>
              </w:rPr>
            </w:pPr>
            <w:r w:rsidRPr="00923405">
              <w:rPr>
                <w:rFonts w:ascii="Verdana" w:eastAsia="Times New Roman" w:hAnsi="Verdana"/>
                <w:b/>
                <w:bCs/>
                <w:color w:val="000000"/>
                <w:sz w:val="14"/>
                <w:szCs w:val="14"/>
              </w:rPr>
              <w:t>12.659</w:t>
            </w:r>
          </w:p>
        </w:tc>
        <w:tc>
          <w:tcPr>
            <w:tcW w:w="1060" w:type="dxa"/>
            <w:tcBorders>
              <w:top w:val="nil"/>
              <w:left w:val="nil"/>
              <w:bottom w:val="single" w:sz="8" w:space="0" w:color="auto"/>
              <w:right w:val="single" w:sz="8" w:space="0" w:color="auto"/>
            </w:tcBorders>
            <w:shd w:val="clear" w:color="000000" w:fill="FFCC66"/>
            <w:vAlign w:val="center"/>
            <w:hideMark/>
          </w:tcPr>
          <w:p w14:paraId="2825F025" w14:textId="77777777" w:rsidR="00092FC3" w:rsidRPr="00923405" w:rsidRDefault="00092FC3" w:rsidP="0068230C">
            <w:pPr>
              <w:spacing w:after="0" w:line="240" w:lineRule="auto"/>
              <w:jc w:val="center"/>
              <w:rPr>
                <w:rFonts w:ascii="Verdana" w:eastAsia="Times New Roman" w:hAnsi="Verdana"/>
                <w:b/>
                <w:bCs/>
                <w:color w:val="000000"/>
                <w:sz w:val="14"/>
                <w:szCs w:val="14"/>
              </w:rPr>
            </w:pPr>
            <w:r w:rsidRPr="00923405">
              <w:rPr>
                <w:rFonts w:ascii="Verdana" w:eastAsia="Times New Roman" w:hAnsi="Verdana"/>
                <w:b/>
                <w:bCs/>
                <w:color w:val="000000"/>
                <w:sz w:val="14"/>
                <w:szCs w:val="14"/>
              </w:rPr>
              <w:t>27,80%</w:t>
            </w:r>
          </w:p>
        </w:tc>
      </w:tr>
      <w:tr w:rsidR="00092FC3" w:rsidRPr="00923405" w14:paraId="1FB6902A" w14:textId="77777777" w:rsidTr="0068230C">
        <w:trPr>
          <w:trHeight w:val="372"/>
        </w:trPr>
        <w:tc>
          <w:tcPr>
            <w:tcW w:w="1787" w:type="dxa"/>
            <w:tcBorders>
              <w:top w:val="nil"/>
              <w:left w:val="single" w:sz="8" w:space="0" w:color="auto"/>
              <w:bottom w:val="single" w:sz="8" w:space="0" w:color="auto"/>
              <w:right w:val="single" w:sz="8" w:space="0" w:color="auto"/>
            </w:tcBorders>
            <w:shd w:val="clear" w:color="auto" w:fill="auto"/>
            <w:vAlign w:val="center"/>
            <w:hideMark/>
          </w:tcPr>
          <w:p w14:paraId="43D1DBEC" w14:textId="77777777" w:rsidR="00092FC3" w:rsidRPr="00923405" w:rsidRDefault="00092FC3" w:rsidP="0068230C">
            <w:pPr>
              <w:spacing w:after="0" w:line="240" w:lineRule="auto"/>
              <w:rPr>
                <w:rFonts w:ascii="Verdana" w:eastAsia="Times New Roman" w:hAnsi="Verdana"/>
                <w:b/>
                <w:bCs/>
                <w:color w:val="000000"/>
                <w:sz w:val="14"/>
                <w:szCs w:val="14"/>
              </w:rPr>
            </w:pPr>
            <w:r w:rsidRPr="00923405">
              <w:rPr>
                <w:rFonts w:ascii="Verdana" w:eastAsia="Times New Roman" w:hAnsi="Verdana"/>
                <w:b/>
                <w:bCs/>
                <w:color w:val="000000"/>
                <w:sz w:val="14"/>
                <w:szCs w:val="14"/>
              </w:rPr>
              <w:t xml:space="preserve"> GASTOS DE PERSONAL</w:t>
            </w:r>
          </w:p>
        </w:tc>
        <w:tc>
          <w:tcPr>
            <w:tcW w:w="1283" w:type="dxa"/>
            <w:tcBorders>
              <w:top w:val="nil"/>
              <w:left w:val="nil"/>
              <w:bottom w:val="single" w:sz="8" w:space="0" w:color="auto"/>
              <w:right w:val="single" w:sz="8" w:space="0" w:color="auto"/>
            </w:tcBorders>
            <w:shd w:val="clear" w:color="auto" w:fill="auto"/>
            <w:vAlign w:val="center"/>
            <w:hideMark/>
          </w:tcPr>
          <w:p w14:paraId="64EECFA3" w14:textId="77777777" w:rsidR="00092FC3" w:rsidRPr="00923405" w:rsidRDefault="00092FC3" w:rsidP="0068230C">
            <w:pPr>
              <w:spacing w:after="0" w:line="240" w:lineRule="auto"/>
              <w:jc w:val="center"/>
              <w:rPr>
                <w:rFonts w:ascii="Verdana" w:eastAsia="Times New Roman" w:hAnsi="Verdana"/>
                <w:color w:val="000000"/>
                <w:sz w:val="14"/>
                <w:szCs w:val="14"/>
              </w:rPr>
            </w:pPr>
            <w:r w:rsidRPr="00923405">
              <w:rPr>
                <w:rFonts w:ascii="Verdana" w:eastAsia="Times New Roman" w:hAnsi="Verdana"/>
                <w:color w:val="000000"/>
                <w:sz w:val="14"/>
                <w:szCs w:val="14"/>
              </w:rPr>
              <w:t>27.299</w:t>
            </w:r>
          </w:p>
        </w:tc>
        <w:tc>
          <w:tcPr>
            <w:tcW w:w="1283" w:type="dxa"/>
            <w:tcBorders>
              <w:top w:val="nil"/>
              <w:left w:val="nil"/>
              <w:bottom w:val="single" w:sz="8" w:space="0" w:color="auto"/>
              <w:right w:val="single" w:sz="8" w:space="0" w:color="auto"/>
            </w:tcBorders>
            <w:shd w:val="clear" w:color="auto" w:fill="auto"/>
            <w:vAlign w:val="center"/>
            <w:hideMark/>
          </w:tcPr>
          <w:p w14:paraId="38A0976D" w14:textId="77777777" w:rsidR="00092FC3" w:rsidRPr="00923405" w:rsidRDefault="00092FC3" w:rsidP="0068230C">
            <w:pPr>
              <w:spacing w:after="0" w:line="240" w:lineRule="auto"/>
              <w:jc w:val="center"/>
              <w:rPr>
                <w:rFonts w:ascii="Verdana" w:eastAsia="Times New Roman" w:hAnsi="Verdana"/>
                <w:color w:val="000000"/>
                <w:sz w:val="14"/>
                <w:szCs w:val="14"/>
              </w:rPr>
            </w:pPr>
            <w:r w:rsidRPr="00923405">
              <w:rPr>
                <w:rFonts w:ascii="Verdana" w:eastAsia="Times New Roman" w:hAnsi="Verdana"/>
                <w:color w:val="000000"/>
                <w:sz w:val="14"/>
                <w:szCs w:val="14"/>
              </w:rPr>
              <w:t>27.299</w:t>
            </w:r>
          </w:p>
        </w:tc>
        <w:tc>
          <w:tcPr>
            <w:tcW w:w="1059" w:type="dxa"/>
            <w:tcBorders>
              <w:top w:val="nil"/>
              <w:left w:val="nil"/>
              <w:bottom w:val="single" w:sz="8" w:space="0" w:color="auto"/>
              <w:right w:val="single" w:sz="8" w:space="0" w:color="auto"/>
            </w:tcBorders>
            <w:shd w:val="clear" w:color="auto" w:fill="auto"/>
            <w:vAlign w:val="center"/>
            <w:hideMark/>
          </w:tcPr>
          <w:p w14:paraId="03DE0A11" w14:textId="77777777" w:rsidR="00092FC3" w:rsidRPr="00923405" w:rsidRDefault="00092FC3" w:rsidP="0068230C">
            <w:pPr>
              <w:spacing w:after="0" w:line="240" w:lineRule="auto"/>
              <w:jc w:val="center"/>
              <w:rPr>
                <w:rFonts w:ascii="Verdana" w:eastAsia="Times New Roman" w:hAnsi="Verdana"/>
                <w:color w:val="000000"/>
                <w:sz w:val="14"/>
                <w:szCs w:val="14"/>
              </w:rPr>
            </w:pPr>
            <w:r w:rsidRPr="00923405">
              <w:rPr>
                <w:rFonts w:ascii="Verdana" w:eastAsia="Times New Roman" w:hAnsi="Verdana"/>
                <w:color w:val="000000"/>
                <w:sz w:val="14"/>
                <w:szCs w:val="14"/>
              </w:rPr>
              <w:t>14,06%</w:t>
            </w:r>
          </w:p>
        </w:tc>
        <w:tc>
          <w:tcPr>
            <w:tcW w:w="1059" w:type="dxa"/>
            <w:tcBorders>
              <w:top w:val="nil"/>
              <w:left w:val="nil"/>
              <w:bottom w:val="single" w:sz="8" w:space="0" w:color="auto"/>
              <w:right w:val="single" w:sz="8" w:space="0" w:color="auto"/>
            </w:tcBorders>
            <w:shd w:val="clear" w:color="auto" w:fill="auto"/>
            <w:vAlign w:val="center"/>
            <w:hideMark/>
          </w:tcPr>
          <w:p w14:paraId="7834DD01" w14:textId="77777777" w:rsidR="00092FC3" w:rsidRPr="00923405" w:rsidRDefault="00092FC3" w:rsidP="0068230C">
            <w:pPr>
              <w:spacing w:after="0" w:line="240" w:lineRule="auto"/>
              <w:jc w:val="center"/>
              <w:rPr>
                <w:rFonts w:ascii="Verdana" w:eastAsia="Times New Roman" w:hAnsi="Verdana"/>
                <w:color w:val="000000"/>
                <w:sz w:val="14"/>
                <w:szCs w:val="14"/>
              </w:rPr>
            </w:pPr>
            <w:r w:rsidRPr="00923405">
              <w:rPr>
                <w:rFonts w:ascii="Verdana" w:eastAsia="Times New Roman" w:hAnsi="Verdana"/>
                <w:color w:val="000000"/>
                <w:sz w:val="14"/>
                <w:szCs w:val="14"/>
              </w:rPr>
              <w:t>9.716</w:t>
            </w:r>
          </w:p>
        </w:tc>
        <w:tc>
          <w:tcPr>
            <w:tcW w:w="1059" w:type="dxa"/>
            <w:tcBorders>
              <w:top w:val="nil"/>
              <w:left w:val="nil"/>
              <w:bottom w:val="single" w:sz="8" w:space="0" w:color="auto"/>
              <w:right w:val="single" w:sz="8" w:space="0" w:color="auto"/>
            </w:tcBorders>
            <w:shd w:val="clear" w:color="auto" w:fill="auto"/>
            <w:vAlign w:val="center"/>
            <w:hideMark/>
          </w:tcPr>
          <w:p w14:paraId="1F0F5D5C" w14:textId="77777777" w:rsidR="00092FC3" w:rsidRPr="00923405" w:rsidRDefault="00092FC3" w:rsidP="0068230C">
            <w:pPr>
              <w:spacing w:after="0" w:line="240" w:lineRule="auto"/>
              <w:jc w:val="center"/>
              <w:rPr>
                <w:rFonts w:ascii="Verdana" w:eastAsia="Times New Roman" w:hAnsi="Verdana"/>
                <w:color w:val="000000"/>
                <w:sz w:val="14"/>
                <w:szCs w:val="14"/>
              </w:rPr>
            </w:pPr>
            <w:r w:rsidRPr="00923405">
              <w:rPr>
                <w:rFonts w:ascii="Verdana" w:eastAsia="Times New Roman" w:hAnsi="Verdana"/>
                <w:color w:val="000000"/>
                <w:sz w:val="14"/>
                <w:szCs w:val="14"/>
              </w:rPr>
              <w:t>35,59%</w:t>
            </w:r>
          </w:p>
        </w:tc>
        <w:tc>
          <w:tcPr>
            <w:tcW w:w="1059" w:type="dxa"/>
            <w:tcBorders>
              <w:top w:val="nil"/>
              <w:left w:val="nil"/>
              <w:bottom w:val="single" w:sz="8" w:space="0" w:color="auto"/>
              <w:right w:val="single" w:sz="8" w:space="0" w:color="auto"/>
            </w:tcBorders>
            <w:shd w:val="clear" w:color="auto" w:fill="auto"/>
            <w:vAlign w:val="center"/>
            <w:hideMark/>
          </w:tcPr>
          <w:p w14:paraId="2B7D5EC6" w14:textId="77777777" w:rsidR="00092FC3" w:rsidRPr="00923405" w:rsidRDefault="00092FC3" w:rsidP="0068230C">
            <w:pPr>
              <w:spacing w:after="0" w:line="240" w:lineRule="auto"/>
              <w:jc w:val="center"/>
              <w:rPr>
                <w:rFonts w:ascii="Verdana" w:eastAsia="Times New Roman" w:hAnsi="Verdana"/>
                <w:color w:val="000000"/>
                <w:sz w:val="14"/>
                <w:szCs w:val="14"/>
              </w:rPr>
            </w:pPr>
            <w:r w:rsidRPr="00923405">
              <w:rPr>
                <w:rFonts w:ascii="Verdana" w:eastAsia="Times New Roman" w:hAnsi="Verdana"/>
                <w:color w:val="000000"/>
                <w:sz w:val="14"/>
                <w:szCs w:val="14"/>
              </w:rPr>
              <w:t>9.716</w:t>
            </w:r>
          </w:p>
        </w:tc>
        <w:tc>
          <w:tcPr>
            <w:tcW w:w="1060" w:type="dxa"/>
            <w:tcBorders>
              <w:top w:val="nil"/>
              <w:left w:val="nil"/>
              <w:bottom w:val="single" w:sz="8" w:space="0" w:color="auto"/>
              <w:right w:val="single" w:sz="8" w:space="0" w:color="auto"/>
            </w:tcBorders>
            <w:shd w:val="clear" w:color="auto" w:fill="auto"/>
            <w:vAlign w:val="center"/>
            <w:hideMark/>
          </w:tcPr>
          <w:p w14:paraId="03A9AF4B" w14:textId="77777777" w:rsidR="00092FC3" w:rsidRPr="00923405" w:rsidRDefault="00092FC3" w:rsidP="0068230C">
            <w:pPr>
              <w:spacing w:after="0" w:line="240" w:lineRule="auto"/>
              <w:jc w:val="center"/>
              <w:rPr>
                <w:rFonts w:ascii="Verdana" w:eastAsia="Times New Roman" w:hAnsi="Verdana"/>
                <w:color w:val="000000"/>
                <w:sz w:val="14"/>
                <w:szCs w:val="14"/>
              </w:rPr>
            </w:pPr>
            <w:r w:rsidRPr="00923405">
              <w:rPr>
                <w:rFonts w:ascii="Verdana" w:eastAsia="Times New Roman" w:hAnsi="Verdana"/>
                <w:color w:val="000000"/>
                <w:sz w:val="14"/>
                <w:szCs w:val="14"/>
              </w:rPr>
              <w:t>35,59%</w:t>
            </w:r>
          </w:p>
        </w:tc>
      </w:tr>
      <w:tr w:rsidR="00092FC3" w:rsidRPr="00923405" w14:paraId="77993C7F" w14:textId="77777777" w:rsidTr="0068230C">
        <w:trPr>
          <w:trHeight w:val="551"/>
        </w:trPr>
        <w:tc>
          <w:tcPr>
            <w:tcW w:w="1787" w:type="dxa"/>
            <w:tcBorders>
              <w:top w:val="nil"/>
              <w:left w:val="single" w:sz="8" w:space="0" w:color="auto"/>
              <w:bottom w:val="single" w:sz="8" w:space="0" w:color="auto"/>
              <w:right w:val="single" w:sz="8" w:space="0" w:color="auto"/>
            </w:tcBorders>
            <w:shd w:val="clear" w:color="auto" w:fill="auto"/>
            <w:vAlign w:val="center"/>
            <w:hideMark/>
          </w:tcPr>
          <w:p w14:paraId="39C54C69" w14:textId="77777777" w:rsidR="00092FC3" w:rsidRPr="00923405" w:rsidRDefault="00092FC3" w:rsidP="0068230C">
            <w:pPr>
              <w:spacing w:after="0" w:line="240" w:lineRule="auto"/>
              <w:rPr>
                <w:rFonts w:ascii="Verdana" w:eastAsia="Times New Roman" w:hAnsi="Verdana"/>
                <w:b/>
                <w:bCs/>
                <w:color w:val="000000"/>
                <w:sz w:val="14"/>
                <w:szCs w:val="14"/>
              </w:rPr>
            </w:pPr>
            <w:r w:rsidRPr="00923405">
              <w:rPr>
                <w:rFonts w:ascii="Verdana" w:eastAsia="Times New Roman" w:hAnsi="Verdana"/>
                <w:b/>
                <w:bCs/>
                <w:color w:val="000000"/>
                <w:sz w:val="14"/>
                <w:szCs w:val="14"/>
              </w:rPr>
              <w:t xml:space="preserve"> ADQUISICIÓN DE BIENES Y SERVICIOS</w:t>
            </w:r>
          </w:p>
        </w:tc>
        <w:tc>
          <w:tcPr>
            <w:tcW w:w="1283" w:type="dxa"/>
            <w:tcBorders>
              <w:top w:val="nil"/>
              <w:left w:val="nil"/>
              <w:bottom w:val="single" w:sz="8" w:space="0" w:color="auto"/>
              <w:right w:val="single" w:sz="8" w:space="0" w:color="auto"/>
            </w:tcBorders>
            <w:shd w:val="clear" w:color="auto" w:fill="auto"/>
            <w:vAlign w:val="center"/>
            <w:hideMark/>
          </w:tcPr>
          <w:p w14:paraId="611137FA" w14:textId="77777777" w:rsidR="00092FC3" w:rsidRPr="00923405" w:rsidRDefault="00092FC3" w:rsidP="0068230C">
            <w:pPr>
              <w:spacing w:after="0" w:line="240" w:lineRule="auto"/>
              <w:jc w:val="center"/>
              <w:rPr>
                <w:rFonts w:ascii="Verdana" w:eastAsia="Times New Roman" w:hAnsi="Verdana"/>
                <w:color w:val="000000"/>
                <w:sz w:val="14"/>
                <w:szCs w:val="14"/>
              </w:rPr>
            </w:pPr>
            <w:r w:rsidRPr="00923405">
              <w:rPr>
                <w:rFonts w:ascii="Verdana" w:eastAsia="Times New Roman" w:hAnsi="Verdana"/>
                <w:color w:val="000000"/>
                <w:sz w:val="14"/>
                <w:szCs w:val="14"/>
              </w:rPr>
              <w:t>6.311</w:t>
            </w:r>
          </w:p>
        </w:tc>
        <w:tc>
          <w:tcPr>
            <w:tcW w:w="1283" w:type="dxa"/>
            <w:tcBorders>
              <w:top w:val="nil"/>
              <w:left w:val="nil"/>
              <w:bottom w:val="single" w:sz="8" w:space="0" w:color="auto"/>
              <w:right w:val="single" w:sz="8" w:space="0" w:color="auto"/>
            </w:tcBorders>
            <w:shd w:val="clear" w:color="auto" w:fill="auto"/>
            <w:vAlign w:val="center"/>
            <w:hideMark/>
          </w:tcPr>
          <w:p w14:paraId="6C9D57DF" w14:textId="77777777" w:rsidR="00092FC3" w:rsidRPr="00923405" w:rsidRDefault="00092FC3" w:rsidP="0068230C">
            <w:pPr>
              <w:spacing w:after="0" w:line="240" w:lineRule="auto"/>
              <w:jc w:val="center"/>
              <w:rPr>
                <w:rFonts w:ascii="Verdana" w:eastAsia="Times New Roman" w:hAnsi="Verdana"/>
                <w:color w:val="000000"/>
                <w:sz w:val="14"/>
                <w:szCs w:val="14"/>
              </w:rPr>
            </w:pPr>
            <w:r w:rsidRPr="00923405">
              <w:rPr>
                <w:rFonts w:ascii="Verdana" w:eastAsia="Times New Roman" w:hAnsi="Verdana"/>
                <w:color w:val="000000"/>
                <w:sz w:val="14"/>
                <w:szCs w:val="14"/>
              </w:rPr>
              <w:t>9.802</w:t>
            </w:r>
          </w:p>
        </w:tc>
        <w:tc>
          <w:tcPr>
            <w:tcW w:w="1059" w:type="dxa"/>
            <w:tcBorders>
              <w:top w:val="nil"/>
              <w:left w:val="nil"/>
              <w:bottom w:val="single" w:sz="8" w:space="0" w:color="auto"/>
              <w:right w:val="single" w:sz="8" w:space="0" w:color="auto"/>
            </w:tcBorders>
            <w:shd w:val="clear" w:color="auto" w:fill="auto"/>
            <w:vAlign w:val="center"/>
            <w:hideMark/>
          </w:tcPr>
          <w:p w14:paraId="6B40EEFC" w14:textId="77777777" w:rsidR="00092FC3" w:rsidRPr="00923405" w:rsidRDefault="00092FC3" w:rsidP="0068230C">
            <w:pPr>
              <w:spacing w:after="0" w:line="240" w:lineRule="auto"/>
              <w:jc w:val="center"/>
              <w:rPr>
                <w:rFonts w:ascii="Verdana" w:eastAsia="Times New Roman" w:hAnsi="Verdana"/>
                <w:color w:val="000000"/>
                <w:sz w:val="14"/>
                <w:szCs w:val="14"/>
              </w:rPr>
            </w:pPr>
            <w:r w:rsidRPr="00923405">
              <w:rPr>
                <w:rFonts w:ascii="Verdana" w:eastAsia="Times New Roman" w:hAnsi="Verdana"/>
                <w:color w:val="000000"/>
                <w:sz w:val="14"/>
                <w:szCs w:val="14"/>
              </w:rPr>
              <w:t>5,05%</w:t>
            </w:r>
          </w:p>
        </w:tc>
        <w:tc>
          <w:tcPr>
            <w:tcW w:w="1059" w:type="dxa"/>
            <w:tcBorders>
              <w:top w:val="nil"/>
              <w:left w:val="nil"/>
              <w:bottom w:val="single" w:sz="8" w:space="0" w:color="auto"/>
              <w:right w:val="single" w:sz="8" w:space="0" w:color="auto"/>
            </w:tcBorders>
            <w:shd w:val="clear" w:color="auto" w:fill="auto"/>
            <w:vAlign w:val="center"/>
            <w:hideMark/>
          </w:tcPr>
          <w:p w14:paraId="351D25D2" w14:textId="77777777" w:rsidR="00092FC3" w:rsidRPr="00923405" w:rsidRDefault="00092FC3" w:rsidP="0068230C">
            <w:pPr>
              <w:spacing w:after="0" w:line="240" w:lineRule="auto"/>
              <w:jc w:val="center"/>
              <w:rPr>
                <w:rFonts w:ascii="Verdana" w:eastAsia="Times New Roman" w:hAnsi="Verdana"/>
                <w:color w:val="000000"/>
                <w:sz w:val="14"/>
                <w:szCs w:val="14"/>
              </w:rPr>
            </w:pPr>
            <w:r w:rsidRPr="00923405">
              <w:rPr>
                <w:rFonts w:ascii="Verdana" w:eastAsia="Times New Roman" w:hAnsi="Verdana"/>
                <w:color w:val="000000"/>
                <w:sz w:val="14"/>
                <w:szCs w:val="14"/>
              </w:rPr>
              <w:t>6.376</w:t>
            </w:r>
          </w:p>
        </w:tc>
        <w:tc>
          <w:tcPr>
            <w:tcW w:w="1059" w:type="dxa"/>
            <w:tcBorders>
              <w:top w:val="nil"/>
              <w:left w:val="nil"/>
              <w:bottom w:val="single" w:sz="8" w:space="0" w:color="auto"/>
              <w:right w:val="single" w:sz="8" w:space="0" w:color="auto"/>
            </w:tcBorders>
            <w:shd w:val="clear" w:color="auto" w:fill="auto"/>
            <w:vAlign w:val="center"/>
            <w:hideMark/>
          </w:tcPr>
          <w:p w14:paraId="3A40AEE6" w14:textId="77777777" w:rsidR="00092FC3" w:rsidRPr="00923405" w:rsidRDefault="00092FC3" w:rsidP="0068230C">
            <w:pPr>
              <w:spacing w:after="0" w:line="240" w:lineRule="auto"/>
              <w:jc w:val="center"/>
              <w:rPr>
                <w:rFonts w:ascii="Verdana" w:eastAsia="Times New Roman" w:hAnsi="Verdana"/>
                <w:color w:val="000000"/>
                <w:sz w:val="14"/>
                <w:szCs w:val="14"/>
              </w:rPr>
            </w:pPr>
            <w:r w:rsidRPr="00923405">
              <w:rPr>
                <w:rFonts w:ascii="Verdana" w:eastAsia="Times New Roman" w:hAnsi="Verdana"/>
                <w:color w:val="000000"/>
                <w:sz w:val="14"/>
                <w:szCs w:val="14"/>
              </w:rPr>
              <w:t>65,05%</w:t>
            </w:r>
          </w:p>
        </w:tc>
        <w:tc>
          <w:tcPr>
            <w:tcW w:w="1059" w:type="dxa"/>
            <w:tcBorders>
              <w:top w:val="nil"/>
              <w:left w:val="nil"/>
              <w:bottom w:val="single" w:sz="8" w:space="0" w:color="auto"/>
              <w:right w:val="single" w:sz="8" w:space="0" w:color="auto"/>
            </w:tcBorders>
            <w:shd w:val="clear" w:color="auto" w:fill="auto"/>
            <w:vAlign w:val="center"/>
            <w:hideMark/>
          </w:tcPr>
          <w:p w14:paraId="5E827D94" w14:textId="77777777" w:rsidR="00092FC3" w:rsidRPr="00923405" w:rsidRDefault="00092FC3" w:rsidP="0068230C">
            <w:pPr>
              <w:spacing w:after="0" w:line="240" w:lineRule="auto"/>
              <w:jc w:val="center"/>
              <w:rPr>
                <w:rFonts w:ascii="Verdana" w:eastAsia="Times New Roman" w:hAnsi="Verdana"/>
                <w:color w:val="000000"/>
                <w:sz w:val="14"/>
                <w:szCs w:val="14"/>
              </w:rPr>
            </w:pPr>
            <w:r w:rsidRPr="00923405">
              <w:rPr>
                <w:rFonts w:ascii="Verdana" w:eastAsia="Times New Roman" w:hAnsi="Verdana"/>
                <w:color w:val="000000"/>
                <w:sz w:val="14"/>
                <w:szCs w:val="14"/>
              </w:rPr>
              <w:t>2.925</w:t>
            </w:r>
          </w:p>
        </w:tc>
        <w:tc>
          <w:tcPr>
            <w:tcW w:w="1060" w:type="dxa"/>
            <w:tcBorders>
              <w:top w:val="nil"/>
              <w:left w:val="nil"/>
              <w:bottom w:val="single" w:sz="8" w:space="0" w:color="auto"/>
              <w:right w:val="single" w:sz="8" w:space="0" w:color="auto"/>
            </w:tcBorders>
            <w:shd w:val="clear" w:color="auto" w:fill="auto"/>
            <w:vAlign w:val="center"/>
            <w:hideMark/>
          </w:tcPr>
          <w:p w14:paraId="4F18704E" w14:textId="77777777" w:rsidR="00092FC3" w:rsidRPr="00923405" w:rsidRDefault="00092FC3" w:rsidP="0068230C">
            <w:pPr>
              <w:spacing w:after="0" w:line="240" w:lineRule="auto"/>
              <w:jc w:val="center"/>
              <w:rPr>
                <w:rFonts w:ascii="Verdana" w:eastAsia="Times New Roman" w:hAnsi="Verdana"/>
                <w:color w:val="000000"/>
                <w:sz w:val="14"/>
                <w:szCs w:val="14"/>
              </w:rPr>
            </w:pPr>
            <w:r w:rsidRPr="00923405">
              <w:rPr>
                <w:rFonts w:ascii="Verdana" w:eastAsia="Times New Roman" w:hAnsi="Verdana"/>
                <w:color w:val="000000"/>
                <w:sz w:val="14"/>
                <w:szCs w:val="14"/>
              </w:rPr>
              <w:t>29,84%</w:t>
            </w:r>
          </w:p>
        </w:tc>
      </w:tr>
      <w:tr w:rsidR="00092FC3" w:rsidRPr="00923405" w14:paraId="50786B28" w14:textId="77777777" w:rsidTr="0068230C">
        <w:trPr>
          <w:trHeight w:val="312"/>
        </w:trPr>
        <w:tc>
          <w:tcPr>
            <w:tcW w:w="1787" w:type="dxa"/>
            <w:tcBorders>
              <w:top w:val="nil"/>
              <w:left w:val="single" w:sz="8" w:space="0" w:color="auto"/>
              <w:bottom w:val="single" w:sz="8" w:space="0" w:color="auto"/>
              <w:right w:val="single" w:sz="8" w:space="0" w:color="auto"/>
            </w:tcBorders>
            <w:shd w:val="clear" w:color="auto" w:fill="auto"/>
            <w:vAlign w:val="center"/>
            <w:hideMark/>
          </w:tcPr>
          <w:p w14:paraId="4CB2BE03" w14:textId="77777777" w:rsidR="00092FC3" w:rsidRPr="00923405" w:rsidRDefault="00092FC3" w:rsidP="0068230C">
            <w:pPr>
              <w:spacing w:after="0" w:line="240" w:lineRule="auto"/>
              <w:rPr>
                <w:rFonts w:ascii="Verdana" w:eastAsia="Times New Roman" w:hAnsi="Verdana"/>
                <w:b/>
                <w:bCs/>
                <w:color w:val="000000"/>
                <w:sz w:val="14"/>
                <w:szCs w:val="14"/>
              </w:rPr>
            </w:pPr>
            <w:r w:rsidRPr="00923405">
              <w:rPr>
                <w:rFonts w:ascii="Verdana" w:eastAsia="Times New Roman" w:hAnsi="Verdana"/>
                <w:b/>
                <w:bCs/>
                <w:color w:val="000000"/>
                <w:sz w:val="14"/>
                <w:szCs w:val="14"/>
              </w:rPr>
              <w:t xml:space="preserve"> *TRANSFERENCIAS</w:t>
            </w:r>
          </w:p>
        </w:tc>
        <w:tc>
          <w:tcPr>
            <w:tcW w:w="1283" w:type="dxa"/>
            <w:tcBorders>
              <w:top w:val="nil"/>
              <w:left w:val="nil"/>
              <w:bottom w:val="single" w:sz="8" w:space="0" w:color="auto"/>
              <w:right w:val="single" w:sz="8" w:space="0" w:color="auto"/>
            </w:tcBorders>
            <w:shd w:val="clear" w:color="auto" w:fill="auto"/>
            <w:vAlign w:val="center"/>
            <w:hideMark/>
          </w:tcPr>
          <w:p w14:paraId="003045E5" w14:textId="77777777" w:rsidR="00092FC3" w:rsidRPr="00923405" w:rsidRDefault="00092FC3" w:rsidP="0068230C">
            <w:pPr>
              <w:spacing w:after="0" w:line="240" w:lineRule="auto"/>
              <w:jc w:val="center"/>
              <w:rPr>
                <w:rFonts w:ascii="Verdana" w:eastAsia="Times New Roman" w:hAnsi="Verdana"/>
                <w:color w:val="000000"/>
                <w:sz w:val="14"/>
                <w:szCs w:val="14"/>
              </w:rPr>
            </w:pPr>
            <w:r w:rsidRPr="00923405">
              <w:rPr>
                <w:rFonts w:ascii="Verdana" w:eastAsia="Times New Roman" w:hAnsi="Verdana"/>
                <w:color w:val="000000"/>
                <w:sz w:val="14"/>
                <w:szCs w:val="14"/>
              </w:rPr>
              <w:t>6.428</w:t>
            </w:r>
          </w:p>
        </w:tc>
        <w:tc>
          <w:tcPr>
            <w:tcW w:w="1283" w:type="dxa"/>
            <w:tcBorders>
              <w:top w:val="nil"/>
              <w:left w:val="nil"/>
              <w:bottom w:val="single" w:sz="8" w:space="0" w:color="auto"/>
              <w:right w:val="single" w:sz="8" w:space="0" w:color="auto"/>
            </w:tcBorders>
            <w:shd w:val="clear" w:color="auto" w:fill="auto"/>
            <w:vAlign w:val="center"/>
            <w:hideMark/>
          </w:tcPr>
          <w:p w14:paraId="56F61CA2" w14:textId="77777777" w:rsidR="00092FC3" w:rsidRPr="00923405" w:rsidRDefault="00092FC3" w:rsidP="0068230C">
            <w:pPr>
              <w:spacing w:after="0" w:line="240" w:lineRule="auto"/>
              <w:jc w:val="center"/>
              <w:rPr>
                <w:rFonts w:ascii="Verdana" w:eastAsia="Times New Roman" w:hAnsi="Verdana"/>
                <w:color w:val="000000"/>
                <w:sz w:val="14"/>
                <w:szCs w:val="14"/>
              </w:rPr>
            </w:pPr>
            <w:r w:rsidRPr="00923405">
              <w:rPr>
                <w:rFonts w:ascii="Verdana" w:eastAsia="Times New Roman" w:hAnsi="Verdana"/>
                <w:color w:val="000000"/>
                <w:sz w:val="14"/>
                <w:szCs w:val="14"/>
              </w:rPr>
              <w:t>2.935</w:t>
            </w:r>
          </w:p>
        </w:tc>
        <w:tc>
          <w:tcPr>
            <w:tcW w:w="1059" w:type="dxa"/>
            <w:tcBorders>
              <w:top w:val="nil"/>
              <w:left w:val="nil"/>
              <w:bottom w:val="single" w:sz="8" w:space="0" w:color="auto"/>
              <w:right w:val="single" w:sz="8" w:space="0" w:color="auto"/>
            </w:tcBorders>
            <w:shd w:val="clear" w:color="auto" w:fill="auto"/>
            <w:vAlign w:val="center"/>
            <w:hideMark/>
          </w:tcPr>
          <w:p w14:paraId="3AB566C5" w14:textId="77777777" w:rsidR="00092FC3" w:rsidRPr="00923405" w:rsidRDefault="00092FC3" w:rsidP="0068230C">
            <w:pPr>
              <w:spacing w:after="0" w:line="240" w:lineRule="auto"/>
              <w:jc w:val="center"/>
              <w:rPr>
                <w:rFonts w:ascii="Verdana" w:eastAsia="Times New Roman" w:hAnsi="Verdana"/>
                <w:color w:val="000000"/>
                <w:sz w:val="14"/>
                <w:szCs w:val="14"/>
              </w:rPr>
            </w:pPr>
            <w:r w:rsidRPr="00923405">
              <w:rPr>
                <w:rFonts w:ascii="Verdana" w:eastAsia="Times New Roman" w:hAnsi="Verdana"/>
                <w:color w:val="000000"/>
                <w:sz w:val="14"/>
                <w:szCs w:val="14"/>
              </w:rPr>
              <w:t>1,51%</w:t>
            </w:r>
          </w:p>
        </w:tc>
        <w:tc>
          <w:tcPr>
            <w:tcW w:w="1059" w:type="dxa"/>
            <w:tcBorders>
              <w:top w:val="nil"/>
              <w:left w:val="nil"/>
              <w:bottom w:val="single" w:sz="8" w:space="0" w:color="auto"/>
              <w:right w:val="single" w:sz="8" w:space="0" w:color="auto"/>
            </w:tcBorders>
            <w:shd w:val="clear" w:color="auto" w:fill="auto"/>
            <w:vAlign w:val="center"/>
            <w:hideMark/>
          </w:tcPr>
          <w:p w14:paraId="5C34555A" w14:textId="77777777" w:rsidR="00092FC3" w:rsidRPr="00923405" w:rsidRDefault="00092FC3" w:rsidP="0068230C">
            <w:pPr>
              <w:spacing w:after="0" w:line="240" w:lineRule="auto"/>
              <w:jc w:val="center"/>
              <w:rPr>
                <w:rFonts w:ascii="Verdana" w:eastAsia="Times New Roman" w:hAnsi="Verdana"/>
                <w:color w:val="000000"/>
                <w:sz w:val="14"/>
                <w:szCs w:val="14"/>
              </w:rPr>
            </w:pPr>
            <w:r w:rsidRPr="00923405">
              <w:rPr>
                <w:rFonts w:ascii="Verdana" w:eastAsia="Times New Roman" w:hAnsi="Verdana"/>
                <w:color w:val="000000"/>
                <w:sz w:val="14"/>
                <w:szCs w:val="14"/>
              </w:rPr>
              <w:t>18</w:t>
            </w:r>
          </w:p>
        </w:tc>
        <w:tc>
          <w:tcPr>
            <w:tcW w:w="1059" w:type="dxa"/>
            <w:tcBorders>
              <w:top w:val="nil"/>
              <w:left w:val="nil"/>
              <w:bottom w:val="single" w:sz="8" w:space="0" w:color="auto"/>
              <w:right w:val="single" w:sz="8" w:space="0" w:color="auto"/>
            </w:tcBorders>
            <w:shd w:val="clear" w:color="auto" w:fill="auto"/>
            <w:vAlign w:val="center"/>
            <w:hideMark/>
          </w:tcPr>
          <w:p w14:paraId="5EBB49F7" w14:textId="77777777" w:rsidR="00092FC3" w:rsidRPr="00923405" w:rsidRDefault="00092FC3" w:rsidP="0068230C">
            <w:pPr>
              <w:spacing w:after="0" w:line="240" w:lineRule="auto"/>
              <w:jc w:val="center"/>
              <w:rPr>
                <w:rFonts w:ascii="Verdana" w:eastAsia="Times New Roman" w:hAnsi="Verdana"/>
                <w:color w:val="000000"/>
                <w:sz w:val="14"/>
                <w:szCs w:val="14"/>
              </w:rPr>
            </w:pPr>
            <w:r w:rsidRPr="00923405">
              <w:rPr>
                <w:rFonts w:ascii="Verdana" w:eastAsia="Times New Roman" w:hAnsi="Verdana"/>
                <w:color w:val="000000"/>
                <w:sz w:val="14"/>
                <w:szCs w:val="14"/>
              </w:rPr>
              <w:t>0,61%</w:t>
            </w:r>
          </w:p>
        </w:tc>
        <w:tc>
          <w:tcPr>
            <w:tcW w:w="1059" w:type="dxa"/>
            <w:tcBorders>
              <w:top w:val="nil"/>
              <w:left w:val="nil"/>
              <w:bottom w:val="single" w:sz="8" w:space="0" w:color="auto"/>
              <w:right w:val="single" w:sz="8" w:space="0" w:color="auto"/>
            </w:tcBorders>
            <w:shd w:val="clear" w:color="auto" w:fill="auto"/>
            <w:vAlign w:val="center"/>
            <w:hideMark/>
          </w:tcPr>
          <w:p w14:paraId="521174A0" w14:textId="77777777" w:rsidR="00092FC3" w:rsidRPr="00923405" w:rsidRDefault="00092FC3" w:rsidP="0068230C">
            <w:pPr>
              <w:spacing w:after="0" w:line="240" w:lineRule="auto"/>
              <w:jc w:val="center"/>
              <w:rPr>
                <w:rFonts w:ascii="Verdana" w:eastAsia="Times New Roman" w:hAnsi="Verdana"/>
                <w:color w:val="000000"/>
                <w:sz w:val="14"/>
                <w:szCs w:val="14"/>
              </w:rPr>
            </w:pPr>
            <w:r w:rsidRPr="00923405">
              <w:rPr>
                <w:rFonts w:ascii="Verdana" w:eastAsia="Times New Roman" w:hAnsi="Verdana"/>
                <w:color w:val="000000"/>
                <w:sz w:val="14"/>
                <w:szCs w:val="14"/>
              </w:rPr>
              <w:t>16</w:t>
            </w:r>
          </w:p>
        </w:tc>
        <w:tc>
          <w:tcPr>
            <w:tcW w:w="1060" w:type="dxa"/>
            <w:tcBorders>
              <w:top w:val="nil"/>
              <w:left w:val="nil"/>
              <w:bottom w:val="single" w:sz="8" w:space="0" w:color="auto"/>
              <w:right w:val="single" w:sz="8" w:space="0" w:color="auto"/>
            </w:tcBorders>
            <w:shd w:val="clear" w:color="auto" w:fill="auto"/>
            <w:vAlign w:val="center"/>
            <w:hideMark/>
          </w:tcPr>
          <w:p w14:paraId="02B40D8C" w14:textId="77777777" w:rsidR="00092FC3" w:rsidRPr="00923405" w:rsidRDefault="00092FC3" w:rsidP="0068230C">
            <w:pPr>
              <w:spacing w:after="0" w:line="240" w:lineRule="auto"/>
              <w:jc w:val="center"/>
              <w:rPr>
                <w:rFonts w:ascii="Verdana" w:eastAsia="Times New Roman" w:hAnsi="Verdana"/>
                <w:color w:val="000000"/>
                <w:sz w:val="14"/>
                <w:szCs w:val="14"/>
              </w:rPr>
            </w:pPr>
            <w:r w:rsidRPr="00923405">
              <w:rPr>
                <w:rFonts w:ascii="Verdana" w:eastAsia="Times New Roman" w:hAnsi="Verdana"/>
                <w:color w:val="000000"/>
                <w:sz w:val="14"/>
                <w:szCs w:val="14"/>
              </w:rPr>
              <w:t>0,55%</w:t>
            </w:r>
          </w:p>
        </w:tc>
      </w:tr>
      <w:tr w:rsidR="00092FC3" w:rsidRPr="00923405" w14:paraId="360BF54F" w14:textId="77777777" w:rsidTr="0068230C">
        <w:trPr>
          <w:trHeight w:val="908"/>
        </w:trPr>
        <w:tc>
          <w:tcPr>
            <w:tcW w:w="1787" w:type="dxa"/>
            <w:tcBorders>
              <w:top w:val="nil"/>
              <w:left w:val="single" w:sz="8" w:space="0" w:color="auto"/>
              <w:bottom w:val="single" w:sz="8" w:space="0" w:color="auto"/>
              <w:right w:val="single" w:sz="8" w:space="0" w:color="auto"/>
            </w:tcBorders>
            <w:shd w:val="clear" w:color="auto" w:fill="auto"/>
            <w:vAlign w:val="center"/>
            <w:hideMark/>
          </w:tcPr>
          <w:p w14:paraId="36B3B952" w14:textId="77777777" w:rsidR="00092FC3" w:rsidRPr="00923405" w:rsidRDefault="00092FC3" w:rsidP="0068230C">
            <w:pPr>
              <w:spacing w:after="0" w:line="240" w:lineRule="auto"/>
              <w:rPr>
                <w:rFonts w:ascii="Verdana" w:eastAsia="Times New Roman" w:hAnsi="Verdana"/>
                <w:b/>
                <w:bCs/>
                <w:color w:val="000000"/>
                <w:sz w:val="14"/>
                <w:szCs w:val="14"/>
              </w:rPr>
            </w:pPr>
            <w:r w:rsidRPr="00923405">
              <w:rPr>
                <w:rFonts w:ascii="Verdana" w:eastAsia="Times New Roman" w:hAnsi="Verdana"/>
                <w:b/>
                <w:bCs/>
                <w:color w:val="000000"/>
                <w:sz w:val="14"/>
                <w:szCs w:val="14"/>
              </w:rPr>
              <w:t xml:space="preserve"> GASTOS POR TRIBUTOS, MULTAS, SANCIONES E INTERES DE MORA</w:t>
            </w:r>
          </w:p>
        </w:tc>
        <w:tc>
          <w:tcPr>
            <w:tcW w:w="1283" w:type="dxa"/>
            <w:tcBorders>
              <w:top w:val="nil"/>
              <w:left w:val="nil"/>
              <w:bottom w:val="single" w:sz="8" w:space="0" w:color="auto"/>
              <w:right w:val="single" w:sz="8" w:space="0" w:color="auto"/>
            </w:tcBorders>
            <w:shd w:val="clear" w:color="auto" w:fill="auto"/>
            <w:vAlign w:val="center"/>
            <w:hideMark/>
          </w:tcPr>
          <w:p w14:paraId="27D95CD3" w14:textId="77777777" w:rsidR="00092FC3" w:rsidRPr="00923405" w:rsidRDefault="00092FC3" w:rsidP="0068230C">
            <w:pPr>
              <w:spacing w:after="0" w:line="240" w:lineRule="auto"/>
              <w:jc w:val="center"/>
              <w:rPr>
                <w:rFonts w:ascii="Verdana" w:eastAsia="Times New Roman" w:hAnsi="Verdana"/>
                <w:color w:val="000000"/>
                <w:sz w:val="14"/>
                <w:szCs w:val="14"/>
              </w:rPr>
            </w:pPr>
            <w:r w:rsidRPr="00923405">
              <w:rPr>
                <w:rFonts w:ascii="Verdana" w:eastAsia="Times New Roman" w:hAnsi="Verdana"/>
                <w:color w:val="000000"/>
                <w:sz w:val="14"/>
                <w:szCs w:val="14"/>
              </w:rPr>
              <w:t>5.504</w:t>
            </w:r>
          </w:p>
        </w:tc>
        <w:tc>
          <w:tcPr>
            <w:tcW w:w="1283" w:type="dxa"/>
            <w:tcBorders>
              <w:top w:val="nil"/>
              <w:left w:val="nil"/>
              <w:bottom w:val="single" w:sz="8" w:space="0" w:color="auto"/>
              <w:right w:val="single" w:sz="8" w:space="0" w:color="auto"/>
            </w:tcBorders>
            <w:shd w:val="clear" w:color="auto" w:fill="auto"/>
            <w:vAlign w:val="center"/>
            <w:hideMark/>
          </w:tcPr>
          <w:p w14:paraId="58CAE2EB" w14:textId="77777777" w:rsidR="00092FC3" w:rsidRPr="00923405" w:rsidRDefault="00092FC3" w:rsidP="0068230C">
            <w:pPr>
              <w:spacing w:after="0" w:line="240" w:lineRule="auto"/>
              <w:jc w:val="center"/>
              <w:rPr>
                <w:rFonts w:ascii="Verdana" w:eastAsia="Times New Roman" w:hAnsi="Verdana"/>
                <w:color w:val="000000"/>
                <w:sz w:val="14"/>
                <w:szCs w:val="14"/>
              </w:rPr>
            </w:pPr>
            <w:r w:rsidRPr="00923405">
              <w:rPr>
                <w:rFonts w:ascii="Verdana" w:eastAsia="Times New Roman" w:hAnsi="Verdana"/>
                <w:color w:val="000000"/>
                <w:sz w:val="14"/>
                <w:szCs w:val="14"/>
              </w:rPr>
              <w:t>5.506</w:t>
            </w:r>
          </w:p>
        </w:tc>
        <w:tc>
          <w:tcPr>
            <w:tcW w:w="1059" w:type="dxa"/>
            <w:tcBorders>
              <w:top w:val="nil"/>
              <w:left w:val="nil"/>
              <w:bottom w:val="single" w:sz="8" w:space="0" w:color="auto"/>
              <w:right w:val="single" w:sz="8" w:space="0" w:color="auto"/>
            </w:tcBorders>
            <w:shd w:val="clear" w:color="auto" w:fill="auto"/>
            <w:vAlign w:val="center"/>
            <w:hideMark/>
          </w:tcPr>
          <w:p w14:paraId="7A702A28" w14:textId="77777777" w:rsidR="00092FC3" w:rsidRPr="00923405" w:rsidRDefault="00092FC3" w:rsidP="0068230C">
            <w:pPr>
              <w:spacing w:after="0" w:line="240" w:lineRule="auto"/>
              <w:jc w:val="center"/>
              <w:rPr>
                <w:rFonts w:ascii="Verdana" w:eastAsia="Times New Roman" w:hAnsi="Verdana"/>
                <w:color w:val="000000"/>
                <w:sz w:val="14"/>
                <w:szCs w:val="14"/>
              </w:rPr>
            </w:pPr>
            <w:r w:rsidRPr="00923405">
              <w:rPr>
                <w:rFonts w:ascii="Verdana" w:eastAsia="Times New Roman" w:hAnsi="Verdana"/>
                <w:color w:val="000000"/>
                <w:sz w:val="14"/>
                <w:szCs w:val="14"/>
              </w:rPr>
              <w:t>2,84%</w:t>
            </w:r>
          </w:p>
        </w:tc>
        <w:tc>
          <w:tcPr>
            <w:tcW w:w="1059" w:type="dxa"/>
            <w:tcBorders>
              <w:top w:val="nil"/>
              <w:left w:val="nil"/>
              <w:bottom w:val="single" w:sz="8" w:space="0" w:color="auto"/>
              <w:right w:val="single" w:sz="8" w:space="0" w:color="auto"/>
            </w:tcBorders>
            <w:shd w:val="clear" w:color="auto" w:fill="auto"/>
            <w:vAlign w:val="center"/>
            <w:hideMark/>
          </w:tcPr>
          <w:p w14:paraId="3C0E4A1A" w14:textId="77777777" w:rsidR="00092FC3" w:rsidRPr="00923405" w:rsidRDefault="00092FC3" w:rsidP="0068230C">
            <w:pPr>
              <w:spacing w:after="0" w:line="240" w:lineRule="auto"/>
              <w:jc w:val="center"/>
              <w:rPr>
                <w:rFonts w:ascii="Verdana" w:eastAsia="Times New Roman" w:hAnsi="Verdana"/>
                <w:color w:val="000000"/>
                <w:sz w:val="14"/>
                <w:szCs w:val="14"/>
              </w:rPr>
            </w:pPr>
            <w:r w:rsidRPr="00923405">
              <w:rPr>
                <w:rFonts w:ascii="Verdana" w:eastAsia="Times New Roman" w:hAnsi="Verdana"/>
                <w:color w:val="000000"/>
                <w:sz w:val="14"/>
                <w:szCs w:val="14"/>
              </w:rPr>
              <w:t>2</w:t>
            </w:r>
          </w:p>
        </w:tc>
        <w:tc>
          <w:tcPr>
            <w:tcW w:w="1059" w:type="dxa"/>
            <w:tcBorders>
              <w:top w:val="nil"/>
              <w:left w:val="nil"/>
              <w:bottom w:val="single" w:sz="8" w:space="0" w:color="auto"/>
              <w:right w:val="single" w:sz="8" w:space="0" w:color="auto"/>
            </w:tcBorders>
            <w:shd w:val="clear" w:color="auto" w:fill="auto"/>
            <w:vAlign w:val="center"/>
            <w:hideMark/>
          </w:tcPr>
          <w:p w14:paraId="0B3D8DCE" w14:textId="77777777" w:rsidR="00092FC3" w:rsidRPr="00923405" w:rsidRDefault="00092FC3" w:rsidP="0068230C">
            <w:pPr>
              <w:spacing w:after="0" w:line="240" w:lineRule="auto"/>
              <w:jc w:val="center"/>
              <w:rPr>
                <w:rFonts w:ascii="Verdana" w:eastAsia="Times New Roman" w:hAnsi="Verdana"/>
                <w:color w:val="000000"/>
                <w:sz w:val="14"/>
                <w:szCs w:val="14"/>
              </w:rPr>
            </w:pPr>
            <w:r w:rsidRPr="00923405">
              <w:rPr>
                <w:rFonts w:ascii="Verdana" w:eastAsia="Times New Roman" w:hAnsi="Verdana"/>
                <w:color w:val="000000"/>
                <w:sz w:val="14"/>
                <w:szCs w:val="14"/>
              </w:rPr>
              <w:t>0,04%</w:t>
            </w:r>
          </w:p>
        </w:tc>
        <w:tc>
          <w:tcPr>
            <w:tcW w:w="1059" w:type="dxa"/>
            <w:tcBorders>
              <w:top w:val="nil"/>
              <w:left w:val="nil"/>
              <w:bottom w:val="single" w:sz="8" w:space="0" w:color="auto"/>
              <w:right w:val="single" w:sz="8" w:space="0" w:color="auto"/>
            </w:tcBorders>
            <w:shd w:val="clear" w:color="auto" w:fill="auto"/>
            <w:vAlign w:val="center"/>
            <w:hideMark/>
          </w:tcPr>
          <w:p w14:paraId="5375E0D1" w14:textId="77777777" w:rsidR="00092FC3" w:rsidRPr="00923405" w:rsidRDefault="00092FC3" w:rsidP="0068230C">
            <w:pPr>
              <w:spacing w:after="0" w:line="240" w:lineRule="auto"/>
              <w:jc w:val="center"/>
              <w:rPr>
                <w:rFonts w:ascii="Verdana" w:eastAsia="Times New Roman" w:hAnsi="Verdana"/>
                <w:color w:val="000000"/>
                <w:sz w:val="14"/>
                <w:szCs w:val="14"/>
              </w:rPr>
            </w:pPr>
            <w:r w:rsidRPr="00923405">
              <w:rPr>
                <w:rFonts w:ascii="Verdana" w:eastAsia="Times New Roman" w:hAnsi="Verdana"/>
                <w:color w:val="000000"/>
                <w:sz w:val="14"/>
                <w:szCs w:val="14"/>
              </w:rPr>
              <w:t>2</w:t>
            </w:r>
          </w:p>
        </w:tc>
        <w:tc>
          <w:tcPr>
            <w:tcW w:w="1060" w:type="dxa"/>
            <w:tcBorders>
              <w:top w:val="nil"/>
              <w:left w:val="nil"/>
              <w:bottom w:val="single" w:sz="8" w:space="0" w:color="auto"/>
              <w:right w:val="single" w:sz="8" w:space="0" w:color="auto"/>
            </w:tcBorders>
            <w:shd w:val="clear" w:color="auto" w:fill="auto"/>
            <w:vAlign w:val="center"/>
            <w:hideMark/>
          </w:tcPr>
          <w:p w14:paraId="6C3E889E" w14:textId="77777777" w:rsidR="00092FC3" w:rsidRPr="00923405" w:rsidRDefault="00092FC3" w:rsidP="0068230C">
            <w:pPr>
              <w:spacing w:after="0" w:line="240" w:lineRule="auto"/>
              <w:jc w:val="center"/>
              <w:rPr>
                <w:rFonts w:ascii="Verdana" w:eastAsia="Times New Roman" w:hAnsi="Verdana"/>
                <w:color w:val="000000"/>
                <w:sz w:val="14"/>
                <w:szCs w:val="14"/>
              </w:rPr>
            </w:pPr>
            <w:r w:rsidRPr="00923405">
              <w:rPr>
                <w:rFonts w:ascii="Verdana" w:eastAsia="Times New Roman" w:hAnsi="Verdana"/>
                <w:color w:val="000000"/>
                <w:sz w:val="14"/>
                <w:szCs w:val="14"/>
              </w:rPr>
              <w:t>0,04%</w:t>
            </w:r>
          </w:p>
        </w:tc>
      </w:tr>
      <w:tr w:rsidR="00092FC3" w:rsidRPr="00923405" w14:paraId="4AEBEFD7" w14:textId="77777777" w:rsidTr="0068230C">
        <w:trPr>
          <w:trHeight w:val="312"/>
        </w:trPr>
        <w:tc>
          <w:tcPr>
            <w:tcW w:w="1787" w:type="dxa"/>
            <w:tcBorders>
              <w:top w:val="nil"/>
              <w:left w:val="single" w:sz="8" w:space="0" w:color="auto"/>
              <w:bottom w:val="single" w:sz="8" w:space="0" w:color="auto"/>
              <w:right w:val="single" w:sz="8" w:space="0" w:color="auto"/>
            </w:tcBorders>
            <w:shd w:val="clear" w:color="000000" w:fill="FFCC66"/>
            <w:vAlign w:val="center"/>
            <w:hideMark/>
          </w:tcPr>
          <w:p w14:paraId="03CE9E5C" w14:textId="77777777" w:rsidR="00092FC3" w:rsidRPr="00923405" w:rsidRDefault="00092FC3" w:rsidP="0068230C">
            <w:pPr>
              <w:spacing w:after="0" w:line="240" w:lineRule="auto"/>
              <w:jc w:val="center"/>
              <w:rPr>
                <w:rFonts w:ascii="Verdana" w:eastAsia="Times New Roman" w:hAnsi="Verdana"/>
                <w:b/>
                <w:bCs/>
                <w:color w:val="000000"/>
                <w:sz w:val="14"/>
                <w:szCs w:val="14"/>
              </w:rPr>
            </w:pPr>
            <w:r w:rsidRPr="00923405">
              <w:rPr>
                <w:rFonts w:ascii="Verdana" w:eastAsia="Times New Roman" w:hAnsi="Verdana"/>
                <w:b/>
                <w:bCs/>
                <w:color w:val="000000"/>
                <w:sz w:val="14"/>
                <w:szCs w:val="14"/>
              </w:rPr>
              <w:t xml:space="preserve"> INVERSION</w:t>
            </w:r>
          </w:p>
        </w:tc>
        <w:tc>
          <w:tcPr>
            <w:tcW w:w="1283" w:type="dxa"/>
            <w:tcBorders>
              <w:top w:val="nil"/>
              <w:left w:val="nil"/>
              <w:bottom w:val="single" w:sz="8" w:space="0" w:color="auto"/>
              <w:right w:val="single" w:sz="8" w:space="0" w:color="auto"/>
            </w:tcBorders>
            <w:shd w:val="clear" w:color="000000" w:fill="FFCC66"/>
            <w:vAlign w:val="center"/>
            <w:hideMark/>
          </w:tcPr>
          <w:p w14:paraId="289DEDEA" w14:textId="77777777" w:rsidR="00092FC3" w:rsidRPr="00923405" w:rsidRDefault="00092FC3" w:rsidP="0068230C">
            <w:pPr>
              <w:spacing w:after="0" w:line="240" w:lineRule="auto"/>
              <w:jc w:val="center"/>
              <w:rPr>
                <w:rFonts w:ascii="Verdana" w:eastAsia="Times New Roman" w:hAnsi="Verdana"/>
                <w:b/>
                <w:bCs/>
                <w:color w:val="000000"/>
                <w:sz w:val="14"/>
                <w:szCs w:val="14"/>
              </w:rPr>
            </w:pPr>
            <w:r w:rsidRPr="00923405">
              <w:rPr>
                <w:rFonts w:ascii="Verdana" w:eastAsia="Times New Roman" w:hAnsi="Verdana"/>
                <w:b/>
                <w:bCs/>
                <w:color w:val="000000"/>
                <w:sz w:val="14"/>
                <w:szCs w:val="14"/>
              </w:rPr>
              <w:t>148.648</w:t>
            </w:r>
          </w:p>
        </w:tc>
        <w:tc>
          <w:tcPr>
            <w:tcW w:w="1283" w:type="dxa"/>
            <w:tcBorders>
              <w:top w:val="nil"/>
              <w:left w:val="nil"/>
              <w:bottom w:val="single" w:sz="8" w:space="0" w:color="auto"/>
              <w:right w:val="single" w:sz="8" w:space="0" w:color="auto"/>
            </w:tcBorders>
            <w:shd w:val="clear" w:color="000000" w:fill="FFCC66"/>
            <w:vAlign w:val="center"/>
            <w:hideMark/>
          </w:tcPr>
          <w:p w14:paraId="4DBCF037" w14:textId="77777777" w:rsidR="00092FC3" w:rsidRPr="00923405" w:rsidRDefault="00092FC3" w:rsidP="0068230C">
            <w:pPr>
              <w:spacing w:after="0" w:line="240" w:lineRule="auto"/>
              <w:jc w:val="center"/>
              <w:rPr>
                <w:rFonts w:ascii="Verdana" w:eastAsia="Times New Roman" w:hAnsi="Verdana"/>
                <w:b/>
                <w:bCs/>
                <w:color w:val="000000"/>
                <w:sz w:val="14"/>
                <w:szCs w:val="14"/>
              </w:rPr>
            </w:pPr>
            <w:r w:rsidRPr="00923405">
              <w:rPr>
                <w:rFonts w:ascii="Verdana" w:eastAsia="Times New Roman" w:hAnsi="Verdana"/>
                <w:b/>
                <w:bCs/>
                <w:color w:val="000000"/>
                <w:sz w:val="14"/>
                <w:szCs w:val="14"/>
              </w:rPr>
              <w:t>148.648</w:t>
            </w:r>
          </w:p>
        </w:tc>
        <w:tc>
          <w:tcPr>
            <w:tcW w:w="1059" w:type="dxa"/>
            <w:tcBorders>
              <w:top w:val="nil"/>
              <w:left w:val="nil"/>
              <w:bottom w:val="single" w:sz="8" w:space="0" w:color="auto"/>
              <w:right w:val="single" w:sz="8" w:space="0" w:color="auto"/>
            </w:tcBorders>
            <w:shd w:val="clear" w:color="000000" w:fill="FFCC66"/>
            <w:vAlign w:val="center"/>
            <w:hideMark/>
          </w:tcPr>
          <w:p w14:paraId="64584F63" w14:textId="77777777" w:rsidR="00092FC3" w:rsidRPr="00923405" w:rsidRDefault="00092FC3" w:rsidP="0068230C">
            <w:pPr>
              <w:spacing w:after="0" w:line="240" w:lineRule="auto"/>
              <w:jc w:val="center"/>
              <w:rPr>
                <w:rFonts w:ascii="Verdana" w:eastAsia="Times New Roman" w:hAnsi="Verdana"/>
                <w:b/>
                <w:bCs/>
                <w:color w:val="000000"/>
                <w:sz w:val="14"/>
                <w:szCs w:val="14"/>
              </w:rPr>
            </w:pPr>
            <w:r w:rsidRPr="00923405">
              <w:rPr>
                <w:rFonts w:ascii="Verdana" w:eastAsia="Times New Roman" w:hAnsi="Verdana"/>
                <w:b/>
                <w:bCs/>
                <w:color w:val="000000"/>
                <w:sz w:val="14"/>
                <w:szCs w:val="14"/>
              </w:rPr>
              <w:t>76,55%</w:t>
            </w:r>
          </w:p>
        </w:tc>
        <w:tc>
          <w:tcPr>
            <w:tcW w:w="1059" w:type="dxa"/>
            <w:tcBorders>
              <w:top w:val="nil"/>
              <w:left w:val="nil"/>
              <w:bottom w:val="single" w:sz="8" w:space="0" w:color="auto"/>
              <w:right w:val="single" w:sz="8" w:space="0" w:color="auto"/>
            </w:tcBorders>
            <w:shd w:val="clear" w:color="000000" w:fill="FFCC66"/>
            <w:vAlign w:val="center"/>
            <w:hideMark/>
          </w:tcPr>
          <w:p w14:paraId="2AEA67E7" w14:textId="77777777" w:rsidR="00092FC3" w:rsidRPr="00923405" w:rsidRDefault="00092FC3" w:rsidP="0068230C">
            <w:pPr>
              <w:spacing w:after="0" w:line="240" w:lineRule="auto"/>
              <w:jc w:val="center"/>
              <w:rPr>
                <w:rFonts w:ascii="Verdana" w:eastAsia="Times New Roman" w:hAnsi="Verdana"/>
                <w:b/>
                <w:bCs/>
                <w:color w:val="000000"/>
                <w:sz w:val="14"/>
                <w:szCs w:val="14"/>
              </w:rPr>
            </w:pPr>
            <w:r w:rsidRPr="00923405">
              <w:rPr>
                <w:rFonts w:ascii="Verdana" w:eastAsia="Times New Roman" w:hAnsi="Verdana"/>
                <w:b/>
                <w:bCs/>
                <w:color w:val="000000"/>
                <w:sz w:val="14"/>
                <w:szCs w:val="14"/>
              </w:rPr>
              <w:t>148.648</w:t>
            </w:r>
          </w:p>
        </w:tc>
        <w:tc>
          <w:tcPr>
            <w:tcW w:w="1059" w:type="dxa"/>
            <w:tcBorders>
              <w:top w:val="nil"/>
              <w:left w:val="nil"/>
              <w:bottom w:val="single" w:sz="8" w:space="0" w:color="auto"/>
              <w:right w:val="single" w:sz="8" w:space="0" w:color="auto"/>
            </w:tcBorders>
            <w:shd w:val="clear" w:color="000000" w:fill="FFCC66"/>
            <w:vAlign w:val="center"/>
            <w:hideMark/>
          </w:tcPr>
          <w:p w14:paraId="7DA0C1B6" w14:textId="77777777" w:rsidR="00092FC3" w:rsidRPr="00923405" w:rsidRDefault="00092FC3" w:rsidP="0068230C">
            <w:pPr>
              <w:spacing w:after="0" w:line="240" w:lineRule="auto"/>
              <w:jc w:val="center"/>
              <w:rPr>
                <w:rFonts w:ascii="Verdana" w:eastAsia="Times New Roman" w:hAnsi="Verdana"/>
                <w:b/>
                <w:bCs/>
                <w:color w:val="000000"/>
                <w:sz w:val="14"/>
                <w:szCs w:val="14"/>
              </w:rPr>
            </w:pPr>
            <w:r w:rsidRPr="00923405">
              <w:rPr>
                <w:rFonts w:ascii="Verdana" w:eastAsia="Times New Roman" w:hAnsi="Verdana"/>
                <w:b/>
                <w:bCs/>
                <w:color w:val="000000"/>
                <w:sz w:val="14"/>
                <w:szCs w:val="14"/>
              </w:rPr>
              <w:t>100,00%</w:t>
            </w:r>
          </w:p>
        </w:tc>
        <w:tc>
          <w:tcPr>
            <w:tcW w:w="1059" w:type="dxa"/>
            <w:tcBorders>
              <w:top w:val="nil"/>
              <w:left w:val="nil"/>
              <w:bottom w:val="single" w:sz="8" w:space="0" w:color="auto"/>
              <w:right w:val="single" w:sz="8" w:space="0" w:color="auto"/>
            </w:tcBorders>
            <w:shd w:val="clear" w:color="000000" w:fill="FFCC66"/>
            <w:vAlign w:val="center"/>
            <w:hideMark/>
          </w:tcPr>
          <w:p w14:paraId="1B34572F" w14:textId="77777777" w:rsidR="00092FC3" w:rsidRPr="00923405" w:rsidRDefault="00092FC3" w:rsidP="0068230C">
            <w:pPr>
              <w:spacing w:after="0" w:line="240" w:lineRule="auto"/>
              <w:jc w:val="center"/>
              <w:rPr>
                <w:rFonts w:ascii="Verdana" w:eastAsia="Times New Roman" w:hAnsi="Verdana"/>
                <w:b/>
                <w:bCs/>
                <w:color w:val="000000"/>
                <w:sz w:val="14"/>
                <w:szCs w:val="14"/>
              </w:rPr>
            </w:pPr>
            <w:r w:rsidRPr="00923405">
              <w:rPr>
                <w:rFonts w:ascii="Verdana" w:eastAsia="Times New Roman" w:hAnsi="Verdana"/>
                <w:b/>
                <w:bCs/>
                <w:color w:val="000000"/>
                <w:sz w:val="14"/>
                <w:szCs w:val="14"/>
              </w:rPr>
              <w:t>3.000</w:t>
            </w:r>
          </w:p>
        </w:tc>
        <w:tc>
          <w:tcPr>
            <w:tcW w:w="1060" w:type="dxa"/>
            <w:tcBorders>
              <w:top w:val="nil"/>
              <w:left w:val="nil"/>
              <w:bottom w:val="single" w:sz="8" w:space="0" w:color="auto"/>
              <w:right w:val="single" w:sz="8" w:space="0" w:color="auto"/>
            </w:tcBorders>
            <w:shd w:val="clear" w:color="000000" w:fill="FFCC66"/>
            <w:vAlign w:val="center"/>
            <w:hideMark/>
          </w:tcPr>
          <w:p w14:paraId="4201677D" w14:textId="77777777" w:rsidR="00092FC3" w:rsidRPr="00923405" w:rsidRDefault="00092FC3" w:rsidP="0068230C">
            <w:pPr>
              <w:spacing w:after="0" w:line="240" w:lineRule="auto"/>
              <w:jc w:val="center"/>
              <w:rPr>
                <w:rFonts w:ascii="Verdana" w:eastAsia="Times New Roman" w:hAnsi="Verdana"/>
                <w:b/>
                <w:bCs/>
                <w:color w:val="000000"/>
                <w:sz w:val="14"/>
                <w:szCs w:val="14"/>
              </w:rPr>
            </w:pPr>
            <w:r w:rsidRPr="00923405">
              <w:rPr>
                <w:rFonts w:ascii="Verdana" w:eastAsia="Times New Roman" w:hAnsi="Verdana"/>
                <w:b/>
                <w:bCs/>
                <w:color w:val="000000"/>
                <w:sz w:val="14"/>
                <w:szCs w:val="14"/>
              </w:rPr>
              <w:t>2,02%</w:t>
            </w:r>
          </w:p>
        </w:tc>
      </w:tr>
      <w:tr w:rsidR="00092FC3" w:rsidRPr="00923405" w14:paraId="719EE1B6" w14:textId="77777777" w:rsidTr="00293D90">
        <w:trPr>
          <w:trHeight w:val="1802"/>
        </w:trPr>
        <w:tc>
          <w:tcPr>
            <w:tcW w:w="1787" w:type="dxa"/>
            <w:tcBorders>
              <w:top w:val="nil"/>
              <w:left w:val="single" w:sz="8" w:space="0" w:color="auto"/>
              <w:bottom w:val="single" w:sz="8" w:space="0" w:color="auto"/>
              <w:right w:val="single" w:sz="8" w:space="0" w:color="auto"/>
            </w:tcBorders>
            <w:shd w:val="clear" w:color="auto" w:fill="auto"/>
            <w:vAlign w:val="center"/>
            <w:hideMark/>
          </w:tcPr>
          <w:p w14:paraId="585CE53E" w14:textId="77777777" w:rsidR="00092FC3" w:rsidRPr="00923405" w:rsidRDefault="00092FC3" w:rsidP="0068230C">
            <w:pPr>
              <w:spacing w:after="0" w:line="240" w:lineRule="auto"/>
              <w:rPr>
                <w:rFonts w:ascii="Verdana" w:eastAsia="Times New Roman" w:hAnsi="Verdana"/>
                <w:b/>
                <w:bCs/>
                <w:color w:val="000000"/>
                <w:sz w:val="14"/>
                <w:szCs w:val="14"/>
              </w:rPr>
            </w:pPr>
            <w:r w:rsidRPr="00923405">
              <w:rPr>
                <w:rFonts w:ascii="Verdana" w:eastAsia="Times New Roman" w:hAnsi="Verdana"/>
                <w:b/>
                <w:bCs/>
                <w:color w:val="000000"/>
                <w:sz w:val="14"/>
                <w:szCs w:val="14"/>
              </w:rPr>
              <w:t>4. TRANSFORMACIÓN PRODUCTIVA, INTERNACIONALIZACIÓN Y ACCIÓN CLÍMATICA / E. REDUCCIÓN DE LA VULNERABILIDAD FISCAL Y FINANCIERA ANTE RIESGOS CLIMÁTICOS Y DESASTRES</w:t>
            </w:r>
          </w:p>
        </w:tc>
        <w:tc>
          <w:tcPr>
            <w:tcW w:w="1283" w:type="dxa"/>
            <w:tcBorders>
              <w:top w:val="nil"/>
              <w:left w:val="nil"/>
              <w:bottom w:val="single" w:sz="8" w:space="0" w:color="auto"/>
              <w:right w:val="single" w:sz="8" w:space="0" w:color="auto"/>
            </w:tcBorders>
            <w:shd w:val="clear" w:color="auto" w:fill="auto"/>
            <w:vAlign w:val="center"/>
            <w:hideMark/>
          </w:tcPr>
          <w:p w14:paraId="7ED36911" w14:textId="77777777" w:rsidR="00092FC3" w:rsidRPr="00923405" w:rsidRDefault="00092FC3" w:rsidP="0068230C">
            <w:pPr>
              <w:spacing w:after="0" w:line="240" w:lineRule="auto"/>
              <w:jc w:val="center"/>
              <w:rPr>
                <w:rFonts w:ascii="Verdana" w:eastAsia="Times New Roman" w:hAnsi="Verdana"/>
                <w:color w:val="000000"/>
                <w:sz w:val="14"/>
                <w:szCs w:val="14"/>
              </w:rPr>
            </w:pPr>
            <w:r w:rsidRPr="00923405">
              <w:rPr>
                <w:rFonts w:ascii="Verdana" w:eastAsia="Times New Roman" w:hAnsi="Verdana"/>
                <w:color w:val="000000"/>
                <w:sz w:val="14"/>
                <w:szCs w:val="14"/>
              </w:rPr>
              <w:t>148.648</w:t>
            </w:r>
          </w:p>
        </w:tc>
        <w:tc>
          <w:tcPr>
            <w:tcW w:w="1283" w:type="dxa"/>
            <w:tcBorders>
              <w:top w:val="nil"/>
              <w:left w:val="nil"/>
              <w:bottom w:val="single" w:sz="8" w:space="0" w:color="auto"/>
              <w:right w:val="single" w:sz="8" w:space="0" w:color="auto"/>
            </w:tcBorders>
            <w:shd w:val="clear" w:color="auto" w:fill="auto"/>
            <w:vAlign w:val="center"/>
            <w:hideMark/>
          </w:tcPr>
          <w:p w14:paraId="0F72A073" w14:textId="77777777" w:rsidR="00092FC3" w:rsidRPr="00923405" w:rsidRDefault="00092FC3" w:rsidP="0068230C">
            <w:pPr>
              <w:spacing w:after="0" w:line="240" w:lineRule="auto"/>
              <w:jc w:val="center"/>
              <w:rPr>
                <w:rFonts w:ascii="Verdana" w:eastAsia="Times New Roman" w:hAnsi="Verdana"/>
                <w:color w:val="000000"/>
                <w:sz w:val="14"/>
                <w:szCs w:val="14"/>
              </w:rPr>
            </w:pPr>
            <w:r w:rsidRPr="00923405">
              <w:rPr>
                <w:rFonts w:ascii="Verdana" w:eastAsia="Times New Roman" w:hAnsi="Verdana"/>
                <w:color w:val="000000"/>
                <w:sz w:val="14"/>
                <w:szCs w:val="14"/>
              </w:rPr>
              <w:t>148.648</w:t>
            </w:r>
          </w:p>
        </w:tc>
        <w:tc>
          <w:tcPr>
            <w:tcW w:w="1059" w:type="dxa"/>
            <w:tcBorders>
              <w:top w:val="nil"/>
              <w:left w:val="nil"/>
              <w:bottom w:val="single" w:sz="8" w:space="0" w:color="auto"/>
              <w:right w:val="single" w:sz="8" w:space="0" w:color="auto"/>
            </w:tcBorders>
            <w:shd w:val="clear" w:color="auto" w:fill="auto"/>
            <w:vAlign w:val="center"/>
            <w:hideMark/>
          </w:tcPr>
          <w:p w14:paraId="3B820537" w14:textId="77777777" w:rsidR="00092FC3" w:rsidRPr="00923405" w:rsidRDefault="00092FC3" w:rsidP="0068230C">
            <w:pPr>
              <w:spacing w:after="0" w:line="240" w:lineRule="auto"/>
              <w:jc w:val="center"/>
              <w:rPr>
                <w:rFonts w:ascii="Verdana" w:eastAsia="Times New Roman" w:hAnsi="Verdana"/>
                <w:color w:val="000000"/>
                <w:sz w:val="14"/>
                <w:szCs w:val="14"/>
              </w:rPr>
            </w:pPr>
            <w:r w:rsidRPr="00923405">
              <w:rPr>
                <w:rFonts w:ascii="Verdana" w:eastAsia="Times New Roman" w:hAnsi="Verdana"/>
                <w:color w:val="000000"/>
                <w:sz w:val="14"/>
                <w:szCs w:val="14"/>
              </w:rPr>
              <w:t>76,55%</w:t>
            </w:r>
          </w:p>
        </w:tc>
        <w:tc>
          <w:tcPr>
            <w:tcW w:w="1059" w:type="dxa"/>
            <w:tcBorders>
              <w:top w:val="nil"/>
              <w:left w:val="nil"/>
              <w:bottom w:val="single" w:sz="8" w:space="0" w:color="auto"/>
              <w:right w:val="single" w:sz="8" w:space="0" w:color="auto"/>
            </w:tcBorders>
            <w:shd w:val="clear" w:color="auto" w:fill="auto"/>
            <w:vAlign w:val="center"/>
            <w:hideMark/>
          </w:tcPr>
          <w:p w14:paraId="060ED39E" w14:textId="77777777" w:rsidR="00092FC3" w:rsidRPr="00923405" w:rsidRDefault="00092FC3" w:rsidP="0068230C">
            <w:pPr>
              <w:spacing w:after="0" w:line="240" w:lineRule="auto"/>
              <w:jc w:val="center"/>
              <w:rPr>
                <w:rFonts w:ascii="Verdana" w:eastAsia="Times New Roman" w:hAnsi="Verdana"/>
                <w:color w:val="000000"/>
                <w:sz w:val="14"/>
                <w:szCs w:val="14"/>
              </w:rPr>
            </w:pPr>
            <w:r w:rsidRPr="00923405">
              <w:rPr>
                <w:rFonts w:ascii="Verdana" w:eastAsia="Times New Roman" w:hAnsi="Verdana"/>
                <w:color w:val="000000"/>
                <w:sz w:val="14"/>
                <w:szCs w:val="14"/>
              </w:rPr>
              <w:t>148.648</w:t>
            </w:r>
          </w:p>
        </w:tc>
        <w:tc>
          <w:tcPr>
            <w:tcW w:w="1059" w:type="dxa"/>
            <w:tcBorders>
              <w:top w:val="nil"/>
              <w:left w:val="nil"/>
              <w:bottom w:val="single" w:sz="8" w:space="0" w:color="auto"/>
              <w:right w:val="single" w:sz="8" w:space="0" w:color="auto"/>
            </w:tcBorders>
            <w:shd w:val="clear" w:color="auto" w:fill="auto"/>
            <w:vAlign w:val="center"/>
            <w:hideMark/>
          </w:tcPr>
          <w:p w14:paraId="01D91690" w14:textId="77777777" w:rsidR="00092FC3" w:rsidRPr="00923405" w:rsidRDefault="00092FC3" w:rsidP="0068230C">
            <w:pPr>
              <w:spacing w:after="0" w:line="240" w:lineRule="auto"/>
              <w:jc w:val="center"/>
              <w:rPr>
                <w:rFonts w:ascii="Verdana" w:eastAsia="Times New Roman" w:hAnsi="Verdana"/>
                <w:color w:val="000000"/>
                <w:sz w:val="14"/>
                <w:szCs w:val="14"/>
              </w:rPr>
            </w:pPr>
            <w:r w:rsidRPr="00923405">
              <w:rPr>
                <w:rFonts w:ascii="Verdana" w:eastAsia="Times New Roman" w:hAnsi="Verdana"/>
                <w:color w:val="000000"/>
                <w:sz w:val="14"/>
                <w:szCs w:val="14"/>
              </w:rPr>
              <w:t>100,00%</w:t>
            </w:r>
          </w:p>
        </w:tc>
        <w:tc>
          <w:tcPr>
            <w:tcW w:w="1059" w:type="dxa"/>
            <w:tcBorders>
              <w:top w:val="nil"/>
              <w:left w:val="nil"/>
              <w:bottom w:val="single" w:sz="8" w:space="0" w:color="auto"/>
              <w:right w:val="single" w:sz="8" w:space="0" w:color="auto"/>
            </w:tcBorders>
            <w:shd w:val="clear" w:color="auto" w:fill="auto"/>
            <w:vAlign w:val="center"/>
            <w:hideMark/>
          </w:tcPr>
          <w:p w14:paraId="004354B4" w14:textId="77777777" w:rsidR="00092FC3" w:rsidRPr="00923405" w:rsidRDefault="00092FC3" w:rsidP="0068230C">
            <w:pPr>
              <w:spacing w:after="0" w:line="240" w:lineRule="auto"/>
              <w:jc w:val="center"/>
              <w:rPr>
                <w:rFonts w:ascii="Verdana" w:eastAsia="Times New Roman" w:hAnsi="Verdana"/>
                <w:color w:val="000000"/>
                <w:sz w:val="14"/>
                <w:szCs w:val="14"/>
              </w:rPr>
            </w:pPr>
            <w:r w:rsidRPr="00923405">
              <w:rPr>
                <w:rFonts w:ascii="Verdana" w:eastAsia="Times New Roman" w:hAnsi="Verdana"/>
                <w:color w:val="000000"/>
                <w:sz w:val="14"/>
                <w:szCs w:val="14"/>
              </w:rPr>
              <w:t>3.000</w:t>
            </w:r>
          </w:p>
        </w:tc>
        <w:tc>
          <w:tcPr>
            <w:tcW w:w="1060" w:type="dxa"/>
            <w:tcBorders>
              <w:top w:val="nil"/>
              <w:left w:val="nil"/>
              <w:bottom w:val="single" w:sz="8" w:space="0" w:color="auto"/>
              <w:right w:val="single" w:sz="8" w:space="0" w:color="auto"/>
            </w:tcBorders>
            <w:shd w:val="clear" w:color="auto" w:fill="auto"/>
            <w:vAlign w:val="center"/>
            <w:hideMark/>
          </w:tcPr>
          <w:p w14:paraId="32152E53" w14:textId="77777777" w:rsidR="00092FC3" w:rsidRPr="00923405" w:rsidRDefault="00092FC3" w:rsidP="0068230C">
            <w:pPr>
              <w:spacing w:after="0" w:line="240" w:lineRule="auto"/>
              <w:jc w:val="center"/>
              <w:rPr>
                <w:rFonts w:ascii="Verdana" w:eastAsia="Times New Roman" w:hAnsi="Verdana"/>
                <w:color w:val="000000"/>
                <w:sz w:val="14"/>
                <w:szCs w:val="14"/>
              </w:rPr>
            </w:pPr>
            <w:r w:rsidRPr="00923405">
              <w:rPr>
                <w:rFonts w:ascii="Verdana" w:eastAsia="Times New Roman" w:hAnsi="Verdana"/>
                <w:color w:val="000000"/>
                <w:sz w:val="14"/>
                <w:szCs w:val="14"/>
              </w:rPr>
              <w:t>2,02%</w:t>
            </w:r>
          </w:p>
        </w:tc>
      </w:tr>
      <w:tr w:rsidR="00092FC3" w:rsidRPr="00923405" w14:paraId="6BE85DF6" w14:textId="77777777" w:rsidTr="00293D90">
        <w:trPr>
          <w:trHeight w:val="312"/>
        </w:trPr>
        <w:tc>
          <w:tcPr>
            <w:tcW w:w="1787" w:type="dxa"/>
            <w:tcBorders>
              <w:top w:val="single" w:sz="8" w:space="0" w:color="auto"/>
              <w:left w:val="single" w:sz="8" w:space="0" w:color="auto"/>
              <w:bottom w:val="single" w:sz="8" w:space="0" w:color="auto"/>
              <w:right w:val="single" w:sz="8" w:space="0" w:color="auto"/>
            </w:tcBorders>
            <w:shd w:val="clear" w:color="000000" w:fill="2B4B71"/>
            <w:vAlign w:val="center"/>
            <w:hideMark/>
          </w:tcPr>
          <w:p w14:paraId="77460291" w14:textId="77777777" w:rsidR="00092FC3" w:rsidRPr="00923405" w:rsidRDefault="00092FC3" w:rsidP="0068230C">
            <w:pPr>
              <w:spacing w:after="0" w:line="240" w:lineRule="auto"/>
              <w:jc w:val="center"/>
              <w:rPr>
                <w:rFonts w:ascii="Verdana" w:eastAsia="Times New Roman" w:hAnsi="Verdana"/>
                <w:b/>
                <w:bCs/>
                <w:color w:val="FFFFFF"/>
                <w:sz w:val="14"/>
                <w:szCs w:val="14"/>
              </w:rPr>
            </w:pPr>
            <w:r w:rsidRPr="00923405">
              <w:rPr>
                <w:rFonts w:ascii="Verdana" w:eastAsia="Times New Roman" w:hAnsi="Verdana"/>
                <w:b/>
                <w:bCs/>
                <w:color w:val="FFFFFF"/>
                <w:sz w:val="14"/>
                <w:szCs w:val="14"/>
              </w:rPr>
              <w:t xml:space="preserve">TOTAL </w:t>
            </w:r>
          </w:p>
        </w:tc>
        <w:tc>
          <w:tcPr>
            <w:tcW w:w="1283" w:type="dxa"/>
            <w:tcBorders>
              <w:top w:val="single" w:sz="8" w:space="0" w:color="auto"/>
              <w:left w:val="nil"/>
              <w:bottom w:val="single" w:sz="8" w:space="0" w:color="auto"/>
              <w:right w:val="single" w:sz="8" w:space="0" w:color="auto"/>
            </w:tcBorders>
            <w:shd w:val="clear" w:color="000000" w:fill="2B4B71"/>
            <w:vAlign w:val="center"/>
            <w:hideMark/>
          </w:tcPr>
          <w:p w14:paraId="53DD73D4" w14:textId="77777777" w:rsidR="00092FC3" w:rsidRPr="00923405" w:rsidRDefault="00092FC3" w:rsidP="0068230C">
            <w:pPr>
              <w:spacing w:after="0" w:line="240" w:lineRule="auto"/>
              <w:jc w:val="center"/>
              <w:rPr>
                <w:rFonts w:ascii="Verdana" w:eastAsia="Times New Roman" w:hAnsi="Verdana"/>
                <w:b/>
                <w:bCs/>
                <w:color w:val="FFFFFF"/>
                <w:sz w:val="14"/>
                <w:szCs w:val="14"/>
              </w:rPr>
            </w:pPr>
            <w:r w:rsidRPr="00923405">
              <w:rPr>
                <w:rFonts w:ascii="Verdana" w:eastAsia="Times New Roman" w:hAnsi="Verdana"/>
                <w:b/>
                <w:bCs/>
                <w:color w:val="FFFFFF"/>
                <w:sz w:val="14"/>
                <w:szCs w:val="14"/>
              </w:rPr>
              <w:t>194.190</w:t>
            </w:r>
          </w:p>
        </w:tc>
        <w:tc>
          <w:tcPr>
            <w:tcW w:w="1283" w:type="dxa"/>
            <w:tcBorders>
              <w:top w:val="single" w:sz="8" w:space="0" w:color="auto"/>
              <w:left w:val="nil"/>
              <w:bottom w:val="single" w:sz="8" w:space="0" w:color="auto"/>
              <w:right w:val="single" w:sz="8" w:space="0" w:color="auto"/>
            </w:tcBorders>
            <w:shd w:val="clear" w:color="000000" w:fill="2B4B71"/>
            <w:vAlign w:val="center"/>
            <w:hideMark/>
          </w:tcPr>
          <w:p w14:paraId="71B16F4B" w14:textId="77777777" w:rsidR="00092FC3" w:rsidRPr="00923405" w:rsidRDefault="00092FC3" w:rsidP="0068230C">
            <w:pPr>
              <w:spacing w:after="0" w:line="240" w:lineRule="auto"/>
              <w:jc w:val="center"/>
              <w:rPr>
                <w:rFonts w:ascii="Verdana" w:eastAsia="Times New Roman" w:hAnsi="Verdana"/>
                <w:b/>
                <w:bCs/>
                <w:color w:val="FFFFFF"/>
                <w:sz w:val="14"/>
                <w:szCs w:val="14"/>
              </w:rPr>
            </w:pPr>
            <w:r w:rsidRPr="00923405">
              <w:rPr>
                <w:rFonts w:ascii="Verdana" w:eastAsia="Times New Roman" w:hAnsi="Verdana"/>
                <w:b/>
                <w:bCs/>
                <w:color w:val="FFFFFF"/>
                <w:sz w:val="14"/>
                <w:szCs w:val="14"/>
              </w:rPr>
              <w:t>194.190</w:t>
            </w:r>
          </w:p>
        </w:tc>
        <w:tc>
          <w:tcPr>
            <w:tcW w:w="1059" w:type="dxa"/>
            <w:tcBorders>
              <w:top w:val="single" w:sz="8" w:space="0" w:color="auto"/>
              <w:left w:val="nil"/>
              <w:bottom w:val="single" w:sz="8" w:space="0" w:color="auto"/>
              <w:right w:val="single" w:sz="8" w:space="0" w:color="auto"/>
            </w:tcBorders>
            <w:shd w:val="clear" w:color="000000" w:fill="2B4B71"/>
            <w:vAlign w:val="center"/>
            <w:hideMark/>
          </w:tcPr>
          <w:p w14:paraId="3F0783F0" w14:textId="77777777" w:rsidR="00092FC3" w:rsidRPr="00923405" w:rsidRDefault="00092FC3" w:rsidP="0068230C">
            <w:pPr>
              <w:spacing w:after="0" w:line="240" w:lineRule="auto"/>
              <w:jc w:val="center"/>
              <w:rPr>
                <w:rFonts w:ascii="Verdana" w:eastAsia="Times New Roman" w:hAnsi="Verdana"/>
                <w:b/>
                <w:bCs/>
                <w:color w:val="FFFFFF"/>
                <w:sz w:val="14"/>
                <w:szCs w:val="14"/>
              </w:rPr>
            </w:pPr>
            <w:r w:rsidRPr="00923405">
              <w:rPr>
                <w:rFonts w:ascii="Verdana" w:eastAsia="Times New Roman" w:hAnsi="Verdana"/>
                <w:b/>
                <w:bCs/>
                <w:color w:val="FFFFFF"/>
                <w:sz w:val="14"/>
                <w:szCs w:val="14"/>
              </w:rPr>
              <w:t>100,00%</w:t>
            </w:r>
          </w:p>
        </w:tc>
        <w:tc>
          <w:tcPr>
            <w:tcW w:w="1059" w:type="dxa"/>
            <w:tcBorders>
              <w:top w:val="single" w:sz="8" w:space="0" w:color="auto"/>
              <w:left w:val="nil"/>
              <w:bottom w:val="single" w:sz="8" w:space="0" w:color="auto"/>
              <w:right w:val="single" w:sz="8" w:space="0" w:color="auto"/>
            </w:tcBorders>
            <w:shd w:val="clear" w:color="000000" w:fill="2B4B71"/>
            <w:vAlign w:val="center"/>
            <w:hideMark/>
          </w:tcPr>
          <w:p w14:paraId="1E5D530D" w14:textId="77777777" w:rsidR="00092FC3" w:rsidRPr="00923405" w:rsidRDefault="00092FC3" w:rsidP="0068230C">
            <w:pPr>
              <w:spacing w:after="0" w:line="240" w:lineRule="auto"/>
              <w:jc w:val="center"/>
              <w:rPr>
                <w:rFonts w:ascii="Verdana" w:eastAsia="Times New Roman" w:hAnsi="Verdana"/>
                <w:b/>
                <w:bCs/>
                <w:color w:val="FFFFFF"/>
                <w:sz w:val="14"/>
                <w:szCs w:val="14"/>
              </w:rPr>
            </w:pPr>
            <w:r w:rsidRPr="00923405">
              <w:rPr>
                <w:rFonts w:ascii="Verdana" w:eastAsia="Times New Roman" w:hAnsi="Verdana"/>
                <w:b/>
                <w:bCs/>
                <w:color w:val="FFFFFF"/>
                <w:sz w:val="14"/>
                <w:szCs w:val="14"/>
              </w:rPr>
              <w:t>164.760</w:t>
            </w:r>
          </w:p>
        </w:tc>
        <w:tc>
          <w:tcPr>
            <w:tcW w:w="1059" w:type="dxa"/>
            <w:tcBorders>
              <w:top w:val="single" w:sz="8" w:space="0" w:color="auto"/>
              <w:left w:val="nil"/>
              <w:bottom w:val="single" w:sz="8" w:space="0" w:color="auto"/>
              <w:right w:val="single" w:sz="8" w:space="0" w:color="auto"/>
            </w:tcBorders>
            <w:shd w:val="clear" w:color="000000" w:fill="2B4B71"/>
            <w:vAlign w:val="center"/>
            <w:hideMark/>
          </w:tcPr>
          <w:p w14:paraId="7D47CA6C" w14:textId="77777777" w:rsidR="00092FC3" w:rsidRPr="00923405" w:rsidRDefault="00092FC3" w:rsidP="0068230C">
            <w:pPr>
              <w:spacing w:after="0" w:line="240" w:lineRule="auto"/>
              <w:jc w:val="center"/>
              <w:rPr>
                <w:rFonts w:ascii="Verdana" w:eastAsia="Times New Roman" w:hAnsi="Verdana"/>
                <w:b/>
                <w:bCs/>
                <w:color w:val="FFFFFF"/>
                <w:sz w:val="14"/>
                <w:szCs w:val="14"/>
              </w:rPr>
            </w:pPr>
            <w:r w:rsidRPr="00923405">
              <w:rPr>
                <w:rFonts w:ascii="Verdana" w:eastAsia="Times New Roman" w:hAnsi="Verdana"/>
                <w:b/>
                <w:bCs/>
                <w:color w:val="FFFFFF"/>
                <w:sz w:val="14"/>
                <w:szCs w:val="14"/>
              </w:rPr>
              <w:t>84,84%</w:t>
            </w:r>
          </w:p>
        </w:tc>
        <w:tc>
          <w:tcPr>
            <w:tcW w:w="1059" w:type="dxa"/>
            <w:tcBorders>
              <w:top w:val="single" w:sz="8" w:space="0" w:color="auto"/>
              <w:left w:val="nil"/>
              <w:bottom w:val="single" w:sz="8" w:space="0" w:color="auto"/>
              <w:right w:val="single" w:sz="8" w:space="0" w:color="auto"/>
            </w:tcBorders>
            <w:shd w:val="clear" w:color="000000" w:fill="2B4B71"/>
            <w:vAlign w:val="center"/>
            <w:hideMark/>
          </w:tcPr>
          <w:p w14:paraId="462D93FC" w14:textId="77777777" w:rsidR="00092FC3" w:rsidRPr="00923405" w:rsidRDefault="00092FC3" w:rsidP="0068230C">
            <w:pPr>
              <w:spacing w:after="0" w:line="240" w:lineRule="auto"/>
              <w:jc w:val="center"/>
              <w:rPr>
                <w:rFonts w:ascii="Verdana" w:eastAsia="Times New Roman" w:hAnsi="Verdana"/>
                <w:b/>
                <w:bCs/>
                <w:color w:val="FFFFFF"/>
                <w:sz w:val="14"/>
                <w:szCs w:val="14"/>
              </w:rPr>
            </w:pPr>
            <w:r w:rsidRPr="00923405">
              <w:rPr>
                <w:rFonts w:ascii="Verdana" w:eastAsia="Times New Roman" w:hAnsi="Verdana"/>
                <w:b/>
                <w:bCs/>
                <w:color w:val="FFFFFF"/>
                <w:sz w:val="14"/>
                <w:szCs w:val="14"/>
              </w:rPr>
              <w:t>15.659</w:t>
            </w:r>
          </w:p>
        </w:tc>
        <w:tc>
          <w:tcPr>
            <w:tcW w:w="1060" w:type="dxa"/>
            <w:tcBorders>
              <w:top w:val="single" w:sz="8" w:space="0" w:color="auto"/>
              <w:left w:val="nil"/>
              <w:bottom w:val="single" w:sz="8" w:space="0" w:color="auto"/>
              <w:right w:val="single" w:sz="8" w:space="0" w:color="auto"/>
            </w:tcBorders>
            <w:shd w:val="clear" w:color="000000" w:fill="2B4B71"/>
            <w:vAlign w:val="center"/>
            <w:hideMark/>
          </w:tcPr>
          <w:p w14:paraId="5D930309" w14:textId="77777777" w:rsidR="00092FC3" w:rsidRPr="00923405" w:rsidRDefault="00092FC3" w:rsidP="0068230C">
            <w:pPr>
              <w:spacing w:after="0" w:line="240" w:lineRule="auto"/>
              <w:jc w:val="center"/>
              <w:rPr>
                <w:rFonts w:ascii="Verdana" w:eastAsia="Times New Roman" w:hAnsi="Verdana"/>
                <w:b/>
                <w:bCs/>
                <w:color w:val="FFFFFF"/>
                <w:sz w:val="14"/>
                <w:szCs w:val="14"/>
              </w:rPr>
            </w:pPr>
            <w:r w:rsidRPr="00923405">
              <w:rPr>
                <w:rFonts w:ascii="Verdana" w:eastAsia="Times New Roman" w:hAnsi="Verdana"/>
                <w:b/>
                <w:bCs/>
                <w:color w:val="FFFFFF"/>
                <w:sz w:val="14"/>
                <w:szCs w:val="14"/>
              </w:rPr>
              <w:t>8,06%</w:t>
            </w:r>
          </w:p>
        </w:tc>
      </w:tr>
    </w:tbl>
    <w:p w14:paraId="4C69A392" w14:textId="77777777" w:rsidR="00092FC3" w:rsidRPr="00923405" w:rsidRDefault="00092FC3" w:rsidP="00092FC3">
      <w:pPr>
        <w:autoSpaceDE w:val="0"/>
        <w:autoSpaceDN w:val="0"/>
        <w:adjustRightInd w:val="0"/>
        <w:spacing w:after="0" w:line="240" w:lineRule="auto"/>
        <w:jc w:val="both"/>
        <w:rPr>
          <w:rFonts w:ascii="Verdana" w:hAnsi="Verdana"/>
          <w:sz w:val="16"/>
          <w:szCs w:val="16"/>
        </w:rPr>
      </w:pPr>
      <w:r w:rsidRPr="00923405">
        <w:rPr>
          <w:rFonts w:ascii="Verdana" w:hAnsi="Verdana"/>
          <w:sz w:val="16"/>
          <w:szCs w:val="16"/>
        </w:rPr>
        <w:t>Fuente: Informe SIIF con corte a 31 de julio de 2024</w:t>
      </w:r>
    </w:p>
    <w:p w14:paraId="0BB505F6" w14:textId="77777777" w:rsidR="00092FC3" w:rsidRPr="00923405" w:rsidRDefault="00092FC3" w:rsidP="00092FC3">
      <w:pPr>
        <w:spacing w:before="100" w:beforeAutospacing="1" w:after="100" w:afterAutospacing="1"/>
        <w:ind w:right="758"/>
        <w:contextualSpacing/>
        <w:jc w:val="both"/>
        <w:rPr>
          <w:rFonts w:ascii="Verdana" w:hAnsi="Verdana"/>
        </w:rPr>
      </w:pPr>
    </w:p>
    <w:p w14:paraId="3AB273C0" w14:textId="77777777" w:rsidR="00092FC3" w:rsidRPr="00923405" w:rsidRDefault="00092FC3" w:rsidP="00092FC3">
      <w:pPr>
        <w:spacing w:line="240" w:lineRule="auto"/>
        <w:jc w:val="both"/>
        <w:rPr>
          <w:rFonts w:ascii="Verdana" w:eastAsia="Calibri" w:hAnsi="Verdana"/>
          <w:color w:val="000000" w:themeColor="text1"/>
          <w:kern w:val="24"/>
          <w:sz w:val="16"/>
          <w:szCs w:val="16"/>
          <w:lang w:val="es-ES"/>
        </w:rPr>
      </w:pPr>
      <w:r w:rsidRPr="00923405">
        <w:rPr>
          <w:rFonts w:ascii="Verdana" w:eastAsia="Calibri" w:hAnsi="Verdana"/>
          <w:color w:val="000000" w:themeColor="text1"/>
          <w:kern w:val="24"/>
          <w:sz w:val="16"/>
          <w:szCs w:val="16"/>
          <w:lang w:val="es-ES"/>
        </w:rPr>
        <w:t xml:space="preserve">*Transferencias. Se presenta partida por la cuenta Otras Transferencias – Distribución Previo </w:t>
      </w:r>
      <w:proofErr w:type="gramStart"/>
      <w:r w:rsidRPr="00923405">
        <w:rPr>
          <w:rFonts w:ascii="Verdana" w:eastAsia="Calibri" w:hAnsi="Verdana"/>
          <w:color w:val="000000" w:themeColor="text1"/>
          <w:kern w:val="24"/>
          <w:sz w:val="16"/>
          <w:szCs w:val="16"/>
          <w:lang w:val="es-ES"/>
        </w:rPr>
        <w:t>Conceptos  DGPPN</w:t>
      </w:r>
      <w:proofErr w:type="gramEnd"/>
      <w:r w:rsidRPr="00923405">
        <w:rPr>
          <w:rFonts w:ascii="Verdana" w:eastAsia="Calibri" w:hAnsi="Verdana"/>
          <w:color w:val="000000" w:themeColor="text1"/>
          <w:kern w:val="24"/>
          <w:sz w:val="16"/>
          <w:szCs w:val="16"/>
          <w:lang w:val="es-ES"/>
        </w:rPr>
        <w:t xml:space="preserve"> por $6.348 millones, de los cuales a la fecha se han aprobado $3.493 para cubrir gastos de seguros.</w:t>
      </w:r>
    </w:p>
    <w:p w14:paraId="6B0F6E3B" w14:textId="77777777" w:rsidR="00092FC3" w:rsidRPr="00923405" w:rsidRDefault="00092FC3" w:rsidP="00092FC3">
      <w:pPr>
        <w:spacing w:before="100" w:beforeAutospacing="1" w:after="100" w:afterAutospacing="1"/>
        <w:contextualSpacing/>
        <w:jc w:val="both"/>
        <w:rPr>
          <w:rFonts w:ascii="Verdana" w:hAnsi="Verdana"/>
          <w:highlight w:val="yellow"/>
        </w:rPr>
      </w:pPr>
    </w:p>
    <w:p w14:paraId="4A04B356" w14:textId="77777777" w:rsidR="00092FC3" w:rsidRPr="00011701" w:rsidRDefault="00092FC3" w:rsidP="00092FC3">
      <w:pPr>
        <w:spacing w:before="100" w:beforeAutospacing="1" w:after="100" w:afterAutospacing="1"/>
        <w:ind w:left="284"/>
        <w:contextualSpacing/>
        <w:jc w:val="both"/>
        <w:rPr>
          <w:rFonts w:ascii="Verdana" w:hAnsi="Verdana"/>
          <w:b/>
          <w:sz w:val="22"/>
          <w:szCs w:val="22"/>
          <w:u w:val="single"/>
        </w:rPr>
      </w:pPr>
      <w:r w:rsidRPr="00011701">
        <w:rPr>
          <w:rFonts w:ascii="Verdana" w:hAnsi="Verdana"/>
          <w:b/>
          <w:sz w:val="22"/>
          <w:szCs w:val="22"/>
          <w:u w:val="single"/>
        </w:rPr>
        <w:t>Año 2024 (Julio 31):</w:t>
      </w:r>
    </w:p>
    <w:p w14:paraId="3160C548" w14:textId="77777777" w:rsidR="00092FC3" w:rsidRPr="00923405" w:rsidRDefault="00092FC3" w:rsidP="00092FC3">
      <w:pPr>
        <w:spacing w:before="100" w:beforeAutospacing="1" w:after="100" w:afterAutospacing="1"/>
        <w:contextualSpacing/>
        <w:jc w:val="both"/>
        <w:rPr>
          <w:rFonts w:ascii="Verdana" w:hAnsi="Verdana"/>
          <w:highlight w:val="yellow"/>
        </w:rPr>
      </w:pPr>
    </w:p>
    <w:tbl>
      <w:tblPr>
        <w:tblStyle w:val="Tablaconcuadrcula"/>
        <w:tblW w:w="0" w:type="auto"/>
        <w:jc w:val="center"/>
        <w:tblLook w:val="04A0" w:firstRow="1" w:lastRow="0" w:firstColumn="1" w:lastColumn="0" w:noHBand="0" w:noVBand="1"/>
      </w:tblPr>
      <w:tblGrid>
        <w:gridCol w:w="2197"/>
        <w:gridCol w:w="2299"/>
        <w:gridCol w:w="4556"/>
      </w:tblGrid>
      <w:tr w:rsidR="00092FC3" w:rsidRPr="00923405" w14:paraId="4E664CBF" w14:textId="77777777" w:rsidTr="00293D90">
        <w:trPr>
          <w:trHeight w:val="649"/>
          <w:tblHeader/>
          <w:jc w:val="center"/>
        </w:trPr>
        <w:tc>
          <w:tcPr>
            <w:tcW w:w="1973" w:type="dxa"/>
            <w:shd w:val="clear" w:color="auto" w:fill="2B4B71"/>
            <w:vAlign w:val="center"/>
          </w:tcPr>
          <w:p w14:paraId="687D293B" w14:textId="77777777" w:rsidR="00092FC3" w:rsidRPr="00011701" w:rsidRDefault="00092FC3" w:rsidP="0068230C">
            <w:pPr>
              <w:jc w:val="center"/>
              <w:textAlignment w:val="center"/>
              <w:rPr>
                <w:rFonts w:ascii="Verdana" w:hAnsi="Verdana"/>
                <w:b/>
                <w:bCs/>
                <w:color w:val="FFFFFF" w:themeColor="background1"/>
                <w:kern w:val="24"/>
                <w:sz w:val="20"/>
                <w:szCs w:val="20"/>
              </w:rPr>
            </w:pPr>
            <w:r w:rsidRPr="00011701">
              <w:rPr>
                <w:rFonts w:ascii="Verdana" w:hAnsi="Verdana"/>
                <w:b/>
                <w:bCs/>
                <w:color w:val="FFFFFF" w:themeColor="background1"/>
                <w:kern w:val="24"/>
                <w:sz w:val="20"/>
                <w:szCs w:val="20"/>
              </w:rPr>
              <w:t>CONCEPTO</w:t>
            </w:r>
          </w:p>
        </w:tc>
        <w:tc>
          <w:tcPr>
            <w:tcW w:w="2299" w:type="dxa"/>
            <w:shd w:val="clear" w:color="auto" w:fill="2B4B71"/>
            <w:vAlign w:val="center"/>
          </w:tcPr>
          <w:p w14:paraId="24A3A09D" w14:textId="77777777" w:rsidR="00092FC3" w:rsidRPr="00011701" w:rsidRDefault="00092FC3" w:rsidP="0068230C">
            <w:pPr>
              <w:jc w:val="center"/>
              <w:textAlignment w:val="center"/>
              <w:rPr>
                <w:rFonts w:ascii="Verdana" w:hAnsi="Verdana"/>
                <w:b/>
                <w:bCs/>
                <w:color w:val="FFFFFF" w:themeColor="background1"/>
                <w:kern w:val="24"/>
                <w:sz w:val="20"/>
                <w:szCs w:val="20"/>
              </w:rPr>
            </w:pPr>
            <w:r w:rsidRPr="00011701">
              <w:rPr>
                <w:rFonts w:ascii="Verdana" w:hAnsi="Verdana"/>
                <w:b/>
                <w:bCs/>
                <w:color w:val="FFFFFF" w:themeColor="background1"/>
                <w:kern w:val="24"/>
                <w:sz w:val="20"/>
                <w:szCs w:val="20"/>
              </w:rPr>
              <w:t>PRINCIPALES RUBROS PRESUPUESTALES</w:t>
            </w:r>
          </w:p>
        </w:tc>
        <w:tc>
          <w:tcPr>
            <w:tcW w:w="4556" w:type="dxa"/>
            <w:shd w:val="clear" w:color="auto" w:fill="2B4B71"/>
            <w:vAlign w:val="center"/>
          </w:tcPr>
          <w:p w14:paraId="34557B41" w14:textId="77777777" w:rsidR="00092FC3" w:rsidRPr="00011701" w:rsidRDefault="00092FC3" w:rsidP="0068230C">
            <w:pPr>
              <w:jc w:val="center"/>
              <w:textAlignment w:val="center"/>
              <w:rPr>
                <w:rFonts w:ascii="Verdana" w:hAnsi="Verdana"/>
                <w:b/>
                <w:bCs/>
                <w:color w:val="FFFFFF" w:themeColor="background1"/>
                <w:kern w:val="24"/>
                <w:sz w:val="20"/>
                <w:szCs w:val="20"/>
              </w:rPr>
            </w:pPr>
            <w:r w:rsidRPr="00011701">
              <w:rPr>
                <w:rFonts w:ascii="Verdana" w:hAnsi="Verdana"/>
                <w:b/>
                <w:bCs/>
                <w:color w:val="FFFFFF" w:themeColor="background1"/>
                <w:kern w:val="24"/>
                <w:sz w:val="20"/>
                <w:szCs w:val="20"/>
              </w:rPr>
              <w:t>RESULTADO MISIONAL</w:t>
            </w:r>
          </w:p>
        </w:tc>
      </w:tr>
      <w:tr w:rsidR="00092FC3" w:rsidRPr="00923405" w14:paraId="69CC40C4" w14:textId="77777777" w:rsidTr="0068230C">
        <w:trPr>
          <w:tblHeader/>
          <w:jc w:val="center"/>
        </w:trPr>
        <w:tc>
          <w:tcPr>
            <w:tcW w:w="8828" w:type="dxa"/>
            <w:gridSpan w:val="3"/>
            <w:vAlign w:val="center"/>
          </w:tcPr>
          <w:p w14:paraId="459B16F3" w14:textId="77777777" w:rsidR="00092FC3" w:rsidRPr="00923405" w:rsidRDefault="00092FC3" w:rsidP="0068230C">
            <w:pPr>
              <w:spacing w:before="100" w:beforeAutospacing="1" w:after="100" w:afterAutospacing="1"/>
              <w:contextualSpacing/>
              <w:jc w:val="center"/>
              <w:rPr>
                <w:rFonts w:ascii="Verdana" w:hAnsi="Verdana"/>
                <w:sz w:val="20"/>
                <w:szCs w:val="20"/>
              </w:rPr>
            </w:pPr>
            <w:r w:rsidRPr="00923405">
              <w:rPr>
                <w:rFonts w:ascii="Verdana" w:hAnsi="Verdana"/>
                <w:b/>
                <w:sz w:val="20"/>
                <w:szCs w:val="20"/>
              </w:rPr>
              <w:t>FUNCIONAMIENTO</w:t>
            </w:r>
          </w:p>
        </w:tc>
      </w:tr>
      <w:tr w:rsidR="00092FC3" w:rsidRPr="00923405" w14:paraId="34720CC5" w14:textId="77777777" w:rsidTr="0068230C">
        <w:trPr>
          <w:trHeight w:val="1476"/>
          <w:jc w:val="center"/>
        </w:trPr>
        <w:tc>
          <w:tcPr>
            <w:tcW w:w="1973" w:type="dxa"/>
          </w:tcPr>
          <w:p w14:paraId="5BDD8CE6" w14:textId="77777777" w:rsidR="00092FC3" w:rsidRPr="00923405" w:rsidRDefault="00092FC3" w:rsidP="0068230C">
            <w:pPr>
              <w:spacing w:before="100" w:beforeAutospacing="1" w:after="100" w:afterAutospacing="1"/>
              <w:contextualSpacing/>
              <w:jc w:val="both"/>
              <w:rPr>
                <w:rFonts w:ascii="Verdana" w:hAnsi="Verdana"/>
                <w:sz w:val="20"/>
                <w:szCs w:val="20"/>
              </w:rPr>
            </w:pPr>
            <w:r w:rsidRPr="00923405">
              <w:rPr>
                <w:rFonts w:ascii="Verdana" w:hAnsi="Verdana"/>
                <w:sz w:val="18"/>
                <w:szCs w:val="18"/>
              </w:rPr>
              <w:t>Gastos de Personal /Nación</w:t>
            </w:r>
          </w:p>
        </w:tc>
        <w:tc>
          <w:tcPr>
            <w:tcW w:w="2299" w:type="dxa"/>
          </w:tcPr>
          <w:p w14:paraId="5D732A65" w14:textId="77777777" w:rsidR="00092FC3" w:rsidRPr="00923405" w:rsidRDefault="00092FC3" w:rsidP="0068230C">
            <w:pPr>
              <w:spacing w:before="100" w:beforeAutospacing="1" w:after="100" w:afterAutospacing="1"/>
              <w:contextualSpacing/>
              <w:jc w:val="both"/>
              <w:rPr>
                <w:rFonts w:ascii="Verdana" w:hAnsi="Verdana"/>
                <w:sz w:val="18"/>
                <w:szCs w:val="18"/>
              </w:rPr>
            </w:pPr>
            <w:r w:rsidRPr="00923405">
              <w:rPr>
                <w:rFonts w:ascii="Verdana" w:hAnsi="Verdana"/>
                <w:sz w:val="18"/>
                <w:szCs w:val="18"/>
              </w:rPr>
              <w:t>Salario</w:t>
            </w:r>
          </w:p>
          <w:p w14:paraId="262E528A" w14:textId="77777777" w:rsidR="00092FC3" w:rsidRPr="00923405" w:rsidRDefault="00092FC3" w:rsidP="0068230C">
            <w:pPr>
              <w:spacing w:before="100" w:beforeAutospacing="1" w:after="100" w:afterAutospacing="1"/>
              <w:contextualSpacing/>
              <w:jc w:val="both"/>
              <w:rPr>
                <w:rFonts w:ascii="Verdana" w:hAnsi="Verdana"/>
                <w:sz w:val="18"/>
                <w:szCs w:val="18"/>
              </w:rPr>
            </w:pPr>
            <w:r w:rsidRPr="00923405">
              <w:rPr>
                <w:rFonts w:ascii="Verdana" w:hAnsi="Verdana"/>
                <w:sz w:val="18"/>
                <w:szCs w:val="18"/>
              </w:rPr>
              <w:t>Contribuciones inherentes a la nómina</w:t>
            </w:r>
          </w:p>
          <w:p w14:paraId="5A21368C" w14:textId="77777777" w:rsidR="00092FC3" w:rsidRPr="00923405" w:rsidRDefault="00092FC3" w:rsidP="0068230C">
            <w:pPr>
              <w:spacing w:before="100" w:beforeAutospacing="1" w:after="100" w:afterAutospacing="1"/>
              <w:contextualSpacing/>
              <w:jc w:val="both"/>
              <w:rPr>
                <w:rFonts w:ascii="Verdana" w:hAnsi="Verdana"/>
                <w:sz w:val="18"/>
                <w:szCs w:val="18"/>
              </w:rPr>
            </w:pPr>
            <w:r w:rsidRPr="00923405">
              <w:rPr>
                <w:rFonts w:ascii="Verdana" w:hAnsi="Verdana"/>
                <w:sz w:val="18"/>
                <w:szCs w:val="18"/>
              </w:rPr>
              <w:t xml:space="preserve">Remuneraciones no constitutivas de factor salarial </w:t>
            </w:r>
          </w:p>
          <w:p w14:paraId="47367E76" w14:textId="77777777" w:rsidR="00092FC3" w:rsidRPr="00923405" w:rsidRDefault="00092FC3" w:rsidP="0068230C">
            <w:pPr>
              <w:spacing w:before="100" w:beforeAutospacing="1" w:after="100" w:afterAutospacing="1"/>
              <w:contextualSpacing/>
              <w:jc w:val="both"/>
              <w:rPr>
                <w:rFonts w:ascii="Verdana" w:hAnsi="Verdana"/>
                <w:sz w:val="20"/>
                <w:szCs w:val="20"/>
              </w:rPr>
            </w:pPr>
          </w:p>
        </w:tc>
        <w:tc>
          <w:tcPr>
            <w:tcW w:w="4556" w:type="dxa"/>
            <w:shd w:val="clear" w:color="auto" w:fill="auto"/>
          </w:tcPr>
          <w:p w14:paraId="109E5A66" w14:textId="77777777" w:rsidR="00092FC3" w:rsidRPr="00923405" w:rsidRDefault="00092FC3" w:rsidP="0068230C">
            <w:pPr>
              <w:spacing w:before="100" w:beforeAutospacing="1" w:after="100" w:afterAutospacing="1"/>
              <w:contextualSpacing/>
              <w:jc w:val="both"/>
              <w:rPr>
                <w:rFonts w:ascii="Verdana" w:eastAsia="Arial Narrow" w:hAnsi="Verdana"/>
                <w:color w:val="201F1E"/>
                <w:sz w:val="18"/>
                <w:szCs w:val="18"/>
                <w:lang w:val="es"/>
              </w:rPr>
            </w:pPr>
            <w:r w:rsidRPr="00923405">
              <w:rPr>
                <w:rFonts w:ascii="Verdana" w:eastAsia="Arial Narrow" w:hAnsi="Verdana"/>
                <w:color w:val="201F1E"/>
                <w:sz w:val="18"/>
                <w:szCs w:val="18"/>
                <w:lang w:val="es"/>
              </w:rPr>
              <w:t>Durante la vigencia 2023 se presentaron vacancias en la planta de personal que no se cubrieron debido a que no se culminó el proceso para el nombramiento de las hojas de vida presentadas.</w:t>
            </w:r>
          </w:p>
          <w:p w14:paraId="25FEB341" w14:textId="77777777" w:rsidR="00092FC3" w:rsidRPr="00923405" w:rsidRDefault="00092FC3" w:rsidP="0068230C">
            <w:pPr>
              <w:spacing w:before="100" w:beforeAutospacing="1" w:after="100" w:afterAutospacing="1"/>
              <w:contextualSpacing/>
              <w:jc w:val="both"/>
              <w:rPr>
                <w:rFonts w:ascii="Verdana" w:eastAsia="Arial Narrow" w:hAnsi="Verdana"/>
                <w:color w:val="201F1E"/>
                <w:sz w:val="18"/>
                <w:szCs w:val="18"/>
                <w:lang w:val="es"/>
              </w:rPr>
            </w:pPr>
          </w:p>
          <w:p w14:paraId="372F80EE" w14:textId="77777777" w:rsidR="00092FC3" w:rsidRPr="00923405" w:rsidRDefault="00092FC3" w:rsidP="0068230C">
            <w:pPr>
              <w:spacing w:before="100" w:beforeAutospacing="1" w:after="100" w:afterAutospacing="1"/>
              <w:contextualSpacing/>
              <w:jc w:val="both"/>
              <w:rPr>
                <w:rFonts w:ascii="Verdana" w:hAnsi="Verdana"/>
                <w:b/>
                <w:color w:val="FF0000"/>
                <w:sz w:val="20"/>
                <w:szCs w:val="20"/>
              </w:rPr>
            </w:pPr>
            <w:r w:rsidRPr="00923405">
              <w:rPr>
                <w:rFonts w:ascii="Verdana" w:eastAsia="Arial Narrow" w:hAnsi="Verdana"/>
                <w:color w:val="201F1E"/>
                <w:sz w:val="18"/>
                <w:szCs w:val="18"/>
                <w:lang w:val="es"/>
              </w:rPr>
              <w:t xml:space="preserve">  </w:t>
            </w:r>
          </w:p>
        </w:tc>
      </w:tr>
      <w:tr w:rsidR="00092FC3" w:rsidRPr="00923405" w14:paraId="74099F08" w14:textId="77777777" w:rsidTr="0068230C">
        <w:trPr>
          <w:trHeight w:val="554"/>
          <w:jc w:val="center"/>
        </w:trPr>
        <w:tc>
          <w:tcPr>
            <w:tcW w:w="1973" w:type="dxa"/>
          </w:tcPr>
          <w:p w14:paraId="1660A109" w14:textId="77777777" w:rsidR="00092FC3" w:rsidRPr="00923405" w:rsidRDefault="00092FC3" w:rsidP="0068230C">
            <w:pPr>
              <w:spacing w:before="100" w:beforeAutospacing="1" w:after="100" w:afterAutospacing="1"/>
              <w:contextualSpacing/>
              <w:jc w:val="both"/>
              <w:rPr>
                <w:rFonts w:ascii="Verdana" w:hAnsi="Verdana"/>
                <w:sz w:val="20"/>
                <w:szCs w:val="20"/>
              </w:rPr>
            </w:pPr>
          </w:p>
          <w:p w14:paraId="140E83FB" w14:textId="77777777" w:rsidR="00092FC3" w:rsidRPr="00923405" w:rsidRDefault="00092FC3" w:rsidP="0068230C">
            <w:pPr>
              <w:spacing w:before="100" w:beforeAutospacing="1" w:after="100" w:afterAutospacing="1"/>
              <w:contextualSpacing/>
              <w:jc w:val="both"/>
              <w:rPr>
                <w:rFonts w:ascii="Verdana" w:hAnsi="Verdana"/>
                <w:sz w:val="20"/>
                <w:szCs w:val="20"/>
              </w:rPr>
            </w:pPr>
            <w:r w:rsidRPr="00923405">
              <w:rPr>
                <w:rFonts w:ascii="Verdana" w:hAnsi="Verdana"/>
                <w:sz w:val="20"/>
                <w:szCs w:val="20"/>
              </w:rPr>
              <w:t xml:space="preserve"> Transferencias Corrientes</w:t>
            </w:r>
          </w:p>
        </w:tc>
        <w:tc>
          <w:tcPr>
            <w:tcW w:w="2299" w:type="dxa"/>
          </w:tcPr>
          <w:p w14:paraId="0BE9E005" w14:textId="77777777" w:rsidR="00092FC3" w:rsidRPr="00923405" w:rsidRDefault="00092FC3" w:rsidP="0068230C">
            <w:pPr>
              <w:spacing w:before="100" w:beforeAutospacing="1" w:after="100" w:afterAutospacing="1"/>
              <w:contextualSpacing/>
              <w:jc w:val="both"/>
              <w:rPr>
                <w:rFonts w:ascii="Verdana" w:hAnsi="Verdana"/>
                <w:sz w:val="20"/>
                <w:szCs w:val="20"/>
              </w:rPr>
            </w:pPr>
            <w:r w:rsidRPr="00923405">
              <w:rPr>
                <w:rFonts w:ascii="Verdana" w:hAnsi="Verdana"/>
                <w:sz w:val="20"/>
                <w:szCs w:val="20"/>
              </w:rPr>
              <w:t>Otras Transferencias Distribución Previo Concepto – DGPPN.</w:t>
            </w:r>
          </w:p>
          <w:p w14:paraId="2643DD42" w14:textId="77777777" w:rsidR="00092FC3" w:rsidRPr="00923405" w:rsidRDefault="00092FC3" w:rsidP="0068230C">
            <w:pPr>
              <w:spacing w:before="100" w:beforeAutospacing="1" w:after="100" w:afterAutospacing="1"/>
              <w:contextualSpacing/>
              <w:jc w:val="both"/>
              <w:rPr>
                <w:rFonts w:ascii="Verdana" w:hAnsi="Verdana"/>
                <w:sz w:val="20"/>
                <w:szCs w:val="20"/>
              </w:rPr>
            </w:pPr>
          </w:p>
          <w:p w14:paraId="148C04B8" w14:textId="77777777" w:rsidR="00092FC3" w:rsidRPr="00923405" w:rsidRDefault="00092FC3" w:rsidP="0068230C">
            <w:pPr>
              <w:spacing w:before="100" w:beforeAutospacing="1" w:after="100" w:afterAutospacing="1"/>
              <w:contextualSpacing/>
              <w:jc w:val="both"/>
              <w:rPr>
                <w:rFonts w:ascii="Verdana" w:hAnsi="Verdana"/>
                <w:sz w:val="20"/>
                <w:szCs w:val="20"/>
              </w:rPr>
            </w:pPr>
          </w:p>
        </w:tc>
        <w:tc>
          <w:tcPr>
            <w:tcW w:w="4556" w:type="dxa"/>
          </w:tcPr>
          <w:p w14:paraId="5A9DD538" w14:textId="77777777" w:rsidR="00092FC3" w:rsidRPr="00923405" w:rsidRDefault="00092FC3" w:rsidP="0068230C">
            <w:pPr>
              <w:jc w:val="both"/>
              <w:rPr>
                <w:rFonts w:ascii="Verdana" w:hAnsi="Verdana"/>
                <w:b/>
                <w:bCs/>
                <w:sz w:val="20"/>
                <w:szCs w:val="20"/>
              </w:rPr>
            </w:pPr>
            <w:r w:rsidRPr="00923405">
              <w:rPr>
                <w:rFonts w:ascii="Verdana" w:hAnsi="Verdana"/>
                <w:sz w:val="20"/>
                <w:szCs w:val="20"/>
              </w:rPr>
              <w:t>Con corte a julio de 2023, se han distribuido recursos para cubrir gastos de Seguros.</w:t>
            </w:r>
          </w:p>
        </w:tc>
      </w:tr>
      <w:tr w:rsidR="00092FC3" w:rsidRPr="00923405" w14:paraId="5E6C67FE" w14:textId="77777777" w:rsidTr="0068230C">
        <w:trPr>
          <w:jc w:val="center"/>
        </w:trPr>
        <w:tc>
          <w:tcPr>
            <w:tcW w:w="8828" w:type="dxa"/>
            <w:gridSpan w:val="3"/>
            <w:vAlign w:val="center"/>
          </w:tcPr>
          <w:p w14:paraId="3026E002" w14:textId="77777777" w:rsidR="00092FC3" w:rsidRPr="00923405" w:rsidRDefault="00092FC3" w:rsidP="0068230C">
            <w:pPr>
              <w:pStyle w:val="NormalWeb"/>
              <w:contextualSpacing/>
              <w:jc w:val="center"/>
              <w:rPr>
                <w:rFonts w:ascii="Verdana" w:hAnsi="Verdana" w:cs="Arial"/>
                <w:sz w:val="20"/>
                <w:szCs w:val="20"/>
              </w:rPr>
            </w:pPr>
            <w:r w:rsidRPr="00923405">
              <w:rPr>
                <w:rFonts w:ascii="Verdana" w:hAnsi="Verdana" w:cs="Arial"/>
                <w:b/>
                <w:sz w:val="20"/>
                <w:szCs w:val="20"/>
              </w:rPr>
              <w:t>INVERSIÓN</w:t>
            </w:r>
          </w:p>
        </w:tc>
      </w:tr>
      <w:tr w:rsidR="00092FC3" w:rsidRPr="00923405" w14:paraId="58CD45A9" w14:textId="77777777" w:rsidTr="0068230C">
        <w:trPr>
          <w:jc w:val="center"/>
        </w:trPr>
        <w:tc>
          <w:tcPr>
            <w:tcW w:w="1973" w:type="dxa"/>
            <w:vMerge w:val="restart"/>
            <w:vAlign w:val="center"/>
          </w:tcPr>
          <w:p w14:paraId="7FDE6F1C" w14:textId="77777777" w:rsidR="00092FC3" w:rsidRPr="00923405" w:rsidRDefault="00092FC3" w:rsidP="0068230C">
            <w:pPr>
              <w:spacing w:before="100" w:beforeAutospacing="1" w:after="100" w:afterAutospacing="1"/>
              <w:contextualSpacing/>
              <w:jc w:val="both"/>
              <w:rPr>
                <w:rFonts w:ascii="Verdana" w:hAnsi="Verdana"/>
                <w:sz w:val="20"/>
                <w:szCs w:val="20"/>
              </w:rPr>
            </w:pPr>
            <w:r w:rsidRPr="00923405">
              <w:rPr>
                <w:rFonts w:ascii="Verdana" w:hAnsi="Verdana"/>
                <w:sz w:val="20"/>
                <w:szCs w:val="20"/>
              </w:rPr>
              <w:t>4. Transformación productiva, internacionalización y acción climática / e. reducción de la vulnerabilidad fiscal y financiera ante riesgos climáticos y desastres</w:t>
            </w:r>
          </w:p>
        </w:tc>
        <w:tc>
          <w:tcPr>
            <w:tcW w:w="2299" w:type="dxa"/>
            <w:vAlign w:val="center"/>
          </w:tcPr>
          <w:p w14:paraId="13597E55" w14:textId="77777777" w:rsidR="00092FC3" w:rsidRPr="00923405" w:rsidRDefault="00092FC3" w:rsidP="0068230C">
            <w:pPr>
              <w:spacing w:before="100" w:beforeAutospacing="1" w:after="100" w:afterAutospacing="1"/>
              <w:contextualSpacing/>
              <w:rPr>
                <w:rFonts w:ascii="Verdana" w:hAnsi="Verdana"/>
                <w:sz w:val="20"/>
                <w:szCs w:val="20"/>
                <w:highlight w:val="cyan"/>
              </w:rPr>
            </w:pPr>
            <w:r w:rsidRPr="00923405">
              <w:rPr>
                <w:rFonts w:ascii="Verdana" w:hAnsi="Verdana"/>
                <w:sz w:val="20"/>
                <w:szCs w:val="20"/>
              </w:rPr>
              <w:t>Reconstrucción de zonas e infraestructuras afectadas por la ocurrencia del fenómeno de la Niña 2010-2011</w:t>
            </w:r>
          </w:p>
        </w:tc>
        <w:tc>
          <w:tcPr>
            <w:tcW w:w="4556" w:type="dxa"/>
          </w:tcPr>
          <w:p w14:paraId="6B5051C7" w14:textId="77777777" w:rsidR="00092FC3" w:rsidRPr="00923405" w:rsidRDefault="00092FC3" w:rsidP="0068230C">
            <w:pPr>
              <w:jc w:val="both"/>
              <w:rPr>
                <w:rFonts w:ascii="Verdana" w:hAnsi="Verdana"/>
                <w:sz w:val="20"/>
                <w:szCs w:val="20"/>
              </w:rPr>
            </w:pPr>
            <w:r w:rsidRPr="00923405">
              <w:rPr>
                <w:rFonts w:ascii="Verdana" w:hAnsi="Verdana"/>
                <w:sz w:val="20"/>
                <w:szCs w:val="20"/>
              </w:rPr>
              <w:t>A julio se han realizado las siguientes entregas:</w:t>
            </w:r>
          </w:p>
          <w:p w14:paraId="035E2367" w14:textId="77777777" w:rsidR="00092FC3" w:rsidRPr="00923405" w:rsidRDefault="00092FC3" w:rsidP="0068230C">
            <w:pPr>
              <w:jc w:val="both"/>
              <w:rPr>
                <w:rFonts w:ascii="Verdana" w:hAnsi="Verdana"/>
                <w:sz w:val="20"/>
                <w:szCs w:val="20"/>
              </w:rPr>
            </w:pPr>
            <w:r w:rsidRPr="00923405">
              <w:rPr>
                <w:rFonts w:ascii="Verdana" w:hAnsi="Verdana"/>
                <w:sz w:val="20"/>
                <w:szCs w:val="20"/>
              </w:rPr>
              <w:t>309 viviendas</w:t>
            </w:r>
          </w:p>
          <w:p w14:paraId="4D80CD4E" w14:textId="77777777" w:rsidR="00092FC3" w:rsidRPr="00923405" w:rsidRDefault="00092FC3" w:rsidP="0068230C">
            <w:pPr>
              <w:jc w:val="both"/>
              <w:rPr>
                <w:rFonts w:ascii="Verdana" w:hAnsi="Verdana"/>
                <w:sz w:val="20"/>
                <w:szCs w:val="20"/>
              </w:rPr>
            </w:pPr>
            <w:r w:rsidRPr="00923405">
              <w:rPr>
                <w:rFonts w:ascii="Verdana" w:hAnsi="Verdana"/>
                <w:sz w:val="20"/>
                <w:szCs w:val="20"/>
              </w:rPr>
              <w:t>1 sitio crítico – Puente La Colorada</w:t>
            </w:r>
          </w:p>
          <w:p w14:paraId="61510D97" w14:textId="77777777" w:rsidR="00092FC3" w:rsidRPr="00923405" w:rsidRDefault="00092FC3" w:rsidP="0068230C">
            <w:pPr>
              <w:jc w:val="both"/>
              <w:rPr>
                <w:rFonts w:ascii="Verdana" w:hAnsi="Verdana"/>
                <w:sz w:val="20"/>
                <w:szCs w:val="20"/>
              </w:rPr>
            </w:pPr>
            <w:r w:rsidRPr="00923405">
              <w:rPr>
                <w:rFonts w:ascii="Verdana" w:hAnsi="Verdana"/>
                <w:sz w:val="20"/>
                <w:szCs w:val="20"/>
              </w:rPr>
              <w:t>1 sede educativa en el municipio de Santa Ana – Magdalena</w:t>
            </w:r>
          </w:p>
          <w:p w14:paraId="7D83350A" w14:textId="77777777" w:rsidR="00092FC3" w:rsidRPr="00923405" w:rsidRDefault="00092FC3" w:rsidP="0068230C">
            <w:pPr>
              <w:jc w:val="both"/>
              <w:rPr>
                <w:rFonts w:ascii="Verdana" w:hAnsi="Verdana"/>
                <w:sz w:val="20"/>
                <w:szCs w:val="20"/>
              </w:rPr>
            </w:pPr>
          </w:p>
          <w:p w14:paraId="2D96C302" w14:textId="77777777" w:rsidR="00092FC3" w:rsidRPr="00923405" w:rsidRDefault="00092FC3" w:rsidP="0068230C">
            <w:pPr>
              <w:jc w:val="both"/>
              <w:rPr>
                <w:rFonts w:ascii="Verdana" w:hAnsi="Verdana"/>
                <w:sz w:val="20"/>
                <w:szCs w:val="20"/>
              </w:rPr>
            </w:pPr>
            <w:r w:rsidRPr="00923405">
              <w:rPr>
                <w:rFonts w:ascii="Verdana" w:hAnsi="Verdana"/>
                <w:sz w:val="20"/>
                <w:szCs w:val="20"/>
              </w:rPr>
              <w:t>Igualmente se han terminado 3 sedes educativas en Concordia – Magdalena (2) y Chimichagua – Cesar (1)</w:t>
            </w:r>
          </w:p>
          <w:p w14:paraId="0BC3FFAB" w14:textId="77777777" w:rsidR="00092FC3" w:rsidRPr="00923405" w:rsidRDefault="00092FC3" w:rsidP="0068230C">
            <w:pPr>
              <w:jc w:val="both"/>
              <w:rPr>
                <w:rFonts w:ascii="Verdana" w:hAnsi="Verdana"/>
                <w:sz w:val="20"/>
                <w:szCs w:val="20"/>
              </w:rPr>
            </w:pPr>
            <w:r w:rsidRPr="00923405">
              <w:rPr>
                <w:rFonts w:ascii="Verdana" w:hAnsi="Verdana"/>
                <w:sz w:val="20"/>
                <w:szCs w:val="20"/>
              </w:rPr>
              <w:t xml:space="preserve">0,246 </w:t>
            </w:r>
            <w:proofErr w:type="gramStart"/>
            <w:r w:rsidRPr="00923405">
              <w:rPr>
                <w:rFonts w:ascii="Verdana" w:hAnsi="Verdana"/>
                <w:sz w:val="20"/>
                <w:szCs w:val="20"/>
              </w:rPr>
              <w:t>Km</w:t>
            </w:r>
            <w:proofErr w:type="gramEnd"/>
            <w:r w:rsidRPr="00923405">
              <w:rPr>
                <w:rFonts w:ascii="Verdana" w:hAnsi="Verdana"/>
                <w:sz w:val="20"/>
                <w:szCs w:val="20"/>
              </w:rPr>
              <w:t xml:space="preserve"> de Jarillón de Cali</w:t>
            </w:r>
          </w:p>
          <w:p w14:paraId="7933F1B9" w14:textId="77777777" w:rsidR="00092FC3" w:rsidRPr="00923405" w:rsidRDefault="00092FC3" w:rsidP="0068230C">
            <w:pPr>
              <w:jc w:val="both"/>
              <w:rPr>
                <w:rFonts w:ascii="Verdana" w:hAnsi="Verdana"/>
                <w:sz w:val="20"/>
                <w:szCs w:val="20"/>
              </w:rPr>
            </w:pPr>
            <w:r w:rsidRPr="00923405">
              <w:rPr>
                <w:rFonts w:ascii="Verdana" w:hAnsi="Verdana"/>
                <w:sz w:val="20"/>
                <w:szCs w:val="20"/>
              </w:rPr>
              <w:t xml:space="preserve">1 acompañamiento social estructurado para el municipio de Achí – Bolívar </w:t>
            </w:r>
          </w:p>
        </w:tc>
      </w:tr>
      <w:tr w:rsidR="00092FC3" w:rsidRPr="00923405" w14:paraId="43C2ECD4" w14:textId="77777777" w:rsidTr="0068230C">
        <w:trPr>
          <w:jc w:val="center"/>
        </w:trPr>
        <w:tc>
          <w:tcPr>
            <w:tcW w:w="1973" w:type="dxa"/>
            <w:vMerge/>
            <w:vAlign w:val="center"/>
          </w:tcPr>
          <w:p w14:paraId="55F63D2F" w14:textId="77777777" w:rsidR="00092FC3" w:rsidRPr="00923405" w:rsidRDefault="00092FC3" w:rsidP="0068230C">
            <w:pPr>
              <w:spacing w:before="100" w:beforeAutospacing="1" w:after="100" w:afterAutospacing="1"/>
              <w:contextualSpacing/>
              <w:jc w:val="both"/>
              <w:rPr>
                <w:rFonts w:ascii="Verdana" w:hAnsi="Verdana"/>
                <w:sz w:val="20"/>
                <w:szCs w:val="20"/>
              </w:rPr>
            </w:pPr>
          </w:p>
        </w:tc>
        <w:tc>
          <w:tcPr>
            <w:tcW w:w="2299" w:type="dxa"/>
            <w:vAlign w:val="center"/>
          </w:tcPr>
          <w:p w14:paraId="62961747" w14:textId="77777777" w:rsidR="00092FC3" w:rsidRPr="00923405" w:rsidRDefault="00092FC3" w:rsidP="0068230C">
            <w:pPr>
              <w:spacing w:before="100" w:beforeAutospacing="1" w:after="100" w:afterAutospacing="1"/>
              <w:contextualSpacing/>
              <w:rPr>
                <w:rFonts w:ascii="Verdana" w:hAnsi="Verdana"/>
                <w:sz w:val="20"/>
                <w:szCs w:val="20"/>
              </w:rPr>
            </w:pPr>
            <w:r w:rsidRPr="00923405">
              <w:rPr>
                <w:rFonts w:ascii="Verdana" w:hAnsi="Verdana"/>
                <w:sz w:val="20"/>
                <w:szCs w:val="20"/>
              </w:rPr>
              <w:t>Implementación de medidas de recuperación de las dinámicas hídricas naturales de la región de La Mojana en el contexto actual de cambio climático y reducción de riesgo Bolívar, Sucre, Córdoba, Antioquia</w:t>
            </w:r>
          </w:p>
        </w:tc>
        <w:tc>
          <w:tcPr>
            <w:tcW w:w="4556" w:type="dxa"/>
          </w:tcPr>
          <w:p w14:paraId="3307EB84" w14:textId="77777777" w:rsidR="00092FC3" w:rsidRPr="00011701" w:rsidRDefault="00092FC3" w:rsidP="00092FC3">
            <w:pPr>
              <w:pStyle w:val="Prrafodelista"/>
              <w:numPr>
                <w:ilvl w:val="0"/>
                <w:numId w:val="20"/>
              </w:numPr>
              <w:ind w:left="295"/>
              <w:jc w:val="both"/>
              <w:rPr>
                <w:rFonts w:ascii="Verdana" w:hAnsi="Verdana"/>
                <w:b/>
                <w:bCs/>
                <w:sz w:val="20"/>
                <w:szCs w:val="20"/>
                <w:lang w:val="es-ES"/>
              </w:rPr>
            </w:pPr>
            <w:r w:rsidRPr="00011701">
              <w:rPr>
                <w:rFonts w:ascii="Verdana" w:hAnsi="Verdana"/>
                <w:b/>
                <w:bCs/>
                <w:sz w:val="20"/>
                <w:szCs w:val="20"/>
                <w:lang w:val="es-ES"/>
              </w:rPr>
              <w:t>Plataforma de integración de información y modelación</w:t>
            </w:r>
          </w:p>
          <w:p w14:paraId="51E2EFEF" w14:textId="77777777" w:rsidR="00092FC3" w:rsidRPr="00923405" w:rsidRDefault="00092FC3" w:rsidP="0068230C">
            <w:pPr>
              <w:jc w:val="both"/>
              <w:rPr>
                <w:rFonts w:ascii="Verdana" w:hAnsi="Verdana"/>
                <w:sz w:val="20"/>
                <w:szCs w:val="20"/>
                <w:lang w:val="es-ES"/>
              </w:rPr>
            </w:pPr>
            <w:r w:rsidRPr="00923405">
              <w:rPr>
                <w:rFonts w:ascii="Verdana" w:hAnsi="Verdana"/>
                <w:b/>
                <w:bCs/>
                <w:sz w:val="20"/>
                <w:szCs w:val="20"/>
                <w:lang w:val="es-ES"/>
              </w:rPr>
              <w:t>Se contrató la plataforma de Software de integración de información y modelación técnica</w:t>
            </w:r>
            <w:r w:rsidRPr="00923405">
              <w:rPr>
                <w:rFonts w:ascii="Verdana" w:hAnsi="Verdana"/>
                <w:sz w:val="20"/>
                <w:szCs w:val="20"/>
                <w:lang w:val="es-ES"/>
              </w:rPr>
              <w:t xml:space="preserve"> para la región de La Mojana, avance 66%.</w:t>
            </w:r>
          </w:p>
          <w:p w14:paraId="0A1B7A85" w14:textId="77777777" w:rsidR="00092FC3" w:rsidRPr="00923405" w:rsidRDefault="00092FC3" w:rsidP="0068230C">
            <w:pPr>
              <w:jc w:val="both"/>
              <w:rPr>
                <w:rFonts w:ascii="Verdana" w:hAnsi="Verdana"/>
                <w:sz w:val="20"/>
                <w:szCs w:val="20"/>
                <w:lang w:val="es-ES"/>
              </w:rPr>
            </w:pPr>
            <w:r w:rsidRPr="00923405">
              <w:rPr>
                <w:rFonts w:ascii="Verdana" w:hAnsi="Verdana"/>
                <w:sz w:val="20"/>
                <w:szCs w:val="20"/>
                <w:lang w:val="es-ES"/>
              </w:rPr>
              <w:t>Esta plataforma permitirá la gestión integral de la región de la Mojana, basada en el monitoreo, seguimiento, análisis de información y analítica de datos soportada en el conocimiento disponible y bajo la cual se permite acelerar el entendimiento de las dinámicas multidimensionales de la ecorregión, de manera que en un mismo instrumento se puedan evaluar y analizar las diferentes variables que inciden en el territorio, así como los estudios e intervenciones realizados por los diferentes actores nacionales y territoriales y se convierta en soporte para la de toma de decisiones informadas sobre las necesidades del territorio.</w:t>
            </w:r>
          </w:p>
          <w:p w14:paraId="5B37F9DC" w14:textId="77777777" w:rsidR="00092FC3" w:rsidRPr="00923405" w:rsidRDefault="00092FC3" w:rsidP="0068230C">
            <w:pPr>
              <w:jc w:val="both"/>
              <w:rPr>
                <w:rFonts w:ascii="Verdana" w:hAnsi="Verdana"/>
                <w:sz w:val="20"/>
                <w:szCs w:val="20"/>
                <w:lang w:val="es-ES"/>
              </w:rPr>
            </w:pPr>
            <w:r w:rsidRPr="00923405">
              <w:rPr>
                <w:rFonts w:ascii="Verdana" w:hAnsi="Verdana"/>
                <w:sz w:val="20"/>
                <w:szCs w:val="20"/>
                <w:lang w:val="es-ES"/>
              </w:rPr>
              <w:t xml:space="preserve">A la fecha, a partir de inteligencia artificial y conocimiento experto, se desarrolló un modelo de toma de decisiones que permite el entendimiento del territorio mediante la implementación de unos arquetipos que representan las interacciones recurrentes del territorio y que ante diferentes </w:t>
            </w:r>
            <w:r w:rsidRPr="00923405">
              <w:rPr>
                <w:rFonts w:ascii="Verdana" w:hAnsi="Verdana"/>
                <w:sz w:val="20"/>
                <w:szCs w:val="20"/>
                <w:lang w:val="es-ES"/>
              </w:rPr>
              <w:lastRenderedPageBreak/>
              <w:t>escenarios de intervención describen patrones funcionales del territorio.</w:t>
            </w:r>
          </w:p>
          <w:p w14:paraId="0D7959F2" w14:textId="77777777" w:rsidR="00092FC3" w:rsidRPr="00923405" w:rsidRDefault="00092FC3" w:rsidP="0068230C">
            <w:pPr>
              <w:jc w:val="both"/>
              <w:rPr>
                <w:rFonts w:ascii="Verdana" w:hAnsi="Verdana"/>
                <w:sz w:val="20"/>
                <w:szCs w:val="20"/>
                <w:lang w:val="es-ES"/>
              </w:rPr>
            </w:pPr>
          </w:p>
          <w:p w14:paraId="037C5769" w14:textId="77777777" w:rsidR="00092FC3" w:rsidRPr="00011701" w:rsidRDefault="00092FC3" w:rsidP="00011701">
            <w:pPr>
              <w:jc w:val="both"/>
              <w:rPr>
                <w:rFonts w:ascii="Verdana" w:hAnsi="Verdana"/>
                <w:sz w:val="20"/>
                <w:szCs w:val="20"/>
                <w:lang w:val="es-ES"/>
              </w:rPr>
            </w:pPr>
            <w:r w:rsidRPr="00011701">
              <w:rPr>
                <w:rFonts w:ascii="Verdana" w:hAnsi="Verdana"/>
                <w:sz w:val="20"/>
                <w:szCs w:val="20"/>
                <w:lang w:val="es-ES"/>
              </w:rPr>
              <w:t>Consultoría para la Actualización y/o complementación de la Factibilidad y Elaboración del Diseño de Detalle para la recuperación de las dinámicas hídricas naturales de la región de La Mojana en el contexto actual de cambio climático y reducción del riesgo</w:t>
            </w:r>
          </w:p>
          <w:p w14:paraId="5431F6FD" w14:textId="77777777" w:rsidR="00092FC3" w:rsidRPr="00923405" w:rsidRDefault="00092FC3" w:rsidP="0068230C">
            <w:pPr>
              <w:jc w:val="both"/>
              <w:rPr>
                <w:rFonts w:ascii="Verdana" w:hAnsi="Verdana"/>
                <w:sz w:val="20"/>
                <w:szCs w:val="20"/>
                <w:lang w:val="es-ES"/>
              </w:rPr>
            </w:pPr>
            <w:r w:rsidRPr="00923405">
              <w:rPr>
                <w:rFonts w:ascii="Verdana" w:hAnsi="Verdana"/>
                <w:sz w:val="20"/>
                <w:szCs w:val="20"/>
                <w:lang w:val="es-ES"/>
              </w:rPr>
              <w:t>Actualmente se realiza el proceso precontractual para la contratación de la CONSULTORÍA mediante Concurso de Méritos Abierto, en cumplimiento de la Ley 80 de 1993</w:t>
            </w:r>
          </w:p>
          <w:p w14:paraId="1BDD2952" w14:textId="77777777" w:rsidR="00092FC3" w:rsidRPr="00923405" w:rsidRDefault="00092FC3" w:rsidP="0068230C">
            <w:pPr>
              <w:jc w:val="both"/>
              <w:rPr>
                <w:rFonts w:ascii="Verdana" w:hAnsi="Verdana"/>
                <w:sz w:val="20"/>
                <w:szCs w:val="20"/>
                <w:lang w:val="es-ES"/>
              </w:rPr>
            </w:pPr>
            <w:r w:rsidRPr="00923405">
              <w:rPr>
                <w:rFonts w:ascii="Verdana" w:hAnsi="Verdana"/>
                <w:sz w:val="20"/>
                <w:szCs w:val="20"/>
                <w:lang w:val="es-ES"/>
              </w:rPr>
              <w:t>De manera paralela se realiza el proceso precontractual para la contratación de la INTERVENTORÍA correspondiente, mediante concurso de méritos abierto, en cumplimiento de la Ley 80 de 1993</w:t>
            </w:r>
          </w:p>
          <w:p w14:paraId="0E86E75D" w14:textId="77777777" w:rsidR="00092FC3" w:rsidRPr="00923405" w:rsidRDefault="00092FC3" w:rsidP="0068230C">
            <w:pPr>
              <w:jc w:val="both"/>
              <w:rPr>
                <w:rFonts w:ascii="Verdana" w:hAnsi="Verdana"/>
                <w:sz w:val="20"/>
                <w:szCs w:val="20"/>
                <w:lang w:val="es-ES"/>
              </w:rPr>
            </w:pPr>
            <w:r w:rsidRPr="00923405">
              <w:rPr>
                <w:rFonts w:ascii="Verdana" w:hAnsi="Verdana"/>
                <w:sz w:val="20"/>
                <w:szCs w:val="20"/>
                <w:lang w:val="es-ES"/>
              </w:rPr>
              <w:t xml:space="preserve">Posterior a esta actualización y/o complementación de Factibilidad, se llevarán a cabo los </w:t>
            </w:r>
            <w:r w:rsidRPr="00923405">
              <w:rPr>
                <w:rFonts w:ascii="Verdana" w:hAnsi="Verdana"/>
                <w:b/>
                <w:bCs/>
                <w:sz w:val="20"/>
                <w:szCs w:val="20"/>
                <w:lang w:val="es-ES"/>
              </w:rPr>
              <w:t>Diseños de Detalle</w:t>
            </w:r>
            <w:r w:rsidRPr="00923405">
              <w:rPr>
                <w:rFonts w:ascii="Verdana" w:hAnsi="Verdana"/>
                <w:sz w:val="20"/>
                <w:szCs w:val="20"/>
                <w:lang w:val="es-ES"/>
              </w:rPr>
              <w:t xml:space="preserve"> de las intervenciones definidas para su posterior ejecución.</w:t>
            </w:r>
          </w:p>
          <w:p w14:paraId="68669394" w14:textId="77777777" w:rsidR="00092FC3" w:rsidRPr="00923405" w:rsidRDefault="00092FC3" w:rsidP="0068230C">
            <w:pPr>
              <w:jc w:val="both"/>
              <w:rPr>
                <w:rFonts w:ascii="Verdana" w:hAnsi="Verdana"/>
                <w:sz w:val="20"/>
                <w:szCs w:val="20"/>
                <w:lang w:val="es-ES"/>
              </w:rPr>
            </w:pPr>
          </w:p>
          <w:p w14:paraId="423888D4" w14:textId="77777777" w:rsidR="00092FC3" w:rsidRPr="00011701" w:rsidRDefault="00092FC3" w:rsidP="00092FC3">
            <w:pPr>
              <w:pStyle w:val="Prrafodelista"/>
              <w:numPr>
                <w:ilvl w:val="0"/>
                <w:numId w:val="20"/>
              </w:numPr>
              <w:ind w:left="295"/>
              <w:jc w:val="both"/>
              <w:rPr>
                <w:rFonts w:ascii="Verdana" w:hAnsi="Verdana"/>
                <w:sz w:val="20"/>
                <w:szCs w:val="20"/>
                <w:lang w:val="es-ES"/>
              </w:rPr>
            </w:pPr>
            <w:r w:rsidRPr="00011701">
              <w:rPr>
                <w:rFonts w:ascii="Verdana" w:hAnsi="Verdana"/>
                <w:sz w:val="20"/>
                <w:szCs w:val="20"/>
                <w:lang w:val="es-ES"/>
              </w:rPr>
              <w:t>Estrategia de Rehabilitación Ecológica Participativa</w:t>
            </w:r>
          </w:p>
          <w:p w14:paraId="0DE614B8" w14:textId="77777777" w:rsidR="00092FC3" w:rsidRPr="00923405" w:rsidRDefault="00092FC3" w:rsidP="00092FC3">
            <w:pPr>
              <w:pStyle w:val="Prrafodelista"/>
              <w:numPr>
                <w:ilvl w:val="0"/>
                <w:numId w:val="19"/>
              </w:numPr>
              <w:ind w:left="284" w:hanging="284"/>
              <w:jc w:val="both"/>
              <w:rPr>
                <w:rFonts w:ascii="Verdana" w:hAnsi="Verdana"/>
                <w:sz w:val="20"/>
                <w:szCs w:val="20"/>
                <w:lang w:val="es-ES"/>
              </w:rPr>
            </w:pPr>
            <w:r w:rsidRPr="00923405">
              <w:rPr>
                <w:rFonts w:ascii="Verdana" w:hAnsi="Verdana"/>
                <w:sz w:val="20"/>
                <w:szCs w:val="20"/>
                <w:lang w:val="es-ES"/>
              </w:rPr>
              <w:t xml:space="preserve">Se construyo la Estrategia de Rehabilitación Ecológica Participativa del Fondo Adaptación desde un enfoque de ordenamiento del territorio alrededor del agua, buscando contribuir a </w:t>
            </w:r>
            <w:r w:rsidRPr="00923405">
              <w:rPr>
                <w:rFonts w:ascii="Verdana" w:hAnsi="Verdana"/>
                <w:b/>
                <w:bCs/>
                <w:sz w:val="20"/>
                <w:szCs w:val="20"/>
                <w:lang w:val="es-ES"/>
              </w:rPr>
              <w:t>atender las alteraciones ecológicas que aumentan los riesgos acumulados, y reducen la capacidad de adaptación y la provisión de los servicios ecosistémicos</w:t>
            </w:r>
            <w:r w:rsidRPr="00923405">
              <w:rPr>
                <w:rFonts w:ascii="Verdana" w:hAnsi="Verdana"/>
                <w:sz w:val="20"/>
                <w:szCs w:val="20"/>
                <w:lang w:val="es-ES"/>
              </w:rPr>
              <w:t>, en ecosistemas estratégicos del territorio nacional.</w:t>
            </w:r>
          </w:p>
          <w:p w14:paraId="4EB5994E" w14:textId="77777777" w:rsidR="00092FC3" w:rsidRPr="00923405" w:rsidRDefault="00092FC3" w:rsidP="0068230C">
            <w:pPr>
              <w:pStyle w:val="Prrafodelista"/>
              <w:ind w:left="284"/>
              <w:jc w:val="both"/>
              <w:rPr>
                <w:rFonts w:ascii="Verdana" w:hAnsi="Verdana"/>
                <w:sz w:val="20"/>
                <w:szCs w:val="20"/>
                <w:lang w:val="es-ES"/>
              </w:rPr>
            </w:pPr>
          </w:p>
          <w:p w14:paraId="27C72399" w14:textId="77777777" w:rsidR="00092FC3" w:rsidRPr="00923405" w:rsidRDefault="00092FC3" w:rsidP="00092FC3">
            <w:pPr>
              <w:pStyle w:val="Prrafodelista"/>
              <w:numPr>
                <w:ilvl w:val="0"/>
                <w:numId w:val="19"/>
              </w:numPr>
              <w:ind w:left="284" w:hanging="284"/>
              <w:jc w:val="both"/>
              <w:rPr>
                <w:rFonts w:ascii="Verdana" w:hAnsi="Verdana"/>
                <w:sz w:val="20"/>
                <w:szCs w:val="20"/>
                <w:lang w:val="es-ES"/>
              </w:rPr>
            </w:pPr>
            <w:r w:rsidRPr="00923405">
              <w:rPr>
                <w:rFonts w:ascii="Verdana" w:hAnsi="Verdana"/>
                <w:sz w:val="20"/>
                <w:szCs w:val="20"/>
                <w:lang w:val="es-ES"/>
              </w:rPr>
              <w:t xml:space="preserve">Se establecieron cinco (5) nodos de intervención que se definieron a partir de los municipios de la declaratoria de emergencia del 2010-2011, las áreas priorizadas en el Plan Nacional de Desarrollo 2022 – 2026, así como la presencia de movimientos y organizaciones sociales de base con trayectoria en los temas ambientales. </w:t>
            </w:r>
            <w:r w:rsidRPr="00923405">
              <w:rPr>
                <w:rFonts w:ascii="Verdana" w:hAnsi="Verdana"/>
                <w:sz w:val="20"/>
                <w:szCs w:val="20"/>
                <w:lang w:val="es-ES"/>
              </w:rPr>
              <w:lastRenderedPageBreak/>
              <w:t xml:space="preserve">Dentro de los cinco nodos planteados se encuentra el Nodo del Complejo Cenagoso de La Mojana, que incluye los once (11) municipios que conforman la región de La Mojana. </w:t>
            </w:r>
          </w:p>
          <w:p w14:paraId="1DAD6B64" w14:textId="77777777" w:rsidR="00092FC3" w:rsidRPr="00923405" w:rsidRDefault="00092FC3" w:rsidP="0068230C">
            <w:pPr>
              <w:pStyle w:val="Prrafodelista"/>
              <w:rPr>
                <w:rFonts w:ascii="Verdana" w:hAnsi="Verdana"/>
                <w:sz w:val="20"/>
                <w:szCs w:val="20"/>
                <w:lang w:val="es-ES"/>
              </w:rPr>
            </w:pPr>
          </w:p>
          <w:p w14:paraId="20FDA7C2" w14:textId="77777777" w:rsidR="00092FC3" w:rsidRPr="00923405" w:rsidRDefault="00092FC3" w:rsidP="00092FC3">
            <w:pPr>
              <w:pStyle w:val="Prrafodelista"/>
              <w:numPr>
                <w:ilvl w:val="0"/>
                <w:numId w:val="19"/>
              </w:numPr>
              <w:ind w:left="284" w:hanging="284"/>
              <w:jc w:val="both"/>
              <w:rPr>
                <w:rFonts w:ascii="Verdana" w:hAnsi="Verdana"/>
                <w:sz w:val="20"/>
                <w:szCs w:val="20"/>
                <w:lang w:val="es-ES"/>
              </w:rPr>
            </w:pPr>
            <w:r w:rsidRPr="00923405">
              <w:rPr>
                <w:rFonts w:ascii="Verdana" w:hAnsi="Verdana"/>
                <w:sz w:val="20"/>
                <w:szCs w:val="20"/>
                <w:lang w:val="es-ES"/>
              </w:rPr>
              <w:t xml:space="preserve">Para este nodo, se avanza en el proceso precontractual para la contratación de las actividades de rehabilitación de 330 hectáreas distribuidas en los 11 municipios, para lo cual se cuenta con recursos por </w:t>
            </w:r>
            <w:r w:rsidRPr="00923405">
              <w:rPr>
                <w:rFonts w:ascii="Verdana" w:hAnsi="Verdana"/>
                <w:b/>
                <w:bCs/>
                <w:sz w:val="20"/>
                <w:szCs w:val="20"/>
                <w:lang w:val="es-ES"/>
              </w:rPr>
              <w:t xml:space="preserve">$10.000 millones. </w:t>
            </w:r>
          </w:p>
          <w:p w14:paraId="3E197B71" w14:textId="77777777" w:rsidR="00092FC3" w:rsidRPr="00923405" w:rsidRDefault="00092FC3" w:rsidP="0068230C">
            <w:pPr>
              <w:pStyle w:val="Prrafodelista"/>
              <w:rPr>
                <w:rFonts w:ascii="Verdana" w:hAnsi="Verdana"/>
                <w:sz w:val="20"/>
                <w:szCs w:val="20"/>
                <w:lang w:val="es-ES"/>
              </w:rPr>
            </w:pPr>
          </w:p>
          <w:p w14:paraId="72A18034" w14:textId="77777777" w:rsidR="00092FC3" w:rsidRPr="00923405" w:rsidRDefault="00092FC3" w:rsidP="00092FC3">
            <w:pPr>
              <w:pStyle w:val="Prrafodelista"/>
              <w:numPr>
                <w:ilvl w:val="0"/>
                <w:numId w:val="19"/>
              </w:numPr>
              <w:ind w:left="284" w:hanging="284"/>
              <w:jc w:val="both"/>
              <w:rPr>
                <w:rFonts w:ascii="Verdana" w:hAnsi="Verdana"/>
                <w:sz w:val="20"/>
                <w:szCs w:val="20"/>
                <w:lang w:val="es-ES"/>
              </w:rPr>
            </w:pPr>
            <w:r w:rsidRPr="00923405">
              <w:rPr>
                <w:rFonts w:ascii="Verdana" w:hAnsi="Verdana"/>
                <w:sz w:val="20"/>
                <w:szCs w:val="20"/>
                <w:lang w:val="es-ES"/>
              </w:rPr>
              <w:t xml:space="preserve">La estrategia contempla la ejecución de las actividades de rehabilitación por las organizaciones sociales de base con trayectoria en actividades de carácter ambiental en su territorio, con las cuales se suscribirán adelantar Convenios de Asociación mediante la </w:t>
            </w:r>
            <w:r w:rsidRPr="00923405">
              <w:rPr>
                <w:rFonts w:ascii="Verdana" w:hAnsi="Verdana"/>
                <w:b/>
                <w:bCs/>
                <w:sz w:val="20"/>
                <w:szCs w:val="20"/>
                <w:lang w:val="es-ES"/>
              </w:rPr>
              <w:t>modalidad de contratación de régimen especial por el Decreto 092 de 2017</w:t>
            </w:r>
            <w:r w:rsidRPr="00923405">
              <w:rPr>
                <w:rFonts w:ascii="Verdana" w:hAnsi="Verdana"/>
                <w:sz w:val="20"/>
                <w:szCs w:val="20"/>
                <w:lang w:val="es-ES"/>
              </w:rPr>
              <w:t xml:space="preserve">. </w:t>
            </w:r>
          </w:p>
          <w:p w14:paraId="38C04925" w14:textId="77777777" w:rsidR="00092FC3" w:rsidRPr="00923405" w:rsidRDefault="00092FC3" w:rsidP="0068230C">
            <w:pPr>
              <w:jc w:val="both"/>
              <w:rPr>
                <w:rFonts w:ascii="Verdana" w:hAnsi="Verdana"/>
                <w:sz w:val="20"/>
                <w:szCs w:val="20"/>
              </w:rPr>
            </w:pPr>
          </w:p>
        </w:tc>
      </w:tr>
      <w:bookmarkEnd w:id="1"/>
    </w:tbl>
    <w:p w14:paraId="6877A03A" w14:textId="77777777" w:rsidR="00092FC3" w:rsidRPr="00923405" w:rsidRDefault="00092FC3">
      <w:pPr>
        <w:widowControl w:val="0"/>
        <w:tabs>
          <w:tab w:val="left" w:pos="1530"/>
        </w:tabs>
        <w:spacing w:before="1" w:after="0" w:line="240" w:lineRule="auto"/>
        <w:ind w:right="1807"/>
        <w:jc w:val="both"/>
        <w:rPr>
          <w:rFonts w:ascii="Verdana" w:eastAsia="Verdana" w:hAnsi="Verdana" w:cs="Verdana"/>
          <w:b/>
          <w:i/>
          <w:sz w:val="22"/>
          <w:szCs w:val="22"/>
        </w:rPr>
      </w:pPr>
    </w:p>
    <w:p w14:paraId="36CBAF3B" w14:textId="72ED08B8" w:rsidR="00923405" w:rsidRPr="00923405" w:rsidRDefault="00E54017" w:rsidP="00011701">
      <w:pPr>
        <w:pStyle w:val="Cierre"/>
        <w:spacing w:before="100" w:beforeAutospacing="1" w:after="100" w:afterAutospacing="1"/>
        <w:ind w:left="720"/>
        <w:contextualSpacing/>
        <w:jc w:val="both"/>
        <w:rPr>
          <w:rFonts w:ascii="Verdana" w:hAnsi="Verdana" w:cs="Arial"/>
          <w:b/>
          <w:sz w:val="22"/>
          <w:szCs w:val="22"/>
        </w:rPr>
      </w:pPr>
      <w:r>
        <w:rPr>
          <w:rFonts w:ascii="Verdana" w:hAnsi="Verdana" w:cs="Arial"/>
          <w:b/>
          <w:sz w:val="22"/>
          <w:szCs w:val="22"/>
        </w:rPr>
        <w:t xml:space="preserve"> </w:t>
      </w:r>
      <w:r w:rsidR="00011701">
        <w:rPr>
          <w:rFonts w:ascii="Verdana" w:hAnsi="Verdana" w:cs="Arial"/>
          <w:b/>
          <w:sz w:val="22"/>
          <w:szCs w:val="22"/>
        </w:rPr>
        <w:t xml:space="preserve">11. </w:t>
      </w:r>
      <w:r w:rsidR="00923405" w:rsidRPr="00923405">
        <w:rPr>
          <w:rFonts w:ascii="Verdana" w:hAnsi="Verdana" w:cs="Arial"/>
          <w:b/>
          <w:sz w:val="22"/>
          <w:szCs w:val="22"/>
        </w:rPr>
        <w:t>Sírvase informar los fondos especiales, patrimonios autónomos, parafiscales y otros que tengan relación con su sector y/o se encuentren bajo su administración. Sírvase detallar los montos aprobados en decreto de liquidación y los montos girados a dichos fondos en el año 2023 y los que a la fecha se han girado en el 2024.</w:t>
      </w:r>
    </w:p>
    <w:p w14:paraId="3F0E3B6E" w14:textId="09C83A28" w:rsidR="00923405" w:rsidRPr="00011701" w:rsidRDefault="00923405" w:rsidP="00923405">
      <w:pPr>
        <w:rPr>
          <w:rFonts w:ascii="Verdana" w:hAnsi="Verdana"/>
          <w:b/>
          <w:sz w:val="22"/>
          <w:szCs w:val="22"/>
        </w:rPr>
      </w:pPr>
      <w:r w:rsidRPr="00011701">
        <w:rPr>
          <w:rFonts w:ascii="Verdana" w:hAnsi="Verdana"/>
          <w:b/>
          <w:sz w:val="22"/>
          <w:szCs w:val="22"/>
        </w:rPr>
        <w:t>Respuesta</w:t>
      </w:r>
      <w:r w:rsidR="00F05820">
        <w:rPr>
          <w:rFonts w:ascii="Verdana" w:hAnsi="Verdana"/>
          <w:b/>
          <w:sz w:val="22"/>
          <w:szCs w:val="22"/>
        </w:rPr>
        <w:t>/</w:t>
      </w:r>
    </w:p>
    <w:p w14:paraId="200AD25D" w14:textId="77777777" w:rsidR="00923405" w:rsidRPr="00011701" w:rsidRDefault="00923405" w:rsidP="00F05820">
      <w:pPr>
        <w:pStyle w:val="Cierre"/>
        <w:spacing w:before="100" w:beforeAutospacing="1" w:after="100" w:afterAutospacing="1"/>
        <w:ind w:left="0"/>
        <w:contextualSpacing/>
        <w:jc w:val="both"/>
        <w:rPr>
          <w:rFonts w:ascii="Verdana" w:hAnsi="Verdana" w:cs="Arial"/>
          <w:bCs/>
          <w:sz w:val="22"/>
          <w:szCs w:val="22"/>
        </w:rPr>
      </w:pPr>
      <w:r w:rsidRPr="00011701">
        <w:rPr>
          <w:rFonts w:ascii="Verdana" w:hAnsi="Verdana" w:cs="Arial"/>
          <w:bCs/>
          <w:sz w:val="22"/>
          <w:szCs w:val="22"/>
        </w:rPr>
        <w:t>De conformidad con lo indicado en el Parágrafo 2°. del artículo 5° del Decreto 4819 de 29 de diciembre de 2010, que indica:</w:t>
      </w:r>
    </w:p>
    <w:p w14:paraId="5A3506BC" w14:textId="77777777" w:rsidR="00923405" w:rsidRPr="00011701" w:rsidRDefault="00923405" w:rsidP="00F05820">
      <w:pPr>
        <w:pStyle w:val="Cierre"/>
        <w:spacing w:before="100" w:beforeAutospacing="1" w:after="100" w:afterAutospacing="1"/>
        <w:ind w:left="0"/>
        <w:contextualSpacing/>
        <w:jc w:val="both"/>
        <w:rPr>
          <w:rFonts w:ascii="Verdana" w:hAnsi="Verdana" w:cs="Arial"/>
          <w:bCs/>
          <w:sz w:val="22"/>
          <w:szCs w:val="22"/>
        </w:rPr>
      </w:pPr>
    </w:p>
    <w:p w14:paraId="3F50490B" w14:textId="77777777" w:rsidR="00923405" w:rsidRPr="00011701" w:rsidRDefault="00923405" w:rsidP="00923405">
      <w:pPr>
        <w:pStyle w:val="Cierre"/>
        <w:spacing w:before="100" w:beforeAutospacing="1" w:after="100" w:afterAutospacing="1"/>
        <w:ind w:left="0"/>
        <w:contextualSpacing/>
        <w:jc w:val="both"/>
        <w:rPr>
          <w:rFonts w:ascii="Verdana" w:hAnsi="Verdana" w:cs="Arial"/>
          <w:bCs/>
          <w:sz w:val="22"/>
          <w:szCs w:val="22"/>
        </w:rPr>
      </w:pPr>
      <w:r w:rsidRPr="00011701">
        <w:rPr>
          <w:rFonts w:ascii="Verdana" w:hAnsi="Verdana" w:cs="Arial"/>
          <w:bCs/>
          <w:sz w:val="22"/>
          <w:szCs w:val="22"/>
        </w:rPr>
        <w:t xml:space="preserve"> “</w:t>
      </w:r>
      <w:r w:rsidRPr="00011701">
        <w:rPr>
          <w:rFonts w:ascii="Verdana" w:hAnsi="Verdana" w:cs="Arial"/>
          <w:bCs/>
          <w:i/>
          <w:sz w:val="22"/>
          <w:szCs w:val="22"/>
        </w:rPr>
        <w:t>Con cargo a los recursos del Fondo de que trata el presente decreto, se atenderán los procesos de contratación y ejecución de los proyectos contenidos en el Plan de Acción a que se refiere el numeral 9 del artículo 3° del presente decreto. Igualmente, se podrán atender los gastos operativos y administrativos para su funcionamiento, lo relacionado con los estudios de diseños y estructuración de proyectos y demás gastos tales como subsidios, garantías e indemnizaciones</w:t>
      </w:r>
      <w:r w:rsidRPr="00011701">
        <w:rPr>
          <w:rFonts w:ascii="Verdana" w:hAnsi="Verdana" w:cs="Arial"/>
          <w:bCs/>
          <w:sz w:val="22"/>
          <w:szCs w:val="22"/>
        </w:rPr>
        <w:t xml:space="preserve">”.  </w:t>
      </w:r>
    </w:p>
    <w:p w14:paraId="060EF04F" w14:textId="77777777" w:rsidR="00923405" w:rsidRPr="00923405" w:rsidRDefault="00923405" w:rsidP="00923405">
      <w:pPr>
        <w:pStyle w:val="Cierre"/>
        <w:spacing w:before="100" w:beforeAutospacing="1" w:after="100" w:afterAutospacing="1"/>
        <w:ind w:left="0"/>
        <w:contextualSpacing/>
        <w:jc w:val="both"/>
        <w:rPr>
          <w:rFonts w:ascii="Verdana" w:hAnsi="Verdana" w:cs="Arial"/>
          <w:bCs/>
        </w:rPr>
      </w:pPr>
    </w:p>
    <w:p w14:paraId="0625BADA" w14:textId="63A7B87E" w:rsidR="00923405" w:rsidRPr="00011701" w:rsidRDefault="00923405" w:rsidP="00923405">
      <w:pPr>
        <w:pStyle w:val="Cierre"/>
        <w:spacing w:before="100" w:beforeAutospacing="1" w:after="100" w:afterAutospacing="1"/>
        <w:ind w:left="0"/>
        <w:contextualSpacing/>
        <w:jc w:val="both"/>
        <w:rPr>
          <w:rFonts w:ascii="Verdana" w:hAnsi="Verdana" w:cs="Arial"/>
          <w:bCs/>
          <w:sz w:val="22"/>
          <w:szCs w:val="22"/>
        </w:rPr>
      </w:pPr>
      <w:r w:rsidRPr="00011701">
        <w:rPr>
          <w:rFonts w:ascii="Verdana" w:hAnsi="Verdana" w:cs="Arial"/>
          <w:bCs/>
          <w:sz w:val="22"/>
          <w:szCs w:val="22"/>
        </w:rPr>
        <w:t xml:space="preserve">Se constituyó el Patrimonio Autónomo administrado por el Consorcio </w:t>
      </w:r>
      <w:proofErr w:type="spellStart"/>
      <w:r w:rsidRPr="00011701">
        <w:rPr>
          <w:rFonts w:ascii="Verdana" w:hAnsi="Verdana" w:cs="Arial"/>
          <w:bCs/>
          <w:sz w:val="22"/>
          <w:szCs w:val="22"/>
        </w:rPr>
        <w:t>Fadap</w:t>
      </w:r>
      <w:proofErr w:type="spellEnd"/>
      <w:r w:rsidRPr="00011701">
        <w:rPr>
          <w:rFonts w:ascii="Verdana" w:hAnsi="Verdana" w:cs="Arial"/>
          <w:bCs/>
          <w:sz w:val="22"/>
          <w:szCs w:val="22"/>
        </w:rPr>
        <w:t xml:space="preserve"> 2012, a </w:t>
      </w:r>
      <w:r w:rsidR="00011701" w:rsidRPr="00011701">
        <w:rPr>
          <w:rFonts w:ascii="Verdana" w:hAnsi="Verdana" w:cs="Arial"/>
          <w:bCs/>
          <w:sz w:val="22"/>
          <w:szCs w:val="22"/>
        </w:rPr>
        <w:t>continuación,</w:t>
      </w:r>
      <w:r w:rsidRPr="00011701">
        <w:rPr>
          <w:rFonts w:ascii="Verdana" w:hAnsi="Verdana" w:cs="Arial"/>
          <w:bCs/>
          <w:sz w:val="22"/>
          <w:szCs w:val="22"/>
        </w:rPr>
        <w:t xml:space="preserve"> se relacionan las apropiaciones conforme lo indicado en el Decreto de Liquidación y los montos girados.</w:t>
      </w:r>
    </w:p>
    <w:p w14:paraId="707E00DA" w14:textId="77777777" w:rsidR="00923405" w:rsidRPr="00923405" w:rsidRDefault="00923405" w:rsidP="00923405">
      <w:pPr>
        <w:pStyle w:val="Cierre"/>
        <w:spacing w:before="100" w:beforeAutospacing="1" w:after="100" w:afterAutospacing="1"/>
        <w:ind w:left="0"/>
        <w:contextualSpacing/>
        <w:jc w:val="both"/>
        <w:rPr>
          <w:rFonts w:ascii="Verdana" w:hAnsi="Verdana" w:cs="Arial"/>
          <w:bCs/>
        </w:rPr>
      </w:pPr>
    </w:p>
    <w:tbl>
      <w:tblPr>
        <w:tblStyle w:val="Tablaconcuadrcula"/>
        <w:tblW w:w="0" w:type="auto"/>
        <w:jc w:val="center"/>
        <w:tblLook w:val="04A0" w:firstRow="1" w:lastRow="0" w:firstColumn="1" w:lastColumn="0" w:noHBand="0" w:noVBand="1"/>
      </w:tblPr>
      <w:tblGrid>
        <w:gridCol w:w="1672"/>
        <w:gridCol w:w="1637"/>
        <w:gridCol w:w="1242"/>
        <w:gridCol w:w="2164"/>
        <w:gridCol w:w="1975"/>
      </w:tblGrid>
      <w:tr w:rsidR="00923405" w:rsidRPr="00923405" w14:paraId="7BCB1924" w14:textId="77777777" w:rsidTr="00293D90">
        <w:trPr>
          <w:jc w:val="center"/>
        </w:trPr>
        <w:tc>
          <w:tcPr>
            <w:tcW w:w="1672" w:type="dxa"/>
            <w:shd w:val="clear" w:color="auto" w:fill="2B4B71"/>
          </w:tcPr>
          <w:p w14:paraId="2CF3AC39" w14:textId="77777777" w:rsidR="00923405" w:rsidRPr="00011701" w:rsidRDefault="00923405" w:rsidP="0068230C">
            <w:pPr>
              <w:pStyle w:val="Cierre"/>
              <w:spacing w:before="100" w:beforeAutospacing="1" w:after="100" w:afterAutospacing="1"/>
              <w:ind w:left="0"/>
              <w:contextualSpacing/>
              <w:jc w:val="center"/>
              <w:rPr>
                <w:rFonts w:ascii="Verdana" w:hAnsi="Verdana" w:cs="Arial"/>
                <w:b/>
                <w:color w:val="FFFFFF" w:themeColor="background1"/>
                <w:sz w:val="18"/>
                <w:szCs w:val="18"/>
              </w:rPr>
            </w:pPr>
            <w:r w:rsidRPr="00011701">
              <w:rPr>
                <w:rFonts w:ascii="Verdana" w:hAnsi="Verdana" w:cs="Arial"/>
                <w:b/>
                <w:color w:val="FFFFFF" w:themeColor="background1"/>
                <w:sz w:val="18"/>
                <w:szCs w:val="18"/>
              </w:rPr>
              <w:t>DECRETO NRO.</w:t>
            </w:r>
          </w:p>
        </w:tc>
        <w:tc>
          <w:tcPr>
            <w:tcW w:w="1637" w:type="dxa"/>
            <w:shd w:val="clear" w:color="auto" w:fill="2B4B71"/>
          </w:tcPr>
          <w:p w14:paraId="1B22D875" w14:textId="77777777" w:rsidR="00923405" w:rsidRPr="00011701" w:rsidRDefault="00923405" w:rsidP="0068230C">
            <w:pPr>
              <w:pStyle w:val="Cierre"/>
              <w:spacing w:before="100" w:beforeAutospacing="1" w:after="100" w:afterAutospacing="1"/>
              <w:ind w:left="0"/>
              <w:contextualSpacing/>
              <w:jc w:val="center"/>
              <w:rPr>
                <w:rFonts w:ascii="Verdana" w:hAnsi="Verdana" w:cs="Arial"/>
                <w:b/>
                <w:color w:val="FFFFFF" w:themeColor="background1"/>
                <w:sz w:val="18"/>
                <w:szCs w:val="18"/>
              </w:rPr>
            </w:pPr>
            <w:r w:rsidRPr="00011701">
              <w:rPr>
                <w:rFonts w:ascii="Verdana" w:hAnsi="Verdana" w:cs="Arial"/>
                <w:b/>
                <w:color w:val="FFFFFF" w:themeColor="background1"/>
                <w:sz w:val="18"/>
                <w:szCs w:val="18"/>
              </w:rPr>
              <w:t>CUENTA</w:t>
            </w:r>
          </w:p>
        </w:tc>
        <w:tc>
          <w:tcPr>
            <w:tcW w:w="1242" w:type="dxa"/>
            <w:shd w:val="clear" w:color="auto" w:fill="2B4B71"/>
          </w:tcPr>
          <w:p w14:paraId="22D6BA80" w14:textId="77777777" w:rsidR="00923405" w:rsidRPr="00011701" w:rsidRDefault="00923405" w:rsidP="0068230C">
            <w:pPr>
              <w:pStyle w:val="Cierre"/>
              <w:spacing w:before="100" w:beforeAutospacing="1" w:after="100" w:afterAutospacing="1"/>
              <w:ind w:left="0"/>
              <w:contextualSpacing/>
              <w:jc w:val="center"/>
              <w:rPr>
                <w:rFonts w:ascii="Verdana" w:hAnsi="Verdana" w:cs="Arial"/>
                <w:b/>
                <w:color w:val="FFFFFF" w:themeColor="background1"/>
                <w:sz w:val="18"/>
                <w:szCs w:val="18"/>
              </w:rPr>
            </w:pPr>
            <w:r w:rsidRPr="00011701">
              <w:rPr>
                <w:rFonts w:ascii="Verdana" w:hAnsi="Verdana" w:cs="Arial"/>
                <w:b/>
                <w:color w:val="FFFFFF" w:themeColor="background1"/>
                <w:sz w:val="18"/>
                <w:szCs w:val="18"/>
              </w:rPr>
              <w:t>VIGENCIA</w:t>
            </w:r>
          </w:p>
        </w:tc>
        <w:tc>
          <w:tcPr>
            <w:tcW w:w="2164" w:type="dxa"/>
            <w:shd w:val="clear" w:color="auto" w:fill="2B4B71"/>
          </w:tcPr>
          <w:p w14:paraId="22BD8A9B" w14:textId="77777777" w:rsidR="00923405" w:rsidRPr="00011701" w:rsidRDefault="00923405" w:rsidP="0068230C">
            <w:pPr>
              <w:pStyle w:val="Cierre"/>
              <w:spacing w:before="100" w:beforeAutospacing="1" w:after="100" w:afterAutospacing="1"/>
              <w:ind w:left="0"/>
              <w:contextualSpacing/>
              <w:jc w:val="center"/>
              <w:rPr>
                <w:rFonts w:ascii="Verdana" w:hAnsi="Verdana" w:cs="Arial"/>
                <w:b/>
                <w:color w:val="FFFFFF" w:themeColor="background1"/>
                <w:sz w:val="18"/>
                <w:szCs w:val="18"/>
              </w:rPr>
            </w:pPr>
            <w:r w:rsidRPr="00011701">
              <w:rPr>
                <w:rFonts w:ascii="Verdana" w:hAnsi="Verdana" w:cs="Arial"/>
                <w:b/>
                <w:color w:val="FFFFFF" w:themeColor="background1"/>
                <w:sz w:val="18"/>
                <w:szCs w:val="18"/>
              </w:rPr>
              <w:t>VALOR APROPIADO</w:t>
            </w:r>
          </w:p>
        </w:tc>
        <w:tc>
          <w:tcPr>
            <w:tcW w:w="1975" w:type="dxa"/>
            <w:shd w:val="clear" w:color="auto" w:fill="2B4B71"/>
          </w:tcPr>
          <w:p w14:paraId="5C7B286F" w14:textId="77777777" w:rsidR="00923405" w:rsidRPr="00011701" w:rsidRDefault="00923405" w:rsidP="0068230C">
            <w:pPr>
              <w:pStyle w:val="Cierre"/>
              <w:spacing w:before="100" w:beforeAutospacing="1" w:after="100" w:afterAutospacing="1"/>
              <w:ind w:left="0"/>
              <w:contextualSpacing/>
              <w:jc w:val="center"/>
              <w:rPr>
                <w:rFonts w:ascii="Verdana" w:hAnsi="Verdana" w:cs="Arial"/>
                <w:b/>
                <w:color w:val="FFFFFF" w:themeColor="background1"/>
                <w:sz w:val="18"/>
                <w:szCs w:val="18"/>
              </w:rPr>
            </w:pPr>
            <w:r w:rsidRPr="00011701">
              <w:rPr>
                <w:rFonts w:ascii="Verdana" w:hAnsi="Verdana" w:cs="Arial"/>
                <w:b/>
                <w:color w:val="FFFFFF" w:themeColor="background1"/>
                <w:sz w:val="18"/>
                <w:szCs w:val="18"/>
              </w:rPr>
              <w:t>VALOR GIRADO AL PATRIMONIO AUTÓNOMO</w:t>
            </w:r>
          </w:p>
        </w:tc>
      </w:tr>
      <w:tr w:rsidR="00923405" w:rsidRPr="00923405" w14:paraId="605B3E1D" w14:textId="77777777" w:rsidTr="00011701">
        <w:trPr>
          <w:jc w:val="center"/>
        </w:trPr>
        <w:tc>
          <w:tcPr>
            <w:tcW w:w="1672" w:type="dxa"/>
          </w:tcPr>
          <w:p w14:paraId="39906CB8" w14:textId="77777777" w:rsidR="00923405" w:rsidRPr="00923405" w:rsidRDefault="00923405" w:rsidP="0068230C">
            <w:pPr>
              <w:pStyle w:val="Cierre"/>
              <w:spacing w:before="100" w:beforeAutospacing="1" w:after="100" w:afterAutospacing="1"/>
              <w:ind w:left="0"/>
              <w:contextualSpacing/>
              <w:jc w:val="both"/>
              <w:rPr>
                <w:rFonts w:ascii="Verdana" w:hAnsi="Verdana" w:cs="Arial"/>
                <w:sz w:val="18"/>
                <w:szCs w:val="18"/>
              </w:rPr>
            </w:pPr>
            <w:r w:rsidRPr="00923405">
              <w:rPr>
                <w:rFonts w:ascii="Verdana" w:hAnsi="Verdana" w:cs="Arial"/>
                <w:sz w:val="18"/>
                <w:szCs w:val="18"/>
              </w:rPr>
              <w:t>2590 de 2022</w:t>
            </w:r>
          </w:p>
        </w:tc>
        <w:tc>
          <w:tcPr>
            <w:tcW w:w="1637" w:type="dxa"/>
          </w:tcPr>
          <w:p w14:paraId="74A7A562" w14:textId="77777777" w:rsidR="00923405" w:rsidRPr="00923405" w:rsidRDefault="00923405" w:rsidP="0068230C">
            <w:pPr>
              <w:pStyle w:val="Cierre"/>
              <w:spacing w:before="100" w:beforeAutospacing="1" w:after="100" w:afterAutospacing="1"/>
              <w:ind w:left="0"/>
              <w:contextualSpacing/>
              <w:jc w:val="both"/>
              <w:rPr>
                <w:rFonts w:ascii="Verdana" w:hAnsi="Verdana" w:cs="Arial"/>
                <w:sz w:val="18"/>
                <w:szCs w:val="18"/>
              </w:rPr>
            </w:pPr>
            <w:r w:rsidRPr="00923405">
              <w:rPr>
                <w:rFonts w:ascii="Verdana" w:hAnsi="Verdana" w:cs="Arial"/>
                <w:sz w:val="18"/>
                <w:szCs w:val="18"/>
              </w:rPr>
              <w:t>INVERSIÓN</w:t>
            </w:r>
          </w:p>
        </w:tc>
        <w:tc>
          <w:tcPr>
            <w:tcW w:w="1242" w:type="dxa"/>
          </w:tcPr>
          <w:p w14:paraId="5E8098EF" w14:textId="77777777" w:rsidR="00923405" w:rsidRPr="00923405" w:rsidRDefault="00923405" w:rsidP="0068230C">
            <w:pPr>
              <w:pStyle w:val="Cierre"/>
              <w:spacing w:before="100" w:beforeAutospacing="1" w:after="100" w:afterAutospacing="1"/>
              <w:ind w:left="0"/>
              <w:contextualSpacing/>
              <w:jc w:val="center"/>
              <w:rPr>
                <w:rFonts w:ascii="Verdana" w:hAnsi="Verdana" w:cs="Arial"/>
                <w:sz w:val="18"/>
                <w:szCs w:val="18"/>
              </w:rPr>
            </w:pPr>
            <w:r w:rsidRPr="00923405">
              <w:rPr>
                <w:rFonts w:ascii="Verdana" w:hAnsi="Verdana" w:cs="Arial"/>
                <w:sz w:val="18"/>
                <w:szCs w:val="18"/>
              </w:rPr>
              <w:t>2023</w:t>
            </w:r>
          </w:p>
        </w:tc>
        <w:tc>
          <w:tcPr>
            <w:tcW w:w="2164" w:type="dxa"/>
          </w:tcPr>
          <w:p w14:paraId="0677FE3E" w14:textId="77777777" w:rsidR="00923405" w:rsidRPr="00923405" w:rsidRDefault="00923405" w:rsidP="0068230C">
            <w:pPr>
              <w:pStyle w:val="Cierre"/>
              <w:spacing w:before="100" w:beforeAutospacing="1" w:after="100" w:afterAutospacing="1"/>
              <w:ind w:left="0"/>
              <w:contextualSpacing/>
              <w:jc w:val="right"/>
              <w:rPr>
                <w:rFonts w:ascii="Verdana" w:hAnsi="Verdana" w:cs="Arial"/>
                <w:sz w:val="18"/>
                <w:szCs w:val="18"/>
              </w:rPr>
            </w:pPr>
            <w:r w:rsidRPr="00923405">
              <w:rPr>
                <w:rFonts w:ascii="Verdana" w:hAnsi="Verdana" w:cs="Arial"/>
                <w:sz w:val="18"/>
                <w:szCs w:val="18"/>
              </w:rPr>
              <w:t>113.194.332.843</w:t>
            </w:r>
          </w:p>
        </w:tc>
        <w:tc>
          <w:tcPr>
            <w:tcW w:w="1975" w:type="dxa"/>
          </w:tcPr>
          <w:p w14:paraId="446135D6" w14:textId="77777777" w:rsidR="00923405" w:rsidRPr="00923405" w:rsidRDefault="00923405" w:rsidP="0068230C">
            <w:pPr>
              <w:pStyle w:val="Cierre"/>
              <w:spacing w:before="100" w:beforeAutospacing="1" w:after="100" w:afterAutospacing="1"/>
              <w:ind w:left="0"/>
              <w:contextualSpacing/>
              <w:jc w:val="right"/>
              <w:rPr>
                <w:rFonts w:ascii="Verdana" w:hAnsi="Verdana" w:cs="Arial"/>
                <w:sz w:val="18"/>
                <w:szCs w:val="18"/>
              </w:rPr>
            </w:pPr>
            <w:r w:rsidRPr="00923405">
              <w:rPr>
                <w:rFonts w:ascii="Verdana" w:hAnsi="Verdana" w:cs="Arial"/>
                <w:sz w:val="18"/>
                <w:szCs w:val="18"/>
              </w:rPr>
              <w:t>113.194.332.843</w:t>
            </w:r>
          </w:p>
        </w:tc>
      </w:tr>
      <w:tr w:rsidR="00923405" w:rsidRPr="00923405" w14:paraId="0F5416F1" w14:textId="77777777" w:rsidTr="00011701">
        <w:trPr>
          <w:jc w:val="center"/>
        </w:trPr>
        <w:tc>
          <w:tcPr>
            <w:tcW w:w="1672" w:type="dxa"/>
          </w:tcPr>
          <w:p w14:paraId="276AC38A" w14:textId="77777777" w:rsidR="00923405" w:rsidRPr="00923405" w:rsidRDefault="00923405" w:rsidP="0068230C">
            <w:pPr>
              <w:pStyle w:val="Cierre"/>
              <w:spacing w:before="100" w:beforeAutospacing="1" w:after="100" w:afterAutospacing="1"/>
              <w:ind w:left="0"/>
              <w:contextualSpacing/>
              <w:jc w:val="both"/>
              <w:rPr>
                <w:rFonts w:ascii="Verdana" w:hAnsi="Verdana" w:cs="Arial"/>
                <w:sz w:val="18"/>
                <w:szCs w:val="18"/>
              </w:rPr>
            </w:pPr>
            <w:r w:rsidRPr="00923405">
              <w:rPr>
                <w:rFonts w:ascii="Verdana" w:hAnsi="Verdana" w:cs="Arial"/>
                <w:sz w:val="18"/>
                <w:szCs w:val="18"/>
              </w:rPr>
              <w:t>2295 de 2023</w:t>
            </w:r>
          </w:p>
        </w:tc>
        <w:tc>
          <w:tcPr>
            <w:tcW w:w="1637" w:type="dxa"/>
          </w:tcPr>
          <w:p w14:paraId="45DC5947" w14:textId="77777777" w:rsidR="00923405" w:rsidRPr="00923405" w:rsidRDefault="00923405" w:rsidP="0068230C">
            <w:pPr>
              <w:pStyle w:val="Cierre"/>
              <w:spacing w:before="100" w:beforeAutospacing="1" w:after="100" w:afterAutospacing="1"/>
              <w:ind w:left="0"/>
              <w:contextualSpacing/>
              <w:jc w:val="both"/>
              <w:rPr>
                <w:rFonts w:ascii="Verdana" w:hAnsi="Verdana" w:cs="Arial"/>
                <w:sz w:val="18"/>
                <w:szCs w:val="18"/>
              </w:rPr>
            </w:pPr>
            <w:r w:rsidRPr="00923405">
              <w:rPr>
                <w:rFonts w:ascii="Verdana" w:hAnsi="Verdana" w:cs="Arial"/>
                <w:sz w:val="18"/>
                <w:szCs w:val="18"/>
              </w:rPr>
              <w:t>INVERSIÓN</w:t>
            </w:r>
          </w:p>
        </w:tc>
        <w:tc>
          <w:tcPr>
            <w:tcW w:w="1242" w:type="dxa"/>
          </w:tcPr>
          <w:p w14:paraId="3159D1F5" w14:textId="77777777" w:rsidR="00923405" w:rsidRPr="00923405" w:rsidRDefault="00923405" w:rsidP="0068230C">
            <w:pPr>
              <w:pStyle w:val="Cierre"/>
              <w:spacing w:before="100" w:beforeAutospacing="1" w:after="100" w:afterAutospacing="1"/>
              <w:ind w:left="0"/>
              <w:contextualSpacing/>
              <w:jc w:val="center"/>
              <w:rPr>
                <w:rFonts w:ascii="Verdana" w:hAnsi="Verdana" w:cs="Arial"/>
                <w:sz w:val="18"/>
                <w:szCs w:val="18"/>
              </w:rPr>
            </w:pPr>
            <w:r w:rsidRPr="00923405">
              <w:rPr>
                <w:rFonts w:ascii="Verdana" w:hAnsi="Verdana" w:cs="Arial"/>
                <w:sz w:val="18"/>
                <w:szCs w:val="18"/>
              </w:rPr>
              <w:t>2024</w:t>
            </w:r>
          </w:p>
        </w:tc>
        <w:tc>
          <w:tcPr>
            <w:tcW w:w="2164" w:type="dxa"/>
          </w:tcPr>
          <w:p w14:paraId="5DD883B0" w14:textId="77777777" w:rsidR="00923405" w:rsidRPr="00923405" w:rsidRDefault="00923405" w:rsidP="0068230C">
            <w:pPr>
              <w:pStyle w:val="Cierre"/>
              <w:spacing w:before="100" w:beforeAutospacing="1" w:after="100" w:afterAutospacing="1"/>
              <w:ind w:left="0"/>
              <w:contextualSpacing/>
              <w:jc w:val="right"/>
              <w:rPr>
                <w:rFonts w:ascii="Verdana" w:hAnsi="Verdana" w:cs="Arial"/>
                <w:sz w:val="18"/>
                <w:szCs w:val="18"/>
              </w:rPr>
            </w:pPr>
            <w:r w:rsidRPr="00923405">
              <w:rPr>
                <w:rFonts w:ascii="Verdana" w:hAnsi="Verdana" w:cs="Arial"/>
                <w:sz w:val="18"/>
                <w:szCs w:val="18"/>
              </w:rPr>
              <w:t>148.648.236.982</w:t>
            </w:r>
          </w:p>
        </w:tc>
        <w:tc>
          <w:tcPr>
            <w:tcW w:w="1975" w:type="dxa"/>
          </w:tcPr>
          <w:p w14:paraId="5640CF0D" w14:textId="77777777" w:rsidR="00923405" w:rsidRPr="00923405" w:rsidRDefault="00923405" w:rsidP="0068230C">
            <w:pPr>
              <w:pStyle w:val="Cierre"/>
              <w:spacing w:before="100" w:beforeAutospacing="1" w:after="100" w:afterAutospacing="1"/>
              <w:ind w:left="0"/>
              <w:contextualSpacing/>
              <w:jc w:val="right"/>
              <w:rPr>
                <w:rFonts w:ascii="Verdana" w:hAnsi="Verdana" w:cs="Arial"/>
                <w:sz w:val="18"/>
                <w:szCs w:val="18"/>
              </w:rPr>
            </w:pPr>
            <w:r w:rsidRPr="00923405">
              <w:rPr>
                <w:rFonts w:ascii="Verdana" w:hAnsi="Verdana" w:cs="Arial"/>
                <w:sz w:val="18"/>
                <w:szCs w:val="18"/>
              </w:rPr>
              <w:t>3.000.000.000</w:t>
            </w:r>
          </w:p>
        </w:tc>
      </w:tr>
    </w:tbl>
    <w:p w14:paraId="2800E0A3" w14:textId="77777777" w:rsidR="00923405" w:rsidRPr="00923405" w:rsidRDefault="00923405" w:rsidP="00923405">
      <w:pPr>
        <w:pStyle w:val="Cierre"/>
        <w:spacing w:before="100" w:beforeAutospacing="1" w:after="100" w:afterAutospacing="1"/>
        <w:ind w:left="0"/>
        <w:contextualSpacing/>
        <w:jc w:val="both"/>
        <w:rPr>
          <w:rFonts w:ascii="Verdana" w:hAnsi="Verdana" w:cs="Arial"/>
          <w:color w:val="FF0000"/>
          <w:sz w:val="23"/>
          <w:szCs w:val="23"/>
        </w:rPr>
      </w:pPr>
      <w:r w:rsidRPr="00923405">
        <w:rPr>
          <w:rFonts w:ascii="Verdana" w:hAnsi="Verdana" w:cs="Arial"/>
          <w:b/>
          <w:sz w:val="22"/>
          <w:szCs w:val="22"/>
        </w:rPr>
        <w:t xml:space="preserve"> </w:t>
      </w:r>
    </w:p>
    <w:p w14:paraId="44B692D3" w14:textId="7B2F1D17" w:rsidR="00923405" w:rsidRPr="00923405" w:rsidRDefault="00923405" w:rsidP="00011701">
      <w:pPr>
        <w:pStyle w:val="Cierre"/>
        <w:numPr>
          <w:ilvl w:val="0"/>
          <w:numId w:val="24"/>
        </w:numPr>
        <w:spacing w:before="100" w:beforeAutospacing="1" w:after="100" w:afterAutospacing="1"/>
        <w:contextualSpacing/>
        <w:jc w:val="both"/>
        <w:rPr>
          <w:rFonts w:ascii="Verdana" w:hAnsi="Verdana" w:cs="Arial"/>
          <w:b/>
          <w:sz w:val="22"/>
          <w:szCs w:val="22"/>
        </w:rPr>
      </w:pPr>
      <w:r w:rsidRPr="00923405">
        <w:rPr>
          <w:rFonts w:ascii="Verdana" w:hAnsi="Verdana" w:cs="Arial"/>
          <w:b/>
          <w:sz w:val="22"/>
          <w:szCs w:val="22"/>
        </w:rPr>
        <w:t>Sírvase informar los pagos de su sector y cada una de las entidades adscritas correspondientes a compromisos en vigencias futuras en el año 2023, los compromisos y pagos en el año 2024 y los compromisos en el año 2025.</w:t>
      </w:r>
    </w:p>
    <w:p w14:paraId="2B2B78AD" w14:textId="77777777" w:rsidR="00923405" w:rsidRPr="00923405" w:rsidRDefault="00923405" w:rsidP="00011701">
      <w:pPr>
        <w:pStyle w:val="Cierre"/>
        <w:spacing w:before="100" w:beforeAutospacing="1" w:after="100" w:afterAutospacing="1"/>
        <w:ind w:left="0"/>
        <w:contextualSpacing/>
        <w:rPr>
          <w:rFonts w:ascii="Verdana" w:hAnsi="Verdana" w:cs="Arial"/>
          <w:b/>
          <w:sz w:val="22"/>
          <w:szCs w:val="22"/>
        </w:rPr>
      </w:pPr>
    </w:p>
    <w:p w14:paraId="3DC15E63" w14:textId="77777777" w:rsidR="00923405" w:rsidRPr="00923405" w:rsidRDefault="00923405" w:rsidP="00011701">
      <w:pPr>
        <w:pStyle w:val="Cierre"/>
        <w:numPr>
          <w:ilvl w:val="0"/>
          <w:numId w:val="21"/>
        </w:numPr>
        <w:spacing w:before="100" w:beforeAutospacing="1" w:after="100" w:afterAutospacing="1"/>
        <w:contextualSpacing/>
        <w:jc w:val="both"/>
        <w:rPr>
          <w:rFonts w:ascii="Verdana" w:hAnsi="Verdana" w:cs="Arial"/>
          <w:b/>
          <w:sz w:val="22"/>
          <w:szCs w:val="22"/>
        </w:rPr>
      </w:pPr>
      <w:r w:rsidRPr="00923405">
        <w:rPr>
          <w:rFonts w:ascii="Verdana" w:hAnsi="Verdana" w:cs="Arial"/>
          <w:b/>
          <w:sz w:val="22"/>
          <w:szCs w:val="22"/>
        </w:rPr>
        <w:t>Detalle el programa, proyecto o asunto relacionado con dicha vigencia futura</w:t>
      </w:r>
    </w:p>
    <w:p w14:paraId="3E4ED821" w14:textId="77777777" w:rsidR="00923405" w:rsidRPr="00923405" w:rsidRDefault="00923405" w:rsidP="00011701">
      <w:pPr>
        <w:pStyle w:val="Cierre"/>
        <w:spacing w:before="100" w:beforeAutospacing="1" w:after="100" w:afterAutospacing="1"/>
        <w:ind w:left="1080"/>
        <w:contextualSpacing/>
        <w:jc w:val="both"/>
        <w:rPr>
          <w:rFonts w:ascii="Verdana" w:hAnsi="Verdana" w:cs="Arial"/>
          <w:b/>
          <w:sz w:val="22"/>
          <w:szCs w:val="22"/>
        </w:rPr>
      </w:pPr>
    </w:p>
    <w:p w14:paraId="71C62D7F" w14:textId="77777777" w:rsidR="00923405" w:rsidRPr="00923405" w:rsidRDefault="00923405" w:rsidP="00011701">
      <w:pPr>
        <w:pStyle w:val="Cierre"/>
        <w:numPr>
          <w:ilvl w:val="0"/>
          <w:numId w:val="21"/>
        </w:numPr>
        <w:spacing w:before="100" w:beforeAutospacing="1" w:after="100" w:afterAutospacing="1"/>
        <w:contextualSpacing/>
        <w:jc w:val="both"/>
        <w:rPr>
          <w:rFonts w:ascii="Verdana" w:hAnsi="Verdana" w:cs="Arial"/>
          <w:b/>
          <w:sz w:val="22"/>
          <w:szCs w:val="22"/>
        </w:rPr>
      </w:pPr>
      <w:r w:rsidRPr="00923405">
        <w:rPr>
          <w:rFonts w:ascii="Verdana" w:hAnsi="Verdana" w:cs="Arial"/>
          <w:b/>
          <w:sz w:val="22"/>
          <w:szCs w:val="22"/>
        </w:rPr>
        <w:t>Indique el valor total de cada vigencia futura comprometida, cuanto se ha entregado con su respectivo año de pago y compromiso presupuestal de los siguientes años futuros.</w:t>
      </w:r>
    </w:p>
    <w:p w14:paraId="5ACC543A" w14:textId="77777777" w:rsidR="00923405" w:rsidRPr="00923405" w:rsidRDefault="00923405" w:rsidP="00011701">
      <w:pPr>
        <w:pStyle w:val="Cierre"/>
        <w:spacing w:before="100" w:beforeAutospacing="1" w:after="100" w:afterAutospacing="1"/>
        <w:ind w:left="0"/>
        <w:contextualSpacing/>
        <w:jc w:val="both"/>
        <w:rPr>
          <w:rFonts w:ascii="Verdana" w:hAnsi="Verdana" w:cs="Arial"/>
          <w:b/>
          <w:sz w:val="22"/>
          <w:szCs w:val="22"/>
        </w:rPr>
      </w:pPr>
    </w:p>
    <w:p w14:paraId="6BC80EE8" w14:textId="616BBEFC" w:rsidR="00923405" w:rsidRPr="00923405" w:rsidRDefault="00923405" w:rsidP="00923405">
      <w:pPr>
        <w:pStyle w:val="Cierre"/>
        <w:spacing w:before="100" w:beforeAutospacing="1" w:after="100" w:afterAutospacing="1"/>
        <w:ind w:left="0"/>
        <w:contextualSpacing/>
        <w:rPr>
          <w:rFonts w:ascii="Verdana" w:hAnsi="Verdana" w:cs="Arial"/>
          <w:b/>
          <w:sz w:val="22"/>
          <w:szCs w:val="22"/>
        </w:rPr>
      </w:pPr>
      <w:r w:rsidRPr="00923405">
        <w:rPr>
          <w:rFonts w:ascii="Verdana" w:hAnsi="Verdana" w:cs="Arial"/>
          <w:b/>
          <w:sz w:val="22"/>
          <w:szCs w:val="22"/>
        </w:rPr>
        <w:t>Respuesta</w:t>
      </w:r>
      <w:r w:rsidR="00F05820">
        <w:rPr>
          <w:rFonts w:ascii="Verdana" w:hAnsi="Verdana" w:cs="Arial"/>
          <w:b/>
          <w:sz w:val="22"/>
          <w:szCs w:val="22"/>
        </w:rPr>
        <w:t>/</w:t>
      </w:r>
    </w:p>
    <w:p w14:paraId="74F0D250" w14:textId="77777777" w:rsidR="00923405" w:rsidRPr="00923405" w:rsidRDefault="00923405" w:rsidP="00923405">
      <w:pPr>
        <w:pStyle w:val="Cierre"/>
        <w:ind w:left="0"/>
        <w:contextualSpacing/>
        <w:rPr>
          <w:rFonts w:ascii="Verdana" w:hAnsi="Verdana" w:cs="Arial"/>
          <w:b/>
          <w:sz w:val="22"/>
          <w:szCs w:val="22"/>
        </w:rPr>
      </w:pPr>
    </w:p>
    <w:p w14:paraId="55C146F7" w14:textId="3341E2FC" w:rsidR="00923405" w:rsidRPr="00923405" w:rsidRDefault="00923405" w:rsidP="00011701">
      <w:pPr>
        <w:pStyle w:val="Cierre"/>
        <w:ind w:left="0"/>
        <w:contextualSpacing/>
        <w:jc w:val="both"/>
        <w:rPr>
          <w:rFonts w:ascii="Verdana" w:hAnsi="Verdana" w:cs="Arial"/>
          <w:sz w:val="22"/>
          <w:szCs w:val="22"/>
        </w:rPr>
      </w:pPr>
      <w:r w:rsidRPr="00923405">
        <w:rPr>
          <w:rFonts w:ascii="Verdana" w:hAnsi="Verdana" w:cs="Arial"/>
          <w:sz w:val="22"/>
          <w:szCs w:val="22"/>
        </w:rPr>
        <w:t xml:space="preserve">A </w:t>
      </w:r>
      <w:r w:rsidR="00011701" w:rsidRPr="00923405">
        <w:rPr>
          <w:rFonts w:ascii="Verdana" w:hAnsi="Verdana" w:cs="Arial"/>
          <w:sz w:val="22"/>
          <w:szCs w:val="22"/>
        </w:rPr>
        <w:t>continuación,</w:t>
      </w:r>
      <w:r w:rsidRPr="00923405">
        <w:rPr>
          <w:rFonts w:ascii="Verdana" w:hAnsi="Verdana" w:cs="Arial"/>
          <w:sz w:val="22"/>
          <w:szCs w:val="22"/>
        </w:rPr>
        <w:t xml:space="preserve"> se relacionan las vigencias futuras aprobadas en el año 2023, en donde se detalla el programa, rubro, indicado la vigencia futura, compromiso y pagos.</w:t>
      </w:r>
    </w:p>
    <w:p w14:paraId="40E0C5FD" w14:textId="77777777" w:rsidR="00011701" w:rsidRDefault="00011701" w:rsidP="00923405">
      <w:pPr>
        <w:pStyle w:val="Cierre"/>
        <w:ind w:left="0"/>
        <w:contextualSpacing/>
        <w:rPr>
          <w:rFonts w:ascii="Verdana" w:hAnsi="Verdana" w:cs="Arial"/>
          <w:b/>
          <w:sz w:val="22"/>
          <w:szCs w:val="22"/>
        </w:rPr>
      </w:pPr>
    </w:p>
    <w:p w14:paraId="62417DE1" w14:textId="77777777" w:rsidR="00011701" w:rsidRPr="00923405" w:rsidRDefault="00011701" w:rsidP="00923405">
      <w:pPr>
        <w:pStyle w:val="Cierre"/>
        <w:ind w:left="0"/>
        <w:contextualSpacing/>
        <w:rPr>
          <w:rFonts w:ascii="Verdana" w:hAnsi="Verdana" w:cs="Arial"/>
          <w:b/>
          <w:sz w:val="22"/>
          <w:szCs w:val="22"/>
        </w:rPr>
      </w:pPr>
    </w:p>
    <w:tbl>
      <w:tblPr>
        <w:tblW w:w="9214" w:type="dxa"/>
        <w:jc w:val="center"/>
        <w:tblLayout w:type="fixed"/>
        <w:tblCellMar>
          <w:left w:w="70" w:type="dxa"/>
          <w:right w:w="70" w:type="dxa"/>
        </w:tblCellMar>
        <w:tblLook w:val="04A0" w:firstRow="1" w:lastRow="0" w:firstColumn="1" w:lastColumn="0" w:noHBand="0" w:noVBand="1"/>
      </w:tblPr>
      <w:tblGrid>
        <w:gridCol w:w="709"/>
        <w:gridCol w:w="1559"/>
        <w:gridCol w:w="1418"/>
        <w:gridCol w:w="1417"/>
        <w:gridCol w:w="1276"/>
        <w:gridCol w:w="1418"/>
        <w:gridCol w:w="1417"/>
      </w:tblGrid>
      <w:tr w:rsidR="00923405" w:rsidRPr="00923405" w14:paraId="2E9A2095" w14:textId="77777777" w:rsidTr="00962A89">
        <w:trPr>
          <w:trHeight w:val="170"/>
          <w:tblHeader/>
          <w:jc w:val="center"/>
        </w:trPr>
        <w:tc>
          <w:tcPr>
            <w:tcW w:w="709" w:type="dxa"/>
            <w:tcBorders>
              <w:top w:val="nil"/>
              <w:left w:val="nil"/>
              <w:bottom w:val="nil"/>
              <w:right w:val="nil"/>
            </w:tcBorders>
            <w:shd w:val="clear" w:color="auto" w:fill="auto"/>
            <w:noWrap/>
            <w:vAlign w:val="center"/>
            <w:hideMark/>
          </w:tcPr>
          <w:p w14:paraId="22D7ED93" w14:textId="77777777" w:rsidR="00923405" w:rsidRPr="00923405" w:rsidRDefault="00923405" w:rsidP="0068230C">
            <w:pPr>
              <w:spacing w:after="0" w:line="240" w:lineRule="auto"/>
              <w:rPr>
                <w:rFonts w:ascii="Verdana" w:eastAsia="Times New Roman" w:hAnsi="Verdana" w:cs="Times New Roman"/>
                <w:sz w:val="14"/>
                <w:szCs w:val="14"/>
              </w:rPr>
            </w:pPr>
          </w:p>
        </w:tc>
        <w:tc>
          <w:tcPr>
            <w:tcW w:w="1559" w:type="dxa"/>
            <w:tcBorders>
              <w:top w:val="nil"/>
              <w:left w:val="nil"/>
              <w:bottom w:val="nil"/>
              <w:right w:val="nil"/>
            </w:tcBorders>
            <w:shd w:val="clear" w:color="auto" w:fill="auto"/>
            <w:noWrap/>
            <w:vAlign w:val="center"/>
            <w:hideMark/>
          </w:tcPr>
          <w:p w14:paraId="50C1E928" w14:textId="77777777" w:rsidR="00923405" w:rsidRPr="00923405" w:rsidRDefault="00923405" w:rsidP="0068230C">
            <w:pPr>
              <w:spacing w:after="0" w:line="240" w:lineRule="auto"/>
              <w:rPr>
                <w:rFonts w:ascii="Verdana" w:eastAsia="Times New Roman" w:hAnsi="Verdana" w:cs="Times New Roman"/>
                <w:sz w:val="14"/>
                <w:szCs w:val="14"/>
              </w:rPr>
            </w:pPr>
          </w:p>
        </w:tc>
        <w:tc>
          <w:tcPr>
            <w:tcW w:w="4111" w:type="dxa"/>
            <w:gridSpan w:val="3"/>
            <w:tcBorders>
              <w:top w:val="single" w:sz="4" w:space="0" w:color="auto"/>
              <w:left w:val="single" w:sz="4" w:space="0" w:color="auto"/>
              <w:bottom w:val="single" w:sz="4" w:space="0" w:color="auto"/>
              <w:right w:val="single" w:sz="4" w:space="0" w:color="auto"/>
            </w:tcBorders>
            <w:shd w:val="clear" w:color="auto" w:fill="2B4B71"/>
            <w:noWrap/>
            <w:vAlign w:val="center"/>
            <w:hideMark/>
          </w:tcPr>
          <w:p w14:paraId="3A1A8BAF" w14:textId="77777777" w:rsidR="00923405" w:rsidRPr="00011701" w:rsidRDefault="00923405" w:rsidP="0068230C">
            <w:pPr>
              <w:spacing w:after="0" w:line="240" w:lineRule="auto"/>
              <w:jc w:val="center"/>
              <w:rPr>
                <w:rFonts w:ascii="Verdana" w:eastAsia="Times New Roman" w:hAnsi="Verdana"/>
                <w:b/>
                <w:bCs/>
                <w:color w:val="FFFFFF" w:themeColor="background1"/>
                <w:sz w:val="14"/>
                <w:szCs w:val="14"/>
              </w:rPr>
            </w:pPr>
            <w:r w:rsidRPr="00011701">
              <w:rPr>
                <w:rFonts w:ascii="Verdana" w:eastAsia="Times New Roman" w:hAnsi="Verdana"/>
                <w:b/>
                <w:bCs/>
                <w:color w:val="FFFFFF" w:themeColor="background1"/>
                <w:sz w:val="14"/>
                <w:szCs w:val="14"/>
              </w:rPr>
              <w:t>AÑO FUTURO 2024</w:t>
            </w:r>
          </w:p>
        </w:tc>
        <w:tc>
          <w:tcPr>
            <w:tcW w:w="2835" w:type="dxa"/>
            <w:gridSpan w:val="2"/>
            <w:tcBorders>
              <w:top w:val="single" w:sz="4" w:space="0" w:color="auto"/>
              <w:left w:val="nil"/>
              <w:bottom w:val="single" w:sz="4" w:space="0" w:color="auto"/>
              <w:right w:val="single" w:sz="4" w:space="0" w:color="auto"/>
            </w:tcBorders>
            <w:shd w:val="clear" w:color="auto" w:fill="2B4B71"/>
            <w:noWrap/>
            <w:vAlign w:val="center"/>
            <w:hideMark/>
          </w:tcPr>
          <w:p w14:paraId="276D7E7C" w14:textId="77777777" w:rsidR="00923405" w:rsidRPr="00011701" w:rsidRDefault="00923405" w:rsidP="0068230C">
            <w:pPr>
              <w:spacing w:after="0" w:line="240" w:lineRule="auto"/>
              <w:jc w:val="center"/>
              <w:rPr>
                <w:rFonts w:ascii="Verdana" w:eastAsia="Times New Roman" w:hAnsi="Verdana"/>
                <w:b/>
                <w:bCs/>
                <w:color w:val="FFFFFF" w:themeColor="background1"/>
                <w:sz w:val="14"/>
                <w:szCs w:val="14"/>
              </w:rPr>
            </w:pPr>
            <w:r w:rsidRPr="00011701">
              <w:rPr>
                <w:rFonts w:ascii="Verdana" w:eastAsia="Times New Roman" w:hAnsi="Verdana"/>
                <w:b/>
                <w:bCs/>
                <w:color w:val="FFFFFF" w:themeColor="background1"/>
                <w:sz w:val="14"/>
                <w:szCs w:val="14"/>
              </w:rPr>
              <w:t>AÑO FUTURO 2025</w:t>
            </w:r>
          </w:p>
        </w:tc>
      </w:tr>
      <w:tr w:rsidR="00923405" w:rsidRPr="00923405" w14:paraId="7926738B" w14:textId="77777777" w:rsidTr="00962A89">
        <w:trPr>
          <w:trHeight w:val="544"/>
          <w:tblHeader/>
          <w:jc w:val="center"/>
        </w:trPr>
        <w:tc>
          <w:tcPr>
            <w:tcW w:w="709" w:type="dxa"/>
            <w:tcBorders>
              <w:top w:val="single" w:sz="4" w:space="0" w:color="auto"/>
              <w:left w:val="single" w:sz="4" w:space="0" w:color="auto"/>
              <w:bottom w:val="single" w:sz="4" w:space="0" w:color="auto"/>
              <w:right w:val="single" w:sz="4" w:space="0" w:color="auto"/>
            </w:tcBorders>
            <w:shd w:val="clear" w:color="auto" w:fill="2B4B71"/>
            <w:vAlign w:val="center"/>
            <w:hideMark/>
          </w:tcPr>
          <w:p w14:paraId="69E0BD2F" w14:textId="77777777" w:rsidR="00923405" w:rsidRPr="00011701" w:rsidRDefault="00923405" w:rsidP="0068230C">
            <w:pPr>
              <w:spacing w:after="0" w:line="240" w:lineRule="auto"/>
              <w:rPr>
                <w:rFonts w:ascii="Verdana" w:eastAsia="Times New Roman" w:hAnsi="Verdana"/>
                <w:b/>
                <w:bCs/>
                <w:color w:val="FFFFFF" w:themeColor="background1"/>
                <w:sz w:val="14"/>
                <w:szCs w:val="14"/>
              </w:rPr>
            </w:pPr>
            <w:r w:rsidRPr="00011701">
              <w:rPr>
                <w:rFonts w:ascii="Verdana" w:eastAsia="Times New Roman" w:hAnsi="Verdana"/>
                <w:b/>
                <w:bCs/>
                <w:color w:val="FFFFFF" w:themeColor="background1"/>
                <w:sz w:val="14"/>
                <w:szCs w:val="14"/>
              </w:rPr>
              <w:t>Rubro</w:t>
            </w:r>
          </w:p>
        </w:tc>
        <w:tc>
          <w:tcPr>
            <w:tcW w:w="1559" w:type="dxa"/>
            <w:tcBorders>
              <w:top w:val="single" w:sz="4" w:space="0" w:color="auto"/>
              <w:left w:val="nil"/>
              <w:bottom w:val="single" w:sz="4" w:space="0" w:color="auto"/>
              <w:right w:val="single" w:sz="4" w:space="0" w:color="auto"/>
            </w:tcBorders>
            <w:shd w:val="clear" w:color="auto" w:fill="2B4B71"/>
            <w:vAlign w:val="center"/>
            <w:hideMark/>
          </w:tcPr>
          <w:p w14:paraId="6DC691BB" w14:textId="77777777" w:rsidR="00923405" w:rsidRPr="00011701" w:rsidRDefault="00923405" w:rsidP="0068230C">
            <w:pPr>
              <w:spacing w:after="0" w:line="240" w:lineRule="auto"/>
              <w:rPr>
                <w:rFonts w:ascii="Verdana" w:eastAsia="Times New Roman" w:hAnsi="Verdana"/>
                <w:b/>
                <w:bCs/>
                <w:color w:val="FFFFFF" w:themeColor="background1"/>
                <w:sz w:val="14"/>
                <w:szCs w:val="14"/>
              </w:rPr>
            </w:pPr>
            <w:r w:rsidRPr="00011701">
              <w:rPr>
                <w:rFonts w:ascii="Verdana" w:eastAsia="Times New Roman" w:hAnsi="Verdana"/>
                <w:b/>
                <w:bCs/>
                <w:color w:val="FFFFFF" w:themeColor="background1"/>
                <w:sz w:val="14"/>
                <w:szCs w:val="14"/>
              </w:rPr>
              <w:t>Nombre Rubro</w:t>
            </w:r>
          </w:p>
        </w:tc>
        <w:tc>
          <w:tcPr>
            <w:tcW w:w="1418" w:type="dxa"/>
            <w:tcBorders>
              <w:top w:val="nil"/>
              <w:left w:val="nil"/>
              <w:bottom w:val="single" w:sz="4" w:space="0" w:color="auto"/>
              <w:right w:val="single" w:sz="4" w:space="0" w:color="auto"/>
            </w:tcBorders>
            <w:shd w:val="clear" w:color="auto" w:fill="2B4B71"/>
            <w:vAlign w:val="center"/>
            <w:hideMark/>
          </w:tcPr>
          <w:p w14:paraId="75D1B515" w14:textId="77777777" w:rsidR="00923405" w:rsidRPr="00011701" w:rsidRDefault="00923405" w:rsidP="0068230C">
            <w:pPr>
              <w:spacing w:after="0" w:line="240" w:lineRule="auto"/>
              <w:ind w:left="-70" w:right="-160"/>
              <w:jc w:val="center"/>
              <w:rPr>
                <w:rFonts w:ascii="Verdana" w:eastAsia="Times New Roman" w:hAnsi="Verdana"/>
                <w:b/>
                <w:bCs/>
                <w:color w:val="FFFFFF" w:themeColor="background1"/>
                <w:sz w:val="14"/>
                <w:szCs w:val="14"/>
              </w:rPr>
            </w:pPr>
            <w:r w:rsidRPr="00011701">
              <w:rPr>
                <w:rFonts w:ascii="Verdana" w:eastAsia="Times New Roman" w:hAnsi="Verdana"/>
                <w:b/>
                <w:bCs/>
                <w:color w:val="FFFFFF" w:themeColor="background1"/>
                <w:sz w:val="14"/>
                <w:szCs w:val="14"/>
              </w:rPr>
              <w:t>AUTORIZADO</w:t>
            </w:r>
          </w:p>
        </w:tc>
        <w:tc>
          <w:tcPr>
            <w:tcW w:w="1417" w:type="dxa"/>
            <w:tcBorders>
              <w:top w:val="nil"/>
              <w:left w:val="nil"/>
              <w:bottom w:val="single" w:sz="4" w:space="0" w:color="auto"/>
              <w:right w:val="single" w:sz="4" w:space="0" w:color="auto"/>
            </w:tcBorders>
            <w:shd w:val="clear" w:color="auto" w:fill="2B4B71"/>
            <w:vAlign w:val="center"/>
            <w:hideMark/>
          </w:tcPr>
          <w:p w14:paraId="091CD41A" w14:textId="77777777" w:rsidR="00923405" w:rsidRPr="00011701" w:rsidRDefault="00923405" w:rsidP="0068230C">
            <w:pPr>
              <w:spacing w:after="0" w:line="240" w:lineRule="auto"/>
              <w:ind w:left="-70" w:right="-160"/>
              <w:jc w:val="center"/>
              <w:rPr>
                <w:rFonts w:ascii="Verdana" w:eastAsia="Times New Roman" w:hAnsi="Verdana"/>
                <w:b/>
                <w:bCs/>
                <w:color w:val="FFFFFF" w:themeColor="background1"/>
                <w:sz w:val="14"/>
                <w:szCs w:val="14"/>
              </w:rPr>
            </w:pPr>
            <w:r w:rsidRPr="00011701">
              <w:rPr>
                <w:rFonts w:ascii="Verdana" w:eastAsia="Times New Roman" w:hAnsi="Verdana"/>
                <w:b/>
                <w:bCs/>
                <w:color w:val="FFFFFF" w:themeColor="background1"/>
                <w:sz w:val="14"/>
                <w:szCs w:val="14"/>
              </w:rPr>
              <w:t>COMPROMETIDO</w:t>
            </w:r>
          </w:p>
        </w:tc>
        <w:tc>
          <w:tcPr>
            <w:tcW w:w="1276" w:type="dxa"/>
            <w:tcBorders>
              <w:top w:val="nil"/>
              <w:left w:val="nil"/>
              <w:bottom w:val="single" w:sz="4" w:space="0" w:color="auto"/>
              <w:right w:val="single" w:sz="4" w:space="0" w:color="auto"/>
            </w:tcBorders>
            <w:shd w:val="clear" w:color="auto" w:fill="2B4B71"/>
            <w:vAlign w:val="center"/>
            <w:hideMark/>
          </w:tcPr>
          <w:p w14:paraId="3201AB75" w14:textId="77777777" w:rsidR="00923405" w:rsidRPr="00011701" w:rsidRDefault="00923405" w:rsidP="0068230C">
            <w:pPr>
              <w:spacing w:after="0" w:line="240" w:lineRule="auto"/>
              <w:ind w:left="-70" w:right="-160"/>
              <w:jc w:val="center"/>
              <w:rPr>
                <w:rFonts w:ascii="Verdana" w:eastAsia="Times New Roman" w:hAnsi="Verdana"/>
                <w:b/>
                <w:bCs/>
                <w:color w:val="FFFFFF" w:themeColor="background1"/>
                <w:sz w:val="14"/>
                <w:szCs w:val="14"/>
              </w:rPr>
            </w:pPr>
            <w:r w:rsidRPr="00011701">
              <w:rPr>
                <w:rFonts w:ascii="Verdana" w:eastAsia="Times New Roman" w:hAnsi="Verdana"/>
                <w:b/>
                <w:bCs/>
                <w:color w:val="FFFFFF" w:themeColor="background1"/>
                <w:sz w:val="14"/>
                <w:szCs w:val="14"/>
              </w:rPr>
              <w:t xml:space="preserve"> PAGOS </w:t>
            </w:r>
          </w:p>
        </w:tc>
        <w:tc>
          <w:tcPr>
            <w:tcW w:w="1418" w:type="dxa"/>
            <w:tcBorders>
              <w:top w:val="nil"/>
              <w:left w:val="nil"/>
              <w:bottom w:val="single" w:sz="4" w:space="0" w:color="auto"/>
              <w:right w:val="single" w:sz="4" w:space="0" w:color="auto"/>
            </w:tcBorders>
            <w:shd w:val="clear" w:color="auto" w:fill="2B4B71"/>
            <w:vAlign w:val="center"/>
            <w:hideMark/>
          </w:tcPr>
          <w:p w14:paraId="051B8252" w14:textId="77777777" w:rsidR="00923405" w:rsidRPr="00011701" w:rsidRDefault="00923405" w:rsidP="0068230C">
            <w:pPr>
              <w:spacing w:after="0" w:line="240" w:lineRule="auto"/>
              <w:ind w:left="-70" w:right="-160"/>
              <w:jc w:val="center"/>
              <w:rPr>
                <w:rFonts w:ascii="Verdana" w:eastAsia="Times New Roman" w:hAnsi="Verdana"/>
                <w:b/>
                <w:bCs/>
                <w:color w:val="FFFFFF" w:themeColor="background1"/>
                <w:sz w:val="14"/>
                <w:szCs w:val="14"/>
              </w:rPr>
            </w:pPr>
            <w:r w:rsidRPr="00011701">
              <w:rPr>
                <w:rFonts w:ascii="Verdana" w:eastAsia="Times New Roman" w:hAnsi="Verdana"/>
                <w:b/>
                <w:bCs/>
                <w:color w:val="FFFFFF" w:themeColor="background1"/>
                <w:sz w:val="14"/>
                <w:szCs w:val="14"/>
              </w:rPr>
              <w:t>AUTORIZADO</w:t>
            </w:r>
          </w:p>
        </w:tc>
        <w:tc>
          <w:tcPr>
            <w:tcW w:w="1417" w:type="dxa"/>
            <w:tcBorders>
              <w:top w:val="nil"/>
              <w:left w:val="nil"/>
              <w:bottom w:val="single" w:sz="4" w:space="0" w:color="auto"/>
              <w:right w:val="single" w:sz="4" w:space="0" w:color="auto"/>
            </w:tcBorders>
            <w:shd w:val="clear" w:color="auto" w:fill="2B4B71"/>
            <w:vAlign w:val="center"/>
            <w:hideMark/>
          </w:tcPr>
          <w:p w14:paraId="0B633CF6" w14:textId="77777777" w:rsidR="00923405" w:rsidRPr="00011701" w:rsidRDefault="00923405" w:rsidP="0068230C">
            <w:pPr>
              <w:spacing w:after="0" w:line="240" w:lineRule="auto"/>
              <w:ind w:left="-70" w:right="-160"/>
              <w:jc w:val="center"/>
              <w:rPr>
                <w:rFonts w:ascii="Verdana" w:eastAsia="Times New Roman" w:hAnsi="Verdana"/>
                <w:b/>
                <w:bCs/>
                <w:color w:val="FFFFFF" w:themeColor="background1"/>
                <w:sz w:val="14"/>
                <w:szCs w:val="14"/>
              </w:rPr>
            </w:pPr>
            <w:r w:rsidRPr="00011701">
              <w:rPr>
                <w:rFonts w:ascii="Verdana" w:eastAsia="Times New Roman" w:hAnsi="Verdana"/>
                <w:b/>
                <w:bCs/>
                <w:color w:val="FFFFFF" w:themeColor="background1"/>
                <w:sz w:val="14"/>
                <w:szCs w:val="14"/>
              </w:rPr>
              <w:t>COMPROMETIDO</w:t>
            </w:r>
          </w:p>
        </w:tc>
      </w:tr>
      <w:tr w:rsidR="00923405" w:rsidRPr="00923405" w14:paraId="3DA2252A" w14:textId="77777777" w:rsidTr="00962A89">
        <w:trPr>
          <w:trHeight w:val="170"/>
          <w:jc w:val="center"/>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532B94F4" w14:textId="77777777" w:rsidR="00923405" w:rsidRPr="00923405" w:rsidRDefault="00923405" w:rsidP="0068230C">
            <w:pPr>
              <w:spacing w:after="0" w:line="240" w:lineRule="auto"/>
              <w:rPr>
                <w:rFonts w:ascii="Verdana" w:eastAsia="Times New Roman" w:hAnsi="Verdana"/>
                <w:color w:val="000000"/>
                <w:sz w:val="14"/>
                <w:szCs w:val="14"/>
              </w:rPr>
            </w:pPr>
            <w:r w:rsidRPr="00923405">
              <w:rPr>
                <w:rFonts w:ascii="Verdana" w:eastAsia="Times New Roman" w:hAnsi="Verdana"/>
                <w:color w:val="000000"/>
                <w:sz w:val="14"/>
                <w:szCs w:val="14"/>
              </w:rPr>
              <w:t>C-1303-1000-6</w:t>
            </w:r>
          </w:p>
        </w:tc>
        <w:tc>
          <w:tcPr>
            <w:tcW w:w="1559" w:type="dxa"/>
            <w:tcBorders>
              <w:top w:val="nil"/>
              <w:left w:val="nil"/>
              <w:bottom w:val="single" w:sz="4" w:space="0" w:color="auto"/>
              <w:right w:val="single" w:sz="4" w:space="0" w:color="auto"/>
            </w:tcBorders>
            <w:shd w:val="clear" w:color="auto" w:fill="auto"/>
            <w:vAlign w:val="center"/>
            <w:hideMark/>
          </w:tcPr>
          <w:p w14:paraId="49FE3F6A" w14:textId="77777777" w:rsidR="00923405" w:rsidRPr="00923405" w:rsidRDefault="00923405" w:rsidP="0068230C">
            <w:pPr>
              <w:spacing w:after="0" w:line="240" w:lineRule="auto"/>
              <w:rPr>
                <w:rFonts w:ascii="Verdana" w:eastAsia="Times New Roman" w:hAnsi="Verdana"/>
                <w:color w:val="000000"/>
                <w:sz w:val="14"/>
                <w:szCs w:val="14"/>
              </w:rPr>
            </w:pPr>
            <w:r w:rsidRPr="00923405">
              <w:rPr>
                <w:rFonts w:ascii="Verdana" w:eastAsia="Times New Roman" w:hAnsi="Verdana"/>
                <w:color w:val="000000"/>
                <w:sz w:val="14"/>
                <w:szCs w:val="14"/>
              </w:rPr>
              <w:t>IMPLEMENTACIÓN DE MEDIDAS DE RECUPERACIÓN DE LAS DINÁMICAS HÍDRICAS NATURALES DE LA REGIÓN DE LA MOJANA EN EL CONTEXTO ACTUAL DE CAMBIO CLIMÁTICO Y REDUCCIÓN DE RIESGO BOLÍVAR, SUCRE, CÓRDOBA, ANTIOQUIA</w:t>
            </w:r>
          </w:p>
        </w:tc>
        <w:tc>
          <w:tcPr>
            <w:tcW w:w="1418" w:type="dxa"/>
            <w:tcBorders>
              <w:top w:val="nil"/>
              <w:left w:val="nil"/>
              <w:bottom w:val="single" w:sz="4" w:space="0" w:color="auto"/>
              <w:right w:val="single" w:sz="4" w:space="0" w:color="auto"/>
            </w:tcBorders>
            <w:shd w:val="clear" w:color="auto" w:fill="auto"/>
            <w:vAlign w:val="center"/>
            <w:hideMark/>
          </w:tcPr>
          <w:p w14:paraId="39D39921" w14:textId="77777777" w:rsidR="00923405" w:rsidRPr="00923405" w:rsidRDefault="00923405" w:rsidP="0068230C">
            <w:pPr>
              <w:spacing w:after="0" w:line="240" w:lineRule="auto"/>
              <w:jc w:val="right"/>
              <w:rPr>
                <w:rFonts w:ascii="Verdana" w:eastAsia="Times New Roman" w:hAnsi="Verdana"/>
                <w:color w:val="000000"/>
                <w:sz w:val="14"/>
                <w:szCs w:val="14"/>
              </w:rPr>
            </w:pPr>
            <w:r w:rsidRPr="00923405">
              <w:rPr>
                <w:rFonts w:ascii="Verdana" w:eastAsia="Times New Roman" w:hAnsi="Verdana"/>
                <w:color w:val="000000"/>
                <w:sz w:val="14"/>
                <w:szCs w:val="14"/>
              </w:rPr>
              <w:t>148.648.236.982</w:t>
            </w:r>
          </w:p>
        </w:tc>
        <w:tc>
          <w:tcPr>
            <w:tcW w:w="1417" w:type="dxa"/>
            <w:tcBorders>
              <w:top w:val="nil"/>
              <w:left w:val="nil"/>
              <w:bottom w:val="single" w:sz="4" w:space="0" w:color="auto"/>
              <w:right w:val="single" w:sz="4" w:space="0" w:color="auto"/>
            </w:tcBorders>
            <w:shd w:val="clear" w:color="auto" w:fill="auto"/>
            <w:vAlign w:val="center"/>
            <w:hideMark/>
          </w:tcPr>
          <w:p w14:paraId="05A655BE" w14:textId="77777777" w:rsidR="00923405" w:rsidRPr="00923405" w:rsidRDefault="00923405" w:rsidP="0068230C">
            <w:pPr>
              <w:spacing w:after="0" w:line="240" w:lineRule="auto"/>
              <w:jc w:val="right"/>
              <w:rPr>
                <w:rFonts w:ascii="Verdana" w:eastAsia="Times New Roman" w:hAnsi="Verdana"/>
                <w:color w:val="000000"/>
                <w:sz w:val="14"/>
                <w:szCs w:val="14"/>
              </w:rPr>
            </w:pPr>
            <w:r w:rsidRPr="00923405">
              <w:rPr>
                <w:rFonts w:ascii="Verdana" w:eastAsia="Times New Roman" w:hAnsi="Verdana"/>
                <w:color w:val="000000"/>
                <w:sz w:val="14"/>
                <w:szCs w:val="14"/>
              </w:rPr>
              <w:t>148.648.236.982</w:t>
            </w:r>
          </w:p>
        </w:tc>
        <w:tc>
          <w:tcPr>
            <w:tcW w:w="1276" w:type="dxa"/>
            <w:tcBorders>
              <w:top w:val="nil"/>
              <w:left w:val="nil"/>
              <w:bottom w:val="single" w:sz="4" w:space="0" w:color="auto"/>
              <w:right w:val="single" w:sz="4" w:space="0" w:color="auto"/>
            </w:tcBorders>
            <w:shd w:val="clear" w:color="auto" w:fill="auto"/>
            <w:vAlign w:val="center"/>
            <w:hideMark/>
          </w:tcPr>
          <w:p w14:paraId="593409D4" w14:textId="77777777" w:rsidR="00923405" w:rsidRPr="00923405" w:rsidRDefault="00923405" w:rsidP="0068230C">
            <w:pPr>
              <w:spacing w:after="0" w:line="240" w:lineRule="auto"/>
              <w:jc w:val="right"/>
              <w:rPr>
                <w:rFonts w:ascii="Verdana" w:eastAsia="Times New Roman" w:hAnsi="Verdana"/>
                <w:color w:val="000000"/>
                <w:sz w:val="14"/>
                <w:szCs w:val="14"/>
              </w:rPr>
            </w:pPr>
            <w:r w:rsidRPr="00923405">
              <w:rPr>
                <w:rFonts w:ascii="Verdana" w:eastAsia="Times New Roman" w:hAnsi="Verdana"/>
                <w:color w:val="000000"/>
                <w:sz w:val="14"/>
                <w:szCs w:val="14"/>
              </w:rPr>
              <w:t>3.000.000.000</w:t>
            </w:r>
          </w:p>
        </w:tc>
        <w:tc>
          <w:tcPr>
            <w:tcW w:w="1418" w:type="dxa"/>
            <w:tcBorders>
              <w:top w:val="nil"/>
              <w:left w:val="nil"/>
              <w:bottom w:val="single" w:sz="4" w:space="0" w:color="auto"/>
              <w:right w:val="single" w:sz="4" w:space="0" w:color="auto"/>
            </w:tcBorders>
            <w:shd w:val="clear" w:color="auto" w:fill="auto"/>
            <w:vAlign w:val="center"/>
            <w:hideMark/>
          </w:tcPr>
          <w:p w14:paraId="3C69DF82" w14:textId="77777777" w:rsidR="00923405" w:rsidRPr="00923405" w:rsidRDefault="00923405" w:rsidP="0068230C">
            <w:pPr>
              <w:spacing w:after="0" w:line="240" w:lineRule="auto"/>
              <w:jc w:val="right"/>
              <w:rPr>
                <w:rFonts w:ascii="Verdana" w:eastAsia="Times New Roman" w:hAnsi="Verdana"/>
                <w:color w:val="000000"/>
                <w:sz w:val="14"/>
                <w:szCs w:val="14"/>
              </w:rPr>
            </w:pPr>
            <w:r w:rsidRPr="00923405">
              <w:rPr>
                <w:rFonts w:ascii="Verdana" w:eastAsia="Times New Roman" w:hAnsi="Verdana"/>
                <w:color w:val="000000"/>
                <w:sz w:val="14"/>
                <w:szCs w:val="14"/>
              </w:rPr>
              <w:t>568.453.727.468</w:t>
            </w:r>
          </w:p>
        </w:tc>
        <w:tc>
          <w:tcPr>
            <w:tcW w:w="1417" w:type="dxa"/>
            <w:tcBorders>
              <w:top w:val="nil"/>
              <w:left w:val="nil"/>
              <w:bottom w:val="single" w:sz="4" w:space="0" w:color="auto"/>
              <w:right w:val="single" w:sz="4" w:space="0" w:color="auto"/>
            </w:tcBorders>
            <w:shd w:val="clear" w:color="auto" w:fill="auto"/>
            <w:vAlign w:val="center"/>
            <w:hideMark/>
          </w:tcPr>
          <w:p w14:paraId="44B061BB" w14:textId="77777777" w:rsidR="00923405" w:rsidRPr="00923405" w:rsidRDefault="00923405" w:rsidP="0068230C">
            <w:pPr>
              <w:spacing w:after="0" w:line="240" w:lineRule="auto"/>
              <w:jc w:val="right"/>
              <w:rPr>
                <w:rFonts w:ascii="Verdana" w:eastAsia="Times New Roman" w:hAnsi="Verdana"/>
                <w:color w:val="000000"/>
                <w:sz w:val="14"/>
                <w:szCs w:val="14"/>
              </w:rPr>
            </w:pPr>
            <w:r w:rsidRPr="00923405">
              <w:rPr>
                <w:rFonts w:ascii="Verdana" w:eastAsia="Times New Roman" w:hAnsi="Verdana"/>
                <w:color w:val="000000"/>
                <w:sz w:val="14"/>
                <w:szCs w:val="14"/>
              </w:rPr>
              <w:t>568.453.727.468</w:t>
            </w:r>
          </w:p>
        </w:tc>
      </w:tr>
      <w:tr w:rsidR="00923405" w:rsidRPr="00923405" w14:paraId="1CC35641" w14:textId="77777777" w:rsidTr="00962A89">
        <w:trPr>
          <w:trHeight w:val="170"/>
          <w:jc w:val="center"/>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10789B1F" w14:textId="77777777" w:rsidR="00923405" w:rsidRPr="00923405" w:rsidRDefault="00923405" w:rsidP="0068230C">
            <w:pPr>
              <w:spacing w:after="0" w:line="240" w:lineRule="auto"/>
              <w:rPr>
                <w:rFonts w:ascii="Verdana" w:eastAsia="Times New Roman" w:hAnsi="Verdana"/>
                <w:color w:val="000000"/>
                <w:sz w:val="14"/>
                <w:szCs w:val="14"/>
              </w:rPr>
            </w:pPr>
            <w:r w:rsidRPr="00923405">
              <w:rPr>
                <w:rFonts w:ascii="Verdana" w:eastAsia="Times New Roman" w:hAnsi="Verdana"/>
                <w:color w:val="000000"/>
                <w:sz w:val="14"/>
                <w:szCs w:val="14"/>
              </w:rPr>
              <w:t>A-02</w:t>
            </w:r>
          </w:p>
        </w:tc>
        <w:tc>
          <w:tcPr>
            <w:tcW w:w="1559" w:type="dxa"/>
            <w:tcBorders>
              <w:top w:val="nil"/>
              <w:left w:val="nil"/>
              <w:bottom w:val="single" w:sz="4" w:space="0" w:color="auto"/>
              <w:right w:val="single" w:sz="4" w:space="0" w:color="auto"/>
            </w:tcBorders>
            <w:shd w:val="clear" w:color="auto" w:fill="auto"/>
            <w:vAlign w:val="center"/>
            <w:hideMark/>
          </w:tcPr>
          <w:p w14:paraId="7DE3A616" w14:textId="77777777" w:rsidR="00923405" w:rsidRPr="00923405" w:rsidRDefault="00923405" w:rsidP="0068230C">
            <w:pPr>
              <w:spacing w:after="0" w:line="240" w:lineRule="auto"/>
              <w:rPr>
                <w:rFonts w:ascii="Verdana" w:eastAsia="Times New Roman" w:hAnsi="Verdana"/>
                <w:color w:val="000000"/>
                <w:sz w:val="14"/>
                <w:szCs w:val="14"/>
              </w:rPr>
            </w:pPr>
            <w:r w:rsidRPr="00923405">
              <w:rPr>
                <w:rFonts w:ascii="Verdana" w:eastAsia="Times New Roman" w:hAnsi="Verdana"/>
                <w:color w:val="000000"/>
                <w:sz w:val="14"/>
                <w:szCs w:val="14"/>
              </w:rPr>
              <w:t>ADQUISICIÓN DE BIENES Y SERVICIOS</w:t>
            </w:r>
          </w:p>
        </w:tc>
        <w:tc>
          <w:tcPr>
            <w:tcW w:w="1418" w:type="dxa"/>
            <w:tcBorders>
              <w:top w:val="nil"/>
              <w:left w:val="nil"/>
              <w:bottom w:val="single" w:sz="4" w:space="0" w:color="auto"/>
              <w:right w:val="single" w:sz="4" w:space="0" w:color="auto"/>
            </w:tcBorders>
            <w:shd w:val="clear" w:color="auto" w:fill="auto"/>
            <w:vAlign w:val="center"/>
            <w:hideMark/>
          </w:tcPr>
          <w:p w14:paraId="2167922E" w14:textId="77777777" w:rsidR="00923405" w:rsidRPr="00923405" w:rsidRDefault="00923405" w:rsidP="0068230C">
            <w:pPr>
              <w:spacing w:after="0" w:line="240" w:lineRule="auto"/>
              <w:jc w:val="right"/>
              <w:rPr>
                <w:rFonts w:ascii="Verdana" w:eastAsia="Times New Roman" w:hAnsi="Verdana"/>
                <w:color w:val="000000"/>
                <w:sz w:val="14"/>
                <w:szCs w:val="14"/>
              </w:rPr>
            </w:pPr>
            <w:r w:rsidRPr="00923405">
              <w:rPr>
                <w:rFonts w:ascii="Verdana" w:eastAsia="Times New Roman" w:hAnsi="Verdana"/>
                <w:color w:val="000000"/>
                <w:sz w:val="14"/>
                <w:szCs w:val="14"/>
              </w:rPr>
              <w:t>1.520.235.000</w:t>
            </w:r>
          </w:p>
        </w:tc>
        <w:tc>
          <w:tcPr>
            <w:tcW w:w="1417" w:type="dxa"/>
            <w:tcBorders>
              <w:top w:val="nil"/>
              <w:left w:val="nil"/>
              <w:bottom w:val="single" w:sz="4" w:space="0" w:color="auto"/>
              <w:right w:val="single" w:sz="4" w:space="0" w:color="auto"/>
            </w:tcBorders>
            <w:shd w:val="clear" w:color="auto" w:fill="auto"/>
            <w:vAlign w:val="center"/>
            <w:hideMark/>
          </w:tcPr>
          <w:p w14:paraId="1D5FAFAD" w14:textId="77777777" w:rsidR="00923405" w:rsidRPr="00923405" w:rsidRDefault="00923405" w:rsidP="0068230C">
            <w:pPr>
              <w:spacing w:after="0" w:line="240" w:lineRule="auto"/>
              <w:jc w:val="right"/>
              <w:rPr>
                <w:rFonts w:ascii="Verdana" w:eastAsia="Times New Roman" w:hAnsi="Verdana"/>
                <w:color w:val="000000"/>
                <w:sz w:val="14"/>
                <w:szCs w:val="14"/>
              </w:rPr>
            </w:pPr>
            <w:r w:rsidRPr="00923405">
              <w:rPr>
                <w:rFonts w:ascii="Verdana" w:eastAsia="Times New Roman" w:hAnsi="Verdana"/>
                <w:color w:val="000000"/>
                <w:sz w:val="14"/>
                <w:szCs w:val="14"/>
              </w:rPr>
              <w:t>1.520.235.000</w:t>
            </w:r>
          </w:p>
        </w:tc>
        <w:tc>
          <w:tcPr>
            <w:tcW w:w="1276" w:type="dxa"/>
            <w:tcBorders>
              <w:top w:val="nil"/>
              <w:left w:val="nil"/>
              <w:bottom w:val="single" w:sz="4" w:space="0" w:color="auto"/>
              <w:right w:val="single" w:sz="4" w:space="0" w:color="auto"/>
            </w:tcBorders>
            <w:shd w:val="clear" w:color="auto" w:fill="auto"/>
            <w:vAlign w:val="center"/>
            <w:hideMark/>
          </w:tcPr>
          <w:p w14:paraId="7AE345D4" w14:textId="77777777" w:rsidR="00923405" w:rsidRPr="00923405" w:rsidRDefault="00923405" w:rsidP="0068230C">
            <w:pPr>
              <w:spacing w:after="0" w:line="240" w:lineRule="auto"/>
              <w:jc w:val="right"/>
              <w:rPr>
                <w:rFonts w:ascii="Verdana" w:eastAsia="Times New Roman" w:hAnsi="Verdana"/>
                <w:color w:val="000000"/>
                <w:sz w:val="14"/>
                <w:szCs w:val="14"/>
              </w:rPr>
            </w:pPr>
            <w:r w:rsidRPr="00923405">
              <w:rPr>
                <w:rFonts w:ascii="Verdana" w:eastAsia="Times New Roman" w:hAnsi="Verdana"/>
                <w:color w:val="000000"/>
                <w:sz w:val="14"/>
                <w:szCs w:val="14"/>
              </w:rPr>
              <w:t>1.060.782.046</w:t>
            </w:r>
          </w:p>
        </w:tc>
        <w:tc>
          <w:tcPr>
            <w:tcW w:w="1418" w:type="dxa"/>
            <w:tcBorders>
              <w:top w:val="nil"/>
              <w:left w:val="nil"/>
              <w:bottom w:val="single" w:sz="4" w:space="0" w:color="auto"/>
              <w:right w:val="single" w:sz="4" w:space="0" w:color="auto"/>
            </w:tcBorders>
            <w:shd w:val="clear" w:color="auto" w:fill="auto"/>
            <w:vAlign w:val="center"/>
            <w:hideMark/>
          </w:tcPr>
          <w:p w14:paraId="7BFAC8E1" w14:textId="77777777" w:rsidR="00923405" w:rsidRPr="00923405" w:rsidRDefault="00923405" w:rsidP="0068230C">
            <w:pPr>
              <w:spacing w:after="0" w:line="240" w:lineRule="auto"/>
              <w:jc w:val="right"/>
              <w:rPr>
                <w:rFonts w:ascii="Verdana" w:eastAsia="Times New Roman" w:hAnsi="Verdana"/>
                <w:color w:val="000000"/>
                <w:sz w:val="14"/>
                <w:szCs w:val="14"/>
              </w:rPr>
            </w:pPr>
            <w:r w:rsidRPr="00923405">
              <w:rPr>
                <w:rFonts w:ascii="Verdana" w:eastAsia="Times New Roman" w:hAnsi="Verdana"/>
                <w:color w:val="000000"/>
                <w:sz w:val="14"/>
                <w:szCs w:val="14"/>
              </w:rPr>
              <w:t> </w:t>
            </w:r>
          </w:p>
        </w:tc>
        <w:tc>
          <w:tcPr>
            <w:tcW w:w="1417" w:type="dxa"/>
            <w:tcBorders>
              <w:top w:val="nil"/>
              <w:left w:val="nil"/>
              <w:bottom w:val="single" w:sz="4" w:space="0" w:color="auto"/>
              <w:right w:val="single" w:sz="4" w:space="0" w:color="auto"/>
            </w:tcBorders>
            <w:shd w:val="clear" w:color="auto" w:fill="auto"/>
            <w:vAlign w:val="center"/>
            <w:hideMark/>
          </w:tcPr>
          <w:p w14:paraId="5EF94B1C" w14:textId="77777777" w:rsidR="00923405" w:rsidRPr="00923405" w:rsidRDefault="00923405" w:rsidP="0068230C">
            <w:pPr>
              <w:spacing w:after="0" w:line="240" w:lineRule="auto"/>
              <w:jc w:val="right"/>
              <w:rPr>
                <w:rFonts w:ascii="Verdana" w:eastAsia="Times New Roman" w:hAnsi="Verdana"/>
                <w:color w:val="000000"/>
                <w:sz w:val="14"/>
                <w:szCs w:val="14"/>
              </w:rPr>
            </w:pPr>
            <w:r w:rsidRPr="00923405">
              <w:rPr>
                <w:rFonts w:ascii="Verdana" w:eastAsia="Times New Roman" w:hAnsi="Verdana"/>
                <w:color w:val="000000"/>
                <w:sz w:val="14"/>
                <w:szCs w:val="14"/>
              </w:rPr>
              <w:t> </w:t>
            </w:r>
          </w:p>
        </w:tc>
      </w:tr>
      <w:tr w:rsidR="00923405" w:rsidRPr="00923405" w14:paraId="03A11EFD" w14:textId="77777777" w:rsidTr="00962A89">
        <w:trPr>
          <w:trHeight w:val="170"/>
          <w:jc w:val="center"/>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0CD0B05E" w14:textId="77777777" w:rsidR="00923405" w:rsidRPr="00923405" w:rsidRDefault="00923405" w:rsidP="0068230C">
            <w:pPr>
              <w:spacing w:after="0" w:line="240" w:lineRule="auto"/>
              <w:rPr>
                <w:rFonts w:ascii="Verdana" w:eastAsia="Times New Roman" w:hAnsi="Verdana"/>
                <w:color w:val="000000"/>
                <w:sz w:val="14"/>
                <w:szCs w:val="14"/>
              </w:rPr>
            </w:pPr>
            <w:r w:rsidRPr="00923405">
              <w:rPr>
                <w:rFonts w:ascii="Verdana" w:eastAsia="Times New Roman" w:hAnsi="Verdana"/>
                <w:color w:val="000000"/>
                <w:sz w:val="14"/>
                <w:szCs w:val="14"/>
              </w:rPr>
              <w:t>A-02</w:t>
            </w:r>
          </w:p>
        </w:tc>
        <w:tc>
          <w:tcPr>
            <w:tcW w:w="1559" w:type="dxa"/>
            <w:tcBorders>
              <w:top w:val="nil"/>
              <w:left w:val="nil"/>
              <w:bottom w:val="single" w:sz="4" w:space="0" w:color="auto"/>
              <w:right w:val="single" w:sz="4" w:space="0" w:color="auto"/>
            </w:tcBorders>
            <w:shd w:val="clear" w:color="auto" w:fill="auto"/>
            <w:vAlign w:val="center"/>
            <w:hideMark/>
          </w:tcPr>
          <w:p w14:paraId="3D0AB4D4" w14:textId="77777777" w:rsidR="00923405" w:rsidRPr="00923405" w:rsidRDefault="00923405" w:rsidP="0068230C">
            <w:pPr>
              <w:spacing w:after="0" w:line="240" w:lineRule="auto"/>
              <w:rPr>
                <w:rFonts w:ascii="Verdana" w:eastAsia="Times New Roman" w:hAnsi="Verdana"/>
                <w:color w:val="000000"/>
                <w:sz w:val="14"/>
                <w:szCs w:val="14"/>
              </w:rPr>
            </w:pPr>
            <w:r w:rsidRPr="00923405">
              <w:rPr>
                <w:rFonts w:ascii="Verdana" w:eastAsia="Times New Roman" w:hAnsi="Verdana"/>
                <w:color w:val="000000"/>
                <w:sz w:val="14"/>
                <w:szCs w:val="14"/>
              </w:rPr>
              <w:t>ADQUISICIÓN DE BIENES Y SERVICIOS</w:t>
            </w:r>
          </w:p>
        </w:tc>
        <w:tc>
          <w:tcPr>
            <w:tcW w:w="1418" w:type="dxa"/>
            <w:tcBorders>
              <w:top w:val="nil"/>
              <w:left w:val="nil"/>
              <w:bottom w:val="single" w:sz="4" w:space="0" w:color="auto"/>
              <w:right w:val="single" w:sz="4" w:space="0" w:color="auto"/>
            </w:tcBorders>
            <w:shd w:val="clear" w:color="auto" w:fill="auto"/>
            <w:vAlign w:val="center"/>
            <w:hideMark/>
          </w:tcPr>
          <w:p w14:paraId="5EC80912" w14:textId="77777777" w:rsidR="00923405" w:rsidRPr="00923405" w:rsidRDefault="00923405" w:rsidP="0068230C">
            <w:pPr>
              <w:spacing w:after="0" w:line="240" w:lineRule="auto"/>
              <w:jc w:val="right"/>
              <w:rPr>
                <w:rFonts w:ascii="Verdana" w:eastAsia="Times New Roman" w:hAnsi="Verdana"/>
                <w:color w:val="000000"/>
                <w:sz w:val="14"/>
                <w:szCs w:val="14"/>
              </w:rPr>
            </w:pPr>
            <w:r w:rsidRPr="00923405">
              <w:rPr>
                <w:rFonts w:ascii="Verdana" w:eastAsia="Times New Roman" w:hAnsi="Verdana"/>
                <w:color w:val="000000"/>
                <w:sz w:val="14"/>
                <w:szCs w:val="14"/>
              </w:rPr>
              <w:t>7.500.000</w:t>
            </w:r>
          </w:p>
        </w:tc>
        <w:tc>
          <w:tcPr>
            <w:tcW w:w="1417" w:type="dxa"/>
            <w:tcBorders>
              <w:top w:val="nil"/>
              <w:left w:val="nil"/>
              <w:bottom w:val="single" w:sz="4" w:space="0" w:color="auto"/>
              <w:right w:val="single" w:sz="4" w:space="0" w:color="auto"/>
            </w:tcBorders>
            <w:shd w:val="clear" w:color="auto" w:fill="auto"/>
            <w:vAlign w:val="center"/>
            <w:hideMark/>
          </w:tcPr>
          <w:p w14:paraId="3B10F27F" w14:textId="77777777" w:rsidR="00923405" w:rsidRPr="00923405" w:rsidRDefault="00923405" w:rsidP="0068230C">
            <w:pPr>
              <w:spacing w:after="0" w:line="240" w:lineRule="auto"/>
              <w:jc w:val="right"/>
              <w:rPr>
                <w:rFonts w:ascii="Verdana" w:eastAsia="Times New Roman" w:hAnsi="Verdana"/>
                <w:color w:val="000000"/>
                <w:sz w:val="14"/>
                <w:szCs w:val="14"/>
              </w:rPr>
            </w:pPr>
            <w:r w:rsidRPr="00923405">
              <w:rPr>
                <w:rFonts w:ascii="Verdana" w:eastAsia="Times New Roman" w:hAnsi="Verdana"/>
                <w:color w:val="000000"/>
                <w:sz w:val="14"/>
                <w:szCs w:val="14"/>
              </w:rPr>
              <w:t>7.500.000</w:t>
            </w:r>
          </w:p>
        </w:tc>
        <w:tc>
          <w:tcPr>
            <w:tcW w:w="1276" w:type="dxa"/>
            <w:tcBorders>
              <w:top w:val="nil"/>
              <w:left w:val="nil"/>
              <w:bottom w:val="single" w:sz="4" w:space="0" w:color="auto"/>
              <w:right w:val="single" w:sz="4" w:space="0" w:color="auto"/>
            </w:tcBorders>
            <w:shd w:val="clear" w:color="auto" w:fill="auto"/>
            <w:vAlign w:val="center"/>
            <w:hideMark/>
          </w:tcPr>
          <w:p w14:paraId="1433CEC0" w14:textId="77777777" w:rsidR="00923405" w:rsidRPr="00923405" w:rsidRDefault="00923405" w:rsidP="0068230C">
            <w:pPr>
              <w:spacing w:after="0" w:line="240" w:lineRule="auto"/>
              <w:jc w:val="right"/>
              <w:rPr>
                <w:rFonts w:ascii="Verdana" w:eastAsia="Times New Roman" w:hAnsi="Verdana"/>
                <w:color w:val="000000"/>
                <w:sz w:val="14"/>
                <w:szCs w:val="14"/>
              </w:rPr>
            </w:pPr>
            <w:r w:rsidRPr="00923405">
              <w:rPr>
                <w:rFonts w:ascii="Verdana" w:eastAsia="Times New Roman" w:hAnsi="Verdana"/>
                <w:color w:val="000000"/>
                <w:sz w:val="14"/>
                <w:szCs w:val="14"/>
              </w:rPr>
              <w:t>7.500.000</w:t>
            </w:r>
          </w:p>
        </w:tc>
        <w:tc>
          <w:tcPr>
            <w:tcW w:w="1418" w:type="dxa"/>
            <w:tcBorders>
              <w:top w:val="nil"/>
              <w:left w:val="nil"/>
              <w:bottom w:val="single" w:sz="4" w:space="0" w:color="auto"/>
              <w:right w:val="single" w:sz="4" w:space="0" w:color="auto"/>
            </w:tcBorders>
            <w:shd w:val="clear" w:color="auto" w:fill="auto"/>
            <w:vAlign w:val="center"/>
            <w:hideMark/>
          </w:tcPr>
          <w:p w14:paraId="228F62B6" w14:textId="77777777" w:rsidR="00923405" w:rsidRPr="00923405" w:rsidRDefault="00923405" w:rsidP="0068230C">
            <w:pPr>
              <w:spacing w:after="0" w:line="240" w:lineRule="auto"/>
              <w:jc w:val="right"/>
              <w:rPr>
                <w:rFonts w:ascii="Verdana" w:eastAsia="Times New Roman" w:hAnsi="Verdana"/>
                <w:color w:val="000000"/>
                <w:sz w:val="14"/>
                <w:szCs w:val="14"/>
              </w:rPr>
            </w:pPr>
            <w:r w:rsidRPr="00923405">
              <w:rPr>
                <w:rFonts w:ascii="Verdana" w:eastAsia="Times New Roman" w:hAnsi="Verdana"/>
                <w:color w:val="000000"/>
                <w:sz w:val="14"/>
                <w:szCs w:val="14"/>
              </w:rPr>
              <w:t> </w:t>
            </w:r>
          </w:p>
        </w:tc>
        <w:tc>
          <w:tcPr>
            <w:tcW w:w="1417" w:type="dxa"/>
            <w:tcBorders>
              <w:top w:val="nil"/>
              <w:left w:val="nil"/>
              <w:bottom w:val="single" w:sz="4" w:space="0" w:color="auto"/>
              <w:right w:val="single" w:sz="4" w:space="0" w:color="auto"/>
            </w:tcBorders>
            <w:shd w:val="clear" w:color="auto" w:fill="auto"/>
            <w:vAlign w:val="center"/>
            <w:hideMark/>
          </w:tcPr>
          <w:p w14:paraId="71CA941D" w14:textId="77777777" w:rsidR="00923405" w:rsidRPr="00923405" w:rsidRDefault="00923405" w:rsidP="0068230C">
            <w:pPr>
              <w:spacing w:after="0" w:line="240" w:lineRule="auto"/>
              <w:jc w:val="right"/>
              <w:rPr>
                <w:rFonts w:ascii="Verdana" w:eastAsia="Times New Roman" w:hAnsi="Verdana"/>
                <w:color w:val="000000"/>
                <w:sz w:val="14"/>
                <w:szCs w:val="14"/>
              </w:rPr>
            </w:pPr>
            <w:r w:rsidRPr="00923405">
              <w:rPr>
                <w:rFonts w:ascii="Verdana" w:eastAsia="Times New Roman" w:hAnsi="Verdana"/>
                <w:color w:val="000000"/>
                <w:sz w:val="14"/>
                <w:szCs w:val="14"/>
              </w:rPr>
              <w:t> </w:t>
            </w:r>
          </w:p>
        </w:tc>
      </w:tr>
    </w:tbl>
    <w:p w14:paraId="572E8C87" w14:textId="77777777" w:rsidR="00923405" w:rsidRPr="00923405" w:rsidRDefault="00923405" w:rsidP="00923405">
      <w:pPr>
        <w:pStyle w:val="Cierre"/>
        <w:ind w:left="0"/>
        <w:contextualSpacing/>
        <w:rPr>
          <w:rFonts w:ascii="Verdana" w:hAnsi="Verdana" w:cs="Arial"/>
          <w:b/>
          <w:sz w:val="22"/>
          <w:szCs w:val="22"/>
        </w:rPr>
      </w:pPr>
    </w:p>
    <w:p w14:paraId="5657DACF" w14:textId="77777777" w:rsidR="00B55E66" w:rsidRPr="00923405" w:rsidRDefault="00B55E66">
      <w:pPr>
        <w:spacing w:after="0" w:line="240" w:lineRule="auto"/>
        <w:jc w:val="both"/>
        <w:rPr>
          <w:rFonts w:ascii="Verdana" w:eastAsia="Verdana" w:hAnsi="Verdana" w:cs="Verdana"/>
          <w:sz w:val="22"/>
          <w:szCs w:val="22"/>
        </w:rPr>
      </w:pPr>
    </w:p>
    <w:p w14:paraId="03722AF8" w14:textId="77777777" w:rsidR="00B55E66" w:rsidRPr="00923405" w:rsidRDefault="0068230C">
      <w:pPr>
        <w:widowControl w:val="0"/>
        <w:spacing w:after="0" w:line="240" w:lineRule="auto"/>
        <w:jc w:val="both"/>
        <w:rPr>
          <w:rFonts w:ascii="Verdana" w:eastAsia="Verdana" w:hAnsi="Verdana" w:cs="Verdana"/>
          <w:sz w:val="22"/>
          <w:szCs w:val="22"/>
        </w:rPr>
      </w:pPr>
      <w:r w:rsidRPr="00923405">
        <w:rPr>
          <w:rFonts w:ascii="Verdana" w:eastAsia="Verdana" w:hAnsi="Verdana" w:cs="Verdana"/>
          <w:sz w:val="22"/>
          <w:szCs w:val="22"/>
        </w:rPr>
        <w:t>En los términos expuestos se da respuesta a lo solicitado, queda esta Entidad atenta para las aclaraciones o complementaciones que se requieran sobre el asunto.</w:t>
      </w:r>
    </w:p>
    <w:p w14:paraId="4DE7118F" w14:textId="77777777" w:rsidR="00B55E66" w:rsidRPr="00923405" w:rsidRDefault="00B55E66">
      <w:pPr>
        <w:jc w:val="both"/>
        <w:rPr>
          <w:rFonts w:ascii="Verdana" w:eastAsia="Verdana" w:hAnsi="Verdana" w:cs="Verdana"/>
          <w:sz w:val="22"/>
          <w:szCs w:val="22"/>
        </w:rPr>
      </w:pPr>
    </w:p>
    <w:p w14:paraId="34996DE5" w14:textId="77777777" w:rsidR="00B55E66" w:rsidRPr="00923405" w:rsidRDefault="00B55E66">
      <w:pPr>
        <w:jc w:val="both"/>
        <w:rPr>
          <w:rFonts w:ascii="Verdana" w:hAnsi="Verdana"/>
        </w:rPr>
      </w:pPr>
    </w:p>
    <w:p w14:paraId="7D19C6F3" w14:textId="77777777" w:rsidR="00B55E66" w:rsidRPr="00923405" w:rsidRDefault="00B55E66">
      <w:pPr>
        <w:widowControl w:val="0"/>
        <w:tabs>
          <w:tab w:val="left" w:pos="1530"/>
        </w:tabs>
        <w:spacing w:before="1" w:after="0" w:line="240" w:lineRule="auto"/>
        <w:ind w:left="720" w:right="1807"/>
        <w:jc w:val="both"/>
        <w:rPr>
          <w:rFonts w:ascii="Verdana" w:hAnsi="Verdana"/>
          <w:b/>
          <w:i/>
        </w:rPr>
      </w:pPr>
    </w:p>
    <w:p w14:paraId="60F25388" w14:textId="77777777" w:rsidR="00B55E66" w:rsidRPr="00923405" w:rsidRDefault="00B55E66">
      <w:pPr>
        <w:widowControl w:val="0"/>
        <w:tabs>
          <w:tab w:val="left" w:pos="4536"/>
        </w:tabs>
        <w:spacing w:after="0" w:line="240" w:lineRule="auto"/>
        <w:ind w:right="49"/>
        <w:jc w:val="both"/>
        <w:rPr>
          <w:rFonts w:ascii="Verdana" w:hAnsi="Verdana"/>
          <w:sz w:val="22"/>
          <w:szCs w:val="22"/>
        </w:rPr>
      </w:pPr>
    </w:p>
    <w:p w14:paraId="4B7B80F7" w14:textId="77777777" w:rsidR="00B55E66" w:rsidRPr="00923405" w:rsidRDefault="00B55E66">
      <w:pPr>
        <w:spacing w:after="0" w:line="240" w:lineRule="auto"/>
        <w:jc w:val="both"/>
        <w:rPr>
          <w:rFonts w:ascii="Verdana" w:eastAsia="Verdana" w:hAnsi="Verdana" w:cs="Verdana"/>
          <w:color w:val="000000"/>
          <w:sz w:val="22"/>
          <w:szCs w:val="22"/>
        </w:rPr>
      </w:pPr>
    </w:p>
    <w:p w14:paraId="5C0F6789" w14:textId="77777777" w:rsidR="00B55E66" w:rsidRPr="00923405" w:rsidRDefault="00B55E66">
      <w:pPr>
        <w:widowControl w:val="0"/>
        <w:tabs>
          <w:tab w:val="left" w:pos="4536"/>
        </w:tabs>
        <w:spacing w:after="0" w:line="240" w:lineRule="auto"/>
        <w:ind w:right="49"/>
        <w:jc w:val="both"/>
        <w:rPr>
          <w:rFonts w:ascii="Verdana" w:hAnsi="Verdana"/>
          <w:sz w:val="22"/>
          <w:szCs w:val="22"/>
        </w:rPr>
      </w:pPr>
    </w:p>
    <w:p w14:paraId="5603CA82" w14:textId="77777777" w:rsidR="00B55E66" w:rsidRPr="00923405" w:rsidRDefault="00B55E66">
      <w:pPr>
        <w:widowControl w:val="0"/>
        <w:spacing w:after="0" w:line="240" w:lineRule="auto"/>
        <w:ind w:right="49"/>
        <w:jc w:val="both"/>
        <w:rPr>
          <w:rFonts w:ascii="Verdana" w:hAnsi="Verdana"/>
          <w:sz w:val="22"/>
          <w:szCs w:val="22"/>
        </w:rPr>
      </w:pPr>
    </w:p>
    <w:sectPr w:rsidR="00B55E66" w:rsidRPr="00923405" w:rsidSect="001F7EF3">
      <w:type w:val="continuous"/>
      <w:pgSz w:w="12240" w:h="15840"/>
      <w:pgMar w:top="1418" w:right="1134" w:bottom="1418" w:left="1134" w:header="397" w:footer="6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37304A" w14:textId="77777777" w:rsidR="006D6B85" w:rsidRDefault="006D6B85">
      <w:pPr>
        <w:spacing w:after="0" w:line="240" w:lineRule="auto"/>
      </w:pPr>
      <w:r>
        <w:separator/>
      </w:r>
    </w:p>
  </w:endnote>
  <w:endnote w:type="continuationSeparator" w:id="0">
    <w:p w14:paraId="42BCE034" w14:textId="77777777" w:rsidR="006D6B85" w:rsidRDefault="006D6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MT">
    <w:altName w:val="Arial"/>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mn-e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26C3DB" w14:textId="77777777" w:rsidR="006D6B85" w:rsidRDefault="006D6B85">
      <w:pPr>
        <w:spacing w:after="0" w:line="240" w:lineRule="auto"/>
      </w:pPr>
      <w:r>
        <w:separator/>
      </w:r>
    </w:p>
  </w:footnote>
  <w:footnote w:type="continuationSeparator" w:id="0">
    <w:p w14:paraId="7187823F" w14:textId="77777777" w:rsidR="006D6B85" w:rsidRDefault="006D6B85">
      <w:pPr>
        <w:spacing w:after="0" w:line="240" w:lineRule="auto"/>
      </w:pPr>
      <w:r>
        <w:continuationSeparator/>
      </w:r>
    </w:p>
  </w:footnote>
  <w:footnote w:id="1">
    <w:p w14:paraId="48FD8B64" w14:textId="77777777" w:rsidR="0068230C" w:rsidRPr="00EC6CE2" w:rsidRDefault="0068230C" w:rsidP="00820E71">
      <w:pPr>
        <w:pBdr>
          <w:top w:val="nil"/>
          <w:left w:val="nil"/>
          <w:bottom w:val="nil"/>
          <w:right w:val="nil"/>
          <w:between w:val="nil"/>
        </w:pBdr>
        <w:rPr>
          <w:color w:val="000000"/>
          <w:sz w:val="18"/>
          <w:szCs w:val="18"/>
        </w:rPr>
      </w:pPr>
      <w:r w:rsidRPr="00EC6CE2">
        <w:rPr>
          <w:sz w:val="18"/>
          <w:szCs w:val="18"/>
          <w:vertAlign w:val="superscript"/>
        </w:rPr>
        <w:footnoteRef/>
      </w:r>
      <w:r w:rsidRPr="00EC6CE2">
        <w:rPr>
          <w:color w:val="000000"/>
          <w:sz w:val="18"/>
          <w:szCs w:val="18"/>
        </w:rPr>
        <w:t xml:space="preserve"> Plan Nacional de Desarrollo 2022-2026. </w:t>
      </w:r>
      <w:r w:rsidRPr="00EC6CE2">
        <w:rPr>
          <w:i/>
          <w:color w:val="000000"/>
          <w:sz w:val="18"/>
          <w:szCs w:val="18"/>
        </w:rPr>
        <w:t>Potencia Mundial de la Vida</w:t>
      </w:r>
      <w:r w:rsidRPr="00EC6CE2">
        <w:rPr>
          <w:color w:val="000000"/>
          <w:sz w:val="18"/>
          <w:szCs w:val="18"/>
        </w:rPr>
        <w:t xml:space="preserve">. </w:t>
      </w:r>
      <w:r w:rsidRPr="00EC6CE2">
        <w:rPr>
          <w:sz w:val="18"/>
          <w:szCs w:val="18"/>
        </w:rPr>
        <w:t>Título</w:t>
      </w:r>
      <w:r w:rsidRPr="00EC6CE2">
        <w:rPr>
          <w:color w:val="000000"/>
          <w:sz w:val="18"/>
          <w:szCs w:val="18"/>
        </w:rPr>
        <w:t xml:space="preserve"> I. Artículo 1. Objetivos del Plan Nacional de Desarrollo.</w:t>
      </w:r>
    </w:p>
  </w:footnote>
  <w:footnote w:id="2">
    <w:p w14:paraId="41D94C7A" w14:textId="77777777" w:rsidR="0068230C" w:rsidRDefault="0068230C" w:rsidP="00820E71">
      <w:pPr>
        <w:pBdr>
          <w:top w:val="nil"/>
          <w:left w:val="nil"/>
          <w:bottom w:val="nil"/>
          <w:right w:val="nil"/>
          <w:between w:val="nil"/>
        </w:pBdr>
        <w:rPr>
          <w:color w:val="000000"/>
          <w:sz w:val="20"/>
          <w:szCs w:val="20"/>
        </w:rPr>
      </w:pPr>
      <w:r w:rsidRPr="00EC6CE2">
        <w:rPr>
          <w:sz w:val="18"/>
          <w:szCs w:val="18"/>
          <w:vertAlign w:val="superscript"/>
        </w:rPr>
        <w:footnoteRef/>
      </w:r>
      <w:r w:rsidRPr="00EC6CE2">
        <w:rPr>
          <w:color w:val="000000"/>
          <w:sz w:val="18"/>
          <w:szCs w:val="18"/>
        </w:rPr>
        <w:t xml:space="preserve"> Plan Nacional de Desarrollo 2022-2026. </w:t>
      </w:r>
      <w:r w:rsidRPr="00EC6CE2">
        <w:rPr>
          <w:i/>
          <w:color w:val="000000"/>
          <w:sz w:val="18"/>
          <w:szCs w:val="18"/>
        </w:rPr>
        <w:t>Potencia Mundial de la Vida</w:t>
      </w:r>
      <w:r w:rsidRPr="00EC6CE2">
        <w:rPr>
          <w:color w:val="000000"/>
          <w:sz w:val="18"/>
          <w:szCs w:val="18"/>
        </w:rPr>
        <w:t>. Segunda Parte. Paz Total e Integral.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14409"/>
    <w:multiLevelType w:val="multilevel"/>
    <w:tmpl w:val="8E2A445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 w15:restartNumberingAfterBreak="0">
    <w:nsid w:val="06D427CE"/>
    <w:multiLevelType w:val="hybridMultilevel"/>
    <w:tmpl w:val="2B08585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16E63A07"/>
    <w:multiLevelType w:val="hybridMultilevel"/>
    <w:tmpl w:val="A9165606"/>
    <w:lvl w:ilvl="0" w:tplc="3C0014B0">
      <w:start w:val="5"/>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176B22A1"/>
    <w:multiLevelType w:val="hybridMultilevel"/>
    <w:tmpl w:val="469C5D42"/>
    <w:lvl w:ilvl="0" w:tplc="ADEA9C58">
      <w:start w:val="11"/>
      <w:numFmt w:val="decimal"/>
      <w:lvlText w:val="%1."/>
      <w:lvlJc w:val="left"/>
      <w:pPr>
        <w:ind w:left="1125" w:hanging="405"/>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4" w15:restartNumberingAfterBreak="0">
    <w:nsid w:val="1AC24158"/>
    <w:multiLevelType w:val="multilevel"/>
    <w:tmpl w:val="2F6C8D7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1EA6066C"/>
    <w:multiLevelType w:val="hybridMultilevel"/>
    <w:tmpl w:val="44DE797C"/>
    <w:lvl w:ilvl="0" w:tplc="240A0017">
      <w:start w:val="1"/>
      <w:numFmt w:val="lowerLetter"/>
      <w:lvlText w:val="%1)"/>
      <w:lvlJc w:val="left"/>
      <w:pPr>
        <w:ind w:left="1080" w:hanging="360"/>
      </w:p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6" w15:restartNumberingAfterBreak="0">
    <w:nsid w:val="237738DC"/>
    <w:multiLevelType w:val="hybridMultilevel"/>
    <w:tmpl w:val="6A584E92"/>
    <w:lvl w:ilvl="0" w:tplc="511E68B4">
      <w:start w:val="2"/>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2FCE3637"/>
    <w:multiLevelType w:val="hybridMultilevel"/>
    <w:tmpl w:val="2FD0995A"/>
    <w:lvl w:ilvl="0" w:tplc="DC3C9D22">
      <w:start w:val="11"/>
      <w:numFmt w:val="decimal"/>
      <w:lvlText w:val="%1."/>
      <w:lvlJc w:val="left"/>
      <w:pPr>
        <w:tabs>
          <w:tab w:val="num" w:pos="720"/>
        </w:tabs>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38E26F6B"/>
    <w:multiLevelType w:val="multilevel"/>
    <w:tmpl w:val="51F47E7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9" w15:restartNumberingAfterBreak="0">
    <w:nsid w:val="41494ABB"/>
    <w:multiLevelType w:val="multilevel"/>
    <w:tmpl w:val="4A9A8B2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0" w15:restartNumberingAfterBreak="0">
    <w:nsid w:val="42AE60C4"/>
    <w:multiLevelType w:val="multilevel"/>
    <w:tmpl w:val="08666D2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1" w15:restartNumberingAfterBreak="0">
    <w:nsid w:val="42E464A6"/>
    <w:multiLevelType w:val="hybridMultilevel"/>
    <w:tmpl w:val="0BD689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15:restartNumberingAfterBreak="0">
    <w:nsid w:val="45FF7981"/>
    <w:multiLevelType w:val="multilevel"/>
    <w:tmpl w:val="4038F9F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3" w15:restartNumberingAfterBreak="0">
    <w:nsid w:val="47985D47"/>
    <w:multiLevelType w:val="multilevel"/>
    <w:tmpl w:val="86701C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1F562E5"/>
    <w:multiLevelType w:val="multilevel"/>
    <w:tmpl w:val="5E9E26E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5" w15:restartNumberingAfterBreak="0">
    <w:nsid w:val="54D94521"/>
    <w:multiLevelType w:val="hybridMultilevel"/>
    <w:tmpl w:val="91A27FA6"/>
    <w:lvl w:ilvl="0" w:tplc="DABE2E16">
      <w:start w:val="1"/>
      <w:numFmt w:val="lowerLetter"/>
      <w:lvlText w:val="%1)"/>
      <w:lvlJc w:val="left"/>
      <w:pPr>
        <w:ind w:left="108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5FE50CA7"/>
    <w:multiLevelType w:val="hybridMultilevel"/>
    <w:tmpl w:val="D4A8A79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616F28E0"/>
    <w:multiLevelType w:val="multilevel"/>
    <w:tmpl w:val="A574060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8" w15:restartNumberingAfterBreak="0">
    <w:nsid w:val="6E4768F5"/>
    <w:multiLevelType w:val="multilevel"/>
    <w:tmpl w:val="86F4D45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9" w15:restartNumberingAfterBreak="0">
    <w:nsid w:val="7404147E"/>
    <w:multiLevelType w:val="hybridMultilevel"/>
    <w:tmpl w:val="8F74C828"/>
    <w:lvl w:ilvl="0" w:tplc="5E4E6A40">
      <w:start w:val="12"/>
      <w:numFmt w:val="decimal"/>
      <w:lvlText w:val="%1."/>
      <w:lvlJc w:val="left"/>
      <w:pPr>
        <w:ind w:left="1125" w:hanging="405"/>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20" w15:restartNumberingAfterBreak="0">
    <w:nsid w:val="742A458C"/>
    <w:multiLevelType w:val="multilevel"/>
    <w:tmpl w:val="93D25DD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1" w15:restartNumberingAfterBreak="0">
    <w:nsid w:val="74F53C7F"/>
    <w:multiLevelType w:val="hybridMultilevel"/>
    <w:tmpl w:val="07767E8C"/>
    <w:lvl w:ilvl="0" w:tplc="EF7C213C">
      <w:start w:val="8"/>
      <w:numFmt w:val="decimal"/>
      <w:lvlText w:val="%1."/>
      <w:lvlJc w:val="left"/>
      <w:pPr>
        <w:ind w:left="108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15:restartNumberingAfterBreak="0">
    <w:nsid w:val="7DBB315F"/>
    <w:multiLevelType w:val="multilevel"/>
    <w:tmpl w:val="6AFE032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3" w15:restartNumberingAfterBreak="0">
    <w:nsid w:val="7FDD0426"/>
    <w:multiLevelType w:val="hybridMultilevel"/>
    <w:tmpl w:val="8CD2BBC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16cid:durableId="528221930">
    <w:abstractNumId w:val="4"/>
  </w:num>
  <w:num w:numId="2" w16cid:durableId="1360660268">
    <w:abstractNumId w:val="9"/>
  </w:num>
  <w:num w:numId="3" w16cid:durableId="2063869227">
    <w:abstractNumId w:val="18"/>
  </w:num>
  <w:num w:numId="4" w16cid:durableId="409153733">
    <w:abstractNumId w:val="20"/>
  </w:num>
  <w:num w:numId="5" w16cid:durableId="2127264046">
    <w:abstractNumId w:val="14"/>
  </w:num>
  <w:num w:numId="6" w16cid:durableId="535502977">
    <w:abstractNumId w:val="10"/>
  </w:num>
  <w:num w:numId="7" w16cid:durableId="1887837906">
    <w:abstractNumId w:val="22"/>
  </w:num>
  <w:num w:numId="8" w16cid:durableId="1067611235">
    <w:abstractNumId w:val="8"/>
  </w:num>
  <w:num w:numId="9" w16cid:durableId="2058898129">
    <w:abstractNumId w:val="0"/>
  </w:num>
  <w:num w:numId="10" w16cid:durableId="891230268">
    <w:abstractNumId w:val="17"/>
  </w:num>
  <w:num w:numId="11" w16cid:durableId="120850263">
    <w:abstractNumId w:val="12"/>
  </w:num>
  <w:num w:numId="12" w16cid:durableId="537203221">
    <w:abstractNumId w:val="16"/>
  </w:num>
  <w:num w:numId="13" w16cid:durableId="896018069">
    <w:abstractNumId w:val="13"/>
  </w:num>
  <w:num w:numId="14" w16cid:durableId="1018503919">
    <w:abstractNumId w:val="2"/>
  </w:num>
  <w:num w:numId="15" w16cid:durableId="341247163">
    <w:abstractNumId w:val="1"/>
  </w:num>
  <w:num w:numId="16" w16cid:durableId="1551184399">
    <w:abstractNumId w:val="6"/>
  </w:num>
  <w:num w:numId="17" w16cid:durableId="203374177">
    <w:abstractNumId w:val="5"/>
  </w:num>
  <w:num w:numId="18" w16cid:durableId="2131974538">
    <w:abstractNumId w:val="21"/>
  </w:num>
  <w:num w:numId="19" w16cid:durableId="1255430552">
    <w:abstractNumId w:val="11"/>
  </w:num>
  <w:num w:numId="20" w16cid:durableId="467742581">
    <w:abstractNumId w:val="23"/>
  </w:num>
  <w:num w:numId="21" w16cid:durableId="25326607">
    <w:abstractNumId w:val="15"/>
  </w:num>
  <w:num w:numId="22" w16cid:durableId="617295408">
    <w:abstractNumId w:val="7"/>
  </w:num>
  <w:num w:numId="23" w16cid:durableId="951862166">
    <w:abstractNumId w:val="3"/>
  </w:num>
  <w:num w:numId="24" w16cid:durableId="145490751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5E66"/>
    <w:rsid w:val="00011701"/>
    <w:rsid w:val="00047764"/>
    <w:rsid w:val="00092FC3"/>
    <w:rsid w:val="00123252"/>
    <w:rsid w:val="00124051"/>
    <w:rsid w:val="001827CF"/>
    <w:rsid w:val="00191B45"/>
    <w:rsid w:val="001D7E6B"/>
    <w:rsid w:val="001F7EF3"/>
    <w:rsid w:val="0027107F"/>
    <w:rsid w:val="00293D90"/>
    <w:rsid w:val="00336A5B"/>
    <w:rsid w:val="00343BD0"/>
    <w:rsid w:val="00361D15"/>
    <w:rsid w:val="003F1D9B"/>
    <w:rsid w:val="00400D48"/>
    <w:rsid w:val="004032CE"/>
    <w:rsid w:val="004247DF"/>
    <w:rsid w:val="00432178"/>
    <w:rsid w:val="00493299"/>
    <w:rsid w:val="00551044"/>
    <w:rsid w:val="0058371B"/>
    <w:rsid w:val="0064633A"/>
    <w:rsid w:val="0064773B"/>
    <w:rsid w:val="0068230C"/>
    <w:rsid w:val="006D6B85"/>
    <w:rsid w:val="0075484F"/>
    <w:rsid w:val="007A78A4"/>
    <w:rsid w:val="00812753"/>
    <w:rsid w:val="00820E71"/>
    <w:rsid w:val="008B6863"/>
    <w:rsid w:val="008C2C3F"/>
    <w:rsid w:val="009217B0"/>
    <w:rsid w:val="00923405"/>
    <w:rsid w:val="00962A89"/>
    <w:rsid w:val="00A0215E"/>
    <w:rsid w:val="00AD7D3A"/>
    <w:rsid w:val="00B00E5F"/>
    <w:rsid w:val="00B55E66"/>
    <w:rsid w:val="00B66C59"/>
    <w:rsid w:val="00BA119D"/>
    <w:rsid w:val="00C541E9"/>
    <w:rsid w:val="00C82AB0"/>
    <w:rsid w:val="00C912ED"/>
    <w:rsid w:val="00C91B05"/>
    <w:rsid w:val="00D2281F"/>
    <w:rsid w:val="00D37812"/>
    <w:rsid w:val="00D60F6C"/>
    <w:rsid w:val="00D73951"/>
    <w:rsid w:val="00D82836"/>
    <w:rsid w:val="00DB05BD"/>
    <w:rsid w:val="00E11F20"/>
    <w:rsid w:val="00E54017"/>
    <w:rsid w:val="00F0241B"/>
    <w:rsid w:val="00F05820"/>
    <w:rsid w:val="00F45F71"/>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83400F"/>
  <w15:docId w15:val="{45AFF3C6-F524-4C66-8061-C03A49931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4"/>
        <w:szCs w:val="24"/>
        <w:lang w:val="es-CO" w:eastAsia="es-C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3C25"/>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paragraph" w:styleId="Encabezado">
    <w:name w:val="header"/>
    <w:basedOn w:val="Normal"/>
    <w:link w:val="EncabezadoCar"/>
    <w:uiPriority w:val="99"/>
    <w:unhideWhenUsed/>
    <w:rsid w:val="0020151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0151F"/>
  </w:style>
  <w:style w:type="paragraph" w:styleId="Piedepgina">
    <w:name w:val="footer"/>
    <w:basedOn w:val="Normal"/>
    <w:link w:val="PiedepginaCar"/>
    <w:unhideWhenUsed/>
    <w:rsid w:val="0020151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0151F"/>
  </w:style>
  <w:style w:type="character" w:styleId="Hipervnculo">
    <w:name w:val="Hyperlink"/>
    <w:basedOn w:val="Fuentedeprrafopredeter"/>
    <w:uiPriority w:val="99"/>
    <w:unhideWhenUsed/>
    <w:rsid w:val="0020151F"/>
    <w:rPr>
      <w:color w:val="0563C1" w:themeColor="hyperlink"/>
      <w:u w:val="single"/>
    </w:rPr>
  </w:style>
  <w:style w:type="table" w:customStyle="1" w:styleId="Tablaconcuadrcula1">
    <w:name w:val="Tabla con cuadrícula1"/>
    <w:basedOn w:val="Tablanormal"/>
    <w:next w:val="Tablaconcuadrcula"/>
    <w:uiPriority w:val="59"/>
    <w:rsid w:val="0020151F"/>
    <w:pPr>
      <w:spacing w:after="0" w:line="240" w:lineRule="auto"/>
    </w:pPr>
    <w:rPr>
      <w:sz w:val="1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concuadrcula">
    <w:name w:val="Table Grid"/>
    <w:basedOn w:val="Tablanormal"/>
    <w:uiPriority w:val="39"/>
    <w:rsid w:val="002015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
    <w:name w:val="Table Normal"/>
    <w:uiPriority w:val="2"/>
    <w:qFormat/>
    <w:rsid w:val="002E30E0"/>
    <w:tblPr>
      <w:tblCellMar>
        <w:top w:w="0" w:type="dxa"/>
        <w:left w:w="0" w:type="dxa"/>
        <w:bottom w:w="0" w:type="dxa"/>
        <w:right w:w="0" w:type="dxa"/>
      </w:tblCellMar>
    </w:tblPr>
  </w:style>
  <w:style w:type="paragraph" w:customStyle="1" w:styleId="TableParagraph">
    <w:name w:val="Table Paragraph"/>
    <w:basedOn w:val="Normal"/>
    <w:uiPriority w:val="1"/>
    <w:qFormat/>
    <w:rsid w:val="002E30E0"/>
    <w:pPr>
      <w:widowControl w:val="0"/>
      <w:autoSpaceDE w:val="0"/>
      <w:autoSpaceDN w:val="0"/>
      <w:spacing w:after="0" w:line="240" w:lineRule="auto"/>
      <w:ind w:left="69"/>
    </w:pPr>
    <w:rPr>
      <w:rFonts w:ascii="Arial MT" w:eastAsia="Arial MT" w:hAnsi="Arial MT" w:cs="Arial MT"/>
      <w:sz w:val="22"/>
      <w:szCs w:val="22"/>
      <w:lang w:val="es-ES"/>
    </w:rPr>
  </w:style>
  <w:style w:type="table" w:customStyle="1" w:styleId="TableNormal10">
    <w:name w:val="Table Normal1"/>
    <w:uiPriority w:val="2"/>
    <w:semiHidden/>
    <w:unhideWhenUsed/>
    <w:qFormat/>
    <w:rsid w:val="002E30E0"/>
    <w:pPr>
      <w:widowControl w:val="0"/>
      <w:autoSpaceDE w:val="0"/>
      <w:autoSpaceDN w:val="0"/>
      <w:spacing w:after="0" w:line="240" w:lineRule="auto"/>
    </w:pPr>
    <w:rPr>
      <w:rFonts w:asciiTheme="minorHAnsi" w:hAnsiTheme="minorHAnsi" w:cstheme="minorBidi"/>
      <w:sz w:val="22"/>
      <w:szCs w:val="22"/>
      <w:lang w:val="en-US"/>
    </w:rPr>
    <w:tblPr>
      <w:tblInd w:w="0" w:type="dxa"/>
      <w:tblCellMar>
        <w:top w:w="0" w:type="dxa"/>
        <w:left w:w="0" w:type="dxa"/>
        <w:bottom w:w="0" w:type="dxa"/>
        <w:right w:w="0" w:type="dxa"/>
      </w:tblCellMar>
    </w:tblPr>
  </w:style>
  <w:style w:type="table" w:customStyle="1" w:styleId="TableNormal20">
    <w:name w:val="Table Normal2"/>
    <w:uiPriority w:val="2"/>
    <w:semiHidden/>
    <w:unhideWhenUsed/>
    <w:qFormat/>
    <w:rsid w:val="002E30E0"/>
    <w:pPr>
      <w:widowControl w:val="0"/>
      <w:autoSpaceDE w:val="0"/>
      <w:autoSpaceDN w:val="0"/>
      <w:spacing w:after="0" w:line="240" w:lineRule="auto"/>
    </w:pPr>
    <w:rPr>
      <w:rFonts w:asciiTheme="minorHAnsi" w:hAnsiTheme="minorHAnsi" w:cstheme="minorBidi"/>
      <w:sz w:val="22"/>
      <w:szCs w:val="22"/>
      <w:lang w:val="en-US"/>
    </w:rPr>
    <w:tblPr>
      <w:tblInd w:w="0" w:type="dxa"/>
      <w:tblCellMar>
        <w:top w:w="0" w:type="dxa"/>
        <w:left w:w="0" w:type="dxa"/>
        <w:bottom w:w="0" w:type="dxa"/>
        <w:right w:w="0" w:type="dxa"/>
      </w:tblCellMar>
    </w:tblPr>
  </w:style>
  <w:style w:type="paragraph" w:styleId="Prrafodelista">
    <w:name w:val="List Paragraph"/>
    <w:aliases w:val="VIÑETA,VIÑETAS,Párrafo de lista2,Viñetas,List Paragraph1,Betulia Título 1,Lista vistosa - Énfasis 13,Fluvial1,titulo 3,List Paragraph,Párrafo de lista1,Lista vistosa - Énfasis 11,List,# pharagraph,Num Bullet 1,LISTA,Párrafo de lista11"/>
    <w:basedOn w:val="Normal"/>
    <w:link w:val="PrrafodelistaCar"/>
    <w:uiPriority w:val="34"/>
    <w:qFormat/>
    <w:rsid w:val="00887B88"/>
    <w:pPr>
      <w:ind w:left="720"/>
      <w:contextualSpacing/>
    </w:pPr>
  </w:style>
  <w:style w:type="paragraph" w:styleId="Textoindependiente">
    <w:name w:val="Body Text"/>
    <w:basedOn w:val="Normal"/>
    <w:link w:val="TextoindependienteCar"/>
    <w:uiPriority w:val="1"/>
    <w:qFormat/>
    <w:rsid w:val="006F752D"/>
    <w:pPr>
      <w:widowControl w:val="0"/>
      <w:autoSpaceDE w:val="0"/>
      <w:autoSpaceDN w:val="0"/>
      <w:spacing w:after="0" w:line="240" w:lineRule="auto"/>
      <w:ind w:left="723" w:hanging="360"/>
    </w:pPr>
    <w:rPr>
      <w:rFonts w:ascii="Arial MT" w:eastAsia="Arial MT" w:hAnsi="Arial MT" w:cs="Arial MT"/>
      <w:lang w:val="es-ES"/>
    </w:rPr>
  </w:style>
  <w:style w:type="character" w:customStyle="1" w:styleId="TextoindependienteCar">
    <w:name w:val="Texto independiente Car"/>
    <w:basedOn w:val="Fuentedeprrafopredeter"/>
    <w:link w:val="Textoindependiente"/>
    <w:uiPriority w:val="1"/>
    <w:rsid w:val="006F752D"/>
    <w:rPr>
      <w:rFonts w:ascii="Arial MT" w:eastAsia="Arial MT" w:hAnsi="Arial MT" w:cs="Arial MT"/>
      <w:lang w:val="es-ES"/>
    </w:rPr>
  </w:style>
  <w:style w:type="character" w:customStyle="1" w:styleId="Mencinsinresolver1">
    <w:name w:val="Mención sin resolver1"/>
    <w:basedOn w:val="Fuentedeprrafopredeter"/>
    <w:uiPriority w:val="99"/>
    <w:semiHidden/>
    <w:unhideWhenUsed/>
    <w:rsid w:val="009F569A"/>
    <w:rPr>
      <w:color w:val="605E5C"/>
      <w:shd w:val="clear" w:color="auto" w:fill="E1DFDD"/>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4"/>
    <w:pPr>
      <w:spacing w:after="0" w:line="240" w:lineRule="auto"/>
    </w:pPr>
    <w:rPr>
      <w:sz w:val="14"/>
      <w:szCs w:val="14"/>
    </w:rPr>
    <w:tblPr>
      <w:tblStyleRowBandSize w:val="1"/>
      <w:tblStyleColBandSize w:val="1"/>
    </w:tblPr>
  </w:style>
  <w:style w:type="table" w:customStyle="1" w:styleId="a0">
    <w:basedOn w:val="TableNormal4"/>
    <w:tblPr>
      <w:tblStyleRowBandSize w:val="1"/>
      <w:tblStyleColBandSize w:val="1"/>
      <w:tblCellMar>
        <w:top w:w="100" w:type="dxa"/>
        <w:left w:w="100" w:type="dxa"/>
        <w:bottom w:w="100" w:type="dxa"/>
        <w:right w:w="100" w:type="dxa"/>
      </w:tblCellMar>
    </w:tblPr>
  </w:style>
  <w:style w:type="table" w:customStyle="1" w:styleId="a1">
    <w:basedOn w:val="TableNormal4"/>
    <w:tblPr>
      <w:tblStyleRowBandSize w:val="1"/>
      <w:tblStyleColBandSize w:val="1"/>
      <w:tblCellMar>
        <w:top w:w="100" w:type="dxa"/>
        <w:left w:w="100" w:type="dxa"/>
        <w:bottom w:w="100" w:type="dxa"/>
        <w:right w:w="100" w:type="dxa"/>
      </w:tblCellMar>
    </w:tblPr>
  </w:style>
  <w:style w:type="table" w:customStyle="1" w:styleId="a2">
    <w:basedOn w:val="TableNormal4"/>
    <w:tblPr>
      <w:tblStyleRowBandSize w:val="1"/>
      <w:tblStyleColBandSize w:val="1"/>
      <w:tblCellMar>
        <w:top w:w="100" w:type="dxa"/>
        <w:left w:w="100" w:type="dxa"/>
        <w:bottom w:w="100" w:type="dxa"/>
        <w:right w:w="100" w:type="dxa"/>
      </w:tblCellMar>
    </w:tblPr>
  </w:style>
  <w:style w:type="table" w:customStyle="1" w:styleId="a3">
    <w:basedOn w:val="TableNormal4"/>
    <w:tblPr>
      <w:tblStyleRowBandSize w:val="1"/>
      <w:tblStyleColBandSize w:val="1"/>
      <w:tblCellMar>
        <w:top w:w="100" w:type="dxa"/>
        <w:left w:w="100" w:type="dxa"/>
        <w:bottom w:w="100" w:type="dxa"/>
        <w:right w:w="100" w:type="dxa"/>
      </w:tblCellMar>
    </w:tblPr>
  </w:style>
  <w:style w:type="table" w:customStyle="1" w:styleId="a4">
    <w:basedOn w:val="TableNormal4"/>
    <w:tblPr>
      <w:tblStyleRowBandSize w:val="1"/>
      <w:tblStyleColBandSize w:val="1"/>
      <w:tblCellMar>
        <w:top w:w="100" w:type="dxa"/>
        <w:left w:w="100" w:type="dxa"/>
        <w:bottom w:w="100" w:type="dxa"/>
        <w:right w:w="100" w:type="dxa"/>
      </w:tblCellMar>
    </w:tblPr>
  </w:style>
  <w:style w:type="table" w:customStyle="1" w:styleId="a5">
    <w:basedOn w:val="TableNormal4"/>
    <w:tblPr>
      <w:tblStyleRowBandSize w:val="1"/>
      <w:tblStyleColBandSize w:val="1"/>
      <w:tblCellMar>
        <w:top w:w="100" w:type="dxa"/>
        <w:left w:w="100" w:type="dxa"/>
        <w:bottom w:w="100" w:type="dxa"/>
        <w:right w:w="100" w:type="dxa"/>
      </w:tblCellMar>
    </w:tblPr>
  </w:style>
  <w:style w:type="table" w:customStyle="1" w:styleId="a6">
    <w:basedOn w:val="TableNormal4"/>
    <w:tblPr>
      <w:tblStyleRowBandSize w:val="1"/>
      <w:tblStyleColBandSize w:val="1"/>
      <w:tblCellMar>
        <w:top w:w="100" w:type="dxa"/>
        <w:left w:w="100" w:type="dxa"/>
        <w:bottom w:w="100" w:type="dxa"/>
        <w:right w:w="100" w:type="dxa"/>
      </w:tblCellMar>
    </w:tblPr>
  </w:style>
  <w:style w:type="table" w:customStyle="1" w:styleId="a7">
    <w:basedOn w:val="TableNormal4"/>
    <w:tblPr>
      <w:tblStyleRowBandSize w:val="1"/>
      <w:tblStyleColBandSize w:val="1"/>
      <w:tblCellMar>
        <w:top w:w="100" w:type="dxa"/>
        <w:left w:w="100" w:type="dxa"/>
        <w:bottom w:w="100" w:type="dxa"/>
        <w:right w:w="100" w:type="dxa"/>
      </w:tblCellMar>
    </w:tblPr>
  </w:style>
  <w:style w:type="table" w:customStyle="1" w:styleId="a8">
    <w:basedOn w:val="TableNormal4"/>
    <w:tblPr>
      <w:tblStyleRowBandSize w:val="1"/>
      <w:tblStyleColBandSize w:val="1"/>
      <w:tblCellMar>
        <w:top w:w="100" w:type="dxa"/>
        <w:left w:w="100" w:type="dxa"/>
        <w:bottom w:w="100" w:type="dxa"/>
        <w:right w:w="100" w:type="dxa"/>
      </w:tblCellMar>
    </w:tblPr>
  </w:style>
  <w:style w:type="table" w:customStyle="1" w:styleId="a9">
    <w:basedOn w:val="TableNormal4"/>
    <w:pPr>
      <w:spacing w:after="0" w:line="240" w:lineRule="auto"/>
    </w:pPr>
    <w:rPr>
      <w:sz w:val="14"/>
      <w:szCs w:val="14"/>
    </w:rPr>
    <w:tblPr>
      <w:tblStyleRowBandSize w:val="1"/>
      <w:tblStyleColBandSize w:val="1"/>
      <w:tblCellMar>
        <w:left w:w="108" w:type="dxa"/>
        <w:right w:w="108" w:type="dxa"/>
      </w:tblCellMar>
    </w:tblPr>
  </w:style>
  <w:style w:type="paragraph" w:customStyle="1" w:styleId="Default">
    <w:name w:val="Default"/>
    <w:rsid w:val="00683C25"/>
    <w:pPr>
      <w:autoSpaceDE w:val="0"/>
      <w:autoSpaceDN w:val="0"/>
      <w:adjustRightInd w:val="0"/>
      <w:spacing w:after="0" w:line="240" w:lineRule="auto"/>
    </w:pPr>
    <w:rPr>
      <w:color w:val="000000"/>
    </w:rPr>
  </w:style>
  <w:style w:type="table" w:customStyle="1" w:styleId="aa">
    <w:basedOn w:val="TableNormal3"/>
    <w:pPr>
      <w:spacing w:after="0" w:line="240" w:lineRule="auto"/>
    </w:pPr>
    <w:rPr>
      <w:sz w:val="14"/>
      <w:szCs w:val="14"/>
    </w:rPr>
    <w:tblPr>
      <w:tblStyleRowBandSize w:val="1"/>
      <w:tblStyleColBandSize w:val="1"/>
      <w:tblCellMar>
        <w:top w:w="100" w:type="dxa"/>
        <w:left w:w="108" w:type="dxa"/>
        <w:bottom w:w="100" w:type="dxa"/>
        <w:right w:w="108" w:type="dxa"/>
      </w:tblCellMar>
    </w:tblPr>
  </w:style>
  <w:style w:type="table" w:customStyle="1" w:styleId="ab">
    <w:basedOn w:val="TableNormal3"/>
    <w:pPr>
      <w:spacing w:after="0" w:line="240" w:lineRule="auto"/>
    </w:pPr>
    <w:rPr>
      <w:sz w:val="14"/>
      <w:szCs w:val="14"/>
    </w:rPr>
    <w:tblPr>
      <w:tblStyleRowBandSize w:val="1"/>
      <w:tblStyleColBandSize w:val="1"/>
      <w:tblCellMar>
        <w:top w:w="100" w:type="dxa"/>
        <w:left w:w="108" w:type="dxa"/>
        <w:bottom w:w="100" w:type="dxa"/>
        <w:right w:w="108" w:type="dxa"/>
      </w:tblCellMar>
    </w:tblPr>
  </w:style>
  <w:style w:type="character" w:styleId="Refdecomentario">
    <w:name w:val="annotation reference"/>
    <w:basedOn w:val="Fuentedeprrafopredeter"/>
    <w:uiPriority w:val="99"/>
    <w:semiHidden/>
    <w:unhideWhenUsed/>
    <w:rsid w:val="00EE0A9D"/>
    <w:rPr>
      <w:sz w:val="16"/>
      <w:szCs w:val="16"/>
    </w:rPr>
  </w:style>
  <w:style w:type="paragraph" w:styleId="Textocomentario">
    <w:name w:val="annotation text"/>
    <w:basedOn w:val="Normal"/>
    <w:link w:val="TextocomentarioCar"/>
    <w:uiPriority w:val="99"/>
    <w:unhideWhenUsed/>
    <w:rsid w:val="00EE0A9D"/>
    <w:pPr>
      <w:spacing w:line="240" w:lineRule="auto"/>
    </w:pPr>
    <w:rPr>
      <w:sz w:val="20"/>
      <w:szCs w:val="20"/>
    </w:rPr>
  </w:style>
  <w:style w:type="character" w:customStyle="1" w:styleId="TextocomentarioCar">
    <w:name w:val="Texto comentario Car"/>
    <w:basedOn w:val="Fuentedeprrafopredeter"/>
    <w:link w:val="Textocomentario"/>
    <w:uiPriority w:val="99"/>
    <w:rsid w:val="00EE0A9D"/>
    <w:rPr>
      <w:sz w:val="20"/>
      <w:szCs w:val="20"/>
    </w:rPr>
  </w:style>
  <w:style w:type="paragraph" w:styleId="Asuntodelcomentario">
    <w:name w:val="annotation subject"/>
    <w:basedOn w:val="Textocomentario"/>
    <w:next w:val="Textocomentario"/>
    <w:link w:val="AsuntodelcomentarioCar"/>
    <w:uiPriority w:val="99"/>
    <w:semiHidden/>
    <w:unhideWhenUsed/>
    <w:rsid w:val="00EE0A9D"/>
    <w:rPr>
      <w:b/>
      <w:bCs/>
    </w:rPr>
  </w:style>
  <w:style w:type="character" w:customStyle="1" w:styleId="AsuntodelcomentarioCar">
    <w:name w:val="Asunto del comentario Car"/>
    <w:basedOn w:val="TextocomentarioCar"/>
    <w:link w:val="Asuntodelcomentario"/>
    <w:uiPriority w:val="99"/>
    <w:semiHidden/>
    <w:rsid w:val="00EE0A9D"/>
    <w:rPr>
      <w:b/>
      <w:bCs/>
      <w:sz w:val="20"/>
      <w:szCs w:val="20"/>
    </w:rPr>
  </w:style>
  <w:style w:type="paragraph" w:styleId="NormalWeb">
    <w:name w:val="Normal (Web)"/>
    <w:basedOn w:val="Normal"/>
    <w:uiPriority w:val="99"/>
    <w:unhideWhenUsed/>
    <w:rsid w:val="0078245B"/>
    <w:pPr>
      <w:spacing w:before="100" w:beforeAutospacing="1" w:after="100" w:afterAutospacing="1" w:line="240" w:lineRule="auto"/>
    </w:pPr>
    <w:rPr>
      <w:rFonts w:ascii="Times New Roman" w:eastAsia="Times New Roman" w:hAnsi="Times New Roman" w:cs="Times New Roman"/>
    </w:rPr>
  </w:style>
  <w:style w:type="table" w:customStyle="1" w:styleId="ac">
    <w:basedOn w:val="TableNormal2"/>
    <w:pPr>
      <w:spacing w:after="0" w:line="240" w:lineRule="auto"/>
    </w:pPr>
    <w:rPr>
      <w:sz w:val="14"/>
      <w:szCs w:val="14"/>
    </w:rPr>
    <w:tblPr>
      <w:tblStyleRowBandSize w:val="1"/>
      <w:tblStyleColBandSize w:val="1"/>
      <w:tblCellMar>
        <w:top w:w="100" w:type="dxa"/>
        <w:left w:w="108" w:type="dxa"/>
        <w:bottom w:w="100" w:type="dxa"/>
        <w:right w:w="108" w:type="dxa"/>
      </w:tblCellMar>
    </w:tblPr>
  </w:style>
  <w:style w:type="table" w:customStyle="1" w:styleId="ad">
    <w:basedOn w:val="TableNormal2"/>
    <w:pPr>
      <w:spacing w:after="0" w:line="240" w:lineRule="auto"/>
    </w:pPr>
    <w:rPr>
      <w:sz w:val="14"/>
      <w:szCs w:val="14"/>
    </w:rPr>
    <w:tblPr>
      <w:tblStyleRowBandSize w:val="1"/>
      <w:tblStyleColBandSize w:val="1"/>
      <w:tblCellMar>
        <w:top w:w="100" w:type="dxa"/>
        <w:left w:w="108" w:type="dxa"/>
        <w:bottom w:w="100" w:type="dxa"/>
        <w:right w:w="108" w:type="dxa"/>
      </w:tblCellMar>
    </w:tblPr>
  </w:style>
  <w:style w:type="table" w:customStyle="1" w:styleId="ae">
    <w:basedOn w:val="TableNormal1"/>
    <w:pPr>
      <w:spacing w:after="0" w:line="240" w:lineRule="auto"/>
    </w:pPr>
    <w:rPr>
      <w:sz w:val="14"/>
      <w:szCs w:val="14"/>
    </w:rPr>
    <w:tblPr>
      <w:tblStyleRowBandSize w:val="1"/>
      <w:tblStyleColBandSize w:val="1"/>
      <w:tblCellMar>
        <w:top w:w="100" w:type="dxa"/>
        <w:left w:w="108" w:type="dxa"/>
        <w:bottom w:w="100" w:type="dxa"/>
        <w:right w:w="108" w:type="dxa"/>
      </w:tblCellMar>
    </w:tblPr>
  </w:style>
  <w:style w:type="table" w:customStyle="1" w:styleId="af">
    <w:basedOn w:val="TableNormal1"/>
    <w:pPr>
      <w:spacing w:after="0" w:line="240" w:lineRule="auto"/>
    </w:pPr>
    <w:rPr>
      <w:sz w:val="14"/>
      <w:szCs w:val="14"/>
    </w:rPr>
    <w:tblPr>
      <w:tblStyleRowBandSize w:val="1"/>
      <w:tblStyleColBandSize w:val="1"/>
      <w:tblCellMar>
        <w:top w:w="100" w:type="dxa"/>
        <w:left w:w="108" w:type="dxa"/>
        <w:bottom w:w="100" w:type="dxa"/>
        <w:right w:w="108" w:type="dxa"/>
      </w:tblCellMar>
    </w:tblPr>
  </w:style>
  <w:style w:type="table" w:customStyle="1" w:styleId="af0">
    <w:basedOn w:val="TableNormal0"/>
    <w:pPr>
      <w:spacing w:after="0" w:line="240" w:lineRule="auto"/>
    </w:pPr>
    <w:rPr>
      <w:sz w:val="14"/>
      <w:szCs w:val="14"/>
    </w:rPr>
    <w:tblPr>
      <w:tblStyleRowBandSize w:val="1"/>
      <w:tblStyleColBandSize w:val="1"/>
      <w:tblCellMar>
        <w:top w:w="100" w:type="dxa"/>
        <w:left w:w="108" w:type="dxa"/>
        <w:bottom w:w="100" w:type="dxa"/>
        <w:right w:w="108" w:type="dxa"/>
      </w:tblCellMar>
    </w:tblPr>
  </w:style>
  <w:style w:type="table" w:customStyle="1" w:styleId="af1">
    <w:basedOn w:val="TableNormal0"/>
    <w:pPr>
      <w:spacing w:after="0" w:line="240" w:lineRule="auto"/>
    </w:pPr>
    <w:rPr>
      <w:sz w:val="14"/>
      <w:szCs w:val="14"/>
    </w:rPr>
    <w:tblPr>
      <w:tblStyleRowBandSize w:val="1"/>
      <w:tblStyleColBandSize w:val="1"/>
      <w:tblCellMar>
        <w:top w:w="100" w:type="dxa"/>
        <w:left w:w="108" w:type="dxa"/>
        <w:bottom w:w="100" w:type="dxa"/>
        <w:right w:w="108" w:type="dxa"/>
      </w:tblCellMar>
    </w:tblPr>
  </w:style>
  <w:style w:type="paragraph" w:styleId="Cierre">
    <w:name w:val="Closing"/>
    <w:basedOn w:val="Normal"/>
    <w:link w:val="CierreCar"/>
    <w:rsid w:val="00820E71"/>
    <w:pPr>
      <w:spacing w:after="0" w:line="240" w:lineRule="auto"/>
      <w:ind w:left="4252"/>
    </w:pPr>
    <w:rPr>
      <w:rFonts w:ascii="Times New Roman" w:eastAsia="MS Mincho" w:hAnsi="Times New Roman" w:cs="Times New Roman"/>
      <w:lang w:val="es-ES" w:eastAsia="es-ES"/>
    </w:rPr>
  </w:style>
  <w:style w:type="character" w:customStyle="1" w:styleId="CierreCar">
    <w:name w:val="Cierre Car"/>
    <w:basedOn w:val="Fuentedeprrafopredeter"/>
    <w:link w:val="Cierre"/>
    <w:rsid w:val="00820E71"/>
    <w:rPr>
      <w:rFonts w:ascii="Times New Roman" w:eastAsia="MS Mincho" w:hAnsi="Times New Roman" w:cs="Times New Roman"/>
      <w:lang w:val="es-ES" w:eastAsia="es-ES"/>
    </w:rPr>
  </w:style>
  <w:style w:type="character" w:customStyle="1" w:styleId="PrrafodelistaCar">
    <w:name w:val="Párrafo de lista Car"/>
    <w:aliases w:val="VIÑETA Car,VIÑETAS Car,Párrafo de lista2 Car,Viñetas Car,List Paragraph1 Car,Betulia Título 1 Car,Lista vistosa - Énfasis 13 Car,Fluvial1 Car,titulo 3 Car,List Paragraph Car,Párrafo de lista1 Car,Lista vistosa - Énfasis 11 Car"/>
    <w:link w:val="Prrafodelista"/>
    <w:uiPriority w:val="34"/>
    <w:qFormat/>
    <w:locked/>
    <w:rsid w:val="00820E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2264765">
      <w:bodyDiv w:val="1"/>
      <w:marLeft w:val="0"/>
      <w:marRight w:val="0"/>
      <w:marTop w:val="0"/>
      <w:marBottom w:val="0"/>
      <w:divBdr>
        <w:top w:val="none" w:sz="0" w:space="0" w:color="auto"/>
        <w:left w:val="none" w:sz="0" w:space="0" w:color="auto"/>
        <w:bottom w:val="none" w:sz="0" w:space="0" w:color="auto"/>
        <w:right w:val="none" w:sz="0" w:space="0" w:color="auto"/>
      </w:divBdr>
    </w:div>
    <w:div w:id="1529174518">
      <w:bodyDiv w:val="1"/>
      <w:marLeft w:val="0"/>
      <w:marRight w:val="0"/>
      <w:marTop w:val="0"/>
      <w:marBottom w:val="0"/>
      <w:divBdr>
        <w:top w:val="none" w:sz="0" w:space="0" w:color="auto"/>
        <w:left w:val="none" w:sz="0" w:space="0" w:color="auto"/>
        <w:bottom w:val="none" w:sz="0" w:space="0" w:color="auto"/>
        <w:right w:val="none" w:sz="0" w:space="0" w:color="auto"/>
      </w:divBdr>
    </w:div>
    <w:div w:id="1899315119">
      <w:bodyDiv w:val="1"/>
      <w:marLeft w:val="0"/>
      <w:marRight w:val="0"/>
      <w:marTop w:val="0"/>
      <w:marBottom w:val="0"/>
      <w:divBdr>
        <w:top w:val="none" w:sz="0" w:space="0" w:color="auto"/>
        <w:left w:val="none" w:sz="0" w:space="0" w:color="auto"/>
        <w:bottom w:val="none" w:sz="0" w:space="0" w:color="auto"/>
        <w:right w:val="none" w:sz="0" w:space="0" w:color="auto"/>
      </w:divBdr>
    </w:div>
    <w:div w:id="20807132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s://www.fondoadaptacion.gov.co/index.php/politica-interaccion-social/politicas-y-lineamientos.htm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JCrCvkrHQuHLM6r7ZnTSAeVnrMw==">CgMxLjAyCWlkLmdqZGd4czIKaWQuMzBqMHpsbDIKaWQuMWZvYjl0ZTIKaWQuM3pueXNoNzIKaWQuNGQzNG9nODIKaWQuMnM4ZXlvMTIKaWQuMTdkcDh2dTIJaC4zcmRjcmpuMgppZC4yNmluMXJnOAByITFOVmZOWC1walRtek4wYW9GQThnOUstZm0zOUN4ZEJOMQ==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304296FA-CBAA-45BA-9B5C-C6A1A19DA6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5196</Words>
  <Characters>28584</Characters>
  <Application>Microsoft Office Word</Application>
  <DocSecurity>4</DocSecurity>
  <Lines>238</Lines>
  <Paragraphs>67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Usuario</dc:creator>
  <cp:lastModifiedBy>Maria Del Pilar Florido Caicedo</cp:lastModifiedBy>
  <cp:revision>2</cp:revision>
  <dcterms:created xsi:type="dcterms:W3CDTF">2024-08-21T00:39:00Z</dcterms:created>
  <dcterms:modified xsi:type="dcterms:W3CDTF">2024-08-21T00:39:00Z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dtpl">
    <vt:lpwstr>PTL_COMUNICACION_OFICIAL_EXTERNA</vt:lpwstr>
  </property>
  <property fmtid="{D5CDD505-2E9C-101B-9397-08002B2CF9AE}" pid="3" name="forestUser">
    <vt:lpwstr>forest</vt:lpwstr>
  </property>
  <property fmtid="{D5CDD505-2E9C-101B-9397-08002B2CF9AE}" pid="4" name="forestUuid">
    <vt:lpwstr>bf4e098d-7722-4528-8912-429f8b02d2bf</vt:lpwstr>
  </property>
  <property fmtid="{D5CDD505-2E9C-101B-9397-08002B2CF9AE}" pid="5" name="lastModify">
    <vt:lpwstr>2023-05-25</vt:lpwstr>
  </property>
</Properties>
</file>