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113B9" w14:textId="77777777" w:rsidR="000D5DD1" w:rsidRPr="00A0650F" w:rsidRDefault="000D5DD1" w:rsidP="00CD7281">
      <w:pPr>
        <w:spacing w:line="240" w:lineRule="auto"/>
        <w:jc w:val="both"/>
        <w:rPr>
          <w:rFonts w:ascii="Bookman Old Style" w:hAnsi="Bookman Old Style" w:cs="Arial"/>
          <w:sz w:val="24"/>
          <w:szCs w:val="24"/>
        </w:rPr>
      </w:pPr>
      <w:r w:rsidRPr="00A0650F">
        <w:rPr>
          <w:rFonts w:ascii="Bookman Old Style" w:hAnsi="Bookman Old Style" w:cs="Arial"/>
          <w:sz w:val="24"/>
          <w:szCs w:val="24"/>
        </w:rPr>
        <w:t xml:space="preserve">Bogotá, D.C., 23 de julio de 2024 </w:t>
      </w:r>
    </w:p>
    <w:p w14:paraId="03BE5782" w14:textId="77777777" w:rsidR="000D5DD1" w:rsidRPr="00A0650F" w:rsidRDefault="000D5DD1" w:rsidP="00CD7281">
      <w:pPr>
        <w:spacing w:line="240" w:lineRule="auto"/>
        <w:jc w:val="both"/>
        <w:rPr>
          <w:rFonts w:ascii="Bookman Old Style" w:hAnsi="Bookman Old Style" w:cs="Arial"/>
          <w:sz w:val="24"/>
          <w:szCs w:val="24"/>
        </w:rPr>
      </w:pPr>
    </w:p>
    <w:p w14:paraId="382FCBA7" w14:textId="77777777" w:rsidR="000D5DD1" w:rsidRPr="00A0650F" w:rsidRDefault="000D5DD1" w:rsidP="00CD7281">
      <w:pPr>
        <w:spacing w:line="240" w:lineRule="auto"/>
        <w:jc w:val="both"/>
        <w:rPr>
          <w:rFonts w:ascii="Bookman Old Style" w:hAnsi="Bookman Old Style" w:cs="Arial"/>
          <w:sz w:val="24"/>
          <w:szCs w:val="24"/>
        </w:rPr>
      </w:pPr>
      <w:r w:rsidRPr="00A0650F">
        <w:rPr>
          <w:rFonts w:ascii="Bookman Old Style" w:hAnsi="Bookman Old Style" w:cs="Arial"/>
          <w:sz w:val="24"/>
          <w:szCs w:val="24"/>
        </w:rPr>
        <w:t xml:space="preserve">Doctor: </w:t>
      </w:r>
    </w:p>
    <w:p w14:paraId="1CA48CB4" w14:textId="77777777" w:rsidR="000D5DD1" w:rsidRPr="00A0650F" w:rsidRDefault="000D5DD1" w:rsidP="00CD7281">
      <w:pPr>
        <w:spacing w:after="0" w:line="240" w:lineRule="auto"/>
        <w:jc w:val="both"/>
        <w:rPr>
          <w:rFonts w:ascii="Bookman Old Style" w:hAnsi="Bookman Old Style" w:cs="Arial"/>
          <w:b/>
          <w:sz w:val="24"/>
          <w:szCs w:val="24"/>
        </w:rPr>
      </w:pPr>
      <w:r w:rsidRPr="00A0650F">
        <w:rPr>
          <w:rFonts w:ascii="Bookman Old Style" w:hAnsi="Bookman Old Style" w:cs="Arial"/>
          <w:b/>
          <w:sz w:val="24"/>
          <w:szCs w:val="24"/>
        </w:rPr>
        <w:t xml:space="preserve">JAIME LUIS LACOUTURE PEÑALOZA </w:t>
      </w:r>
    </w:p>
    <w:p w14:paraId="6FB6905B" w14:textId="77777777" w:rsidR="000D5DD1" w:rsidRPr="00A0650F" w:rsidRDefault="000D5DD1" w:rsidP="00CD7281">
      <w:pPr>
        <w:spacing w:after="0" w:line="240" w:lineRule="auto"/>
        <w:jc w:val="both"/>
        <w:rPr>
          <w:rFonts w:ascii="Bookman Old Style" w:hAnsi="Bookman Old Style" w:cs="Arial"/>
          <w:sz w:val="24"/>
          <w:szCs w:val="24"/>
        </w:rPr>
      </w:pPr>
      <w:r w:rsidRPr="00A0650F">
        <w:rPr>
          <w:rFonts w:ascii="Bookman Old Style" w:hAnsi="Bookman Old Style" w:cs="Arial"/>
          <w:sz w:val="24"/>
          <w:szCs w:val="24"/>
        </w:rPr>
        <w:t xml:space="preserve">Secretario General </w:t>
      </w:r>
    </w:p>
    <w:p w14:paraId="49CCF163" w14:textId="77777777" w:rsidR="000D5DD1" w:rsidRPr="00A0650F" w:rsidRDefault="000D5DD1" w:rsidP="00CD7281">
      <w:pPr>
        <w:spacing w:after="0" w:line="240" w:lineRule="auto"/>
        <w:jc w:val="both"/>
        <w:rPr>
          <w:rFonts w:ascii="Bookman Old Style" w:hAnsi="Bookman Old Style" w:cs="Arial"/>
          <w:sz w:val="24"/>
          <w:szCs w:val="24"/>
        </w:rPr>
      </w:pPr>
      <w:r w:rsidRPr="00A0650F">
        <w:rPr>
          <w:rFonts w:ascii="Bookman Old Style" w:hAnsi="Bookman Old Style" w:cs="Arial"/>
          <w:sz w:val="24"/>
          <w:szCs w:val="24"/>
        </w:rPr>
        <w:t xml:space="preserve">Honorable Cámara de Representantes </w:t>
      </w:r>
    </w:p>
    <w:p w14:paraId="56554665" w14:textId="77777777" w:rsidR="000D5DD1" w:rsidRPr="00A0650F" w:rsidRDefault="000D5DD1" w:rsidP="00CD7281">
      <w:pPr>
        <w:spacing w:after="0" w:line="240" w:lineRule="auto"/>
        <w:jc w:val="both"/>
        <w:rPr>
          <w:rFonts w:ascii="Bookman Old Style" w:hAnsi="Bookman Old Style" w:cs="Arial"/>
          <w:sz w:val="24"/>
          <w:szCs w:val="24"/>
        </w:rPr>
      </w:pPr>
      <w:r w:rsidRPr="00A0650F">
        <w:rPr>
          <w:rFonts w:ascii="Bookman Old Style" w:hAnsi="Bookman Old Style" w:cs="Arial"/>
          <w:sz w:val="24"/>
          <w:szCs w:val="24"/>
        </w:rPr>
        <w:t>Ciudad</w:t>
      </w:r>
    </w:p>
    <w:p w14:paraId="207A6BF5" w14:textId="77777777" w:rsidR="000D5DD1" w:rsidRPr="00A0650F" w:rsidRDefault="000D5DD1" w:rsidP="00CD7281">
      <w:pPr>
        <w:spacing w:line="240" w:lineRule="auto"/>
        <w:jc w:val="both"/>
        <w:rPr>
          <w:rFonts w:ascii="Bookman Old Style" w:hAnsi="Bookman Old Style" w:cs="Arial"/>
          <w:sz w:val="24"/>
          <w:szCs w:val="24"/>
        </w:rPr>
      </w:pPr>
    </w:p>
    <w:p w14:paraId="138C52A0" w14:textId="77777777" w:rsidR="000D5DD1" w:rsidRPr="00A0650F" w:rsidRDefault="000D5DD1" w:rsidP="00CD7281">
      <w:pPr>
        <w:spacing w:line="240" w:lineRule="auto"/>
        <w:jc w:val="right"/>
        <w:rPr>
          <w:rFonts w:ascii="Bookman Old Style" w:hAnsi="Bookman Old Style" w:cs="Arial"/>
          <w:b/>
          <w:sz w:val="24"/>
          <w:szCs w:val="24"/>
          <w:lang w:val="es"/>
        </w:rPr>
      </w:pPr>
      <w:r w:rsidRPr="00A0650F">
        <w:rPr>
          <w:rFonts w:ascii="Bookman Old Style" w:hAnsi="Bookman Old Style" w:cs="Arial"/>
          <w:b/>
          <w:sz w:val="24"/>
          <w:szCs w:val="24"/>
          <w:lang w:val="es"/>
        </w:rPr>
        <w:t>REF: RADICACIÓN PROYECTO DE LEY</w:t>
      </w:r>
    </w:p>
    <w:p w14:paraId="094A7595" w14:textId="77777777" w:rsidR="000D5DD1" w:rsidRPr="00A0650F" w:rsidRDefault="000D5DD1" w:rsidP="00CD7281">
      <w:pPr>
        <w:spacing w:line="240" w:lineRule="auto"/>
        <w:jc w:val="both"/>
        <w:rPr>
          <w:rFonts w:ascii="Bookman Old Style" w:hAnsi="Bookman Old Style" w:cs="Arial"/>
          <w:b/>
          <w:sz w:val="24"/>
          <w:szCs w:val="24"/>
          <w:lang w:val="es"/>
        </w:rPr>
      </w:pPr>
    </w:p>
    <w:p w14:paraId="088D841D" w14:textId="410D110D" w:rsidR="000D5DD1" w:rsidRPr="00A0650F" w:rsidRDefault="000D5DD1" w:rsidP="00CD7281">
      <w:pPr>
        <w:spacing w:line="240" w:lineRule="auto"/>
        <w:jc w:val="both"/>
        <w:rPr>
          <w:rFonts w:ascii="Bookman Old Style" w:hAnsi="Bookman Old Style" w:cs="Arial"/>
          <w:b/>
          <w:i/>
          <w:sz w:val="24"/>
          <w:szCs w:val="24"/>
          <w:lang w:val="es"/>
        </w:rPr>
      </w:pPr>
      <w:r w:rsidRPr="00A0650F">
        <w:rPr>
          <w:rFonts w:ascii="Bookman Old Style" w:hAnsi="Bookman Old Style" w:cs="Arial"/>
          <w:sz w:val="24"/>
          <w:szCs w:val="24"/>
          <w:lang w:val="es"/>
        </w:rPr>
        <w:t xml:space="preserve">En mi condición de miembro del Congreso de la República y en uso del derecho consagrado en el artículo 150 de la Constitución Política de Colombia, por su digno conducto me permito poner a consideración de la Honorable Cámara de Representantes el proyecto de Ley </w:t>
      </w:r>
      <w:r w:rsidR="009C0E92" w:rsidRPr="00A0650F">
        <w:rPr>
          <w:rFonts w:ascii="Bookman Old Style" w:eastAsia="Times New Roman" w:hAnsi="Bookman Old Style" w:cs="Arial"/>
          <w:b/>
          <w:bCs/>
          <w:i/>
          <w:color w:val="1C1C1C"/>
          <w:sz w:val="24"/>
          <w:szCs w:val="24"/>
          <w:lang w:val="es-ES_tradnl" w:eastAsia="es-CO"/>
        </w:rPr>
        <w:t>“Por medio del cual se dispone conforme al principio de libertad de escogencia la afiliación a las Cajas de Compensación Familiar y se dictan otras disposiciones”</w:t>
      </w:r>
      <w:r w:rsidR="00A0650F" w:rsidRPr="00A0650F">
        <w:rPr>
          <w:rFonts w:ascii="Bookman Old Style" w:eastAsia="Times New Roman" w:hAnsi="Bookman Old Style" w:cs="Arial"/>
          <w:b/>
          <w:bCs/>
          <w:i/>
          <w:color w:val="1C1C1C"/>
          <w:sz w:val="24"/>
          <w:szCs w:val="24"/>
          <w:lang w:val="es-ES_tradnl" w:eastAsia="es-CO"/>
        </w:rPr>
        <w:t>.</w:t>
      </w:r>
    </w:p>
    <w:p w14:paraId="3811FBBE" w14:textId="77777777" w:rsidR="000D5DD1" w:rsidRPr="00A0650F" w:rsidRDefault="000D5DD1" w:rsidP="00CD7281">
      <w:pPr>
        <w:spacing w:line="240" w:lineRule="auto"/>
        <w:jc w:val="both"/>
        <w:rPr>
          <w:rFonts w:ascii="Bookman Old Style" w:hAnsi="Bookman Old Style" w:cs="Arial"/>
          <w:sz w:val="24"/>
          <w:szCs w:val="24"/>
          <w:lang w:val="es"/>
        </w:rPr>
      </w:pPr>
    </w:p>
    <w:p w14:paraId="24F36C23" w14:textId="77777777" w:rsidR="000D5DD1" w:rsidRPr="00A0650F" w:rsidRDefault="000D5DD1" w:rsidP="00CD7281">
      <w:pPr>
        <w:spacing w:line="240" w:lineRule="auto"/>
        <w:jc w:val="both"/>
        <w:rPr>
          <w:rFonts w:ascii="Bookman Old Style" w:hAnsi="Bookman Old Style" w:cs="Arial"/>
          <w:b/>
          <w:sz w:val="24"/>
          <w:szCs w:val="24"/>
        </w:rPr>
      </w:pPr>
      <w:r w:rsidRPr="00A0650F">
        <w:rPr>
          <w:rFonts w:ascii="Bookman Old Style" w:hAnsi="Bookman Old Style" w:cs="Arial"/>
          <w:sz w:val="24"/>
          <w:szCs w:val="24"/>
        </w:rPr>
        <w:t>Cordialmente,</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CD7281" w:rsidRPr="00D949A8" w14:paraId="2535EFC1" w14:textId="77777777" w:rsidTr="004F7F84">
        <w:trPr>
          <w:trHeight w:val="420"/>
        </w:trPr>
        <w:tc>
          <w:tcPr>
            <w:tcW w:w="9028" w:type="dxa"/>
            <w:gridSpan w:val="2"/>
            <w:shd w:val="clear" w:color="auto" w:fill="auto"/>
            <w:tcMar>
              <w:top w:w="100" w:type="dxa"/>
              <w:left w:w="100" w:type="dxa"/>
              <w:bottom w:w="100" w:type="dxa"/>
              <w:right w:w="100" w:type="dxa"/>
            </w:tcMar>
          </w:tcPr>
          <w:p w14:paraId="46D5D73E" w14:textId="77777777" w:rsidR="00CD7281" w:rsidRPr="00D949A8" w:rsidRDefault="00CD7281" w:rsidP="004F7F84">
            <w:pPr>
              <w:widowControl w:val="0"/>
              <w:spacing w:line="240" w:lineRule="auto"/>
              <w:rPr>
                <w:rFonts w:ascii="Bookman Old Style" w:hAnsi="Bookman Old Style"/>
              </w:rPr>
            </w:pPr>
          </w:p>
          <w:p w14:paraId="14AF2D62" w14:textId="77777777" w:rsidR="00CD7281" w:rsidRPr="00D949A8" w:rsidRDefault="00CD7281" w:rsidP="004F7F84">
            <w:pPr>
              <w:widowControl w:val="0"/>
              <w:spacing w:after="0" w:line="240" w:lineRule="auto"/>
              <w:jc w:val="center"/>
              <w:rPr>
                <w:rFonts w:ascii="Bookman Old Style" w:hAnsi="Bookman Old Style" w:cs="Arial"/>
                <w:b/>
              </w:rPr>
            </w:pPr>
            <w:r w:rsidRPr="00D949A8">
              <w:rPr>
                <w:rFonts w:ascii="Bookman Old Style" w:hAnsi="Bookman Old Style" w:cs="Arial"/>
                <w:b/>
              </w:rPr>
              <w:t>GERMÁN ROGELIO ROZO ANÍS</w:t>
            </w:r>
          </w:p>
          <w:p w14:paraId="1F6CC37F" w14:textId="77777777" w:rsidR="00CD7281" w:rsidRPr="00D949A8" w:rsidRDefault="00CD7281" w:rsidP="004F7F84">
            <w:pPr>
              <w:widowControl w:val="0"/>
              <w:spacing w:after="0" w:line="240" w:lineRule="auto"/>
              <w:jc w:val="center"/>
              <w:rPr>
                <w:rFonts w:ascii="Bookman Old Style" w:hAnsi="Bookman Old Style" w:cs="Arial"/>
              </w:rPr>
            </w:pPr>
            <w:r w:rsidRPr="00D949A8">
              <w:rPr>
                <w:rFonts w:ascii="Bookman Old Style" w:hAnsi="Bookman Old Style" w:cs="Arial"/>
              </w:rPr>
              <w:t>Representante a la Cámara</w:t>
            </w:r>
          </w:p>
          <w:p w14:paraId="2A94B023" w14:textId="77777777" w:rsidR="00CD7281" w:rsidRPr="00D949A8" w:rsidRDefault="00CD7281" w:rsidP="004F7F84">
            <w:pPr>
              <w:widowControl w:val="0"/>
              <w:spacing w:after="0" w:line="240" w:lineRule="auto"/>
              <w:jc w:val="center"/>
              <w:rPr>
                <w:rFonts w:ascii="Bookman Old Style" w:hAnsi="Bookman Old Style"/>
              </w:rPr>
            </w:pPr>
            <w:r w:rsidRPr="00D949A8">
              <w:rPr>
                <w:rFonts w:ascii="Bookman Old Style" w:hAnsi="Bookman Old Style" w:cs="Arial"/>
              </w:rPr>
              <w:t>Departamento de Arauca</w:t>
            </w:r>
          </w:p>
        </w:tc>
      </w:tr>
      <w:tr w:rsidR="00CD7281" w:rsidRPr="00D949A8" w14:paraId="177ED6A7" w14:textId="77777777" w:rsidTr="004F7F84">
        <w:tc>
          <w:tcPr>
            <w:tcW w:w="4514" w:type="dxa"/>
            <w:shd w:val="clear" w:color="auto" w:fill="auto"/>
            <w:tcMar>
              <w:top w:w="100" w:type="dxa"/>
              <w:left w:w="100" w:type="dxa"/>
              <w:bottom w:w="100" w:type="dxa"/>
              <w:right w:w="100" w:type="dxa"/>
            </w:tcMar>
          </w:tcPr>
          <w:p w14:paraId="213B8C11" w14:textId="77777777" w:rsidR="00CD7281" w:rsidRPr="00D949A8" w:rsidRDefault="00CD7281" w:rsidP="004F7F84">
            <w:pPr>
              <w:widowControl w:val="0"/>
              <w:spacing w:line="240" w:lineRule="auto"/>
              <w:rPr>
                <w:rFonts w:ascii="Bookman Old Style" w:hAnsi="Bookman Old Style"/>
              </w:rPr>
            </w:pPr>
          </w:p>
          <w:p w14:paraId="0479308F" w14:textId="77777777" w:rsidR="00CD7281" w:rsidRPr="00D949A8" w:rsidRDefault="00CD7281" w:rsidP="004F7F84">
            <w:pPr>
              <w:widowControl w:val="0"/>
              <w:spacing w:line="240" w:lineRule="auto"/>
              <w:rPr>
                <w:rFonts w:ascii="Bookman Old Style" w:hAnsi="Bookman Old Style"/>
              </w:rPr>
            </w:pPr>
          </w:p>
          <w:p w14:paraId="3848A342" w14:textId="77777777" w:rsidR="00CD7281" w:rsidRPr="00D949A8" w:rsidRDefault="00CD7281" w:rsidP="004F7F84">
            <w:pPr>
              <w:spacing w:line="240" w:lineRule="auto"/>
              <w:jc w:val="center"/>
              <w:rPr>
                <w:rFonts w:ascii="Bookman Old Style" w:hAnsi="Bookman Old Style"/>
              </w:rPr>
            </w:pPr>
          </w:p>
        </w:tc>
        <w:tc>
          <w:tcPr>
            <w:tcW w:w="4514" w:type="dxa"/>
            <w:shd w:val="clear" w:color="auto" w:fill="auto"/>
            <w:tcMar>
              <w:top w:w="100" w:type="dxa"/>
              <w:left w:w="100" w:type="dxa"/>
              <w:bottom w:w="100" w:type="dxa"/>
              <w:right w:w="100" w:type="dxa"/>
            </w:tcMar>
          </w:tcPr>
          <w:p w14:paraId="55ABF57D" w14:textId="77777777" w:rsidR="00CD7281" w:rsidRPr="00D949A8" w:rsidRDefault="00CD7281" w:rsidP="004F7F84">
            <w:pPr>
              <w:widowControl w:val="0"/>
              <w:spacing w:line="240" w:lineRule="auto"/>
              <w:rPr>
                <w:rFonts w:ascii="Bookman Old Style" w:hAnsi="Bookman Old Style"/>
              </w:rPr>
            </w:pPr>
          </w:p>
          <w:p w14:paraId="40F5A66F" w14:textId="77777777" w:rsidR="00CD7281" w:rsidRPr="00D949A8" w:rsidRDefault="00CD7281" w:rsidP="004F7F84">
            <w:pPr>
              <w:widowControl w:val="0"/>
              <w:spacing w:line="240" w:lineRule="auto"/>
              <w:rPr>
                <w:rFonts w:ascii="Bookman Old Style" w:hAnsi="Bookman Old Style"/>
              </w:rPr>
            </w:pPr>
          </w:p>
          <w:p w14:paraId="2AFECAFD" w14:textId="77777777" w:rsidR="00CD7281" w:rsidRPr="00D949A8" w:rsidRDefault="00CD7281" w:rsidP="004F7F84">
            <w:pPr>
              <w:widowControl w:val="0"/>
              <w:spacing w:line="240" w:lineRule="auto"/>
              <w:rPr>
                <w:rFonts w:ascii="Bookman Old Style" w:hAnsi="Bookman Old Style"/>
              </w:rPr>
            </w:pPr>
          </w:p>
          <w:p w14:paraId="0BBE1D83" w14:textId="77777777" w:rsidR="00CD7281" w:rsidRPr="00D949A8" w:rsidRDefault="00CD7281" w:rsidP="004F7F84">
            <w:pPr>
              <w:spacing w:line="240" w:lineRule="auto"/>
              <w:jc w:val="center"/>
              <w:rPr>
                <w:rFonts w:ascii="Bookman Old Style" w:hAnsi="Bookman Old Style"/>
              </w:rPr>
            </w:pPr>
          </w:p>
        </w:tc>
      </w:tr>
      <w:tr w:rsidR="00CD7281" w:rsidRPr="00D949A8" w14:paraId="6672FAEF" w14:textId="77777777" w:rsidTr="004F7F84">
        <w:trPr>
          <w:trHeight w:val="1013"/>
        </w:trPr>
        <w:tc>
          <w:tcPr>
            <w:tcW w:w="4514" w:type="dxa"/>
            <w:shd w:val="clear" w:color="auto" w:fill="auto"/>
            <w:tcMar>
              <w:top w:w="100" w:type="dxa"/>
              <w:left w:w="100" w:type="dxa"/>
              <w:bottom w:w="100" w:type="dxa"/>
              <w:right w:w="100" w:type="dxa"/>
            </w:tcMar>
          </w:tcPr>
          <w:p w14:paraId="77FD70A6" w14:textId="77777777" w:rsidR="00CD7281" w:rsidRPr="00D949A8" w:rsidRDefault="00CD7281" w:rsidP="004F7F84">
            <w:pPr>
              <w:spacing w:line="240" w:lineRule="auto"/>
              <w:rPr>
                <w:rFonts w:ascii="Bookman Old Style" w:hAnsi="Bookman Old Style"/>
              </w:rPr>
            </w:pPr>
          </w:p>
        </w:tc>
        <w:tc>
          <w:tcPr>
            <w:tcW w:w="4514" w:type="dxa"/>
            <w:shd w:val="clear" w:color="auto" w:fill="auto"/>
            <w:tcMar>
              <w:top w:w="100" w:type="dxa"/>
              <w:left w:w="100" w:type="dxa"/>
              <w:bottom w:w="100" w:type="dxa"/>
              <w:right w:w="100" w:type="dxa"/>
            </w:tcMar>
          </w:tcPr>
          <w:p w14:paraId="50D7820C" w14:textId="77777777" w:rsidR="00CD7281" w:rsidRPr="00D949A8" w:rsidRDefault="00CD7281" w:rsidP="004F7F84">
            <w:pPr>
              <w:widowControl w:val="0"/>
              <w:spacing w:line="240" w:lineRule="auto"/>
              <w:rPr>
                <w:rFonts w:ascii="Bookman Old Style" w:hAnsi="Bookman Old Style"/>
              </w:rPr>
            </w:pPr>
          </w:p>
          <w:p w14:paraId="76A4D601" w14:textId="77777777" w:rsidR="00CD7281" w:rsidRPr="00D949A8" w:rsidRDefault="00CD7281" w:rsidP="004F7F84">
            <w:pPr>
              <w:widowControl w:val="0"/>
              <w:spacing w:line="240" w:lineRule="auto"/>
              <w:rPr>
                <w:rFonts w:ascii="Bookman Old Style" w:hAnsi="Bookman Old Style"/>
              </w:rPr>
            </w:pPr>
          </w:p>
          <w:p w14:paraId="2CB2E7CA" w14:textId="77777777" w:rsidR="00CD7281" w:rsidRPr="00D949A8" w:rsidRDefault="00CD7281" w:rsidP="004F7F84">
            <w:pPr>
              <w:spacing w:line="240" w:lineRule="auto"/>
              <w:jc w:val="center"/>
              <w:rPr>
                <w:rFonts w:ascii="Bookman Old Style" w:hAnsi="Bookman Old Style"/>
              </w:rPr>
            </w:pPr>
          </w:p>
        </w:tc>
      </w:tr>
      <w:tr w:rsidR="00CD7281" w:rsidRPr="00D949A8" w14:paraId="2E940D5A" w14:textId="77777777" w:rsidTr="004F7F84">
        <w:trPr>
          <w:trHeight w:val="1013"/>
        </w:trPr>
        <w:tc>
          <w:tcPr>
            <w:tcW w:w="4514" w:type="dxa"/>
            <w:shd w:val="clear" w:color="auto" w:fill="auto"/>
            <w:tcMar>
              <w:top w:w="100" w:type="dxa"/>
              <w:left w:w="100" w:type="dxa"/>
              <w:bottom w:w="100" w:type="dxa"/>
              <w:right w:w="100" w:type="dxa"/>
            </w:tcMar>
          </w:tcPr>
          <w:p w14:paraId="641198C2" w14:textId="77777777" w:rsidR="00CD7281" w:rsidRPr="00D949A8" w:rsidRDefault="00CD7281" w:rsidP="004F7F84">
            <w:pPr>
              <w:spacing w:line="240" w:lineRule="auto"/>
              <w:rPr>
                <w:rFonts w:ascii="Bookman Old Style" w:hAnsi="Bookman Old Style"/>
              </w:rPr>
            </w:pPr>
          </w:p>
        </w:tc>
        <w:tc>
          <w:tcPr>
            <w:tcW w:w="4514" w:type="dxa"/>
            <w:shd w:val="clear" w:color="auto" w:fill="auto"/>
            <w:tcMar>
              <w:top w:w="100" w:type="dxa"/>
              <w:left w:w="100" w:type="dxa"/>
              <w:bottom w:w="100" w:type="dxa"/>
              <w:right w:w="100" w:type="dxa"/>
            </w:tcMar>
          </w:tcPr>
          <w:p w14:paraId="121E46F0" w14:textId="77777777" w:rsidR="00CD7281" w:rsidRPr="00D949A8" w:rsidRDefault="00CD7281" w:rsidP="004F7F84">
            <w:pPr>
              <w:widowControl w:val="0"/>
              <w:spacing w:line="240" w:lineRule="auto"/>
              <w:rPr>
                <w:rFonts w:ascii="Bookman Old Style" w:hAnsi="Bookman Old Style"/>
              </w:rPr>
            </w:pPr>
          </w:p>
        </w:tc>
      </w:tr>
    </w:tbl>
    <w:p w14:paraId="2F07D560" w14:textId="77777777" w:rsidR="000D5DD1" w:rsidRPr="00A0650F" w:rsidRDefault="000D5DD1" w:rsidP="00CD7281">
      <w:pPr>
        <w:spacing w:after="160" w:line="240" w:lineRule="auto"/>
        <w:contextualSpacing/>
        <w:jc w:val="both"/>
        <w:textAlignment w:val="baseline"/>
        <w:rPr>
          <w:rFonts w:ascii="Bookman Old Style" w:eastAsia="Times New Roman" w:hAnsi="Bookman Old Style" w:cs="Arial"/>
          <w:b/>
          <w:bCs/>
          <w:color w:val="1C1C1C"/>
          <w:sz w:val="24"/>
          <w:szCs w:val="24"/>
          <w:lang w:val="es-ES_tradnl" w:eastAsia="es-CO"/>
        </w:rPr>
      </w:pPr>
    </w:p>
    <w:p w14:paraId="1CB5E5AD" w14:textId="77777777" w:rsidR="000D5DD1" w:rsidRPr="00A0650F" w:rsidRDefault="000D5DD1" w:rsidP="00CD7281">
      <w:pPr>
        <w:spacing w:after="160" w:line="240" w:lineRule="auto"/>
        <w:contextualSpacing/>
        <w:jc w:val="center"/>
        <w:textAlignment w:val="baseline"/>
        <w:rPr>
          <w:rFonts w:ascii="Bookman Old Style" w:eastAsia="Times New Roman" w:hAnsi="Bookman Old Style" w:cs="Arial"/>
          <w:b/>
          <w:bCs/>
          <w:color w:val="1C1C1C"/>
          <w:sz w:val="24"/>
          <w:szCs w:val="24"/>
          <w:lang w:val="es-ES_tradnl" w:eastAsia="es-CO"/>
        </w:rPr>
      </w:pPr>
    </w:p>
    <w:p w14:paraId="65B75852" w14:textId="77777777" w:rsidR="000D5DD1" w:rsidRPr="00A0650F" w:rsidRDefault="000D5DD1" w:rsidP="00CD7281">
      <w:pPr>
        <w:spacing w:after="160" w:line="240" w:lineRule="auto"/>
        <w:contextualSpacing/>
        <w:jc w:val="center"/>
        <w:textAlignment w:val="baseline"/>
        <w:rPr>
          <w:rFonts w:ascii="Bookman Old Style" w:eastAsia="Times New Roman" w:hAnsi="Bookman Old Style" w:cs="Arial"/>
          <w:b/>
          <w:bCs/>
          <w:color w:val="1C1C1C"/>
          <w:sz w:val="24"/>
          <w:szCs w:val="24"/>
          <w:lang w:val="es-ES_tradnl" w:eastAsia="es-CO"/>
        </w:rPr>
      </w:pPr>
    </w:p>
    <w:p w14:paraId="1119AD81" w14:textId="77777777" w:rsidR="000D5DD1" w:rsidRPr="00A0650F" w:rsidRDefault="000D5DD1" w:rsidP="00CD7281">
      <w:pPr>
        <w:spacing w:after="160" w:line="240" w:lineRule="auto"/>
        <w:contextualSpacing/>
        <w:jc w:val="center"/>
        <w:textAlignment w:val="baseline"/>
        <w:rPr>
          <w:rFonts w:ascii="Bookman Old Style" w:eastAsia="Times New Roman" w:hAnsi="Bookman Old Style" w:cs="Arial"/>
          <w:b/>
          <w:bCs/>
          <w:color w:val="1C1C1C"/>
          <w:sz w:val="24"/>
          <w:szCs w:val="24"/>
          <w:lang w:val="es-ES_tradnl" w:eastAsia="es-CO"/>
        </w:rPr>
      </w:pPr>
    </w:p>
    <w:p w14:paraId="2F9A2C91" w14:textId="77777777" w:rsidR="000D5DD1" w:rsidRPr="00A0650F" w:rsidRDefault="000D5DD1" w:rsidP="00CD7281">
      <w:pPr>
        <w:spacing w:after="160" w:line="240" w:lineRule="auto"/>
        <w:contextualSpacing/>
        <w:jc w:val="center"/>
        <w:textAlignment w:val="baseline"/>
        <w:rPr>
          <w:rFonts w:ascii="Bookman Old Style" w:eastAsia="Times New Roman" w:hAnsi="Bookman Old Style" w:cs="Arial"/>
          <w:b/>
          <w:bCs/>
          <w:color w:val="1C1C1C"/>
          <w:sz w:val="24"/>
          <w:szCs w:val="24"/>
          <w:lang w:val="es-ES_tradnl" w:eastAsia="es-CO"/>
        </w:rPr>
      </w:pPr>
    </w:p>
    <w:p w14:paraId="1D597ED6" w14:textId="77777777" w:rsidR="000D5DD1" w:rsidRPr="00A0650F" w:rsidRDefault="000D5DD1" w:rsidP="00CD7281">
      <w:pPr>
        <w:spacing w:after="160" w:line="240" w:lineRule="auto"/>
        <w:contextualSpacing/>
        <w:jc w:val="center"/>
        <w:textAlignment w:val="baseline"/>
        <w:rPr>
          <w:rFonts w:ascii="Bookman Old Style" w:eastAsia="Times New Roman" w:hAnsi="Bookman Old Style" w:cs="Arial"/>
          <w:b/>
          <w:bCs/>
          <w:color w:val="1C1C1C"/>
          <w:sz w:val="24"/>
          <w:szCs w:val="24"/>
          <w:lang w:val="es-ES_tradnl" w:eastAsia="es-CO"/>
        </w:rPr>
      </w:pPr>
    </w:p>
    <w:p w14:paraId="425BCCED" w14:textId="77777777" w:rsidR="000D5DD1" w:rsidRPr="00A0650F" w:rsidRDefault="000D5DD1" w:rsidP="00CD7281">
      <w:pPr>
        <w:spacing w:after="160" w:line="240" w:lineRule="auto"/>
        <w:contextualSpacing/>
        <w:jc w:val="center"/>
        <w:textAlignment w:val="baseline"/>
        <w:rPr>
          <w:rFonts w:ascii="Bookman Old Style" w:eastAsia="Times New Roman" w:hAnsi="Bookman Old Style" w:cs="Arial"/>
          <w:b/>
          <w:bCs/>
          <w:color w:val="1C1C1C"/>
          <w:sz w:val="24"/>
          <w:szCs w:val="24"/>
          <w:lang w:val="es-ES_tradnl" w:eastAsia="es-CO"/>
        </w:rPr>
      </w:pPr>
    </w:p>
    <w:p w14:paraId="3B73D28D" w14:textId="23965E55" w:rsidR="000D5DD1" w:rsidRDefault="000D5DD1" w:rsidP="00CD7281">
      <w:pPr>
        <w:spacing w:after="160" w:line="240" w:lineRule="auto"/>
        <w:contextualSpacing/>
        <w:jc w:val="center"/>
        <w:textAlignment w:val="baseline"/>
        <w:rPr>
          <w:rFonts w:ascii="Bookman Old Style" w:eastAsia="Times New Roman" w:hAnsi="Bookman Old Style" w:cs="Arial"/>
          <w:b/>
          <w:bCs/>
          <w:color w:val="1C1C1C"/>
          <w:sz w:val="24"/>
          <w:szCs w:val="24"/>
          <w:lang w:val="es-ES_tradnl" w:eastAsia="es-CO"/>
        </w:rPr>
      </w:pPr>
    </w:p>
    <w:p w14:paraId="5AADA50A" w14:textId="52A15962" w:rsidR="00CD7281" w:rsidRDefault="00CD7281" w:rsidP="00CD7281">
      <w:pPr>
        <w:spacing w:after="160" w:line="240" w:lineRule="auto"/>
        <w:contextualSpacing/>
        <w:jc w:val="center"/>
        <w:textAlignment w:val="baseline"/>
        <w:rPr>
          <w:rFonts w:ascii="Bookman Old Style" w:eastAsia="Times New Roman" w:hAnsi="Bookman Old Style" w:cs="Arial"/>
          <w:b/>
          <w:bCs/>
          <w:color w:val="1C1C1C"/>
          <w:sz w:val="24"/>
          <w:szCs w:val="24"/>
          <w:lang w:val="es-ES_tradnl" w:eastAsia="es-CO"/>
        </w:rPr>
      </w:pPr>
    </w:p>
    <w:p w14:paraId="12EEDBE5" w14:textId="7076AB1E" w:rsidR="00CD7281" w:rsidRDefault="00CD7281" w:rsidP="00CD7281">
      <w:pPr>
        <w:spacing w:after="160" w:line="240" w:lineRule="auto"/>
        <w:contextualSpacing/>
        <w:jc w:val="center"/>
        <w:textAlignment w:val="baseline"/>
        <w:rPr>
          <w:rFonts w:ascii="Bookman Old Style" w:eastAsia="Times New Roman" w:hAnsi="Bookman Old Style" w:cs="Arial"/>
          <w:b/>
          <w:bCs/>
          <w:color w:val="1C1C1C"/>
          <w:sz w:val="24"/>
          <w:szCs w:val="24"/>
          <w:lang w:val="es-ES_tradnl" w:eastAsia="es-CO"/>
        </w:rPr>
      </w:pPr>
    </w:p>
    <w:p w14:paraId="138F9051" w14:textId="77777777" w:rsidR="00CD7281" w:rsidRPr="00A0650F" w:rsidRDefault="00CD7281" w:rsidP="00CD7281">
      <w:pPr>
        <w:spacing w:after="160" w:line="240" w:lineRule="auto"/>
        <w:contextualSpacing/>
        <w:jc w:val="center"/>
        <w:textAlignment w:val="baseline"/>
        <w:rPr>
          <w:rFonts w:ascii="Bookman Old Style" w:eastAsia="Times New Roman" w:hAnsi="Bookman Old Style" w:cs="Arial"/>
          <w:b/>
          <w:bCs/>
          <w:color w:val="1C1C1C"/>
          <w:sz w:val="24"/>
          <w:szCs w:val="24"/>
          <w:lang w:val="es-ES_tradnl" w:eastAsia="es-CO"/>
        </w:rPr>
      </w:pPr>
    </w:p>
    <w:p w14:paraId="60A5FCD8" w14:textId="77777777" w:rsidR="000D5DD1" w:rsidRPr="00A0650F" w:rsidRDefault="000D5DD1" w:rsidP="00CD7281">
      <w:pPr>
        <w:spacing w:after="160" w:line="240" w:lineRule="auto"/>
        <w:contextualSpacing/>
        <w:jc w:val="center"/>
        <w:textAlignment w:val="baseline"/>
        <w:rPr>
          <w:rFonts w:ascii="Bookman Old Style" w:eastAsia="Times New Roman" w:hAnsi="Bookman Old Style" w:cs="Arial"/>
          <w:b/>
          <w:bCs/>
          <w:color w:val="1C1C1C"/>
          <w:sz w:val="24"/>
          <w:szCs w:val="24"/>
          <w:lang w:val="es-ES_tradnl" w:eastAsia="es-CO"/>
        </w:rPr>
      </w:pPr>
    </w:p>
    <w:p w14:paraId="240C472A" w14:textId="606AA044" w:rsidR="000D5DD1" w:rsidRDefault="000D5DD1" w:rsidP="00CD7281">
      <w:pPr>
        <w:spacing w:after="160" w:line="240" w:lineRule="auto"/>
        <w:contextualSpacing/>
        <w:jc w:val="center"/>
        <w:textAlignment w:val="baseline"/>
        <w:rPr>
          <w:rFonts w:ascii="Bookman Old Style" w:eastAsia="Times New Roman" w:hAnsi="Bookman Old Style" w:cs="Arial"/>
          <w:b/>
          <w:bCs/>
          <w:color w:val="1C1C1C"/>
          <w:sz w:val="24"/>
          <w:szCs w:val="24"/>
          <w:lang w:val="es-ES_tradnl" w:eastAsia="es-CO"/>
        </w:rPr>
      </w:pPr>
    </w:p>
    <w:p w14:paraId="7593394D" w14:textId="00D0F6F6" w:rsidR="00A0650F" w:rsidRDefault="00A0650F" w:rsidP="00CD7281">
      <w:pPr>
        <w:spacing w:after="160" w:line="240" w:lineRule="auto"/>
        <w:contextualSpacing/>
        <w:jc w:val="center"/>
        <w:textAlignment w:val="baseline"/>
        <w:rPr>
          <w:rFonts w:ascii="Bookman Old Style" w:eastAsia="Times New Roman" w:hAnsi="Bookman Old Style" w:cs="Arial"/>
          <w:b/>
          <w:bCs/>
          <w:color w:val="1C1C1C"/>
          <w:sz w:val="24"/>
          <w:szCs w:val="24"/>
          <w:lang w:val="es-ES_tradnl" w:eastAsia="es-CO"/>
        </w:rPr>
      </w:pPr>
    </w:p>
    <w:p w14:paraId="6B9EF6DC" w14:textId="4C71384E" w:rsidR="00CD7281" w:rsidRDefault="00CD7281" w:rsidP="00CD7281">
      <w:pPr>
        <w:spacing w:after="160" w:line="240" w:lineRule="auto"/>
        <w:contextualSpacing/>
        <w:jc w:val="center"/>
        <w:textAlignment w:val="baseline"/>
        <w:rPr>
          <w:rFonts w:ascii="Bookman Old Style" w:eastAsia="Times New Roman" w:hAnsi="Bookman Old Style" w:cs="Arial"/>
          <w:b/>
          <w:bCs/>
          <w:color w:val="1C1C1C"/>
          <w:sz w:val="24"/>
          <w:szCs w:val="24"/>
          <w:lang w:val="es-ES_tradnl" w:eastAsia="es-CO"/>
        </w:rPr>
      </w:pPr>
    </w:p>
    <w:p w14:paraId="2E89DA62" w14:textId="798BB777" w:rsidR="00CD7281" w:rsidRDefault="00CD7281" w:rsidP="00CD7281">
      <w:pPr>
        <w:spacing w:after="160" w:line="240" w:lineRule="auto"/>
        <w:contextualSpacing/>
        <w:jc w:val="center"/>
        <w:textAlignment w:val="baseline"/>
        <w:rPr>
          <w:rFonts w:ascii="Bookman Old Style" w:eastAsia="Times New Roman" w:hAnsi="Bookman Old Style" w:cs="Arial"/>
          <w:b/>
          <w:bCs/>
          <w:color w:val="1C1C1C"/>
          <w:sz w:val="24"/>
          <w:szCs w:val="24"/>
          <w:lang w:val="es-ES_tradnl" w:eastAsia="es-CO"/>
        </w:rPr>
      </w:pPr>
    </w:p>
    <w:p w14:paraId="000A5695" w14:textId="27A83978" w:rsidR="00CD7281" w:rsidRDefault="00CD7281" w:rsidP="00CD7281">
      <w:pPr>
        <w:spacing w:after="160" w:line="240" w:lineRule="auto"/>
        <w:contextualSpacing/>
        <w:jc w:val="center"/>
        <w:textAlignment w:val="baseline"/>
        <w:rPr>
          <w:rFonts w:ascii="Bookman Old Style" w:eastAsia="Times New Roman" w:hAnsi="Bookman Old Style" w:cs="Arial"/>
          <w:b/>
          <w:bCs/>
          <w:color w:val="1C1C1C"/>
          <w:sz w:val="24"/>
          <w:szCs w:val="24"/>
          <w:lang w:val="es-ES_tradnl" w:eastAsia="es-CO"/>
        </w:rPr>
      </w:pPr>
    </w:p>
    <w:p w14:paraId="7BB171EE" w14:textId="616CADEC" w:rsidR="00CD7281" w:rsidRDefault="00CD7281" w:rsidP="00CD7281">
      <w:pPr>
        <w:spacing w:after="160" w:line="240" w:lineRule="auto"/>
        <w:contextualSpacing/>
        <w:jc w:val="center"/>
        <w:textAlignment w:val="baseline"/>
        <w:rPr>
          <w:rFonts w:ascii="Bookman Old Style" w:eastAsia="Times New Roman" w:hAnsi="Bookman Old Style" w:cs="Arial"/>
          <w:b/>
          <w:bCs/>
          <w:color w:val="1C1C1C"/>
          <w:sz w:val="24"/>
          <w:szCs w:val="24"/>
          <w:lang w:val="es-ES_tradnl" w:eastAsia="es-CO"/>
        </w:rPr>
      </w:pPr>
    </w:p>
    <w:p w14:paraId="21591752" w14:textId="71E05D6F" w:rsidR="00CD7281" w:rsidRDefault="00CD7281" w:rsidP="00CD7281">
      <w:pPr>
        <w:spacing w:after="160" w:line="240" w:lineRule="auto"/>
        <w:contextualSpacing/>
        <w:jc w:val="center"/>
        <w:textAlignment w:val="baseline"/>
        <w:rPr>
          <w:rFonts w:ascii="Bookman Old Style" w:eastAsia="Times New Roman" w:hAnsi="Bookman Old Style" w:cs="Arial"/>
          <w:b/>
          <w:bCs/>
          <w:color w:val="1C1C1C"/>
          <w:sz w:val="24"/>
          <w:szCs w:val="24"/>
          <w:lang w:val="es-ES_tradnl" w:eastAsia="es-CO"/>
        </w:rPr>
      </w:pPr>
    </w:p>
    <w:p w14:paraId="476D5174" w14:textId="47DA98CC" w:rsidR="00CD7281" w:rsidRDefault="00CD7281" w:rsidP="00CD7281">
      <w:pPr>
        <w:spacing w:after="160" w:line="240" w:lineRule="auto"/>
        <w:contextualSpacing/>
        <w:jc w:val="center"/>
        <w:textAlignment w:val="baseline"/>
        <w:rPr>
          <w:rFonts w:ascii="Bookman Old Style" w:eastAsia="Times New Roman" w:hAnsi="Bookman Old Style" w:cs="Arial"/>
          <w:b/>
          <w:bCs/>
          <w:color w:val="1C1C1C"/>
          <w:sz w:val="24"/>
          <w:szCs w:val="24"/>
          <w:lang w:val="es-ES_tradnl" w:eastAsia="es-CO"/>
        </w:rPr>
      </w:pPr>
    </w:p>
    <w:p w14:paraId="282492CB" w14:textId="1E203091" w:rsidR="00CD7281" w:rsidRDefault="00CD7281" w:rsidP="00CD7281">
      <w:pPr>
        <w:spacing w:after="160" w:line="240" w:lineRule="auto"/>
        <w:contextualSpacing/>
        <w:jc w:val="center"/>
        <w:textAlignment w:val="baseline"/>
        <w:rPr>
          <w:rFonts w:ascii="Bookman Old Style" w:eastAsia="Times New Roman" w:hAnsi="Bookman Old Style" w:cs="Arial"/>
          <w:b/>
          <w:bCs/>
          <w:color w:val="1C1C1C"/>
          <w:sz w:val="24"/>
          <w:szCs w:val="24"/>
          <w:lang w:val="es-ES_tradnl" w:eastAsia="es-CO"/>
        </w:rPr>
      </w:pPr>
    </w:p>
    <w:p w14:paraId="53F3F4B4" w14:textId="50FF88E9" w:rsidR="00CD7281" w:rsidRDefault="00CD7281" w:rsidP="00CD7281">
      <w:pPr>
        <w:spacing w:after="160" w:line="240" w:lineRule="auto"/>
        <w:contextualSpacing/>
        <w:jc w:val="center"/>
        <w:textAlignment w:val="baseline"/>
        <w:rPr>
          <w:rFonts w:ascii="Bookman Old Style" w:eastAsia="Times New Roman" w:hAnsi="Bookman Old Style" w:cs="Arial"/>
          <w:b/>
          <w:bCs/>
          <w:color w:val="1C1C1C"/>
          <w:sz w:val="24"/>
          <w:szCs w:val="24"/>
          <w:lang w:val="es-ES_tradnl" w:eastAsia="es-CO"/>
        </w:rPr>
      </w:pPr>
    </w:p>
    <w:p w14:paraId="76344595" w14:textId="4E5E5765" w:rsidR="00CD7281" w:rsidRDefault="00CD7281" w:rsidP="00CD7281">
      <w:pPr>
        <w:spacing w:after="160" w:line="240" w:lineRule="auto"/>
        <w:contextualSpacing/>
        <w:jc w:val="center"/>
        <w:textAlignment w:val="baseline"/>
        <w:rPr>
          <w:rFonts w:ascii="Bookman Old Style" w:eastAsia="Times New Roman" w:hAnsi="Bookman Old Style" w:cs="Arial"/>
          <w:b/>
          <w:bCs/>
          <w:color w:val="1C1C1C"/>
          <w:sz w:val="24"/>
          <w:szCs w:val="24"/>
          <w:lang w:val="es-ES_tradnl" w:eastAsia="es-CO"/>
        </w:rPr>
      </w:pPr>
    </w:p>
    <w:p w14:paraId="144B97AF" w14:textId="3306CDD2" w:rsidR="00CD7281" w:rsidRDefault="00CD7281" w:rsidP="00CD7281">
      <w:pPr>
        <w:spacing w:after="160" w:line="240" w:lineRule="auto"/>
        <w:contextualSpacing/>
        <w:jc w:val="center"/>
        <w:textAlignment w:val="baseline"/>
        <w:rPr>
          <w:rFonts w:ascii="Bookman Old Style" w:eastAsia="Times New Roman" w:hAnsi="Bookman Old Style" w:cs="Arial"/>
          <w:b/>
          <w:bCs/>
          <w:color w:val="1C1C1C"/>
          <w:sz w:val="24"/>
          <w:szCs w:val="24"/>
          <w:lang w:val="es-ES_tradnl" w:eastAsia="es-CO"/>
        </w:rPr>
      </w:pPr>
    </w:p>
    <w:p w14:paraId="2712C270" w14:textId="15BA11AA" w:rsidR="00CD7281" w:rsidRDefault="00CD7281" w:rsidP="00CD7281">
      <w:pPr>
        <w:spacing w:after="160" w:line="240" w:lineRule="auto"/>
        <w:contextualSpacing/>
        <w:jc w:val="center"/>
        <w:textAlignment w:val="baseline"/>
        <w:rPr>
          <w:rFonts w:ascii="Bookman Old Style" w:eastAsia="Times New Roman" w:hAnsi="Bookman Old Style" w:cs="Arial"/>
          <w:b/>
          <w:bCs/>
          <w:color w:val="1C1C1C"/>
          <w:sz w:val="24"/>
          <w:szCs w:val="24"/>
          <w:lang w:val="es-ES_tradnl" w:eastAsia="es-CO"/>
        </w:rPr>
      </w:pPr>
    </w:p>
    <w:p w14:paraId="1E446B78" w14:textId="41DBA3B9" w:rsidR="00CD7281" w:rsidRDefault="00CD7281" w:rsidP="00CD7281">
      <w:pPr>
        <w:spacing w:after="160" w:line="240" w:lineRule="auto"/>
        <w:contextualSpacing/>
        <w:jc w:val="center"/>
        <w:textAlignment w:val="baseline"/>
        <w:rPr>
          <w:rFonts w:ascii="Bookman Old Style" w:eastAsia="Times New Roman" w:hAnsi="Bookman Old Style" w:cs="Arial"/>
          <w:b/>
          <w:bCs/>
          <w:color w:val="1C1C1C"/>
          <w:sz w:val="24"/>
          <w:szCs w:val="24"/>
          <w:lang w:val="es-ES_tradnl" w:eastAsia="es-CO"/>
        </w:rPr>
      </w:pPr>
    </w:p>
    <w:p w14:paraId="2224D4D6" w14:textId="7A05ED68" w:rsidR="00CD7281" w:rsidRDefault="00CD7281" w:rsidP="00CD7281">
      <w:pPr>
        <w:spacing w:after="160" w:line="240" w:lineRule="auto"/>
        <w:contextualSpacing/>
        <w:jc w:val="center"/>
        <w:textAlignment w:val="baseline"/>
        <w:rPr>
          <w:rFonts w:ascii="Bookman Old Style" w:eastAsia="Times New Roman" w:hAnsi="Bookman Old Style" w:cs="Arial"/>
          <w:b/>
          <w:bCs/>
          <w:color w:val="1C1C1C"/>
          <w:sz w:val="24"/>
          <w:szCs w:val="24"/>
          <w:lang w:val="es-ES_tradnl" w:eastAsia="es-CO"/>
        </w:rPr>
      </w:pPr>
    </w:p>
    <w:p w14:paraId="50719C8D" w14:textId="318FAB1C" w:rsidR="00CD7281" w:rsidRDefault="00CD7281" w:rsidP="00CD7281">
      <w:pPr>
        <w:spacing w:after="160" w:line="240" w:lineRule="auto"/>
        <w:contextualSpacing/>
        <w:jc w:val="center"/>
        <w:textAlignment w:val="baseline"/>
        <w:rPr>
          <w:rFonts w:ascii="Bookman Old Style" w:eastAsia="Times New Roman" w:hAnsi="Bookman Old Style" w:cs="Arial"/>
          <w:b/>
          <w:bCs/>
          <w:color w:val="1C1C1C"/>
          <w:sz w:val="24"/>
          <w:szCs w:val="24"/>
          <w:lang w:val="es-ES_tradnl" w:eastAsia="es-CO"/>
        </w:rPr>
      </w:pPr>
    </w:p>
    <w:p w14:paraId="6FA41B80" w14:textId="05BFDE89" w:rsidR="00CD7281" w:rsidRDefault="00CD7281" w:rsidP="00CD7281">
      <w:pPr>
        <w:spacing w:after="160" w:line="240" w:lineRule="auto"/>
        <w:contextualSpacing/>
        <w:jc w:val="center"/>
        <w:textAlignment w:val="baseline"/>
        <w:rPr>
          <w:rFonts w:ascii="Bookman Old Style" w:eastAsia="Times New Roman" w:hAnsi="Bookman Old Style" w:cs="Arial"/>
          <w:b/>
          <w:bCs/>
          <w:color w:val="1C1C1C"/>
          <w:sz w:val="24"/>
          <w:szCs w:val="24"/>
          <w:lang w:val="es-ES_tradnl" w:eastAsia="es-CO"/>
        </w:rPr>
      </w:pPr>
    </w:p>
    <w:p w14:paraId="2CC8E9F0" w14:textId="77777777" w:rsidR="00CD7281" w:rsidRPr="00A0650F" w:rsidRDefault="00CD7281" w:rsidP="00CD7281">
      <w:pPr>
        <w:spacing w:after="160" w:line="240" w:lineRule="auto"/>
        <w:contextualSpacing/>
        <w:jc w:val="center"/>
        <w:textAlignment w:val="baseline"/>
        <w:rPr>
          <w:rFonts w:ascii="Bookman Old Style" w:eastAsia="Times New Roman" w:hAnsi="Bookman Old Style" w:cs="Arial"/>
          <w:b/>
          <w:bCs/>
          <w:color w:val="1C1C1C"/>
          <w:sz w:val="24"/>
          <w:szCs w:val="24"/>
          <w:lang w:val="es-ES_tradnl" w:eastAsia="es-CO"/>
        </w:rPr>
      </w:pPr>
    </w:p>
    <w:p w14:paraId="340A36B2" w14:textId="2D53F405" w:rsidR="000D5DD1" w:rsidRPr="00A0650F" w:rsidRDefault="000D5DD1" w:rsidP="00CD7281">
      <w:pPr>
        <w:spacing w:after="160" w:line="240" w:lineRule="auto"/>
        <w:contextualSpacing/>
        <w:textAlignment w:val="baseline"/>
        <w:rPr>
          <w:rFonts w:ascii="Bookman Old Style" w:eastAsia="Times New Roman" w:hAnsi="Bookman Old Style" w:cs="Arial"/>
          <w:b/>
          <w:bCs/>
          <w:color w:val="1C1C1C"/>
          <w:sz w:val="24"/>
          <w:szCs w:val="24"/>
          <w:lang w:val="es-ES_tradnl" w:eastAsia="es-CO"/>
        </w:rPr>
      </w:pPr>
    </w:p>
    <w:p w14:paraId="3B2065C8" w14:textId="0EC35A0A" w:rsidR="00DB3D19" w:rsidRPr="00A0650F" w:rsidRDefault="009C0E92" w:rsidP="00CD7281">
      <w:pPr>
        <w:spacing w:after="160" w:line="240" w:lineRule="auto"/>
        <w:contextualSpacing/>
        <w:jc w:val="center"/>
        <w:textAlignment w:val="baseline"/>
        <w:rPr>
          <w:rFonts w:ascii="Bookman Old Style" w:eastAsia="Times New Roman" w:hAnsi="Bookman Old Style" w:cs="Arial"/>
          <w:b/>
          <w:bCs/>
          <w:color w:val="1C1C1C"/>
          <w:sz w:val="24"/>
          <w:szCs w:val="24"/>
          <w:lang w:val="es-ES_tradnl" w:eastAsia="es-CO"/>
        </w:rPr>
      </w:pPr>
      <w:r w:rsidRPr="00A0650F">
        <w:rPr>
          <w:rFonts w:ascii="Bookman Old Style" w:eastAsia="Times New Roman" w:hAnsi="Bookman Old Style" w:cs="Arial"/>
          <w:b/>
          <w:bCs/>
          <w:color w:val="1C1C1C"/>
          <w:sz w:val="24"/>
          <w:szCs w:val="24"/>
          <w:lang w:val="es-ES_tradnl" w:eastAsia="es-CO"/>
        </w:rPr>
        <w:lastRenderedPageBreak/>
        <w:t>PROYECTO DE LEY No ____de 2024</w:t>
      </w:r>
      <w:r w:rsidR="00DB3D19" w:rsidRPr="00A0650F">
        <w:rPr>
          <w:rFonts w:ascii="Bookman Old Style" w:eastAsia="Times New Roman" w:hAnsi="Bookman Old Style" w:cs="Arial"/>
          <w:b/>
          <w:bCs/>
          <w:color w:val="1C1C1C"/>
          <w:sz w:val="24"/>
          <w:szCs w:val="24"/>
          <w:lang w:val="es-ES_tradnl" w:eastAsia="es-CO"/>
        </w:rPr>
        <w:t xml:space="preserve"> CÁ</w:t>
      </w:r>
      <w:bookmarkStart w:id="0" w:name="_GoBack"/>
      <w:bookmarkEnd w:id="0"/>
      <w:r w:rsidR="00DB3D19" w:rsidRPr="00A0650F">
        <w:rPr>
          <w:rFonts w:ascii="Bookman Old Style" w:eastAsia="Times New Roman" w:hAnsi="Bookman Old Style" w:cs="Arial"/>
          <w:b/>
          <w:bCs/>
          <w:color w:val="1C1C1C"/>
          <w:sz w:val="24"/>
          <w:szCs w:val="24"/>
          <w:lang w:val="es-ES_tradnl" w:eastAsia="es-CO"/>
        </w:rPr>
        <w:t>MARA “POR MED</w:t>
      </w:r>
      <w:r w:rsidR="00D83C27" w:rsidRPr="00A0650F">
        <w:rPr>
          <w:rFonts w:ascii="Bookman Old Style" w:eastAsia="Times New Roman" w:hAnsi="Bookman Old Style" w:cs="Arial"/>
          <w:b/>
          <w:bCs/>
          <w:color w:val="1C1C1C"/>
          <w:sz w:val="24"/>
          <w:szCs w:val="24"/>
          <w:lang w:val="es-ES_tradnl" w:eastAsia="es-CO"/>
        </w:rPr>
        <w:t>IO</w:t>
      </w:r>
      <w:r w:rsidR="00DB3D19" w:rsidRPr="00A0650F">
        <w:rPr>
          <w:rFonts w:ascii="Bookman Old Style" w:eastAsia="Times New Roman" w:hAnsi="Bookman Old Style" w:cs="Arial"/>
          <w:b/>
          <w:bCs/>
          <w:color w:val="1C1C1C"/>
          <w:sz w:val="24"/>
          <w:szCs w:val="24"/>
          <w:lang w:val="es-ES_tradnl" w:eastAsia="es-CO"/>
        </w:rPr>
        <w:t xml:space="preserve"> DEL CUAL SE DISPONE CONFORME AL PRINCIPIO DE LIBERTAD DE ESCOGENCIA LA AFILIACIÓN A LAS CAJAS DE COMPENSACIÓN FAMILIAR Y SE DICTAN OTRAS DISPOSICIONES”</w:t>
      </w:r>
    </w:p>
    <w:p w14:paraId="64ED7149" w14:textId="77777777" w:rsidR="00DB3D19" w:rsidRPr="00A0650F" w:rsidRDefault="00DB3D19" w:rsidP="00CD7281">
      <w:pPr>
        <w:spacing w:after="160" w:line="240" w:lineRule="auto"/>
        <w:contextualSpacing/>
        <w:jc w:val="center"/>
        <w:textAlignment w:val="baseline"/>
        <w:rPr>
          <w:rFonts w:ascii="Bookman Old Style" w:eastAsia="Times New Roman" w:hAnsi="Bookman Old Style" w:cs="Arial"/>
          <w:b/>
          <w:bCs/>
          <w:color w:val="1C1C1C"/>
          <w:sz w:val="24"/>
          <w:szCs w:val="24"/>
          <w:lang w:val="es-ES_tradnl" w:eastAsia="es-CO"/>
        </w:rPr>
      </w:pPr>
    </w:p>
    <w:p w14:paraId="11C8E3D0" w14:textId="7761E21C" w:rsidR="00DB3D19" w:rsidRPr="00A0650F" w:rsidRDefault="00DB3D19" w:rsidP="00CD7281">
      <w:pPr>
        <w:spacing w:after="160" w:line="240" w:lineRule="auto"/>
        <w:contextualSpacing/>
        <w:textAlignment w:val="baseline"/>
        <w:rPr>
          <w:rFonts w:ascii="Bookman Old Style" w:eastAsia="Times New Roman" w:hAnsi="Bookman Old Style" w:cs="Arial"/>
          <w:b/>
          <w:bCs/>
          <w:color w:val="1C1C1C"/>
          <w:sz w:val="24"/>
          <w:szCs w:val="24"/>
          <w:lang w:val="es-ES_tradnl" w:eastAsia="es-CO"/>
        </w:rPr>
      </w:pPr>
    </w:p>
    <w:p w14:paraId="62D853B7" w14:textId="77777777" w:rsidR="00DB3D19" w:rsidRPr="00A0650F" w:rsidRDefault="00DB3D19" w:rsidP="00CD7281">
      <w:pPr>
        <w:spacing w:after="160" w:line="240" w:lineRule="auto"/>
        <w:contextualSpacing/>
        <w:jc w:val="center"/>
        <w:textAlignment w:val="baseline"/>
        <w:rPr>
          <w:rFonts w:ascii="Bookman Old Style" w:eastAsia="Times New Roman" w:hAnsi="Bookman Old Style" w:cs="Arial"/>
          <w:b/>
          <w:bCs/>
          <w:color w:val="1C1C1C"/>
          <w:sz w:val="24"/>
          <w:szCs w:val="24"/>
          <w:lang w:val="es-ES_tradnl" w:eastAsia="es-CO"/>
        </w:rPr>
      </w:pPr>
      <w:r w:rsidRPr="00A0650F">
        <w:rPr>
          <w:rFonts w:ascii="Bookman Old Style" w:eastAsia="Times New Roman" w:hAnsi="Bookman Old Style" w:cs="Arial"/>
          <w:b/>
          <w:bCs/>
          <w:color w:val="1C1C1C"/>
          <w:sz w:val="24"/>
          <w:szCs w:val="24"/>
          <w:lang w:val="es-ES_tradnl" w:eastAsia="es-CO"/>
        </w:rPr>
        <w:t>El Congreso de Colombia,</w:t>
      </w:r>
    </w:p>
    <w:p w14:paraId="3224AA1E" w14:textId="5384B51B" w:rsidR="00DB3D19" w:rsidRPr="00A0650F" w:rsidRDefault="00DB3D19" w:rsidP="00CD7281">
      <w:pPr>
        <w:spacing w:after="160" w:line="240" w:lineRule="auto"/>
        <w:contextualSpacing/>
        <w:textAlignment w:val="baseline"/>
        <w:rPr>
          <w:rFonts w:ascii="Bookman Old Style" w:eastAsia="Times New Roman" w:hAnsi="Bookman Old Style" w:cs="Arial"/>
          <w:b/>
          <w:bCs/>
          <w:color w:val="1C1C1C"/>
          <w:sz w:val="24"/>
          <w:szCs w:val="24"/>
          <w:lang w:val="es-ES_tradnl" w:eastAsia="es-CO"/>
        </w:rPr>
      </w:pPr>
    </w:p>
    <w:p w14:paraId="439F0383" w14:textId="77777777" w:rsidR="00DB3D19" w:rsidRPr="00A0650F" w:rsidRDefault="00DB3D19" w:rsidP="00CD7281">
      <w:pPr>
        <w:spacing w:after="160" w:line="240" w:lineRule="auto"/>
        <w:contextualSpacing/>
        <w:jc w:val="center"/>
        <w:textAlignment w:val="baseline"/>
        <w:rPr>
          <w:rFonts w:ascii="Bookman Old Style" w:eastAsia="Times New Roman" w:hAnsi="Bookman Old Style" w:cs="Arial"/>
          <w:b/>
          <w:bCs/>
          <w:color w:val="1C1C1C"/>
          <w:sz w:val="24"/>
          <w:szCs w:val="24"/>
          <w:lang w:val="es-ES_tradnl" w:eastAsia="es-CO"/>
        </w:rPr>
      </w:pPr>
    </w:p>
    <w:p w14:paraId="46567E6C" w14:textId="77777777" w:rsidR="00DB3D19" w:rsidRPr="00A0650F" w:rsidRDefault="00DB3D19" w:rsidP="00CD7281">
      <w:pPr>
        <w:spacing w:after="160" w:line="240" w:lineRule="auto"/>
        <w:contextualSpacing/>
        <w:jc w:val="center"/>
        <w:textAlignment w:val="baseline"/>
        <w:rPr>
          <w:rFonts w:ascii="Bookman Old Style" w:eastAsia="Times New Roman" w:hAnsi="Bookman Old Style" w:cs="Arial"/>
          <w:b/>
          <w:bCs/>
          <w:color w:val="1C1C1C"/>
          <w:sz w:val="24"/>
          <w:szCs w:val="24"/>
          <w:lang w:val="es-ES_tradnl" w:eastAsia="es-CO"/>
        </w:rPr>
      </w:pPr>
      <w:r w:rsidRPr="00A0650F">
        <w:rPr>
          <w:rFonts w:ascii="Bookman Old Style" w:eastAsia="Times New Roman" w:hAnsi="Bookman Old Style" w:cs="Arial"/>
          <w:b/>
          <w:bCs/>
          <w:color w:val="1C1C1C"/>
          <w:sz w:val="24"/>
          <w:szCs w:val="24"/>
          <w:lang w:val="es-ES_tradnl" w:eastAsia="es-CO"/>
        </w:rPr>
        <w:t>DECRETA:</w:t>
      </w:r>
    </w:p>
    <w:p w14:paraId="7F3CDA29" w14:textId="77777777" w:rsidR="00DB3D19" w:rsidRPr="00A0650F" w:rsidRDefault="00DB3D19" w:rsidP="00CD7281">
      <w:pPr>
        <w:spacing w:after="160" w:line="240" w:lineRule="auto"/>
        <w:contextualSpacing/>
        <w:jc w:val="center"/>
        <w:textAlignment w:val="baseline"/>
        <w:rPr>
          <w:rFonts w:ascii="Bookman Old Style" w:eastAsia="Times New Roman" w:hAnsi="Bookman Old Style" w:cs="Arial"/>
          <w:b/>
          <w:bCs/>
          <w:color w:val="1C1C1C"/>
          <w:sz w:val="24"/>
          <w:szCs w:val="24"/>
          <w:lang w:val="es-ES_tradnl" w:eastAsia="es-CO"/>
        </w:rPr>
      </w:pPr>
    </w:p>
    <w:p w14:paraId="5C8A4A6F" w14:textId="77777777" w:rsidR="00DB3D19" w:rsidRPr="00A0650F" w:rsidRDefault="00DB3D19" w:rsidP="00CD7281">
      <w:pPr>
        <w:spacing w:after="160" w:line="240" w:lineRule="auto"/>
        <w:contextualSpacing/>
        <w:jc w:val="both"/>
        <w:textAlignment w:val="baseline"/>
        <w:rPr>
          <w:rFonts w:ascii="Bookman Old Style" w:eastAsia="Times New Roman" w:hAnsi="Bookman Old Style" w:cs="Arial"/>
          <w:sz w:val="24"/>
          <w:szCs w:val="24"/>
          <w:lang w:val="es-ES_tradnl" w:eastAsia="es-CO"/>
        </w:rPr>
      </w:pPr>
      <w:r w:rsidRPr="00A0650F">
        <w:rPr>
          <w:rFonts w:ascii="Bookman Old Style" w:eastAsia="Times New Roman" w:hAnsi="Bookman Old Style" w:cs="Arial"/>
          <w:b/>
          <w:bCs/>
          <w:sz w:val="24"/>
          <w:szCs w:val="24"/>
          <w:lang w:eastAsia="es-CO"/>
        </w:rPr>
        <w:t>ARTICULO 1º</w:t>
      </w:r>
      <w:r w:rsidRPr="00A0650F">
        <w:rPr>
          <w:rFonts w:ascii="Bookman Old Style" w:eastAsia="Times New Roman" w:hAnsi="Bookman Old Style" w:cs="Arial"/>
          <w:sz w:val="24"/>
          <w:szCs w:val="24"/>
          <w:lang w:eastAsia="es-CO"/>
        </w:rPr>
        <w:t xml:space="preserve">. </w:t>
      </w:r>
      <w:r w:rsidRPr="00A0650F">
        <w:rPr>
          <w:rFonts w:ascii="Bookman Old Style" w:eastAsia="Times New Roman" w:hAnsi="Bookman Old Style" w:cs="Arial"/>
          <w:b/>
          <w:bCs/>
          <w:sz w:val="24"/>
          <w:szCs w:val="24"/>
          <w:lang w:eastAsia="es-CO"/>
        </w:rPr>
        <w:t>Objeto.</w:t>
      </w:r>
      <w:r w:rsidRPr="00A0650F">
        <w:rPr>
          <w:rFonts w:ascii="Bookman Old Style" w:eastAsia="Times New Roman" w:hAnsi="Bookman Old Style" w:cs="Arial"/>
          <w:sz w:val="24"/>
          <w:szCs w:val="24"/>
          <w:lang w:eastAsia="es-CO"/>
        </w:rPr>
        <w:t xml:space="preserve"> La Presente ley tiene como objeto </w:t>
      </w:r>
      <w:r w:rsidRPr="00A0650F">
        <w:rPr>
          <w:rFonts w:ascii="Bookman Old Style" w:eastAsia="Times New Roman" w:hAnsi="Bookman Old Style" w:cs="Arial"/>
          <w:sz w:val="24"/>
          <w:szCs w:val="24"/>
          <w:lang w:val="es-ES_tradnl" w:eastAsia="es-CO"/>
        </w:rPr>
        <w:t>reconocer la libertad de escogencia para la afiliación a las Cajas de Compensación familiar, como un derecho en cabeza del trabajador o empleado,</w:t>
      </w:r>
      <w:r w:rsidRPr="00A0650F">
        <w:rPr>
          <w:rFonts w:ascii="Bookman Old Style" w:hAnsi="Bookman Old Style" w:cs="Arial"/>
          <w:sz w:val="24"/>
          <w:szCs w:val="24"/>
          <w:shd w:val="clear" w:color="auto" w:fill="FFFFFF"/>
          <w:lang w:eastAsia="en-US"/>
        </w:rPr>
        <w:t xml:space="preserve"> que debe ser garantizado por el Estado y todos los integrantes del sistema.</w:t>
      </w:r>
    </w:p>
    <w:p w14:paraId="405661C3" w14:textId="77777777" w:rsidR="00DB3D19" w:rsidRPr="00A0650F" w:rsidRDefault="00DB3D19" w:rsidP="00CD7281">
      <w:pPr>
        <w:spacing w:after="0" w:line="240" w:lineRule="auto"/>
        <w:jc w:val="both"/>
        <w:textAlignment w:val="baseline"/>
        <w:rPr>
          <w:rFonts w:ascii="Bookman Old Style" w:eastAsia="Times New Roman" w:hAnsi="Bookman Old Style" w:cs="Arial"/>
          <w:sz w:val="24"/>
          <w:szCs w:val="24"/>
          <w:lang w:eastAsia="es-CO"/>
        </w:rPr>
      </w:pPr>
    </w:p>
    <w:p w14:paraId="4CF13CB9" w14:textId="77777777" w:rsidR="00DB3D19" w:rsidRPr="00A0650F" w:rsidRDefault="00DB3D19" w:rsidP="00CD7281">
      <w:pPr>
        <w:spacing w:after="0" w:line="240" w:lineRule="auto"/>
        <w:jc w:val="both"/>
        <w:textAlignment w:val="baseline"/>
        <w:rPr>
          <w:rFonts w:ascii="Bookman Old Style" w:eastAsia="Times New Roman" w:hAnsi="Bookman Old Style" w:cs="Arial"/>
          <w:sz w:val="24"/>
          <w:szCs w:val="24"/>
          <w:bdr w:val="none" w:sz="0" w:space="0" w:color="auto" w:frame="1"/>
          <w:lang w:val="es-ES_tradnl" w:eastAsia="es-CO"/>
        </w:rPr>
      </w:pPr>
      <w:r w:rsidRPr="00A0650F">
        <w:rPr>
          <w:rFonts w:ascii="Bookman Old Style" w:eastAsia="Times New Roman" w:hAnsi="Bookman Old Style" w:cs="Arial"/>
          <w:b/>
          <w:bCs/>
          <w:sz w:val="24"/>
          <w:szCs w:val="24"/>
          <w:lang w:eastAsia="es-CO"/>
        </w:rPr>
        <w:t>ARTÍCULO 2º. Libertad de Escogencia</w:t>
      </w:r>
      <w:r w:rsidRPr="00A0650F">
        <w:rPr>
          <w:rFonts w:ascii="Bookman Old Style" w:eastAsia="Times New Roman" w:hAnsi="Bookman Old Style" w:cs="Arial"/>
          <w:sz w:val="24"/>
          <w:szCs w:val="24"/>
          <w:lang w:eastAsia="es-CO"/>
        </w:rPr>
        <w:t>. Conforme al principio de libertad de escogencia, l</w:t>
      </w:r>
      <w:r w:rsidRPr="00A0650F">
        <w:rPr>
          <w:rFonts w:ascii="Bookman Old Style" w:eastAsia="Times New Roman" w:hAnsi="Bookman Old Style" w:cs="Arial"/>
          <w:sz w:val="24"/>
          <w:szCs w:val="24"/>
          <w:bdr w:val="none" w:sz="0" w:space="0" w:color="auto" w:frame="1"/>
          <w:lang w:val="es-ES_tradnl" w:eastAsia="es-CO"/>
        </w:rPr>
        <w:t>a decisión de afiliarse a una caja de compensación familiar la tomará el trabajador.</w:t>
      </w:r>
      <w:r w:rsidRPr="00A0650F">
        <w:rPr>
          <w:rFonts w:ascii="Bookman Old Style" w:eastAsia="Times New Roman" w:hAnsi="Bookman Old Style" w:cs="Times New Roman"/>
          <w:sz w:val="24"/>
          <w:szCs w:val="24"/>
          <w:lang w:val="es-ES_tradnl" w:eastAsia="es-CO"/>
        </w:rPr>
        <w:t xml:space="preserve"> </w:t>
      </w:r>
      <w:r w:rsidRPr="00A0650F">
        <w:rPr>
          <w:rFonts w:ascii="Bookman Old Style" w:eastAsia="Times New Roman" w:hAnsi="Bookman Old Style" w:cs="Arial"/>
          <w:sz w:val="24"/>
          <w:szCs w:val="24"/>
          <w:lang w:val="es-ES_tradnl" w:eastAsia="es-CO"/>
        </w:rPr>
        <w:t>Las solicitudes de afiliación presentadas por los empleadores deberán estar referidas únicamente a aquellos trabajadores que elijan libremente la Caja de Compensación Familiar a la cual desean afiliarse.</w:t>
      </w:r>
    </w:p>
    <w:p w14:paraId="5DB3589A" w14:textId="77777777" w:rsidR="00DB3D19" w:rsidRPr="00A0650F" w:rsidRDefault="00DB3D19" w:rsidP="00CD7281">
      <w:pPr>
        <w:spacing w:after="0" w:line="240" w:lineRule="auto"/>
        <w:jc w:val="both"/>
        <w:textAlignment w:val="baseline"/>
        <w:rPr>
          <w:rFonts w:ascii="Bookman Old Style" w:eastAsia="Times New Roman" w:hAnsi="Bookman Old Style" w:cs="Arial"/>
          <w:sz w:val="24"/>
          <w:szCs w:val="24"/>
          <w:bdr w:val="none" w:sz="0" w:space="0" w:color="auto" w:frame="1"/>
          <w:lang w:val="es-ES_tradnl" w:eastAsia="es-CO"/>
        </w:rPr>
      </w:pPr>
    </w:p>
    <w:p w14:paraId="445AEC27" w14:textId="77777777" w:rsidR="00DB3D19" w:rsidRPr="00A0650F" w:rsidRDefault="00DB3D19" w:rsidP="00CD7281">
      <w:pPr>
        <w:spacing w:after="0" w:line="240" w:lineRule="auto"/>
        <w:jc w:val="both"/>
        <w:textAlignment w:val="baseline"/>
        <w:rPr>
          <w:rFonts w:ascii="Bookman Old Style" w:eastAsia="Times New Roman" w:hAnsi="Bookman Old Style" w:cs="Arial"/>
          <w:sz w:val="24"/>
          <w:szCs w:val="24"/>
          <w:lang w:val="es-ES"/>
        </w:rPr>
      </w:pPr>
      <w:r w:rsidRPr="00A0650F">
        <w:rPr>
          <w:rFonts w:ascii="Bookman Old Style" w:eastAsia="Times New Roman" w:hAnsi="Bookman Old Style" w:cs="Arial"/>
          <w:b/>
          <w:bCs/>
          <w:sz w:val="24"/>
          <w:szCs w:val="24"/>
          <w:bdr w:val="none" w:sz="0" w:space="0" w:color="auto" w:frame="1"/>
          <w:lang w:val="es-ES_tradnl" w:eastAsia="es-CO"/>
        </w:rPr>
        <w:t>ARTÍCULO 3º.  Definición</w:t>
      </w:r>
      <w:r w:rsidRPr="00A0650F">
        <w:rPr>
          <w:rFonts w:ascii="Bookman Old Style" w:eastAsia="Times New Roman" w:hAnsi="Bookman Old Style" w:cs="Arial"/>
          <w:sz w:val="24"/>
          <w:szCs w:val="24"/>
          <w:bdr w:val="none" w:sz="0" w:space="0" w:color="auto" w:frame="1"/>
          <w:lang w:val="es-ES_tradnl" w:eastAsia="es-CO"/>
        </w:rPr>
        <w:t>.  La libre escogencia, e</w:t>
      </w:r>
      <w:r w:rsidRPr="00A0650F">
        <w:rPr>
          <w:rFonts w:ascii="Bookman Old Style" w:hAnsi="Bookman Old Style" w:cs="Arial"/>
          <w:sz w:val="24"/>
          <w:szCs w:val="24"/>
          <w:shd w:val="clear" w:color="auto" w:fill="FFFFFF"/>
          <w:lang w:eastAsia="en-US"/>
        </w:rPr>
        <w:t xml:space="preserve">s un principio reconocido dentro del régimen de la seguridad social que le da al afiliado la facultad de escoger entre las diferentes Cajas de Compensación Familiar, cual le administrará el subsidio familiar </w:t>
      </w:r>
      <w:r w:rsidRPr="00A0650F">
        <w:rPr>
          <w:rFonts w:ascii="Bookman Old Style" w:eastAsia="Times New Roman" w:hAnsi="Bookman Old Style" w:cs="Arial"/>
          <w:sz w:val="24"/>
          <w:szCs w:val="24"/>
        </w:rPr>
        <w:t>en su naturaleza de</w:t>
      </w:r>
      <w:r w:rsidRPr="00A0650F">
        <w:rPr>
          <w:rFonts w:ascii="Bookman Old Style" w:eastAsia="Times New Roman" w:hAnsi="Bookman Old Style" w:cs="Arial"/>
          <w:sz w:val="24"/>
          <w:szCs w:val="24"/>
          <w:lang w:val="es-ES"/>
        </w:rPr>
        <w:t xml:space="preserve"> prestación social. </w:t>
      </w:r>
    </w:p>
    <w:p w14:paraId="6F2276B2" w14:textId="77777777" w:rsidR="00DB3D19" w:rsidRPr="00A0650F" w:rsidRDefault="00DB3D19" w:rsidP="00CD7281">
      <w:pPr>
        <w:spacing w:after="0" w:line="240" w:lineRule="auto"/>
        <w:jc w:val="both"/>
        <w:textAlignment w:val="baseline"/>
        <w:rPr>
          <w:rFonts w:ascii="Bookman Old Style" w:eastAsia="Times New Roman" w:hAnsi="Bookman Old Style" w:cs="Arial"/>
          <w:sz w:val="24"/>
          <w:szCs w:val="24"/>
          <w:bdr w:val="none" w:sz="0" w:space="0" w:color="auto" w:frame="1"/>
          <w:lang w:val="es-ES_tradnl" w:eastAsia="es-CO"/>
        </w:rPr>
      </w:pPr>
    </w:p>
    <w:p w14:paraId="18308566" w14:textId="42D19BFC" w:rsidR="00DB3D19" w:rsidRPr="00A0650F" w:rsidRDefault="00F74221" w:rsidP="00CD7281">
      <w:pPr>
        <w:spacing w:after="0" w:line="240" w:lineRule="auto"/>
        <w:jc w:val="both"/>
        <w:textAlignment w:val="baseline"/>
        <w:rPr>
          <w:rFonts w:ascii="Bookman Old Style" w:eastAsia="Times New Roman" w:hAnsi="Bookman Old Style" w:cs="Arial"/>
          <w:sz w:val="24"/>
          <w:szCs w:val="24"/>
          <w:lang w:val="es-ES_tradnl" w:eastAsia="es-CO"/>
        </w:rPr>
      </w:pPr>
      <w:r w:rsidRPr="00A0650F">
        <w:rPr>
          <w:rFonts w:ascii="Bookman Old Style" w:eastAsia="Times New Roman" w:hAnsi="Bookman Old Style" w:cs="Arial"/>
          <w:b/>
          <w:bCs/>
          <w:sz w:val="24"/>
          <w:szCs w:val="24"/>
          <w:bdr w:val="none" w:sz="0" w:space="0" w:color="auto" w:frame="1"/>
          <w:lang w:val="es-ES_tradnl" w:eastAsia="es-CO"/>
        </w:rPr>
        <w:t>ARTÍCULO 4º.</w:t>
      </w:r>
      <w:r w:rsidRPr="00A0650F">
        <w:rPr>
          <w:rFonts w:ascii="Bookman Old Style" w:eastAsia="Times New Roman" w:hAnsi="Bookman Old Style" w:cs="Arial"/>
          <w:sz w:val="24"/>
          <w:szCs w:val="24"/>
          <w:bdr w:val="none" w:sz="0" w:space="0" w:color="auto" w:frame="1"/>
          <w:lang w:val="es-ES_tradnl" w:eastAsia="es-CO"/>
        </w:rPr>
        <w:t xml:space="preserve"> </w:t>
      </w:r>
      <w:r w:rsidR="00DB3D19" w:rsidRPr="00A0650F">
        <w:rPr>
          <w:rFonts w:ascii="Bookman Old Style" w:eastAsia="Times New Roman" w:hAnsi="Bookman Old Style" w:cs="Arial"/>
          <w:b/>
          <w:bCs/>
          <w:sz w:val="24"/>
          <w:szCs w:val="24"/>
          <w:bdr w:val="none" w:sz="0" w:space="0" w:color="auto" w:frame="1"/>
          <w:lang w:val="es-ES_tradnl" w:eastAsia="es-CO"/>
        </w:rPr>
        <w:t>Transición</w:t>
      </w:r>
      <w:r w:rsidR="00DB3D19" w:rsidRPr="00A0650F">
        <w:rPr>
          <w:rFonts w:ascii="Bookman Old Style" w:eastAsia="Times New Roman" w:hAnsi="Bookman Old Style" w:cs="Arial"/>
          <w:sz w:val="24"/>
          <w:szCs w:val="24"/>
          <w:bdr w:val="none" w:sz="0" w:space="0" w:color="auto" w:frame="1"/>
          <w:lang w:val="es-ES_tradnl" w:eastAsia="es-CO"/>
        </w:rPr>
        <w:t xml:space="preserve">. El Ministerio de Trabajo y Seguridad Social reglamentará </w:t>
      </w:r>
      <w:r w:rsidR="00DB3D19" w:rsidRPr="00A0650F">
        <w:rPr>
          <w:rFonts w:ascii="Bookman Old Style" w:hAnsi="Bookman Old Style" w:cs="Times New Roman"/>
          <w:lang w:eastAsia="en-US"/>
        </w:rPr>
        <w:t>los</w:t>
      </w:r>
      <w:r w:rsidR="00DB3D19" w:rsidRPr="00A0650F">
        <w:rPr>
          <w:rFonts w:ascii="Bookman Old Style" w:hAnsi="Bookman Old Style" w:cs="Arial"/>
          <w:sz w:val="24"/>
          <w:szCs w:val="24"/>
          <w:lang w:eastAsia="en-US"/>
        </w:rPr>
        <w:t xml:space="preserve"> términos, condiciones y procedimientos</w:t>
      </w:r>
      <w:r w:rsidR="00DB3D19" w:rsidRPr="00A0650F">
        <w:rPr>
          <w:rFonts w:ascii="Bookman Old Style" w:hAnsi="Bookman Old Style" w:cs="Times New Roman"/>
          <w:lang w:eastAsia="en-US"/>
        </w:rPr>
        <w:t xml:space="preserve"> </w:t>
      </w:r>
      <w:r w:rsidR="00DB3D19" w:rsidRPr="00A0650F">
        <w:rPr>
          <w:rFonts w:ascii="Bookman Old Style" w:eastAsia="Times New Roman" w:hAnsi="Bookman Old Style" w:cs="Arial"/>
          <w:sz w:val="24"/>
          <w:szCs w:val="24"/>
          <w:bdr w:val="none" w:sz="0" w:space="0" w:color="auto" w:frame="1"/>
          <w:lang w:val="es-ES_tradnl" w:eastAsia="es-CO"/>
        </w:rPr>
        <w:t>de transición para los</w:t>
      </w:r>
      <w:r w:rsidR="00DB3D19" w:rsidRPr="00A0650F">
        <w:rPr>
          <w:rFonts w:ascii="Bookman Old Style" w:eastAsia="Times New Roman" w:hAnsi="Bookman Old Style" w:cs="Arial"/>
          <w:sz w:val="24"/>
          <w:szCs w:val="24"/>
          <w:lang w:val="es-ES_tradnl" w:eastAsia="es-CO"/>
        </w:rPr>
        <w:t xml:space="preserve"> trabajadores que a la entrada en vigencia de la presente Ley soliciten afiliación a la Caja de Compensación familiar de su preferencia, además de la permanencia mínima para futuros cambios.  </w:t>
      </w:r>
    </w:p>
    <w:p w14:paraId="187A61EA" w14:textId="77777777" w:rsidR="00DB3D19" w:rsidRPr="00A0650F" w:rsidRDefault="00DB3D19" w:rsidP="00CD7281">
      <w:pPr>
        <w:spacing w:after="0" w:line="240" w:lineRule="auto"/>
        <w:jc w:val="both"/>
        <w:textAlignment w:val="baseline"/>
        <w:rPr>
          <w:rFonts w:ascii="Bookman Old Style" w:eastAsia="Times New Roman" w:hAnsi="Bookman Old Style" w:cs="Arial"/>
          <w:sz w:val="24"/>
          <w:szCs w:val="24"/>
          <w:lang w:val="es-ES_tradnl" w:eastAsia="es-CO"/>
        </w:rPr>
      </w:pPr>
    </w:p>
    <w:p w14:paraId="1F57B907" w14:textId="41B0683E" w:rsidR="00DB3D19" w:rsidRPr="00A0650F" w:rsidRDefault="00F74221" w:rsidP="00CD7281">
      <w:pPr>
        <w:spacing w:after="0" w:line="240" w:lineRule="auto"/>
        <w:jc w:val="both"/>
        <w:textAlignment w:val="baseline"/>
        <w:rPr>
          <w:rFonts w:ascii="Bookman Old Style" w:eastAsia="Times New Roman" w:hAnsi="Bookman Old Style" w:cs="Arial"/>
          <w:sz w:val="24"/>
          <w:szCs w:val="24"/>
          <w:bdr w:val="none" w:sz="0" w:space="0" w:color="auto" w:frame="1"/>
          <w:lang w:val="es-ES_tradnl" w:eastAsia="es-CO"/>
        </w:rPr>
      </w:pPr>
      <w:r w:rsidRPr="00A0650F">
        <w:rPr>
          <w:rFonts w:ascii="Bookman Old Style" w:eastAsia="Times New Roman" w:hAnsi="Bookman Old Style" w:cs="Arial"/>
          <w:b/>
          <w:bCs/>
          <w:sz w:val="24"/>
          <w:szCs w:val="24"/>
          <w:bdr w:val="none" w:sz="0" w:space="0" w:color="auto" w:frame="1"/>
          <w:lang w:val="es-ES_tradnl" w:eastAsia="es-CO"/>
        </w:rPr>
        <w:t xml:space="preserve">ARTÍCULO 5º. </w:t>
      </w:r>
      <w:r w:rsidR="00DB3D19" w:rsidRPr="00A0650F">
        <w:rPr>
          <w:rFonts w:ascii="Bookman Old Style" w:eastAsia="Times New Roman" w:hAnsi="Bookman Old Style" w:cs="Arial"/>
          <w:b/>
          <w:bCs/>
          <w:sz w:val="24"/>
          <w:szCs w:val="24"/>
          <w:bdr w:val="none" w:sz="0" w:space="0" w:color="auto" w:frame="1"/>
          <w:lang w:val="es-ES_tradnl" w:eastAsia="es-CO"/>
        </w:rPr>
        <w:t>Vigencia</w:t>
      </w:r>
      <w:r w:rsidR="00DB3D19" w:rsidRPr="00A0650F">
        <w:rPr>
          <w:rFonts w:ascii="Bookman Old Style" w:eastAsia="Times New Roman" w:hAnsi="Bookman Old Style" w:cs="Arial"/>
          <w:sz w:val="24"/>
          <w:szCs w:val="24"/>
          <w:bdr w:val="none" w:sz="0" w:space="0" w:color="auto" w:frame="1"/>
          <w:lang w:val="es-ES_tradnl" w:eastAsia="es-CO"/>
        </w:rPr>
        <w:t>. La presente ley rige a partir de sanción y promulgación y deroga todas las normas que le sean contrarias.</w:t>
      </w:r>
    </w:p>
    <w:p w14:paraId="11442719" w14:textId="2C0A2EB1" w:rsidR="00DB3D19" w:rsidRPr="00A0650F" w:rsidRDefault="00DB3D19" w:rsidP="00CD7281">
      <w:pPr>
        <w:spacing w:after="0" w:line="240" w:lineRule="auto"/>
        <w:jc w:val="both"/>
        <w:textAlignment w:val="baseline"/>
        <w:rPr>
          <w:rFonts w:ascii="Bookman Old Style" w:eastAsia="Times New Roman" w:hAnsi="Bookman Old Style" w:cs="Arial"/>
          <w:sz w:val="24"/>
          <w:szCs w:val="24"/>
          <w:bdr w:val="none" w:sz="0" w:space="0" w:color="auto" w:frame="1"/>
          <w:lang w:val="es-ES_tradnl" w:eastAsia="es-CO"/>
        </w:rPr>
      </w:pPr>
    </w:p>
    <w:p w14:paraId="7E9CB276" w14:textId="77777777" w:rsidR="00DB3D19" w:rsidRPr="00A0650F" w:rsidRDefault="00DB3D19" w:rsidP="00CD7281">
      <w:pPr>
        <w:spacing w:after="0" w:line="240" w:lineRule="auto"/>
        <w:jc w:val="both"/>
        <w:textAlignment w:val="baseline"/>
        <w:rPr>
          <w:rFonts w:ascii="Bookman Old Style" w:eastAsia="Times New Roman" w:hAnsi="Bookman Old Style" w:cs="Arial"/>
          <w:sz w:val="24"/>
          <w:szCs w:val="24"/>
          <w:bdr w:val="none" w:sz="0" w:space="0" w:color="auto" w:frame="1"/>
          <w:lang w:val="es-ES_tradnl" w:eastAsia="es-CO"/>
        </w:rPr>
      </w:pPr>
      <w:r w:rsidRPr="00A0650F">
        <w:rPr>
          <w:rFonts w:ascii="Bookman Old Style" w:eastAsia="Times New Roman" w:hAnsi="Bookman Old Style" w:cs="Arial"/>
          <w:sz w:val="24"/>
          <w:szCs w:val="24"/>
          <w:bdr w:val="none" w:sz="0" w:space="0" w:color="auto" w:frame="1"/>
          <w:lang w:val="es-ES_tradnl" w:eastAsia="es-CO"/>
        </w:rPr>
        <w:t>De los Honorables Congresistas,</w:t>
      </w:r>
    </w:p>
    <w:p w14:paraId="5C77448A" w14:textId="1DAE0F8C" w:rsidR="00DB3D19" w:rsidRDefault="00DB3D19" w:rsidP="00CD7281">
      <w:pPr>
        <w:spacing w:after="0" w:line="240" w:lineRule="auto"/>
        <w:jc w:val="both"/>
        <w:textAlignment w:val="baseline"/>
        <w:rPr>
          <w:rFonts w:ascii="Bookman Old Style" w:eastAsia="Times New Roman" w:hAnsi="Bookman Old Style" w:cs="Arial"/>
          <w:sz w:val="24"/>
          <w:szCs w:val="24"/>
          <w:bdr w:val="none" w:sz="0" w:space="0" w:color="auto" w:frame="1"/>
          <w:lang w:val="es-ES_tradnl" w:eastAsia="es-CO"/>
        </w:rPr>
      </w:pPr>
    </w:p>
    <w:p w14:paraId="39974022" w14:textId="7A841CC2" w:rsidR="00A0650F" w:rsidRDefault="00A0650F" w:rsidP="00CD7281">
      <w:pPr>
        <w:spacing w:after="0" w:line="240" w:lineRule="auto"/>
        <w:jc w:val="both"/>
        <w:textAlignment w:val="baseline"/>
        <w:rPr>
          <w:rFonts w:ascii="Bookman Old Style" w:eastAsia="Times New Roman" w:hAnsi="Bookman Old Style" w:cs="Arial"/>
          <w:sz w:val="24"/>
          <w:szCs w:val="24"/>
          <w:bdr w:val="none" w:sz="0" w:space="0" w:color="auto" w:frame="1"/>
          <w:lang w:val="es-ES_tradnl" w:eastAsia="es-CO"/>
        </w:rPr>
      </w:pPr>
    </w:p>
    <w:p w14:paraId="39503876" w14:textId="77777777" w:rsidR="00A0650F" w:rsidRPr="00A0650F" w:rsidRDefault="00A0650F" w:rsidP="00CD7281">
      <w:pPr>
        <w:spacing w:after="0" w:line="240" w:lineRule="auto"/>
        <w:jc w:val="both"/>
        <w:textAlignment w:val="baseline"/>
        <w:rPr>
          <w:rFonts w:ascii="Bookman Old Style" w:eastAsia="Times New Roman" w:hAnsi="Bookman Old Style" w:cs="Arial"/>
          <w:sz w:val="24"/>
          <w:szCs w:val="24"/>
          <w:bdr w:val="none" w:sz="0" w:space="0" w:color="auto" w:frame="1"/>
          <w:lang w:val="es-ES_tradnl" w:eastAsia="es-CO"/>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CD7281" w:rsidRPr="00D949A8" w14:paraId="5A2F00F7" w14:textId="77777777" w:rsidTr="004F7F84">
        <w:trPr>
          <w:trHeight w:val="420"/>
        </w:trPr>
        <w:tc>
          <w:tcPr>
            <w:tcW w:w="9028" w:type="dxa"/>
            <w:gridSpan w:val="2"/>
            <w:shd w:val="clear" w:color="auto" w:fill="auto"/>
            <w:tcMar>
              <w:top w:w="100" w:type="dxa"/>
              <w:left w:w="100" w:type="dxa"/>
              <w:bottom w:w="100" w:type="dxa"/>
              <w:right w:w="100" w:type="dxa"/>
            </w:tcMar>
          </w:tcPr>
          <w:p w14:paraId="1CEE7CCB" w14:textId="77777777" w:rsidR="00CD7281" w:rsidRPr="00D949A8" w:rsidRDefault="00CD7281" w:rsidP="004F7F84">
            <w:pPr>
              <w:widowControl w:val="0"/>
              <w:spacing w:line="240" w:lineRule="auto"/>
              <w:rPr>
                <w:rFonts w:ascii="Bookman Old Style" w:hAnsi="Bookman Old Style"/>
              </w:rPr>
            </w:pPr>
          </w:p>
          <w:p w14:paraId="04362741" w14:textId="77777777" w:rsidR="00CD7281" w:rsidRPr="00D949A8" w:rsidRDefault="00CD7281" w:rsidP="004F7F84">
            <w:pPr>
              <w:widowControl w:val="0"/>
              <w:spacing w:after="0" w:line="240" w:lineRule="auto"/>
              <w:jc w:val="center"/>
              <w:rPr>
                <w:rFonts w:ascii="Bookman Old Style" w:hAnsi="Bookman Old Style" w:cs="Arial"/>
                <w:b/>
              </w:rPr>
            </w:pPr>
            <w:r w:rsidRPr="00D949A8">
              <w:rPr>
                <w:rFonts w:ascii="Bookman Old Style" w:hAnsi="Bookman Old Style" w:cs="Arial"/>
                <w:b/>
              </w:rPr>
              <w:t>GERMÁN ROGELIO ROZO ANÍS</w:t>
            </w:r>
          </w:p>
          <w:p w14:paraId="2C8CA23C" w14:textId="77777777" w:rsidR="00CD7281" w:rsidRPr="00D949A8" w:rsidRDefault="00CD7281" w:rsidP="004F7F84">
            <w:pPr>
              <w:widowControl w:val="0"/>
              <w:spacing w:after="0" w:line="240" w:lineRule="auto"/>
              <w:jc w:val="center"/>
              <w:rPr>
                <w:rFonts w:ascii="Bookman Old Style" w:hAnsi="Bookman Old Style" w:cs="Arial"/>
              </w:rPr>
            </w:pPr>
            <w:r w:rsidRPr="00D949A8">
              <w:rPr>
                <w:rFonts w:ascii="Bookman Old Style" w:hAnsi="Bookman Old Style" w:cs="Arial"/>
              </w:rPr>
              <w:t>Representante a la Cámara</w:t>
            </w:r>
          </w:p>
          <w:p w14:paraId="2A38A56D" w14:textId="77777777" w:rsidR="00CD7281" w:rsidRPr="00D949A8" w:rsidRDefault="00CD7281" w:rsidP="004F7F84">
            <w:pPr>
              <w:widowControl w:val="0"/>
              <w:spacing w:after="0" w:line="240" w:lineRule="auto"/>
              <w:jc w:val="center"/>
              <w:rPr>
                <w:rFonts w:ascii="Bookman Old Style" w:hAnsi="Bookman Old Style"/>
              </w:rPr>
            </w:pPr>
            <w:r w:rsidRPr="00D949A8">
              <w:rPr>
                <w:rFonts w:ascii="Bookman Old Style" w:hAnsi="Bookman Old Style" w:cs="Arial"/>
              </w:rPr>
              <w:t>Departamento de Arauca</w:t>
            </w:r>
          </w:p>
        </w:tc>
      </w:tr>
      <w:tr w:rsidR="00CD7281" w:rsidRPr="00D949A8" w14:paraId="0D3BEAEF" w14:textId="77777777" w:rsidTr="004F7F84">
        <w:tc>
          <w:tcPr>
            <w:tcW w:w="4514" w:type="dxa"/>
            <w:shd w:val="clear" w:color="auto" w:fill="auto"/>
            <w:tcMar>
              <w:top w:w="100" w:type="dxa"/>
              <w:left w:w="100" w:type="dxa"/>
              <w:bottom w:w="100" w:type="dxa"/>
              <w:right w:w="100" w:type="dxa"/>
            </w:tcMar>
          </w:tcPr>
          <w:p w14:paraId="5844F0AD" w14:textId="77777777" w:rsidR="00CD7281" w:rsidRPr="00D949A8" w:rsidRDefault="00CD7281" w:rsidP="004F7F84">
            <w:pPr>
              <w:widowControl w:val="0"/>
              <w:spacing w:line="240" w:lineRule="auto"/>
              <w:rPr>
                <w:rFonts w:ascii="Bookman Old Style" w:hAnsi="Bookman Old Style"/>
              </w:rPr>
            </w:pPr>
          </w:p>
          <w:p w14:paraId="67D1FABB" w14:textId="77777777" w:rsidR="00CD7281" w:rsidRPr="00D949A8" w:rsidRDefault="00CD7281" w:rsidP="004F7F84">
            <w:pPr>
              <w:widowControl w:val="0"/>
              <w:spacing w:line="240" w:lineRule="auto"/>
              <w:rPr>
                <w:rFonts w:ascii="Bookman Old Style" w:hAnsi="Bookman Old Style"/>
              </w:rPr>
            </w:pPr>
          </w:p>
          <w:p w14:paraId="7D8CC89F" w14:textId="77777777" w:rsidR="00CD7281" w:rsidRPr="00D949A8" w:rsidRDefault="00CD7281" w:rsidP="004F7F84">
            <w:pPr>
              <w:spacing w:line="240" w:lineRule="auto"/>
              <w:jc w:val="center"/>
              <w:rPr>
                <w:rFonts w:ascii="Bookman Old Style" w:hAnsi="Bookman Old Style"/>
              </w:rPr>
            </w:pPr>
          </w:p>
        </w:tc>
        <w:tc>
          <w:tcPr>
            <w:tcW w:w="4514" w:type="dxa"/>
            <w:shd w:val="clear" w:color="auto" w:fill="auto"/>
            <w:tcMar>
              <w:top w:w="100" w:type="dxa"/>
              <w:left w:w="100" w:type="dxa"/>
              <w:bottom w:w="100" w:type="dxa"/>
              <w:right w:w="100" w:type="dxa"/>
            </w:tcMar>
          </w:tcPr>
          <w:p w14:paraId="1CF98329" w14:textId="77777777" w:rsidR="00CD7281" w:rsidRPr="00D949A8" w:rsidRDefault="00CD7281" w:rsidP="004F7F84">
            <w:pPr>
              <w:widowControl w:val="0"/>
              <w:spacing w:line="240" w:lineRule="auto"/>
              <w:rPr>
                <w:rFonts w:ascii="Bookman Old Style" w:hAnsi="Bookman Old Style"/>
              </w:rPr>
            </w:pPr>
          </w:p>
          <w:p w14:paraId="2B297810" w14:textId="77777777" w:rsidR="00CD7281" w:rsidRPr="00D949A8" w:rsidRDefault="00CD7281" w:rsidP="004F7F84">
            <w:pPr>
              <w:widowControl w:val="0"/>
              <w:spacing w:line="240" w:lineRule="auto"/>
              <w:rPr>
                <w:rFonts w:ascii="Bookman Old Style" w:hAnsi="Bookman Old Style"/>
              </w:rPr>
            </w:pPr>
          </w:p>
          <w:p w14:paraId="70EFD22E" w14:textId="77777777" w:rsidR="00CD7281" w:rsidRPr="00D949A8" w:rsidRDefault="00CD7281" w:rsidP="004F7F84">
            <w:pPr>
              <w:widowControl w:val="0"/>
              <w:spacing w:line="240" w:lineRule="auto"/>
              <w:rPr>
                <w:rFonts w:ascii="Bookman Old Style" w:hAnsi="Bookman Old Style"/>
              </w:rPr>
            </w:pPr>
          </w:p>
          <w:p w14:paraId="4ADFF80D" w14:textId="77777777" w:rsidR="00CD7281" w:rsidRPr="00D949A8" w:rsidRDefault="00CD7281" w:rsidP="004F7F84">
            <w:pPr>
              <w:spacing w:line="240" w:lineRule="auto"/>
              <w:jc w:val="center"/>
              <w:rPr>
                <w:rFonts w:ascii="Bookman Old Style" w:hAnsi="Bookman Old Style"/>
              </w:rPr>
            </w:pPr>
          </w:p>
        </w:tc>
      </w:tr>
      <w:tr w:rsidR="00CD7281" w:rsidRPr="00D949A8" w14:paraId="46774FE1" w14:textId="77777777" w:rsidTr="004F7F84">
        <w:trPr>
          <w:trHeight w:val="1013"/>
        </w:trPr>
        <w:tc>
          <w:tcPr>
            <w:tcW w:w="4514" w:type="dxa"/>
            <w:shd w:val="clear" w:color="auto" w:fill="auto"/>
            <w:tcMar>
              <w:top w:w="100" w:type="dxa"/>
              <w:left w:w="100" w:type="dxa"/>
              <w:bottom w:w="100" w:type="dxa"/>
              <w:right w:w="100" w:type="dxa"/>
            </w:tcMar>
          </w:tcPr>
          <w:p w14:paraId="4EB08EFE" w14:textId="77777777" w:rsidR="00CD7281" w:rsidRPr="00D949A8" w:rsidRDefault="00CD7281" w:rsidP="004F7F84">
            <w:pPr>
              <w:spacing w:line="240" w:lineRule="auto"/>
              <w:rPr>
                <w:rFonts w:ascii="Bookman Old Style" w:hAnsi="Bookman Old Style"/>
              </w:rPr>
            </w:pPr>
          </w:p>
        </w:tc>
        <w:tc>
          <w:tcPr>
            <w:tcW w:w="4514" w:type="dxa"/>
            <w:shd w:val="clear" w:color="auto" w:fill="auto"/>
            <w:tcMar>
              <w:top w:w="100" w:type="dxa"/>
              <w:left w:w="100" w:type="dxa"/>
              <w:bottom w:w="100" w:type="dxa"/>
              <w:right w:w="100" w:type="dxa"/>
            </w:tcMar>
          </w:tcPr>
          <w:p w14:paraId="666A7AA4" w14:textId="77777777" w:rsidR="00CD7281" w:rsidRPr="00D949A8" w:rsidRDefault="00CD7281" w:rsidP="004F7F84">
            <w:pPr>
              <w:widowControl w:val="0"/>
              <w:spacing w:line="240" w:lineRule="auto"/>
              <w:rPr>
                <w:rFonts w:ascii="Bookman Old Style" w:hAnsi="Bookman Old Style"/>
              </w:rPr>
            </w:pPr>
          </w:p>
          <w:p w14:paraId="1DEFD3A6" w14:textId="77777777" w:rsidR="00CD7281" w:rsidRPr="00D949A8" w:rsidRDefault="00CD7281" w:rsidP="004F7F84">
            <w:pPr>
              <w:widowControl w:val="0"/>
              <w:spacing w:line="240" w:lineRule="auto"/>
              <w:rPr>
                <w:rFonts w:ascii="Bookman Old Style" w:hAnsi="Bookman Old Style"/>
              </w:rPr>
            </w:pPr>
          </w:p>
          <w:p w14:paraId="2F96C7AF" w14:textId="77777777" w:rsidR="00CD7281" w:rsidRPr="00D949A8" w:rsidRDefault="00CD7281" w:rsidP="004F7F84">
            <w:pPr>
              <w:spacing w:line="240" w:lineRule="auto"/>
              <w:jc w:val="center"/>
              <w:rPr>
                <w:rFonts w:ascii="Bookman Old Style" w:hAnsi="Bookman Old Style"/>
              </w:rPr>
            </w:pPr>
          </w:p>
        </w:tc>
      </w:tr>
      <w:tr w:rsidR="00CD7281" w:rsidRPr="00D949A8" w14:paraId="7BC18149" w14:textId="77777777" w:rsidTr="004F7F84">
        <w:trPr>
          <w:trHeight w:val="1013"/>
        </w:trPr>
        <w:tc>
          <w:tcPr>
            <w:tcW w:w="4514" w:type="dxa"/>
            <w:shd w:val="clear" w:color="auto" w:fill="auto"/>
            <w:tcMar>
              <w:top w:w="100" w:type="dxa"/>
              <w:left w:w="100" w:type="dxa"/>
              <w:bottom w:w="100" w:type="dxa"/>
              <w:right w:w="100" w:type="dxa"/>
            </w:tcMar>
          </w:tcPr>
          <w:p w14:paraId="41CE1C55" w14:textId="77777777" w:rsidR="00CD7281" w:rsidRPr="00D949A8" w:rsidRDefault="00CD7281" w:rsidP="004F7F84">
            <w:pPr>
              <w:spacing w:line="240" w:lineRule="auto"/>
              <w:rPr>
                <w:rFonts w:ascii="Bookman Old Style" w:hAnsi="Bookman Old Style"/>
              </w:rPr>
            </w:pPr>
          </w:p>
        </w:tc>
        <w:tc>
          <w:tcPr>
            <w:tcW w:w="4514" w:type="dxa"/>
            <w:shd w:val="clear" w:color="auto" w:fill="auto"/>
            <w:tcMar>
              <w:top w:w="100" w:type="dxa"/>
              <w:left w:w="100" w:type="dxa"/>
              <w:bottom w:w="100" w:type="dxa"/>
              <w:right w:w="100" w:type="dxa"/>
            </w:tcMar>
          </w:tcPr>
          <w:p w14:paraId="1B21D3A7" w14:textId="77777777" w:rsidR="00CD7281" w:rsidRPr="00D949A8" w:rsidRDefault="00CD7281" w:rsidP="004F7F84">
            <w:pPr>
              <w:widowControl w:val="0"/>
              <w:spacing w:line="240" w:lineRule="auto"/>
              <w:rPr>
                <w:rFonts w:ascii="Bookman Old Style" w:hAnsi="Bookman Old Style"/>
              </w:rPr>
            </w:pPr>
          </w:p>
        </w:tc>
      </w:tr>
    </w:tbl>
    <w:p w14:paraId="7D19E490" w14:textId="6562642B" w:rsidR="00A0650F" w:rsidRDefault="00A0650F" w:rsidP="00CD7281">
      <w:pPr>
        <w:spacing w:after="0" w:line="240" w:lineRule="auto"/>
        <w:jc w:val="both"/>
        <w:textAlignment w:val="baseline"/>
        <w:rPr>
          <w:rFonts w:ascii="Bookman Old Style" w:eastAsia="Times New Roman" w:hAnsi="Bookman Old Style" w:cs="Arial"/>
          <w:sz w:val="24"/>
          <w:szCs w:val="24"/>
          <w:bdr w:val="none" w:sz="0" w:space="0" w:color="auto" w:frame="1"/>
          <w:lang w:val="es-ES_tradnl" w:eastAsia="es-CO"/>
        </w:rPr>
      </w:pPr>
    </w:p>
    <w:p w14:paraId="0AA9A934" w14:textId="29CCF2BA" w:rsidR="00A0650F" w:rsidRDefault="00A0650F" w:rsidP="00CD7281">
      <w:pPr>
        <w:spacing w:after="0" w:line="240" w:lineRule="auto"/>
        <w:jc w:val="both"/>
        <w:textAlignment w:val="baseline"/>
        <w:rPr>
          <w:rFonts w:ascii="Bookman Old Style" w:eastAsia="Times New Roman" w:hAnsi="Bookman Old Style" w:cs="Arial"/>
          <w:sz w:val="24"/>
          <w:szCs w:val="24"/>
          <w:bdr w:val="none" w:sz="0" w:space="0" w:color="auto" w:frame="1"/>
          <w:lang w:val="es-ES_tradnl" w:eastAsia="es-CO"/>
        </w:rPr>
      </w:pPr>
    </w:p>
    <w:p w14:paraId="3688A44F" w14:textId="33144344" w:rsidR="00A0650F" w:rsidRDefault="00A0650F" w:rsidP="00CD7281">
      <w:pPr>
        <w:spacing w:after="0" w:line="240" w:lineRule="auto"/>
        <w:jc w:val="both"/>
        <w:textAlignment w:val="baseline"/>
        <w:rPr>
          <w:rFonts w:ascii="Bookman Old Style" w:eastAsia="Times New Roman" w:hAnsi="Bookman Old Style" w:cs="Arial"/>
          <w:sz w:val="24"/>
          <w:szCs w:val="24"/>
          <w:bdr w:val="none" w:sz="0" w:space="0" w:color="auto" w:frame="1"/>
          <w:lang w:val="es-ES_tradnl" w:eastAsia="es-CO"/>
        </w:rPr>
      </w:pPr>
    </w:p>
    <w:p w14:paraId="2B655601" w14:textId="69A13715" w:rsidR="00A0650F" w:rsidRDefault="00A0650F" w:rsidP="00CD7281">
      <w:pPr>
        <w:spacing w:after="0" w:line="240" w:lineRule="auto"/>
        <w:jc w:val="both"/>
        <w:textAlignment w:val="baseline"/>
        <w:rPr>
          <w:rFonts w:ascii="Bookman Old Style" w:eastAsia="Times New Roman" w:hAnsi="Bookman Old Style" w:cs="Arial"/>
          <w:sz w:val="24"/>
          <w:szCs w:val="24"/>
          <w:bdr w:val="none" w:sz="0" w:space="0" w:color="auto" w:frame="1"/>
          <w:lang w:val="es-ES_tradnl" w:eastAsia="es-CO"/>
        </w:rPr>
      </w:pPr>
    </w:p>
    <w:p w14:paraId="68CB0ED9" w14:textId="51057C17" w:rsidR="00A0650F" w:rsidRDefault="00A0650F" w:rsidP="00CD7281">
      <w:pPr>
        <w:spacing w:after="0" w:line="240" w:lineRule="auto"/>
        <w:jc w:val="both"/>
        <w:textAlignment w:val="baseline"/>
        <w:rPr>
          <w:rFonts w:ascii="Bookman Old Style" w:eastAsia="Times New Roman" w:hAnsi="Bookman Old Style" w:cs="Arial"/>
          <w:sz w:val="24"/>
          <w:szCs w:val="24"/>
          <w:bdr w:val="none" w:sz="0" w:space="0" w:color="auto" w:frame="1"/>
          <w:lang w:val="es-ES_tradnl" w:eastAsia="es-CO"/>
        </w:rPr>
      </w:pPr>
    </w:p>
    <w:p w14:paraId="5A764F5A" w14:textId="07CF171A" w:rsidR="00A0650F" w:rsidRDefault="00A0650F" w:rsidP="00CD7281">
      <w:pPr>
        <w:spacing w:after="0" w:line="240" w:lineRule="auto"/>
        <w:jc w:val="both"/>
        <w:textAlignment w:val="baseline"/>
        <w:rPr>
          <w:rFonts w:ascii="Bookman Old Style" w:eastAsia="Times New Roman" w:hAnsi="Bookman Old Style" w:cs="Arial"/>
          <w:sz w:val="24"/>
          <w:szCs w:val="24"/>
          <w:bdr w:val="none" w:sz="0" w:space="0" w:color="auto" w:frame="1"/>
          <w:lang w:val="es-ES_tradnl" w:eastAsia="es-CO"/>
        </w:rPr>
      </w:pPr>
    </w:p>
    <w:p w14:paraId="2EB5E709" w14:textId="136D0CA7" w:rsidR="00A0650F" w:rsidRDefault="00A0650F" w:rsidP="00CD7281">
      <w:pPr>
        <w:spacing w:after="0" w:line="240" w:lineRule="auto"/>
        <w:jc w:val="both"/>
        <w:textAlignment w:val="baseline"/>
        <w:rPr>
          <w:rFonts w:ascii="Bookman Old Style" w:eastAsia="Times New Roman" w:hAnsi="Bookman Old Style" w:cs="Arial"/>
          <w:sz w:val="24"/>
          <w:szCs w:val="24"/>
          <w:bdr w:val="none" w:sz="0" w:space="0" w:color="auto" w:frame="1"/>
          <w:lang w:val="es-ES_tradnl" w:eastAsia="es-CO"/>
        </w:rPr>
      </w:pPr>
    </w:p>
    <w:p w14:paraId="598B27FA" w14:textId="4A897C55" w:rsidR="00A0650F" w:rsidRDefault="00A0650F" w:rsidP="00CD7281">
      <w:pPr>
        <w:spacing w:after="0" w:line="240" w:lineRule="auto"/>
        <w:jc w:val="both"/>
        <w:textAlignment w:val="baseline"/>
        <w:rPr>
          <w:rFonts w:ascii="Bookman Old Style" w:eastAsia="Times New Roman" w:hAnsi="Bookman Old Style" w:cs="Arial"/>
          <w:sz w:val="24"/>
          <w:szCs w:val="24"/>
          <w:bdr w:val="none" w:sz="0" w:space="0" w:color="auto" w:frame="1"/>
          <w:lang w:val="es-ES_tradnl" w:eastAsia="es-CO"/>
        </w:rPr>
      </w:pPr>
    </w:p>
    <w:p w14:paraId="1773B2E8" w14:textId="4CA32295" w:rsidR="00A0650F" w:rsidRDefault="00A0650F" w:rsidP="00CD7281">
      <w:pPr>
        <w:spacing w:after="0" w:line="240" w:lineRule="auto"/>
        <w:jc w:val="both"/>
        <w:textAlignment w:val="baseline"/>
        <w:rPr>
          <w:rFonts w:ascii="Bookman Old Style" w:eastAsia="Times New Roman" w:hAnsi="Bookman Old Style" w:cs="Arial"/>
          <w:sz w:val="24"/>
          <w:szCs w:val="24"/>
          <w:bdr w:val="none" w:sz="0" w:space="0" w:color="auto" w:frame="1"/>
          <w:lang w:val="es-ES_tradnl" w:eastAsia="es-CO"/>
        </w:rPr>
      </w:pPr>
    </w:p>
    <w:p w14:paraId="29727FBA" w14:textId="289AD4FE" w:rsidR="00A0650F" w:rsidRDefault="00A0650F" w:rsidP="00CD7281">
      <w:pPr>
        <w:spacing w:after="0" w:line="240" w:lineRule="auto"/>
        <w:jc w:val="both"/>
        <w:textAlignment w:val="baseline"/>
        <w:rPr>
          <w:rFonts w:ascii="Bookman Old Style" w:eastAsia="Times New Roman" w:hAnsi="Bookman Old Style" w:cs="Arial"/>
          <w:sz w:val="24"/>
          <w:szCs w:val="24"/>
          <w:bdr w:val="none" w:sz="0" w:space="0" w:color="auto" w:frame="1"/>
          <w:lang w:val="es-ES_tradnl" w:eastAsia="es-CO"/>
        </w:rPr>
      </w:pPr>
    </w:p>
    <w:p w14:paraId="56E9E69E" w14:textId="66412D23" w:rsidR="00A0650F" w:rsidRDefault="00A0650F" w:rsidP="00CD7281">
      <w:pPr>
        <w:spacing w:after="0" w:line="240" w:lineRule="auto"/>
        <w:jc w:val="both"/>
        <w:textAlignment w:val="baseline"/>
        <w:rPr>
          <w:rFonts w:ascii="Bookman Old Style" w:eastAsia="Times New Roman" w:hAnsi="Bookman Old Style" w:cs="Arial"/>
          <w:sz w:val="24"/>
          <w:szCs w:val="24"/>
          <w:bdr w:val="none" w:sz="0" w:space="0" w:color="auto" w:frame="1"/>
          <w:lang w:val="es-ES_tradnl" w:eastAsia="es-CO"/>
        </w:rPr>
      </w:pPr>
    </w:p>
    <w:p w14:paraId="6D6D8D93" w14:textId="1EDD35E4" w:rsidR="00A0650F" w:rsidRDefault="00A0650F" w:rsidP="00CD7281">
      <w:pPr>
        <w:spacing w:after="0" w:line="240" w:lineRule="auto"/>
        <w:jc w:val="both"/>
        <w:textAlignment w:val="baseline"/>
        <w:rPr>
          <w:rFonts w:ascii="Bookman Old Style" w:eastAsia="Times New Roman" w:hAnsi="Bookman Old Style" w:cs="Arial"/>
          <w:sz w:val="24"/>
          <w:szCs w:val="24"/>
          <w:bdr w:val="none" w:sz="0" w:space="0" w:color="auto" w:frame="1"/>
          <w:lang w:val="es-ES_tradnl" w:eastAsia="es-CO"/>
        </w:rPr>
      </w:pPr>
    </w:p>
    <w:p w14:paraId="27693E7A" w14:textId="0B8E8F36" w:rsidR="00A0650F" w:rsidRDefault="00A0650F" w:rsidP="00CD7281">
      <w:pPr>
        <w:spacing w:after="0" w:line="240" w:lineRule="auto"/>
        <w:jc w:val="both"/>
        <w:textAlignment w:val="baseline"/>
        <w:rPr>
          <w:rFonts w:ascii="Bookman Old Style" w:eastAsia="Times New Roman" w:hAnsi="Bookman Old Style" w:cs="Arial"/>
          <w:sz w:val="24"/>
          <w:szCs w:val="24"/>
          <w:bdr w:val="none" w:sz="0" w:space="0" w:color="auto" w:frame="1"/>
          <w:lang w:val="es-ES_tradnl" w:eastAsia="es-CO"/>
        </w:rPr>
      </w:pPr>
    </w:p>
    <w:p w14:paraId="7718C9A1" w14:textId="0CFC1C7A" w:rsidR="00A0650F" w:rsidRDefault="00A0650F" w:rsidP="00CD7281">
      <w:pPr>
        <w:spacing w:after="0" w:line="240" w:lineRule="auto"/>
        <w:jc w:val="both"/>
        <w:textAlignment w:val="baseline"/>
        <w:rPr>
          <w:rFonts w:ascii="Bookman Old Style" w:eastAsia="Times New Roman" w:hAnsi="Bookman Old Style" w:cs="Arial"/>
          <w:sz w:val="24"/>
          <w:szCs w:val="24"/>
          <w:bdr w:val="none" w:sz="0" w:space="0" w:color="auto" w:frame="1"/>
          <w:lang w:val="es-ES_tradnl" w:eastAsia="es-CO"/>
        </w:rPr>
      </w:pPr>
    </w:p>
    <w:p w14:paraId="3EDD38E1" w14:textId="47DBF14B" w:rsidR="00A0650F" w:rsidRDefault="00A0650F" w:rsidP="00CD7281">
      <w:pPr>
        <w:spacing w:after="0" w:line="240" w:lineRule="auto"/>
        <w:jc w:val="both"/>
        <w:textAlignment w:val="baseline"/>
        <w:rPr>
          <w:rFonts w:ascii="Bookman Old Style" w:eastAsia="Times New Roman" w:hAnsi="Bookman Old Style" w:cs="Arial"/>
          <w:sz w:val="24"/>
          <w:szCs w:val="24"/>
          <w:bdr w:val="none" w:sz="0" w:space="0" w:color="auto" w:frame="1"/>
          <w:lang w:val="es-ES_tradnl" w:eastAsia="es-CO"/>
        </w:rPr>
      </w:pPr>
    </w:p>
    <w:p w14:paraId="5BC4B71E" w14:textId="24B1D0D1" w:rsidR="00A0650F" w:rsidRDefault="00A0650F" w:rsidP="00CD7281">
      <w:pPr>
        <w:spacing w:after="0" w:line="240" w:lineRule="auto"/>
        <w:jc w:val="both"/>
        <w:textAlignment w:val="baseline"/>
        <w:rPr>
          <w:rFonts w:ascii="Bookman Old Style" w:eastAsia="Times New Roman" w:hAnsi="Bookman Old Style" w:cs="Arial"/>
          <w:sz w:val="24"/>
          <w:szCs w:val="24"/>
          <w:bdr w:val="none" w:sz="0" w:space="0" w:color="auto" w:frame="1"/>
          <w:lang w:val="es-ES_tradnl" w:eastAsia="es-CO"/>
        </w:rPr>
      </w:pPr>
    </w:p>
    <w:p w14:paraId="54A4B060" w14:textId="4D0F3388" w:rsidR="00A0650F" w:rsidRDefault="00A0650F" w:rsidP="00CD7281">
      <w:pPr>
        <w:spacing w:after="0" w:line="240" w:lineRule="auto"/>
        <w:jc w:val="both"/>
        <w:textAlignment w:val="baseline"/>
        <w:rPr>
          <w:rFonts w:ascii="Bookman Old Style" w:eastAsia="Times New Roman" w:hAnsi="Bookman Old Style" w:cs="Arial"/>
          <w:sz w:val="24"/>
          <w:szCs w:val="24"/>
          <w:bdr w:val="none" w:sz="0" w:space="0" w:color="auto" w:frame="1"/>
          <w:lang w:val="es-ES_tradnl" w:eastAsia="es-CO"/>
        </w:rPr>
      </w:pPr>
    </w:p>
    <w:p w14:paraId="1702320A" w14:textId="082D244A" w:rsidR="00A0650F" w:rsidRDefault="00A0650F" w:rsidP="00CD7281">
      <w:pPr>
        <w:spacing w:after="0" w:line="240" w:lineRule="auto"/>
        <w:jc w:val="both"/>
        <w:textAlignment w:val="baseline"/>
        <w:rPr>
          <w:rFonts w:ascii="Bookman Old Style" w:eastAsia="Times New Roman" w:hAnsi="Bookman Old Style" w:cs="Arial"/>
          <w:sz w:val="24"/>
          <w:szCs w:val="24"/>
          <w:bdr w:val="none" w:sz="0" w:space="0" w:color="auto" w:frame="1"/>
          <w:lang w:val="es-ES_tradnl" w:eastAsia="es-CO"/>
        </w:rPr>
      </w:pPr>
    </w:p>
    <w:p w14:paraId="072FBB34" w14:textId="77777777" w:rsidR="00A0650F" w:rsidRPr="00A0650F" w:rsidRDefault="00A0650F" w:rsidP="00CD7281">
      <w:pPr>
        <w:spacing w:after="0" w:line="240" w:lineRule="auto"/>
        <w:jc w:val="both"/>
        <w:textAlignment w:val="baseline"/>
        <w:rPr>
          <w:rFonts w:ascii="Bookman Old Style" w:eastAsia="Times New Roman" w:hAnsi="Bookman Old Style" w:cs="Arial"/>
          <w:sz w:val="24"/>
          <w:szCs w:val="24"/>
          <w:bdr w:val="none" w:sz="0" w:space="0" w:color="auto" w:frame="1"/>
          <w:lang w:val="es-ES_tradnl" w:eastAsia="es-CO"/>
        </w:rPr>
      </w:pPr>
    </w:p>
    <w:p w14:paraId="724EA185" w14:textId="797FAFD1" w:rsidR="00F70941" w:rsidRPr="00A0650F" w:rsidRDefault="00FB34EC" w:rsidP="00CD7281">
      <w:pPr>
        <w:spacing w:line="240" w:lineRule="auto"/>
        <w:jc w:val="center"/>
        <w:rPr>
          <w:rFonts w:ascii="Bookman Old Style" w:eastAsia="Arial" w:hAnsi="Bookman Old Style" w:cs="Arial"/>
          <w:b/>
          <w:sz w:val="24"/>
          <w:szCs w:val="24"/>
        </w:rPr>
      </w:pPr>
      <w:r w:rsidRPr="00A0650F">
        <w:rPr>
          <w:rFonts w:ascii="Bookman Old Style" w:eastAsia="Arial" w:hAnsi="Bookman Old Style" w:cs="Arial"/>
          <w:b/>
          <w:sz w:val="24"/>
          <w:szCs w:val="24"/>
        </w:rPr>
        <w:lastRenderedPageBreak/>
        <w:t>EXPOSICIÓN DE MOTIVOS</w:t>
      </w:r>
    </w:p>
    <w:p w14:paraId="3E916A77" w14:textId="51AB54D3" w:rsidR="00F70941" w:rsidRPr="00A0650F" w:rsidRDefault="00D1408F" w:rsidP="00CD7281">
      <w:pPr>
        <w:pStyle w:val="Prrafodelista"/>
        <w:numPr>
          <w:ilvl w:val="0"/>
          <w:numId w:val="12"/>
        </w:numPr>
        <w:spacing w:line="240" w:lineRule="auto"/>
        <w:jc w:val="center"/>
        <w:rPr>
          <w:rFonts w:ascii="Bookman Old Style" w:eastAsia="Arial" w:hAnsi="Bookman Old Style" w:cs="Arial"/>
          <w:b/>
          <w:sz w:val="24"/>
          <w:szCs w:val="24"/>
        </w:rPr>
      </w:pPr>
      <w:r w:rsidRPr="00A0650F">
        <w:rPr>
          <w:rFonts w:ascii="Bookman Old Style" w:eastAsia="Arial" w:hAnsi="Bookman Old Style" w:cs="Arial"/>
          <w:b/>
          <w:sz w:val="24"/>
          <w:szCs w:val="24"/>
        </w:rPr>
        <w:t>CONSIDER</w:t>
      </w:r>
      <w:r w:rsidR="00F70941" w:rsidRPr="00A0650F">
        <w:rPr>
          <w:rFonts w:ascii="Bookman Old Style" w:eastAsia="Arial" w:hAnsi="Bookman Old Style" w:cs="Arial"/>
          <w:b/>
          <w:sz w:val="24"/>
          <w:szCs w:val="24"/>
        </w:rPr>
        <w:t>ACIONES GENERALES</w:t>
      </w:r>
    </w:p>
    <w:p w14:paraId="1B720F19" w14:textId="720BDDE6" w:rsidR="001E5DDA" w:rsidRPr="00A0650F" w:rsidRDefault="00F70941" w:rsidP="00CD7281">
      <w:pPr>
        <w:spacing w:line="240" w:lineRule="auto"/>
        <w:contextualSpacing/>
        <w:jc w:val="both"/>
        <w:textAlignment w:val="baseline"/>
        <w:rPr>
          <w:rFonts w:ascii="Bookman Old Style" w:hAnsi="Bookman Old Style" w:cs="Arial"/>
          <w:sz w:val="24"/>
          <w:szCs w:val="24"/>
          <w:shd w:val="clear" w:color="auto" w:fill="FFFFFF"/>
        </w:rPr>
      </w:pPr>
      <w:r w:rsidRPr="00A0650F">
        <w:rPr>
          <w:rFonts w:ascii="Bookman Old Style" w:hAnsi="Bookman Old Style" w:cs="Arial"/>
          <w:sz w:val="24"/>
          <w:szCs w:val="24"/>
        </w:rPr>
        <w:t xml:space="preserve">La </w:t>
      </w:r>
      <w:r w:rsidR="00A0650F" w:rsidRPr="00A0650F">
        <w:rPr>
          <w:rFonts w:ascii="Bookman Old Style" w:hAnsi="Bookman Old Style" w:cs="Arial"/>
          <w:sz w:val="24"/>
          <w:szCs w:val="24"/>
        </w:rPr>
        <w:t>presente ley tiene como objeto</w:t>
      </w:r>
      <w:r w:rsidRPr="00A0650F">
        <w:rPr>
          <w:rFonts w:ascii="Bookman Old Style" w:hAnsi="Bookman Old Style" w:cs="Arial"/>
          <w:sz w:val="24"/>
          <w:szCs w:val="24"/>
        </w:rPr>
        <w:t xml:space="preserve"> principal </w:t>
      </w:r>
      <w:r w:rsidRPr="00A0650F">
        <w:rPr>
          <w:rFonts w:ascii="Bookman Old Style" w:eastAsia="Times New Roman" w:hAnsi="Bookman Old Style" w:cs="Arial"/>
          <w:sz w:val="24"/>
          <w:szCs w:val="24"/>
          <w:lang w:val="es-ES_tradnl" w:eastAsia="es-CO"/>
        </w:rPr>
        <w:t>reconocer la libertad de escogencia para la afiliación a las Cajas de Compensación familiar, como un derecho en cabeza del trabajador o empleado,</w:t>
      </w:r>
      <w:r w:rsidRPr="00A0650F">
        <w:rPr>
          <w:rFonts w:ascii="Bookman Old Style" w:hAnsi="Bookman Old Style" w:cs="Arial"/>
          <w:sz w:val="24"/>
          <w:szCs w:val="24"/>
          <w:shd w:val="clear" w:color="auto" w:fill="FFFFFF"/>
        </w:rPr>
        <w:t xml:space="preserve"> que debe ser garantizado por el Estado y todos los integrantes del sistema.</w:t>
      </w:r>
    </w:p>
    <w:p w14:paraId="5DECA092" w14:textId="77777777" w:rsidR="001E5DDA" w:rsidRPr="00A0650F" w:rsidRDefault="001E5DDA" w:rsidP="00CD7281">
      <w:pPr>
        <w:spacing w:line="240" w:lineRule="auto"/>
        <w:contextualSpacing/>
        <w:jc w:val="both"/>
        <w:textAlignment w:val="baseline"/>
        <w:rPr>
          <w:rFonts w:ascii="Bookman Old Style" w:hAnsi="Bookman Old Style" w:cs="Arial"/>
          <w:sz w:val="24"/>
          <w:szCs w:val="24"/>
          <w:shd w:val="clear" w:color="auto" w:fill="FFFFFF"/>
        </w:rPr>
      </w:pPr>
    </w:p>
    <w:p w14:paraId="5D8C291F" w14:textId="4C4CB55E" w:rsidR="001E5DDA" w:rsidRPr="00A0650F" w:rsidRDefault="001E5DDA" w:rsidP="00CD7281">
      <w:pPr>
        <w:spacing w:line="240" w:lineRule="auto"/>
        <w:contextualSpacing/>
        <w:jc w:val="both"/>
        <w:textAlignment w:val="baseline"/>
        <w:rPr>
          <w:rFonts w:ascii="Bookman Old Style" w:hAnsi="Bookman Old Style" w:cs="Arial"/>
          <w:sz w:val="24"/>
          <w:szCs w:val="24"/>
          <w:shd w:val="clear" w:color="auto" w:fill="FFFFFF"/>
        </w:rPr>
      </w:pPr>
      <w:r w:rsidRPr="00A0650F">
        <w:rPr>
          <w:rFonts w:ascii="Bookman Old Style" w:hAnsi="Bookman Old Style" w:cs="Arial"/>
          <w:sz w:val="24"/>
          <w:szCs w:val="24"/>
          <w:shd w:val="clear" w:color="auto" w:fill="FFFFFF"/>
        </w:rPr>
        <w:t>L</w:t>
      </w:r>
      <w:r w:rsidRPr="00A0650F">
        <w:rPr>
          <w:rFonts w:ascii="Bookman Old Style" w:eastAsia="Arial" w:hAnsi="Bookman Old Style" w:cs="Arial"/>
          <w:sz w:val="24"/>
          <w:szCs w:val="24"/>
        </w:rPr>
        <w:t>a presente propuesta</w:t>
      </w:r>
      <w:r w:rsidR="00415975" w:rsidRPr="00A0650F">
        <w:rPr>
          <w:rFonts w:ascii="Bookman Old Style" w:eastAsia="Arial" w:hAnsi="Bookman Old Style" w:cs="Arial"/>
          <w:sz w:val="24"/>
          <w:szCs w:val="24"/>
        </w:rPr>
        <w:t xml:space="preserve"> </w:t>
      </w:r>
      <w:r w:rsidRPr="00A0650F">
        <w:rPr>
          <w:rFonts w:ascii="Bookman Old Style" w:eastAsia="Arial" w:hAnsi="Bookman Old Style" w:cs="Arial"/>
          <w:sz w:val="24"/>
          <w:szCs w:val="24"/>
        </w:rPr>
        <w:t xml:space="preserve">ha considerado </w:t>
      </w:r>
      <w:r w:rsidR="00415975" w:rsidRPr="00A0650F">
        <w:rPr>
          <w:rFonts w:ascii="Bookman Old Style" w:eastAsia="Arial" w:hAnsi="Bookman Old Style" w:cs="Arial"/>
          <w:sz w:val="24"/>
          <w:szCs w:val="24"/>
        </w:rPr>
        <w:t>introduc</w:t>
      </w:r>
      <w:r w:rsidRPr="00A0650F">
        <w:rPr>
          <w:rFonts w:ascii="Bookman Old Style" w:eastAsia="Arial" w:hAnsi="Bookman Old Style" w:cs="Arial"/>
          <w:sz w:val="24"/>
          <w:szCs w:val="24"/>
        </w:rPr>
        <w:t>ir el principio de</w:t>
      </w:r>
      <w:r w:rsidR="00415975" w:rsidRPr="00A0650F">
        <w:rPr>
          <w:rFonts w:ascii="Bookman Old Style" w:eastAsia="Arial" w:hAnsi="Bookman Old Style" w:cs="Arial"/>
          <w:sz w:val="24"/>
          <w:szCs w:val="24"/>
        </w:rPr>
        <w:t xml:space="preserve"> la libre elección de la Caja de Compensación Familiar para los </w:t>
      </w:r>
      <w:r w:rsidRPr="00A0650F">
        <w:rPr>
          <w:rFonts w:ascii="Bookman Old Style" w:eastAsia="Arial" w:hAnsi="Bookman Old Style" w:cs="Arial"/>
          <w:sz w:val="24"/>
          <w:szCs w:val="24"/>
        </w:rPr>
        <w:t xml:space="preserve">trabajadores o </w:t>
      </w:r>
      <w:r w:rsidR="00415975" w:rsidRPr="00A0650F">
        <w:rPr>
          <w:rFonts w:ascii="Bookman Old Style" w:eastAsia="Arial" w:hAnsi="Bookman Old Style" w:cs="Arial"/>
          <w:sz w:val="24"/>
          <w:szCs w:val="24"/>
        </w:rPr>
        <w:t xml:space="preserve">empleados en Colombia. Creemos que esta medida promoverá la autonomía y los derechos individuales, permitirá a los trabajadores adaptar los servicios a sus necesidades personales y familiares, estimulará la competencia y la mejora de la calidad de los servicios, aumentará la satisfacción de los empleados y fomentará la transparencia y la rendición de cuentas en el sistema. </w:t>
      </w:r>
    </w:p>
    <w:p w14:paraId="0EEA3BDC" w14:textId="77777777" w:rsidR="001E5DDA" w:rsidRPr="00A0650F" w:rsidRDefault="001E5DDA" w:rsidP="00CD7281">
      <w:pPr>
        <w:spacing w:line="240" w:lineRule="auto"/>
        <w:contextualSpacing/>
        <w:jc w:val="both"/>
        <w:textAlignment w:val="baseline"/>
        <w:rPr>
          <w:rFonts w:ascii="Bookman Old Style" w:hAnsi="Bookman Old Style" w:cs="Arial"/>
          <w:sz w:val="24"/>
          <w:szCs w:val="24"/>
          <w:shd w:val="clear" w:color="auto" w:fill="FFFFFF"/>
        </w:rPr>
      </w:pPr>
    </w:p>
    <w:p w14:paraId="06A21CC6" w14:textId="7EAF832C" w:rsidR="001E5DDA" w:rsidRPr="00A0650F" w:rsidRDefault="00415975" w:rsidP="00CD7281">
      <w:pPr>
        <w:spacing w:line="240" w:lineRule="auto"/>
        <w:contextualSpacing/>
        <w:jc w:val="both"/>
        <w:textAlignment w:val="baseline"/>
        <w:rPr>
          <w:rFonts w:ascii="Bookman Old Style" w:hAnsi="Bookman Old Style" w:cs="Arial"/>
          <w:sz w:val="24"/>
          <w:szCs w:val="24"/>
          <w:shd w:val="clear" w:color="auto" w:fill="FFFFFF"/>
        </w:rPr>
      </w:pPr>
      <w:r w:rsidRPr="00A0650F">
        <w:rPr>
          <w:rFonts w:ascii="Bookman Old Style" w:eastAsia="Arial" w:hAnsi="Bookman Old Style" w:cs="Arial"/>
          <w:sz w:val="24"/>
          <w:szCs w:val="24"/>
        </w:rPr>
        <w:t>Como sociedad, reconocemos la importancia de promover el bienestar de los trabajadores y sus familias, garantizando que tengan acceso a servicios y beneficios que mejoren su calidad de vida. Las Cajas de Compensación Familiar en Colombia desempeñan un papel vital en este aspecto, ofreciendo una amplia gama de programas que abordan las necesidades de salud, educación, vivienda, recreación y cultura de los trabajadores. Sin embargo, en la actualidad, la elección de la Caja de Compensación Familiar se encuentra restringida a la asignación geográfica y no se basa en las preferencias y necesidades individuales de los empleados.</w:t>
      </w:r>
    </w:p>
    <w:p w14:paraId="5D5C95AD" w14:textId="7FE2E6CB" w:rsidR="001E5DDA" w:rsidRPr="00A0650F" w:rsidRDefault="001E5DDA" w:rsidP="00CD7281">
      <w:pPr>
        <w:spacing w:line="240" w:lineRule="auto"/>
        <w:jc w:val="both"/>
        <w:textAlignment w:val="baseline"/>
        <w:rPr>
          <w:rFonts w:ascii="Bookman Old Style" w:hAnsi="Bookman Old Style" w:cs="Arial"/>
          <w:sz w:val="24"/>
          <w:szCs w:val="24"/>
          <w:shd w:val="clear" w:color="auto" w:fill="FFFFFF"/>
        </w:rPr>
      </w:pPr>
    </w:p>
    <w:p w14:paraId="3EBCF12F" w14:textId="1E06F66A" w:rsidR="001E5DDA" w:rsidRPr="00A0650F" w:rsidRDefault="00A0650F" w:rsidP="00CD7281">
      <w:pPr>
        <w:pStyle w:val="Prrafodelista"/>
        <w:numPr>
          <w:ilvl w:val="0"/>
          <w:numId w:val="12"/>
        </w:numPr>
        <w:spacing w:line="240" w:lineRule="auto"/>
        <w:jc w:val="center"/>
        <w:textAlignment w:val="baseline"/>
        <w:rPr>
          <w:rFonts w:ascii="Bookman Old Style" w:hAnsi="Bookman Old Style" w:cs="Arial"/>
          <w:b/>
          <w:sz w:val="24"/>
          <w:szCs w:val="24"/>
          <w:shd w:val="clear" w:color="auto" w:fill="FFFFFF"/>
        </w:rPr>
      </w:pPr>
      <w:r w:rsidRPr="00A0650F">
        <w:rPr>
          <w:rFonts w:ascii="Bookman Old Style" w:hAnsi="Bookman Old Style" w:cs="Arial"/>
          <w:b/>
          <w:sz w:val="24"/>
          <w:szCs w:val="24"/>
          <w:shd w:val="clear" w:color="auto" w:fill="FFFFFF"/>
        </w:rPr>
        <w:t>JUSTIFICACIÓ</w:t>
      </w:r>
      <w:r w:rsidR="001E5DDA" w:rsidRPr="00A0650F">
        <w:rPr>
          <w:rFonts w:ascii="Bookman Old Style" w:hAnsi="Bookman Old Style" w:cs="Arial"/>
          <w:b/>
          <w:sz w:val="24"/>
          <w:szCs w:val="24"/>
          <w:shd w:val="clear" w:color="auto" w:fill="FFFFFF"/>
        </w:rPr>
        <w:t xml:space="preserve">N </w:t>
      </w:r>
      <w:r w:rsidRPr="00A0650F">
        <w:rPr>
          <w:rFonts w:ascii="Bookman Old Style" w:hAnsi="Bookman Old Style" w:cs="Arial"/>
          <w:b/>
          <w:sz w:val="24"/>
          <w:szCs w:val="24"/>
          <w:shd w:val="clear" w:color="auto" w:fill="FFFFFF"/>
        </w:rPr>
        <w:t>DE LA INICIATIVA</w:t>
      </w:r>
    </w:p>
    <w:p w14:paraId="65735B4E" w14:textId="7A357DCE" w:rsidR="00415975" w:rsidRPr="00A0650F" w:rsidRDefault="00415975" w:rsidP="00CD7281">
      <w:pPr>
        <w:spacing w:line="240" w:lineRule="auto"/>
        <w:jc w:val="both"/>
        <w:rPr>
          <w:rFonts w:ascii="Bookman Old Style" w:eastAsia="Arial" w:hAnsi="Bookman Old Style" w:cs="Arial"/>
          <w:sz w:val="24"/>
          <w:szCs w:val="24"/>
        </w:rPr>
      </w:pPr>
      <w:r w:rsidRPr="00A0650F">
        <w:rPr>
          <w:rFonts w:ascii="Bookman Old Style" w:eastAsia="Arial" w:hAnsi="Bookman Old Style" w:cs="Arial"/>
          <w:sz w:val="24"/>
          <w:szCs w:val="24"/>
        </w:rPr>
        <w:t xml:space="preserve">En este </w:t>
      </w:r>
      <w:r w:rsidR="00367D36" w:rsidRPr="00A0650F">
        <w:rPr>
          <w:rFonts w:ascii="Bookman Old Style" w:eastAsia="Arial" w:hAnsi="Bookman Old Style" w:cs="Arial"/>
          <w:sz w:val="24"/>
          <w:szCs w:val="24"/>
        </w:rPr>
        <w:t xml:space="preserve">contexto, la presente iniciativa está justificada </w:t>
      </w:r>
      <w:r w:rsidRPr="00A0650F">
        <w:rPr>
          <w:rFonts w:ascii="Bookman Old Style" w:eastAsia="Arial" w:hAnsi="Bookman Old Style" w:cs="Arial"/>
          <w:sz w:val="24"/>
          <w:szCs w:val="24"/>
        </w:rPr>
        <w:t>a favor de la libre elección de la Caja de Compensación Familiar por par</w:t>
      </w:r>
      <w:r w:rsidR="00367D36" w:rsidRPr="00A0650F">
        <w:rPr>
          <w:rFonts w:ascii="Bookman Old Style" w:eastAsia="Arial" w:hAnsi="Bookman Old Style" w:cs="Arial"/>
          <w:sz w:val="24"/>
          <w:szCs w:val="24"/>
        </w:rPr>
        <w:t>te de los empleados en Colombia, entre otros, en los siguientes argumentos</w:t>
      </w:r>
      <w:r w:rsidRPr="00A0650F">
        <w:rPr>
          <w:rFonts w:ascii="Bookman Old Style" w:eastAsia="Arial" w:hAnsi="Bookman Old Style" w:cs="Arial"/>
          <w:sz w:val="24"/>
          <w:szCs w:val="24"/>
        </w:rPr>
        <w:t>:</w:t>
      </w:r>
    </w:p>
    <w:p w14:paraId="170D223B" w14:textId="1836EC82" w:rsidR="00415975" w:rsidRPr="00A0650F" w:rsidRDefault="00415975" w:rsidP="00CD7281">
      <w:pPr>
        <w:pStyle w:val="Prrafodelista"/>
        <w:numPr>
          <w:ilvl w:val="0"/>
          <w:numId w:val="6"/>
        </w:numPr>
        <w:spacing w:line="240" w:lineRule="auto"/>
        <w:jc w:val="both"/>
        <w:rPr>
          <w:rFonts w:ascii="Bookman Old Style" w:eastAsia="Arial" w:hAnsi="Bookman Old Style" w:cs="Arial"/>
          <w:sz w:val="24"/>
          <w:szCs w:val="24"/>
        </w:rPr>
      </w:pPr>
      <w:r w:rsidRPr="00A0650F">
        <w:rPr>
          <w:rFonts w:ascii="Bookman Old Style" w:eastAsia="Arial" w:hAnsi="Bookman Old Style" w:cs="Arial"/>
          <w:b/>
          <w:sz w:val="24"/>
          <w:szCs w:val="24"/>
        </w:rPr>
        <w:t>Autonomía y Derechos Individuales</w:t>
      </w:r>
      <w:r w:rsidRPr="00A0650F">
        <w:rPr>
          <w:rFonts w:ascii="Bookman Old Style" w:eastAsia="Arial" w:hAnsi="Bookman Old Style" w:cs="Arial"/>
          <w:sz w:val="24"/>
          <w:szCs w:val="24"/>
        </w:rPr>
        <w:t>: La libertad de elección es un principio fundamental de una sociedad democrática. Permite a los ciudadanos ejercer su autonomía y tomar decisiones que se ajusten a sus valores y necesidades personales. La elección de la Caja de Compensación Familiar es un asunto de bienestar familiar y, por lo tanto, debería estar en manos de los empleados.</w:t>
      </w:r>
    </w:p>
    <w:p w14:paraId="0E1C089A" w14:textId="77777777" w:rsidR="001E5DDA" w:rsidRPr="00A0650F" w:rsidRDefault="001E5DDA" w:rsidP="00CD7281">
      <w:pPr>
        <w:pStyle w:val="Prrafodelista"/>
        <w:spacing w:line="240" w:lineRule="auto"/>
        <w:jc w:val="both"/>
        <w:rPr>
          <w:rFonts w:ascii="Bookman Old Style" w:eastAsia="Arial" w:hAnsi="Bookman Old Style" w:cs="Arial"/>
          <w:sz w:val="24"/>
          <w:szCs w:val="24"/>
        </w:rPr>
      </w:pPr>
    </w:p>
    <w:p w14:paraId="5629A3F3" w14:textId="1901C378" w:rsidR="00415975" w:rsidRPr="00A0650F" w:rsidRDefault="00415975" w:rsidP="00CD7281">
      <w:pPr>
        <w:pStyle w:val="Prrafodelista"/>
        <w:numPr>
          <w:ilvl w:val="0"/>
          <w:numId w:val="6"/>
        </w:numPr>
        <w:spacing w:line="240" w:lineRule="auto"/>
        <w:jc w:val="both"/>
        <w:rPr>
          <w:rFonts w:ascii="Bookman Old Style" w:eastAsia="Arial" w:hAnsi="Bookman Old Style" w:cs="Arial"/>
          <w:sz w:val="24"/>
          <w:szCs w:val="24"/>
        </w:rPr>
      </w:pPr>
      <w:r w:rsidRPr="00A0650F">
        <w:rPr>
          <w:rFonts w:ascii="Bookman Old Style" w:eastAsia="Arial" w:hAnsi="Bookman Old Style" w:cs="Arial"/>
          <w:b/>
          <w:sz w:val="24"/>
          <w:szCs w:val="24"/>
        </w:rPr>
        <w:lastRenderedPageBreak/>
        <w:t>Diversidad de Necesidades:</w:t>
      </w:r>
      <w:r w:rsidRPr="00A0650F">
        <w:rPr>
          <w:rFonts w:ascii="Bookman Old Style" w:eastAsia="Arial" w:hAnsi="Bookman Old Style" w:cs="Arial"/>
          <w:sz w:val="24"/>
          <w:szCs w:val="24"/>
        </w:rPr>
        <w:t xml:space="preserve"> Los empleados tienen diversas necesidades y prioridades en lo que respecta a los servicios que ofrecen las Cajas de Compensación Familiar. Al permitirles elegir, se reconocen y respetan estas diferencias. Algunos empleados pueden requerir más atención en áreas como la vivienda, la educación o la recreación, y la elección les brinda la oportunidad de adaptar los servicios a sus necesidades específicas.</w:t>
      </w:r>
    </w:p>
    <w:p w14:paraId="73B4901B" w14:textId="77777777" w:rsidR="001E5DDA" w:rsidRPr="00A0650F" w:rsidRDefault="001E5DDA" w:rsidP="00CD7281">
      <w:pPr>
        <w:pStyle w:val="Prrafodelista"/>
        <w:spacing w:line="240" w:lineRule="auto"/>
        <w:jc w:val="both"/>
        <w:rPr>
          <w:rFonts w:ascii="Bookman Old Style" w:eastAsia="Arial" w:hAnsi="Bookman Old Style" w:cs="Arial"/>
          <w:sz w:val="24"/>
          <w:szCs w:val="24"/>
        </w:rPr>
      </w:pPr>
    </w:p>
    <w:p w14:paraId="557EF31A" w14:textId="0310EAB6" w:rsidR="001E5DDA" w:rsidRPr="00A0650F" w:rsidRDefault="00415975" w:rsidP="00CD7281">
      <w:pPr>
        <w:pStyle w:val="Prrafodelista"/>
        <w:numPr>
          <w:ilvl w:val="0"/>
          <w:numId w:val="6"/>
        </w:numPr>
        <w:spacing w:line="240" w:lineRule="auto"/>
        <w:jc w:val="both"/>
        <w:rPr>
          <w:rFonts w:ascii="Bookman Old Style" w:eastAsia="Arial" w:hAnsi="Bookman Old Style" w:cs="Arial"/>
          <w:sz w:val="24"/>
          <w:szCs w:val="24"/>
        </w:rPr>
      </w:pPr>
      <w:r w:rsidRPr="00A0650F">
        <w:rPr>
          <w:rFonts w:ascii="Bookman Old Style" w:eastAsia="Arial" w:hAnsi="Bookman Old Style" w:cs="Arial"/>
          <w:b/>
          <w:sz w:val="24"/>
          <w:szCs w:val="24"/>
        </w:rPr>
        <w:t>Fomento de la Competencia y la Calidad:</w:t>
      </w:r>
      <w:r w:rsidRPr="00A0650F">
        <w:rPr>
          <w:rFonts w:ascii="Bookman Old Style" w:eastAsia="Arial" w:hAnsi="Bookman Old Style" w:cs="Arial"/>
          <w:sz w:val="24"/>
          <w:szCs w:val="24"/>
        </w:rPr>
        <w:t xml:space="preserve"> La libre elección estimula la competencia entre las Cajas de Compensación Familiar. La competencia a menudo conduce a la mejora de la calidad de los servicios, la eficiencia y la innovación, ya que las Cajas buscan atraer y retener a los empleados ofreciendo programas y beneficios de alta calidad.</w:t>
      </w:r>
    </w:p>
    <w:p w14:paraId="0433E258" w14:textId="77777777" w:rsidR="001E5DDA" w:rsidRPr="00A0650F" w:rsidRDefault="001E5DDA" w:rsidP="00CD7281">
      <w:pPr>
        <w:pStyle w:val="Prrafodelista"/>
        <w:spacing w:line="240" w:lineRule="auto"/>
        <w:jc w:val="both"/>
        <w:rPr>
          <w:rFonts w:ascii="Bookman Old Style" w:eastAsia="Arial" w:hAnsi="Bookman Old Style" w:cs="Arial"/>
          <w:sz w:val="24"/>
          <w:szCs w:val="24"/>
        </w:rPr>
      </w:pPr>
    </w:p>
    <w:p w14:paraId="0ED47607" w14:textId="6F1DDF19" w:rsidR="00415975" w:rsidRPr="00A0650F" w:rsidRDefault="00415975" w:rsidP="00CD7281">
      <w:pPr>
        <w:pStyle w:val="Prrafodelista"/>
        <w:numPr>
          <w:ilvl w:val="0"/>
          <w:numId w:val="6"/>
        </w:numPr>
        <w:spacing w:line="240" w:lineRule="auto"/>
        <w:jc w:val="both"/>
        <w:rPr>
          <w:rFonts w:ascii="Bookman Old Style" w:eastAsia="Arial" w:hAnsi="Bookman Old Style" w:cs="Arial"/>
          <w:sz w:val="24"/>
          <w:szCs w:val="24"/>
        </w:rPr>
      </w:pPr>
      <w:r w:rsidRPr="00A0650F">
        <w:rPr>
          <w:rFonts w:ascii="Bookman Old Style" w:eastAsia="Arial" w:hAnsi="Bookman Old Style" w:cs="Arial"/>
          <w:b/>
          <w:sz w:val="24"/>
          <w:szCs w:val="24"/>
        </w:rPr>
        <w:t>Mayor Satisfacción del Empleado:</w:t>
      </w:r>
      <w:r w:rsidRPr="00A0650F">
        <w:rPr>
          <w:rFonts w:ascii="Bookman Old Style" w:eastAsia="Arial" w:hAnsi="Bookman Old Style" w:cs="Arial"/>
          <w:sz w:val="24"/>
          <w:szCs w:val="24"/>
        </w:rPr>
        <w:t xml:space="preserve"> Cuando los empleados pueden elegir la Caja de Compensación Familiar que mejor se adapte a sus necesidades, es más probable que estén satisfechos con los servicios que reciben. Esto contribuye al bienestar y la felicidad de los trabajadores, lo que a su vez puede aumentar la productividad laboral.</w:t>
      </w:r>
    </w:p>
    <w:p w14:paraId="6804B8EB" w14:textId="77777777" w:rsidR="001E5DDA" w:rsidRPr="00A0650F" w:rsidRDefault="001E5DDA" w:rsidP="00CD7281">
      <w:pPr>
        <w:pStyle w:val="Prrafodelista"/>
        <w:spacing w:line="240" w:lineRule="auto"/>
        <w:jc w:val="both"/>
        <w:rPr>
          <w:rFonts w:ascii="Bookman Old Style" w:eastAsia="Arial" w:hAnsi="Bookman Old Style" w:cs="Arial"/>
          <w:sz w:val="24"/>
          <w:szCs w:val="24"/>
        </w:rPr>
      </w:pPr>
    </w:p>
    <w:p w14:paraId="401E6AA2" w14:textId="27CB5A58" w:rsidR="00367D36" w:rsidRPr="00A0650F" w:rsidRDefault="00415975" w:rsidP="00CD7281">
      <w:pPr>
        <w:pStyle w:val="Prrafodelista"/>
        <w:numPr>
          <w:ilvl w:val="0"/>
          <w:numId w:val="6"/>
        </w:numPr>
        <w:spacing w:line="240" w:lineRule="auto"/>
        <w:jc w:val="both"/>
        <w:rPr>
          <w:rFonts w:ascii="Bookman Old Style" w:eastAsia="Arial" w:hAnsi="Bookman Old Style" w:cs="Arial"/>
          <w:sz w:val="24"/>
          <w:szCs w:val="24"/>
        </w:rPr>
      </w:pPr>
      <w:r w:rsidRPr="00A0650F">
        <w:rPr>
          <w:rFonts w:ascii="Bookman Old Style" w:eastAsia="Arial" w:hAnsi="Bookman Old Style" w:cs="Arial"/>
          <w:b/>
          <w:sz w:val="24"/>
          <w:szCs w:val="24"/>
        </w:rPr>
        <w:t>Transparencia y Rendición de Cuentas:</w:t>
      </w:r>
      <w:r w:rsidRPr="00A0650F">
        <w:rPr>
          <w:rFonts w:ascii="Bookman Old Style" w:eastAsia="Arial" w:hAnsi="Bookman Old Style" w:cs="Arial"/>
          <w:sz w:val="24"/>
          <w:szCs w:val="24"/>
        </w:rPr>
        <w:t xml:space="preserve"> La libre elección de la Caja fomentaría una mayor transparencia y rendición de cuentas en el sistema. Las Cajas de Compensación Familiar tendrían que competir por la afiliación, lo que podría llevar a una mayor claridad en la información y los costos asociados con sus servicios.</w:t>
      </w:r>
    </w:p>
    <w:p w14:paraId="524FFCB4" w14:textId="77777777" w:rsidR="00367D36" w:rsidRPr="00A0650F" w:rsidRDefault="00367D36" w:rsidP="00CD7281">
      <w:pPr>
        <w:pStyle w:val="Prrafodelista"/>
        <w:spacing w:line="240" w:lineRule="auto"/>
        <w:rPr>
          <w:rFonts w:ascii="Bookman Old Style" w:eastAsia="Arial" w:hAnsi="Bookman Old Style" w:cs="Arial"/>
          <w:sz w:val="24"/>
          <w:szCs w:val="24"/>
        </w:rPr>
      </w:pPr>
    </w:p>
    <w:p w14:paraId="3F559C0A" w14:textId="77777777" w:rsidR="00367D36" w:rsidRPr="00A0650F" w:rsidRDefault="00367D36" w:rsidP="00CD7281">
      <w:pPr>
        <w:pStyle w:val="Prrafodelista"/>
        <w:spacing w:line="240" w:lineRule="auto"/>
        <w:jc w:val="both"/>
        <w:rPr>
          <w:rFonts w:ascii="Bookman Old Style" w:eastAsia="Arial" w:hAnsi="Bookman Old Style" w:cs="Arial"/>
          <w:sz w:val="24"/>
          <w:szCs w:val="24"/>
        </w:rPr>
      </w:pPr>
    </w:p>
    <w:p w14:paraId="2900359F" w14:textId="56FA84D8" w:rsidR="00415975" w:rsidRPr="00A0650F" w:rsidRDefault="00367D36" w:rsidP="00CD7281">
      <w:pPr>
        <w:pStyle w:val="Prrafodelista"/>
        <w:numPr>
          <w:ilvl w:val="1"/>
          <w:numId w:val="12"/>
        </w:numPr>
        <w:spacing w:line="240" w:lineRule="auto"/>
        <w:jc w:val="both"/>
        <w:rPr>
          <w:rFonts w:ascii="Bookman Old Style" w:eastAsia="Arial" w:hAnsi="Bookman Old Style" w:cs="Arial"/>
          <w:b/>
          <w:sz w:val="24"/>
          <w:szCs w:val="24"/>
        </w:rPr>
      </w:pPr>
      <w:r w:rsidRPr="00A0650F">
        <w:rPr>
          <w:rFonts w:ascii="Bookman Old Style" w:eastAsia="Arial" w:hAnsi="Bookman Old Style" w:cs="Arial"/>
          <w:b/>
          <w:sz w:val="24"/>
          <w:szCs w:val="24"/>
        </w:rPr>
        <w:t>CONTEXTO FUNCIONAL DE LAS CAJAS DE COMPENSACIÓN EN COLOMBIA:</w:t>
      </w:r>
    </w:p>
    <w:p w14:paraId="25F7D2BB" w14:textId="0F9050C4" w:rsidR="00090784" w:rsidRPr="00A0650F" w:rsidRDefault="00090784" w:rsidP="00CD7281">
      <w:pPr>
        <w:spacing w:line="240" w:lineRule="auto"/>
        <w:jc w:val="both"/>
        <w:rPr>
          <w:rFonts w:ascii="Bookman Old Style" w:eastAsia="Arial" w:hAnsi="Bookman Old Style" w:cs="Arial"/>
          <w:sz w:val="24"/>
          <w:szCs w:val="24"/>
        </w:rPr>
      </w:pPr>
      <w:r w:rsidRPr="00A0650F">
        <w:rPr>
          <w:rFonts w:ascii="Bookman Old Style" w:eastAsia="Arial" w:hAnsi="Bookman Old Style" w:cs="Arial"/>
          <w:sz w:val="24"/>
          <w:szCs w:val="24"/>
        </w:rPr>
        <w:t>La actividad de las cajas de compensación está circunscrita por la ley al ámbito departamental, siendo la excepción la Caja Campesina, la cual está autorizada para operar en todo el país y que atiende a los trabajadores del sector rural. El estudio de la estructura de este mercado tiene obligatoriamente que considerar la dimensión geográfica, pues realmente se trata de múltiples mercados regionales. Adicionalmente, además del pago del subsidio a los trabajadores beneficiarios, objeto para el cual fueron concebidas, la normatividad vigente les asigna a las cajas de compensación familiar tareas variadas.</w:t>
      </w:r>
    </w:p>
    <w:p w14:paraId="2E771F4F" w14:textId="3C89ADFA" w:rsidR="00295362" w:rsidRPr="00A0650F" w:rsidRDefault="00295362" w:rsidP="00CD7281">
      <w:pPr>
        <w:spacing w:line="240" w:lineRule="auto"/>
        <w:jc w:val="both"/>
        <w:rPr>
          <w:rFonts w:ascii="Bookman Old Style" w:eastAsia="Arial" w:hAnsi="Bookman Old Style" w:cs="Arial"/>
          <w:sz w:val="24"/>
          <w:szCs w:val="24"/>
        </w:rPr>
      </w:pPr>
      <w:r w:rsidRPr="00A0650F">
        <w:rPr>
          <w:rFonts w:ascii="Bookman Old Style" w:eastAsia="Arial" w:hAnsi="Bookman Old Style" w:cs="Arial"/>
          <w:sz w:val="24"/>
          <w:szCs w:val="24"/>
        </w:rPr>
        <w:lastRenderedPageBreak/>
        <w:t>Existe una preocupación acerca de la regulación de este mercado en dos frentes: i) con respecto a la conveniencia de la segmentación geográfica de los mercados siguiendo la división geopolítica del país en departamentos, y ii) con respecto a la racionalidad de las intervenciones del gobierno tendientes a proteger estos mercados de la competencia desleal.</w:t>
      </w:r>
    </w:p>
    <w:p w14:paraId="08E43461" w14:textId="308C9255" w:rsidR="00295362" w:rsidRPr="00A0650F" w:rsidRDefault="00295362" w:rsidP="00CD7281">
      <w:pPr>
        <w:spacing w:line="240" w:lineRule="auto"/>
        <w:jc w:val="both"/>
        <w:rPr>
          <w:rFonts w:ascii="Bookman Old Style" w:eastAsia="Arial" w:hAnsi="Bookman Old Style" w:cs="Arial"/>
          <w:sz w:val="24"/>
          <w:szCs w:val="24"/>
        </w:rPr>
      </w:pPr>
      <w:r w:rsidRPr="00A0650F">
        <w:rPr>
          <w:rFonts w:ascii="Bookman Old Style" w:eastAsia="Arial" w:hAnsi="Bookman Old Style" w:cs="Arial"/>
          <w:sz w:val="24"/>
          <w:szCs w:val="24"/>
        </w:rPr>
        <w:t>De esta manera, surgen una serie de acusaciones de conductas desleales de las cajas, que pueden separarse en dos categorías: i) acciones de una caja tendientes a atraer hacia ella las empresas compensadas vinculadas a otras cajas, y ii) acciones de una caja tendientes a impedir la afiliación de empresas descompensadas. Se entiende como una empresa compensada aquella cuyos aportes de ley exceden el monto que recibirá en subsidios monetarios, y como descompensada, lo contrario.</w:t>
      </w:r>
    </w:p>
    <w:p w14:paraId="1BD69003" w14:textId="7D499136" w:rsidR="00295362" w:rsidRPr="00A0650F" w:rsidRDefault="00295362" w:rsidP="00CD7281">
      <w:pPr>
        <w:spacing w:line="240" w:lineRule="auto"/>
        <w:jc w:val="both"/>
        <w:rPr>
          <w:rFonts w:ascii="Bookman Old Style" w:eastAsia="Arial" w:hAnsi="Bookman Old Style" w:cs="Arial"/>
          <w:sz w:val="24"/>
          <w:szCs w:val="24"/>
        </w:rPr>
      </w:pPr>
      <w:r w:rsidRPr="00A0650F">
        <w:rPr>
          <w:rFonts w:ascii="Bookman Old Style" w:eastAsia="Arial" w:hAnsi="Bookman Old Style" w:cs="Arial"/>
          <w:sz w:val="24"/>
          <w:szCs w:val="24"/>
        </w:rPr>
        <w:t xml:space="preserve">En el 2023, hay </w:t>
      </w:r>
      <w:r w:rsidR="003163FA" w:rsidRPr="00A0650F">
        <w:rPr>
          <w:rFonts w:ascii="Bookman Old Style" w:eastAsia="Arial" w:hAnsi="Bookman Old Style" w:cs="Arial"/>
          <w:sz w:val="24"/>
          <w:szCs w:val="24"/>
        </w:rPr>
        <w:t>43</w:t>
      </w:r>
      <w:r w:rsidRPr="00A0650F">
        <w:rPr>
          <w:rFonts w:ascii="Bookman Old Style" w:eastAsia="Arial" w:hAnsi="Bookman Old Style" w:cs="Arial"/>
          <w:sz w:val="24"/>
          <w:szCs w:val="24"/>
        </w:rPr>
        <w:t xml:space="preserve"> cajas de compensación operando en el país, repartidas entre 28 mercados geográficos, y una de ellas de carácter nacional, con dedicación exclusiva a los trabajadores rurales (Caja de Compensación Campesina).</w:t>
      </w:r>
      <w:r w:rsidR="007B7A33" w:rsidRPr="00A0650F">
        <w:rPr>
          <w:rFonts w:ascii="Bookman Old Style" w:eastAsia="Arial" w:hAnsi="Bookman Old Style" w:cs="Arial"/>
          <w:sz w:val="24"/>
          <w:szCs w:val="24"/>
        </w:rPr>
        <w:t xml:space="preserve"> De estas 10 se encuentran con medias cautelares de vigilancia o intervenciones administrativas totales.</w:t>
      </w:r>
      <w:r w:rsidR="00EB1DC6" w:rsidRPr="00A0650F">
        <w:rPr>
          <w:rFonts w:ascii="Bookman Old Style" w:eastAsia="Arial" w:hAnsi="Bookman Old Style" w:cs="Arial"/>
          <w:sz w:val="24"/>
          <w:szCs w:val="24"/>
        </w:rPr>
        <w:t xml:space="preserve"> Al cierre de 2022 estas 43 CCF tenían un total de afiliados de 10.307.582</w:t>
      </w:r>
    </w:p>
    <w:p w14:paraId="627C0D44" w14:textId="3EB0E646" w:rsidR="003163FA" w:rsidRPr="00A0650F" w:rsidRDefault="003163FA" w:rsidP="00CD7281">
      <w:pPr>
        <w:spacing w:line="240" w:lineRule="auto"/>
        <w:jc w:val="center"/>
        <w:rPr>
          <w:rFonts w:ascii="Bookman Old Style" w:eastAsia="Arial" w:hAnsi="Bookman Old Style" w:cs="Arial"/>
          <w:sz w:val="24"/>
          <w:szCs w:val="24"/>
        </w:rPr>
      </w:pPr>
      <w:r w:rsidRPr="00A0650F">
        <w:rPr>
          <w:rFonts w:ascii="Bookman Old Style" w:eastAsia="Arial" w:hAnsi="Bookman Old Style" w:cs="Arial"/>
          <w:b/>
          <w:sz w:val="24"/>
          <w:szCs w:val="24"/>
        </w:rPr>
        <w:t>Tabla 1.</w:t>
      </w:r>
      <w:r w:rsidRPr="00A0650F">
        <w:rPr>
          <w:rFonts w:ascii="Bookman Old Style" w:eastAsia="Arial" w:hAnsi="Bookman Old Style" w:cs="Arial"/>
          <w:sz w:val="24"/>
          <w:szCs w:val="24"/>
        </w:rPr>
        <w:t xml:space="preserve"> Listado de cajas de compensación familiar a nivel nacional</w:t>
      </w:r>
    </w:p>
    <w:tbl>
      <w:tblPr>
        <w:tblStyle w:val="Tablaconcuadrcula"/>
        <w:tblW w:w="0" w:type="auto"/>
        <w:tblLook w:val="04A0" w:firstRow="1" w:lastRow="0" w:firstColumn="1" w:lastColumn="0" w:noHBand="0" w:noVBand="1"/>
      </w:tblPr>
      <w:tblGrid>
        <w:gridCol w:w="2283"/>
        <w:gridCol w:w="2237"/>
        <w:gridCol w:w="2030"/>
        <w:gridCol w:w="2278"/>
      </w:tblGrid>
      <w:tr w:rsidR="00295362" w:rsidRPr="00A0650F" w14:paraId="17BB9CEF" w14:textId="7553A334" w:rsidTr="008875AE">
        <w:tc>
          <w:tcPr>
            <w:tcW w:w="0" w:type="auto"/>
          </w:tcPr>
          <w:p w14:paraId="6BB7B564" w14:textId="4E5C7794" w:rsidR="00295362" w:rsidRPr="00A0650F" w:rsidRDefault="00295362" w:rsidP="00CD7281">
            <w:pPr>
              <w:jc w:val="center"/>
              <w:rPr>
                <w:rFonts w:ascii="Bookman Old Style" w:eastAsia="Arial" w:hAnsi="Bookman Old Style" w:cs="Arial"/>
                <w:b/>
                <w:sz w:val="24"/>
                <w:szCs w:val="24"/>
              </w:rPr>
            </w:pPr>
            <w:r w:rsidRPr="00A0650F">
              <w:rPr>
                <w:rFonts w:ascii="Bookman Old Style" w:eastAsia="Arial" w:hAnsi="Bookman Old Style" w:cs="Arial"/>
                <w:b/>
                <w:sz w:val="24"/>
                <w:szCs w:val="24"/>
                <w14:textOutline w14:w="9525" w14:cap="rnd" w14:cmpd="sng" w14:algn="ctr">
                  <w14:solidFill>
                    <w14:schemeClr w14:val="tx1">
                      <w14:alpha w14:val="70000"/>
                    </w14:schemeClr>
                  </w14:solidFill>
                  <w14:prstDash w14:val="solid"/>
                  <w14:bevel/>
                </w14:textOutline>
              </w:rPr>
              <w:t>Nombre Caja</w:t>
            </w:r>
          </w:p>
        </w:tc>
        <w:tc>
          <w:tcPr>
            <w:tcW w:w="0" w:type="auto"/>
          </w:tcPr>
          <w:p w14:paraId="01B6A063" w14:textId="22AE7DAA" w:rsidR="00295362" w:rsidRPr="00A0650F" w:rsidRDefault="00295362" w:rsidP="00CD7281">
            <w:pPr>
              <w:jc w:val="center"/>
              <w:rPr>
                <w:rFonts w:ascii="Bookman Old Style" w:eastAsia="Arial" w:hAnsi="Bookman Old Style" w:cs="Arial"/>
                <w:b/>
                <w:sz w:val="24"/>
                <w:szCs w:val="24"/>
              </w:rPr>
            </w:pPr>
            <w:r w:rsidRPr="00A0650F">
              <w:rPr>
                <w:rFonts w:ascii="Bookman Old Style" w:eastAsia="Arial" w:hAnsi="Bookman Old Style" w:cs="Arial"/>
                <w:b/>
                <w:sz w:val="24"/>
                <w:szCs w:val="24"/>
                <w14:textOutline w14:w="9525" w14:cap="rnd" w14:cmpd="sng" w14:algn="ctr">
                  <w14:solidFill>
                    <w14:schemeClr w14:val="tx1">
                      <w14:alpha w14:val="70000"/>
                    </w14:schemeClr>
                  </w14:solidFill>
                  <w14:prstDash w14:val="solid"/>
                  <w14:bevel/>
                </w14:textOutline>
              </w:rPr>
              <w:t>Sigla</w:t>
            </w:r>
          </w:p>
        </w:tc>
        <w:tc>
          <w:tcPr>
            <w:tcW w:w="0" w:type="auto"/>
          </w:tcPr>
          <w:p w14:paraId="5633AE89" w14:textId="25058034" w:rsidR="00295362" w:rsidRPr="00A0650F" w:rsidRDefault="00295362" w:rsidP="00CD7281">
            <w:pPr>
              <w:jc w:val="center"/>
              <w:rPr>
                <w:rFonts w:ascii="Bookman Old Style" w:eastAsia="Arial" w:hAnsi="Bookman Old Style" w:cs="Arial"/>
                <w:b/>
                <w:sz w:val="24"/>
                <w:szCs w:val="24"/>
              </w:rPr>
            </w:pPr>
            <w:r w:rsidRPr="00A0650F">
              <w:rPr>
                <w:rFonts w:ascii="Bookman Old Style" w:eastAsia="Arial" w:hAnsi="Bookman Old Style" w:cs="Arial"/>
                <w:b/>
                <w:sz w:val="24"/>
                <w:szCs w:val="24"/>
                <w14:textOutline w14:w="9525" w14:cap="rnd" w14:cmpd="sng" w14:algn="ctr">
                  <w14:solidFill>
                    <w14:schemeClr w14:val="tx1">
                      <w14:alpha w14:val="70000"/>
                    </w14:schemeClr>
                  </w14:solidFill>
                  <w14:prstDash w14:val="solid"/>
                  <w14:bevel/>
                </w14:textOutline>
              </w:rPr>
              <w:t>Departamento</w:t>
            </w:r>
          </w:p>
        </w:tc>
        <w:tc>
          <w:tcPr>
            <w:tcW w:w="0" w:type="auto"/>
          </w:tcPr>
          <w:p w14:paraId="24A908B0" w14:textId="44855FA6" w:rsidR="00295362" w:rsidRPr="00A0650F" w:rsidRDefault="00295362" w:rsidP="00CD7281">
            <w:pPr>
              <w:jc w:val="center"/>
              <w:rPr>
                <w:rFonts w:ascii="Bookman Old Style" w:eastAsia="Arial" w:hAnsi="Bookman Old Style" w:cs="Arial"/>
                <w:b/>
                <w:sz w:val="24"/>
                <w:szCs w:val="24"/>
                <w14:textOutline w14:w="9525" w14:cap="rnd" w14:cmpd="sng" w14:algn="ctr">
                  <w14:solidFill>
                    <w14:schemeClr w14:val="tx1">
                      <w14:alpha w14:val="70000"/>
                    </w14:schemeClr>
                  </w14:solidFill>
                  <w14:prstDash w14:val="solid"/>
                  <w14:bevel/>
                </w14:textOutline>
              </w:rPr>
            </w:pPr>
            <w:r w:rsidRPr="00A0650F">
              <w:rPr>
                <w:rFonts w:ascii="Bookman Old Style" w:eastAsia="Arial" w:hAnsi="Bookman Old Style" w:cs="Arial"/>
                <w:b/>
                <w:sz w:val="24"/>
                <w:szCs w:val="24"/>
                <w14:textOutline w14:w="9525" w14:cap="rnd" w14:cmpd="sng" w14:algn="ctr">
                  <w14:solidFill>
                    <w14:schemeClr w14:val="tx1">
                      <w14:alpha w14:val="70000"/>
                    </w14:schemeClr>
                  </w14:solidFill>
                  <w14:prstDash w14:val="solid"/>
                  <w14:bevel/>
                </w14:textOutline>
              </w:rPr>
              <w:t>Municipio</w:t>
            </w:r>
          </w:p>
        </w:tc>
      </w:tr>
      <w:tr w:rsidR="00295362" w:rsidRPr="00A0650F" w14:paraId="271AC282" w14:textId="03BF1917" w:rsidTr="008875AE">
        <w:tc>
          <w:tcPr>
            <w:tcW w:w="0" w:type="auto"/>
          </w:tcPr>
          <w:p w14:paraId="13803B2B" w14:textId="100467F6" w:rsidR="00295362" w:rsidRPr="00A0650F" w:rsidRDefault="00295362"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Caja de compensación familiar - Comfenalco Antioquia</w:t>
            </w:r>
          </w:p>
        </w:tc>
        <w:tc>
          <w:tcPr>
            <w:tcW w:w="0" w:type="auto"/>
          </w:tcPr>
          <w:p w14:paraId="396A98E5" w14:textId="1E4EE3ED" w:rsidR="00295362" w:rsidRPr="00A0650F" w:rsidRDefault="008875AE"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Comfenalco</w:t>
            </w:r>
          </w:p>
        </w:tc>
        <w:tc>
          <w:tcPr>
            <w:tcW w:w="0" w:type="auto"/>
          </w:tcPr>
          <w:p w14:paraId="49784C7A" w14:textId="27E29C7A" w:rsidR="00295362" w:rsidRPr="00A0650F" w:rsidRDefault="008875AE"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Antioquia</w:t>
            </w:r>
          </w:p>
        </w:tc>
        <w:tc>
          <w:tcPr>
            <w:tcW w:w="0" w:type="auto"/>
          </w:tcPr>
          <w:p w14:paraId="55322FF7" w14:textId="72512A2D" w:rsidR="00295362" w:rsidRPr="00A0650F" w:rsidRDefault="008875AE"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Medellín</w:t>
            </w:r>
          </w:p>
        </w:tc>
      </w:tr>
      <w:tr w:rsidR="00295362" w:rsidRPr="00A0650F" w14:paraId="01BCD8BA" w14:textId="016701CF" w:rsidTr="008875AE">
        <w:tc>
          <w:tcPr>
            <w:tcW w:w="0" w:type="auto"/>
          </w:tcPr>
          <w:p w14:paraId="48A4B511" w14:textId="3EA9FB63" w:rsidR="00295362" w:rsidRPr="00A0650F" w:rsidRDefault="008875AE"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Caja de compensación familiar de Antioquia</w:t>
            </w:r>
          </w:p>
        </w:tc>
        <w:tc>
          <w:tcPr>
            <w:tcW w:w="0" w:type="auto"/>
          </w:tcPr>
          <w:p w14:paraId="71C31DB9" w14:textId="7F31BD1D" w:rsidR="00295362" w:rsidRPr="00A0650F" w:rsidRDefault="008875AE"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Comfama</w:t>
            </w:r>
          </w:p>
        </w:tc>
        <w:tc>
          <w:tcPr>
            <w:tcW w:w="0" w:type="auto"/>
          </w:tcPr>
          <w:p w14:paraId="65582629" w14:textId="27961D2E" w:rsidR="00295362" w:rsidRPr="00A0650F" w:rsidRDefault="008875AE"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Antioquia</w:t>
            </w:r>
          </w:p>
        </w:tc>
        <w:tc>
          <w:tcPr>
            <w:tcW w:w="0" w:type="auto"/>
          </w:tcPr>
          <w:p w14:paraId="67BD04F7" w14:textId="11BFB9FD" w:rsidR="00295362" w:rsidRPr="00A0650F" w:rsidRDefault="008875AE"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Medellín</w:t>
            </w:r>
          </w:p>
        </w:tc>
      </w:tr>
      <w:tr w:rsidR="00295362" w:rsidRPr="00A0650F" w14:paraId="3F502B98" w14:textId="59745C5C" w:rsidTr="008875AE">
        <w:tc>
          <w:tcPr>
            <w:tcW w:w="0" w:type="auto"/>
          </w:tcPr>
          <w:p w14:paraId="44D30547" w14:textId="3281BC62" w:rsidR="00295362" w:rsidRPr="00A0650F" w:rsidRDefault="008875AE"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 xml:space="preserve">Caja de compensación familiar de </w:t>
            </w:r>
            <w:proofErr w:type="spellStart"/>
            <w:r w:rsidRPr="00A0650F">
              <w:rPr>
                <w:rFonts w:ascii="Bookman Old Style" w:eastAsia="Arial" w:hAnsi="Bookman Old Style" w:cs="Arial"/>
                <w:sz w:val="24"/>
                <w:szCs w:val="24"/>
              </w:rPr>
              <w:t>Barranquillla</w:t>
            </w:r>
            <w:proofErr w:type="spellEnd"/>
          </w:p>
        </w:tc>
        <w:tc>
          <w:tcPr>
            <w:tcW w:w="0" w:type="auto"/>
          </w:tcPr>
          <w:p w14:paraId="6E7E46FD" w14:textId="7D76D788" w:rsidR="00295362" w:rsidRPr="00A0650F" w:rsidRDefault="008875AE" w:rsidP="00CD7281">
            <w:pPr>
              <w:jc w:val="center"/>
              <w:rPr>
                <w:rFonts w:ascii="Bookman Old Style" w:eastAsia="Arial" w:hAnsi="Bookman Old Style" w:cs="Arial"/>
                <w:sz w:val="24"/>
                <w:szCs w:val="24"/>
              </w:rPr>
            </w:pPr>
            <w:proofErr w:type="spellStart"/>
            <w:r w:rsidRPr="00A0650F">
              <w:rPr>
                <w:rFonts w:ascii="Bookman Old Style" w:eastAsia="Arial" w:hAnsi="Bookman Old Style" w:cs="Arial"/>
                <w:sz w:val="24"/>
                <w:szCs w:val="24"/>
              </w:rPr>
              <w:t>Combarranquilla</w:t>
            </w:r>
            <w:proofErr w:type="spellEnd"/>
          </w:p>
        </w:tc>
        <w:tc>
          <w:tcPr>
            <w:tcW w:w="0" w:type="auto"/>
          </w:tcPr>
          <w:p w14:paraId="7D7652B7" w14:textId="58750C1A" w:rsidR="00295362" w:rsidRPr="00A0650F" w:rsidRDefault="00970145"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Atlántico</w:t>
            </w:r>
          </w:p>
        </w:tc>
        <w:tc>
          <w:tcPr>
            <w:tcW w:w="0" w:type="auto"/>
          </w:tcPr>
          <w:p w14:paraId="6008188D" w14:textId="596073C0" w:rsidR="00295362" w:rsidRPr="00A0650F" w:rsidRDefault="00970145" w:rsidP="00CD7281">
            <w:pPr>
              <w:jc w:val="center"/>
              <w:rPr>
                <w:rFonts w:ascii="Bookman Old Style" w:eastAsia="Arial" w:hAnsi="Bookman Old Style" w:cs="Arial"/>
                <w:sz w:val="24"/>
                <w:szCs w:val="24"/>
              </w:rPr>
            </w:pPr>
            <w:proofErr w:type="spellStart"/>
            <w:r w:rsidRPr="00A0650F">
              <w:rPr>
                <w:rFonts w:ascii="Bookman Old Style" w:eastAsia="Arial" w:hAnsi="Bookman Old Style" w:cs="Arial"/>
                <w:sz w:val="24"/>
                <w:szCs w:val="24"/>
              </w:rPr>
              <w:t>Barranquillla</w:t>
            </w:r>
            <w:proofErr w:type="spellEnd"/>
          </w:p>
        </w:tc>
      </w:tr>
      <w:tr w:rsidR="00970145" w:rsidRPr="00A0650F" w14:paraId="36106C45" w14:textId="77777777" w:rsidTr="008875AE">
        <w:tc>
          <w:tcPr>
            <w:tcW w:w="0" w:type="auto"/>
          </w:tcPr>
          <w:p w14:paraId="2C87EFBC" w14:textId="74586CD6" w:rsidR="00970145" w:rsidRPr="00A0650F" w:rsidRDefault="00970145"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Caja de compensación familiar de Atlántico</w:t>
            </w:r>
          </w:p>
        </w:tc>
        <w:tc>
          <w:tcPr>
            <w:tcW w:w="0" w:type="auto"/>
          </w:tcPr>
          <w:p w14:paraId="7604D16A" w14:textId="3C3D191F" w:rsidR="00970145" w:rsidRPr="00A0650F" w:rsidRDefault="00970145" w:rsidP="00CD7281">
            <w:pPr>
              <w:jc w:val="center"/>
              <w:rPr>
                <w:rFonts w:ascii="Bookman Old Style" w:eastAsia="Arial" w:hAnsi="Bookman Old Style" w:cs="Arial"/>
                <w:sz w:val="24"/>
                <w:szCs w:val="24"/>
              </w:rPr>
            </w:pPr>
            <w:proofErr w:type="spellStart"/>
            <w:r w:rsidRPr="00A0650F">
              <w:rPr>
                <w:rFonts w:ascii="Bookman Old Style" w:eastAsia="Arial" w:hAnsi="Bookman Old Style" w:cs="Arial"/>
                <w:sz w:val="24"/>
                <w:szCs w:val="24"/>
              </w:rPr>
              <w:t>Cajacopi</w:t>
            </w:r>
            <w:proofErr w:type="spellEnd"/>
          </w:p>
        </w:tc>
        <w:tc>
          <w:tcPr>
            <w:tcW w:w="0" w:type="auto"/>
          </w:tcPr>
          <w:p w14:paraId="31E2D2B5" w14:textId="206BF0B6" w:rsidR="00970145" w:rsidRPr="00A0650F" w:rsidRDefault="00970145"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Atlántico</w:t>
            </w:r>
          </w:p>
        </w:tc>
        <w:tc>
          <w:tcPr>
            <w:tcW w:w="0" w:type="auto"/>
          </w:tcPr>
          <w:p w14:paraId="65BA45B0" w14:textId="28650AF2" w:rsidR="00970145" w:rsidRPr="00A0650F" w:rsidRDefault="00970145" w:rsidP="00CD7281">
            <w:pPr>
              <w:jc w:val="center"/>
              <w:rPr>
                <w:rFonts w:ascii="Bookman Old Style" w:eastAsia="Arial" w:hAnsi="Bookman Old Style" w:cs="Arial"/>
                <w:sz w:val="24"/>
                <w:szCs w:val="24"/>
              </w:rPr>
            </w:pPr>
            <w:proofErr w:type="spellStart"/>
            <w:r w:rsidRPr="00A0650F">
              <w:rPr>
                <w:rFonts w:ascii="Bookman Old Style" w:eastAsia="Arial" w:hAnsi="Bookman Old Style" w:cs="Arial"/>
                <w:sz w:val="24"/>
                <w:szCs w:val="24"/>
              </w:rPr>
              <w:t>Barranquillla</w:t>
            </w:r>
            <w:proofErr w:type="spellEnd"/>
          </w:p>
        </w:tc>
      </w:tr>
      <w:tr w:rsidR="002A13CE" w:rsidRPr="00A0650F" w14:paraId="08438563" w14:textId="77777777" w:rsidTr="008875AE">
        <w:tc>
          <w:tcPr>
            <w:tcW w:w="0" w:type="auto"/>
          </w:tcPr>
          <w:p w14:paraId="0EBBC812" w14:textId="6065597C" w:rsidR="002A13CE" w:rsidRPr="00A0650F" w:rsidRDefault="002A13CE"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lastRenderedPageBreak/>
              <w:t>Caja de compensación familiar</w:t>
            </w:r>
          </w:p>
        </w:tc>
        <w:tc>
          <w:tcPr>
            <w:tcW w:w="0" w:type="auto"/>
          </w:tcPr>
          <w:p w14:paraId="54F7211F" w14:textId="76167D41" w:rsidR="002A13CE" w:rsidRPr="00A0650F" w:rsidRDefault="002A13CE" w:rsidP="00CD7281">
            <w:pPr>
              <w:jc w:val="center"/>
              <w:rPr>
                <w:rFonts w:ascii="Bookman Old Style" w:eastAsia="Arial" w:hAnsi="Bookman Old Style" w:cs="Arial"/>
                <w:sz w:val="24"/>
                <w:szCs w:val="24"/>
              </w:rPr>
            </w:pPr>
            <w:proofErr w:type="spellStart"/>
            <w:r w:rsidRPr="00A0650F">
              <w:rPr>
                <w:rFonts w:ascii="Bookman Old Style" w:eastAsia="Arial" w:hAnsi="Bookman Old Style" w:cs="Arial"/>
                <w:sz w:val="24"/>
                <w:szCs w:val="24"/>
              </w:rPr>
              <w:t>Comfamiliar</w:t>
            </w:r>
            <w:proofErr w:type="spellEnd"/>
            <w:r w:rsidRPr="00A0650F">
              <w:rPr>
                <w:rFonts w:ascii="Bookman Old Style" w:eastAsia="Arial" w:hAnsi="Bookman Old Style" w:cs="Arial"/>
                <w:sz w:val="24"/>
                <w:szCs w:val="24"/>
              </w:rPr>
              <w:t xml:space="preserve"> atlántico</w:t>
            </w:r>
          </w:p>
        </w:tc>
        <w:tc>
          <w:tcPr>
            <w:tcW w:w="0" w:type="auto"/>
          </w:tcPr>
          <w:p w14:paraId="27BE8026" w14:textId="481ADEB8" w:rsidR="002A13CE" w:rsidRPr="00A0650F" w:rsidRDefault="002A13CE"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Atlántico</w:t>
            </w:r>
          </w:p>
        </w:tc>
        <w:tc>
          <w:tcPr>
            <w:tcW w:w="0" w:type="auto"/>
          </w:tcPr>
          <w:p w14:paraId="5246FC22" w14:textId="0250ED19" w:rsidR="002A13CE" w:rsidRPr="00A0650F" w:rsidRDefault="002A13CE" w:rsidP="00CD7281">
            <w:pPr>
              <w:jc w:val="center"/>
              <w:rPr>
                <w:rFonts w:ascii="Bookman Old Style" w:eastAsia="Arial" w:hAnsi="Bookman Old Style" w:cs="Arial"/>
                <w:sz w:val="24"/>
                <w:szCs w:val="24"/>
              </w:rPr>
            </w:pPr>
            <w:proofErr w:type="spellStart"/>
            <w:r w:rsidRPr="00A0650F">
              <w:rPr>
                <w:rFonts w:ascii="Bookman Old Style" w:eastAsia="Arial" w:hAnsi="Bookman Old Style" w:cs="Arial"/>
                <w:sz w:val="24"/>
                <w:szCs w:val="24"/>
              </w:rPr>
              <w:t>Barranquillla</w:t>
            </w:r>
            <w:proofErr w:type="spellEnd"/>
          </w:p>
        </w:tc>
      </w:tr>
      <w:tr w:rsidR="00295362" w:rsidRPr="00A0650F" w14:paraId="5A8135A0" w14:textId="31A2BEFA" w:rsidTr="008875AE">
        <w:tc>
          <w:tcPr>
            <w:tcW w:w="0" w:type="auto"/>
          </w:tcPr>
          <w:p w14:paraId="01A53C77" w14:textId="7C3EB6C5" w:rsidR="00295362" w:rsidRPr="00A0650F" w:rsidRDefault="00970145"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Caja de compensación familiar del Magdalena</w:t>
            </w:r>
          </w:p>
        </w:tc>
        <w:tc>
          <w:tcPr>
            <w:tcW w:w="0" w:type="auto"/>
          </w:tcPr>
          <w:p w14:paraId="3B0D5754" w14:textId="3B237AED" w:rsidR="00295362" w:rsidRPr="00A0650F" w:rsidRDefault="00970145" w:rsidP="00CD7281">
            <w:pPr>
              <w:jc w:val="center"/>
              <w:rPr>
                <w:rFonts w:ascii="Bookman Old Style" w:eastAsia="Arial" w:hAnsi="Bookman Old Style" w:cs="Arial"/>
                <w:sz w:val="24"/>
                <w:szCs w:val="24"/>
              </w:rPr>
            </w:pPr>
            <w:proofErr w:type="spellStart"/>
            <w:r w:rsidRPr="00A0650F">
              <w:rPr>
                <w:rFonts w:ascii="Bookman Old Style" w:eastAsia="Arial" w:hAnsi="Bookman Old Style" w:cs="Arial"/>
                <w:sz w:val="24"/>
                <w:szCs w:val="24"/>
              </w:rPr>
              <w:t>Cajamag</w:t>
            </w:r>
            <w:proofErr w:type="spellEnd"/>
          </w:p>
        </w:tc>
        <w:tc>
          <w:tcPr>
            <w:tcW w:w="0" w:type="auto"/>
          </w:tcPr>
          <w:p w14:paraId="09DC10E7" w14:textId="357E15C2" w:rsidR="00295362" w:rsidRPr="00A0650F" w:rsidRDefault="00970145"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Magdalena</w:t>
            </w:r>
          </w:p>
        </w:tc>
        <w:tc>
          <w:tcPr>
            <w:tcW w:w="0" w:type="auto"/>
          </w:tcPr>
          <w:p w14:paraId="4B8549EC" w14:textId="1A6D2602" w:rsidR="00295362" w:rsidRPr="00A0650F" w:rsidRDefault="00970145"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Santa marta</w:t>
            </w:r>
          </w:p>
        </w:tc>
      </w:tr>
      <w:tr w:rsidR="00295362" w:rsidRPr="00A0650F" w14:paraId="4CF35AEF" w14:textId="5371B90D" w:rsidTr="008875AE">
        <w:tc>
          <w:tcPr>
            <w:tcW w:w="0" w:type="auto"/>
          </w:tcPr>
          <w:p w14:paraId="29F30E72" w14:textId="59F87FCC" w:rsidR="00295362" w:rsidRPr="00A0650F" w:rsidRDefault="00970145"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 xml:space="preserve">Caja de compensación familiar de  </w:t>
            </w:r>
            <w:proofErr w:type="spellStart"/>
            <w:r w:rsidRPr="00A0650F">
              <w:rPr>
                <w:rFonts w:ascii="Bookman Old Style" w:eastAsia="Arial" w:hAnsi="Bookman Old Style" w:cs="Arial"/>
                <w:sz w:val="24"/>
                <w:szCs w:val="24"/>
              </w:rPr>
              <w:t>Fenalco</w:t>
            </w:r>
            <w:proofErr w:type="spellEnd"/>
            <w:r w:rsidRPr="00A0650F">
              <w:rPr>
                <w:rFonts w:ascii="Bookman Old Style" w:eastAsia="Arial" w:hAnsi="Bookman Old Style" w:cs="Arial"/>
                <w:sz w:val="24"/>
                <w:szCs w:val="24"/>
              </w:rPr>
              <w:t xml:space="preserve"> - </w:t>
            </w:r>
            <w:proofErr w:type="spellStart"/>
            <w:r w:rsidRPr="00A0650F">
              <w:rPr>
                <w:rFonts w:ascii="Bookman Old Style" w:eastAsia="Arial" w:hAnsi="Bookman Old Style" w:cs="Arial"/>
                <w:sz w:val="24"/>
                <w:szCs w:val="24"/>
              </w:rPr>
              <w:t>Andi</w:t>
            </w:r>
            <w:proofErr w:type="spellEnd"/>
            <w:r w:rsidRPr="00A0650F">
              <w:rPr>
                <w:rFonts w:ascii="Bookman Old Style" w:eastAsia="Arial" w:hAnsi="Bookman Old Style" w:cs="Arial"/>
                <w:sz w:val="24"/>
                <w:szCs w:val="24"/>
              </w:rPr>
              <w:t xml:space="preserve"> –</w:t>
            </w:r>
          </w:p>
        </w:tc>
        <w:tc>
          <w:tcPr>
            <w:tcW w:w="0" w:type="auto"/>
          </w:tcPr>
          <w:p w14:paraId="6C7E04A7" w14:textId="2B226998" w:rsidR="00295362" w:rsidRPr="00A0650F" w:rsidRDefault="00970145"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Comfenalco Cartagena</w:t>
            </w:r>
          </w:p>
        </w:tc>
        <w:tc>
          <w:tcPr>
            <w:tcW w:w="0" w:type="auto"/>
          </w:tcPr>
          <w:p w14:paraId="39856152" w14:textId="5C114EE6" w:rsidR="00295362" w:rsidRPr="00A0650F" w:rsidRDefault="00970145"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Bolívar</w:t>
            </w:r>
          </w:p>
        </w:tc>
        <w:tc>
          <w:tcPr>
            <w:tcW w:w="0" w:type="auto"/>
          </w:tcPr>
          <w:p w14:paraId="4CD50B27" w14:textId="61F16D45" w:rsidR="00295362" w:rsidRPr="00A0650F" w:rsidRDefault="00970145"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Cartagena</w:t>
            </w:r>
          </w:p>
        </w:tc>
      </w:tr>
      <w:tr w:rsidR="00295362" w:rsidRPr="00A0650F" w14:paraId="63C70918" w14:textId="2419B26F" w:rsidTr="008875AE">
        <w:tc>
          <w:tcPr>
            <w:tcW w:w="0" w:type="auto"/>
          </w:tcPr>
          <w:p w14:paraId="2EF45BFE" w14:textId="7E5D33E1" w:rsidR="00295362" w:rsidRPr="00A0650F" w:rsidRDefault="00970145"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Caja de compensación familiar de Boyacá</w:t>
            </w:r>
          </w:p>
        </w:tc>
        <w:tc>
          <w:tcPr>
            <w:tcW w:w="0" w:type="auto"/>
          </w:tcPr>
          <w:p w14:paraId="6F79D897" w14:textId="72CDACBA" w:rsidR="00295362" w:rsidRPr="00A0650F" w:rsidRDefault="00970145" w:rsidP="00CD7281">
            <w:pPr>
              <w:jc w:val="center"/>
              <w:rPr>
                <w:rFonts w:ascii="Bookman Old Style" w:eastAsia="Arial" w:hAnsi="Bookman Old Style" w:cs="Arial"/>
                <w:sz w:val="24"/>
                <w:szCs w:val="24"/>
              </w:rPr>
            </w:pPr>
            <w:proofErr w:type="spellStart"/>
            <w:r w:rsidRPr="00A0650F">
              <w:rPr>
                <w:rFonts w:ascii="Bookman Old Style" w:eastAsia="Arial" w:hAnsi="Bookman Old Style" w:cs="Arial"/>
                <w:sz w:val="24"/>
                <w:szCs w:val="24"/>
              </w:rPr>
              <w:t>Comfaboy</w:t>
            </w:r>
            <w:proofErr w:type="spellEnd"/>
          </w:p>
        </w:tc>
        <w:tc>
          <w:tcPr>
            <w:tcW w:w="0" w:type="auto"/>
          </w:tcPr>
          <w:p w14:paraId="30771756" w14:textId="6324BF91" w:rsidR="00295362" w:rsidRPr="00A0650F" w:rsidRDefault="00970145"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Boyacá</w:t>
            </w:r>
          </w:p>
        </w:tc>
        <w:tc>
          <w:tcPr>
            <w:tcW w:w="0" w:type="auto"/>
          </w:tcPr>
          <w:p w14:paraId="08DF08F2" w14:textId="67CAA4D9" w:rsidR="00295362" w:rsidRPr="00A0650F" w:rsidRDefault="00970145"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Tunja</w:t>
            </w:r>
          </w:p>
        </w:tc>
      </w:tr>
      <w:tr w:rsidR="00295362" w:rsidRPr="00A0650F" w14:paraId="0807290C" w14:textId="6F66DD5D" w:rsidTr="008875AE">
        <w:tc>
          <w:tcPr>
            <w:tcW w:w="0" w:type="auto"/>
          </w:tcPr>
          <w:p w14:paraId="65B4C92A" w14:textId="6878BC9B" w:rsidR="00295362" w:rsidRPr="00A0650F" w:rsidRDefault="00970145"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Caja de compensación familiar de Caldas</w:t>
            </w:r>
          </w:p>
        </w:tc>
        <w:tc>
          <w:tcPr>
            <w:tcW w:w="0" w:type="auto"/>
          </w:tcPr>
          <w:p w14:paraId="63963C3A" w14:textId="2F6EF954" w:rsidR="00295362" w:rsidRPr="00A0650F" w:rsidRDefault="00970145" w:rsidP="00CD7281">
            <w:pPr>
              <w:jc w:val="center"/>
              <w:rPr>
                <w:rFonts w:ascii="Bookman Old Style" w:eastAsia="Arial" w:hAnsi="Bookman Old Style" w:cs="Arial"/>
                <w:sz w:val="24"/>
                <w:szCs w:val="24"/>
              </w:rPr>
            </w:pPr>
            <w:proofErr w:type="spellStart"/>
            <w:r w:rsidRPr="00A0650F">
              <w:rPr>
                <w:rFonts w:ascii="Bookman Old Style" w:eastAsia="Arial" w:hAnsi="Bookman Old Style" w:cs="Arial"/>
                <w:sz w:val="24"/>
                <w:szCs w:val="24"/>
              </w:rPr>
              <w:t>Confa</w:t>
            </w:r>
            <w:proofErr w:type="spellEnd"/>
          </w:p>
        </w:tc>
        <w:tc>
          <w:tcPr>
            <w:tcW w:w="0" w:type="auto"/>
          </w:tcPr>
          <w:p w14:paraId="15917376" w14:textId="6F9CAA40" w:rsidR="00295362" w:rsidRPr="00A0650F" w:rsidRDefault="00970145"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Caldas</w:t>
            </w:r>
          </w:p>
        </w:tc>
        <w:tc>
          <w:tcPr>
            <w:tcW w:w="0" w:type="auto"/>
          </w:tcPr>
          <w:p w14:paraId="5847347E" w14:textId="4C5452C7" w:rsidR="00295362" w:rsidRPr="00A0650F" w:rsidRDefault="00970145"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Manizales</w:t>
            </w:r>
          </w:p>
        </w:tc>
      </w:tr>
      <w:tr w:rsidR="00970145" w:rsidRPr="00A0650F" w14:paraId="734C3C9A" w14:textId="77777777" w:rsidTr="008875AE">
        <w:tc>
          <w:tcPr>
            <w:tcW w:w="0" w:type="auto"/>
          </w:tcPr>
          <w:p w14:paraId="07C6016A" w14:textId="5DB0B762" w:rsidR="00970145" w:rsidRPr="00A0650F" w:rsidRDefault="00970145"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Caja de compensación familiar del Caquetá</w:t>
            </w:r>
          </w:p>
        </w:tc>
        <w:tc>
          <w:tcPr>
            <w:tcW w:w="0" w:type="auto"/>
          </w:tcPr>
          <w:p w14:paraId="5231057D" w14:textId="6DC7A69C" w:rsidR="00970145" w:rsidRPr="00A0650F" w:rsidRDefault="00970145" w:rsidP="00CD7281">
            <w:pPr>
              <w:jc w:val="center"/>
              <w:rPr>
                <w:rFonts w:ascii="Bookman Old Style" w:eastAsia="Arial" w:hAnsi="Bookman Old Style" w:cs="Arial"/>
                <w:sz w:val="24"/>
                <w:szCs w:val="24"/>
              </w:rPr>
            </w:pPr>
            <w:proofErr w:type="spellStart"/>
            <w:r w:rsidRPr="00A0650F">
              <w:rPr>
                <w:rFonts w:ascii="Bookman Old Style" w:eastAsia="Arial" w:hAnsi="Bookman Old Style" w:cs="Arial"/>
                <w:sz w:val="24"/>
                <w:szCs w:val="24"/>
              </w:rPr>
              <w:t>Comfaca</w:t>
            </w:r>
            <w:proofErr w:type="spellEnd"/>
          </w:p>
        </w:tc>
        <w:tc>
          <w:tcPr>
            <w:tcW w:w="0" w:type="auto"/>
          </w:tcPr>
          <w:p w14:paraId="3DAC7F47" w14:textId="30502CD9" w:rsidR="00970145" w:rsidRPr="00A0650F" w:rsidRDefault="00970145"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Caquetá</w:t>
            </w:r>
          </w:p>
        </w:tc>
        <w:tc>
          <w:tcPr>
            <w:tcW w:w="0" w:type="auto"/>
          </w:tcPr>
          <w:p w14:paraId="1D9B8BBB" w14:textId="54AA7E70" w:rsidR="00970145" w:rsidRPr="00A0650F" w:rsidRDefault="00970145"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Florencia</w:t>
            </w:r>
          </w:p>
        </w:tc>
      </w:tr>
      <w:tr w:rsidR="00970145" w:rsidRPr="00A0650F" w14:paraId="3491B64E" w14:textId="77777777" w:rsidTr="008875AE">
        <w:tc>
          <w:tcPr>
            <w:tcW w:w="0" w:type="auto"/>
          </w:tcPr>
          <w:p w14:paraId="71AE8D60" w14:textId="1302EC91" w:rsidR="00970145" w:rsidRPr="00A0650F" w:rsidRDefault="00970145"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Caja de compensación familiar del Cauca</w:t>
            </w:r>
          </w:p>
        </w:tc>
        <w:tc>
          <w:tcPr>
            <w:tcW w:w="0" w:type="auto"/>
          </w:tcPr>
          <w:p w14:paraId="507291E3" w14:textId="7C1653F2" w:rsidR="00970145" w:rsidRPr="00A0650F" w:rsidRDefault="002A13CE" w:rsidP="00CD7281">
            <w:pPr>
              <w:jc w:val="center"/>
              <w:rPr>
                <w:rFonts w:ascii="Bookman Old Style" w:eastAsia="Arial" w:hAnsi="Bookman Old Style" w:cs="Arial"/>
                <w:sz w:val="24"/>
                <w:szCs w:val="24"/>
              </w:rPr>
            </w:pPr>
            <w:proofErr w:type="spellStart"/>
            <w:r w:rsidRPr="00A0650F">
              <w:rPr>
                <w:rFonts w:ascii="Bookman Old Style" w:eastAsia="Arial" w:hAnsi="Bookman Old Style" w:cs="Arial"/>
                <w:sz w:val="24"/>
                <w:szCs w:val="24"/>
              </w:rPr>
              <w:t>Comfacauca</w:t>
            </w:r>
            <w:proofErr w:type="spellEnd"/>
          </w:p>
        </w:tc>
        <w:tc>
          <w:tcPr>
            <w:tcW w:w="0" w:type="auto"/>
          </w:tcPr>
          <w:p w14:paraId="56538E9A" w14:textId="78631AB0" w:rsidR="00970145" w:rsidRPr="00A0650F" w:rsidRDefault="002A13CE"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Cauca</w:t>
            </w:r>
          </w:p>
        </w:tc>
        <w:tc>
          <w:tcPr>
            <w:tcW w:w="0" w:type="auto"/>
          </w:tcPr>
          <w:p w14:paraId="5E927B51" w14:textId="22FF8B98" w:rsidR="00970145" w:rsidRPr="00A0650F" w:rsidRDefault="002A13CE"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Popayán</w:t>
            </w:r>
          </w:p>
        </w:tc>
      </w:tr>
      <w:tr w:rsidR="00970145" w:rsidRPr="00A0650F" w14:paraId="5A80D9A8" w14:textId="77777777" w:rsidTr="008875AE">
        <w:tc>
          <w:tcPr>
            <w:tcW w:w="0" w:type="auto"/>
          </w:tcPr>
          <w:p w14:paraId="4279656C" w14:textId="0CD3D58C" w:rsidR="00970145" w:rsidRPr="00A0650F" w:rsidRDefault="002A13CE"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Caja de compensación familiar del César</w:t>
            </w:r>
          </w:p>
        </w:tc>
        <w:tc>
          <w:tcPr>
            <w:tcW w:w="0" w:type="auto"/>
          </w:tcPr>
          <w:p w14:paraId="4634AF95" w14:textId="0A1FE848" w:rsidR="00970145" w:rsidRPr="00A0650F" w:rsidRDefault="002A13CE" w:rsidP="00CD7281">
            <w:pPr>
              <w:jc w:val="center"/>
              <w:rPr>
                <w:rFonts w:ascii="Bookman Old Style" w:eastAsia="Arial" w:hAnsi="Bookman Old Style" w:cs="Arial"/>
                <w:sz w:val="24"/>
                <w:szCs w:val="24"/>
              </w:rPr>
            </w:pPr>
            <w:proofErr w:type="spellStart"/>
            <w:r w:rsidRPr="00A0650F">
              <w:rPr>
                <w:rFonts w:ascii="Bookman Old Style" w:eastAsia="Arial" w:hAnsi="Bookman Old Style" w:cs="Arial"/>
                <w:sz w:val="24"/>
                <w:szCs w:val="24"/>
              </w:rPr>
              <w:t>Comfacesar</w:t>
            </w:r>
            <w:proofErr w:type="spellEnd"/>
          </w:p>
        </w:tc>
        <w:tc>
          <w:tcPr>
            <w:tcW w:w="0" w:type="auto"/>
          </w:tcPr>
          <w:p w14:paraId="6E40CEAD" w14:textId="3664668B" w:rsidR="00970145" w:rsidRPr="00A0650F" w:rsidRDefault="002A13CE"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Cesar</w:t>
            </w:r>
          </w:p>
        </w:tc>
        <w:tc>
          <w:tcPr>
            <w:tcW w:w="0" w:type="auto"/>
          </w:tcPr>
          <w:p w14:paraId="4745C419" w14:textId="45CADCF5" w:rsidR="00970145" w:rsidRPr="00A0650F" w:rsidRDefault="002A13CE"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Valledupar</w:t>
            </w:r>
          </w:p>
        </w:tc>
      </w:tr>
      <w:tr w:rsidR="00970145" w:rsidRPr="00A0650F" w14:paraId="33CE0C79" w14:textId="77777777" w:rsidTr="008875AE">
        <w:tc>
          <w:tcPr>
            <w:tcW w:w="0" w:type="auto"/>
          </w:tcPr>
          <w:p w14:paraId="05676996" w14:textId="4DB89698" w:rsidR="00970145" w:rsidRPr="00A0650F" w:rsidRDefault="002A13CE"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Caja de compensación familiar</w:t>
            </w:r>
          </w:p>
        </w:tc>
        <w:tc>
          <w:tcPr>
            <w:tcW w:w="0" w:type="auto"/>
          </w:tcPr>
          <w:p w14:paraId="6B4A658C" w14:textId="734F7CF3" w:rsidR="00970145" w:rsidRPr="00A0650F" w:rsidRDefault="002A13CE"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Cafam</w:t>
            </w:r>
          </w:p>
        </w:tc>
        <w:tc>
          <w:tcPr>
            <w:tcW w:w="0" w:type="auto"/>
          </w:tcPr>
          <w:p w14:paraId="2026A5B2" w14:textId="3622DA84" w:rsidR="00970145" w:rsidRPr="00A0650F" w:rsidRDefault="002A13CE"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Cundinamarca</w:t>
            </w:r>
          </w:p>
        </w:tc>
        <w:tc>
          <w:tcPr>
            <w:tcW w:w="0" w:type="auto"/>
          </w:tcPr>
          <w:p w14:paraId="05AF5EA1" w14:textId="344E3D21" w:rsidR="00970145" w:rsidRPr="00A0650F" w:rsidRDefault="002A13CE"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Bogotá</w:t>
            </w:r>
          </w:p>
        </w:tc>
      </w:tr>
      <w:tr w:rsidR="00970145" w:rsidRPr="00A0650F" w14:paraId="67AD8FFC" w14:textId="77777777" w:rsidTr="008875AE">
        <w:tc>
          <w:tcPr>
            <w:tcW w:w="0" w:type="auto"/>
          </w:tcPr>
          <w:p w14:paraId="119CC8DD" w14:textId="66783523" w:rsidR="00970145" w:rsidRPr="00A0650F" w:rsidRDefault="002A13CE"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Caja colombiana de subsidio familiar</w:t>
            </w:r>
          </w:p>
        </w:tc>
        <w:tc>
          <w:tcPr>
            <w:tcW w:w="0" w:type="auto"/>
          </w:tcPr>
          <w:p w14:paraId="46D283F3" w14:textId="57037599" w:rsidR="00970145" w:rsidRPr="00A0650F" w:rsidRDefault="002A13CE"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Colsubsidio</w:t>
            </w:r>
          </w:p>
        </w:tc>
        <w:tc>
          <w:tcPr>
            <w:tcW w:w="0" w:type="auto"/>
          </w:tcPr>
          <w:p w14:paraId="151CEDED" w14:textId="6B33937C" w:rsidR="00970145" w:rsidRPr="00A0650F" w:rsidRDefault="002A13CE"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Cundinamarca</w:t>
            </w:r>
          </w:p>
        </w:tc>
        <w:tc>
          <w:tcPr>
            <w:tcW w:w="0" w:type="auto"/>
          </w:tcPr>
          <w:p w14:paraId="11E05F1D" w14:textId="2F27DC80" w:rsidR="00970145" w:rsidRPr="00A0650F" w:rsidRDefault="002A13CE"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Bogotá</w:t>
            </w:r>
          </w:p>
        </w:tc>
      </w:tr>
      <w:tr w:rsidR="00970145" w:rsidRPr="00A0650F" w14:paraId="1BDE271B" w14:textId="77777777" w:rsidTr="008875AE">
        <w:tc>
          <w:tcPr>
            <w:tcW w:w="0" w:type="auto"/>
          </w:tcPr>
          <w:p w14:paraId="724AF490" w14:textId="578BE7BE" w:rsidR="00970145" w:rsidRPr="00A0650F" w:rsidRDefault="002A13CE"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Caja de compensación familiar</w:t>
            </w:r>
          </w:p>
        </w:tc>
        <w:tc>
          <w:tcPr>
            <w:tcW w:w="0" w:type="auto"/>
          </w:tcPr>
          <w:p w14:paraId="4095318C" w14:textId="40A96BB5" w:rsidR="00970145" w:rsidRPr="00A0650F" w:rsidRDefault="002A13CE"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Compensar</w:t>
            </w:r>
          </w:p>
        </w:tc>
        <w:tc>
          <w:tcPr>
            <w:tcW w:w="0" w:type="auto"/>
          </w:tcPr>
          <w:p w14:paraId="369A9DCE" w14:textId="07363291" w:rsidR="00970145" w:rsidRPr="00A0650F" w:rsidRDefault="002A13CE"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Cundinamarca</w:t>
            </w:r>
          </w:p>
        </w:tc>
        <w:tc>
          <w:tcPr>
            <w:tcW w:w="0" w:type="auto"/>
          </w:tcPr>
          <w:p w14:paraId="64A4A86C" w14:textId="2DEF0860" w:rsidR="00970145" w:rsidRPr="00A0650F" w:rsidRDefault="002A13CE"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Bogotá</w:t>
            </w:r>
          </w:p>
        </w:tc>
      </w:tr>
      <w:tr w:rsidR="00970145" w:rsidRPr="00A0650F" w14:paraId="27FA4C9D" w14:textId="77777777" w:rsidTr="008875AE">
        <w:tc>
          <w:tcPr>
            <w:tcW w:w="0" w:type="auto"/>
          </w:tcPr>
          <w:p w14:paraId="51DC4DD4" w14:textId="76018C74" w:rsidR="00970145" w:rsidRPr="00A0650F" w:rsidRDefault="002A13CE"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lastRenderedPageBreak/>
              <w:t>Caja de compensación familiar del Chocó</w:t>
            </w:r>
          </w:p>
        </w:tc>
        <w:tc>
          <w:tcPr>
            <w:tcW w:w="0" w:type="auto"/>
          </w:tcPr>
          <w:p w14:paraId="0BA2A44C" w14:textId="2338E53D" w:rsidR="00970145" w:rsidRPr="00A0650F" w:rsidRDefault="002A13CE" w:rsidP="00CD7281">
            <w:pPr>
              <w:jc w:val="center"/>
              <w:rPr>
                <w:rFonts w:ascii="Bookman Old Style" w:eastAsia="Arial" w:hAnsi="Bookman Old Style" w:cs="Arial"/>
                <w:sz w:val="24"/>
                <w:szCs w:val="24"/>
              </w:rPr>
            </w:pPr>
            <w:proofErr w:type="spellStart"/>
            <w:r w:rsidRPr="00A0650F">
              <w:rPr>
                <w:rFonts w:ascii="Bookman Old Style" w:eastAsia="Arial" w:hAnsi="Bookman Old Style" w:cs="Arial"/>
                <w:sz w:val="24"/>
                <w:szCs w:val="24"/>
              </w:rPr>
              <w:t>Comfachoco</w:t>
            </w:r>
            <w:proofErr w:type="spellEnd"/>
          </w:p>
        </w:tc>
        <w:tc>
          <w:tcPr>
            <w:tcW w:w="0" w:type="auto"/>
          </w:tcPr>
          <w:p w14:paraId="7985A8C2" w14:textId="612A51A2" w:rsidR="00970145" w:rsidRPr="00A0650F" w:rsidRDefault="002A13CE"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Choco</w:t>
            </w:r>
          </w:p>
        </w:tc>
        <w:tc>
          <w:tcPr>
            <w:tcW w:w="0" w:type="auto"/>
          </w:tcPr>
          <w:p w14:paraId="17A820AD" w14:textId="3DB1A665" w:rsidR="00970145" w:rsidRPr="00A0650F" w:rsidRDefault="002A13CE"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Quibdó</w:t>
            </w:r>
          </w:p>
        </w:tc>
      </w:tr>
      <w:tr w:rsidR="00970145" w:rsidRPr="00A0650F" w14:paraId="3F21032C" w14:textId="77777777" w:rsidTr="008875AE">
        <w:tc>
          <w:tcPr>
            <w:tcW w:w="0" w:type="auto"/>
          </w:tcPr>
          <w:p w14:paraId="54335280" w14:textId="1B8D28F2" w:rsidR="00970145" w:rsidRPr="00A0650F" w:rsidRDefault="002A13CE"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Caja de compensación familiar</w:t>
            </w:r>
          </w:p>
        </w:tc>
        <w:tc>
          <w:tcPr>
            <w:tcW w:w="0" w:type="auto"/>
          </w:tcPr>
          <w:p w14:paraId="4FF0D9AE" w14:textId="232F0497" w:rsidR="00970145" w:rsidRPr="00A0650F" w:rsidRDefault="002A13CE" w:rsidP="00CD7281">
            <w:pPr>
              <w:jc w:val="center"/>
              <w:rPr>
                <w:rFonts w:ascii="Bookman Old Style" w:eastAsia="Arial" w:hAnsi="Bookman Old Style" w:cs="Arial"/>
                <w:sz w:val="24"/>
                <w:szCs w:val="24"/>
              </w:rPr>
            </w:pPr>
            <w:proofErr w:type="spellStart"/>
            <w:r w:rsidRPr="00A0650F">
              <w:rPr>
                <w:rFonts w:ascii="Bookman Old Style" w:eastAsia="Arial" w:hAnsi="Bookman Old Style" w:cs="Arial"/>
                <w:sz w:val="24"/>
                <w:szCs w:val="24"/>
              </w:rPr>
              <w:t>Cofrem</w:t>
            </w:r>
            <w:proofErr w:type="spellEnd"/>
          </w:p>
        </w:tc>
        <w:tc>
          <w:tcPr>
            <w:tcW w:w="0" w:type="auto"/>
          </w:tcPr>
          <w:p w14:paraId="65DBD89A" w14:textId="15C9391A" w:rsidR="00970145" w:rsidRPr="00A0650F" w:rsidRDefault="002A13CE"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Meta</w:t>
            </w:r>
          </w:p>
        </w:tc>
        <w:tc>
          <w:tcPr>
            <w:tcW w:w="0" w:type="auto"/>
          </w:tcPr>
          <w:p w14:paraId="3E117778" w14:textId="73CCA5D0" w:rsidR="00970145" w:rsidRPr="00A0650F" w:rsidRDefault="002A13CE"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Villavicencio</w:t>
            </w:r>
          </w:p>
        </w:tc>
      </w:tr>
      <w:tr w:rsidR="002A13CE" w:rsidRPr="00A0650F" w14:paraId="3A6797B6" w14:textId="77777777" w:rsidTr="008875AE">
        <w:tc>
          <w:tcPr>
            <w:tcW w:w="0" w:type="auto"/>
          </w:tcPr>
          <w:p w14:paraId="604F8144" w14:textId="216AF290" w:rsidR="002A13CE" w:rsidRPr="00A0650F" w:rsidRDefault="002A13CE"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Caja de compensación familiar del oriente colombiano</w:t>
            </w:r>
          </w:p>
        </w:tc>
        <w:tc>
          <w:tcPr>
            <w:tcW w:w="0" w:type="auto"/>
          </w:tcPr>
          <w:p w14:paraId="651EECDC" w14:textId="0E2E8D4F" w:rsidR="002A13CE" w:rsidRPr="00A0650F" w:rsidRDefault="002A13CE" w:rsidP="00CD7281">
            <w:pPr>
              <w:jc w:val="center"/>
              <w:rPr>
                <w:rFonts w:ascii="Bookman Old Style" w:eastAsia="Arial" w:hAnsi="Bookman Old Style" w:cs="Arial"/>
                <w:sz w:val="24"/>
                <w:szCs w:val="24"/>
              </w:rPr>
            </w:pPr>
            <w:proofErr w:type="spellStart"/>
            <w:r w:rsidRPr="00A0650F">
              <w:rPr>
                <w:rFonts w:ascii="Bookman Old Style" w:eastAsia="Arial" w:hAnsi="Bookman Old Style" w:cs="Arial"/>
                <w:sz w:val="24"/>
                <w:szCs w:val="24"/>
              </w:rPr>
              <w:t>Comfaoriente</w:t>
            </w:r>
            <w:proofErr w:type="spellEnd"/>
          </w:p>
        </w:tc>
        <w:tc>
          <w:tcPr>
            <w:tcW w:w="0" w:type="auto"/>
          </w:tcPr>
          <w:p w14:paraId="6E71A7FC" w14:textId="3346E456" w:rsidR="002A13CE" w:rsidRPr="00A0650F" w:rsidRDefault="002A13CE"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Norte de Santander</w:t>
            </w:r>
          </w:p>
        </w:tc>
        <w:tc>
          <w:tcPr>
            <w:tcW w:w="0" w:type="auto"/>
          </w:tcPr>
          <w:p w14:paraId="19465640" w14:textId="51C851C5" w:rsidR="002A13CE" w:rsidRPr="00A0650F" w:rsidRDefault="002A13CE"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Cúcuta</w:t>
            </w:r>
          </w:p>
        </w:tc>
      </w:tr>
      <w:tr w:rsidR="002A13CE" w:rsidRPr="00A0650F" w14:paraId="05104695" w14:textId="77777777" w:rsidTr="008875AE">
        <w:tc>
          <w:tcPr>
            <w:tcW w:w="0" w:type="auto"/>
          </w:tcPr>
          <w:p w14:paraId="2FEE667D" w14:textId="1DDDDC65" w:rsidR="002A13CE" w:rsidRPr="00A0650F" w:rsidRDefault="00A918DD"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Caja de compensación familiar de Barrancabermeja</w:t>
            </w:r>
          </w:p>
        </w:tc>
        <w:tc>
          <w:tcPr>
            <w:tcW w:w="0" w:type="auto"/>
          </w:tcPr>
          <w:p w14:paraId="67DEA14D" w14:textId="18CB5436" w:rsidR="002A13CE" w:rsidRPr="00A0650F" w:rsidRDefault="00A918DD" w:rsidP="00CD7281">
            <w:pPr>
              <w:jc w:val="center"/>
              <w:rPr>
                <w:rFonts w:ascii="Bookman Old Style" w:eastAsia="Arial" w:hAnsi="Bookman Old Style" w:cs="Arial"/>
                <w:sz w:val="24"/>
                <w:szCs w:val="24"/>
              </w:rPr>
            </w:pPr>
            <w:proofErr w:type="spellStart"/>
            <w:r w:rsidRPr="00A0650F">
              <w:rPr>
                <w:rFonts w:ascii="Bookman Old Style" w:eastAsia="Arial" w:hAnsi="Bookman Old Style" w:cs="Arial"/>
                <w:sz w:val="24"/>
                <w:szCs w:val="24"/>
              </w:rPr>
              <w:t>Cafaba</w:t>
            </w:r>
            <w:proofErr w:type="spellEnd"/>
          </w:p>
        </w:tc>
        <w:tc>
          <w:tcPr>
            <w:tcW w:w="0" w:type="auto"/>
          </w:tcPr>
          <w:p w14:paraId="62DEE348" w14:textId="185AD928" w:rsidR="002A13CE" w:rsidRPr="00A0650F" w:rsidRDefault="00A918DD"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Norte de Santander</w:t>
            </w:r>
          </w:p>
        </w:tc>
        <w:tc>
          <w:tcPr>
            <w:tcW w:w="0" w:type="auto"/>
          </w:tcPr>
          <w:p w14:paraId="1BC238F8" w14:textId="4987F499" w:rsidR="002A13CE" w:rsidRPr="00A0650F" w:rsidRDefault="00A918DD"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Barrancabermeja</w:t>
            </w:r>
          </w:p>
        </w:tc>
      </w:tr>
      <w:tr w:rsidR="002A13CE" w:rsidRPr="00A0650F" w14:paraId="0F837D09" w14:textId="77777777" w:rsidTr="008875AE">
        <w:tc>
          <w:tcPr>
            <w:tcW w:w="0" w:type="auto"/>
          </w:tcPr>
          <w:p w14:paraId="229E18EF" w14:textId="357DA73B" w:rsidR="002A13CE" w:rsidRPr="00A0650F" w:rsidRDefault="00A918DD"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Caja santandereana de subsidio familiar</w:t>
            </w:r>
          </w:p>
        </w:tc>
        <w:tc>
          <w:tcPr>
            <w:tcW w:w="0" w:type="auto"/>
          </w:tcPr>
          <w:p w14:paraId="262F4691" w14:textId="5233DED0" w:rsidR="002A13CE" w:rsidRPr="00A0650F" w:rsidRDefault="00A918DD" w:rsidP="00CD7281">
            <w:pPr>
              <w:jc w:val="center"/>
              <w:rPr>
                <w:rFonts w:ascii="Bookman Old Style" w:eastAsia="Arial" w:hAnsi="Bookman Old Style" w:cs="Arial"/>
                <w:sz w:val="24"/>
                <w:szCs w:val="24"/>
              </w:rPr>
            </w:pPr>
            <w:proofErr w:type="spellStart"/>
            <w:r w:rsidRPr="00A0650F">
              <w:rPr>
                <w:rFonts w:ascii="Bookman Old Style" w:eastAsia="Arial" w:hAnsi="Bookman Old Style" w:cs="Arial"/>
                <w:sz w:val="24"/>
                <w:szCs w:val="24"/>
              </w:rPr>
              <w:t>Cajasan</w:t>
            </w:r>
            <w:proofErr w:type="spellEnd"/>
          </w:p>
        </w:tc>
        <w:tc>
          <w:tcPr>
            <w:tcW w:w="0" w:type="auto"/>
          </w:tcPr>
          <w:p w14:paraId="7EB2F5EC" w14:textId="3512BE75" w:rsidR="002A13CE" w:rsidRPr="00A0650F" w:rsidRDefault="00A918DD"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Santander</w:t>
            </w:r>
          </w:p>
        </w:tc>
        <w:tc>
          <w:tcPr>
            <w:tcW w:w="0" w:type="auto"/>
          </w:tcPr>
          <w:p w14:paraId="3291695A" w14:textId="6329E18B" w:rsidR="002A13CE" w:rsidRPr="00A0650F" w:rsidRDefault="00A918DD"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Bucaramanga</w:t>
            </w:r>
          </w:p>
        </w:tc>
      </w:tr>
      <w:tr w:rsidR="002A13CE" w:rsidRPr="00A0650F" w14:paraId="1679F815" w14:textId="77777777" w:rsidTr="008875AE">
        <w:tc>
          <w:tcPr>
            <w:tcW w:w="0" w:type="auto"/>
          </w:tcPr>
          <w:p w14:paraId="30E928F7" w14:textId="13EDE9C8" w:rsidR="002A13CE" w:rsidRPr="00A0650F" w:rsidRDefault="00A918DD"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Caja de compensación familiar</w:t>
            </w:r>
          </w:p>
        </w:tc>
        <w:tc>
          <w:tcPr>
            <w:tcW w:w="0" w:type="auto"/>
          </w:tcPr>
          <w:p w14:paraId="7BD56BB6" w14:textId="69F559F6" w:rsidR="002A13CE" w:rsidRPr="00A0650F" w:rsidRDefault="00A918DD"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Comfenalco Santander</w:t>
            </w:r>
          </w:p>
        </w:tc>
        <w:tc>
          <w:tcPr>
            <w:tcW w:w="0" w:type="auto"/>
          </w:tcPr>
          <w:p w14:paraId="4592191B" w14:textId="687A6656" w:rsidR="002A13CE" w:rsidRPr="00A0650F" w:rsidRDefault="00A918DD"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Santander</w:t>
            </w:r>
          </w:p>
        </w:tc>
        <w:tc>
          <w:tcPr>
            <w:tcW w:w="0" w:type="auto"/>
          </w:tcPr>
          <w:p w14:paraId="10DA018B" w14:textId="7AE62121" w:rsidR="002A13CE" w:rsidRPr="00A0650F" w:rsidRDefault="00A918DD"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Bucaramanga</w:t>
            </w:r>
          </w:p>
        </w:tc>
      </w:tr>
      <w:tr w:rsidR="002A13CE" w:rsidRPr="00A0650F" w14:paraId="41FAA7A3" w14:textId="77777777" w:rsidTr="008875AE">
        <w:tc>
          <w:tcPr>
            <w:tcW w:w="0" w:type="auto"/>
          </w:tcPr>
          <w:p w14:paraId="287670AB" w14:textId="5F13F6A7" w:rsidR="002A13CE" w:rsidRPr="00A0650F" w:rsidRDefault="00A918DD"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Caja de compensación familiar de sucre</w:t>
            </w:r>
          </w:p>
        </w:tc>
        <w:tc>
          <w:tcPr>
            <w:tcW w:w="0" w:type="auto"/>
          </w:tcPr>
          <w:p w14:paraId="62CD1BF2" w14:textId="77AB3A3A" w:rsidR="002A13CE" w:rsidRPr="00A0650F" w:rsidRDefault="00A918DD" w:rsidP="00CD7281">
            <w:pPr>
              <w:jc w:val="center"/>
              <w:rPr>
                <w:rFonts w:ascii="Bookman Old Style" w:eastAsia="Arial" w:hAnsi="Bookman Old Style" w:cs="Arial"/>
                <w:sz w:val="24"/>
                <w:szCs w:val="24"/>
              </w:rPr>
            </w:pPr>
            <w:proofErr w:type="spellStart"/>
            <w:r w:rsidRPr="00A0650F">
              <w:rPr>
                <w:rFonts w:ascii="Bookman Old Style" w:eastAsia="Arial" w:hAnsi="Bookman Old Style" w:cs="Arial"/>
                <w:sz w:val="24"/>
                <w:szCs w:val="24"/>
              </w:rPr>
              <w:t>Comfasucre</w:t>
            </w:r>
            <w:proofErr w:type="spellEnd"/>
          </w:p>
        </w:tc>
        <w:tc>
          <w:tcPr>
            <w:tcW w:w="0" w:type="auto"/>
          </w:tcPr>
          <w:p w14:paraId="71B60C38" w14:textId="4234F3B5" w:rsidR="002A13CE" w:rsidRPr="00A0650F" w:rsidRDefault="00A918DD"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Sucre</w:t>
            </w:r>
          </w:p>
        </w:tc>
        <w:tc>
          <w:tcPr>
            <w:tcW w:w="0" w:type="auto"/>
          </w:tcPr>
          <w:p w14:paraId="6FFFC377" w14:textId="0BC406FF" w:rsidR="002A13CE" w:rsidRPr="00A0650F" w:rsidRDefault="00A918DD"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Sincelejo</w:t>
            </w:r>
          </w:p>
        </w:tc>
      </w:tr>
      <w:tr w:rsidR="002A13CE" w:rsidRPr="00A0650F" w14:paraId="18BB7928" w14:textId="77777777" w:rsidTr="008875AE">
        <w:tc>
          <w:tcPr>
            <w:tcW w:w="0" w:type="auto"/>
          </w:tcPr>
          <w:p w14:paraId="589418FE" w14:textId="086AA0C3" w:rsidR="002A13CE" w:rsidRPr="00A0650F" w:rsidRDefault="00A918DD"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 xml:space="preserve">Caja de compensación familiar de </w:t>
            </w:r>
            <w:proofErr w:type="spellStart"/>
            <w:r w:rsidRPr="00A0650F">
              <w:rPr>
                <w:rFonts w:ascii="Bookman Old Style" w:eastAsia="Arial" w:hAnsi="Bookman Old Style" w:cs="Arial"/>
                <w:sz w:val="24"/>
                <w:szCs w:val="24"/>
              </w:rPr>
              <w:t>Fenalco</w:t>
            </w:r>
            <w:proofErr w:type="spellEnd"/>
          </w:p>
        </w:tc>
        <w:tc>
          <w:tcPr>
            <w:tcW w:w="0" w:type="auto"/>
          </w:tcPr>
          <w:p w14:paraId="448FB1FF" w14:textId="169603E1" w:rsidR="002A13CE" w:rsidRPr="00A0650F" w:rsidRDefault="00A918DD"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Comfenalco Quindío</w:t>
            </w:r>
          </w:p>
        </w:tc>
        <w:tc>
          <w:tcPr>
            <w:tcW w:w="0" w:type="auto"/>
          </w:tcPr>
          <w:p w14:paraId="57AC68CA" w14:textId="09F6D1DA" w:rsidR="002A13CE" w:rsidRPr="00A0650F" w:rsidRDefault="00A918DD"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Quindío</w:t>
            </w:r>
          </w:p>
        </w:tc>
        <w:tc>
          <w:tcPr>
            <w:tcW w:w="0" w:type="auto"/>
          </w:tcPr>
          <w:p w14:paraId="0C3CEF78" w14:textId="3CD00237" w:rsidR="002A13CE" w:rsidRPr="00A0650F" w:rsidRDefault="00A918DD"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Armenia</w:t>
            </w:r>
          </w:p>
        </w:tc>
      </w:tr>
      <w:tr w:rsidR="002A13CE" w:rsidRPr="00A0650F" w14:paraId="082AFB34" w14:textId="77777777" w:rsidTr="008875AE">
        <w:tc>
          <w:tcPr>
            <w:tcW w:w="0" w:type="auto"/>
          </w:tcPr>
          <w:p w14:paraId="25B85196" w14:textId="4DD45FC9" w:rsidR="002A13CE" w:rsidRPr="00A0650F" w:rsidRDefault="00A918DD"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Caja de compensación familiar del sur del Tolima</w:t>
            </w:r>
          </w:p>
        </w:tc>
        <w:tc>
          <w:tcPr>
            <w:tcW w:w="0" w:type="auto"/>
          </w:tcPr>
          <w:p w14:paraId="2B1EAA08" w14:textId="18E4F760" w:rsidR="002A13CE" w:rsidRPr="00A0650F" w:rsidRDefault="00A918DD" w:rsidP="00CD7281">
            <w:pPr>
              <w:jc w:val="center"/>
              <w:rPr>
                <w:rFonts w:ascii="Bookman Old Style" w:eastAsia="Arial" w:hAnsi="Bookman Old Style" w:cs="Arial"/>
                <w:sz w:val="24"/>
                <w:szCs w:val="24"/>
              </w:rPr>
            </w:pPr>
            <w:proofErr w:type="spellStart"/>
            <w:r w:rsidRPr="00A0650F">
              <w:rPr>
                <w:rFonts w:ascii="Bookman Old Style" w:eastAsia="Arial" w:hAnsi="Bookman Old Style" w:cs="Arial"/>
                <w:sz w:val="24"/>
                <w:szCs w:val="24"/>
              </w:rPr>
              <w:t>Cafasur</w:t>
            </w:r>
            <w:proofErr w:type="spellEnd"/>
          </w:p>
        </w:tc>
        <w:tc>
          <w:tcPr>
            <w:tcW w:w="0" w:type="auto"/>
          </w:tcPr>
          <w:p w14:paraId="526DB3C5" w14:textId="6DAA57CA" w:rsidR="002A13CE" w:rsidRPr="00A0650F" w:rsidRDefault="00A918DD"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Tolima</w:t>
            </w:r>
          </w:p>
        </w:tc>
        <w:tc>
          <w:tcPr>
            <w:tcW w:w="0" w:type="auto"/>
          </w:tcPr>
          <w:p w14:paraId="5596759D" w14:textId="4F63C553" w:rsidR="002A13CE" w:rsidRPr="00A0650F" w:rsidRDefault="00A918DD"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Espinal</w:t>
            </w:r>
          </w:p>
        </w:tc>
      </w:tr>
      <w:tr w:rsidR="002A13CE" w:rsidRPr="00A0650F" w14:paraId="7460A818" w14:textId="77777777" w:rsidTr="008875AE">
        <w:tc>
          <w:tcPr>
            <w:tcW w:w="0" w:type="auto"/>
          </w:tcPr>
          <w:p w14:paraId="567A51A5" w14:textId="0028AF2C" w:rsidR="002A13CE"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Caja de compensación familiar del Tolima</w:t>
            </w:r>
          </w:p>
        </w:tc>
        <w:tc>
          <w:tcPr>
            <w:tcW w:w="0" w:type="auto"/>
          </w:tcPr>
          <w:p w14:paraId="2D9B1B9B" w14:textId="63E4A01C" w:rsidR="002A13CE" w:rsidRPr="00A0650F" w:rsidRDefault="00757ED5" w:rsidP="00CD7281">
            <w:pPr>
              <w:jc w:val="center"/>
              <w:rPr>
                <w:rFonts w:ascii="Bookman Old Style" w:eastAsia="Arial" w:hAnsi="Bookman Old Style" w:cs="Arial"/>
                <w:sz w:val="24"/>
                <w:szCs w:val="24"/>
              </w:rPr>
            </w:pPr>
            <w:proofErr w:type="spellStart"/>
            <w:r w:rsidRPr="00A0650F">
              <w:rPr>
                <w:rFonts w:ascii="Bookman Old Style" w:eastAsia="Arial" w:hAnsi="Bookman Old Style" w:cs="Arial"/>
                <w:sz w:val="24"/>
                <w:szCs w:val="24"/>
              </w:rPr>
              <w:t>Comfatolima</w:t>
            </w:r>
            <w:proofErr w:type="spellEnd"/>
          </w:p>
        </w:tc>
        <w:tc>
          <w:tcPr>
            <w:tcW w:w="0" w:type="auto"/>
          </w:tcPr>
          <w:p w14:paraId="327EDC08" w14:textId="7FE469EF" w:rsidR="002A13CE" w:rsidRPr="00A0650F" w:rsidRDefault="00757ED5"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Tolima</w:t>
            </w:r>
          </w:p>
        </w:tc>
        <w:tc>
          <w:tcPr>
            <w:tcW w:w="0" w:type="auto"/>
          </w:tcPr>
          <w:p w14:paraId="47CBE6C3" w14:textId="3026432A" w:rsidR="002A13CE" w:rsidRPr="00A0650F" w:rsidRDefault="00757ED5"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Ibagué</w:t>
            </w:r>
          </w:p>
        </w:tc>
      </w:tr>
      <w:tr w:rsidR="002A13CE" w:rsidRPr="00A0650F" w14:paraId="14EB84C7" w14:textId="77777777" w:rsidTr="008875AE">
        <w:tc>
          <w:tcPr>
            <w:tcW w:w="0" w:type="auto"/>
          </w:tcPr>
          <w:p w14:paraId="77ECAE1A" w14:textId="33D4E654" w:rsidR="002A13CE"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 xml:space="preserve">Caja de compensación </w:t>
            </w:r>
            <w:r w:rsidRPr="00A0650F">
              <w:rPr>
                <w:rFonts w:ascii="Bookman Old Style" w:eastAsia="Arial" w:hAnsi="Bookman Old Style" w:cs="Arial"/>
                <w:sz w:val="24"/>
                <w:szCs w:val="24"/>
              </w:rPr>
              <w:lastRenderedPageBreak/>
              <w:t>familiar del Tolima</w:t>
            </w:r>
          </w:p>
        </w:tc>
        <w:tc>
          <w:tcPr>
            <w:tcW w:w="0" w:type="auto"/>
          </w:tcPr>
          <w:p w14:paraId="4DE01FC5" w14:textId="66D8905D" w:rsidR="002A13CE"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lastRenderedPageBreak/>
              <w:t>Comfenalco</w:t>
            </w:r>
          </w:p>
        </w:tc>
        <w:tc>
          <w:tcPr>
            <w:tcW w:w="0" w:type="auto"/>
          </w:tcPr>
          <w:p w14:paraId="2A2F9A04" w14:textId="114EB212" w:rsidR="002A13CE"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Tolima</w:t>
            </w:r>
          </w:p>
        </w:tc>
        <w:tc>
          <w:tcPr>
            <w:tcW w:w="0" w:type="auto"/>
          </w:tcPr>
          <w:p w14:paraId="7F344FEF" w14:textId="2196F88C" w:rsidR="002A13CE"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Ibagué</w:t>
            </w:r>
          </w:p>
        </w:tc>
      </w:tr>
      <w:tr w:rsidR="00407084" w:rsidRPr="00A0650F" w14:paraId="074D91BC" w14:textId="77777777" w:rsidTr="008875AE">
        <w:tc>
          <w:tcPr>
            <w:tcW w:w="0" w:type="auto"/>
          </w:tcPr>
          <w:p w14:paraId="06C1A88A" w14:textId="112670E6"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lastRenderedPageBreak/>
              <w:t>Caja de compensación familiar del valle del cauca</w:t>
            </w:r>
          </w:p>
        </w:tc>
        <w:tc>
          <w:tcPr>
            <w:tcW w:w="0" w:type="auto"/>
          </w:tcPr>
          <w:p w14:paraId="4E6B6BDB" w14:textId="7E8801EB"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Comfenalco valle de la gente</w:t>
            </w:r>
          </w:p>
        </w:tc>
        <w:tc>
          <w:tcPr>
            <w:tcW w:w="0" w:type="auto"/>
          </w:tcPr>
          <w:p w14:paraId="0A159378" w14:textId="299960F3"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Valle</w:t>
            </w:r>
          </w:p>
        </w:tc>
        <w:tc>
          <w:tcPr>
            <w:tcW w:w="0" w:type="auto"/>
          </w:tcPr>
          <w:p w14:paraId="78C70D13" w14:textId="36604674"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Cali</w:t>
            </w:r>
          </w:p>
        </w:tc>
      </w:tr>
      <w:tr w:rsidR="00407084" w:rsidRPr="00A0650F" w14:paraId="00BFE0C5" w14:textId="77777777" w:rsidTr="008875AE">
        <w:tc>
          <w:tcPr>
            <w:tcW w:w="0" w:type="auto"/>
          </w:tcPr>
          <w:p w14:paraId="0DBE9EF2" w14:textId="157267FA"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 xml:space="preserve">Caja de compensación familiar del valle del cauca </w:t>
            </w:r>
            <w:proofErr w:type="spellStart"/>
            <w:r w:rsidRPr="00A0650F">
              <w:rPr>
                <w:rFonts w:ascii="Bookman Old Style" w:eastAsia="Arial" w:hAnsi="Bookman Old Style" w:cs="Arial"/>
                <w:sz w:val="24"/>
                <w:szCs w:val="24"/>
              </w:rPr>
              <w:t>Comfamiliar</w:t>
            </w:r>
            <w:proofErr w:type="spellEnd"/>
          </w:p>
        </w:tc>
        <w:tc>
          <w:tcPr>
            <w:tcW w:w="0" w:type="auto"/>
          </w:tcPr>
          <w:p w14:paraId="64E4584B" w14:textId="4D98ED33" w:rsidR="00407084" w:rsidRPr="00A0650F" w:rsidRDefault="00407084" w:rsidP="00CD7281">
            <w:pPr>
              <w:jc w:val="center"/>
              <w:rPr>
                <w:rFonts w:ascii="Bookman Old Style" w:eastAsia="Arial" w:hAnsi="Bookman Old Style" w:cs="Arial"/>
                <w:sz w:val="24"/>
                <w:szCs w:val="24"/>
              </w:rPr>
            </w:pPr>
            <w:proofErr w:type="spellStart"/>
            <w:r w:rsidRPr="00A0650F">
              <w:rPr>
                <w:rFonts w:ascii="Bookman Old Style" w:eastAsia="Arial" w:hAnsi="Bookman Old Style" w:cs="Arial"/>
                <w:sz w:val="24"/>
                <w:szCs w:val="24"/>
              </w:rPr>
              <w:t>Andi</w:t>
            </w:r>
            <w:proofErr w:type="spellEnd"/>
            <w:r w:rsidRPr="00A0650F">
              <w:rPr>
                <w:rFonts w:ascii="Bookman Old Style" w:eastAsia="Arial" w:hAnsi="Bookman Old Style" w:cs="Arial"/>
                <w:sz w:val="24"/>
                <w:szCs w:val="24"/>
              </w:rPr>
              <w:t xml:space="preserve"> – </w:t>
            </w:r>
            <w:proofErr w:type="spellStart"/>
            <w:r w:rsidRPr="00A0650F">
              <w:rPr>
                <w:rFonts w:ascii="Bookman Old Style" w:eastAsia="Arial" w:hAnsi="Bookman Old Style" w:cs="Arial"/>
                <w:sz w:val="24"/>
                <w:szCs w:val="24"/>
              </w:rPr>
              <w:t>Comfandi</w:t>
            </w:r>
            <w:proofErr w:type="spellEnd"/>
          </w:p>
        </w:tc>
        <w:tc>
          <w:tcPr>
            <w:tcW w:w="0" w:type="auto"/>
          </w:tcPr>
          <w:p w14:paraId="271C1FCC" w14:textId="306AB0FD"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Valle</w:t>
            </w:r>
          </w:p>
        </w:tc>
        <w:tc>
          <w:tcPr>
            <w:tcW w:w="0" w:type="auto"/>
          </w:tcPr>
          <w:p w14:paraId="7CFC93D2" w14:textId="319D4394"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Cali</w:t>
            </w:r>
          </w:p>
        </w:tc>
      </w:tr>
      <w:tr w:rsidR="00407084" w:rsidRPr="00A0650F" w14:paraId="18B5BAB0" w14:textId="77777777" w:rsidTr="008875AE">
        <w:tc>
          <w:tcPr>
            <w:tcW w:w="0" w:type="auto"/>
          </w:tcPr>
          <w:p w14:paraId="1C73EF3C" w14:textId="04D25328"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Caja de compensación familiar del putumayo</w:t>
            </w:r>
          </w:p>
        </w:tc>
        <w:tc>
          <w:tcPr>
            <w:tcW w:w="0" w:type="auto"/>
          </w:tcPr>
          <w:p w14:paraId="26AD93A3" w14:textId="3E0FB8A0" w:rsidR="00407084" w:rsidRPr="00A0650F" w:rsidRDefault="00407084" w:rsidP="00CD7281">
            <w:pPr>
              <w:jc w:val="center"/>
              <w:rPr>
                <w:rFonts w:ascii="Bookman Old Style" w:eastAsia="Arial" w:hAnsi="Bookman Old Style" w:cs="Arial"/>
                <w:sz w:val="24"/>
                <w:szCs w:val="24"/>
              </w:rPr>
            </w:pPr>
            <w:proofErr w:type="spellStart"/>
            <w:r w:rsidRPr="00A0650F">
              <w:rPr>
                <w:rFonts w:ascii="Bookman Old Style" w:eastAsia="Arial" w:hAnsi="Bookman Old Style" w:cs="Arial"/>
                <w:sz w:val="24"/>
                <w:szCs w:val="24"/>
              </w:rPr>
              <w:t>Comfamiliar</w:t>
            </w:r>
            <w:proofErr w:type="spellEnd"/>
            <w:r w:rsidRPr="00A0650F">
              <w:rPr>
                <w:rFonts w:ascii="Bookman Old Style" w:eastAsia="Arial" w:hAnsi="Bookman Old Style" w:cs="Arial"/>
                <w:sz w:val="24"/>
                <w:szCs w:val="24"/>
              </w:rPr>
              <w:t xml:space="preserve"> putumayo</w:t>
            </w:r>
          </w:p>
        </w:tc>
        <w:tc>
          <w:tcPr>
            <w:tcW w:w="0" w:type="auto"/>
          </w:tcPr>
          <w:p w14:paraId="6C058896" w14:textId="2E0AEBC4"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Putumayo</w:t>
            </w:r>
          </w:p>
        </w:tc>
        <w:tc>
          <w:tcPr>
            <w:tcW w:w="0" w:type="auto"/>
          </w:tcPr>
          <w:p w14:paraId="2B55E16C" w14:textId="3F08F1D2"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Mocoa</w:t>
            </w:r>
          </w:p>
        </w:tc>
      </w:tr>
      <w:tr w:rsidR="00407084" w:rsidRPr="00A0650F" w14:paraId="27253974" w14:textId="77777777" w:rsidTr="008875AE">
        <w:tc>
          <w:tcPr>
            <w:tcW w:w="0" w:type="auto"/>
          </w:tcPr>
          <w:p w14:paraId="1880C86C" w14:textId="159AEE27"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Caja de compensación familiar de San Andrés y providencia islas</w:t>
            </w:r>
          </w:p>
        </w:tc>
        <w:tc>
          <w:tcPr>
            <w:tcW w:w="0" w:type="auto"/>
          </w:tcPr>
          <w:p w14:paraId="1F9587DD" w14:textId="1630C58E" w:rsidR="00407084" w:rsidRPr="00A0650F" w:rsidRDefault="00407084" w:rsidP="00CD7281">
            <w:pPr>
              <w:jc w:val="center"/>
              <w:rPr>
                <w:rFonts w:ascii="Bookman Old Style" w:eastAsia="Arial" w:hAnsi="Bookman Old Style" w:cs="Arial"/>
                <w:sz w:val="24"/>
                <w:szCs w:val="24"/>
              </w:rPr>
            </w:pPr>
            <w:proofErr w:type="spellStart"/>
            <w:r w:rsidRPr="00A0650F">
              <w:rPr>
                <w:rFonts w:ascii="Bookman Old Style" w:eastAsia="Arial" w:hAnsi="Bookman Old Style" w:cs="Arial"/>
                <w:sz w:val="24"/>
                <w:szCs w:val="24"/>
              </w:rPr>
              <w:t>Cajasai</w:t>
            </w:r>
            <w:proofErr w:type="spellEnd"/>
          </w:p>
        </w:tc>
        <w:tc>
          <w:tcPr>
            <w:tcW w:w="0" w:type="auto"/>
          </w:tcPr>
          <w:p w14:paraId="4689FEB4" w14:textId="57F27975"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Archipiélago de San Andrés, Providencia y Santa catalina</w:t>
            </w:r>
          </w:p>
        </w:tc>
        <w:tc>
          <w:tcPr>
            <w:tcW w:w="0" w:type="auto"/>
          </w:tcPr>
          <w:p w14:paraId="36FD1BEE" w14:textId="7DBBBBCA"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Archipiélago de San Andrés, Providencia y Santa catalina</w:t>
            </w:r>
          </w:p>
        </w:tc>
      </w:tr>
      <w:tr w:rsidR="00407084" w:rsidRPr="00A0650F" w14:paraId="62147AF0" w14:textId="77777777" w:rsidTr="008875AE">
        <w:tc>
          <w:tcPr>
            <w:tcW w:w="0" w:type="auto"/>
          </w:tcPr>
          <w:p w14:paraId="5F2F297A" w14:textId="7AD64AE2"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Caja de compensación familiar del Amazonas</w:t>
            </w:r>
          </w:p>
        </w:tc>
        <w:tc>
          <w:tcPr>
            <w:tcW w:w="0" w:type="auto"/>
          </w:tcPr>
          <w:p w14:paraId="2F572608" w14:textId="7C1D3F90" w:rsidR="00407084" w:rsidRPr="00A0650F" w:rsidRDefault="00407084" w:rsidP="00CD7281">
            <w:pPr>
              <w:jc w:val="center"/>
              <w:rPr>
                <w:rFonts w:ascii="Bookman Old Style" w:eastAsia="Arial" w:hAnsi="Bookman Old Style" w:cs="Arial"/>
                <w:sz w:val="24"/>
                <w:szCs w:val="24"/>
              </w:rPr>
            </w:pPr>
            <w:proofErr w:type="spellStart"/>
            <w:r w:rsidRPr="00A0650F">
              <w:rPr>
                <w:rFonts w:ascii="Bookman Old Style" w:eastAsia="Arial" w:hAnsi="Bookman Old Style" w:cs="Arial"/>
                <w:sz w:val="24"/>
                <w:szCs w:val="24"/>
              </w:rPr>
              <w:t>Cafamaz</w:t>
            </w:r>
            <w:proofErr w:type="spellEnd"/>
          </w:p>
        </w:tc>
        <w:tc>
          <w:tcPr>
            <w:tcW w:w="0" w:type="auto"/>
          </w:tcPr>
          <w:p w14:paraId="3D5ACC49" w14:textId="1DF2FF99"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Amazonas</w:t>
            </w:r>
          </w:p>
        </w:tc>
        <w:tc>
          <w:tcPr>
            <w:tcW w:w="0" w:type="auto"/>
          </w:tcPr>
          <w:p w14:paraId="5F5BDC04" w14:textId="03C4F3B8"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Leticia</w:t>
            </w:r>
          </w:p>
        </w:tc>
      </w:tr>
      <w:tr w:rsidR="00407084" w:rsidRPr="00A0650F" w14:paraId="50182BBD" w14:textId="77777777" w:rsidTr="008875AE">
        <w:tc>
          <w:tcPr>
            <w:tcW w:w="0" w:type="auto"/>
          </w:tcPr>
          <w:p w14:paraId="19DF8C3D" w14:textId="34CAF4E3"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Caja de compensación familiar de Arauca</w:t>
            </w:r>
          </w:p>
        </w:tc>
        <w:tc>
          <w:tcPr>
            <w:tcW w:w="0" w:type="auto"/>
          </w:tcPr>
          <w:p w14:paraId="3013CD7D" w14:textId="3D7F9F8F" w:rsidR="00407084" w:rsidRPr="00A0650F" w:rsidRDefault="00407084" w:rsidP="00CD7281">
            <w:pPr>
              <w:jc w:val="center"/>
              <w:rPr>
                <w:rFonts w:ascii="Bookman Old Style" w:eastAsia="Arial" w:hAnsi="Bookman Old Style" w:cs="Arial"/>
                <w:sz w:val="24"/>
                <w:szCs w:val="24"/>
              </w:rPr>
            </w:pPr>
            <w:proofErr w:type="spellStart"/>
            <w:r w:rsidRPr="00A0650F">
              <w:rPr>
                <w:rFonts w:ascii="Bookman Old Style" w:eastAsia="Arial" w:hAnsi="Bookman Old Style" w:cs="Arial"/>
                <w:sz w:val="24"/>
                <w:szCs w:val="24"/>
              </w:rPr>
              <w:t>Comfiar</w:t>
            </w:r>
            <w:proofErr w:type="spellEnd"/>
          </w:p>
        </w:tc>
        <w:tc>
          <w:tcPr>
            <w:tcW w:w="0" w:type="auto"/>
          </w:tcPr>
          <w:p w14:paraId="02BEF946" w14:textId="2FD345B3"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Arauca</w:t>
            </w:r>
          </w:p>
        </w:tc>
        <w:tc>
          <w:tcPr>
            <w:tcW w:w="0" w:type="auto"/>
          </w:tcPr>
          <w:p w14:paraId="736DA321" w14:textId="2E18383A"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Arauca</w:t>
            </w:r>
          </w:p>
        </w:tc>
      </w:tr>
      <w:tr w:rsidR="00407084" w:rsidRPr="00A0650F" w14:paraId="540EA0EA" w14:textId="77777777" w:rsidTr="008875AE">
        <w:tc>
          <w:tcPr>
            <w:tcW w:w="0" w:type="auto"/>
          </w:tcPr>
          <w:p w14:paraId="25EBF81E" w14:textId="7A9BD556"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Caja de compensación familiar del Casanare</w:t>
            </w:r>
          </w:p>
        </w:tc>
        <w:tc>
          <w:tcPr>
            <w:tcW w:w="0" w:type="auto"/>
          </w:tcPr>
          <w:p w14:paraId="689A50D1" w14:textId="16397296" w:rsidR="00407084" w:rsidRPr="00A0650F" w:rsidRDefault="00407084" w:rsidP="00CD7281">
            <w:pPr>
              <w:jc w:val="center"/>
              <w:rPr>
                <w:rFonts w:ascii="Bookman Old Style" w:eastAsia="Arial" w:hAnsi="Bookman Old Style" w:cs="Arial"/>
                <w:sz w:val="24"/>
                <w:szCs w:val="24"/>
              </w:rPr>
            </w:pPr>
            <w:proofErr w:type="spellStart"/>
            <w:r w:rsidRPr="00A0650F">
              <w:rPr>
                <w:rFonts w:ascii="Bookman Old Style" w:eastAsia="Arial" w:hAnsi="Bookman Old Style" w:cs="Arial"/>
                <w:sz w:val="24"/>
                <w:szCs w:val="24"/>
              </w:rPr>
              <w:t>Comfacasanare</w:t>
            </w:r>
            <w:proofErr w:type="spellEnd"/>
          </w:p>
        </w:tc>
        <w:tc>
          <w:tcPr>
            <w:tcW w:w="0" w:type="auto"/>
          </w:tcPr>
          <w:p w14:paraId="031B4B6E" w14:textId="7CC44995"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Casanare</w:t>
            </w:r>
          </w:p>
        </w:tc>
        <w:tc>
          <w:tcPr>
            <w:tcW w:w="0" w:type="auto"/>
          </w:tcPr>
          <w:p w14:paraId="492964D8" w14:textId="596EF6AD"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Yopal</w:t>
            </w:r>
          </w:p>
        </w:tc>
      </w:tr>
      <w:tr w:rsidR="00407084" w:rsidRPr="00A0650F" w14:paraId="5D971715" w14:textId="77777777" w:rsidTr="008875AE">
        <w:tc>
          <w:tcPr>
            <w:tcW w:w="0" w:type="auto"/>
          </w:tcPr>
          <w:p w14:paraId="22032B4F" w14:textId="770E31B8"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 xml:space="preserve">Caja de Compensación Familiar </w:t>
            </w:r>
            <w:proofErr w:type="spellStart"/>
            <w:r w:rsidRPr="00A0650F">
              <w:rPr>
                <w:rFonts w:ascii="Bookman Old Style" w:eastAsia="Arial" w:hAnsi="Bookman Old Style" w:cs="Arial"/>
                <w:sz w:val="24"/>
                <w:szCs w:val="24"/>
              </w:rPr>
              <w:t>Camacol</w:t>
            </w:r>
            <w:proofErr w:type="spellEnd"/>
            <w:r w:rsidRPr="00A0650F">
              <w:rPr>
                <w:rFonts w:ascii="Bookman Old Style" w:eastAsia="Arial" w:hAnsi="Bookman Old Style" w:cs="Arial"/>
                <w:sz w:val="24"/>
                <w:szCs w:val="24"/>
              </w:rPr>
              <w:t xml:space="preserve"> -</w:t>
            </w:r>
          </w:p>
        </w:tc>
        <w:tc>
          <w:tcPr>
            <w:tcW w:w="0" w:type="auto"/>
          </w:tcPr>
          <w:p w14:paraId="6EA13D07" w14:textId="0B0EB088"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 xml:space="preserve">COMFAMILIAR CAMACOL  </w:t>
            </w:r>
          </w:p>
        </w:tc>
        <w:tc>
          <w:tcPr>
            <w:tcW w:w="0" w:type="auto"/>
          </w:tcPr>
          <w:p w14:paraId="3AAF32C0" w14:textId="58C0AF0D"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Antioquia</w:t>
            </w:r>
          </w:p>
        </w:tc>
        <w:tc>
          <w:tcPr>
            <w:tcW w:w="0" w:type="auto"/>
          </w:tcPr>
          <w:p w14:paraId="6E3AB74E" w14:textId="078EEBDB"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Medellín</w:t>
            </w:r>
          </w:p>
        </w:tc>
      </w:tr>
      <w:tr w:rsidR="00407084" w:rsidRPr="00A0650F" w14:paraId="0FC0F20A" w14:textId="77777777" w:rsidTr="008875AE">
        <w:tc>
          <w:tcPr>
            <w:tcW w:w="0" w:type="auto"/>
          </w:tcPr>
          <w:p w14:paraId="356721C4" w14:textId="48D26B25"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Caja de Compensación Familiar de Cartagena y Bolívar</w:t>
            </w:r>
          </w:p>
        </w:tc>
        <w:tc>
          <w:tcPr>
            <w:tcW w:w="0" w:type="auto"/>
          </w:tcPr>
          <w:p w14:paraId="5087245C" w14:textId="73FA3A18"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COMFAMILIAR</w:t>
            </w:r>
          </w:p>
        </w:tc>
        <w:tc>
          <w:tcPr>
            <w:tcW w:w="0" w:type="auto"/>
          </w:tcPr>
          <w:p w14:paraId="6B8AB430" w14:textId="511DA290" w:rsidR="00407084" w:rsidRPr="00A0650F" w:rsidRDefault="00407084" w:rsidP="00CD7281">
            <w:pPr>
              <w:jc w:val="center"/>
              <w:rPr>
                <w:rFonts w:ascii="Bookman Old Style" w:eastAsia="Arial" w:hAnsi="Bookman Old Style" w:cs="Arial"/>
                <w:sz w:val="24"/>
                <w:szCs w:val="24"/>
              </w:rPr>
            </w:pPr>
            <w:proofErr w:type="spellStart"/>
            <w:r w:rsidRPr="00A0650F">
              <w:rPr>
                <w:rFonts w:ascii="Bookman Old Style" w:eastAsia="Arial" w:hAnsi="Bookman Old Style" w:cs="Arial"/>
                <w:sz w:val="24"/>
                <w:szCs w:val="24"/>
              </w:rPr>
              <w:t>Bolivar</w:t>
            </w:r>
            <w:proofErr w:type="spellEnd"/>
          </w:p>
        </w:tc>
        <w:tc>
          <w:tcPr>
            <w:tcW w:w="0" w:type="auto"/>
          </w:tcPr>
          <w:p w14:paraId="432F7C50" w14:textId="6EB9F555"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Cartagena</w:t>
            </w:r>
          </w:p>
        </w:tc>
      </w:tr>
      <w:tr w:rsidR="00407084" w:rsidRPr="00A0650F" w14:paraId="7280EB37" w14:textId="77777777" w:rsidTr="008875AE">
        <w:tc>
          <w:tcPr>
            <w:tcW w:w="0" w:type="auto"/>
          </w:tcPr>
          <w:p w14:paraId="5833AAD6" w14:textId="3A6C32ED" w:rsidR="00407084" w:rsidRPr="00A0650F" w:rsidRDefault="00407084" w:rsidP="00CD7281">
            <w:pPr>
              <w:jc w:val="center"/>
              <w:rPr>
                <w:rFonts w:ascii="Bookman Old Style" w:eastAsia="Arial" w:hAnsi="Bookman Old Style" w:cs="Arial"/>
                <w:szCs w:val="24"/>
              </w:rPr>
            </w:pPr>
            <w:r w:rsidRPr="00A0650F">
              <w:rPr>
                <w:rFonts w:ascii="Bookman Old Style" w:eastAsia="Arial" w:hAnsi="Bookman Old Style" w:cs="Arial"/>
                <w:szCs w:val="24"/>
              </w:rPr>
              <w:lastRenderedPageBreak/>
              <w:t>Caja de Compensación Familiar de Córdoba</w:t>
            </w:r>
          </w:p>
        </w:tc>
        <w:tc>
          <w:tcPr>
            <w:tcW w:w="0" w:type="auto"/>
          </w:tcPr>
          <w:p w14:paraId="512DC0B0" w14:textId="6462BE2D"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COMFACOR</w:t>
            </w:r>
          </w:p>
        </w:tc>
        <w:tc>
          <w:tcPr>
            <w:tcW w:w="0" w:type="auto"/>
          </w:tcPr>
          <w:p w14:paraId="6345FDD2" w14:textId="5E8BC8E7"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Córdoba</w:t>
            </w:r>
          </w:p>
        </w:tc>
        <w:tc>
          <w:tcPr>
            <w:tcW w:w="0" w:type="auto"/>
          </w:tcPr>
          <w:p w14:paraId="0F2751FC" w14:textId="71193ACB"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Montería</w:t>
            </w:r>
          </w:p>
        </w:tc>
      </w:tr>
      <w:tr w:rsidR="00407084" w:rsidRPr="00A0650F" w14:paraId="7F514448" w14:textId="77777777" w:rsidTr="008875AE">
        <w:tc>
          <w:tcPr>
            <w:tcW w:w="0" w:type="auto"/>
          </w:tcPr>
          <w:p w14:paraId="506C3E29" w14:textId="4EBD7F74" w:rsidR="00407084" w:rsidRPr="00A0650F" w:rsidRDefault="00407084" w:rsidP="00CD7281">
            <w:pPr>
              <w:jc w:val="center"/>
              <w:rPr>
                <w:rFonts w:ascii="Bookman Old Style" w:eastAsia="Arial" w:hAnsi="Bookman Old Style" w:cs="Arial"/>
                <w:szCs w:val="24"/>
              </w:rPr>
            </w:pPr>
            <w:r w:rsidRPr="00A0650F">
              <w:rPr>
                <w:rFonts w:ascii="Bookman Old Style" w:eastAsia="Arial" w:hAnsi="Bookman Old Style" w:cs="Arial"/>
                <w:szCs w:val="24"/>
              </w:rPr>
              <w:t>Caja de Compensación Familiar de Cundinamarca</w:t>
            </w:r>
          </w:p>
        </w:tc>
        <w:tc>
          <w:tcPr>
            <w:tcW w:w="0" w:type="auto"/>
          </w:tcPr>
          <w:p w14:paraId="6399851B" w14:textId="4A8F130D"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COMFACUNDI</w:t>
            </w:r>
          </w:p>
        </w:tc>
        <w:tc>
          <w:tcPr>
            <w:tcW w:w="0" w:type="auto"/>
          </w:tcPr>
          <w:p w14:paraId="13945153" w14:textId="53298098"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Cundinamarca</w:t>
            </w:r>
          </w:p>
        </w:tc>
        <w:tc>
          <w:tcPr>
            <w:tcW w:w="0" w:type="auto"/>
          </w:tcPr>
          <w:p w14:paraId="3C00A1F0" w14:textId="16EB86CF"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Bogotá</w:t>
            </w:r>
          </w:p>
        </w:tc>
      </w:tr>
      <w:tr w:rsidR="00407084" w:rsidRPr="00A0650F" w14:paraId="5EF1B43B" w14:textId="77777777" w:rsidTr="008875AE">
        <w:tc>
          <w:tcPr>
            <w:tcW w:w="0" w:type="auto"/>
          </w:tcPr>
          <w:p w14:paraId="6ACC80AE" w14:textId="32C28F6E" w:rsidR="00407084" w:rsidRPr="00A0650F" w:rsidRDefault="00407084" w:rsidP="00CD7281">
            <w:pPr>
              <w:jc w:val="center"/>
              <w:rPr>
                <w:rFonts w:ascii="Bookman Old Style" w:eastAsia="Arial" w:hAnsi="Bookman Old Style" w:cs="Arial"/>
                <w:szCs w:val="24"/>
              </w:rPr>
            </w:pPr>
            <w:r w:rsidRPr="00A0650F">
              <w:rPr>
                <w:rFonts w:ascii="Bookman Old Style" w:eastAsia="Arial" w:hAnsi="Bookman Old Style" w:cs="Arial"/>
                <w:szCs w:val="24"/>
              </w:rPr>
              <w:t>Caja de Compensación Familiar de La Guajira</w:t>
            </w:r>
          </w:p>
        </w:tc>
        <w:tc>
          <w:tcPr>
            <w:tcW w:w="0" w:type="auto"/>
          </w:tcPr>
          <w:p w14:paraId="42717D29" w14:textId="5B8E7EC7"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COMFAGUAJIRA</w:t>
            </w:r>
          </w:p>
        </w:tc>
        <w:tc>
          <w:tcPr>
            <w:tcW w:w="0" w:type="auto"/>
          </w:tcPr>
          <w:p w14:paraId="16DB61BE" w14:textId="3884CF24"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Guajira</w:t>
            </w:r>
          </w:p>
        </w:tc>
        <w:tc>
          <w:tcPr>
            <w:tcW w:w="0" w:type="auto"/>
          </w:tcPr>
          <w:p w14:paraId="79417350" w14:textId="30888A28"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Riohacha</w:t>
            </w:r>
          </w:p>
        </w:tc>
      </w:tr>
      <w:tr w:rsidR="00407084" w:rsidRPr="00A0650F" w14:paraId="4E3944AD" w14:textId="77777777" w:rsidTr="008875AE">
        <w:tc>
          <w:tcPr>
            <w:tcW w:w="0" w:type="auto"/>
          </w:tcPr>
          <w:p w14:paraId="59AA0290" w14:textId="1F8F2F3F" w:rsidR="00407084" w:rsidRPr="00A0650F" w:rsidRDefault="00407084" w:rsidP="00CD7281">
            <w:pPr>
              <w:jc w:val="center"/>
              <w:rPr>
                <w:rFonts w:ascii="Bookman Old Style" w:eastAsia="Arial" w:hAnsi="Bookman Old Style" w:cs="Arial"/>
                <w:szCs w:val="24"/>
              </w:rPr>
            </w:pPr>
            <w:r w:rsidRPr="00A0650F">
              <w:rPr>
                <w:rFonts w:ascii="Bookman Old Style" w:eastAsia="Arial" w:hAnsi="Bookman Old Style" w:cs="Arial"/>
                <w:szCs w:val="24"/>
              </w:rPr>
              <w:t>Caja de Compensación Familiar del Huila</w:t>
            </w:r>
          </w:p>
        </w:tc>
        <w:tc>
          <w:tcPr>
            <w:tcW w:w="0" w:type="auto"/>
          </w:tcPr>
          <w:p w14:paraId="6A313CE8" w14:textId="00E0D7B8"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 xml:space="preserve">COMFAMILIAR  </w:t>
            </w:r>
          </w:p>
        </w:tc>
        <w:tc>
          <w:tcPr>
            <w:tcW w:w="0" w:type="auto"/>
          </w:tcPr>
          <w:p w14:paraId="7DFA6E03" w14:textId="6C31AFBE"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Huila</w:t>
            </w:r>
          </w:p>
        </w:tc>
        <w:tc>
          <w:tcPr>
            <w:tcW w:w="0" w:type="auto"/>
          </w:tcPr>
          <w:p w14:paraId="0B5B7236" w14:textId="7B967CE0"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Neiva</w:t>
            </w:r>
          </w:p>
        </w:tc>
      </w:tr>
      <w:tr w:rsidR="00407084" w:rsidRPr="00A0650F" w14:paraId="6A272284" w14:textId="77777777" w:rsidTr="008875AE">
        <w:tc>
          <w:tcPr>
            <w:tcW w:w="0" w:type="auto"/>
          </w:tcPr>
          <w:p w14:paraId="2AE81549" w14:textId="517D722A" w:rsidR="00407084" w:rsidRPr="00A0650F" w:rsidRDefault="00407084" w:rsidP="00CD7281">
            <w:pPr>
              <w:jc w:val="center"/>
              <w:rPr>
                <w:rFonts w:ascii="Bookman Old Style" w:eastAsia="Arial" w:hAnsi="Bookman Old Style" w:cs="Arial"/>
                <w:szCs w:val="24"/>
              </w:rPr>
            </w:pPr>
            <w:r w:rsidRPr="00A0650F">
              <w:rPr>
                <w:rFonts w:ascii="Bookman Old Style" w:eastAsia="Arial" w:hAnsi="Bookman Old Style" w:cs="Arial"/>
                <w:szCs w:val="24"/>
              </w:rPr>
              <w:t>Caja de Compensación Familiar de Nariño</w:t>
            </w:r>
          </w:p>
        </w:tc>
        <w:tc>
          <w:tcPr>
            <w:tcW w:w="0" w:type="auto"/>
          </w:tcPr>
          <w:p w14:paraId="248558EE" w14:textId="7B2509DD"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COMFAMILIAR</w:t>
            </w:r>
          </w:p>
        </w:tc>
        <w:tc>
          <w:tcPr>
            <w:tcW w:w="0" w:type="auto"/>
          </w:tcPr>
          <w:p w14:paraId="2AB159E9" w14:textId="00C350A2"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Nariño</w:t>
            </w:r>
          </w:p>
        </w:tc>
        <w:tc>
          <w:tcPr>
            <w:tcW w:w="0" w:type="auto"/>
          </w:tcPr>
          <w:p w14:paraId="70D30301" w14:textId="404FA802"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Tumaco</w:t>
            </w:r>
          </w:p>
        </w:tc>
      </w:tr>
      <w:tr w:rsidR="00407084" w:rsidRPr="00A0650F" w14:paraId="657D14AF" w14:textId="77777777" w:rsidTr="008875AE">
        <w:tc>
          <w:tcPr>
            <w:tcW w:w="0" w:type="auto"/>
          </w:tcPr>
          <w:p w14:paraId="7E96F798" w14:textId="50C61F86" w:rsidR="00407084" w:rsidRPr="00A0650F" w:rsidRDefault="00407084" w:rsidP="00CD7281">
            <w:pPr>
              <w:jc w:val="center"/>
              <w:rPr>
                <w:rFonts w:ascii="Bookman Old Style" w:eastAsia="Arial" w:hAnsi="Bookman Old Style" w:cs="Arial"/>
                <w:szCs w:val="24"/>
              </w:rPr>
            </w:pPr>
            <w:r w:rsidRPr="00A0650F">
              <w:rPr>
                <w:rFonts w:ascii="Bookman Old Style" w:eastAsia="Arial" w:hAnsi="Bookman Old Style" w:cs="Arial"/>
                <w:szCs w:val="24"/>
              </w:rPr>
              <w:t>Caja de Compensación Familiar del Norte de Santander</w:t>
            </w:r>
          </w:p>
        </w:tc>
        <w:tc>
          <w:tcPr>
            <w:tcW w:w="0" w:type="auto"/>
          </w:tcPr>
          <w:p w14:paraId="00A575C3" w14:textId="5009CA4B"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COMFANORTE</w:t>
            </w:r>
          </w:p>
        </w:tc>
        <w:tc>
          <w:tcPr>
            <w:tcW w:w="0" w:type="auto"/>
          </w:tcPr>
          <w:p w14:paraId="66A370E9" w14:textId="5F9C0706"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 xml:space="preserve">Norte de </w:t>
            </w:r>
            <w:proofErr w:type="spellStart"/>
            <w:r w:rsidRPr="00A0650F">
              <w:rPr>
                <w:rFonts w:ascii="Bookman Old Style" w:eastAsia="Arial" w:hAnsi="Bookman Old Style" w:cs="Arial"/>
                <w:sz w:val="24"/>
                <w:szCs w:val="24"/>
              </w:rPr>
              <w:t>santander</w:t>
            </w:r>
            <w:proofErr w:type="spellEnd"/>
          </w:p>
        </w:tc>
        <w:tc>
          <w:tcPr>
            <w:tcW w:w="0" w:type="auto"/>
          </w:tcPr>
          <w:p w14:paraId="272F87E5" w14:textId="7804D934" w:rsidR="00407084" w:rsidRPr="00A0650F" w:rsidRDefault="00407084" w:rsidP="00CD7281">
            <w:pPr>
              <w:jc w:val="center"/>
              <w:rPr>
                <w:rFonts w:ascii="Bookman Old Style" w:eastAsia="Arial" w:hAnsi="Bookman Old Style" w:cs="Arial"/>
                <w:sz w:val="24"/>
                <w:szCs w:val="24"/>
              </w:rPr>
            </w:pPr>
            <w:proofErr w:type="spellStart"/>
            <w:r w:rsidRPr="00A0650F">
              <w:rPr>
                <w:rFonts w:ascii="Bookman Old Style" w:eastAsia="Arial" w:hAnsi="Bookman Old Style" w:cs="Arial"/>
                <w:sz w:val="24"/>
                <w:szCs w:val="24"/>
              </w:rPr>
              <w:t>Cucutá</w:t>
            </w:r>
            <w:proofErr w:type="spellEnd"/>
          </w:p>
        </w:tc>
      </w:tr>
      <w:tr w:rsidR="00407084" w:rsidRPr="00A0650F" w14:paraId="4C0EAE07" w14:textId="77777777" w:rsidTr="008875AE">
        <w:tc>
          <w:tcPr>
            <w:tcW w:w="0" w:type="auto"/>
          </w:tcPr>
          <w:p w14:paraId="3D1C2393" w14:textId="7E01105E" w:rsidR="00407084" w:rsidRPr="00A0650F" w:rsidRDefault="00407084" w:rsidP="00CD7281">
            <w:pPr>
              <w:jc w:val="center"/>
              <w:rPr>
                <w:rFonts w:ascii="Bookman Old Style" w:eastAsia="Arial" w:hAnsi="Bookman Old Style" w:cs="Arial"/>
                <w:szCs w:val="24"/>
              </w:rPr>
            </w:pPr>
            <w:r w:rsidRPr="00A0650F">
              <w:rPr>
                <w:rFonts w:ascii="Bookman Old Style" w:eastAsia="Arial" w:hAnsi="Bookman Old Style" w:cs="Arial"/>
                <w:szCs w:val="24"/>
              </w:rPr>
              <w:t>Caja de Compensación Familiar de Risaralda</w:t>
            </w:r>
          </w:p>
        </w:tc>
        <w:tc>
          <w:tcPr>
            <w:tcW w:w="0" w:type="auto"/>
          </w:tcPr>
          <w:p w14:paraId="7B8D89ED" w14:textId="20FA3919"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COMFAMILIAR RISARALDA</w:t>
            </w:r>
          </w:p>
        </w:tc>
        <w:tc>
          <w:tcPr>
            <w:tcW w:w="0" w:type="auto"/>
          </w:tcPr>
          <w:p w14:paraId="7FF14CE5" w14:textId="31FB8E8F"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Risaralda</w:t>
            </w:r>
          </w:p>
        </w:tc>
        <w:tc>
          <w:tcPr>
            <w:tcW w:w="0" w:type="auto"/>
          </w:tcPr>
          <w:p w14:paraId="671FDA82" w14:textId="306F9277"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Pereira</w:t>
            </w:r>
          </w:p>
        </w:tc>
      </w:tr>
      <w:tr w:rsidR="00407084" w:rsidRPr="00A0650F" w14:paraId="483D57F1" w14:textId="77777777" w:rsidTr="008875AE">
        <w:tc>
          <w:tcPr>
            <w:tcW w:w="0" w:type="auto"/>
          </w:tcPr>
          <w:p w14:paraId="1449DBC0" w14:textId="63C56C3A" w:rsidR="00407084" w:rsidRPr="00A0650F" w:rsidRDefault="00407084" w:rsidP="00CD7281">
            <w:pPr>
              <w:jc w:val="center"/>
              <w:rPr>
                <w:rFonts w:ascii="Bookman Old Style" w:eastAsia="Arial" w:hAnsi="Bookman Old Style" w:cs="Arial"/>
                <w:szCs w:val="24"/>
              </w:rPr>
            </w:pPr>
            <w:r w:rsidRPr="00A0650F">
              <w:rPr>
                <w:rFonts w:ascii="Bookman Old Style" w:eastAsia="Arial" w:hAnsi="Bookman Old Style" w:cs="Arial"/>
                <w:szCs w:val="24"/>
              </w:rPr>
              <w:t>Caja de Compensación Familiar Campesina</w:t>
            </w:r>
          </w:p>
        </w:tc>
        <w:tc>
          <w:tcPr>
            <w:tcW w:w="0" w:type="auto"/>
          </w:tcPr>
          <w:p w14:paraId="70800F57" w14:textId="29846771"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COMCAJA</w:t>
            </w:r>
          </w:p>
        </w:tc>
        <w:tc>
          <w:tcPr>
            <w:tcW w:w="0" w:type="auto"/>
          </w:tcPr>
          <w:p w14:paraId="7BD97E74" w14:textId="757CACE2"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Cundinamarca</w:t>
            </w:r>
          </w:p>
        </w:tc>
        <w:tc>
          <w:tcPr>
            <w:tcW w:w="0" w:type="auto"/>
          </w:tcPr>
          <w:p w14:paraId="61D52019" w14:textId="37EAFB0F" w:rsidR="00407084" w:rsidRPr="00A0650F" w:rsidRDefault="00407084" w:rsidP="00CD7281">
            <w:pPr>
              <w:jc w:val="center"/>
              <w:rPr>
                <w:rFonts w:ascii="Bookman Old Style" w:eastAsia="Arial" w:hAnsi="Bookman Old Style" w:cs="Arial"/>
                <w:sz w:val="24"/>
                <w:szCs w:val="24"/>
              </w:rPr>
            </w:pPr>
            <w:r w:rsidRPr="00A0650F">
              <w:rPr>
                <w:rFonts w:ascii="Bookman Old Style" w:eastAsia="Arial" w:hAnsi="Bookman Old Style" w:cs="Arial"/>
                <w:sz w:val="24"/>
                <w:szCs w:val="24"/>
              </w:rPr>
              <w:t>Bogotá</w:t>
            </w:r>
          </w:p>
        </w:tc>
      </w:tr>
    </w:tbl>
    <w:p w14:paraId="060B2A3C" w14:textId="770581B6" w:rsidR="00295362" w:rsidRPr="00A0650F" w:rsidRDefault="00295362" w:rsidP="00CD7281">
      <w:pPr>
        <w:spacing w:line="240" w:lineRule="auto"/>
        <w:jc w:val="both"/>
        <w:rPr>
          <w:rFonts w:ascii="Bookman Old Style" w:eastAsia="Arial" w:hAnsi="Bookman Old Style" w:cs="Arial"/>
          <w:sz w:val="24"/>
          <w:szCs w:val="24"/>
        </w:rPr>
      </w:pPr>
    </w:p>
    <w:p w14:paraId="63E626F9" w14:textId="77777777" w:rsidR="00A0650F" w:rsidRDefault="003163FA" w:rsidP="00CD7281">
      <w:pPr>
        <w:spacing w:line="240" w:lineRule="auto"/>
        <w:jc w:val="center"/>
        <w:rPr>
          <w:rFonts w:ascii="Bookman Old Style" w:eastAsia="Arial" w:hAnsi="Bookman Old Style" w:cs="Arial"/>
          <w:sz w:val="18"/>
          <w:szCs w:val="18"/>
        </w:rPr>
      </w:pPr>
      <w:r w:rsidRPr="00A0650F">
        <w:rPr>
          <w:rFonts w:ascii="Bookman Old Style" w:eastAsia="Arial" w:hAnsi="Bookman Old Style" w:cs="Arial"/>
          <w:b/>
          <w:sz w:val="18"/>
          <w:szCs w:val="18"/>
        </w:rPr>
        <w:t>Fuente:</w:t>
      </w:r>
      <w:r w:rsidRPr="00A0650F">
        <w:rPr>
          <w:rFonts w:ascii="Bookman Old Style" w:eastAsia="Arial" w:hAnsi="Bookman Old Style" w:cs="Arial"/>
          <w:sz w:val="18"/>
          <w:szCs w:val="18"/>
        </w:rPr>
        <w:t xml:space="preserve"> Elaboración propia con información de la Unidad de Pensiones y Parafiscales.</w:t>
      </w:r>
    </w:p>
    <w:p w14:paraId="5299FF32" w14:textId="3A0F84FB" w:rsidR="00367D36" w:rsidRPr="00A0650F" w:rsidRDefault="00A0650F" w:rsidP="00CD7281">
      <w:pPr>
        <w:spacing w:line="240" w:lineRule="auto"/>
        <w:rPr>
          <w:rFonts w:ascii="Bookman Old Style" w:eastAsia="Arial" w:hAnsi="Bookman Old Style" w:cs="Arial"/>
          <w:sz w:val="18"/>
          <w:szCs w:val="18"/>
        </w:rPr>
      </w:pPr>
      <w:r>
        <w:rPr>
          <w:rFonts w:ascii="Bookman Old Style" w:eastAsia="Arial" w:hAnsi="Bookman Old Style" w:cs="Arial"/>
          <w:b/>
          <w:sz w:val="24"/>
          <w:szCs w:val="24"/>
        </w:rPr>
        <w:t>2.2 R</w:t>
      </w:r>
      <w:r w:rsidR="00367D36" w:rsidRPr="00A0650F">
        <w:rPr>
          <w:rFonts w:ascii="Bookman Old Style" w:eastAsia="Arial" w:hAnsi="Bookman Old Style" w:cs="Arial"/>
          <w:b/>
          <w:sz w:val="24"/>
          <w:szCs w:val="24"/>
        </w:rPr>
        <w:t>elación de trabajadores beneficiarios a no-beneficiarios</w:t>
      </w:r>
    </w:p>
    <w:p w14:paraId="72A40F82" w14:textId="36C8A182" w:rsidR="00A800AE" w:rsidRPr="00A0650F" w:rsidRDefault="00EB1DC6" w:rsidP="00CD7281">
      <w:pPr>
        <w:spacing w:line="240" w:lineRule="auto"/>
        <w:jc w:val="both"/>
        <w:rPr>
          <w:rFonts w:ascii="Bookman Old Style" w:eastAsia="Arial" w:hAnsi="Bookman Old Style" w:cs="Arial"/>
          <w:sz w:val="24"/>
          <w:szCs w:val="24"/>
        </w:rPr>
      </w:pPr>
      <w:r w:rsidRPr="00A0650F">
        <w:rPr>
          <w:rFonts w:ascii="Bookman Old Style" w:eastAsia="Arial" w:hAnsi="Bookman Old Style" w:cs="Arial"/>
          <w:sz w:val="24"/>
          <w:szCs w:val="24"/>
        </w:rPr>
        <w:t>En 18 departamentos -los cuales representan el 64,3% de los mercados- hay sólo una caja de compensación disponible. Son mercados en los que el número de empresas afiliadas no supera el 3,8% del total y en los que el número de trabajadores afiliados está siempre por debajo del 2,1%. En estos mercados usualmente la relación de trabajadores beneficiarios a no-beneficiarios es significativamente superior a uno, y generalmente más alta que en los mercados de mayor tamaño.</w:t>
      </w:r>
    </w:p>
    <w:p w14:paraId="49E8C1E1" w14:textId="693B86C0" w:rsidR="00EB1DC6" w:rsidRPr="00A0650F" w:rsidRDefault="00EB1DC6" w:rsidP="00CD7281">
      <w:pPr>
        <w:spacing w:line="240" w:lineRule="auto"/>
        <w:jc w:val="both"/>
        <w:rPr>
          <w:rFonts w:ascii="Bookman Old Style" w:eastAsia="Arial" w:hAnsi="Bookman Old Style" w:cs="Arial"/>
          <w:sz w:val="24"/>
          <w:szCs w:val="24"/>
        </w:rPr>
      </w:pPr>
      <w:r w:rsidRPr="00A0650F">
        <w:rPr>
          <w:rFonts w:ascii="Bookman Old Style" w:eastAsia="Arial" w:hAnsi="Bookman Old Style" w:cs="Arial"/>
          <w:sz w:val="24"/>
          <w:szCs w:val="24"/>
        </w:rPr>
        <w:lastRenderedPageBreak/>
        <w:t>Un dato de interés es que, sistemáticamente, el número de personas a cargo de trabajadores beneficiarios supera de manera importante el correspondiente a trabajadores no-beneficiarios, lo cual se puede explicar, en parte, debido a que los hogares que devengan menos ingresos tienden a ser más numerosos, especialmente en términos de número de niños. El promedio nacional de esta relación es de cuatro a uno. En 2006, esta relación fue, en promedio, superior a ocho en tres departamentos de la costa Atlántica (Cesar, Córdoba y Sucre), en los departamentos de Risaralda, Chocó, Tolima, Casanare, Amazonas y Quindío, y en la Caja Campesina.</w:t>
      </w:r>
    </w:p>
    <w:p w14:paraId="7E65313B" w14:textId="77777777" w:rsidR="00A0650F" w:rsidRDefault="00EB1DC6" w:rsidP="00CD7281">
      <w:pPr>
        <w:spacing w:line="240" w:lineRule="auto"/>
        <w:jc w:val="both"/>
        <w:rPr>
          <w:rFonts w:ascii="Bookman Old Style" w:eastAsia="Arial" w:hAnsi="Bookman Old Style" w:cs="Arial"/>
          <w:sz w:val="24"/>
          <w:szCs w:val="24"/>
        </w:rPr>
      </w:pPr>
      <w:r w:rsidRPr="00A0650F">
        <w:rPr>
          <w:rFonts w:ascii="Bookman Old Style" w:eastAsia="Arial" w:hAnsi="Bookman Old Style" w:cs="Arial"/>
          <w:sz w:val="24"/>
          <w:szCs w:val="24"/>
        </w:rPr>
        <w:t xml:space="preserve">El 59,4% del total de los trabajadores afiliados es empleado por el 42,8% de las empresas, y estos trabajadores están principalmente ubicados en Antioquia, Cundinamarca y el Valle. En el interior de estos mercados, la población afiliada está concentrada en pocas manos. En Cundinamarca, entre Colsubsidio, Cafam, y Compensar atienden el 19,3% del total de empresas y el 34,3% del total de los trabajadores afiliados del país. </w:t>
      </w:r>
      <w:proofErr w:type="spellStart"/>
      <w:r w:rsidRPr="00A0650F">
        <w:rPr>
          <w:rFonts w:ascii="Bookman Old Style" w:eastAsia="Arial" w:hAnsi="Bookman Old Style" w:cs="Arial"/>
          <w:sz w:val="24"/>
          <w:szCs w:val="24"/>
        </w:rPr>
        <w:t>Confama</w:t>
      </w:r>
      <w:proofErr w:type="spellEnd"/>
      <w:r w:rsidRPr="00A0650F">
        <w:rPr>
          <w:rFonts w:ascii="Bookman Old Style" w:eastAsia="Arial" w:hAnsi="Bookman Old Style" w:cs="Arial"/>
          <w:sz w:val="24"/>
          <w:szCs w:val="24"/>
        </w:rPr>
        <w:t xml:space="preserve">, en Antioquia, atiende el 11,4% de las empresas y el 10,7% de los trabajadores afiliados del país, mientras </w:t>
      </w:r>
      <w:r w:rsidR="009C0E92" w:rsidRPr="00A0650F">
        <w:rPr>
          <w:rFonts w:ascii="Bookman Old Style" w:eastAsia="Arial" w:hAnsi="Bookman Old Style" w:cs="Arial"/>
          <w:sz w:val="24"/>
          <w:szCs w:val="24"/>
        </w:rPr>
        <w:t>que,</w:t>
      </w:r>
      <w:r w:rsidRPr="00A0650F">
        <w:rPr>
          <w:rFonts w:ascii="Bookman Old Style" w:eastAsia="Arial" w:hAnsi="Bookman Old Style" w:cs="Arial"/>
          <w:sz w:val="24"/>
          <w:szCs w:val="24"/>
        </w:rPr>
        <w:t xml:space="preserve"> en el Valle, </w:t>
      </w:r>
      <w:proofErr w:type="spellStart"/>
      <w:r w:rsidRPr="00A0650F">
        <w:rPr>
          <w:rFonts w:ascii="Bookman Old Style" w:eastAsia="Arial" w:hAnsi="Bookman Old Style" w:cs="Arial"/>
          <w:sz w:val="24"/>
          <w:szCs w:val="24"/>
        </w:rPr>
        <w:t>Comfandi</w:t>
      </w:r>
      <w:proofErr w:type="spellEnd"/>
      <w:r w:rsidRPr="00A0650F">
        <w:rPr>
          <w:rFonts w:ascii="Bookman Old Style" w:eastAsia="Arial" w:hAnsi="Bookman Old Style" w:cs="Arial"/>
          <w:sz w:val="24"/>
          <w:szCs w:val="24"/>
        </w:rPr>
        <w:t xml:space="preserve"> concentra el 6,2% de las empresas y el 5,9% de los trabajadores. </w:t>
      </w:r>
    </w:p>
    <w:p w14:paraId="2BAD5276" w14:textId="006D5BBE" w:rsidR="00EB1DC6" w:rsidRPr="00A0650F" w:rsidRDefault="00EB1DC6" w:rsidP="00CD7281">
      <w:pPr>
        <w:spacing w:line="240" w:lineRule="auto"/>
        <w:jc w:val="both"/>
        <w:rPr>
          <w:rFonts w:ascii="Bookman Old Style" w:eastAsia="Arial" w:hAnsi="Bookman Old Style" w:cs="Arial"/>
          <w:sz w:val="24"/>
          <w:szCs w:val="24"/>
        </w:rPr>
      </w:pPr>
      <w:r w:rsidRPr="00A0650F">
        <w:rPr>
          <w:rFonts w:ascii="Bookman Old Style" w:eastAsia="Arial" w:hAnsi="Bookman Old Style" w:cs="Arial"/>
          <w:sz w:val="24"/>
          <w:szCs w:val="24"/>
        </w:rPr>
        <w:t>Los números confirman la distribución geográfica desigual de las actividades empresariales en el país y presentan, como es de esperarse, un mercado de cajas de compensación que sigue el mismo patrón de la concentración geográfica. Los números evidencian también un grado importante de heterogeneidad en tamaño entre las cajas que operan en un mismo mercado geográfico.</w:t>
      </w:r>
    </w:p>
    <w:p w14:paraId="0A7D6003" w14:textId="77777777" w:rsidR="009C0E92" w:rsidRPr="00A0650F" w:rsidRDefault="00EB1DC6" w:rsidP="00CD7281">
      <w:pPr>
        <w:spacing w:line="240" w:lineRule="auto"/>
        <w:jc w:val="both"/>
        <w:rPr>
          <w:rFonts w:ascii="Bookman Old Style" w:eastAsia="Arial" w:hAnsi="Bookman Old Style" w:cs="Arial"/>
          <w:sz w:val="24"/>
          <w:szCs w:val="24"/>
        </w:rPr>
      </w:pPr>
      <w:r w:rsidRPr="00A0650F">
        <w:rPr>
          <w:rFonts w:ascii="Bookman Old Style" w:eastAsia="Arial" w:hAnsi="Bookman Old Style" w:cs="Arial"/>
          <w:sz w:val="24"/>
          <w:szCs w:val="24"/>
        </w:rPr>
        <w:t xml:space="preserve">Cuando se observan las empresas afiliadas al sistema de cajas según su tamaño, se encuentra </w:t>
      </w:r>
      <w:r w:rsidR="009C0E92" w:rsidRPr="00A0650F">
        <w:rPr>
          <w:rFonts w:ascii="Bookman Old Style" w:eastAsia="Arial" w:hAnsi="Bookman Old Style" w:cs="Arial"/>
          <w:sz w:val="24"/>
          <w:szCs w:val="24"/>
        </w:rPr>
        <w:t>que,</w:t>
      </w:r>
      <w:r w:rsidRPr="00A0650F">
        <w:rPr>
          <w:rFonts w:ascii="Bookman Old Style" w:eastAsia="Arial" w:hAnsi="Bookman Old Style" w:cs="Arial"/>
          <w:sz w:val="24"/>
          <w:szCs w:val="24"/>
        </w:rPr>
        <w:t xml:space="preserve"> aunque en cada mercado y en cada caja la distribución por tamaño de las empresas afiliadas sigue a aquella del país -con una mayoría de microempresas, un número mucho menor de empresas pequeñas y un número muy pequeño de empresas medianas y grandes- resulta interesante observar la composición empresarial de los distintos mercados y de las cajas que operan en cada uno de ellos. </w:t>
      </w:r>
    </w:p>
    <w:p w14:paraId="50A3E5EA" w14:textId="77777777" w:rsidR="009C0E92" w:rsidRPr="00A0650F" w:rsidRDefault="00EB1DC6" w:rsidP="00CD7281">
      <w:pPr>
        <w:spacing w:line="240" w:lineRule="auto"/>
        <w:jc w:val="both"/>
        <w:rPr>
          <w:rFonts w:ascii="Bookman Old Style" w:eastAsia="Arial" w:hAnsi="Bookman Old Style" w:cs="Arial"/>
          <w:sz w:val="24"/>
          <w:szCs w:val="24"/>
        </w:rPr>
      </w:pPr>
      <w:r w:rsidRPr="00A0650F">
        <w:rPr>
          <w:rFonts w:ascii="Bookman Old Style" w:eastAsia="Arial" w:hAnsi="Bookman Old Style" w:cs="Arial"/>
          <w:sz w:val="24"/>
          <w:szCs w:val="24"/>
        </w:rPr>
        <w:t xml:space="preserve">En general, la participación de las microempresas es significativamente más alta en los mercados más pequeños (Arauca, Caldas, Caquetá, Huila, Magdalena, Meta, Quindío, entre otros), y menor en mercados como los de Cundinamarca, Antioquia y Atlántico, donde predominan las empresas más grandes. </w:t>
      </w:r>
    </w:p>
    <w:p w14:paraId="37F13027" w14:textId="2F7E2970" w:rsidR="009C0E92" w:rsidRPr="00A0650F" w:rsidRDefault="00EB1DC6" w:rsidP="00CD7281">
      <w:pPr>
        <w:spacing w:line="240" w:lineRule="auto"/>
        <w:jc w:val="both"/>
        <w:rPr>
          <w:rFonts w:ascii="Bookman Old Style" w:eastAsia="Arial" w:hAnsi="Bookman Old Style" w:cs="Arial"/>
          <w:sz w:val="24"/>
          <w:szCs w:val="24"/>
        </w:rPr>
      </w:pPr>
      <w:r w:rsidRPr="00A0650F">
        <w:rPr>
          <w:rFonts w:ascii="Bookman Old Style" w:eastAsia="Arial" w:hAnsi="Bookman Old Style" w:cs="Arial"/>
          <w:sz w:val="24"/>
          <w:szCs w:val="24"/>
        </w:rPr>
        <w:t xml:space="preserve">Este patrón de distribución se repite al considerar las cajas por tamaño y de manera individual. Las cajas grandes atienden un número relativamente </w:t>
      </w:r>
      <w:r w:rsidRPr="00A0650F">
        <w:rPr>
          <w:rFonts w:ascii="Bookman Old Style" w:eastAsia="Arial" w:hAnsi="Bookman Old Style" w:cs="Arial"/>
          <w:sz w:val="24"/>
          <w:szCs w:val="24"/>
        </w:rPr>
        <w:lastRenderedPageBreak/>
        <w:t>mayor de empresas pequeñas, medianas y grandes y un número menor de microempresas, comparadas con las cajas pequeñas que operan en el mismo mercado.</w:t>
      </w:r>
    </w:p>
    <w:p w14:paraId="4260C70F" w14:textId="0BC4D077" w:rsidR="00EB1DC6" w:rsidRPr="00A0650F" w:rsidRDefault="00EB1DC6" w:rsidP="00CD7281">
      <w:pPr>
        <w:spacing w:line="240" w:lineRule="auto"/>
        <w:jc w:val="both"/>
        <w:rPr>
          <w:rFonts w:ascii="Bookman Old Style" w:eastAsia="Arial" w:hAnsi="Bookman Old Style" w:cs="Arial"/>
          <w:sz w:val="24"/>
          <w:szCs w:val="24"/>
        </w:rPr>
      </w:pPr>
      <w:r w:rsidRPr="00A0650F">
        <w:rPr>
          <w:rFonts w:ascii="Bookman Old Style" w:eastAsia="Arial" w:hAnsi="Bookman Old Style" w:cs="Arial"/>
          <w:sz w:val="24"/>
          <w:szCs w:val="24"/>
        </w:rPr>
        <w:t xml:space="preserve">Una excepción notable en este sentido es </w:t>
      </w:r>
      <w:proofErr w:type="spellStart"/>
      <w:r w:rsidRPr="00A0650F">
        <w:rPr>
          <w:rFonts w:ascii="Bookman Old Style" w:eastAsia="Arial" w:hAnsi="Bookman Old Style" w:cs="Arial"/>
          <w:sz w:val="24"/>
          <w:szCs w:val="24"/>
        </w:rPr>
        <w:t>Camacol</w:t>
      </w:r>
      <w:proofErr w:type="spellEnd"/>
      <w:r w:rsidRPr="00A0650F">
        <w:rPr>
          <w:rFonts w:ascii="Bookman Old Style" w:eastAsia="Arial" w:hAnsi="Bookman Old Style" w:cs="Arial"/>
          <w:sz w:val="24"/>
          <w:szCs w:val="24"/>
        </w:rPr>
        <w:t>, en Antioquia: una caja pequeña con una distribución atípica en la que las empresas medianas y grandes están sobre representadas (19,0% frente a 6,3% en el país).</w:t>
      </w:r>
    </w:p>
    <w:p w14:paraId="337E5003" w14:textId="1F48D430" w:rsidR="00367D36" w:rsidRPr="00A0650F" w:rsidRDefault="00367D36" w:rsidP="00CD7281">
      <w:pPr>
        <w:pStyle w:val="Prrafodelista"/>
        <w:numPr>
          <w:ilvl w:val="1"/>
          <w:numId w:val="13"/>
        </w:numPr>
        <w:spacing w:line="240" w:lineRule="auto"/>
        <w:jc w:val="both"/>
        <w:rPr>
          <w:rFonts w:ascii="Bookman Old Style" w:eastAsia="Arial" w:hAnsi="Bookman Old Style" w:cs="Arial"/>
          <w:b/>
          <w:sz w:val="24"/>
          <w:szCs w:val="24"/>
        </w:rPr>
      </w:pPr>
      <w:r w:rsidRPr="00A0650F">
        <w:rPr>
          <w:rFonts w:ascii="Bookman Old Style" w:eastAsia="Arial" w:hAnsi="Bookman Old Style" w:cs="Arial"/>
          <w:b/>
          <w:sz w:val="24"/>
          <w:szCs w:val="24"/>
        </w:rPr>
        <w:t>El mercado de cajas de compensación en Colombia:  segmentación del mercado de cajas de compensación de acuerdo con la división política del país.</w:t>
      </w:r>
    </w:p>
    <w:p w14:paraId="42694877" w14:textId="7F12DBFA" w:rsidR="00EB1DC6" w:rsidRPr="00A0650F" w:rsidRDefault="00EB1DC6" w:rsidP="00CD7281">
      <w:pPr>
        <w:spacing w:line="240" w:lineRule="auto"/>
        <w:jc w:val="both"/>
        <w:rPr>
          <w:rFonts w:ascii="Bookman Old Style" w:eastAsia="Arial" w:hAnsi="Bookman Old Style" w:cs="Arial"/>
          <w:sz w:val="24"/>
          <w:szCs w:val="24"/>
        </w:rPr>
      </w:pPr>
      <w:r w:rsidRPr="00A0650F">
        <w:rPr>
          <w:rFonts w:ascii="Bookman Old Style" w:eastAsia="Arial" w:hAnsi="Bookman Old Style" w:cs="Arial"/>
          <w:sz w:val="24"/>
          <w:szCs w:val="24"/>
        </w:rPr>
        <w:t>Así, el balance que es posible hacer es que, en efecto, en los mercados en los que las cajas están sometidas a algún grado de competencia, cuando se mide la diversidad de los servicios que presta la caja, su desempeño es mejor que aquel de cajas que atienden mercados más monopólicos. Esto confirma lo que uno esperaría a partir de la teoría económica. Un acotamiento que es necesario hacer a esta afirmación tiene que ver con el hecho de que en Colombia los mercados de una sola caja tienden a ser mercados relativamente más pobres y más pequeños. Sin embargo, esto no explica el menor nivel de actividad en cuanto a la generación de ingresos adicionales a los aportes de nómina.</w:t>
      </w:r>
    </w:p>
    <w:p w14:paraId="5FF39B56" w14:textId="77777777" w:rsidR="009C0E92" w:rsidRPr="00A0650F" w:rsidRDefault="00EB1DC6" w:rsidP="00CD7281">
      <w:pPr>
        <w:spacing w:line="240" w:lineRule="auto"/>
        <w:jc w:val="both"/>
        <w:rPr>
          <w:rFonts w:ascii="Bookman Old Style" w:eastAsia="Arial" w:hAnsi="Bookman Old Style" w:cs="Arial"/>
          <w:sz w:val="24"/>
          <w:szCs w:val="24"/>
        </w:rPr>
      </w:pPr>
      <w:r w:rsidRPr="00A0650F">
        <w:rPr>
          <w:rFonts w:ascii="Bookman Old Style" w:eastAsia="Arial" w:hAnsi="Bookman Old Style" w:cs="Arial"/>
          <w:sz w:val="24"/>
          <w:szCs w:val="24"/>
        </w:rPr>
        <w:t xml:space="preserve">El mercado de cajas de compensación en Colombia es un mercado no sólo segmentado de acuerdo con la división política del país sino también sujeto a barreras de entrada impuestas por la ley. Sólo pueden entrar en operación cajas de mínimo 500 empleadores y 10.000 trabajadores afiliados beneficiarios (Ley 21 de 1982, Artículo 40). </w:t>
      </w:r>
    </w:p>
    <w:p w14:paraId="1A259390" w14:textId="77777777" w:rsidR="009C0E92" w:rsidRPr="00A0650F" w:rsidRDefault="00EB1DC6" w:rsidP="00CD7281">
      <w:pPr>
        <w:spacing w:line="240" w:lineRule="auto"/>
        <w:jc w:val="both"/>
        <w:rPr>
          <w:rFonts w:ascii="Bookman Old Style" w:eastAsia="Arial" w:hAnsi="Bookman Old Style" w:cs="Arial"/>
          <w:sz w:val="24"/>
          <w:szCs w:val="24"/>
        </w:rPr>
      </w:pPr>
      <w:r w:rsidRPr="00A0650F">
        <w:rPr>
          <w:rFonts w:ascii="Bookman Old Style" w:eastAsia="Arial" w:hAnsi="Bookman Old Style" w:cs="Arial"/>
          <w:sz w:val="24"/>
          <w:szCs w:val="24"/>
        </w:rPr>
        <w:t>Esta segunda restricción es el reconocimiento de que existe alguna ventaja en la calidad del servicio que está asociada al tamaño de la caja. Lo que no resulta evidente es cómo se determina el tamaño mínimo al cual se puede considerar eficiente que una caja de compensación entre a operar. Por una parte, la segmentación del mercado por departamentos, por la naturaleza de estos mismos, implica forzosamente la existencia de mercados de tamaños diversos y de diversos niveles de ingreso.</w:t>
      </w:r>
    </w:p>
    <w:p w14:paraId="118E1037" w14:textId="1F9B0BEF" w:rsidR="00EB1DC6" w:rsidRPr="00A0650F" w:rsidRDefault="00EB1DC6" w:rsidP="00CD7281">
      <w:pPr>
        <w:spacing w:line="240" w:lineRule="auto"/>
        <w:jc w:val="both"/>
        <w:rPr>
          <w:rFonts w:ascii="Bookman Old Style" w:eastAsia="Arial" w:hAnsi="Bookman Old Style" w:cs="Arial"/>
          <w:sz w:val="24"/>
          <w:szCs w:val="24"/>
        </w:rPr>
      </w:pPr>
      <w:r w:rsidRPr="00A0650F">
        <w:rPr>
          <w:rFonts w:ascii="Bookman Old Style" w:eastAsia="Arial" w:hAnsi="Bookman Old Style" w:cs="Arial"/>
          <w:sz w:val="24"/>
          <w:szCs w:val="24"/>
        </w:rPr>
        <w:t xml:space="preserve"> Las barreras de entrada han de estar definidas con sujeción a esta restricción, para que pueda existir por lo menos una caja en cada mercado. Por otra parte, esta disposición ignora que las cajas que aparentemente funcionan con un mayor grado de eficiencia son usualmente cajas de un tamaño mucho mayor que el mínimo que determina la ley.</w:t>
      </w:r>
    </w:p>
    <w:p w14:paraId="005B3F9C" w14:textId="77777777" w:rsidR="009C0E92" w:rsidRPr="00A0650F" w:rsidRDefault="00EB1DC6" w:rsidP="00CD7281">
      <w:pPr>
        <w:spacing w:line="240" w:lineRule="auto"/>
        <w:jc w:val="both"/>
        <w:rPr>
          <w:rFonts w:ascii="Bookman Old Style" w:eastAsia="Arial" w:hAnsi="Bookman Old Style" w:cs="Arial"/>
          <w:sz w:val="24"/>
          <w:szCs w:val="24"/>
        </w:rPr>
      </w:pPr>
      <w:r w:rsidRPr="00A0650F">
        <w:rPr>
          <w:rFonts w:ascii="Bookman Old Style" w:eastAsia="Arial" w:hAnsi="Bookman Old Style" w:cs="Arial"/>
          <w:sz w:val="24"/>
          <w:szCs w:val="24"/>
        </w:rPr>
        <w:lastRenderedPageBreak/>
        <w:t>Si hay un reconocimiento de que el tamaño trae algún tipo de ventaja en términos de costos, ya sea por economías de escala o por economías de alcance, y se piensa que la curva de costos medios de una caja de compensación tiene una forma típica de U, la estructura misma de costos del sistema actuaría como un desincentivo a la entrada de cajas excesivamente pequeñas, pues éstas no estarían en capacidad de competir en el mercado.</w:t>
      </w:r>
    </w:p>
    <w:p w14:paraId="0918D7D6" w14:textId="2E9AB695" w:rsidR="00EB1DC6" w:rsidRPr="00A0650F" w:rsidRDefault="00EB1DC6" w:rsidP="00CD7281">
      <w:pPr>
        <w:spacing w:line="240" w:lineRule="auto"/>
        <w:jc w:val="both"/>
        <w:rPr>
          <w:rFonts w:ascii="Bookman Old Style" w:eastAsia="Arial" w:hAnsi="Bookman Old Style" w:cs="Arial"/>
          <w:sz w:val="24"/>
          <w:szCs w:val="24"/>
        </w:rPr>
      </w:pPr>
      <w:r w:rsidRPr="00A0650F">
        <w:rPr>
          <w:rFonts w:ascii="Bookman Old Style" w:eastAsia="Arial" w:hAnsi="Bookman Old Style" w:cs="Arial"/>
          <w:sz w:val="24"/>
          <w:szCs w:val="24"/>
        </w:rPr>
        <w:t xml:space="preserve"> En el extremo, si la curva de costos medios de este mercado fuera decreciente para todo nivel de demanda, se estaría frente a un caso de monopolio natural en el cual tendría sentido que el Estado dejara operar a una sola firma, regulándola. Este último no parece, sin embargo, ser el caso de las cajas de compensación, pues uno puede imaginarse que a partir de un tamaño dado una caja verá incrementarse sus costos de servicio por afiliado, en parte porque se trata de un mercado en el que el tema regional es relevante, dado que los costos de servicio están necesariamente asociados a la ubicación del trabajador afiliado y su familia.</w:t>
      </w:r>
    </w:p>
    <w:p w14:paraId="773F0AA2" w14:textId="77777777" w:rsidR="009C0E92" w:rsidRPr="00A0650F" w:rsidRDefault="00EB1DC6" w:rsidP="00CD7281">
      <w:pPr>
        <w:spacing w:line="240" w:lineRule="auto"/>
        <w:jc w:val="both"/>
        <w:rPr>
          <w:rFonts w:ascii="Bookman Old Style" w:eastAsia="Arial" w:hAnsi="Bookman Old Style" w:cs="Arial"/>
          <w:sz w:val="24"/>
          <w:szCs w:val="24"/>
        </w:rPr>
      </w:pPr>
      <w:r w:rsidRPr="00A0650F">
        <w:rPr>
          <w:rFonts w:ascii="Bookman Old Style" w:eastAsia="Arial" w:hAnsi="Bookman Old Style" w:cs="Arial"/>
          <w:sz w:val="24"/>
          <w:szCs w:val="24"/>
        </w:rPr>
        <w:t xml:space="preserve">La reflexión anterior apunta a sugerir la conveniencia de reconsiderar la racionalidad de la segmentación del mercado en departamentos. Como se pudo apreciar a partir de los datos, esto sujeta a los departamentos más pobres a ser atendidos por cajas más pobres y no contribuye a igualar la calidad de vida entre las regiones. Igualmente, obliga a algunos mercados a ser atendidos por una sola caja, con los consiguientes costos en eficiencia que esto trae consigo, como pudo apreciarse en la sección anterior. </w:t>
      </w:r>
    </w:p>
    <w:p w14:paraId="1DEB3387" w14:textId="77777777" w:rsidR="009C0E92" w:rsidRPr="00A0650F" w:rsidRDefault="00EB1DC6" w:rsidP="00CD7281">
      <w:pPr>
        <w:spacing w:line="240" w:lineRule="auto"/>
        <w:jc w:val="both"/>
        <w:rPr>
          <w:rFonts w:ascii="Bookman Old Style" w:eastAsia="Arial" w:hAnsi="Bookman Old Style" w:cs="Arial"/>
          <w:sz w:val="24"/>
          <w:szCs w:val="24"/>
        </w:rPr>
      </w:pPr>
      <w:r w:rsidRPr="00A0650F">
        <w:rPr>
          <w:rFonts w:ascii="Bookman Old Style" w:eastAsia="Arial" w:hAnsi="Bookman Old Style" w:cs="Arial"/>
          <w:sz w:val="24"/>
          <w:szCs w:val="24"/>
        </w:rPr>
        <w:t xml:space="preserve">Siempre que la competencia (o la posibilidad de competencia) discipline naturalmente un mercado, el Estado debe evitar intervenir. </w:t>
      </w:r>
    </w:p>
    <w:p w14:paraId="570221E0" w14:textId="4887D460" w:rsidR="00EB1DC6" w:rsidRPr="00A0650F" w:rsidRDefault="00EB1DC6" w:rsidP="00CD7281">
      <w:pPr>
        <w:spacing w:line="240" w:lineRule="auto"/>
        <w:jc w:val="both"/>
        <w:rPr>
          <w:rFonts w:ascii="Bookman Old Style" w:eastAsia="Arial" w:hAnsi="Bookman Old Style" w:cs="Arial"/>
          <w:sz w:val="24"/>
          <w:szCs w:val="24"/>
        </w:rPr>
      </w:pPr>
      <w:r w:rsidRPr="00A0650F">
        <w:rPr>
          <w:rFonts w:ascii="Bookman Old Style" w:eastAsia="Arial" w:hAnsi="Bookman Old Style" w:cs="Arial"/>
          <w:sz w:val="24"/>
          <w:szCs w:val="24"/>
        </w:rPr>
        <w:t xml:space="preserve">Por otra parte, la imposición de un tamaño mínimo de operación para entrar no es necesaria, pues la mínima escala eficiente la determina el mercado. En el largo plazo, un esquema como el que aquí se visualiza tendería hacia un mercado atendido por un número más pequeño de cajas más grandes, supervisado por una autoridad encargada de proteger a los usuarios de comportamientos </w:t>
      </w:r>
      <w:proofErr w:type="spellStart"/>
      <w:r w:rsidRPr="00A0650F">
        <w:rPr>
          <w:rFonts w:ascii="Bookman Old Style" w:eastAsia="Arial" w:hAnsi="Bookman Old Style" w:cs="Arial"/>
          <w:sz w:val="24"/>
          <w:szCs w:val="24"/>
        </w:rPr>
        <w:t>colusivos</w:t>
      </w:r>
      <w:proofErr w:type="spellEnd"/>
      <w:r w:rsidRPr="00A0650F">
        <w:rPr>
          <w:rFonts w:ascii="Bookman Old Style" w:eastAsia="Arial" w:hAnsi="Bookman Old Style" w:cs="Arial"/>
          <w:sz w:val="24"/>
          <w:szCs w:val="24"/>
        </w:rPr>
        <w:t>, de regular eventualmente la calidad mínima de los servicios y de diseñar un esquema regulatorio o de incentivos que garantice la presencia de las cajas en las zonas más pobres del país.</w:t>
      </w:r>
    </w:p>
    <w:p w14:paraId="56594557" w14:textId="77777777" w:rsidR="00A0650F" w:rsidRDefault="00EB1DC6" w:rsidP="00CD7281">
      <w:pPr>
        <w:spacing w:line="240" w:lineRule="auto"/>
        <w:jc w:val="both"/>
        <w:rPr>
          <w:rFonts w:ascii="Bookman Old Style" w:eastAsia="Arial" w:hAnsi="Bookman Old Style" w:cs="Arial"/>
          <w:sz w:val="24"/>
          <w:szCs w:val="24"/>
        </w:rPr>
      </w:pPr>
      <w:r w:rsidRPr="00A0650F">
        <w:rPr>
          <w:rFonts w:ascii="Bookman Old Style" w:eastAsia="Arial" w:hAnsi="Bookman Old Style" w:cs="Arial"/>
          <w:b/>
          <w:sz w:val="24"/>
          <w:szCs w:val="24"/>
        </w:rPr>
        <w:t>La segmentación del mercado de cajas de compensación de acuerdo con la división política del país, tiene algunas implicaciones negativas para su buen funcionamiento</w:t>
      </w:r>
      <w:r w:rsidRPr="00A0650F">
        <w:rPr>
          <w:rFonts w:ascii="Bookman Old Style" w:eastAsia="Arial" w:hAnsi="Bookman Old Style" w:cs="Arial"/>
          <w:sz w:val="24"/>
          <w:szCs w:val="24"/>
        </w:rPr>
        <w:t xml:space="preserve">. Por una parte, contribuye a limitar la competencia a la que se enfrentan las cajas. Por otra, posiblemente aún más grave, limita la capacidad del sistema para contribuir a igualar la calidad de </w:t>
      </w:r>
      <w:r w:rsidRPr="00A0650F">
        <w:rPr>
          <w:rFonts w:ascii="Bookman Old Style" w:eastAsia="Arial" w:hAnsi="Bookman Old Style" w:cs="Arial"/>
          <w:sz w:val="24"/>
          <w:szCs w:val="24"/>
        </w:rPr>
        <w:lastRenderedPageBreak/>
        <w:t xml:space="preserve">vida de los trabajadores entre las diversas regiones, al sujetar a los departamentos menos desarrollados a ser servidos por las cajas más pobres. </w:t>
      </w:r>
    </w:p>
    <w:p w14:paraId="1AAA6525" w14:textId="4BF0221B" w:rsidR="00A0650F" w:rsidRDefault="00EB1DC6" w:rsidP="00CD7281">
      <w:pPr>
        <w:spacing w:line="240" w:lineRule="auto"/>
        <w:jc w:val="both"/>
        <w:rPr>
          <w:rFonts w:ascii="Bookman Old Style" w:eastAsia="Arial" w:hAnsi="Bookman Old Style" w:cs="Arial"/>
          <w:sz w:val="24"/>
          <w:szCs w:val="24"/>
        </w:rPr>
      </w:pPr>
      <w:r w:rsidRPr="00A0650F">
        <w:rPr>
          <w:rFonts w:ascii="Bookman Old Style" w:eastAsia="Arial" w:hAnsi="Bookman Old Style" w:cs="Arial"/>
          <w:sz w:val="24"/>
          <w:szCs w:val="24"/>
        </w:rPr>
        <w:t>Es importante entonces revisar la racionalidad de esta disposición, con el fin de permitir mercados en los que las cajas en efecto puedan explotar las economías de escala y de alcance que puede haber en la estructura de costos de los servicios que prestan.</w:t>
      </w:r>
    </w:p>
    <w:p w14:paraId="575EC817" w14:textId="15F7043A" w:rsidR="00EB1DC6" w:rsidRPr="00A0650F" w:rsidRDefault="00EB1DC6" w:rsidP="00CD7281">
      <w:pPr>
        <w:spacing w:line="240" w:lineRule="auto"/>
        <w:jc w:val="both"/>
        <w:rPr>
          <w:rFonts w:ascii="Bookman Old Style" w:eastAsia="Arial" w:hAnsi="Bookman Old Style" w:cs="Arial"/>
          <w:sz w:val="24"/>
          <w:szCs w:val="24"/>
        </w:rPr>
      </w:pPr>
      <w:r w:rsidRPr="00A0650F">
        <w:rPr>
          <w:rFonts w:ascii="Bookman Old Style" w:eastAsia="Arial" w:hAnsi="Bookman Old Style" w:cs="Arial"/>
          <w:b/>
          <w:sz w:val="24"/>
          <w:szCs w:val="24"/>
        </w:rPr>
        <w:t xml:space="preserve">Una alternativa es desregular el mercado y dejar que la eficiencia de las cajas sea el criterio que guíe su elección de tamaño y su rango geográfico de atención. Seguramente esta estrategia llevaría a una estructura del mercado con menos cajas, y de mayor tamaño en promedio. </w:t>
      </w:r>
      <w:r w:rsidRPr="00A0650F">
        <w:rPr>
          <w:rFonts w:ascii="Bookman Old Style" w:eastAsia="Arial" w:hAnsi="Bookman Old Style" w:cs="Arial"/>
          <w:sz w:val="24"/>
          <w:szCs w:val="24"/>
        </w:rPr>
        <w:t>Alternativamente, el Estado podría revisar la actual segmentación del mercado definiendo unas regiones más amplias en las que coexistan localidades de altos y bajos ingresos. En cualquiera de los dos casos, el Estado tendría que estar alerta para entrar a regular la calidad del servicio cuando la competencia no sea suficiente, para vigilar y controlar los posibles comportamientos de competencia desleal, y para intervenir con regulaciones o esquemas de incentivos que aseguren la presencia de las cajas en las zonas más pobres.</w:t>
      </w:r>
    </w:p>
    <w:p w14:paraId="056AC3A8" w14:textId="0098BE30" w:rsidR="00EB1DC6" w:rsidRPr="00A0650F" w:rsidRDefault="00EB1DC6" w:rsidP="00CD7281">
      <w:pPr>
        <w:spacing w:line="240" w:lineRule="auto"/>
        <w:jc w:val="both"/>
        <w:rPr>
          <w:rFonts w:ascii="Bookman Old Style" w:eastAsia="Arial" w:hAnsi="Bookman Old Style" w:cs="Arial"/>
          <w:sz w:val="24"/>
          <w:szCs w:val="24"/>
        </w:rPr>
      </w:pPr>
      <w:r w:rsidRPr="00A0650F">
        <w:rPr>
          <w:rFonts w:ascii="Bookman Old Style" w:eastAsia="Arial" w:hAnsi="Bookman Old Style" w:cs="Arial"/>
          <w:sz w:val="24"/>
          <w:szCs w:val="24"/>
        </w:rPr>
        <w:t>Así, Marcela Meléndez y Fabio Sánchez en su estudio “La competencia en el mercado de las cajas de compensación familiar” proponen las siguientes medidas para solucionar darle solución a los problemas de eficiencias de la actual estructura de las Cajas de Compensación del País:</w:t>
      </w:r>
    </w:p>
    <w:p w14:paraId="0E26E19C" w14:textId="6593F6CA" w:rsidR="00EB1DC6" w:rsidRPr="00A0650F" w:rsidRDefault="00EB1DC6" w:rsidP="00CD7281">
      <w:pPr>
        <w:pStyle w:val="Prrafodelista"/>
        <w:numPr>
          <w:ilvl w:val="0"/>
          <w:numId w:val="7"/>
        </w:numPr>
        <w:spacing w:line="240" w:lineRule="auto"/>
        <w:jc w:val="both"/>
        <w:rPr>
          <w:rFonts w:ascii="Bookman Old Style" w:eastAsia="Arial" w:hAnsi="Bookman Old Style" w:cs="Arial"/>
          <w:sz w:val="24"/>
          <w:szCs w:val="24"/>
        </w:rPr>
      </w:pPr>
      <w:r w:rsidRPr="00A0650F">
        <w:rPr>
          <w:rFonts w:ascii="Bookman Old Style" w:eastAsia="Arial" w:hAnsi="Bookman Old Style" w:cs="Arial"/>
          <w:sz w:val="24"/>
          <w:szCs w:val="24"/>
        </w:rPr>
        <w:t>Debe propiciarse la libre entrada de cajas de compensación al mercado. Las economías de escala con las que se opera desmotivarán de manera automática la entrada de jugadores demasiado pequeños que no estén en capacidad de competir.</w:t>
      </w:r>
    </w:p>
    <w:p w14:paraId="1C6D8347" w14:textId="784A553E" w:rsidR="00EB1DC6" w:rsidRPr="00A0650F" w:rsidRDefault="00EB1DC6" w:rsidP="00CD7281">
      <w:pPr>
        <w:pStyle w:val="Prrafodelista"/>
        <w:numPr>
          <w:ilvl w:val="0"/>
          <w:numId w:val="7"/>
        </w:numPr>
        <w:spacing w:line="240" w:lineRule="auto"/>
        <w:jc w:val="both"/>
        <w:rPr>
          <w:rFonts w:ascii="Bookman Old Style" w:eastAsia="Arial" w:hAnsi="Bookman Old Style" w:cs="Arial"/>
          <w:sz w:val="24"/>
          <w:szCs w:val="24"/>
        </w:rPr>
      </w:pPr>
      <w:r w:rsidRPr="00A0650F">
        <w:rPr>
          <w:rFonts w:ascii="Bookman Old Style" w:eastAsia="Arial" w:hAnsi="Bookman Old Style" w:cs="Arial"/>
          <w:sz w:val="24"/>
          <w:szCs w:val="24"/>
        </w:rPr>
        <w:t>Debe permitirse a las cajas competir por la afiliación de las empresas utilizando su portafolio completo de servicios, incluido en él la cuota de subsidio monetario que la caja está en disposición de pagar. Esto requiere la derogación del Decreto 1769 de 2003.</w:t>
      </w:r>
    </w:p>
    <w:p w14:paraId="56B513AC" w14:textId="5D5105F1" w:rsidR="00EB1DC6" w:rsidRPr="00A0650F" w:rsidRDefault="00EB1DC6" w:rsidP="00CD7281">
      <w:pPr>
        <w:pStyle w:val="Prrafodelista"/>
        <w:numPr>
          <w:ilvl w:val="0"/>
          <w:numId w:val="7"/>
        </w:numPr>
        <w:spacing w:line="240" w:lineRule="auto"/>
        <w:jc w:val="both"/>
        <w:rPr>
          <w:rFonts w:ascii="Bookman Old Style" w:eastAsia="Arial" w:hAnsi="Bookman Old Style" w:cs="Arial"/>
          <w:sz w:val="24"/>
          <w:szCs w:val="24"/>
        </w:rPr>
      </w:pPr>
      <w:r w:rsidRPr="00A0650F">
        <w:rPr>
          <w:rFonts w:ascii="Bookman Old Style" w:eastAsia="Arial" w:hAnsi="Bookman Old Style" w:cs="Arial"/>
          <w:sz w:val="24"/>
          <w:szCs w:val="24"/>
        </w:rPr>
        <w:t>Deben diseñarse esquemas de incentivos o regulaciones dirigidas a promover la presencia de las cajas en localidades de menor tamaño (y/o menores ingresos), de modo que la libre competencia no tenga como resultado localidades desatendidas.</w:t>
      </w:r>
    </w:p>
    <w:p w14:paraId="085DDFB2" w14:textId="0B867BE9" w:rsidR="00EB1DC6" w:rsidRPr="00A0650F" w:rsidRDefault="00EB1DC6" w:rsidP="00CD7281">
      <w:pPr>
        <w:pStyle w:val="Prrafodelista"/>
        <w:numPr>
          <w:ilvl w:val="0"/>
          <w:numId w:val="7"/>
        </w:numPr>
        <w:spacing w:line="240" w:lineRule="auto"/>
        <w:jc w:val="both"/>
        <w:rPr>
          <w:rFonts w:ascii="Bookman Old Style" w:eastAsia="Arial" w:hAnsi="Bookman Old Style" w:cs="Arial"/>
          <w:sz w:val="24"/>
          <w:szCs w:val="24"/>
        </w:rPr>
      </w:pPr>
      <w:r w:rsidRPr="00A0650F">
        <w:rPr>
          <w:rFonts w:ascii="Bookman Old Style" w:eastAsia="Arial" w:hAnsi="Bookman Old Style" w:cs="Arial"/>
          <w:sz w:val="24"/>
          <w:szCs w:val="24"/>
        </w:rPr>
        <w:t xml:space="preserve">Deben perseguirse y sancionarse comportamientos de verdadera competencia desleal como el cierre ilegal de las puertas de una caja a las empresas descompensadas, o la oferta de contraprestaciones no relacionadas con el portafolio de servicios a una empresa a cambio de </w:t>
      </w:r>
      <w:r w:rsidRPr="00A0650F">
        <w:rPr>
          <w:rFonts w:ascii="Bookman Old Style" w:eastAsia="Arial" w:hAnsi="Bookman Old Style" w:cs="Arial"/>
          <w:sz w:val="24"/>
          <w:szCs w:val="24"/>
        </w:rPr>
        <w:lastRenderedPageBreak/>
        <w:t>su afiliación. Una herramienta para prevenir este tipo de comportamientos será realizar un esfuerzo de publicidad importante para que las empresas conozcan sus derechos legales y promover la denuncia por parte de las empresas de cualquier actividad de las cajas que no se ajuste a la ley (de hecho, si en la práctica han ocurrido comportamientos como los descritos en este numeral, esto sólo habla de la debilidad de la Superintendencia de Subsidio Familiar para hacer cumplir la ley).</w:t>
      </w:r>
    </w:p>
    <w:p w14:paraId="414C5CDB" w14:textId="087F3E41" w:rsidR="00EB1DC6" w:rsidRPr="00A0650F" w:rsidRDefault="00EB1DC6" w:rsidP="00CD7281">
      <w:pPr>
        <w:pStyle w:val="Prrafodelista"/>
        <w:numPr>
          <w:ilvl w:val="0"/>
          <w:numId w:val="7"/>
        </w:numPr>
        <w:spacing w:line="240" w:lineRule="auto"/>
        <w:jc w:val="both"/>
        <w:rPr>
          <w:rFonts w:ascii="Bookman Old Style" w:eastAsia="Arial" w:hAnsi="Bookman Old Style" w:cs="Arial"/>
          <w:sz w:val="24"/>
          <w:szCs w:val="24"/>
        </w:rPr>
      </w:pPr>
      <w:r w:rsidRPr="00A0650F">
        <w:rPr>
          <w:rFonts w:ascii="Bookman Old Style" w:eastAsia="Arial" w:hAnsi="Bookman Old Style" w:cs="Arial"/>
          <w:sz w:val="24"/>
          <w:szCs w:val="24"/>
        </w:rPr>
        <w:t>En reconocimiento de que se está frente a mercados de competencia imperfecta en los que los participantes pueden ejercer alguna forma de poder de mercado, debe considerarse la posibilidad de regular la calidad del servicio de las cajas (estableciendo, por ejemplo, un valor mínimo al subsidio monetario).</w:t>
      </w:r>
    </w:p>
    <w:p w14:paraId="5346A28D" w14:textId="5CE7462A" w:rsidR="00367D36" w:rsidRPr="00A0650F" w:rsidRDefault="00EB1DC6" w:rsidP="00CD7281">
      <w:pPr>
        <w:tabs>
          <w:tab w:val="left" w:pos="3933"/>
        </w:tabs>
        <w:spacing w:line="240" w:lineRule="auto"/>
        <w:jc w:val="both"/>
        <w:rPr>
          <w:rFonts w:ascii="Bookman Old Style" w:eastAsia="Arial" w:hAnsi="Bookman Old Style" w:cs="Arial"/>
          <w:sz w:val="24"/>
          <w:szCs w:val="24"/>
        </w:rPr>
      </w:pPr>
      <w:r w:rsidRPr="00A0650F">
        <w:rPr>
          <w:rFonts w:ascii="Bookman Old Style" w:eastAsia="Arial" w:hAnsi="Bookman Old Style" w:cs="Arial"/>
          <w:sz w:val="24"/>
          <w:szCs w:val="24"/>
        </w:rPr>
        <w:t xml:space="preserve">Debe no perderse de vista que a quien hay que proteger es al trabajador afiliado (y a su familia) y no a las cajas de compensación. Hay que defender </w:t>
      </w:r>
      <w:r w:rsidR="00367D36" w:rsidRPr="00A0650F">
        <w:rPr>
          <w:rFonts w:ascii="Bookman Old Style" w:eastAsia="Arial" w:hAnsi="Bookman Old Style" w:cs="Arial"/>
          <w:sz w:val="24"/>
          <w:szCs w:val="24"/>
        </w:rPr>
        <w:t>la competencia, y no a los competidores</w:t>
      </w:r>
    </w:p>
    <w:p w14:paraId="32CA4A2B" w14:textId="6899B78D" w:rsidR="00FC2D69" w:rsidRPr="00A0650F" w:rsidRDefault="00FC2D69" w:rsidP="00CD7281">
      <w:pPr>
        <w:pStyle w:val="Prrafodelista"/>
        <w:numPr>
          <w:ilvl w:val="0"/>
          <w:numId w:val="12"/>
        </w:numPr>
        <w:tabs>
          <w:tab w:val="left" w:pos="3933"/>
        </w:tabs>
        <w:spacing w:line="240" w:lineRule="auto"/>
        <w:jc w:val="center"/>
        <w:rPr>
          <w:rFonts w:ascii="Bookman Old Style" w:eastAsia="Arial" w:hAnsi="Bookman Old Style" w:cs="Arial"/>
          <w:b/>
          <w:sz w:val="24"/>
          <w:szCs w:val="24"/>
        </w:rPr>
      </w:pPr>
      <w:r w:rsidRPr="00A0650F">
        <w:rPr>
          <w:rFonts w:ascii="Bookman Old Style" w:eastAsia="Arial" w:hAnsi="Bookman Old Style" w:cs="Arial"/>
          <w:b/>
          <w:sz w:val="24"/>
          <w:szCs w:val="24"/>
        </w:rPr>
        <w:t>MARCO JURIDICO</w:t>
      </w:r>
    </w:p>
    <w:p w14:paraId="67AAE4F0" w14:textId="77777777" w:rsidR="00CD7281" w:rsidRDefault="00FC2D69" w:rsidP="00CD7281">
      <w:pPr>
        <w:tabs>
          <w:tab w:val="left" w:pos="3933"/>
        </w:tabs>
        <w:spacing w:line="240" w:lineRule="auto"/>
        <w:jc w:val="both"/>
        <w:rPr>
          <w:rFonts w:ascii="Bookman Old Style" w:eastAsia="Arial" w:hAnsi="Bookman Old Style" w:cs="Arial"/>
          <w:sz w:val="24"/>
          <w:szCs w:val="24"/>
        </w:rPr>
      </w:pPr>
      <w:r w:rsidRPr="00A0650F">
        <w:rPr>
          <w:rFonts w:ascii="Bookman Old Style" w:eastAsia="Arial" w:hAnsi="Bookman Old Style" w:cs="Arial"/>
          <w:sz w:val="24"/>
          <w:szCs w:val="24"/>
        </w:rPr>
        <w:t xml:space="preserve">En Colombia se hace mención del subsidio familiar por primera vez en la Ley 60 de 1946. Luego, con el </w:t>
      </w:r>
      <w:r w:rsidRPr="00A0650F">
        <w:rPr>
          <w:rFonts w:ascii="Bookman Old Style" w:eastAsia="Arial" w:hAnsi="Bookman Old Style" w:cs="Arial"/>
          <w:b/>
          <w:sz w:val="24"/>
          <w:szCs w:val="24"/>
        </w:rPr>
        <w:t>Decreto 118 de 1957</w:t>
      </w:r>
      <w:r w:rsidRPr="00A0650F">
        <w:rPr>
          <w:rFonts w:ascii="Bookman Old Style" w:eastAsia="Arial" w:hAnsi="Bookman Old Style" w:cs="Arial"/>
          <w:sz w:val="24"/>
          <w:szCs w:val="24"/>
        </w:rPr>
        <w:t xml:space="preserve"> se ordena la creación de las cajas de compensación familiar (CCF) y se establece el subsidio como obligación legal para empresas con un capital superior a cien mil pesos (de 1957) y un número mínimo de veinte empleados. </w:t>
      </w:r>
    </w:p>
    <w:p w14:paraId="67424459" w14:textId="77777777" w:rsidR="00CD7281" w:rsidRDefault="00FC2D69" w:rsidP="00CD7281">
      <w:pPr>
        <w:tabs>
          <w:tab w:val="left" w:pos="3933"/>
        </w:tabs>
        <w:spacing w:line="240" w:lineRule="auto"/>
        <w:jc w:val="both"/>
        <w:rPr>
          <w:rFonts w:ascii="Bookman Old Style" w:eastAsia="Arial" w:hAnsi="Bookman Old Style" w:cs="Arial"/>
          <w:sz w:val="24"/>
          <w:szCs w:val="24"/>
        </w:rPr>
      </w:pPr>
      <w:r w:rsidRPr="00A0650F">
        <w:rPr>
          <w:rFonts w:ascii="Bookman Old Style" w:eastAsia="Arial" w:hAnsi="Bookman Old Style" w:cs="Arial"/>
          <w:sz w:val="24"/>
          <w:szCs w:val="24"/>
        </w:rPr>
        <w:t xml:space="preserve">En sus orígenes se trata de un subsidio de carácter prestacional selectivo, que deja a buena parte de la población laboral activa por fuera del régimen y que permite a los empleados vinculados a empresas grandes obtener subsidios monetarios más altos. </w:t>
      </w:r>
    </w:p>
    <w:p w14:paraId="158C25E5" w14:textId="221DAB53" w:rsidR="00FC2D69" w:rsidRPr="00A0650F" w:rsidRDefault="00FC2D69" w:rsidP="00CD7281">
      <w:pPr>
        <w:tabs>
          <w:tab w:val="left" w:pos="3933"/>
        </w:tabs>
        <w:spacing w:line="240" w:lineRule="auto"/>
        <w:jc w:val="both"/>
        <w:rPr>
          <w:rFonts w:ascii="Bookman Old Style" w:eastAsia="Arial" w:hAnsi="Bookman Old Style" w:cs="Arial"/>
          <w:sz w:val="24"/>
          <w:szCs w:val="24"/>
        </w:rPr>
      </w:pPr>
      <w:r w:rsidRPr="00A0650F">
        <w:rPr>
          <w:rFonts w:ascii="Bookman Old Style" w:eastAsia="Arial" w:hAnsi="Bookman Old Style" w:cs="Arial"/>
          <w:b/>
          <w:sz w:val="24"/>
          <w:szCs w:val="24"/>
        </w:rPr>
        <w:t>El Decreto 3151 de 1962</w:t>
      </w:r>
      <w:r w:rsidRPr="00A0650F">
        <w:rPr>
          <w:rFonts w:ascii="Bookman Old Style" w:eastAsia="Arial" w:hAnsi="Bookman Old Style" w:cs="Arial"/>
          <w:sz w:val="24"/>
          <w:szCs w:val="24"/>
        </w:rPr>
        <w:t xml:space="preserve"> autoriza a las cajas de compensación por primera vez para prestar también otros servicios a las familias de los trabajadores afiliados.</w:t>
      </w:r>
      <w:r w:rsidRPr="00A0650F">
        <w:rPr>
          <w:rStyle w:val="Refdenotaalpie"/>
          <w:rFonts w:ascii="Bookman Old Style" w:eastAsia="Arial" w:hAnsi="Bookman Old Style" w:cs="Arial"/>
          <w:sz w:val="24"/>
          <w:szCs w:val="24"/>
        </w:rPr>
        <w:footnoteReference w:id="1"/>
      </w:r>
    </w:p>
    <w:p w14:paraId="177E3DC6" w14:textId="77777777" w:rsidR="00CD7281" w:rsidRDefault="00FC2D69" w:rsidP="00CD7281">
      <w:pPr>
        <w:tabs>
          <w:tab w:val="left" w:pos="3933"/>
        </w:tabs>
        <w:spacing w:line="240" w:lineRule="auto"/>
        <w:jc w:val="both"/>
        <w:rPr>
          <w:rFonts w:ascii="Bookman Old Style" w:eastAsia="Arial" w:hAnsi="Bookman Old Style" w:cs="Arial"/>
          <w:sz w:val="24"/>
          <w:szCs w:val="24"/>
        </w:rPr>
      </w:pPr>
      <w:r w:rsidRPr="00A0650F">
        <w:rPr>
          <w:rFonts w:ascii="Bookman Old Style" w:eastAsia="Arial" w:hAnsi="Bookman Old Style" w:cs="Arial"/>
          <w:sz w:val="24"/>
          <w:szCs w:val="24"/>
        </w:rPr>
        <w:t xml:space="preserve">Más adelante, reivindicando la solicitud de las asociaciones sindicales, </w:t>
      </w:r>
      <w:r w:rsidRPr="00A0650F">
        <w:rPr>
          <w:rFonts w:ascii="Bookman Old Style" w:eastAsia="Arial" w:hAnsi="Bookman Old Style" w:cs="Arial"/>
          <w:b/>
          <w:sz w:val="24"/>
          <w:szCs w:val="24"/>
        </w:rPr>
        <w:t>la Ley 56 de 1973</w:t>
      </w:r>
      <w:r w:rsidRPr="00A0650F">
        <w:rPr>
          <w:rFonts w:ascii="Bookman Old Style" w:eastAsia="Arial" w:hAnsi="Bookman Old Style" w:cs="Arial"/>
          <w:sz w:val="24"/>
          <w:szCs w:val="24"/>
        </w:rPr>
        <w:t xml:space="preserve"> revisa las reglas para la asignación de subsidios, corrigiendo las inequidades que resultaban al estar el monto del subsidio atado al valor de la nómina, y admite la representación de los obreros en sus consejos directivos. </w:t>
      </w:r>
    </w:p>
    <w:p w14:paraId="3C96869A" w14:textId="7445092F" w:rsidR="00FC2D69" w:rsidRPr="00A0650F" w:rsidRDefault="00FC2D69" w:rsidP="00CD7281">
      <w:pPr>
        <w:tabs>
          <w:tab w:val="left" w:pos="3933"/>
        </w:tabs>
        <w:spacing w:line="240" w:lineRule="auto"/>
        <w:jc w:val="both"/>
        <w:rPr>
          <w:rFonts w:ascii="Bookman Old Style" w:eastAsia="Arial" w:hAnsi="Bookman Old Style" w:cs="Arial"/>
          <w:sz w:val="24"/>
          <w:szCs w:val="24"/>
        </w:rPr>
      </w:pPr>
      <w:r w:rsidRPr="00A0650F">
        <w:rPr>
          <w:rFonts w:ascii="Bookman Old Style" w:eastAsia="Arial" w:hAnsi="Bookman Old Style" w:cs="Arial"/>
          <w:sz w:val="24"/>
          <w:szCs w:val="24"/>
        </w:rPr>
        <w:lastRenderedPageBreak/>
        <w:t>Esta misma ley autoriza a las cajas a adelantar "programas de acción social" con preferencia en los campos de salud, educación, alimentación y mercadeo, y a realizar planes de construcción y financiación de vivienda individuales y multifamiliares. La participación de las cajas en este tipo de programas implica una redistribución de las apropiaciones antes destinadas exclusivamente al pago del subsidio directo en dinero.</w:t>
      </w:r>
    </w:p>
    <w:p w14:paraId="6B4ED4A0" w14:textId="77777777" w:rsidR="00CD7281" w:rsidRDefault="00FC2D69" w:rsidP="00CD7281">
      <w:pPr>
        <w:tabs>
          <w:tab w:val="left" w:pos="3933"/>
        </w:tabs>
        <w:spacing w:line="240" w:lineRule="auto"/>
        <w:jc w:val="both"/>
        <w:rPr>
          <w:rFonts w:ascii="Bookman Old Style" w:eastAsia="Arial" w:hAnsi="Bookman Old Style" w:cs="Arial"/>
          <w:sz w:val="24"/>
          <w:szCs w:val="24"/>
        </w:rPr>
      </w:pPr>
      <w:r w:rsidRPr="00A0650F">
        <w:rPr>
          <w:rFonts w:ascii="Bookman Old Style" w:eastAsia="Arial" w:hAnsi="Bookman Old Style" w:cs="Arial"/>
          <w:sz w:val="24"/>
          <w:szCs w:val="24"/>
        </w:rPr>
        <w:t xml:space="preserve">En </w:t>
      </w:r>
      <w:r w:rsidRPr="00A0650F">
        <w:rPr>
          <w:rFonts w:ascii="Bookman Old Style" w:eastAsia="Arial" w:hAnsi="Bookman Old Style" w:cs="Arial"/>
          <w:b/>
          <w:sz w:val="24"/>
          <w:szCs w:val="24"/>
        </w:rPr>
        <w:t>1981 la Ley 25</w:t>
      </w:r>
      <w:r w:rsidRPr="00A0650F">
        <w:rPr>
          <w:rFonts w:ascii="Bookman Old Style" w:eastAsia="Arial" w:hAnsi="Bookman Old Style" w:cs="Arial"/>
          <w:sz w:val="24"/>
          <w:szCs w:val="24"/>
        </w:rPr>
        <w:t xml:space="preserve"> somete a las cajas de compensación familiar a la supervisión, vigilancia y control de la Superintendencia del Subsidio Familiar, entidad hoy adscrita al Ministerio de la Protección Social. </w:t>
      </w:r>
    </w:p>
    <w:p w14:paraId="0FF09D99" w14:textId="77777777" w:rsidR="00CD7281" w:rsidRDefault="00FC2D69" w:rsidP="00CD7281">
      <w:pPr>
        <w:tabs>
          <w:tab w:val="left" w:pos="3933"/>
        </w:tabs>
        <w:spacing w:line="240" w:lineRule="auto"/>
        <w:jc w:val="both"/>
        <w:rPr>
          <w:rFonts w:ascii="Bookman Old Style" w:eastAsia="Arial" w:hAnsi="Bookman Old Style" w:cs="Arial"/>
          <w:sz w:val="24"/>
          <w:szCs w:val="24"/>
        </w:rPr>
      </w:pPr>
      <w:r w:rsidRPr="00A0650F">
        <w:rPr>
          <w:rFonts w:ascii="Bookman Old Style" w:eastAsia="Arial" w:hAnsi="Bookman Old Style" w:cs="Arial"/>
          <w:sz w:val="24"/>
          <w:szCs w:val="24"/>
        </w:rPr>
        <w:t xml:space="preserve">Un año más tarde, la </w:t>
      </w:r>
      <w:r w:rsidRPr="00A0650F">
        <w:rPr>
          <w:rFonts w:ascii="Bookman Old Style" w:eastAsia="Arial" w:hAnsi="Bookman Old Style" w:cs="Arial"/>
          <w:b/>
          <w:sz w:val="24"/>
          <w:szCs w:val="24"/>
        </w:rPr>
        <w:t>Ley 21 de 1982</w:t>
      </w:r>
      <w:r w:rsidRPr="00A0650F">
        <w:rPr>
          <w:rFonts w:ascii="Bookman Old Style" w:eastAsia="Arial" w:hAnsi="Bookman Old Style" w:cs="Arial"/>
          <w:sz w:val="24"/>
          <w:szCs w:val="24"/>
        </w:rPr>
        <w:t xml:space="preserve"> hace una compilación de toda la legislación relacionada con el tema del subsidio familiar y determina la manera cómo las cajas de compensación deben distribuir los aportes entre as diferentes actividades que les asigna la ley. </w:t>
      </w:r>
    </w:p>
    <w:p w14:paraId="75B69590" w14:textId="4A3FE2E7" w:rsidR="00FC2D69" w:rsidRPr="00A0650F" w:rsidRDefault="00FC2D69" w:rsidP="00CD7281">
      <w:pPr>
        <w:tabs>
          <w:tab w:val="left" w:pos="3933"/>
        </w:tabs>
        <w:spacing w:line="240" w:lineRule="auto"/>
        <w:jc w:val="both"/>
        <w:rPr>
          <w:rFonts w:ascii="Bookman Old Style" w:eastAsia="Arial" w:hAnsi="Bookman Old Style" w:cs="Arial"/>
          <w:sz w:val="24"/>
          <w:szCs w:val="24"/>
        </w:rPr>
      </w:pPr>
      <w:r w:rsidRPr="00A0650F">
        <w:rPr>
          <w:rFonts w:ascii="Bookman Old Style" w:eastAsia="Arial" w:hAnsi="Bookman Old Style" w:cs="Arial"/>
          <w:sz w:val="24"/>
          <w:szCs w:val="24"/>
        </w:rPr>
        <w:t xml:space="preserve">El </w:t>
      </w:r>
      <w:r w:rsidRPr="00A0650F">
        <w:rPr>
          <w:rFonts w:ascii="Bookman Old Style" w:eastAsia="Arial" w:hAnsi="Bookman Old Style" w:cs="Arial"/>
          <w:b/>
          <w:sz w:val="24"/>
          <w:szCs w:val="24"/>
        </w:rPr>
        <w:t>Decreto 341 de 1988</w:t>
      </w:r>
      <w:r w:rsidRPr="00A0650F">
        <w:rPr>
          <w:rFonts w:ascii="Bookman Old Style" w:eastAsia="Arial" w:hAnsi="Bookman Old Style" w:cs="Arial"/>
          <w:sz w:val="24"/>
          <w:szCs w:val="24"/>
        </w:rPr>
        <w:t>, reglamentario de esta ley, se considera el reglamento del funcionamiento de las cajas de compensación familiar. Este decreto reglamenta la constitución de las cajas, el régimen de afiliaciones, los subsidios, las inversiones, el control de la Superintendencia y la ejecución de programas sociales en las áreas de salud, vivienda, educación, recreación y crédito, entre otros.</w:t>
      </w:r>
    </w:p>
    <w:p w14:paraId="0E8692EC" w14:textId="77777777" w:rsidR="00CD7281" w:rsidRDefault="00FC2D69" w:rsidP="00CD7281">
      <w:pPr>
        <w:spacing w:line="240" w:lineRule="auto"/>
        <w:jc w:val="both"/>
        <w:rPr>
          <w:rFonts w:ascii="Bookman Old Style" w:eastAsia="Arial" w:hAnsi="Bookman Old Style" w:cs="Arial"/>
          <w:sz w:val="24"/>
          <w:szCs w:val="24"/>
        </w:rPr>
      </w:pPr>
      <w:r w:rsidRPr="00A0650F">
        <w:rPr>
          <w:rFonts w:ascii="Bookman Old Style" w:eastAsia="Arial" w:hAnsi="Bookman Old Style" w:cs="Arial"/>
          <w:sz w:val="24"/>
          <w:szCs w:val="24"/>
        </w:rPr>
        <w:t xml:space="preserve">Posteriormente, la </w:t>
      </w:r>
      <w:r w:rsidRPr="00A0650F">
        <w:rPr>
          <w:rFonts w:ascii="Bookman Old Style" w:eastAsia="Arial" w:hAnsi="Bookman Old Style" w:cs="Arial"/>
          <w:b/>
          <w:sz w:val="24"/>
          <w:szCs w:val="24"/>
        </w:rPr>
        <w:t>Ley 49 de 1990</w:t>
      </w:r>
      <w:r w:rsidRPr="00A0650F">
        <w:rPr>
          <w:rFonts w:ascii="Bookman Old Style" w:eastAsia="Arial" w:hAnsi="Bookman Old Style" w:cs="Arial"/>
          <w:sz w:val="24"/>
          <w:szCs w:val="24"/>
        </w:rPr>
        <w:t xml:space="preserve"> establece que los recursos que por ley deben dedicar las cajas de compensación a los programas sociales impuestos por el gobierno dependerán de lo que se denomina el "</w:t>
      </w:r>
      <w:proofErr w:type="spellStart"/>
      <w:r w:rsidRPr="00A0650F">
        <w:rPr>
          <w:rFonts w:ascii="Bookman Old Style" w:eastAsia="Arial" w:hAnsi="Bookman Old Style" w:cs="Arial"/>
          <w:sz w:val="24"/>
          <w:szCs w:val="24"/>
        </w:rPr>
        <w:t>cuociente</w:t>
      </w:r>
      <w:proofErr w:type="spellEnd"/>
      <w:r w:rsidRPr="00A0650F">
        <w:rPr>
          <w:rFonts w:ascii="Bookman Old Style" w:eastAsia="Arial" w:hAnsi="Bookman Old Style" w:cs="Arial"/>
          <w:sz w:val="24"/>
          <w:szCs w:val="24"/>
        </w:rPr>
        <w:t xml:space="preserve">" de cada caja. </w:t>
      </w:r>
    </w:p>
    <w:p w14:paraId="7894AA6C" w14:textId="1CDABCB8" w:rsidR="00FC2D69" w:rsidRPr="00A0650F" w:rsidRDefault="00FC2D69" w:rsidP="00CD7281">
      <w:pPr>
        <w:spacing w:line="240" w:lineRule="auto"/>
        <w:jc w:val="both"/>
        <w:rPr>
          <w:rFonts w:ascii="Bookman Old Style" w:eastAsia="Arial" w:hAnsi="Bookman Old Style" w:cs="Arial"/>
          <w:sz w:val="24"/>
          <w:szCs w:val="24"/>
        </w:rPr>
      </w:pPr>
      <w:r w:rsidRPr="00A0650F">
        <w:rPr>
          <w:rFonts w:ascii="Bookman Old Style" w:eastAsia="Arial" w:hAnsi="Bookman Old Style" w:cs="Arial"/>
          <w:sz w:val="24"/>
          <w:szCs w:val="24"/>
        </w:rPr>
        <w:t xml:space="preserve">Este </w:t>
      </w:r>
      <w:proofErr w:type="spellStart"/>
      <w:r w:rsidRPr="00A0650F">
        <w:rPr>
          <w:rFonts w:ascii="Bookman Old Style" w:eastAsia="Arial" w:hAnsi="Bookman Old Style" w:cs="Arial"/>
          <w:sz w:val="24"/>
          <w:szCs w:val="24"/>
        </w:rPr>
        <w:t>cuociente</w:t>
      </w:r>
      <w:proofErr w:type="spellEnd"/>
      <w:r w:rsidRPr="00A0650F">
        <w:rPr>
          <w:rFonts w:ascii="Bookman Old Style" w:eastAsia="Arial" w:hAnsi="Bookman Old Style" w:cs="Arial"/>
          <w:sz w:val="24"/>
          <w:szCs w:val="24"/>
        </w:rPr>
        <w:t xml:space="preserve"> es la relación entre los recaudos de la caja divididos por el número de personas a cargo de los beneficiarios de la caja y los recaudos de todas las cajas divididos por el número total de personas a cargo de los beneficiarios de todas las cajas del país. Un </w:t>
      </w:r>
      <w:proofErr w:type="spellStart"/>
      <w:r w:rsidRPr="00A0650F">
        <w:rPr>
          <w:rFonts w:ascii="Bookman Old Style" w:eastAsia="Arial" w:hAnsi="Bookman Old Style" w:cs="Arial"/>
          <w:sz w:val="24"/>
          <w:szCs w:val="24"/>
        </w:rPr>
        <w:t>cuociente</w:t>
      </w:r>
      <w:proofErr w:type="spellEnd"/>
      <w:r w:rsidRPr="00A0650F">
        <w:rPr>
          <w:rFonts w:ascii="Bookman Old Style" w:eastAsia="Arial" w:hAnsi="Bookman Old Style" w:cs="Arial"/>
          <w:sz w:val="24"/>
          <w:szCs w:val="24"/>
        </w:rPr>
        <w:t xml:space="preserve"> menor que uno significa que la caja paga menos subsidio monetario por afiliado que el promedio de las cajas; un </w:t>
      </w:r>
      <w:proofErr w:type="spellStart"/>
      <w:r w:rsidRPr="00A0650F">
        <w:rPr>
          <w:rFonts w:ascii="Bookman Old Style" w:eastAsia="Arial" w:hAnsi="Bookman Old Style" w:cs="Arial"/>
          <w:sz w:val="24"/>
          <w:szCs w:val="24"/>
        </w:rPr>
        <w:t>cuociente</w:t>
      </w:r>
      <w:proofErr w:type="spellEnd"/>
      <w:r w:rsidRPr="00A0650F">
        <w:rPr>
          <w:rFonts w:ascii="Bookman Old Style" w:eastAsia="Arial" w:hAnsi="Bookman Old Style" w:cs="Arial"/>
          <w:sz w:val="24"/>
          <w:szCs w:val="24"/>
        </w:rPr>
        <w:t xml:space="preserve"> mayor que uno significa lo contrario. Este </w:t>
      </w:r>
      <w:proofErr w:type="spellStart"/>
      <w:r w:rsidRPr="00A0650F">
        <w:rPr>
          <w:rFonts w:ascii="Bookman Old Style" w:eastAsia="Arial" w:hAnsi="Bookman Old Style" w:cs="Arial"/>
          <w:sz w:val="24"/>
          <w:szCs w:val="24"/>
        </w:rPr>
        <w:t>cuociente</w:t>
      </w:r>
      <w:proofErr w:type="spellEnd"/>
      <w:r w:rsidRPr="00A0650F">
        <w:rPr>
          <w:rFonts w:ascii="Bookman Old Style" w:eastAsia="Arial" w:hAnsi="Bookman Old Style" w:cs="Arial"/>
          <w:sz w:val="24"/>
          <w:szCs w:val="24"/>
        </w:rPr>
        <w:t xml:space="preserve"> se utiliza para determinar el porcentaje de recursos que cada caja destina a los subsidios monetarios y el que destina a otros programas.</w:t>
      </w:r>
    </w:p>
    <w:p w14:paraId="4EE54862" w14:textId="77777777" w:rsidR="00CD7281" w:rsidRDefault="00FC2D69" w:rsidP="00CD7281">
      <w:pPr>
        <w:spacing w:line="240" w:lineRule="auto"/>
        <w:jc w:val="both"/>
        <w:rPr>
          <w:rFonts w:ascii="Bookman Old Style" w:eastAsia="Arial" w:hAnsi="Bookman Old Style" w:cs="Arial"/>
          <w:sz w:val="24"/>
          <w:szCs w:val="24"/>
        </w:rPr>
      </w:pPr>
      <w:r w:rsidRPr="00A0650F">
        <w:rPr>
          <w:rFonts w:ascii="Bookman Old Style" w:eastAsia="Arial" w:hAnsi="Bookman Old Style" w:cs="Arial"/>
          <w:b/>
          <w:sz w:val="24"/>
          <w:szCs w:val="24"/>
        </w:rPr>
        <w:t>En 1991, la Ley 3</w:t>
      </w:r>
      <w:r w:rsidRPr="00A0650F">
        <w:rPr>
          <w:rFonts w:ascii="Bookman Old Style" w:eastAsia="Arial" w:hAnsi="Bookman Old Style" w:cs="Arial"/>
          <w:sz w:val="24"/>
          <w:szCs w:val="24"/>
        </w:rPr>
        <w:t xml:space="preserve"> crea el Sistema Nacional de Vivienda de Interés Social y el subsidio familiar de vivienda. </w:t>
      </w:r>
    </w:p>
    <w:p w14:paraId="7A5AEDD6" w14:textId="5BBF246D" w:rsidR="00FC2D69" w:rsidRPr="00A0650F" w:rsidRDefault="00FC2D69" w:rsidP="00CD7281">
      <w:pPr>
        <w:spacing w:line="240" w:lineRule="auto"/>
        <w:jc w:val="both"/>
        <w:rPr>
          <w:rFonts w:ascii="Bookman Old Style" w:eastAsia="Arial" w:hAnsi="Bookman Old Style" w:cs="Arial"/>
          <w:sz w:val="24"/>
          <w:szCs w:val="24"/>
        </w:rPr>
      </w:pPr>
      <w:r w:rsidRPr="00A0650F">
        <w:rPr>
          <w:rFonts w:ascii="Bookman Old Style" w:eastAsia="Arial" w:hAnsi="Bookman Old Style" w:cs="Arial"/>
          <w:b/>
          <w:sz w:val="24"/>
          <w:szCs w:val="24"/>
        </w:rPr>
        <w:t>Luego en el año 2000 se expiden los decretos reglamentarios 1746 y 2620</w:t>
      </w:r>
      <w:r w:rsidRPr="00A0650F">
        <w:rPr>
          <w:rFonts w:ascii="Bookman Old Style" w:eastAsia="Arial" w:hAnsi="Bookman Old Style" w:cs="Arial"/>
          <w:sz w:val="24"/>
          <w:szCs w:val="24"/>
        </w:rPr>
        <w:t xml:space="preserve">. El primero autoriza a las cajas para otorgar créditos hipotecarios y el </w:t>
      </w:r>
      <w:r w:rsidRPr="00A0650F">
        <w:rPr>
          <w:rFonts w:ascii="Bookman Old Style" w:eastAsia="Arial" w:hAnsi="Bookman Old Style" w:cs="Arial"/>
          <w:sz w:val="24"/>
          <w:szCs w:val="24"/>
        </w:rPr>
        <w:lastRenderedPageBreak/>
        <w:t>segundo define los diferentes tipos de soluciones de vivienda, los beneficiados por el subsidio y los montos.</w:t>
      </w:r>
    </w:p>
    <w:p w14:paraId="79577C98" w14:textId="77777777" w:rsidR="00CD7281" w:rsidRDefault="00FC2D69" w:rsidP="00CD7281">
      <w:pPr>
        <w:spacing w:line="240" w:lineRule="auto"/>
        <w:jc w:val="both"/>
        <w:rPr>
          <w:rFonts w:ascii="Bookman Old Style" w:eastAsia="Arial" w:hAnsi="Bookman Old Style" w:cs="Arial"/>
          <w:sz w:val="24"/>
          <w:szCs w:val="24"/>
        </w:rPr>
      </w:pPr>
      <w:r w:rsidRPr="00A0650F">
        <w:rPr>
          <w:rFonts w:ascii="Bookman Old Style" w:eastAsia="Arial" w:hAnsi="Bookman Old Style" w:cs="Arial"/>
          <w:b/>
          <w:sz w:val="24"/>
          <w:szCs w:val="24"/>
        </w:rPr>
        <w:t>La Ley 100 de 1993</w:t>
      </w:r>
      <w:r w:rsidRPr="00A0650F">
        <w:rPr>
          <w:rFonts w:ascii="Bookman Old Style" w:eastAsia="Arial" w:hAnsi="Bookman Old Style" w:cs="Arial"/>
          <w:sz w:val="24"/>
          <w:szCs w:val="24"/>
        </w:rPr>
        <w:t xml:space="preserve"> promueve la participación de las cajas de compensación familiar en el sistema de seguridad social, dándoles la oportunidad de crear sus propias entidades promotoras de salud (</w:t>
      </w:r>
      <w:proofErr w:type="spellStart"/>
      <w:r w:rsidRPr="00A0650F">
        <w:rPr>
          <w:rFonts w:ascii="Bookman Old Style" w:eastAsia="Arial" w:hAnsi="Bookman Old Style" w:cs="Arial"/>
          <w:sz w:val="24"/>
          <w:szCs w:val="24"/>
        </w:rPr>
        <w:t>eps</w:t>
      </w:r>
      <w:proofErr w:type="spellEnd"/>
      <w:r w:rsidRPr="00A0650F">
        <w:rPr>
          <w:rFonts w:ascii="Bookman Old Style" w:eastAsia="Arial" w:hAnsi="Bookman Old Style" w:cs="Arial"/>
          <w:sz w:val="24"/>
          <w:szCs w:val="24"/>
        </w:rPr>
        <w:t>). En esta misma ley se reglamenta la participación de las cajas en el régimen subsidiado, dándoles la libertad de crear y administrar sus propias administradoras del régimen subsidiado (</w:t>
      </w:r>
      <w:proofErr w:type="spellStart"/>
      <w:r w:rsidRPr="00A0650F">
        <w:rPr>
          <w:rFonts w:ascii="Bookman Old Style" w:eastAsia="Arial" w:hAnsi="Bookman Old Style" w:cs="Arial"/>
          <w:sz w:val="24"/>
          <w:szCs w:val="24"/>
        </w:rPr>
        <w:t>ars</w:t>
      </w:r>
      <w:proofErr w:type="spellEnd"/>
      <w:r w:rsidRPr="00A0650F">
        <w:rPr>
          <w:rFonts w:ascii="Bookman Old Style" w:eastAsia="Arial" w:hAnsi="Bookman Old Style" w:cs="Arial"/>
          <w:sz w:val="24"/>
          <w:szCs w:val="24"/>
        </w:rPr>
        <w:t>) y se determina que, en caso de no hacerlo, los recursos previstos para este fin se transferirán al Fondo de Solidaridad y Garantías (</w:t>
      </w:r>
      <w:proofErr w:type="spellStart"/>
      <w:r w:rsidRPr="00A0650F">
        <w:rPr>
          <w:rFonts w:ascii="Bookman Old Style" w:eastAsia="Arial" w:hAnsi="Bookman Old Style" w:cs="Arial"/>
          <w:sz w:val="24"/>
          <w:szCs w:val="24"/>
        </w:rPr>
        <w:t>fosyga</w:t>
      </w:r>
      <w:proofErr w:type="spellEnd"/>
      <w:r w:rsidRPr="00A0650F">
        <w:rPr>
          <w:rFonts w:ascii="Bookman Old Style" w:eastAsia="Arial" w:hAnsi="Bookman Old Style" w:cs="Arial"/>
          <w:sz w:val="24"/>
          <w:szCs w:val="24"/>
        </w:rPr>
        <w:t xml:space="preserve">). </w:t>
      </w:r>
    </w:p>
    <w:p w14:paraId="0D632DA5" w14:textId="4D16A8D3" w:rsidR="00FC2D69" w:rsidRPr="00A0650F" w:rsidRDefault="00FC2D69" w:rsidP="00CD7281">
      <w:pPr>
        <w:spacing w:line="240" w:lineRule="auto"/>
        <w:jc w:val="both"/>
        <w:rPr>
          <w:rFonts w:ascii="Bookman Old Style" w:eastAsia="Arial" w:hAnsi="Bookman Old Style" w:cs="Arial"/>
          <w:sz w:val="24"/>
          <w:szCs w:val="24"/>
        </w:rPr>
      </w:pPr>
      <w:r w:rsidRPr="00A0650F">
        <w:rPr>
          <w:rFonts w:ascii="Bookman Old Style" w:eastAsia="Arial" w:hAnsi="Bookman Old Style" w:cs="Arial"/>
          <w:sz w:val="24"/>
          <w:szCs w:val="24"/>
        </w:rPr>
        <w:t xml:space="preserve">También en </w:t>
      </w:r>
      <w:r w:rsidRPr="00A0650F">
        <w:rPr>
          <w:rFonts w:ascii="Bookman Old Style" w:eastAsia="Arial" w:hAnsi="Bookman Old Style" w:cs="Arial"/>
          <w:b/>
          <w:sz w:val="24"/>
          <w:szCs w:val="24"/>
        </w:rPr>
        <w:t>1993, la Ley 101</w:t>
      </w:r>
      <w:r w:rsidRPr="00A0650F">
        <w:rPr>
          <w:rFonts w:ascii="Bookman Old Style" w:eastAsia="Arial" w:hAnsi="Bookman Old Style" w:cs="Arial"/>
          <w:sz w:val="24"/>
          <w:szCs w:val="24"/>
        </w:rPr>
        <w:t xml:space="preserve"> crea la Caja de Compensación Familiar Campesina (</w:t>
      </w:r>
      <w:proofErr w:type="spellStart"/>
      <w:r w:rsidRPr="00A0650F">
        <w:rPr>
          <w:rFonts w:ascii="Bookman Old Style" w:eastAsia="Arial" w:hAnsi="Bookman Old Style" w:cs="Arial"/>
          <w:sz w:val="24"/>
          <w:szCs w:val="24"/>
        </w:rPr>
        <w:t>comfama</w:t>
      </w:r>
      <w:proofErr w:type="spellEnd"/>
      <w:r w:rsidRPr="00A0650F">
        <w:rPr>
          <w:rFonts w:ascii="Bookman Old Style" w:eastAsia="Arial" w:hAnsi="Bookman Old Style" w:cs="Arial"/>
          <w:sz w:val="24"/>
          <w:szCs w:val="24"/>
        </w:rPr>
        <w:t>) como una corporación con la misma personería jurídica que las cajas existentes y con el objetivo de cubrir a los trabajadores del sector rural en todo el país.</w:t>
      </w:r>
    </w:p>
    <w:p w14:paraId="35A4A342" w14:textId="77777777" w:rsidR="00CD7281" w:rsidRDefault="00FC2D69" w:rsidP="00CD7281">
      <w:pPr>
        <w:spacing w:line="240" w:lineRule="auto"/>
        <w:jc w:val="both"/>
        <w:rPr>
          <w:rFonts w:ascii="Bookman Old Style" w:eastAsia="Arial" w:hAnsi="Bookman Old Style" w:cs="Arial"/>
          <w:sz w:val="24"/>
          <w:szCs w:val="24"/>
        </w:rPr>
      </w:pPr>
      <w:r w:rsidRPr="00A0650F">
        <w:rPr>
          <w:rFonts w:ascii="Bookman Old Style" w:eastAsia="Arial" w:hAnsi="Bookman Old Style" w:cs="Arial"/>
          <w:sz w:val="24"/>
          <w:szCs w:val="24"/>
        </w:rPr>
        <w:t xml:space="preserve">Más recientemente, </w:t>
      </w:r>
      <w:r w:rsidRPr="00A0650F">
        <w:rPr>
          <w:rFonts w:ascii="Bookman Old Style" w:eastAsia="Arial" w:hAnsi="Bookman Old Style" w:cs="Arial"/>
          <w:b/>
          <w:sz w:val="24"/>
          <w:szCs w:val="24"/>
        </w:rPr>
        <w:t>la Ley 789 de 2002</w:t>
      </w:r>
      <w:r w:rsidRPr="00A0650F">
        <w:rPr>
          <w:rFonts w:ascii="Bookman Old Style" w:eastAsia="Arial" w:hAnsi="Bookman Old Style" w:cs="Arial"/>
          <w:sz w:val="24"/>
          <w:szCs w:val="24"/>
        </w:rPr>
        <w:t xml:space="preserve">, incluye cambios que afectan la operación de las cajas. Por una parte, con el fin de evitar dobles subsidios a un mismo hogar, esta ley establece topes al subsidio monetario. Por otra parte, determina que las cajas destinarán recursos para el fomento del empleo y la protección al desempleo mediante la creación de programas de microcrédito destinados a la microempresa y a la pequeña y mediana empresa. </w:t>
      </w:r>
    </w:p>
    <w:p w14:paraId="1B317AED" w14:textId="77777777" w:rsidR="00CD7281" w:rsidRDefault="00FC2D69" w:rsidP="00CD7281">
      <w:pPr>
        <w:spacing w:line="240" w:lineRule="auto"/>
        <w:jc w:val="both"/>
        <w:rPr>
          <w:rFonts w:ascii="Bookman Old Style" w:eastAsia="Arial" w:hAnsi="Bookman Old Style" w:cs="Arial"/>
          <w:sz w:val="24"/>
          <w:szCs w:val="24"/>
        </w:rPr>
      </w:pPr>
      <w:r w:rsidRPr="00A0650F">
        <w:rPr>
          <w:rFonts w:ascii="Bookman Old Style" w:eastAsia="Arial" w:hAnsi="Bookman Old Style" w:cs="Arial"/>
          <w:sz w:val="24"/>
          <w:szCs w:val="24"/>
        </w:rPr>
        <w:t xml:space="preserve">Adicionalmente, la Ley 789 establece un "régimen de transparencia" según el cual las cajas no deben ejercer frente a los empleadores ningún tipo de presión indebida con el objeto de obtener la afiliación a la caja o impedir su desafiliación, ni tener actuaciones que impliquen abuso de posición dominante, realización de prácticas comerciales restrictivas o competencia desleal en el mercado. </w:t>
      </w:r>
    </w:p>
    <w:p w14:paraId="0D61FF8F" w14:textId="77777777" w:rsidR="00CD7281" w:rsidRDefault="00FC2D69" w:rsidP="00CD7281">
      <w:pPr>
        <w:spacing w:line="240" w:lineRule="auto"/>
        <w:jc w:val="both"/>
        <w:rPr>
          <w:rFonts w:ascii="Bookman Old Style" w:eastAsia="Arial" w:hAnsi="Bookman Old Style" w:cs="Arial"/>
          <w:sz w:val="24"/>
          <w:szCs w:val="24"/>
        </w:rPr>
      </w:pPr>
      <w:r w:rsidRPr="00A0650F">
        <w:rPr>
          <w:rFonts w:ascii="Bookman Old Style" w:eastAsia="Arial" w:hAnsi="Bookman Old Style" w:cs="Arial"/>
          <w:sz w:val="24"/>
          <w:szCs w:val="24"/>
        </w:rPr>
        <w:t xml:space="preserve">A partir de enero 2003, la ley somete a las cajas a la inspección, vigilancia y control de la Superintendencia de Industria y Comercio en materia de competencia y protección del consumidor. </w:t>
      </w:r>
    </w:p>
    <w:p w14:paraId="30DAD302" w14:textId="54459B41" w:rsidR="00FC2D69" w:rsidRPr="00A0650F" w:rsidRDefault="00FC2D69" w:rsidP="00CD7281">
      <w:pPr>
        <w:spacing w:line="240" w:lineRule="auto"/>
        <w:jc w:val="both"/>
        <w:rPr>
          <w:rFonts w:ascii="Bookman Old Style" w:eastAsia="Arial" w:hAnsi="Bookman Old Style" w:cs="Arial"/>
          <w:sz w:val="24"/>
          <w:szCs w:val="24"/>
        </w:rPr>
      </w:pPr>
      <w:r w:rsidRPr="00A0650F">
        <w:rPr>
          <w:rFonts w:ascii="Bookman Old Style" w:eastAsia="Arial" w:hAnsi="Bookman Old Style" w:cs="Arial"/>
          <w:b/>
          <w:sz w:val="24"/>
          <w:szCs w:val="24"/>
        </w:rPr>
        <w:t>El Decreto 1769 de 2003</w:t>
      </w:r>
      <w:r w:rsidRPr="00A0650F">
        <w:rPr>
          <w:rFonts w:ascii="Bookman Old Style" w:eastAsia="Arial" w:hAnsi="Bookman Old Style" w:cs="Arial"/>
          <w:sz w:val="24"/>
          <w:szCs w:val="24"/>
        </w:rPr>
        <w:t>, expedido en uso de facultades extraordinarias conferidas por esta ley, regula por primera vez el valor del subsidio monetario que se paga a través de las cajas, estableciendo un régimen en el que habrá un tope al subsidio en cada departamento (cuota de referencia departamental) y transferencias de unas cajas a otras para compensar aquellas cajas cuyos ingresos por aportes sean insuficientes para financiar un nivel de subsidio igual a la cuota de referencia.</w:t>
      </w:r>
    </w:p>
    <w:p w14:paraId="55DDB2D1" w14:textId="77777777" w:rsidR="00FC2D69" w:rsidRPr="00A0650F" w:rsidRDefault="00FC2D69" w:rsidP="00CD7281">
      <w:pPr>
        <w:spacing w:line="240" w:lineRule="auto"/>
        <w:jc w:val="both"/>
        <w:rPr>
          <w:rFonts w:ascii="Bookman Old Style" w:eastAsia="Arial" w:hAnsi="Bookman Old Style" w:cs="Arial"/>
          <w:sz w:val="24"/>
          <w:szCs w:val="24"/>
        </w:rPr>
      </w:pPr>
      <w:r w:rsidRPr="00A0650F">
        <w:rPr>
          <w:rFonts w:ascii="Bookman Old Style" w:eastAsia="Arial" w:hAnsi="Bookman Old Style" w:cs="Arial"/>
          <w:b/>
          <w:sz w:val="24"/>
          <w:szCs w:val="24"/>
        </w:rPr>
        <w:lastRenderedPageBreak/>
        <w:t>la Ley 920 de 2004</w:t>
      </w:r>
      <w:r w:rsidRPr="00A0650F">
        <w:rPr>
          <w:rFonts w:ascii="Bookman Old Style" w:eastAsia="Arial" w:hAnsi="Bookman Old Style" w:cs="Arial"/>
          <w:sz w:val="24"/>
          <w:szCs w:val="24"/>
        </w:rPr>
        <w:t xml:space="preserve"> autoriza a las cajas de compensación familiar a adelantar actividad financiera, entendida como la captación de recursos en depósitos a término, ahorro programado y ahorro contractual de sus trabajadores, pensionados, independientes y desempleados afiliados para colocar estos fondos nuevamente y de forma exclusiva entre éstos, a través de créditos.</w:t>
      </w:r>
    </w:p>
    <w:p w14:paraId="3521D385" w14:textId="77777777" w:rsidR="00FC2D69" w:rsidRPr="00A0650F" w:rsidRDefault="00FC2D69" w:rsidP="00CD7281">
      <w:pPr>
        <w:spacing w:line="240" w:lineRule="auto"/>
        <w:jc w:val="both"/>
        <w:rPr>
          <w:rFonts w:ascii="Bookman Old Style" w:eastAsia="Arial" w:hAnsi="Bookman Old Style" w:cs="Arial"/>
          <w:sz w:val="24"/>
          <w:szCs w:val="24"/>
        </w:rPr>
      </w:pPr>
      <w:r w:rsidRPr="00A0650F">
        <w:rPr>
          <w:rFonts w:ascii="Bookman Old Style" w:eastAsia="Arial" w:hAnsi="Bookman Old Style" w:cs="Arial"/>
          <w:b/>
          <w:sz w:val="24"/>
          <w:szCs w:val="24"/>
        </w:rPr>
        <w:t>En 2011, la Ley 1438</w:t>
      </w:r>
      <w:r w:rsidRPr="00A0650F">
        <w:rPr>
          <w:rFonts w:ascii="Bookman Old Style" w:eastAsia="Arial" w:hAnsi="Bookman Old Style" w:cs="Arial"/>
          <w:sz w:val="24"/>
          <w:szCs w:val="24"/>
        </w:rPr>
        <w:t xml:space="preserve"> estableció que las Cajas de Compensación Familiar deben asignar una partida de 6,25% sobre los aportes patronales, para acciones de promoción y prevención en el marco de la estrategia de atención primaria en salud y/o en la unificación de los planes de beneficios. Según </w:t>
      </w:r>
      <w:proofErr w:type="spellStart"/>
      <w:r w:rsidRPr="00A0650F">
        <w:rPr>
          <w:rFonts w:ascii="Bookman Old Style" w:eastAsia="Arial" w:hAnsi="Bookman Old Style" w:cs="Arial"/>
          <w:sz w:val="24"/>
          <w:szCs w:val="24"/>
        </w:rPr>
        <w:t>Asocajas</w:t>
      </w:r>
      <w:proofErr w:type="spellEnd"/>
      <w:r w:rsidRPr="00A0650F">
        <w:rPr>
          <w:rFonts w:ascii="Bookman Old Style" w:eastAsia="Arial" w:hAnsi="Bookman Old Style" w:cs="Arial"/>
          <w:sz w:val="24"/>
          <w:szCs w:val="24"/>
        </w:rPr>
        <w:t xml:space="preserve"> y </w:t>
      </w:r>
      <w:proofErr w:type="spellStart"/>
      <w:r w:rsidRPr="00A0650F">
        <w:rPr>
          <w:rFonts w:ascii="Bookman Old Style" w:eastAsia="Arial" w:hAnsi="Bookman Old Style" w:cs="Arial"/>
          <w:sz w:val="24"/>
          <w:szCs w:val="24"/>
        </w:rPr>
        <w:t>Coddes</w:t>
      </w:r>
      <w:proofErr w:type="spellEnd"/>
      <w:r w:rsidRPr="00A0650F">
        <w:rPr>
          <w:rFonts w:ascii="Bookman Old Style" w:eastAsia="Arial" w:hAnsi="Bookman Old Style" w:cs="Arial"/>
          <w:sz w:val="24"/>
          <w:szCs w:val="24"/>
        </w:rPr>
        <w:t xml:space="preserve"> (2014), “esta ley le dio un nuevo aire al papel que las Cajas tienen para el sistema de salud en el país, consolidándose en pieza clave de la recomposición del sistema salud”.</w:t>
      </w:r>
    </w:p>
    <w:p w14:paraId="6DBC55C1" w14:textId="77777777" w:rsidR="00FC2D69" w:rsidRPr="00A0650F" w:rsidRDefault="00FC2D69" w:rsidP="00CD7281">
      <w:pPr>
        <w:spacing w:line="240" w:lineRule="auto"/>
        <w:jc w:val="both"/>
        <w:rPr>
          <w:rFonts w:ascii="Bookman Old Style" w:eastAsia="Arial" w:hAnsi="Bookman Old Style" w:cs="Arial"/>
          <w:sz w:val="24"/>
          <w:szCs w:val="24"/>
        </w:rPr>
      </w:pPr>
      <w:r w:rsidRPr="00A0650F">
        <w:rPr>
          <w:rFonts w:ascii="Bookman Old Style" w:eastAsia="Arial" w:hAnsi="Bookman Old Style" w:cs="Arial"/>
          <w:sz w:val="24"/>
          <w:szCs w:val="24"/>
        </w:rPr>
        <w:t xml:space="preserve">Por otra parte, </w:t>
      </w:r>
      <w:r w:rsidRPr="00A0650F">
        <w:rPr>
          <w:rFonts w:ascii="Bookman Old Style" w:eastAsia="Arial" w:hAnsi="Bookman Old Style" w:cs="Arial"/>
          <w:b/>
          <w:sz w:val="24"/>
          <w:szCs w:val="24"/>
        </w:rPr>
        <w:t>la Ley 1636 de 2013</w:t>
      </w:r>
      <w:r w:rsidRPr="00A0650F">
        <w:rPr>
          <w:rFonts w:ascii="Bookman Old Style" w:eastAsia="Arial" w:hAnsi="Bookman Old Style" w:cs="Arial"/>
          <w:sz w:val="24"/>
          <w:szCs w:val="24"/>
        </w:rPr>
        <w:t xml:space="preserve"> estableció la creación del Mecanismo de Protección al Cesante (MPC) y la institucionalidad para su operación. Esta misma Ley establece que las CCF deben brindar beneficios sociales y económicos para la población cesante a través del Fondo de Solidaridad de Fomento al Empleo y Protección al Cesante (FOSFEC), cuya fuente de financiamiento son los recursos del FONEDE.</w:t>
      </w:r>
    </w:p>
    <w:p w14:paraId="6D32AF0B" w14:textId="77777777" w:rsidR="00FC2D69" w:rsidRPr="00A0650F" w:rsidRDefault="00FC2D69" w:rsidP="00CD7281">
      <w:pPr>
        <w:spacing w:line="240" w:lineRule="auto"/>
        <w:jc w:val="both"/>
        <w:rPr>
          <w:rFonts w:ascii="Bookman Old Style" w:eastAsia="Arial" w:hAnsi="Bookman Old Style" w:cs="Arial"/>
          <w:sz w:val="24"/>
          <w:szCs w:val="24"/>
        </w:rPr>
      </w:pPr>
      <w:r w:rsidRPr="00A0650F">
        <w:rPr>
          <w:rFonts w:ascii="Bookman Old Style" w:eastAsia="Arial" w:hAnsi="Bookman Old Style" w:cs="Arial"/>
          <w:sz w:val="24"/>
          <w:szCs w:val="24"/>
        </w:rPr>
        <w:t xml:space="preserve">Durante 2018, se consolidó la mesa de FONIÑEZ con la participación de diversas CCF, para la construcción de la primera propuesta de ajuste del </w:t>
      </w:r>
      <w:r w:rsidRPr="00A0650F">
        <w:rPr>
          <w:rFonts w:ascii="Bookman Old Style" w:eastAsia="Arial" w:hAnsi="Bookman Old Style" w:cs="Arial"/>
          <w:b/>
          <w:sz w:val="24"/>
          <w:szCs w:val="24"/>
        </w:rPr>
        <w:t>Decreto 1729 de 2008</w:t>
      </w:r>
      <w:r w:rsidRPr="00A0650F">
        <w:rPr>
          <w:rFonts w:ascii="Bookman Old Style" w:eastAsia="Arial" w:hAnsi="Bookman Old Style" w:cs="Arial"/>
          <w:sz w:val="24"/>
          <w:szCs w:val="24"/>
        </w:rPr>
        <w:t>, la cual se trabajó con la Comisión Intersectorial para la Primera Infancia y el Ministerio de Trabajo durante el segundo y tercer trimestre de 2018 Como se presenta más adelante, este tipo de acciones permite afirmar desde la perspectiva de algunos actores, que sí hubo un tránsito de las CCF hacia la mayor incidencia en política pública tanto a escala nacional, como regional y local.</w:t>
      </w:r>
    </w:p>
    <w:p w14:paraId="6EB65D1E" w14:textId="7B8E25A8" w:rsidR="00CD7281" w:rsidRPr="00A0650F" w:rsidRDefault="00FC2D69" w:rsidP="00CD7281">
      <w:pPr>
        <w:spacing w:line="240" w:lineRule="auto"/>
        <w:jc w:val="both"/>
        <w:rPr>
          <w:rFonts w:ascii="Bookman Old Style" w:eastAsia="Arial" w:hAnsi="Bookman Old Style" w:cs="Arial"/>
          <w:sz w:val="24"/>
          <w:szCs w:val="24"/>
        </w:rPr>
      </w:pPr>
      <w:r w:rsidRPr="00A0650F">
        <w:rPr>
          <w:rFonts w:ascii="Bookman Old Style" w:eastAsia="Arial" w:hAnsi="Bookman Old Style" w:cs="Arial"/>
          <w:sz w:val="24"/>
          <w:szCs w:val="24"/>
        </w:rPr>
        <w:t xml:space="preserve">En general, la evolución de las CCF ha permitido pasar del subsidio monetario a una amplia gama de modalidades que incluyen tanto los subsidios en dinero, como en especie, y que aplican tanto a los trabajadores de empresas aportantes, como a trabajadores independientes, pensionados y no afiliadas según </w:t>
      </w:r>
      <w:proofErr w:type="spellStart"/>
      <w:r w:rsidRPr="00A0650F">
        <w:rPr>
          <w:rFonts w:ascii="Bookman Old Style" w:eastAsia="Arial" w:hAnsi="Bookman Old Style" w:cs="Arial"/>
          <w:sz w:val="24"/>
          <w:szCs w:val="24"/>
        </w:rPr>
        <w:t>Asocajas</w:t>
      </w:r>
      <w:proofErr w:type="spellEnd"/>
      <w:r w:rsidRPr="00A0650F">
        <w:rPr>
          <w:rFonts w:ascii="Bookman Old Style" w:eastAsia="Arial" w:hAnsi="Bookman Old Style" w:cs="Arial"/>
          <w:sz w:val="24"/>
          <w:szCs w:val="24"/>
        </w:rPr>
        <w:t xml:space="preserve"> (2015). Esta amplia gama de modalidades incluye, según Carrasco y </w:t>
      </w:r>
      <w:proofErr w:type="spellStart"/>
      <w:r w:rsidRPr="00A0650F">
        <w:rPr>
          <w:rFonts w:ascii="Bookman Old Style" w:eastAsia="Arial" w:hAnsi="Bookman Old Style" w:cs="Arial"/>
          <w:sz w:val="24"/>
          <w:szCs w:val="24"/>
        </w:rPr>
        <w:t>Farne</w:t>
      </w:r>
      <w:proofErr w:type="spellEnd"/>
      <w:r w:rsidRPr="00A0650F">
        <w:rPr>
          <w:rFonts w:ascii="Bookman Old Style" w:eastAsia="Arial" w:hAnsi="Bookman Old Style" w:cs="Arial"/>
          <w:sz w:val="24"/>
          <w:szCs w:val="24"/>
        </w:rPr>
        <w:t xml:space="preserve"> (2010), casi todos los servicios que integran la seguridad y la protección social en el país. Para ello, se ha contado también con una evolución legal que permite contar con una serie de </w:t>
      </w:r>
      <w:r w:rsidRPr="00A0650F">
        <w:rPr>
          <w:rFonts w:ascii="Bookman Old Style" w:eastAsia="Arial" w:hAnsi="Bookman Old Style" w:cs="Arial"/>
          <w:sz w:val="24"/>
          <w:szCs w:val="24"/>
        </w:rPr>
        <w:lastRenderedPageBreak/>
        <w:t>reglamentaciones y regulaciones que reflejan la complejidad de las realidades económicas y sociales de Colombia.</w:t>
      </w:r>
      <w:r w:rsidRPr="00A0650F">
        <w:rPr>
          <w:rStyle w:val="Refdenotaalpie"/>
          <w:rFonts w:ascii="Bookman Old Style" w:eastAsia="Arial" w:hAnsi="Bookman Old Style" w:cs="Arial"/>
          <w:sz w:val="24"/>
          <w:szCs w:val="24"/>
        </w:rPr>
        <w:footnoteReference w:id="2"/>
      </w:r>
    </w:p>
    <w:p w14:paraId="32F76D7E" w14:textId="01088709" w:rsidR="00CD7281" w:rsidRPr="004E4A2A" w:rsidRDefault="00CD7281" w:rsidP="00CD7281">
      <w:pPr>
        <w:pStyle w:val="Prrafodelista"/>
        <w:numPr>
          <w:ilvl w:val="0"/>
          <w:numId w:val="12"/>
        </w:numPr>
        <w:spacing w:after="160" w:line="240" w:lineRule="auto"/>
        <w:jc w:val="center"/>
        <w:rPr>
          <w:rFonts w:ascii="Bookman Old Style" w:hAnsi="Bookman Old Style" w:cs="Arial"/>
          <w:b/>
          <w:sz w:val="24"/>
          <w:szCs w:val="24"/>
        </w:rPr>
      </w:pPr>
      <w:r w:rsidRPr="004E4A2A">
        <w:rPr>
          <w:rFonts w:ascii="Bookman Old Style" w:hAnsi="Bookman Old Style" w:cs="Arial"/>
          <w:b/>
          <w:sz w:val="24"/>
          <w:szCs w:val="24"/>
        </w:rPr>
        <w:t>CONFLICTO DE INTERES</w:t>
      </w:r>
    </w:p>
    <w:p w14:paraId="59304AA5" w14:textId="77777777" w:rsidR="00CD7281" w:rsidRPr="00D949A8" w:rsidRDefault="00CD7281" w:rsidP="00CD7281">
      <w:pPr>
        <w:spacing w:line="240" w:lineRule="auto"/>
        <w:jc w:val="both"/>
        <w:rPr>
          <w:rFonts w:ascii="Bookman Old Style" w:hAnsi="Bookman Old Style" w:cs="Arial"/>
          <w:sz w:val="24"/>
          <w:szCs w:val="24"/>
        </w:rPr>
      </w:pPr>
      <w:r w:rsidRPr="00D949A8">
        <w:rPr>
          <w:rFonts w:ascii="Bookman Old Style" w:hAnsi="Bookman Old Style" w:cs="Arial"/>
          <w:sz w:val="24"/>
          <w:szCs w:val="24"/>
        </w:rPr>
        <w:t>De acuerdo con lo establecido en el artículo 3 de la Ley 2003 de 2019, que modifica el artículo 291 de la Ley 5 de 1992, se requiere que los autores de una iniciativa legislativa presenten en la exposición de motivos un apartado que describa los eventos que podrían generar un conflicto de interés durante su discusión y votación. A continuación, se presentan las siguientes consideraciones al respecto:</w:t>
      </w:r>
    </w:p>
    <w:p w14:paraId="2CAC8DE9" w14:textId="77777777" w:rsidR="00CD7281" w:rsidRPr="00D949A8" w:rsidRDefault="00CD7281" w:rsidP="00CD7281">
      <w:pPr>
        <w:spacing w:line="240" w:lineRule="auto"/>
        <w:jc w:val="both"/>
        <w:rPr>
          <w:rFonts w:ascii="Bookman Old Style" w:hAnsi="Bookman Old Style" w:cs="Arial"/>
          <w:sz w:val="24"/>
          <w:szCs w:val="24"/>
        </w:rPr>
      </w:pPr>
      <w:r w:rsidRPr="00D949A8">
        <w:rPr>
          <w:rFonts w:ascii="Bookman Old Style" w:hAnsi="Bookman Old Style" w:cs="Arial"/>
          <w:sz w:val="24"/>
          <w:szCs w:val="24"/>
        </w:rPr>
        <w:t xml:space="preserve">Los elementos del régimen de conflicto de intereses, tal como desarrollados por la jurisprudencia del Consejo de Estado, fueron recogidos por la Corte Constitucional en la Sentencia C-302 de 2021 de la siguiente manera: </w:t>
      </w:r>
    </w:p>
    <w:p w14:paraId="72CCE1AF" w14:textId="77777777" w:rsidR="00CD7281" w:rsidRPr="00D949A8" w:rsidRDefault="00CD7281" w:rsidP="00CD7281">
      <w:pPr>
        <w:spacing w:line="240" w:lineRule="auto"/>
        <w:ind w:left="993" w:right="900"/>
        <w:jc w:val="both"/>
        <w:rPr>
          <w:rFonts w:ascii="Bookman Old Style" w:hAnsi="Bookman Old Style" w:cs="Arial"/>
          <w:i/>
          <w:sz w:val="24"/>
          <w:szCs w:val="24"/>
        </w:rPr>
      </w:pPr>
      <w:r w:rsidRPr="00D949A8">
        <w:rPr>
          <w:rFonts w:ascii="Bookman Old Style" w:hAnsi="Bookman Old Style" w:cs="Arial"/>
          <w:i/>
          <w:sz w:val="24"/>
          <w:szCs w:val="24"/>
        </w:rPr>
        <w:t>(…) son entonces varios los elementos que, de conformidad con la jurisprudencia del Consejo de Estado, caracterizan la institución del conflicto de intereses: i) es una excepción a la inmunidad de los congresistas (artículo 185 de la CP); ii) es un concepto jurídico indeterminado que, en principio, impide establecer reglas generales aplicables a todos los casos; iii) aquel surge cuando el congresista o sus parientes, en los grados señalados en la ley, tienen un interés particular, actual y directo en un asunto puesto a su consideración, el cual, por esta misma razón, es antagónico al interés general que debe buscar y preservar la investidura del cargo; y iv) si el congresista está inmerso en un conflicto de intereses, deberá declararse impedido, con el fin de cumplir con el mandato constitucional contenido en el artículo 182 de la Carta”</w:t>
      </w:r>
      <w:r w:rsidRPr="00D949A8">
        <w:rPr>
          <w:rStyle w:val="Refdenotaalpie"/>
          <w:rFonts w:ascii="Bookman Old Style" w:hAnsi="Bookman Old Style" w:cs="Arial"/>
          <w:i/>
          <w:sz w:val="24"/>
          <w:szCs w:val="24"/>
        </w:rPr>
        <w:footnoteReference w:id="3"/>
      </w:r>
      <w:r w:rsidRPr="00D949A8">
        <w:rPr>
          <w:rFonts w:ascii="Bookman Old Style" w:hAnsi="Bookman Old Style" w:cs="Arial"/>
          <w:i/>
          <w:sz w:val="24"/>
          <w:szCs w:val="24"/>
        </w:rPr>
        <w:t>.</w:t>
      </w:r>
    </w:p>
    <w:p w14:paraId="38FADFB3" w14:textId="77777777" w:rsidR="00CD7281" w:rsidRPr="00D949A8" w:rsidRDefault="00CD7281" w:rsidP="00CD7281">
      <w:pPr>
        <w:spacing w:line="240" w:lineRule="auto"/>
        <w:jc w:val="both"/>
        <w:rPr>
          <w:rFonts w:ascii="Bookman Old Style" w:hAnsi="Bookman Old Style" w:cs="Arial"/>
          <w:sz w:val="24"/>
          <w:szCs w:val="24"/>
        </w:rPr>
      </w:pPr>
      <w:r w:rsidRPr="00D949A8">
        <w:rPr>
          <w:rFonts w:ascii="Bookman Old Style" w:hAnsi="Bookman Old Style" w:cs="Arial"/>
          <w:sz w:val="24"/>
          <w:szCs w:val="24"/>
        </w:rPr>
        <w:t xml:space="preserve">Es importante recordar los distintos tipos de beneficios que pueden configurar un conflicto de interés, según el artículo 1 de la Ley 2003 de 2019, modificatorio del artículo 286 de la Ley 5 de 1992: a) Beneficio particular: aquel que otorga un privilegio, genera ganancias, crea indemnizaciones económicas o elimina obligaciones a favor del congresista que no están disponibles para el resto de los ciudadanos. También incluye </w:t>
      </w:r>
      <w:r w:rsidRPr="00D949A8">
        <w:rPr>
          <w:rFonts w:ascii="Bookman Old Style" w:hAnsi="Bookman Old Style" w:cs="Arial"/>
          <w:sz w:val="24"/>
          <w:szCs w:val="24"/>
        </w:rPr>
        <w:lastRenderedPageBreak/>
        <w:t>la modificación de normas que afecten investigaciones penales, disciplinarias, fiscales o administrativas en las que el congresista esté formalmente vinculado. b) Beneficio actual: aquel que se configura efectivamente en las circunstancias presentes y existentes al momento en que el congresista participa en la decisión. c) Beneficio directo: aquel que se produce específicamente para el congresista, su cónyuge, compañero o compañera permanente, o parientes dentro del segundo grado de consanguinidad, segundo de afinidad o primero civil.</w:t>
      </w:r>
    </w:p>
    <w:p w14:paraId="0B64A9E0" w14:textId="77777777" w:rsidR="00CD7281" w:rsidRPr="00D949A8" w:rsidRDefault="00CD7281" w:rsidP="00CD7281">
      <w:pPr>
        <w:spacing w:line="240" w:lineRule="auto"/>
        <w:jc w:val="both"/>
        <w:rPr>
          <w:rFonts w:ascii="Bookman Old Style" w:hAnsi="Bookman Old Style" w:cs="Arial"/>
          <w:sz w:val="24"/>
          <w:szCs w:val="24"/>
        </w:rPr>
      </w:pPr>
      <w:r w:rsidRPr="00D949A8">
        <w:rPr>
          <w:rFonts w:ascii="Bookman Old Style" w:hAnsi="Bookman Old Style" w:cs="Arial"/>
          <w:sz w:val="24"/>
          <w:szCs w:val="24"/>
        </w:rPr>
        <w:t xml:space="preserve">Adicionalmente, es fundamental resaltar que el interés debe ser particular y no general, ya que, de ser este último caso, los congresistas siempre se encontrarían en una situación de conflicto. Como lo describe el Consejo de Estado: </w:t>
      </w:r>
    </w:p>
    <w:p w14:paraId="2FD5B3AB" w14:textId="77777777" w:rsidR="00CD7281" w:rsidRPr="0083763E" w:rsidRDefault="00CD7281" w:rsidP="00CD7281">
      <w:pPr>
        <w:spacing w:after="0" w:line="240" w:lineRule="auto"/>
        <w:ind w:left="993" w:right="900"/>
        <w:jc w:val="both"/>
        <w:rPr>
          <w:rFonts w:ascii="Bookman Old Style" w:hAnsi="Bookman Old Style" w:cs="Arial"/>
          <w:i/>
          <w:sz w:val="24"/>
          <w:szCs w:val="24"/>
        </w:rPr>
      </w:pPr>
      <w:r w:rsidRPr="00D949A8">
        <w:rPr>
          <w:rFonts w:ascii="Bookman Old Style" w:hAnsi="Bookman Old Style" w:cs="Arial"/>
          <w:i/>
          <w:sz w:val="24"/>
          <w:szCs w:val="24"/>
        </w:rPr>
        <w:t>“En tratándose de conflicto de intereses, el interés “particular” cobra relevancia, entonces, no porque el congresista pueda eventualmente beneficiarse de una ley expedida para la generalidad de la sociedad, sino porque dicho proyecto le significa al congresista un beneficio especial, no disponible para los colombianos que en abstracto se encuentren en las hipótesis de la ley, configurándose así una situación de desigualdad que ostensiblemente favorece al legislador.</w:t>
      </w:r>
      <w:r w:rsidRPr="00D949A8">
        <w:rPr>
          <w:rStyle w:val="Refdenotaalpie"/>
          <w:rFonts w:ascii="Bookman Old Style" w:hAnsi="Bookman Old Style" w:cs="Arial"/>
          <w:i/>
          <w:sz w:val="24"/>
          <w:szCs w:val="24"/>
        </w:rPr>
        <w:footnoteReference w:id="4"/>
      </w:r>
      <w:r w:rsidRPr="00D949A8">
        <w:rPr>
          <w:rFonts w:ascii="Bookman Old Style" w:hAnsi="Bookman Old Style" w:cs="Arial"/>
          <w:i/>
          <w:sz w:val="24"/>
          <w:szCs w:val="24"/>
        </w:rPr>
        <w:t>”</w:t>
      </w:r>
    </w:p>
    <w:p w14:paraId="345A70ED" w14:textId="77777777" w:rsidR="00CD7281" w:rsidRPr="0083763E" w:rsidRDefault="00CD7281" w:rsidP="00CD7281">
      <w:pPr>
        <w:spacing w:after="0" w:line="240" w:lineRule="auto"/>
        <w:rPr>
          <w:rFonts w:ascii="Times New Roman" w:eastAsia="Times New Roman" w:hAnsi="Times New Roman" w:cs="Times New Roman"/>
          <w:sz w:val="24"/>
          <w:szCs w:val="24"/>
          <w:lang w:eastAsia="es-CO"/>
        </w:rPr>
      </w:pPr>
    </w:p>
    <w:p w14:paraId="0CAB0AB8" w14:textId="77777777" w:rsidR="00CD7281" w:rsidRPr="0083763E" w:rsidRDefault="00CD7281" w:rsidP="00CD7281">
      <w:pPr>
        <w:spacing w:after="0" w:line="240" w:lineRule="auto"/>
        <w:jc w:val="both"/>
        <w:rPr>
          <w:rFonts w:ascii="Times New Roman" w:eastAsia="Times New Roman" w:hAnsi="Times New Roman" w:cs="Times New Roman"/>
          <w:sz w:val="24"/>
          <w:szCs w:val="24"/>
          <w:lang w:eastAsia="es-CO"/>
        </w:rPr>
      </w:pPr>
      <w:r w:rsidRPr="0083763E">
        <w:rPr>
          <w:rFonts w:ascii="Bookman Old Style" w:eastAsia="Times New Roman" w:hAnsi="Bookman Old Style" w:cs="Times New Roman"/>
          <w:color w:val="000000"/>
          <w:sz w:val="24"/>
          <w:szCs w:val="24"/>
          <w:lang w:eastAsia="es-CO"/>
        </w:rPr>
        <w:t>En este contexto y en estricto cumplimiento de la legislación vigente, en mi calidad de autor de este proyecto, considero que este no genera conflictos de interés con el suscrito. Esto se debe a que se trata de una iniciativa de interés general, aplicable de manera equitativa a todos, que puede coincidir con los intereses de los electores en su conjunto. </w:t>
      </w:r>
    </w:p>
    <w:p w14:paraId="18C6E76C" w14:textId="77777777" w:rsidR="00CD7281" w:rsidRPr="0083763E" w:rsidRDefault="00CD7281" w:rsidP="00CD7281">
      <w:pPr>
        <w:spacing w:after="0" w:line="240" w:lineRule="auto"/>
        <w:rPr>
          <w:rFonts w:ascii="Times New Roman" w:eastAsia="Times New Roman" w:hAnsi="Times New Roman" w:cs="Times New Roman"/>
          <w:sz w:val="24"/>
          <w:szCs w:val="24"/>
          <w:lang w:eastAsia="es-CO"/>
        </w:rPr>
      </w:pPr>
    </w:p>
    <w:p w14:paraId="21A8E504" w14:textId="77777777" w:rsidR="00CD7281" w:rsidRPr="0083763E" w:rsidRDefault="00CD7281" w:rsidP="00CD7281">
      <w:pPr>
        <w:spacing w:after="0" w:line="240" w:lineRule="auto"/>
        <w:jc w:val="both"/>
        <w:rPr>
          <w:rFonts w:ascii="Times New Roman" w:eastAsia="Times New Roman" w:hAnsi="Times New Roman" w:cs="Times New Roman"/>
          <w:sz w:val="24"/>
          <w:szCs w:val="24"/>
          <w:lang w:eastAsia="es-CO"/>
        </w:rPr>
      </w:pPr>
      <w:r w:rsidRPr="0083763E">
        <w:rPr>
          <w:rFonts w:ascii="Bookman Old Style" w:eastAsia="Times New Roman" w:hAnsi="Bookman Old Style" w:cs="Times New Roman"/>
          <w:color w:val="000000"/>
          <w:sz w:val="24"/>
          <w:szCs w:val="24"/>
          <w:lang w:eastAsia="es-CO"/>
        </w:rPr>
        <w:t>En otras palabras, no se presenta una situación específica que resulte en un beneficio personal ni se percibe un beneficio actual en las circunstancias actuales. </w:t>
      </w:r>
    </w:p>
    <w:p w14:paraId="67668891" w14:textId="77777777" w:rsidR="00CD7281" w:rsidRPr="0083763E" w:rsidRDefault="00CD7281" w:rsidP="00CD7281">
      <w:pPr>
        <w:spacing w:after="0" w:line="240" w:lineRule="auto"/>
        <w:rPr>
          <w:rFonts w:ascii="Times New Roman" w:eastAsia="Times New Roman" w:hAnsi="Times New Roman" w:cs="Times New Roman"/>
          <w:sz w:val="24"/>
          <w:szCs w:val="24"/>
          <w:lang w:eastAsia="es-CO"/>
        </w:rPr>
      </w:pPr>
    </w:p>
    <w:p w14:paraId="639212C4" w14:textId="77777777" w:rsidR="00CD7281" w:rsidRPr="0083763E" w:rsidRDefault="00CD7281" w:rsidP="00CD7281">
      <w:pPr>
        <w:spacing w:after="0" w:line="240" w:lineRule="auto"/>
        <w:jc w:val="both"/>
        <w:rPr>
          <w:rFonts w:ascii="Times New Roman" w:eastAsia="Times New Roman" w:hAnsi="Times New Roman" w:cs="Times New Roman"/>
          <w:sz w:val="24"/>
          <w:szCs w:val="24"/>
          <w:lang w:eastAsia="es-CO"/>
        </w:rPr>
      </w:pPr>
      <w:r w:rsidRPr="0083763E">
        <w:rPr>
          <w:rFonts w:ascii="Bookman Old Style" w:eastAsia="Times New Roman" w:hAnsi="Bookman Old Style" w:cs="Times New Roman"/>
          <w:color w:val="000000"/>
          <w:sz w:val="24"/>
          <w:szCs w:val="24"/>
          <w:lang w:eastAsia="es-CO"/>
        </w:rPr>
        <w:t>Además, no existe la posibilidad de un beneficio directo que pueda beneficiar de manera específica al congresista, a sus cónyuges, parejas permanentes o parientes hasta el segundo grado de parentesco por consanguinidad, afinidad o civil. </w:t>
      </w:r>
    </w:p>
    <w:p w14:paraId="75E6DF36" w14:textId="77777777" w:rsidR="00CD7281" w:rsidRPr="0083763E" w:rsidRDefault="00CD7281" w:rsidP="00CD7281">
      <w:pPr>
        <w:spacing w:after="0" w:line="240" w:lineRule="auto"/>
        <w:rPr>
          <w:rFonts w:ascii="Times New Roman" w:eastAsia="Times New Roman" w:hAnsi="Times New Roman" w:cs="Times New Roman"/>
          <w:sz w:val="24"/>
          <w:szCs w:val="24"/>
          <w:lang w:eastAsia="es-CO"/>
        </w:rPr>
      </w:pPr>
    </w:p>
    <w:p w14:paraId="350E1E0B" w14:textId="41DC1E5A" w:rsidR="00CD7281" w:rsidRDefault="00CD7281" w:rsidP="00CD7281">
      <w:pPr>
        <w:spacing w:after="0" w:line="240" w:lineRule="auto"/>
        <w:jc w:val="both"/>
        <w:rPr>
          <w:rFonts w:ascii="Bookman Old Style" w:eastAsia="Times New Roman" w:hAnsi="Bookman Old Style" w:cs="Times New Roman"/>
          <w:color w:val="000000"/>
          <w:sz w:val="24"/>
          <w:szCs w:val="24"/>
          <w:lang w:eastAsia="es-CO"/>
        </w:rPr>
      </w:pPr>
      <w:r w:rsidRPr="0083763E">
        <w:rPr>
          <w:rFonts w:ascii="Bookman Old Style" w:eastAsia="Times New Roman" w:hAnsi="Bookman Old Style" w:cs="Times New Roman"/>
          <w:color w:val="000000"/>
          <w:sz w:val="24"/>
          <w:szCs w:val="24"/>
          <w:lang w:eastAsia="es-CO"/>
        </w:rPr>
        <w:lastRenderedPageBreak/>
        <w:t>Sin perjuicio de lo anterior, se debe tener en cuenta que la descripción de los posibles conflictos de interés que se puedan presentar frente al trámite del presente proyecto de ley, no exime del deber del Congresista que, en su esfera privada, identifique causales adicionales que a su juicio considere pertinentes y exponerlas durante el trámite correspondiente.</w:t>
      </w:r>
    </w:p>
    <w:p w14:paraId="34853F28" w14:textId="77777777" w:rsidR="00CD7281" w:rsidRPr="0083763E" w:rsidRDefault="00CD7281" w:rsidP="00CD7281">
      <w:pPr>
        <w:spacing w:after="0" w:line="240" w:lineRule="auto"/>
        <w:jc w:val="both"/>
        <w:rPr>
          <w:rFonts w:ascii="Times New Roman" w:eastAsia="Times New Roman" w:hAnsi="Times New Roman" w:cs="Times New Roman"/>
          <w:sz w:val="24"/>
          <w:szCs w:val="24"/>
          <w:lang w:eastAsia="es-CO"/>
        </w:rPr>
      </w:pPr>
    </w:p>
    <w:p w14:paraId="14EA3FA6" w14:textId="0E9618ED" w:rsidR="00CD7281" w:rsidRPr="00CD7281" w:rsidRDefault="00CD7281" w:rsidP="00CD7281">
      <w:pPr>
        <w:pStyle w:val="Prrafodelista"/>
        <w:numPr>
          <w:ilvl w:val="0"/>
          <w:numId w:val="12"/>
        </w:numPr>
        <w:spacing w:after="160" w:line="240" w:lineRule="auto"/>
        <w:jc w:val="center"/>
        <w:rPr>
          <w:rFonts w:ascii="Bookman Old Style" w:hAnsi="Bookman Old Style" w:cs="Arial"/>
          <w:b/>
          <w:sz w:val="24"/>
          <w:szCs w:val="24"/>
        </w:rPr>
      </w:pPr>
      <w:r w:rsidRPr="00CD7281">
        <w:rPr>
          <w:rFonts w:ascii="Bookman Old Style" w:hAnsi="Bookman Old Style" w:cs="Arial"/>
          <w:b/>
          <w:sz w:val="24"/>
          <w:szCs w:val="24"/>
        </w:rPr>
        <w:t>IMPACTO FISCAL DE LA INICIATIVA</w:t>
      </w:r>
    </w:p>
    <w:p w14:paraId="799883BD" w14:textId="77777777" w:rsidR="00CD7281" w:rsidRPr="0083763E" w:rsidRDefault="00CD7281" w:rsidP="00CD7281">
      <w:pPr>
        <w:spacing w:line="240" w:lineRule="auto"/>
        <w:jc w:val="both"/>
        <w:rPr>
          <w:rFonts w:ascii="Bookman Old Style" w:hAnsi="Bookman Old Style" w:cs="Arial"/>
          <w:sz w:val="24"/>
          <w:szCs w:val="24"/>
        </w:rPr>
      </w:pPr>
      <w:r w:rsidRPr="0083763E">
        <w:rPr>
          <w:rFonts w:ascii="Bookman Old Style" w:hAnsi="Bookman Old Style" w:cs="Arial"/>
          <w:sz w:val="24"/>
          <w:szCs w:val="24"/>
        </w:rPr>
        <w:t xml:space="preserve">Respecto del concepto impacto fiscal que los proyectos de ley pudieran generar, la Corte ha dicho: </w:t>
      </w:r>
    </w:p>
    <w:p w14:paraId="6B02F1F4" w14:textId="77777777" w:rsidR="00CD7281" w:rsidRPr="0083763E" w:rsidRDefault="00CD7281" w:rsidP="00CD7281">
      <w:pPr>
        <w:spacing w:line="240" w:lineRule="auto"/>
        <w:ind w:left="708"/>
        <w:jc w:val="both"/>
        <w:rPr>
          <w:rFonts w:ascii="Bookman Old Style" w:hAnsi="Bookman Old Style" w:cs="Arial"/>
          <w:i/>
          <w:sz w:val="24"/>
          <w:szCs w:val="24"/>
        </w:rPr>
      </w:pPr>
      <w:r w:rsidRPr="0083763E">
        <w:rPr>
          <w:rFonts w:ascii="Bookman Old Style" w:hAnsi="Bookman Old Style" w:cs="Arial"/>
          <w:i/>
          <w:sz w:val="24"/>
          <w:szCs w:val="24"/>
        </w:rPr>
        <w:t xml:space="preserve">“Las obligaciones previstas en el artículo 7º de la Ley 819 de 2003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w:t>
      </w:r>
    </w:p>
    <w:p w14:paraId="6B090710" w14:textId="77777777" w:rsidR="00CD7281" w:rsidRPr="0083763E" w:rsidRDefault="00CD7281" w:rsidP="00CD7281">
      <w:pPr>
        <w:spacing w:line="240" w:lineRule="auto"/>
        <w:ind w:left="708"/>
        <w:jc w:val="both"/>
        <w:rPr>
          <w:rFonts w:ascii="Bookman Old Style" w:hAnsi="Bookman Old Style" w:cs="Arial"/>
          <w:i/>
          <w:sz w:val="24"/>
          <w:szCs w:val="24"/>
        </w:rPr>
      </w:pPr>
      <w:r w:rsidRPr="0083763E">
        <w:rPr>
          <w:rFonts w:ascii="Bookman Old Style" w:hAnsi="Bookman Old Style" w:cs="Arial"/>
          <w:i/>
          <w:sz w:val="24"/>
          <w:szCs w:val="24"/>
        </w:rPr>
        <w:t xml:space="preserve">Lo anterior,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haya valorado, mediante las herramientas que tiene a su alcance, la compatibilidad entre los gastos que genera la iniciativa legislativa y las proyecciones de la política económica trazada por el Gobierno. (…). El artículo 7º de la Ley 819/03 no puede interpretarse </w:t>
      </w:r>
      <w:r w:rsidRPr="0083763E">
        <w:rPr>
          <w:rFonts w:ascii="Bookman Old Style" w:hAnsi="Bookman Old Style" w:cs="Arial"/>
          <w:i/>
          <w:sz w:val="24"/>
          <w:szCs w:val="24"/>
        </w:rPr>
        <w:lastRenderedPageBreak/>
        <w:t xml:space="preserve">de modo tal que la falta de concurrencia del Ministerio de Hacienda y Crédito Público dentro del proceso legislativo, afecte la validez constitucional del trámite respectivo”. (Sentencia C-315 de 2008). </w:t>
      </w:r>
    </w:p>
    <w:p w14:paraId="5460E088" w14:textId="77777777" w:rsidR="00CD7281" w:rsidRPr="0083763E" w:rsidRDefault="00CD7281" w:rsidP="00CD7281">
      <w:pPr>
        <w:spacing w:line="240" w:lineRule="auto"/>
        <w:jc w:val="both"/>
        <w:rPr>
          <w:rFonts w:ascii="Bookman Old Style" w:hAnsi="Bookman Old Style" w:cs="Arial"/>
          <w:sz w:val="24"/>
          <w:szCs w:val="24"/>
        </w:rPr>
      </w:pPr>
      <w:r w:rsidRPr="0083763E">
        <w:rPr>
          <w:rFonts w:ascii="Bookman Old Style" w:hAnsi="Bookman Old Style" w:cs="Arial"/>
          <w:sz w:val="24"/>
          <w:szCs w:val="24"/>
        </w:rPr>
        <w:t xml:space="preserve">Como lo ha resaltado la Corte, si bien compete a los miembros del Congreso la responsabilidad de estimar y tomar en cuenta el esfuerzo fiscal que el proyecto bajo estudio puede implicar para el erario público, es claro que es el Poder Ejecutivo, y al interior de aquel, el Ministerio de Hacienda y Crédito Público, el que dispone de los elementos técnicos necesarios para valorar correctamente ese impacto, y a partir de ello, llegado el caso, demostrar a los miembros del órgano legislativo la inviabilidad financiera de la propuesta que se estudia. </w:t>
      </w:r>
    </w:p>
    <w:p w14:paraId="239294A7" w14:textId="77777777" w:rsidR="00CD7281" w:rsidRPr="0083763E" w:rsidRDefault="00CD7281" w:rsidP="00CD7281">
      <w:pPr>
        <w:spacing w:line="240" w:lineRule="auto"/>
        <w:jc w:val="both"/>
        <w:rPr>
          <w:rFonts w:ascii="Bookman Old Style" w:hAnsi="Bookman Old Style" w:cs="Arial"/>
          <w:sz w:val="24"/>
          <w:szCs w:val="24"/>
        </w:rPr>
      </w:pPr>
      <w:r w:rsidRPr="0083763E">
        <w:rPr>
          <w:rFonts w:ascii="Bookman Old Style" w:hAnsi="Bookman Old Style" w:cs="Arial"/>
          <w:sz w:val="24"/>
          <w:szCs w:val="24"/>
        </w:rPr>
        <w:t>Sin embargo, frente a las disposiciones propuestas en el presente proyecto de Ley, consideramos que las mismas no generan un impacto fiscal adicional, pues en las mismas no existe la ordenación de gastos ni la generación de beneficios tributarios.</w:t>
      </w:r>
    </w:p>
    <w:p w14:paraId="5CC16CA6" w14:textId="2534DCA8" w:rsidR="00D1408F" w:rsidRPr="00CD7281" w:rsidRDefault="00CD7281" w:rsidP="00CD7281">
      <w:pPr>
        <w:pStyle w:val="Prrafodelista"/>
        <w:numPr>
          <w:ilvl w:val="0"/>
          <w:numId w:val="12"/>
        </w:numPr>
        <w:spacing w:line="240" w:lineRule="auto"/>
        <w:jc w:val="center"/>
        <w:rPr>
          <w:rFonts w:ascii="Bookman Old Style" w:eastAsia="Arial" w:hAnsi="Bookman Old Style" w:cs="Arial"/>
          <w:b/>
          <w:sz w:val="24"/>
          <w:szCs w:val="24"/>
        </w:rPr>
      </w:pPr>
      <w:r w:rsidRPr="00CD7281">
        <w:rPr>
          <w:rFonts w:ascii="Bookman Old Style" w:eastAsia="Arial" w:hAnsi="Bookman Old Style" w:cs="Arial"/>
          <w:b/>
          <w:sz w:val="24"/>
          <w:szCs w:val="24"/>
        </w:rPr>
        <w:t>CONCLUSIONES</w:t>
      </w:r>
    </w:p>
    <w:p w14:paraId="20D3A97E" w14:textId="7A7CDF7B" w:rsidR="00CD7281" w:rsidRPr="00A0650F" w:rsidRDefault="00CD7281" w:rsidP="00CD7281">
      <w:pPr>
        <w:spacing w:line="240" w:lineRule="auto"/>
        <w:jc w:val="both"/>
        <w:rPr>
          <w:rFonts w:ascii="Bookman Old Style" w:eastAsia="Arial" w:hAnsi="Bookman Old Style" w:cs="Arial"/>
          <w:sz w:val="24"/>
          <w:szCs w:val="24"/>
        </w:rPr>
      </w:pPr>
      <w:r w:rsidRPr="00A0650F">
        <w:rPr>
          <w:rFonts w:ascii="Bookman Old Style" w:eastAsia="Arial" w:hAnsi="Bookman Old Style" w:cs="Arial"/>
          <w:sz w:val="24"/>
          <w:szCs w:val="24"/>
        </w:rPr>
        <w:t>En estos términos dejo esta ini</w:t>
      </w:r>
      <w:r>
        <w:rPr>
          <w:rFonts w:ascii="Bookman Old Style" w:eastAsia="Arial" w:hAnsi="Bookman Old Style" w:cs="Arial"/>
          <w:sz w:val="24"/>
          <w:szCs w:val="24"/>
        </w:rPr>
        <w:t>ciativa a consideración de los Honorables C</w:t>
      </w:r>
      <w:r w:rsidRPr="00A0650F">
        <w:rPr>
          <w:rFonts w:ascii="Bookman Old Style" w:eastAsia="Arial" w:hAnsi="Bookman Old Style" w:cs="Arial"/>
          <w:sz w:val="24"/>
          <w:szCs w:val="24"/>
        </w:rPr>
        <w:t xml:space="preserve">ongresistas, para que, en </w:t>
      </w:r>
      <w:r>
        <w:rPr>
          <w:rFonts w:ascii="Bookman Old Style" w:eastAsia="Arial" w:hAnsi="Bookman Old Style" w:cs="Arial"/>
          <w:sz w:val="24"/>
          <w:szCs w:val="24"/>
        </w:rPr>
        <w:t xml:space="preserve">su </w:t>
      </w:r>
      <w:r w:rsidRPr="00A0650F">
        <w:rPr>
          <w:rFonts w:ascii="Bookman Old Style" w:eastAsia="Arial" w:hAnsi="Bookman Old Style" w:cs="Arial"/>
          <w:sz w:val="24"/>
          <w:szCs w:val="24"/>
        </w:rPr>
        <w:t xml:space="preserve">sano juicio y </w:t>
      </w:r>
      <w:r>
        <w:rPr>
          <w:rFonts w:ascii="Bookman Old Style" w:eastAsia="Arial" w:hAnsi="Bookman Old Style" w:cs="Arial"/>
          <w:sz w:val="24"/>
          <w:szCs w:val="24"/>
        </w:rPr>
        <w:t xml:space="preserve">en </w:t>
      </w:r>
      <w:r w:rsidRPr="00A0650F">
        <w:rPr>
          <w:rFonts w:ascii="Bookman Old Style" w:eastAsia="Arial" w:hAnsi="Bookman Old Style" w:cs="Arial"/>
          <w:sz w:val="24"/>
          <w:szCs w:val="24"/>
        </w:rPr>
        <w:t>análisis ponderado de esta temática, se pueda tener una nueva legislación que privilegie la Autonomía</w:t>
      </w:r>
      <w:r w:rsidRPr="00A0650F">
        <w:rPr>
          <w:rFonts w:ascii="Bookman Old Style" w:eastAsia="Arial" w:hAnsi="Bookman Old Style" w:cs="Arial"/>
          <w:b/>
          <w:sz w:val="24"/>
          <w:szCs w:val="24"/>
        </w:rPr>
        <w:t xml:space="preserve"> </w:t>
      </w:r>
      <w:r w:rsidRPr="00A0650F">
        <w:rPr>
          <w:rFonts w:ascii="Bookman Old Style" w:eastAsia="Arial" w:hAnsi="Bookman Old Style" w:cs="Arial"/>
          <w:sz w:val="24"/>
          <w:szCs w:val="24"/>
        </w:rPr>
        <w:t>y Derechos Individuales y la Diversidad de Necesidades familiares y así permitir</w:t>
      </w:r>
      <w:r w:rsidRPr="00A0650F">
        <w:rPr>
          <w:rFonts w:ascii="Bookman Old Style" w:eastAsia="Arial" w:hAnsi="Bookman Old Style" w:cs="Arial"/>
          <w:b/>
          <w:sz w:val="24"/>
          <w:szCs w:val="24"/>
        </w:rPr>
        <w:t xml:space="preserve"> </w:t>
      </w:r>
      <w:r w:rsidRPr="00A0650F">
        <w:rPr>
          <w:rFonts w:ascii="Bookman Old Style" w:eastAsia="Arial" w:hAnsi="Bookman Old Style" w:cs="Arial"/>
          <w:sz w:val="24"/>
          <w:szCs w:val="24"/>
        </w:rPr>
        <w:t>a los trabajadores ejercer su autonomía y tomar decisiones que se ajusten a sus valores y necesidades personales. La elección de la Caja de Compensación Familiar es un asunto de bienestar familiar y, por lo tanto, debería estar en manos de los empleados.</w:t>
      </w:r>
    </w:p>
    <w:p w14:paraId="4BE09E87" w14:textId="77777777" w:rsidR="00CD7281" w:rsidRPr="00A0650F" w:rsidRDefault="00CD7281" w:rsidP="00CD7281">
      <w:pPr>
        <w:spacing w:line="240" w:lineRule="auto"/>
        <w:jc w:val="both"/>
        <w:rPr>
          <w:rFonts w:ascii="Bookman Old Style" w:eastAsia="Arial" w:hAnsi="Bookman Old Style" w:cs="Arial"/>
          <w:sz w:val="24"/>
          <w:szCs w:val="24"/>
        </w:rPr>
      </w:pPr>
      <w:r w:rsidRPr="00A0650F">
        <w:rPr>
          <w:rFonts w:ascii="Bookman Old Style" w:eastAsia="Arial" w:hAnsi="Bookman Old Style" w:cs="Arial"/>
          <w:sz w:val="24"/>
          <w:szCs w:val="24"/>
        </w:rPr>
        <w:t>De los honorables Congresistas,</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CD7281" w:rsidRPr="00D949A8" w14:paraId="1ABA5994" w14:textId="77777777" w:rsidTr="004F7F84">
        <w:trPr>
          <w:trHeight w:val="420"/>
        </w:trPr>
        <w:tc>
          <w:tcPr>
            <w:tcW w:w="9028" w:type="dxa"/>
            <w:gridSpan w:val="2"/>
            <w:shd w:val="clear" w:color="auto" w:fill="auto"/>
            <w:tcMar>
              <w:top w:w="100" w:type="dxa"/>
              <w:left w:w="100" w:type="dxa"/>
              <w:bottom w:w="100" w:type="dxa"/>
              <w:right w:w="100" w:type="dxa"/>
            </w:tcMar>
          </w:tcPr>
          <w:p w14:paraId="34444918" w14:textId="77777777" w:rsidR="00CD7281" w:rsidRPr="00D949A8" w:rsidRDefault="00CD7281" w:rsidP="004F7F84">
            <w:pPr>
              <w:widowControl w:val="0"/>
              <w:spacing w:line="240" w:lineRule="auto"/>
              <w:rPr>
                <w:rFonts w:ascii="Bookman Old Style" w:hAnsi="Bookman Old Style"/>
              </w:rPr>
            </w:pPr>
          </w:p>
          <w:p w14:paraId="3AB4F1B7" w14:textId="77777777" w:rsidR="00CD7281" w:rsidRPr="00D949A8" w:rsidRDefault="00CD7281" w:rsidP="004F7F84">
            <w:pPr>
              <w:widowControl w:val="0"/>
              <w:spacing w:after="0" w:line="240" w:lineRule="auto"/>
              <w:jc w:val="center"/>
              <w:rPr>
                <w:rFonts w:ascii="Bookman Old Style" w:hAnsi="Bookman Old Style" w:cs="Arial"/>
                <w:b/>
              </w:rPr>
            </w:pPr>
            <w:r w:rsidRPr="00D949A8">
              <w:rPr>
                <w:rFonts w:ascii="Bookman Old Style" w:hAnsi="Bookman Old Style" w:cs="Arial"/>
                <w:b/>
              </w:rPr>
              <w:t>GERMÁN ROGELIO ROZO ANÍS</w:t>
            </w:r>
          </w:p>
          <w:p w14:paraId="4AA9C4B5" w14:textId="77777777" w:rsidR="00CD7281" w:rsidRPr="00D949A8" w:rsidRDefault="00CD7281" w:rsidP="004F7F84">
            <w:pPr>
              <w:widowControl w:val="0"/>
              <w:spacing w:after="0" w:line="240" w:lineRule="auto"/>
              <w:jc w:val="center"/>
              <w:rPr>
                <w:rFonts w:ascii="Bookman Old Style" w:hAnsi="Bookman Old Style" w:cs="Arial"/>
              </w:rPr>
            </w:pPr>
            <w:r w:rsidRPr="00D949A8">
              <w:rPr>
                <w:rFonts w:ascii="Bookman Old Style" w:hAnsi="Bookman Old Style" w:cs="Arial"/>
              </w:rPr>
              <w:t>Representante a la Cámara</w:t>
            </w:r>
          </w:p>
          <w:p w14:paraId="6DEC3BAD" w14:textId="77777777" w:rsidR="00CD7281" w:rsidRPr="00D949A8" w:rsidRDefault="00CD7281" w:rsidP="004F7F84">
            <w:pPr>
              <w:widowControl w:val="0"/>
              <w:spacing w:after="0" w:line="240" w:lineRule="auto"/>
              <w:jc w:val="center"/>
              <w:rPr>
                <w:rFonts w:ascii="Bookman Old Style" w:hAnsi="Bookman Old Style"/>
              </w:rPr>
            </w:pPr>
            <w:r w:rsidRPr="00D949A8">
              <w:rPr>
                <w:rFonts w:ascii="Bookman Old Style" w:hAnsi="Bookman Old Style" w:cs="Arial"/>
              </w:rPr>
              <w:t>Departamento de Arauca</w:t>
            </w:r>
          </w:p>
        </w:tc>
      </w:tr>
      <w:tr w:rsidR="00CD7281" w:rsidRPr="00D949A8" w14:paraId="4CA1EF64" w14:textId="77777777" w:rsidTr="004F7F84">
        <w:tc>
          <w:tcPr>
            <w:tcW w:w="4514" w:type="dxa"/>
            <w:shd w:val="clear" w:color="auto" w:fill="auto"/>
            <w:tcMar>
              <w:top w:w="100" w:type="dxa"/>
              <w:left w:w="100" w:type="dxa"/>
              <w:bottom w:w="100" w:type="dxa"/>
              <w:right w:w="100" w:type="dxa"/>
            </w:tcMar>
          </w:tcPr>
          <w:p w14:paraId="7A0B54CF" w14:textId="77777777" w:rsidR="00CD7281" w:rsidRPr="00D949A8" w:rsidRDefault="00CD7281" w:rsidP="004F7F84">
            <w:pPr>
              <w:widowControl w:val="0"/>
              <w:spacing w:line="240" w:lineRule="auto"/>
              <w:rPr>
                <w:rFonts w:ascii="Bookman Old Style" w:hAnsi="Bookman Old Style"/>
              </w:rPr>
            </w:pPr>
          </w:p>
          <w:p w14:paraId="1FC1856F" w14:textId="77777777" w:rsidR="00CD7281" w:rsidRPr="00D949A8" w:rsidRDefault="00CD7281" w:rsidP="004F7F84">
            <w:pPr>
              <w:widowControl w:val="0"/>
              <w:spacing w:line="240" w:lineRule="auto"/>
              <w:rPr>
                <w:rFonts w:ascii="Bookman Old Style" w:hAnsi="Bookman Old Style"/>
              </w:rPr>
            </w:pPr>
          </w:p>
          <w:p w14:paraId="5E28AD18" w14:textId="77777777" w:rsidR="00CD7281" w:rsidRPr="00D949A8" w:rsidRDefault="00CD7281" w:rsidP="004F7F84">
            <w:pPr>
              <w:spacing w:line="240" w:lineRule="auto"/>
              <w:jc w:val="center"/>
              <w:rPr>
                <w:rFonts w:ascii="Bookman Old Style" w:hAnsi="Bookman Old Style"/>
              </w:rPr>
            </w:pPr>
          </w:p>
        </w:tc>
        <w:tc>
          <w:tcPr>
            <w:tcW w:w="4514" w:type="dxa"/>
            <w:shd w:val="clear" w:color="auto" w:fill="auto"/>
            <w:tcMar>
              <w:top w:w="100" w:type="dxa"/>
              <w:left w:w="100" w:type="dxa"/>
              <w:bottom w:w="100" w:type="dxa"/>
              <w:right w:w="100" w:type="dxa"/>
            </w:tcMar>
          </w:tcPr>
          <w:p w14:paraId="59854D48" w14:textId="77777777" w:rsidR="00CD7281" w:rsidRPr="00D949A8" w:rsidRDefault="00CD7281" w:rsidP="004F7F84">
            <w:pPr>
              <w:widowControl w:val="0"/>
              <w:spacing w:line="240" w:lineRule="auto"/>
              <w:rPr>
                <w:rFonts w:ascii="Bookman Old Style" w:hAnsi="Bookman Old Style"/>
              </w:rPr>
            </w:pPr>
          </w:p>
          <w:p w14:paraId="69F29BA5" w14:textId="77777777" w:rsidR="00CD7281" w:rsidRPr="00D949A8" w:rsidRDefault="00CD7281" w:rsidP="004F7F84">
            <w:pPr>
              <w:widowControl w:val="0"/>
              <w:spacing w:line="240" w:lineRule="auto"/>
              <w:rPr>
                <w:rFonts w:ascii="Bookman Old Style" w:hAnsi="Bookman Old Style"/>
              </w:rPr>
            </w:pPr>
          </w:p>
          <w:p w14:paraId="1B49F6A4" w14:textId="77777777" w:rsidR="00CD7281" w:rsidRPr="00D949A8" w:rsidRDefault="00CD7281" w:rsidP="004F7F84">
            <w:pPr>
              <w:widowControl w:val="0"/>
              <w:spacing w:line="240" w:lineRule="auto"/>
              <w:rPr>
                <w:rFonts w:ascii="Bookman Old Style" w:hAnsi="Bookman Old Style"/>
              </w:rPr>
            </w:pPr>
          </w:p>
          <w:p w14:paraId="7F87A20E" w14:textId="77777777" w:rsidR="00CD7281" w:rsidRPr="00D949A8" w:rsidRDefault="00CD7281" w:rsidP="004F7F84">
            <w:pPr>
              <w:widowControl w:val="0"/>
              <w:spacing w:line="240" w:lineRule="auto"/>
              <w:rPr>
                <w:rFonts w:ascii="Bookman Old Style" w:hAnsi="Bookman Old Style"/>
              </w:rPr>
            </w:pPr>
          </w:p>
          <w:p w14:paraId="1160E0EF" w14:textId="77777777" w:rsidR="00CD7281" w:rsidRPr="00D949A8" w:rsidRDefault="00CD7281" w:rsidP="004F7F84">
            <w:pPr>
              <w:spacing w:line="240" w:lineRule="auto"/>
              <w:jc w:val="center"/>
              <w:rPr>
                <w:rFonts w:ascii="Bookman Old Style" w:hAnsi="Bookman Old Style"/>
              </w:rPr>
            </w:pPr>
          </w:p>
        </w:tc>
      </w:tr>
      <w:tr w:rsidR="00CD7281" w:rsidRPr="00D949A8" w14:paraId="485C6DD6" w14:textId="77777777" w:rsidTr="004F7F84">
        <w:trPr>
          <w:trHeight w:val="1013"/>
        </w:trPr>
        <w:tc>
          <w:tcPr>
            <w:tcW w:w="4514" w:type="dxa"/>
            <w:shd w:val="clear" w:color="auto" w:fill="auto"/>
            <w:tcMar>
              <w:top w:w="100" w:type="dxa"/>
              <w:left w:w="100" w:type="dxa"/>
              <w:bottom w:w="100" w:type="dxa"/>
              <w:right w:w="100" w:type="dxa"/>
            </w:tcMar>
          </w:tcPr>
          <w:p w14:paraId="7B699C80" w14:textId="77777777" w:rsidR="00CD7281" w:rsidRPr="00D949A8" w:rsidRDefault="00CD7281" w:rsidP="004F7F84">
            <w:pPr>
              <w:spacing w:line="240" w:lineRule="auto"/>
              <w:rPr>
                <w:rFonts w:ascii="Bookman Old Style" w:hAnsi="Bookman Old Style"/>
              </w:rPr>
            </w:pPr>
          </w:p>
        </w:tc>
        <w:tc>
          <w:tcPr>
            <w:tcW w:w="4514" w:type="dxa"/>
            <w:shd w:val="clear" w:color="auto" w:fill="auto"/>
            <w:tcMar>
              <w:top w:w="100" w:type="dxa"/>
              <w:left w:w="100" w:type="dxa"/>
              <w:bottom w:w="100" w:type="dxa"/>
              <w:right w:w="100" w:type="dxa"/>
            </w:tcMar>
          </w:tcPr>
          <w:p w14:paraId="1DA5DE27" w14:textId="77777777" w:rsidR="00CD7281" w:rsidRPr="00D949A8" w:rsidRDefault="00CD7281" w:rsidP="004F7F84">
            <w:pPr>
              <w:widowControl w:val="0"/>
              <w:spacing w:line="240" w:lineRule="auto"/>
              <w:rPr>
                <w:rFonts w:ascii="Bookman Old Style" w:hAnsi="Bookman Old Style"/>
              </w:rPr>
            </w:pPr>
          </w:p>
          <w:p w14:paraId="7F48372F" w14:textId="77777777" w:rsidR="00CD7281" w:rsidRPr="00D949A8" w:rsidRDefault="00CD7281" w:rsidP="004F7F84">
            <w:pPr>
              <w:widowControl w:val="0"/>
              <w:spacing w:line="240" w:lineRule="auto"/>
              <w:rPr>
                <w:rFonts w:ascii="Bookman Old Style" w:hAnsi="Bookman Old Style"/>
              </w:rPr>
            </w:pPr>
          </w:p>
          <w:p w14:paraId="107A0F0C" w14:textId="77777777" w:rsidR="00CD7281" w:rsidRPr="00D949A8" w:rsidRDefault="00CD7281" w:rsidP="004F7F84">
            <w:pPr>
              <w:widowControl w:val="0"/>
              <w:spacing w:line="240" w:lineRule="auto"/>
              <w:rPr>
                <w:rFonts w:ascii="Bookman Old Style" w:hAnsi="Bookman Old Style"/>
              </w:rPr>
            </w:pPr>
          </w:p>
          <w:p w14:paraId="359FF456" w14:textId="77777777" w:rsidR="00CD7281" w:rsidRPr="00D949A8" w:rsidRDefault="00CD7281" w:rsidP="004F7F84">
            <w:pPr>
              <w:widowControl w:val="0"/>
              <w:spacing w:line="240" w:lineRule="auto"/>
              <w:rPr>
                <w:rFonts w:ascii="Bookman Old Style" w:hAnsi="Bookman Old Style"/>
              </w:rPr>
            </w:pPr>
          </w:p>
          <w:p w14:paraId="546D4AD4" w14:textId="77777777" w:rsidR="00CD7281" w:rsidRPr="00D949A8" w:rsidRDefault="00CD7281" w:rsidP="004F7F84">
            <w:pPr>
              <w:widowControl w:val="0"/>
              <w:spacing w:line="240" w:lineRule="auto"/>
              <w:rPr>
                <w:rFonts w:ascii="Bookman Old Style" w:hAnsi="Bookman Old Style"/>
              </w:rPr>
            </w:pPr>
          </w:p>
          <w:p w14:paraId="7FDC7AB5" w14:textId="77777777" w:rsidR="00CD7281" w:rsidRPr="00D949A8" w:rsidRDefault="00CD7281" w:rsidP="004F7F84">
            <w:pPr>
              <w:spacing w:line="240" w:lineRule="auto"/>
              <w:jc w:val="center"/>
              <w:rPr>
                <w:rFonts w:ascii="Bookman Old Style" w:hAnsi="Bookman Old Style"/>
              </w:rPr>
            </w:pPr>
          </w:p>
        </w:tc>
      </w:tr>
    </w:tbl>
    <w:p w14:paraId="60E8F934" w14:textId="77777777" w:rsidR="00AB1E14" w:rsidRPr="00A0650F" w:rsidRDefault="00AB1E14" w:rsidP="00CD7281">
      <w:pPr>
        <w:pStyle w:val="Prrafodelista"/>
        <w:spacing w:line="240" w:lineRule="auto"/>
        <w:jc w:val="both"/>
        <w:rPr>
          <w:rFonts w:ascii="Bookman Old Style" w:eastAsia="Arial" w:hAnsi="Bookman Old Style" w:cs="Arial"/>
          <w:sz w:val="24"/>
          <w:szCs w:val="24"/>
        </w:rPr>
      </w:pPr>
    </w:p>
    <w:sectPr w:rsidR="00AB1E14" w:rsidRPr="00A0650F">
      <w:headerReference w:type="default" r:id="rId8"/>
      <w:footerReference w:type="default" r:id="rId9"/>
      <w:pgSz w:w="12240" w:h="15840"/>
      <w:pgMar w:top="180" w:right="1701" w:bottom="1134" w:left="1701" w:header="1149" w:footer="82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CD2F8" w14:textId="77777777" w:rsidR="00084F2F" w:rsidRDefault="00084F2F">
      <w:pPr>
        <w:spacing w:after="0" w:line="240" w:lineRule="auto"/>
      </w:pPr>
      <w:r>
        <w:separator/>
      </w:r>
    </w:p>
  </w:endnote>
  <w:endnote w:type="continuationSeparator" w:id="0">
    <w:p w14:paraId="5B6B2018" w14:textId="77777777" w:rsidR="00084F2F" w:rsidRDefault="00084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ill Sans">
    <w:altName w:val="Segoe UI Light"/>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F7009" w14:textId="77777777" w:rsidR="00DC50CF" w:rsidRDefault="00FB34EC">
    <w:pPr>
      <w:pBdr>
        <w:top w:val="nil"/>
        <w:left w:val="nil"/>
        <w:bottom w:val="nil"/>
        <w:right w:val="nil"/>
        <w:between w:val="nil"/>
      </w:pBdr>
      <w:tabs>
        <w:tab w:val="center" w:pos="4419"/>
        <w:tab w:val="right" w:pos="8838"/>
      </w:tabs>
      <w:spacing w:after="0" w:line="240" w:lineRule="auto"/>
      <w:jc w:val="center"/>
      <w:rPr>
        <w:color w:val="000000"/>
      </w:rPr>
    </w:pPr>
    <w:r>
      <w:rPr>
        <w:noProof/>
        <w:color w:val="000000"/>
        <w:sz w:val="16"/>
        <w:szCs w:val="16"/>
        <w:lang w:eastAsia="es-CO"/>
      </w:rPr>
      <w:drawing>
        <wp:inline distT="0" distB="0" distL="0" distR="0" wp14:anchorId="6514EBCF" wp14:editId="6EA754F7">
          <wp:extent cx="3117850" cy="2667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17850" cy="266700"/>
                  </a:xfrm>
                  <a:prstGeom prst="rect">
                    <a:avLst/>
                  </a:prstGeom>
                  <a:ln/>
                </pic:spPr>
              </pic:pic>
            </a:graphicData>
          </a:graphic>
        </wp:inline>
      </w:drawing>
    </w:r>
  </w:p>
  <w:p w14:paraId="5689F65D" w14:textId="77777777" w:rsidR="00DC50CF" w:rsidRDefault="00FB34EC">
    <w:pPr>
      <w:tabs>
        <w:tab w:val="center" w:pos="4419"/>
        <w:tab w:val="right" w:pos="8838"/>
      </w:tabs>
      <w:spacing w:after="0" w:line="240" w:lineRule="auto"/>
      <w:jc w:val="center"/>
      <w:rPr>
        <w:rFonts w:ascii="Gill Sans" w:eastAsia="Gill Sans" w:hAnsi="Gill Sans" w:cs="Gill Sans"/>
        <w:sz w:val="16"/>
        <w:szCs w:val="16"/>
      </w:rPr>
    </w:pPr>
    <w:r>
      <w:rPr>
        <w:rFonts w:ascii="Gill Sans" w:eastAsia="Gill Sans" w:hAnsi="Gill Sans" w:cs="Gill Sans"/>
        <w:sz w:val="16"/>
        <w:szCs w:val="16"/>
      </w:rPr>
      <w:t>Carrera 7 No. 8-68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A62C9" w14:textId="77777777" w:rsidR="00084F2F" w:rsidRDefault="00084F2F">
      <w:pPr>
        <w:spacing w:after="0" w:line="240" w:lineRule="auto"/>
      </w:pPr>
      <w:r>
        <w:separator/>
      </w:r>
    </w:p>
  </w:footnote>
  <w:footnote w:type="continuationSeparator" w:id="0">
    <w:p w14:paraId="7E66954A" w14:textId="77777777" w:rsidR="00084F2F" w:rsidRDefault="00084F2F">
      <w:pPr>
        <w:spacing w:after="0" w:line="240" w:lineRule="auto"/>
      </w:pPr>
      <w:r>
        <w:continuationSeparator/>
      </w:r>
    </w:p>
  </w:footnote>
  <w:footnote w:id="1">
    <w:p w14:paraId="519F5297" w14:textId="77777777" w:rsidR="00FC2D69" w:rsidRPr="00D1408F" w:rsidRDefault="00FC2D69" w:rsidP="00FC2D69">
      <w:pPr>
        <w:pStyle w:val="Textonotapie"/>
        <w:rPr>
          <w:rFonts w:ascii="Arial" w:hAnsi="Arial" w:cs="Arial"/>
          <w:lang w:val="es-MX"/>
        </w:rPr>
      </w:pPr>
      <w:r w:rsidRPr="00D1408F">
        <w:rPr>
          <w:rStyle w:val="Refdenotaalpie"/>
          <w:rFonts w:ascii="Arial" w:hAnsi="Arial" w:cs="Arial"/>
        </w:rPr>
        <w:footnoteRef/>
      </w:r>
      <w:r w:rsidRPr="00D1408F">
        <w:rPr>
          <w:rFonts w:ascii="Arial" w:hAnsi="Arial" w:cs="Arial"/>
        </w:rPr>
        <w:t xml:space="preserve">  Meléndez, Marcela. Sánchez, Fabio. (2008). La competencia en el mercado de las cajas de compensación familiar. </w:t>
      </w:r>
      <w:proofErr w:type="spellStart"/>
      <w:r w:rsidRPr="00D1408F">
        <w:rPr>
          <w:rFonts w:ascii="Arial" w:hAnsi="Arial" w:cs="Arial"/>
        </w:rPr>
        <w:t>Fedesarrollo</w:t>
      </w:r>
      <w:proofErr w:type="spellEnd"/>
      <w:r w:rsidRPr="00D1408F">
        <w:rPr>
          <w:rFonts w:ascii="Arial" w:hAnsi="Arial" w:cs="Arial"/>
        </w:rPr>
        <w:t>. Página 107.</w:t>
      </w:r>
    </w:p>
  </w:footnote>
  <w:footnote w:id="2">
    <w:p w14:paraId="68303E06" w14:textId="77777777" w:rsidR="00FC2D69" w:rsidRPr="00D1408F" w:rsidRDefault="00FC2D69" w:rsidP="00FC2D69">
      <w:pPr>
        <w:pStyle w:val="Textonotapie"/>
        <w:rPr>
          <w:rFonts w:ascii="Arial" w:hAnsi="Arial" w:cs="Arial"/>
          <w:lang w:val="es-MX"/>
        </w:rPr>
      </w:pPr>
      <w:r w:rsidRPr="00D1408F">
        <w:rPr>
          <w:rStyle w:val="Refdenotaalpie"/>
          <w:rFonts w:ascii="Arial" w:hAnsi="Arial" w:cs="Arial"/>
        </w:rPr>
        <w:footnoteRef/>
      </w:r>
      <w:r w:rsidRPr="00D1408F">
        <w:rPr>
          <w:rFonts w:ascii="Arial" w:hAnsi="Arial" w:cs="Arial"/>
        </w:rPr>
        <w:t xml:space="preserve"> </w:t>
      </w:r>
      <w:r w:rsidRPr="00D1408F">
        <w:rPr>
          <w:rFonts w:ascii="Arial" w:hAnsi="Arial" w:cs="Arial"/>
          <w:lang w:val="es-MX"/>
        </w:rPr>
        <w:t>Lorena, Riveras. (2022). Servicios prestados por las cajas de compensación familiar en Colombia: Estudio de caso de buenas prácticas en dos territorios desde una perspectiva de igualdad. Página 13.</w:t>
      </w:r>
    </w:p>
  </w:footnote>
  <w:footnote w:id="3">
    <w:p w14:paraId="79A3568C" w14:textId="77777777" w:rsidR="00CD7281" w:rsidRPr="0083763E" w:rsidRDefault="00CD7281" w:rsidP="00CD7281">
      <w:pPr>
        <w:pStyle w:val="Textonotapie"/>
        <w:rPr>
          <w:rFonts w:ascii="Bookman Old Style" w:hAnsi="Bookman Old Style" w:cs="Arial"/>
          <w:sz w:val="18"/>
          <w:szCs w:val="20"/>
          <w:lang w:val="es-MX"/>
        </w:rPr>
      </w:pPr>
      <w:r w:rsidRPr="0083763E">
        <w:rPr>
          <w:rStyle w:val="Refdenotaalpie"/>
          <w:rFonts w:ascii="Bookman Old Style" w:hAnsi="Bookman Old Style" w:cs="Arial"/>
          <w:sz w:val="18"/>
          <w:szCs w:val="20"/>
        </w:rPr>
        <w:footnoteRef/>
      </w:r>
      <w:r w:rsidRPr="0083763E">
        <w:rPr>
          <w:rFonts w:ascii="Bookman Old Style" w:hAnsi="Bookman Old Style" w:cs="Arial"/>
          <w:sz w:val="18"/>
          <w:szCs w:val="20"/>
        </w:rPr>
        <w:t xml:space="preserve"> Corte Constitucional. Sentencia C-302 del 9 de septiembre de 2021, M.S. Cristina Pardo </w:t>
      </w:r>
      <w:proofErr w:type="spellStart"/>
      <w:r w:rsidRPr="0083763E">
        <w:rPr>
          <w:rFonts w:ascii="Bookman Old Style" w:hAnsi="Bookman Old Style" w:cs="Arial"/>
          <w:sz w:val="18"/>
          <w:szCs w:val="20"/>
        </w:rPr>
        <w:t>Schlesinger</w:t>
      </w:r>
      <w:proofErr w:type="spellEnd"/>
      <w:r w:rsidRPr="0083763E">
        <w:rPr>
          <w:rFonts w:ascii="Bookman Old Style" w:hAnsi="Bookman Old Style" w:cs="Arial"/>
          <w:sz w:val="18"/>
          <w:szCs w:val="20"/>
        </w:rPr>
        <w:t>.</w:t>
      </w:r>
    </w:p>
  </w:footnote>
  <w:footnote w:id="4">
    <w:p w14:paraId="0A3C2ECD" w14:textId="77777777" w:rsidR="00CD7281" w:rsidRPr="0083763E" w:rsidRDefault="00CD7281" w:rsidP="00CD7281">
      <w:pPr>
        <w:pStyle w:val="Textonotapie"/>
        <w:rPr>
          <w:rFonts w:ascii="Bookman Old Style" w:hAnsi="Bookman Old Style" w:cs="Arial"/>
          <w:sz w:val="18"/>
          <w:szCs w:val="20"/>
          <w:lang w:val="es-MX"/>
        </w:rPr>
      </w:pPr>
      <w:r w:rsidRPr="0083763E">
        <w:rPr>
          <w:rStyle w:val="Refdenotaalpie"/>
          <w:rFonts w:ascii="Bookman Old Style" w:hAnsi="Bookman Old Style" w:cs="Arial"/>
          <w:sz w:val="18"/>
          <w:szCs w:val="20"/>
        </w:rPr>
        <w:footnoteRef/>
      </w:r>
      <w:r w:rsidRPr="0083763E">
        <w:rPr>
          <w:rFonts w:ascii="Bookman Old Style" w:hAnsi="Bookman Old Style" w:cs="Arial"/>
          <w:sz w:val="18"/>
          <w:szCs w:val="20"/>
        </w:rPr>
        <w:t xml:space="preserve"> Consejo de Estado, Sala de Consulta y Servicio Civil. Sentencia del 21 de octubre de 2010, C.P. Augusto Hernández Becerra, radicado 11001-03-06-000-2010-00112-00(2042).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F748E" w14:textId="77777777" w:rsidR="00DC50CF" w:rsidRDefault="00FB34EC">
    <w:pPr>
      <w:pBdr>
        <w:top w:val="nil"/>
        <w:left w:val="nil"/>
        <w:bottom w:val="nil"/>
        <w:right w:val="nil"/>
        <w:between w:val="nil"/>
      </w:pBdr>
      <w:tabs>
        <w:tab w:val="center" w:pos="4419"/>
        <w:tab w:val="right" w:pos="8838"/>
      </w:tabs>
      <w:spacing w:after="0" w:line="240" w:lineRule="auto"/>
      <w:rPr>
        <w:color w:val="000000"/>
      </w:rPr>
    </w:pPr>
    <w:r>
      <w:rPr>
        <w:noProof/>
        <w:color w:val="000000"/>
        <w:lang w:eastAsia="es-CO"/>
      </w:rPr>
      <w:drawing>
        <wp:inline distT="0" distB="0" distL="0" distR="0" wp14:anchorId="0FFD0F43" wp14:editId="7A3F3263">
          <wp:extent cx="1953321" cy="565435"/>
          <wp:effectExtent l="0" t="0" r="0" b="0"/>
          <wp:docPr id="3" name="image3.png" descr="Resultado de imagen para camara de representantes"/>
          <wp:cNvGraphicFramePr/>
          <a:graphic xmlns:a="http://schemas.openxmlformats.org/drawingml/2006/main">
            <a:graphicData uri="http://schemas.openxmlformats.org/drawingml/2006/picture">
              <pic:pic xmlns:pic="http://schemas.openxmlformats.org/drawingml/2006/picture">
                <pic:nvPicPr>
                  <pic:cNvPr id="0" name="image3.png" descr="Resultado de imagen para camara de representantes"/>
                  <pic:cNvPicPr preferRelativeResize="0"/>
                </pic:nvPicPr>
                <pic:blipFill>
                  <a:blip r:embed="rId1"/>
                  <a:srcRect/>
                  <a:stretch>
                    <a:fillRect/>
                  </a:stretch>
                </pic:blipFill>
                <pic:spPr>
                  <a:xfrm>
                    <a:off x="0" y="0"/>
                    <a:ext cx="1953321" cy="565435"/>
                  </a:xfrm>
                  <a:prstGeom prst="rect">
                    <a:avLst/>
                  </a:prstGeom>
                  <a:ln/>
                </pic:spPr>
              </pic:pic>
            </a:graphicData>
          </a:graphic>
        </wp:inline>
      </w:drawing>
    </w:r>
    <w:r>
      <w:rPr>
        <w:noProof/>
        <w:lang w:eastAsia="es-CO"/>
      </w:rPr>
      <w:drawing>
        <wp:anchor distT="0" distB="0" distL="0" distR="0" simplePos="0" relativeHeight="251658240" behindDoc="1" locked="0" layoutInCell="1" hidden="0" allowOverlap="1" wp14:anchorId="657CF0E1" wp14:editId="0531DDC1">
          <wp:simplePos x="0" y="0"/>
          <wp:positionH relativeFrom="column">
            <wp:posOffset>3746105</wp:posOffset>
          </wp:positionH>
          <wp:positionV relativeFrom="paragraph">
            <wp:posOffset>-114989</wp:posOffset>
          </wp:positionV>
          <wp:extent cx="2114093" cy="78231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114093" cy="782310"/>
                  </a:xfrm>
                  <a:prstGeom prst="rect">
                    <a:avLst/>
                  </a:prstGeom>
                  <a:ln/>
                </pic:spPr>
              </pic:pic>
            </a:graphicData>
          </a:graphic>
        </wp:anchor>
      </w:drawing>
    </w:r>
  </w:p>
  <w:p w14:paraId="1CA72270" w14:textId="77777777" w:rsidR="00DC50CF" w:rsidRDefault="00FB34EC">
    <w:pPr>
      <w:pBdr>
        <w:top w:val="nil"/>
        <w:left w:val="nil"/>
        <w:bottom w:val="nil"/>
        <w:right w:val="nil"/>
        <w:between w:val="nil"/>
      </w:pBdr>
      <w:tabs>
        <w:tab w:val="center" w:pos="4419"/>
        <w:tab w:val="right" w:pos="8838"/>
        <w:tab w:val="left" w:pos="6754"/>
      </w:tabs>
      <w:spacing w:after="0" w:line="240" w:lineRule="auto"/>
      <w:rPr>
        <w:color w:val="000000"/>
      </w:rPr>
    </w:pPr>
    <w:r>
      <w:rPr>
        <w:color w:val="000000"/>
      </w:rPr>
      <w:t xml:space="preserve">                                     </w:t>
    </w:r>
  </w:p>
  <w:p w14:paraId="52E0D4AA" w14:textId="77777777" w:rsidR="00DC50CF" w:rsidRDefault="00FB34EC">
    <w:pPr>
      <w:pBdr>
        <w:top w:val="nil"/>
        <w:left w:val="nil"/>
        <w:bottom w:val="nil"/>
        <w:right w:val="nil"/>
        <w:between w:val="nil"/>
      </w:pBdr>
      <w:tabs>
        <w:tab w:val="center" w:pos="4419"/>
        <w:tab w:val="right" w:pos="8838"/>
        <w:tab w:val="left" w:pos="3315"/>
        <w:tab w:val="left" w:pos="6754"/>
      </w:tabs>
      <w:spacing w:after="0" w:line="240" w:lineRule="auto"/>
      <w:rPr>
        <w:rFonts w:ascii="Gill Sans" w:eastAsia="Gill Sans" w:hAnsi="Gill Sans" w:cs="Gill Sans"/>
        <w:color w:val="000000"/>
        <w:sz w:val="20"/>
        <w:szCs w:val="20"/>
      </w:rPr>
    </w:pPr>
    <w:r>
      <w:rPr>
        <w:rFonts w:ascii="Gill Sans" w:eastAsia="Gill Sans" w:hAnsi="Gill Sans" w:cs="Gill Sans"/>
        <w:color w:val="000000"/>
        <w:sz w:val="20"/>
        <w:szCs w:val="20"/>
      </w:rPr>
      <w:tab/>
    </w:r>
    <w:r>
      <w:rPr>
        <w:rFonts w:ascii="Gill Sans" w:eastAsia="Gill Sans" w:hAnsi="Gill Sans" w:cs="Gill Sans"/>
        <w:color w:val="000000"/>
        <w:sz w:val="20"/>
        <w:szCs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C4025"/>
    <w:multiLevelType w:val="hybridMultilevel"/>
    <w:tmpl w:val="046CF158"/>
    <w:lvl w:ilvl="0" w:tplc="EAC62B2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9C1005A"/>
    <w:multiLevelType w:val="hybridMultilevel"/>
    <w:tmpl w:val="E40AF75C"/>
    <w:lvl w:ilvl="0" w:tplc="3EB8697A">
      <w:start w:val="2"/>
      <w:numFmt w:val="upperRoman"/>
      <w:lvlText w:val="%1."/>
      <w:lvlJc w:val="left"/>
      <w:pPr>
        <w:ind w:left="2520" w:hanging="720"/>
      </w:pPr>
      <w:rPr>
        <w:rFonts w:hint="default"/>
      </w:rPr>
    </w:lvl>
    <w:lvl w:ilvl="1" w:tplc="240A0019">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2" w15:restartNumberingAfterBreak="0">
    <w:nsid w:val="324E0B77"/>
    <w:multiLevelType w:val="multilevel"/>
    <w:tmpl w:val="4D4A5DD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4E15BFE"/>
    <w:multiLevelType w:val="multilevel"/>
    <w:tmpl w:val="C78CDD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7455A85"/>
    <w:multiLevelType w:val="multilevel"/>
    <w:tmpl w:val="B1AEE9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777737B"/>
    <w:multiLevelType w:val="multilevel"/>
    <w:tmpl w:val="4D4A5DD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80069F5"/>
    <w:multiLevelType w:val="multilevel"/>
    <w:tmpl w:val="568EFCE2"/>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90217CA"/>
    <w:multiLevelType w:val="multilevel"/>
    <w:tmpl w:val="4E88171C"/>
    <w:lvl w:ilvl="0">
      <w:start w:val="1"/>
      <w:numFmt w:val="upperRoman"/>
      <w:lvlText w:val="%1."/>
      <w:lvlJc w:val="left"/>
      <w:pPr>
        <w:ind w:left="1713" w:hanging="720"/>
      </w:pPr>
      <w:rPr>
        <w:rFonts w:hint="default"/>
        <w:strike w:val="0"/>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8" w15:restartNumberingAfterBreak="0">
    <w:nsid w:val="4D40605C"/>
    <w:multiLevelType w:val="hybridMultilevel"/>
    <w:tmpl w:val="C75C9E10"/>
    <w:lvl w:ilvl="0" w:tplc="8D5ED840">
      <w:start w:val="4"/>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53FB1351"/>
    <w:multiLevelType w:val="hybridMultilevel"/>
    <w:tmpl w:val="5A6696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4CA7794"/>
    <w:multiLevelType w:val="multilevel"/>
    <w:tmpl w:val="7D5A65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8107E48"/>
    <w:multiLevelType w:val="hybridMultilevel"/>
    <w:tmpl w:val="1370248C"/>
    <w:lvl w:ilvl="0" w:tplc="6CC2B9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131D21"/>
    <w:multiLevelType w:val="hybridMultilevel"/>
    <w:tmpl w:val="5A08795C"/>
    <w:lvl w:ilvl="0" w:tplc="2494B208">
      <w:start w:val="6"/>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7A83491E"/>
    <w:multiLevelType w:val="hybridMultilevel"/>
    <w:tmpl w:val="44FE581A"/>
    <w:lvl w:ilvl="0" w:tplc="08DADB5E">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7EC3659C"/>
    <w:multiLevelType w:val="hybridMultilevel"/>
    <w:tmpl w:val="51686B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3"/>
  </w:num>
  <w:num w:numId="4">
    <w:abstractNumId w:val="7"/>
  </w:num>
  <w:num w:numId="5">
    <w:abstractNumId w:val="1"/>
  </w:num>
  <w:num w:numId="6">
    <w:abstractNumId w:val="9"/>
  </w:num>
  <w:num w:numId="7">
    <w:abstractNumId w:val="14"/>
  </w:num>
  <w:num w:numId="8">
    <w:abstractNumId w:val="11"/>
  </w:num>
  <w:num w:numId="9">
    <w:abstractNumId w:val="2"/>
  </w:num>
  <w:num w:numId="10">
    <w:abstractNumId w:val="5"/>
  </w:num>
  <w:num w:numId="11">
    <w:abstractNumId w:val="8"/>
  </w:num>
  <w:num w:numId="12">
    <w:abstractNumId w:val="3"/>
  </w:num>
  <w:num w:numId="13">
    <w:abstractNumId w:val="6"/>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0CF"/>
    <w:rsid w:val="00051FDC"/>
    <w:rsid w:val="00084F2F"/>
    <w:rsid w:val="00090784"/>
    <w:rsid w:val="000D5DD1"/>
    <w:rsid w:val="00122AAD"/>
    <w:rsid w:val="00191E09"/>
    <w:rsid w:val="001E5DDA"/>
    <w:rsid w:val="00295362"/>
    <w:rsid w:val="002A13CE"/>
    <w:rsid w:val="002A2940"/>
    <w:rsid w:val="002A6879"/>
    <w:rsid w:val="003037BE"/>
    <w:rsid w:val="003163FA"/>
    <w:rsid w:val="00325645"/>
    <w:rsid w:val="00332ED1"/>
    <w:rsid w:val="00367D36"/>
    <w:rsid w:val="00382B51"/>
    <w:rsid w:val="00402270"/>
    <w:rsid w:val="00407084"/>
    <w:rsid w:val="00415975"/>
    <w:rsid w:val="00462A64"/>
    <w:rsid w:val="0055529C"/>
    <w:rsid w:val="00654A3D"/>
    <w:rsid w:val="006751B3"/>
    <w:rsid w:val="006E6411"/>
    <w:rsid w:val="00721179"/>
    <w:rsid w:val="00732C7E"/>
    <w:rsid w:val="00757ED5"/>
    <w:rsid w:val="00775263"/>
    <w:rsid w:val="007B7A33"/>
    <w:rsid w:val="007D5E49"/>
    <w:rsid w:val="007E61F2"/>
    <w:rsid w:val="00874761"/>
    <w:rsid w:val="008875AE"/>
    <w:rsid w:val="008E0AE5"/>
    <w:rsid w:val="008E2C64"/>
    <w:rsid w:val="00970145"/>
    <w:rsid w:val="009C0E92"/>
    <w:rsid w:val="009F0253"/>
    <w:rsid w:val="00A0650F"/>
    <w:rsid w:val="00A479D3"/>
    <w:rsid w:val="00A800AE"/>
    <w:rsid w:val="00A81DB8"/>
    <w:rsid w:val="00A918DD"/>
    <w:rsid w:val="00AA31FA"/>
    <w:rsid w:val="00AB1E14"/>
    <w:rsid w:val="00B3587D"/>
    <w:rsid w:val="00B63FC2"/>
    <w:rsid w:val="00B7783E"/>
    <w:rsid w:val="00BD034C"/>
    <w:rsid w:val="00BD356E"/>
    <w:rsid w:val="00C078B9"/>
    <w:rsid w:val="00CD7281"/>
    <w:rsid w:val="00CF7C02"/>
    <w:rsid w:val="00D13E8F"/>
    <w:rsid w:val="00D1408F"/>
    <w:rsid w:val="00D44414"/>
    <w:rsid w:val="00D83C27"/>
    <w:rsid w:val="00DB3D19"/>
    <w:rsid w:val="00DC50CF"/>
    <w:rsid w:val="00E86DB5"/>
    <w:rsid w:val="00EB1DC6"/>
    <w:rsid w:val="00F70941"/>
    <w:rsid w:val="00F74221"/>
    <w:rsid w:val="00FA1E87"/>
    <w:rsid w:val="00FB34EC"/>
    <w:rsid w:val="00FB4B99"/>
    <w:rsid w:val="00FC2D6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892A0"/>
  <w15:docId w15:val="{CF64199E-59D8-49C9-A1FF-AD5F82CD7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ES_trad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2E75B5"/>
      <w:sz w:val="32"/>
      <w:szCs w:val="32"/>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40" w:after="0"/>
      <w:outlineLvl w:val="2"/>
    </w:pPr>
    <w:rPr>
      <w:color w:val="1E4D78"/>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654A3D"/>
    <w:pPr>
      <w:spacing w:after="0" w:line="240" w:lineRule="auto"/>
    </w:pPr>
    <w:rPr>
      <w:rFonts w:asciiTheme="minorHAnsi" w:eastAsiaTheme="minorHAnsi" w:hAnsiTheme="minorHAnsi" w:cstheme="minorBidi"/>
      <w:lang w:eastAsia="en-US"/>
    </w:rPr>
  </w:style>
  <w:style w:type="paragraph" w:styleId="Textonotapie">
    <w:name w:val="footnote text"/>
    <w:aliases w:val="Ref. de nota al pie1,referencia nota al pie,Appel note de bas de page,FC,Texto de nota al pie,Footnotes refss,Footnote number,BVI fnr,f,Ref. de nota al pie 2,Nota de pie,Texto nota al pie,4_G,16 Point,Superscript 6 Point,R,Ref1,FA Fu"/>
    <w:basedOn w:val="Normal"/>
    <w:link w:val="TextonotapieCar1"/>
    <w:uiPriority w:val="99"/>
    <w:rsid w:val="00654A3D"/>
    <w:pPr>
      <w:spacing w:after="0" w:line="240" w:lineRule="auto"/>
      <w:jc w:val="both"/>
    </w:pPr>
    <w:rPr>
      <w:rFonts w:ascii="Times New Roman" w:eastAsia="MS Mincho" w:hAnsi="Times New Roman" w:cs="Times New Roman"/>
      <w:sz w:val="20"/>
      <w:szCs w:val="24"/>
      <w:lang w:val="es-ES" w:eastAsia="es-ES"/>
    </w:rPr>
  </w:style>
  <w:style w:type="character" w:customStyle="1" w:styleId="TextonotapieCar">
    <w:name w:val="Texto nota pie Car"/>
    <w:basedOn w:val="Fuentedeprrafopredeter"/>
    <w:uiPriority w:val="99"/>
    <w:semiHidden/>
    <w:rsid w:val="00654A3D"/>
    <w:rPr>
      <w:sz w:val="20"/>
      <w:szCs w:val="20"/>
    </w:rPr>
  </w:style>
  <w:style w:type="character" w:customStyle="1" w:styleId="TextonotapieCar1">
    <w:name w:val="Texto nota pie Car1"/>
    <w:aliases w:val="Ref. de nota al pie1 Car,referencia nota al pie Car,Appel note de bas de page Car,FC Car,Texto de nota al pie Car,Footnotes refss Car,Footnote number Car,BVI fnr Car,f Car,Ref. de nota al pie 2 Car,Nota de pie Car,4_G Car,R Car"/>
    <w:link w:val="Textonotapie"/>
    <w:uiPriority w:val="99"/>
    <w:locked/>
    <w:rsid w:val="00654A3D"/>
    <w:rPr>
      <w:rFonts w:ascii="Times New Roman" w:eastAsia="MS Mincho" w:hAnsi="Times New Roman" w:cs="Times New Roman"/>
      <w:sz w:val="20"/>
      <w:szCs w:val="24"/>
      <w:lang w:val="es-ES" w:eastAsia="es-ES"/>
    </w:rPr>
  </w:style>
  <w:style w:type="paragraph" w:styleId="Prrafodelista">
    <w:name w:val="List Paragraph"/>
    <w:basedOn w:val="Normal"/>
    <w:uiPriority w:val="34"/>
    <w:qFormat/>
    <w:rsid w:val="00654A3D"/>
    <w:pPr>
      <w:ind w:left="720"/>
      <w:contextualSpacing/>
    </w:pPr>
  </w:style>
  <w:style w:type="character" w:styleId="Refdenotaalpie">
    <w:name w:val="footnote reference"/>
    <w:basedOn w:val="Fuentedeprrafopredeter"/>
    <w:uiPriority w:val="99"/>
    <w:semiHidden/>
    <w:unhideWhenUsed/>
    <w:rsid w:val="00732C7E"/>
    <w:rPr>
      <w:vertAlign w:val="superscript"/>
    </w:rPr>
  </w:style>
  <w:style w:type="character" w:styleId="Hipervnculo">
    <w:name w:val="Hyperlink"/>
    <w:basedOn w:val="Fuentedeprrafopredeter"/>
    <w:uiPriority w:val="99"/>
    <w:unhideWhenUsed/>
    <w:rsid w:val="00732C7E"/>
    <w:rPr>
      <w:color w:val="0000FF" w:themeColor="hyperlink"/>
      <w:u w:val="single"/>
    </w:rPr>
  </w:style>
  <w:style w:type="paragraph" w:styleId="Textodeglobo">
    <w:name w:val="Balloon Text"/>
    <w:basedOn w:val="Normal"/>
    <w:link w:val="TextodegloboCar"/>
    <w:uiPriority w:val="99"/>
    <w:semiHidden/>
    <w:unhideWhenUsed/>
    <w:rsid w:val="008747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4761"/>
    <w:rPr>
      <w:rFonts w:ascii="Segoe UI" w:hAnsi="Segoe UI" w:cs="Segoe UI"/>
      <w:sz w:val="18"/>
      <w:szCs w:val="18"/>
    </w:rPr>
  </w:style>
  <w:style w:type="table" w:styleId="Tablaconcuadrcula">
    <w:name w:val="Table Grid"/>
    <w:basedOn w:val="Tablanormal"/>
    <w:uiPriority w:val="39"/>
    <w:rsid w:val="00295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A0D29-1F0F-4199-BBA7-144F2F70B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6082</Words>
  <Characters>33456</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Pedro Mendivil</dc:creator>
  <cp:lastModifiedBy>Katerin Yulieth Vergara Tova</cp:lastModifiedBy>
  <cp:revision>2</cp:revision>
  <cp:lastPrinted>2023-12-11T19:32:00Z</cp:lastPrinted>
  <dcterms:created xsi:type="dcterms:W3CDTF">2024-07-22T22:46:00Z</dcterms:created>
  <dcterms:modified xsi:type="dcterms:W3CDTF">2024-07-22T22:46:00Z</dcterms:modified>
</cp:coreProperties>
</file>