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9AF86" w14:textId="3847C277" w:rsidR="00422BEC" w:rsidRDefault="00422BEC" w:rsidP="00422BEC">
      <w:pPr>
        <w:spacing w:before="0" w:after="0"/>
        <w:rPr>
          <w:rFonts w:ascii="Arial" w:eastAsia="Times New Roman" w:hAnsi="Arial" w:cs="Arial"/>
          <w:b/>
          <w:bCs/>
          <w:sz w:val="22"/>
          <w:lang w:eastAsia="es-CO"/>
        </w:rPr>
      </w:pPr>
      <w:r w:rsidRPr="002A7A62">
        <w:rPr>
          <w:rFonts w:ascii="Arial" w:eastAsia="Times New Roman" w:hAnsi="Arial" w:cs="Arial"/>
          <w:b/>
          <w:bCs/>
          <w:sz w:val="22"/>
          <w:lang w:eastAsia="es-CO"/>
        </w:rPr>
        <w:t>EJECUCIÓN PRESUPUESTAL DE GASTOS</w:t>
      </w:r>
    </w:p>
    <w:p w14:paraId="2D5C8005" w14:textId="77777777" w:rsidR="00422BEC" w:rsidRPr="002A7A62" w:rsidRDefault="00422BEC" w:rsidP="00422BEC">
      <w:pPr>
        <w:spacing w:line="276" w:lineRule="auto"/>
        <w:jc w:val="both"/>
        <w:rPr>
          <w:rFonts w:ascii="Arial" w:eastAsia="Times New Roman" w:hAnsi="Arial" w:cs="Arial"/>
          <w:sz w:val="22"/>
          <w:lang w:eastAsia="es-CO"/>
        </w:rPr>
      </w:pPr>
      <w:r w:rsidRPr="002A7A62">
        <w:rPr>
          <w:rFonts w:ascii="Arial" w:eastAsia="Times New Roman" w:hAnsi="Arial" w:cs="Arial"/>
          <w:sz w:val="22"/>
          <w:lang w:eastAsia="es-CO"/>
        </w:rPr>
        <w:t>Mediante Ley No. 2342 del 15 de diciembre de 2023 “Por la cual se decreta el presupuesto de rentas y recursos de capital y ley de apropiaciones para la vigencia fiscal del 1 de enero al 31 de diciembre de 2024” y el Decreto No. 2295 del 29 de diciembre de 2023, se asignaron recursos del Presupuesto General de la Nación para la Superintendencia Nacional de Salud por</w:t>
      </w:r>
      <w:r>
        <w:rPr>
          <w:rFonts w:ascii="Arial" w:eastAsia="Times New Roman" w:hAnsi="Arial" w:cs="Arial"/>
          <w:sz w:val="22"/>
          <w:lang w:eastAsia="es-CO"/>
        </w:rPr>
        <w:t xml:space="preserve"> la suma de </w:t>
      </w:r>
      <w:r w:rsidRPr="002A7A62">
        <w:rPr>
          <w:rFonts w:ascii="Arial" w:eastAsia="Times New Roman" w:hAnsi="Arial" w:cs="Arial"/>
          <w:sz w:val="22"/>
          <w:lang w:eastAsia="es-CO"/>
        </w:rPr>
        <w:t>$308.896</w:t>
      </w:r>
      <w:r>
        <w:rPr>
          <w:rFonts w:ascii="Arial" w:eastAsia="Times New Roman" w:hAnsi="Arial" w:cs="Arial"/>
          <w:sz w:val="22"/>
          <w:lang w:eastAsia="es-CO"/>
        </w:rPr>
        <w:t xml:space="preserve"> millones</w:t>
      </w:r>
      <w:r w:rsidRPr="002A7A62">
        <w:rPr>
          <w:rFonts w:ascii="Arial" w:eastAsia="Times New Roman" w:hAnsi="Arial" w:cs="Arial"/>
          <w:sz w:val="22"/>
          <w:lang w:eastAsia="es-CO"/>
        </w:rPr>
        <w:t>, de los cuales $229.183</w:t>
      </w:r>
      <w:r>
        <w:rPr>
          <w:rFonts w:ascii="Arial" w:eastAsia="Times New Roman" w:hAnsi="Arial" w:cs="Arial"/>
          <w:sz w:val="22"/>
          <w:lang w:eastAsia="es-CO"/>
        </w:rPr>
        <w:t xml:space="preserve"> millones </w:t>
      </w:r>
      <w:r w:rsidRPr="002A7A62">
        <w:rPr>
          <w:rFonts w:ascii="Arial" w:eastAsia="Times New Roman" w:hAnsi="Arial" w:cs="Arial"/>
          <w:sz w:val="22"/>
          <w:lang w:eastAsia="es-CO"/>
        </w:rPr>
        <w:t xml:space="preserve"> (74%) corresponden a gastos de funcionamiento y $79.713</w:t>
      </w:r>
      <w:r>
        <w:rPr>
          <w:rFonts w:ascii="Arial" w:eastAsia="Times New Roman" w:hAnsi="Arial" w:cs="Arial"/>
          <w:sz w:val="22"/>
          <w:lang w:eastAsia="es-CO"/>
        </w:rPr>
        <w:t xml:space="preserve"> millones </w:t>
      </w:r>
      <w:r w:rsidRPr="002A7A62">
        <w:rPr>
          <w:rFonts w:ascii="Arial" w:eastAsia="Times New Roman" w:hAnsi="Arial" w:cs="Arial"/>
          <w:sz w:val="22"/>
          <w:lang w:eastAsia="es-CO"/>
        </w:rPr>
        <w:t>(26%) a inversión, como se muestra en la siguiente gráfica:</w:t>
      </w:r>
    </w:p>
    <w:p w14:paraId="50A816CF" w14:textId="77777777" w:rsidR="00422BEC" w:rsidRPr="00496D40" w:rsidRDefault="00422BEC" w:rsidP="00422BEC">
      <w:pPr>
        <w:spacing w:line="240" w:lineRule="auto"/>
        <w:jc w:val="center"/>
        <w:rPr>
          <w:rFonts w:eastAsia="Times New Roman" w:cs="Arial"/>
          <w:b/>
          <w:bCs/>
          <w:sz w:val="22"/>
          <w:lang w:eastAsia="es-CO"/>
        </w:rPr>
      </w:pPr>
      <w:r w:rsidRPr="00496D40">
        <w:rPr>
          <w:rFonts w:eastAsia="Times New Roman" w:cs="Arial"/>
          <w:b/>
          <w:bCs/>
          <w:sz w:val="22"/>
          <w:lang w:eastAsia="es-CO"/>
        </w:rPr>
        <w:t>Apropiación Presupuestal Vigencia 2024</w:t>
      </w:r>
    </w:p>
    <w:p w14:paraId="5B7FEF9E" w14:textId="7ABB24BC" w:rsidR="00422BEC" w:rsidRDefault="00422BEC" w:rsidP="00422BEC">
      <w:pPr>
        <w:spacing w:before="0" w:after="0" w:line="240" w:lineRule="auto"/>
        <w:jc w:val="center"/>
        <w:rPr>
          <w:rFonts w:eastAsia="Times New Roman" w:cs="Arial"/>
          <w:sz w:val="16"/>
          <w:szCs w:val="16"/>
          <w:lang w:eastAsia="es-CO"/>
        </w:rPr>
      </w:pPr>
      <w:r>
        <w:rPr>
          <w:noProof/>
        </w:rPr>
        <w:drawing>
          <wp:inline distT="0" distB="0" distL="0" distR="0" wp14:anchorId="56187A3B" wp14:editId="0416109D">
            <wp:extent cx="4004868" cy="2049780"/>
            <wp:effectExtent l="0" t="0" r="0" b="7620"/>
            <wp:docPr id="1786522554" name="Imagen 1" descr="Interfaz de usuario gráfica, Aplicación, Tabla, Exce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522554" name="Imagen 1" descr="Interfaz de usuario gráfica, Aplicación, Tabla, Excel&#10;&#10;Descripción generada automáticamente"/>
                    <pic:cNvPicPr/>
                  </pic:nvPicPr>
                  <pic:blipFill rotWithShape="1">
                    <a:blip r:embed="rId12"/>
                    <a:srcRect l="36691" t="56040" r="39877" b="20858"/>
                    <a:stretch/>
                  </pic:blipFill>
                  <pic:spPr bwMode="auto">
                    <a:xfrm>
                      <a:off x="0" y="0"/>
                      <a:ext cx="4007735" cy="20512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372D90" w14:textId="77777777" w:rsidR="00422BEC" w:rsidRDefault="00422BEC" w:rsidP="00422BEC">
      <w:pPr>
        <w:spacing w:before="0"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  <w:r>
        <w:rPr>
          <w:rFonts w:ascii="Arial" w:eastAsia="Times New Roman" w:hAnsi="Arial" w:cs="Arial"/>
          <w:sz w:val="22"/>
          <w:lang w:eastAsia="es-CO"/>
        </w:rPr>
        <w:t>De la apropiación asignada a la Superintendencia Nacional de Salud en el presupuesto de gastos por $308.896 millones c</w:t>
      </w:r>
      <w:r w:rsidRPr="002A7A62">
        <w:rPr>
          <w:rFonts w:ascii="Arial" w:eastAsia="Times New Roman" w:hAnsi="Arial" w:cs="Arial"/>
          <w:sz w:val="22"/>
          <w:lang w:eastAsia="es-CO"/>
        </w:rPr>
        <w:t xml:space="preserve">on corte al </w:t>
      </w:r>
      <w:r>
        <w:rPr>
          <w:rFonts w:ascii="Arial" w:eastAsia="Times New Roman" w:hAnsi="Arial" w:cs="Arial"/>
          <w:sz w:val="22"/>
          <w:lang w:eastAsia="es-CO"/>
        </w:rPr>
        <w:t>30</w:t>
      </w:r>
      <w:r w:rsidRPr="002A7A62">
        <w:rPr>
          <w:rFonts w:ascii="Arial" w:eastAsia="Times New Roman" w:hAnsi="Arial" w:cs="Arial"/>
          <w:sz w:val="22"/>
          <w:lang w:eastAsia="es-CO"/>
        </w:rPr>
        <w:t xml:space="preserve"> de </w:t>
      </w:r>
      <w:r>
        <w:rPr>
          <w:rFonts w:ascii="Arial" w:eastAsia="Times New Roman" w:hAnsi="Arial" w:cs="Arial"/>
          <w:sz w:val="22"/>
          <w:lang w:eastAsia="es-CO"/>
        </w:rPr>
        <w:t>abril</w:t>
      </w:r>
      <w:r w:rsidRPr="002A7A62">
        <w:rPr>
          <w:rFonts w:ascii="Arial" w:eastAsia="Times New Roman" w:hAnsi="Arial" w:cs="Arial"/>
          <w:sz w:val="22"/>
          <w:lang w:eastAsia="es-CO"/>
        </w:rPr>
        <w:t xml:space="preserve"> de 2024</w:t>
      </w:r>
      <w:r>
        <w:rPr>
          <w:rFonts w:ascii="Arial" w:eastAsia="Times New Roman" w:hAnsi="Arial" w:cs="Arial"/>
          <w:sz w:val="22"/>
          <w:lang w:eastAsia="es-CO"/>
        </w:rPr>
        <w:t xml:space="preserve">, se han ejecutado compromisos por la suma de </w:t>
      </w:r>
      <w:r w:rsidRPr="002A7A62">
        <w:rPr>
          <w:rFonts w:ascii="Arial" w:eastAsia="Times New Roman" w:hAnsi="Arial" w:cs="Arial"/>
          <w:sz w:val="22"/>
          <w:lang w:eastAsia="es-CO"/>
        </w:rPr>
        <w:t>$</w:t>
      </w:r>
      <w:r>
        <w:rPr>
          <w:rFonts w:ascii="Arial" w:eastAsia="Times New Roman" w:hAnsi="Arial" w:cs="Arial"/>
          <w:sz w:val="22"/>
          <w:lang w:eastAsia="es-CO"/>
        </w:rPr>
        <w:t>92.685 (30</w:t>
      </w:r>
      <w:r w:rsidRPr="002A7A62">
        <w:rPr>
          <w:rFonts w:ascii="Arial" w:eastAsia="Times New Roman" w:hAnsi="Arial" w:cs="Arial"/>
          <w:sz w:val="22"/>
          <w:lang w:eastAsia="es-CO"/>
        </w:rPr>
        <w:t>%</w:t>
      </w:r>
      <w:r>
        <w:rPr>
          <w:rFonts w:ascii="Arial" w:eastAsia="Times New Roman" w:hAnsi="Arial" w:cs="Arial"/>
          <w:sz w:val="22"/>
          <w:lang w:eastAsia="es-CO"/>
        </w:rPr>
        <w:t>), de los cuales $73.086 millones (32%) corresponden al presupuesto de funcionamiento y $19.599 millones (25%) a inversión; respecto a o</w:t>
      </w:r>
      <w:r w:rsidRPr="002A7A62">
        <w:rPr>
          <w:rFonts w:ascii="Arial" w:eastAsia="Times New Roman" w:hAnsi="Arial" w:cs="Arial"/>
          <w:sz w:val="22"/>
          <w:lang w:eastAsia="es-CO"/>
        </w:rPr>
        <w:t>bligaciones</w:t>
      </w:r>
      <w:r>
        <w:rPr>
          <w:rFonts w:ascii="Arial" w:eastAsia="Times New Roman" w:hAnsi="Arial" w:cs="Arial"/>
          <w:sz w:val="22"/>
          <w:lang w:eastAsia="es-CO"/>
        </w:rPr>
        <w:t xml:space="preserve"> la ejecución presupuestal es de $60.550 millones (20%), de los cuales $54.577 millones (24%)  corresponden a funcionamiento y $5.972 millones (7%) a Inversión,</w:t>
      </w:r>
      <w:r w:rsidRPr="002A7A62">
        <w:rPr>
          <w:rFonts w:ascii="Arial" w:eastAsia="Times New Roman" w:hAnsi="Arial" w:cs="Arial"/>
          <w:sz w:val="22"/>
          <w:lang w:eastAsia="es-CO"/>
        </w:rPr>
        <w:t xml:space="preserve"> así:</w:t>
      </w:r>
    </w:p>
    <w:p w14:paraId="5F65200C" w14:textId="77777777" w:rsidR="00422BEC" w:rsidRDefault="00422BEC" w:rsidP="00422BEC">
      <w:pPr>
        <w:spacing w:before="0"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</w:p>
    <w:p w14:paraId="4F6249C6" w14:textId="77777777" w:rsidR="00422BEC" w:rsidRPr="00F0395B" w:rsidRDefault="00422BEC" w:rsidP="00422BEC">
      <w:pPr>
        <w:spacing w:before="0" w:after="0" w:line="240" w:lineRule="auto"/>
        <w:jc w:val="center"/>
        <w:rPr>
          <w:rFonts w:ascii="Arial" w:hAnsi="Arial" w:cs="Arial"/>
          <w:b/>
          <w:bCs/>
          <w:sz w:val="22"/>
        </w:rPr>
      </w:pPr>
      <w:r w:rsidRPr="00F0395B">
        <w:rPr>
          <w:rFonts w:ascii="Arial" w:hAnsi="Arial" w:cs="Arial"/>
          <w:b/>
          <w:bCs/>
          <w:sz w:val="22"/>
        </w:rPr>
        <w:t>Ejecución presupuestal de gastos acumulada a</w:t>
      </w:r>
      <w:r>
        <w:rPr>
          <w:rFonts w:ascii="Arial" w:hAnsi="Arial" w:cs="Arial"/>
          <w:b/>
          <w:bCs/>
          <w:sz w:val="22"/>
        </w:rPr>
        <w:t xml:space="preserve"> 30 de abril de </w:t>
      </w:r>
      <w:r w:rsidRPr="00F0395B">
        <w:rPr>
          <w:rFonts w:ascii="Arial" w:hAnsi="Arial" w:cs="Arial"/>
          <w:b/>
          <w:bCs/>
          <w:sz w:val="22"/>
        </w:rPr>
        <w:t>202</w:t>
      </w:r>
      <w:r>
        <w:rPr>
          <w:rFonts w:ascii="Arial" w:hAnsi="Arial" w:cs="Arial"/>
          <w:b/>
          <w:bCs/>
          <w:sz w:val="22"/>
        </w:rPr>
        <w:t>4</w:t>
      </w:r>
      <w:r w:rsidRPr="00F0395B">
        <w:rPr>
          <w:rFonts w:ascii="Arial" w:hAnsi="Arial" w:cs="Arial"/>
          <w:b/>
          <w:bCs/>
          <w:sz w:val="22"/>
        </w:rPr>
        <w:t xml:space="preserve"> </w:t>
      </w:r>
    </w:p>
    <w:p w14:paraId="08B51F27" w14:textId="77777777" w:rsidR="00422BEC" w:rsidRDefault="00422BEC" w:rsidP="00422BEC">
      <w:pPr>
        <w:spacing w:before="0" w:after="0" w:line="240" w:lineRule="auto"/>
        <w:jc w:val="center"/>
        <w:rPr>
          <w:rFonts w:ascii="Arial" w:hAnsi="Arial" w:cs="Arial"/>
          <w:sz w:val="22"/>
        </w:rPr>
      </w:pPr>
    </w:p>
    <w:p w14:paraId="2778D610" w14:textId="77777777" w:rsidR="00422BEC" w:rsidRPr="00496D40" w:rsidRDefault="00422BEC" w:rsidP="00276F99">
      <w:pPr>
        <w:spacing w:before="0" w:after="0" w:line="240" w:lineRule="auto"/>
        <w:ind w:left="4956" w:firstLine="708"/>
        <w:jc w:val="center"/>
        <w:rPr>
          <w:rFonts w:eastAsia="Times New Roman" w:cs="Arial"/>
          <w:sz w:val="16"/>
          <w:szCs w:val="16"/>
          <w:lang w:eastAsia="es-CO"/>
        </w:rPr>
      </w:pPr>
      <w:r w:rsidRPr="00EA4751">
        <w:rPr>
          <w:rFonts w:ascii="Arial" w:hAnsi="Arial" w:cs="Arial"/>
          <w:i/>
          <w:iCs/>
          <w:sz w:val="18"/>
          <w:szCs w:val="18"/>
        </w:rPr>
        <w:t>Cifras en millones de pesos</w:t>
      </w:r>
    </w:p>
    <w:tbl>
      <w:tblPr>
        <w:tblW w:w="4698" w:type="pct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065"/>
        <w:gridCol w:w="1641"/>
        <w:gridCol w:w="1040"/>
        <w:gridCol w:w="798"/>
        <w:gridCol w:w="1216"/>
        <w:gridCol w:w="883"/>
        <w:gridCol w:w="652"/>
      </w:tblGrid>
      <w:tr w:rsidR="00422BEC" w:rsidRPr="00657EDF" w14:paraId="6DA9D02D" w14:textId="77777777" w:rsidTr="00422BEC">
        <w:trPr>
          <w:trHeight w:val="184"/>
          <w:jc w:val="center"/>
        </w:trPr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1B8F4CF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>TIPO DE GASTO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F94909B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>APROPIACIÓN VIGENTE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46CAFF0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>COMPROMISOS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78A64F7E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 xml:space="preserve">SALDO X EJECUTAR 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F4495A7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>OBLIGACIÓN</w:t>
            </w:r>
          </w:p>
        </w:tc>
      </w:tr>
      <w:tr w:rsidR="00422BEC" w:rsidRPr="00657EDF" w14:paraId="622FA79F" w14:textId="77777777" w:rsidTr="00422BEC">
        <w:trPr>
          <w:trHeight w:val="184"/>
          <w:jc w:val="center"/>
        </w:trPr>
        <w:tc>
          <w:tcPr>
            <w:tcW w:w="1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464F" w14:textId="77777777" w:rsidR="00422BEC" w:rsidRPr="00791F03" w:rsidRDefault="00422BEC" w:rsidP="002A0454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1733" w14:textId="77777777" w:rsidR="00422BEC" w:rsidRPr="00791F03" w:rsidRDefault="00422BEC" w:rsidP="002A0454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5273DFF1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 xml:space="preserve">VALOR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4262F080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>%</w:t>
            </w:r>
          </w:p>
        </w:tc>
        <w:tc>
          <w:tcPr>
            <w:tcW w:w="7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3112" w14:textId="77777777" w:rsidR="00422BEC" w:rsidRPr="00791F03" w:rsidRDefault="00422BEC" w:rsidP="002A0454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70B45FD2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 xml:space="preserve">VALOR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52CCE4CA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>%</w:t>
            </w:r>
          </w:p>
        </w:tc>
      </w:tr>
      <w:tr w:rsidR="00422BEC" w:rsidRPr="00657EDF" w14:paraId="67AE6E68" w14:textId="77777777" w:rsidTr="00422BEC">
        <w:trPr>
          <w:trHeight w:val="165"/>
          <w:jc w:val="center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69C2" w14:textId="77777777" w:rsidR="00422BEC" w:rsidRPr="00791F03" w:rsidRDefault="00422BEC" w:rsidP="002A0454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>FUNCIONAMIENTO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C2000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 xml:space="preserve">229.183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050A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 xml:space="preserve"> 73.086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41EC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>32%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ED26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 xml:space="preserve">156.096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B2A7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 xml:space="preserve">54.577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A76F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>24%</w:t>
            </w:r>
          </w:p>
        </w:tc>
      </w:tr>
      <w:tr w:rsidR="00422BEC" w:rsidRPr="00657EDF" w14:paraId="6833CBAC" w14:textId="77777777" w:rsidTr="00422BEC">
        <w:trPr>
          <w:trHeight w:val="165"/>
          <w:jc w:val="center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6D44" w14:textId="77777777" w:rsidR="00422BEC" w:rsidRPr="00791F03" w:rsidRDefault="00422BEC" w:rsidP="002A0454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>INVERSION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2893D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 xml:space="preserve">79.713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6476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 xml:space="preserve"> 19.599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EE03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>25%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DFB3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 xml:space="preserve">60.115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DC47A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 xml:space="preserve"> 5.972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25C2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CO"/>
              </w:rPr>
              <w:t>7%</w:t>
            </w:r>
          </w:p>
        </w:tc>
      </w:tr>
      <w:tr w:rsidR="00422BEC" w:rsidRPr="00657EDF" w14:paraId="5A9F1F24" w14:textId="77777777" w:rsidTr="00422BEC">
        <w:trPr>
          <w:trHeight w:val="211"/>
          <w:jc w:val="center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6197AE6" w14:textId="77777777" w:rsidR="00422BEC" w:rsidRPr="00791F03" w:rsidRDefault="00422BEC" w:rsidP="002A0454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proofErr w:type="gramStart"/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>TOTAL</w:t>
            </w:r>
            <w:proofErr w:type="gramEnd"/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 xml:space="preserve"> PRESUPUESTO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3A8C953C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 xml:space="preserve">308.896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A413AD8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 xml:space="preserve"> 92.685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537B1E40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>30%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3544566A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 xml:space="preserve">216.211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9B40032" w14:textId="77777777" w:rsidR="00422BEC" w:rsidRPr="00791F03" w:rsidRDefault="00422BEC" w:rsidP="002A0454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 xml:space="preserve">60.550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9782FEB" w14:textId="77777777" w:rsidR="00422BEC" w:rsidRPr="00791F03" w:rsidRDefault="00422BEC" w:rsidP="002A0454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</w:pPr>
            <w:r w:rsidRPr="00791F03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  <w:lang w:eastAsia="es-CO"/>
              </w:rPr>
              <w:t>20%</w:t>
            </w:r>
          </w:p>
        </w:tc>
      </w:tr>
    </w:tbl>
    <w:p w14:paraId="69D0CF48" w14:textId="77777777" w:rsidR="00422BEC" w:rsidRDefault="00422BEC" w:rsidP="00422BEC">
      <w:pPr>
        <w:spacing w:before="0" w:after="0" w:line="24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D17C705" w14:textId="77777777" w:rsidR="00422BEC" w:rsidRPr="00225EE9" w:rsidRDefault="00422BEC" w:rsidP="00422BEC">
      <w:pPr>
        <w:spacing w:before="0" w:after="0" w:line="240" w:lineRule="auto"/>
        <w:rPr>
          <w:rFonts w:ascii="Arial" w:hAnsi="Arial" w:cs="Arial"/>
          <w:b/>
          <w:bCs/>
          <w:sz w:val="22"/>
          <w:u w:val="single"/>
        </w:rPr>
      </w:pPr>
      <w:r w:rsidRPr="00225EE9">
        <w:rPr>
          <w:rFonts w:ascii="Arial" w:hAnsi="Arial" w:cs="Arial"/>
          <w:b/>
          <w:bCs/>
          <w:sz w:val="22"/>
          <w:u w:val="single"/>
        </w:rPr>
        <w:lastRenderedPageBreak/>
        <w:t>Presupuesto de Funcionamiento.</w:t>
      </w:r>
    </w:p>
    <w:p w14:paraId="343AC509" w14:textId="77777777" w:rsidR="00422BEC" w:rsidRPr="00225EE9" w:rsidRDefault="00422BEC" w:rsidP="00422BEC">
      <w:pPr>
        <w:spacing w:before="0"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</w:p>
    <w:p w14:paraId="4DA5C947" w14:textId="77777777" w:rsidR="00422BEC" w:rsidRPr="00225EE9" w:rsidRDefault="00422BEC" w:rsidP="00422BEC">
      <w:pPr>
        <w:spacing w:after="0" w:line="240" w:lineRule="auto"/>
        <w:jc w:val="both"/>
        <w:rPr>
          <w:rFonts w:ascii="Arial" w:hAnsi="Arial" w:cs="Arial"/>
          <w:sz w:val="22"/>
          <w:szCs w:val="20"/>
        </w:rPr>
      </w:pPr>
      <w:r w:rsidRPr="00225EE9">
        <w:rPr>
          <w:rFonts w:ascii="Arial" w:hAnsi="Arial" w:cs="Arial"/>
          <w:sz w:val="22"/>
          <w:szCs w:val="20"/>
        </w:rPr>
        <w:t>En el presupuesto de funcionamiento frente a la apropiación de $229.183 millones de pesos, se han ejecutado recursos por la suma de $</w:t>
      </w:r>
      <w:r>
        <w:rPr>
          <w:rFonts w:ascii="Arial" w:hAnsi="Arial" w:cs="Arial"/>
          <w:sz w:val="22"/>
          <w:szCs w:val="20"/>
        </w:rPr>
        <w:t xml:space="preserve">73.086 </w:t>
      </w:r>
      <w:r w:rsidRPr="00225EE9">
        <w:rPr>
          <w:rFonts w:ascii="Arial" w:hAnsi="Arial" w:cs="Arial"/>
          <w:sz w:val="22"/>
          <w:szCs w:val="20"/>
        </w:rPr>
        <w:t xml:space="preserve">millones de pesos, correspondiente al </w:t>
      </w:r>
      <w:r>
        <w:rPr>
          <w:rFonts w:ascii="Arial" w:hAnsi="Arial" w:cs="Arial"/>
          <w:sz w:val="22"/>
          <w:szCs w:val="20"/>
        </w:rPr>
        <w:t>32</w:t>
      </w:r>
      <w:r w:rsidRPr="00225EE9">
        <w:rPr>
          <w:rFonts w:ascii="Arial" w:hAnsi="Arial" w:cs="Arial"/>
          <w:sz w:val="22"/>
          <w:szCs w:val="20"/>
        </w:rPr>
        <w:t>%, el cual se encuentra desagregado en los siguientes gastos:</w:t>
      </w:r>
    </w:p>
    <w:p w14:paraId="6C278EEB" w14:textId="77777777" w:rsidR="00422BEC" w:rsidRDefault="00422BEC" w:rsidP="00422BEC">
      <w:pPr>
        <w:spacing w:before="0"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</w:p>
    <w:p w14:paraId="44A2BD50" w14:textId="77777777" w:rsidR="00422BEC" w:rsidRPr="00496D40" w:rsidRDefault="00422BEC" w:rsidP="00422BEC">
      <w:pPr>
        <w:spacing w:before="0" w:after="0" w:line="240" w:lineRule="auto"/>
        <w:ind w:left="708" w:hanging="708"/>
        <w:jc w:val="both"/>
        <w:rPr>
          <w:rFonts w:eastAsia="Times New Roman" w:cs="Arial"/>
          <w:sz w:val="22"/>
          <w:lang w:eastAsia="es-CO"/>
        </w:rPr>
      </w:pPr>
    </w:p>
    <w:p w14:paraId="32458E4A" w14:textId="77777777" w:rsidR="00422BEC" w:rsidRPr="001A1408" w:rsidRDefault="00422BEC" w:rsidP="00422BEC">
      <w:pPr>
        <w:spacing w:before="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  <w:r w:rsidRPr="001A1408">
        <w:rPr>
          <w:rFonts w:ascii="Arial" w:eastAsia="Times New Roman" w:hAnsi="Arial" w:cs="Arial"/>
          <w:b/>
          <w:bCs/>
          <w:sz w:val="20"/>
          <w:szCs w:val="20"/>
          <w:lang w:eastAsia="es-CO"/>
        </w:rPr>
        <w:t>Ejecución Presupuestal de Gastos a Nivel Decreto Liquidación</w:t>
      </w:r>
    </w:p>
    <w:p w14:paraId="317079C3" w14:textId="77777777" w:rsidR="00422BEC" w:rsidRPr="001A1408" w:rsidRDefault="00422BEC" w:rsidP="00422BEC">
      <w:pPr>
        <w:spacing w:before="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  <w:r w:rsidRPr="001A1408">
        <w:rPr>
          <w:rFonts w:ascii="Arial" w:eastAsia="Times New Roman" w:hAnsi="Arial" w:cs="Arial"/>
          <w:b/>
          <w:bCs/>
          <w:sz w:val="20"/>
          <w:szCs w:val="20"/>
          <w:lang w:eastAsia="es-CO"/>
        </w:rPr>
        <w:t>corte al</w:t>
      </w:r>
      <w:r>
        <w:rPr>
          <w:rFonts w:ascii="Arial" w:eastAsia="Times New Roman" w:hAnsi="Arial" w:cs="Arial"/>
          <w:b/>
          <w:bCs/>
          <w:sz w:val="20"/>
          <w:szCs w:val="20"/>
          <w:lang w:eastAsia="es-CO"/>
        </w:rPr>
        <w:t xml:space="preserve"> 30</w:t>
      </w:r>
      <w:r w:rsidRPr="001A1408">
        <w:rPr>
          <w:rFonts w:ascii="Arial" w:eastAsia="Times New Roman" w:hAnsi="Arial" w:cs="Arial"/>
          <w:b/>
          <w:bCs/>
          <w:sz w:val="20"/>
          <w:szCs w:val="20"/>
          <w:lang w:eastAsia="es-CO"/>
        </w:rPr>
        <w:t xml:space="preserve"> de </w:t>
      </w:r>
      <w:r>
        <w:rPr>
          <w:rFonts w:ascii="Arial" w:eastAsia="Times New Roman" w:hAnsi="Arial" w:cs="Arial"/>
          <w:b/>
          <w:bCs/>
          <w:sz w:val="20"/>
          <w:szCs w:val="20"/>
          <w:lang w:eastAsia="es-CO"/>
        </w:rPr>
        <w:t>abril</w:t>
      </w:r>
      <w:r w:rsidRPr="001A1408">
        <w:rPr>
          <w:rFonts w:ascii="Arial" w:eastAsia="Times New Roman" w:hAnsi="Arial" w:cs="Arial"/>
          <w:b/>
          <w:bCs/>
          <w:sz w:val="20"/>
          <w:szCs w:val="20"/>
          <w:lang w:eastAsia="es-CO"/>
        </w:rPr>
        <w:t xml:space="preserve"> de 2024</w:t>
      </w:r>
    </w:p>
    <w:p w14:paraId="072A5EDE" w14:textId="77777777" w:rsidR="00422BEC" w:rsidRDefault="00422BEC" w:rsidP="00422BEC">
      <w:pPr>
        <w:spacing w:before="0"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</w:p>
    <w:p w14:paraId="42FBEF41" w14:textId="66C74EE4" w:rsidR="00422BEC" w:rsidRPr="001A1408" w:rsidRDefault="00422BEC" w:rsidP="00422BEC">
      <w:pPr>
        <w:spacing w:before="0" w:after="0" w:line="240" w:lineRule="auto"/>
        <w:ind w:left="4956" w:firstLine="708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  <w:r w:rsidRPr="00EA4751">
        <w:rPr>
          <w:rFonts w:ascii="Arial" w:hAnsi="Arial" w:cs="Arial"/>
          <w:i/>
          <w:iCs/>
          <w:sz w:val="18"/>
          <w:szCs w:val="18"/>
        </w:rPr>
        <w:t>Cifras en millones de pesos</w:t>
      </w:r>
    </w:p>
    <w:p w14:paraId="56165A0B" w14:textId="77777777" w:rsidR="00422BEC" w:rsidRDefault="00422BEC" w:rsidP="00422BEC">
      <w:pPr>
        <w:spacing w:before="0" w:after="0" w:line="240" w:lineRule="auto"/>
        <w:jc w:val="center"/>
        <w:rPr>
          <w:i/>
          <w:iCs/>
          <w:noProof/>
        </w:rPr>
      </w:pPr>
      <w:r>
        <w:rPr>
          <w:noProof/>
        </w:rPr>
        <w:drawing>
          <wp:inline distT="0" distB="0" distL="0" distR="0" wp14:anchorId="3705EDC6" wp14:editId="4B0B3047">
            <wp:extent cx="5335325" cy="1722120"/>
            <wp:effectExtent l="0" t="0" r="17780" b="11430"/>
            <wp:docPr id="1756945017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7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tbl>
      <w:tblPr>
        <w:tblW w:w="475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021"/>
        <w:gridCol w:w="1228"/>
        <w:gridCol w:w="744"/>
        <w:gridCol w:w="618"/>
        <w:gridCol w:w="921"/>
        <w:gridCol w:w="680"/>
        <w:gridCol w:w="481"/>
      </w:tblGrid>
      <w:tr w:rsidR="00422BEC" w:rsidRPr="009D78F7" w14:paraId="0AD3EC13" w14:textId="77777777" w:rsidTr="00422BEC">
        <w:trPr>
          <w:trHeight w:val="246"/>
          <w:jc w:val="center"/>
        </w:trPr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54552FE5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RUBRO </w:t>
            </w:r>
          </w:p>
        </w:tc>
        <w:tc>
          <w:tcPr>
            <w:tcW w:w="1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31B5375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CONCEPTO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A5DA598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APROPIACIÓN VIGENTE 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C7E7E"/>
            <w:vAlign w:val="center"/>
            <w:hideMark/>
          </w:tcPr>
          <w:p w14:paraId="3E054BBF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COMPROMISOS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C37C6C2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SALDO X EJECUTAR  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C7E7E"/>
            <w:vAlign w:val="center"/>
            <w:hideMark/>
          </w:tcPr>
          <w:p w14:paraId="32D101A7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OBLIGACIÓN </w:t>
            </w:r>
          </w:p>
        </w:tc>
      </w:tr>
      <w:tr w:rsidR="00422BEC" w:rsidRPr="009D78F7" w14:paraId="6DCF55D0" w14:textId="77777777" w:rsidTr="00422BEC">
        <w:trPr>
          <w:trHeight w:val="237"/>
          <w:jc w:val="center"/>
        </w:trPr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441A2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CE8D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EC3E0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916B5AF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VALOR 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4744AD3A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65BD1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5EED4148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VALOR 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4EEE579F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>%</w:t>
            </w:r>
          </w:p>
        </w:tc>
      </w:tr>
      <w:tr w:rsidR="00422BEC" w:rsidRPr="009D78F7" w14:paraId="655A3417" w14:textId="77777777" w:rsidTr="00422BEC">
        <w:trPr>
          <w:trHeight w:val="226"/>
          <w:jc w:val="center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0951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A-01 </w:t>
            </w:r>
          </w:p>
        </w:tc>
        <w:tc>
          <w:tcPr>
            <w:tcW w:w="1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52E6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GASTOS DE PERSONAL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1FAB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187.395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33F1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48.009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8821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26%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4330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139.385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632E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46.837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8DEA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25%</w:t>
            </w:r>
          </w:p>
        </w:tc>
      </w:tr>
      <w:tr w:rsidR="00422BEC" w:rsidRPr="009D78F7" w14:paraId="23E972DC" w14:textId="77777777" w:rsidTr="00422BEC">
        <w:trPr>
          <w:trHeight w:val="288"/>
          <w:jc w:val="center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379D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A-02 </w:t>
            </w:r>
          </w:p>
        </w:tc>
        <w:tc>
          <w:tcPr>
            <w:tcW w:w="1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5308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ADQUISICIÓN DE BIENES Y SERVICIOS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414E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35.475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0F0D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24.919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2B09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70%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AC6C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10.556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6EE5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7.654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21DA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22%</w:t>
            </w:r>
          </w:p>
        </w:tc>
      </w:tr>
      <w:tr w:rsidR="00422BEC" w:rsidRPr="009D78F7" w14:paraId="3EC4B902" w14:textId="77777777" w:rsidTr="00422BEC">
        <w:trPr>
          <w:trHeight w:val="226"/>
          <w:jc w:val="center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292E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A-03 </w:t>
            </w:r>
          </w:p>
        </w:tc>
        <w:tc>
          <w:tcPr>
            <w:tcW w:w="1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9995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TRANSFERENCIAS CORRIENTES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DB19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5.671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EA62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157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ABD0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3%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07DB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5.514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265D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87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9467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2%</w:t>
            </w:r>
          </w:p>
        </w:tc>
      </w:tr>
      <w:tr w:rsidR="00422BEC" w:rsidRPr="009D78F7" w14:paraId="2043F181" w14:textId="77777777" w:rsidTr="00422BEC">
        <w:trPr>
          <w:trHeight w:val="493"/>
          <w:jc w:val="center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4B89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A-08 </w:t>
            </w:r>
          </w:p>
        </w:tc>
        <w:tc>
          <w:tcPr>
            <w:tcW w:w="1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7705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GASTOS POR TRIBUTOS, MULTAS, SANCIONES E INTERESES DE MORA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FA1F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642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3DFB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1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B24F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0%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3860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641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6CC8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-  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E716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0%</w:t>
            </w:r>
          </w:p>
        </w:tc>
      </w:tr>
      <w:tr w:rsidR="00422BEC" w:rsidRPr="009D78F7" w14:paraId="66DC9325" w14:textId="77777777" w:rsidTr="00422BEC">
        <w:trPr>
          <w:trHeight w:val="308"/>
          <w:jc w:val="center"/>
        </w:trPr>
        <w:tc>
          <w:tcPr>
            <w:tcW w:w="2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9949928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</w:t>
            </w:r>
            <w:proofErr w:type="gramStart"/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>TOTAL</w:t>
            </w:r>
            <w:proofErr w:type="gramEnd"/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FUNCIONAMIENTO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4C495B0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   229.183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4DA918A4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73.086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B23238B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>32%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3E176EC7" w14:textId="77777777" w:rsidR="00422BEC" w:rsidRPr="009D78F7" w:rsidRDefault="00422BEC" w:rsidP="002A045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156.096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40195B2" w14:textId="77777777" w:rsidR="00422BEC" w:rsidRPr="009D78F7" w:rsidRDefault="00422BEC" w:rsidP="002A0454">
            <w:pPr>
              <w:spacing w:before="0"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54.577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BD8997D" w14:textId="77777777" w:rsidR="00422BEC" w:rsidRPr="009D78F7" w:rsidRDefault="00422BEC" w:rsidP="002A045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9D78F7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>24%</w:t>
            </w:r>
          </w:p>
        </w:tc>
      </w:tr>
    </w:tbl>
    <w:p w14:paraId="445C1ED6" w14:textId="77777777" w:rsidR="00422BEC" w:rsidRDefault="00422BEC" w:rsidP="00665FDF">
      <w:pPr>
        <w:spacing w:before="0" w:after="0" w:line="240" w:lineRule="auto"/>
        <w:rPr>
          <w:rFonts w:ascii="Arial" w:hAnsi="Arial" w:cs="Arial"/>
          <w:b/>
          <w:bCs/>
          <w:sz w:val="22"/>
          <w:u w:val="single"/>
        </w:rPr>
      </w:pPr>
    </w:p>
    <w:p w14:paraId="23BBE7A3" w14:textId="77777777" w:rsidR="00422BEC" w:rsidRPr="00741623" w:rsidRDefault="00422BEC" w:rsidP="00422BEC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  <w:r w:rsidRPr="00741623">
        <w:rPr>
          <w:rFonts w:ascii="Arial" w:eastAsia="Times New Roman" w:hAnsi="Arial" w:cs="Arial"/>
          <w:b/>
          <w:bCs/>
          <w:sz w:val="22"/>
          <w:lang w:eastAsia="es-CO"/>
        </w:rPr>
        <w:t xml:space="preserve">Gastos de personal: </w:t>
      </w:r>
    </w:p>
    <w:p w14:paraId="7AB212BB" w14:textId="77777777" w:rsidR="00422BEC" w:rsidRPr="00225EE9" w:rsidRDefault="00422BEC" w:rsidP="00276F99">
      <w:pPr>
        <w:spacing w:line="240" w:lineRule="auto"/>
        <w:ind w:left="158"/>
        <w:jc w:val="both"/>
        <w:rPr>
          <w:rFonts w:ascii="Arial" w:eastAsia="Times New Roman" w:hAnsi="Arial" w:cs="Arial"/>
          <w:sz w:val="22"/>
          <w:lang w:eastAsia="es-CO"/>
        </w:rPr>
      </w:pPr>
      <w:r w:rsidRPr="00741623">
        <w:rPr>
          <w:rFonts w:ascii="Arial" w:eastAsia="Times New Roman" w:hAnsi="Arial" w:cs="Arial"/>
          <w:sz w:val="22"/>
          <w:lang w:eastAsia="es-CO"/>
        </w:rPr>
        <w:t xml:space="preserve">Presenta ejecución del 26% (compromiso), por este concepto se pagaron los gastos de la nómina, contribuciones inherentes a la nómina, remuneraciones no constitutivas de factor salarial </w:t>
      </w:r>
      <w:r>
        <w:rPr>
          <w:rFonts w:ascii="Arial" w:eastAsia="Times New Roman" w:hAnsi="Arial" w:cs="Arial"/>
          <w:sz w:val="22"/>
          <w:lang w:eastAsia="es-CO"/>
        </w:rPr>
        <w:t>con corte al 30 de abril de 2024.</w:t>
      </w:r>
    </w:p>
    <w:p w14:paraId="1C858AD2" w14:textId="77777777" w:rsidR="00422BEC" w:rsidRPr="00225EE9" w:rsidRDefault="00422BEC" w:rsidP="00422BEC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  <w:r w:rsidRPr="00225EE9">
        <w:rPr>
          <w:rFonts w:ascii="Arial" w:eastAsia="Times New Roman" w:hAnsi="Arial" w:cs="Arial"/>
          <w:b/>
          <w:bCs/>
          <w:sz w:val="22"/>
          <w:lang w:eastAsia="es-CO"/>
        </w:rPr>
        <w:t>Adquisición de bienes y servicios:</w:t>
      </w:r>
    </w:p>
    <w:p w14:paraId="4A2B4992" w14:textId="77777777" w:rsidR="00422BEC" w:rsidRPr="00225EE9" w:rsidRDefault="00422BEC" w:rsidP="00276F99">
      <w:pPr>
        <w:spacing w:line="240" w:lineRule="auto"/>
        <w:ind w:left="158"/>
        <w:jc w:val="both"/>
        <w:rPr>
          <w:rFonts w:ascii="Arial" w:eastAsia="Times New Roman" w:hAnsi="Arial" w:cs="Arial"/>
          <w:sz w:val="22"/>
          <w:lang w:eastAsia="es-CO"/>
        </w:rPr>
      </w:pPr>
      <w:r w:rsidRPr="00225EE9">
        <w:rPr>
          <w:rFonts w:ascii="Arial" w:eastAsia="Times New Roman" w:hAnsi="Arial" w:cs="Arial"/>
          <w:sz w:val="22"/>
          <w:lang w:eastAsia="es-CO"/>
        </w:rPr>
        <w:lastRenderedPageBreak/>
        <w:t xml:space="preserve">Este rubro con corte al </w:t>
      </w:r>
      <w:r>
        <w:rPr>
          <w:rFonts w:ascii="Arial" w:eastAsia="Times New Roman" w:hAnsi="Arial" w:cs="Arial"/>
          <w:sz w:val="22"/>
          <w:lang w:eastAsia="es-CO"/>
        </w:rPr>
        <w:t>30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de </w:t>
      </w:r>
      <w:r>
        <w:rPr>
          <w:rFonts w:ascii="Arial" w:eastAsia="Times New Roman" w:hAnsi="Arial" w:cs="Arial"/>
          <w:sz w:val="22"/>
          <w:lang w:eastAsia="es-CO"/>
        </w:rPr>
        <w:t>abril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de 2024 presenta una ejecución en compromisos de $</w:t>
      </w:r>
      <w:r>
        <w:rPr>
          <w:rFonts w:ascii="Arial" w:eastAsia="Times New Roman" w:hAnsi="Arial" w:cs="Arial"/>
          <w:sz w:val="22"/>
          <w:lang w:eastAsia="es-CO"/>
        </w:rPr>
        <w:t>24.919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millones de pesos correspondientes al </w:t>
      </w:r>
      <w:r>
        <w:rPr>
          <w:rFonts w:ascii="Arial" w:eastAsia="Times New Roman" w:hAnsi="Arial" w:cs="Arial"/>
          <w:sz w:val="22"/>
          <w:lang w:eastAsia="es-CO"/>
        </w:rPr>
        <w:t>70</w:t>
      </w:r>
      <w:r w:rsidRPr="00225EE9">
        <w:rPr>
          <w:rFonts w:ascii="Arial" w:eastAsia="Times New Roman" w:hAnsi="Arial" w:cs="Arial"/>
          <w:sz w:val="22"/>
          <w:lang w:eastAsia="es-CO"/>
        </w:rPr>
        <w:t>%, y una ejecución en obligaciones de $</w:t>
      </w:r>
      <w:r>
        <w:rPr>
          <w:rFonts w:ascii="Arial" w:eastAsia="Times New Roman" w:hAnsi="Arial" w:cs="Arial"/>
          <w:sz w:val="22"/>
          <w:lang w:eastAsia="es-CO"/>
        </w:rPr>
        <w:t>7.654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millones de pesos que equivalen al </w:t>
      </w:r>
      <w:r>
        <w:rPr>
          <w:rFonts w:ascii="Arial" w:eastAsia="Times New Roman" w:hAnsi="Arial" w:cs="Arial"/>
          <w:sz w:val="22"/>
          <w:lang w:eastAsia="es-CO"/>
        </w:rPr>
        <w:t>22</w:t>
      </w:r>
      <w:r w:rsidRPr="00225EE9">
        <w:rPr>
          <w:rFonts w:ascii="Arial" w:eastAsia="Times New Roman" w:hAnsi="Arial" w:cs="Arial"/>
          <w:sz w:val="22"/>
          <w:lang w:eastAsia="es-CO"/>
        </w:rPr>
        <w:t>%.</w:t>
      </w:r>
    </w:p>
    <w:p w14:paraId="79B2311D" w14:textId="77777777" w:rsidR="00422BEC" w:rsidRPr="00225EE9" w:rsidRDefault="00422BEC" w:rsidP="00276F99">
      <w:pPr>
        <w:spacing w:line="240" w:lineRule="auto"/>
        <w:ind w:left="158"/>
        <w:jc w:val="both"/>
        <w:rPr>
          <w:rFonts w:ascii="Arial" w:eastAsia="Times New Roman" w:hAnsi="Arial" w:cs="Arial"/>
          <w:sz w:val="22"/>
          <w:lang w:eastAsia="es-CO"/>
        </w:rPr>
      </w:pPr>
      <w:r w:rsidRPr="00225EE9">
        <w:rPr>
          <w:rFonts w:ascii="Arial" w:eastAsia="Times New Roman" w:hAnsi="Arial" w:cs="Arial"/>
          <w:sz w:val="22"/>
          <w:lang w:eastAsia="es-CO"/>
        </w:rPr>
        <w:t>Durante es este periodo se realizaron los registros presupuestales de los contratos que tenían vigencias futuras aprobadas en la vigencia anterior, entre ellos los</w:t>
      </w:r>
      <w:r>
        <w:rPr>
          <w:rFonts w:ascii="Arial" w:eastAsia="Times New Roman" w:hAnsi="Arial" w:cs="Arial"/>
          <w:sz w:val="22"/>
          <w:lang w:eastAsia="es-CO"/>
        </w:rPr>
        <w:t xml:space="preserve"> más representativos son los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servicios de aseo y cafetería, arriendos de la sede central y regionales, vigilancia, mantenimientos</w:t>
      </w:r>
      <w:r>
        <w:rPr>
          <w:rFonts w:ascii="Arial" w:eastAsia="Times New Roman" w:hAnsi="Arial" w:cs="Arial"/>
          <w:sz w:val="22"/>
          <w:lang w:eastAsia="es-CO"/>
        </w:rPr>
        <w:t xml:space="preserve">, asimismo </w:t>
      </w:r>
      <w:r w:rsidRPr="00225EE9">
        <w:rPr>
          <w:rFonts w:ascii="Arial" w:eastAsia="Times New Roman" w:hAnsi="Arial" w:cs="Arial"/>
          <w:sz w:val="22"/>
          <w:lang w:eastAsia="es-CO"/>
        </w:rPr>
        <w:t>se han gestionados todos los servicios públicos</w:t>
      </w:r>
      <w:r>
        <w:rPr>
          <w:rFonts w:ascii="Arial" w:eastAsia="Times New Roman" w:hAnsi="Arial" w:cs="Arial"/>
          <w:sz w:val="22"/>
          <w:lang w:eastAsia="es-CO"/>
        </w:rPr>
        <w:t xml:space="preserve">, </w:t>
      </w:r>
      <w:r w:rsidRPr="00225EE9">
        <w:rPr>
          <w:rFonts w:ascii="Arial" w:eastAsia="Times New Roman" w:hAnsi="Arial" w:cs="Arial"/>
          <w:sz w:val="22"/>
          <w:lang w:eastAsia="es-CO"/>
        </w:rPr>
        <w:t>viáticos y tiquetes necesarios para el funcionamiento de la Entidad.</w:t>
      </w:r>
    </w:p>
    <w:p w14:paraId="441325E3" w14:textId="77777777" w:rsidR="00422BEC" w:rsidRPr="00B959C1" w:rsidRDefault="00422BEC" w:rsidP="00422BEC">
      <w:pPr>
        <w:pStyle w:val="Prrafodelista"/>
        <w:numPr>
          <w:ilvl w:val="0"/>
          <w:numId w:val="27"/>
        </w:numPr>
        <w:spacing w:line="240" w:lineRule="auto"/>
        <w:jc w:val="both"/>
        <w:rPr>
          <w:rFonts w:ascii="Arial" w:eastAsia="Times New Roman" w:hAnsi="Arial" w:cs="Arial"/>
          <w:sz w:val="22"/>
          <w:lang w:eastAsia="es-CO"/>
        </w:rPr>
      </w:pPr>
      <w:r w:rsidRPr="00225EE9">
        <w:rPr>
          <w:rFonts w:ascii="Arial" w:eastAsia="Times New Roman" w:hAnsi="Arial" w:cs="Arial"/>
          <w:b/>
          <w:bCs/>
          <w:sz w:val="22"/>
          <w:lang w:eastAsia="es-CO"/>
        </w:rPr>
        <w:t>Transferencias corrientes:</w:t>
      </w:r>
    </w:p>
    <w:p w14:paraId="2DA15526" w14:textId="77777777" w:rsidR="00422BEC" w:rsidRDefault="00422BEC" w:rsidP="00276F99">
      <w:pPr>
        <w:spacing w:before="0" w:after="0" w:line="240" w:lineRule="auto"/>
        <w:ind w:left="158"/>
        <w:jc w:val="both"/>
        <w:rPr>
          <w:rFonts w:ascii="Arial" w:eastAsia="Times New Roman" w:hAnsi="Arial" w:cs="Arial"/>
          <w:sz w:val="22"/>
          <w:lang w:eastAsia="es-CO"/>
        </w:rPr>
      </w:pPr>
      <w:r w:rsidRPr="00225EE9">
        <w:rPr>
          <w:rFonts w:ascii="Arial" w:eastAsia="Times New Roman" w:hAnsi="Arial" w:cs="Arial"/>
          <w:sz w:val="22"/>
          <w:lang w:eastAsia="es-CO"/>
        </w:rPr>
        <w:t>En</w:t>
      </w:r>
      <w:r>
        <w:rPr>
          <w:rFonts w:ascii="Arial" w:eastAsia="Times New Roman" w:hAnsi="Arial" w:cs="Arial"/>
          <w:sz w:val="22"/>
          <w:lang w:eastAsia="es-CO"/>
        </w:rPr>
        <w:t xml:space="preserve"> transferencias corrientes se encuentran los rubros de: </w:t>
      </w:r>
      <w:r w:rsidRPr="00B959C1">
        <w:rPr>
          <w:rFonts w:ascii="Arial" w:eastAsia="Times New Roman" w:hAnsi="Arial" w:cs="Arial"/>
          <w:sz w:val="22"/>
          <w:lang w:eastAsia="es-CO"/>
        </w:rPr>
        <w:t>otras transferencias - distribución previo concepto DGPPN</w:t>
      </w:r>
      <w:r>
        <w:rPr>
          <w:rFonts w:ascii="Arial" w:eastAsia="Times New Roman" w:hAnsi="Arial" w:cs="Arial"/>
          <w:sz w:val="22"/>
          <w:lang w:eastAsia="es-CO"/>
        </w:rPr>
        <w:t xml:space="preserve">, </w:t>
      </w:r>
      <w:r w:rsidRPr="00B959C1">
        <w:rPr>
          <w:rFonts w:ascii="Arial" w:eastAsia="Times New Roman" w:hAnsi="Arial" w:cs="Arial"/>
          <w:sz w:val="22"/>
          <w:lang w:eastAsia="es-CO"/>
        </w:rPr>
        <w:t>incapacidades y licencias de maternidad y paternidad (no de pensiones)</w:t>
      </w:r>
      <w:r>
        <w:rPr>
          <w:rFonts w:ascii="Arial" w:eastAsia="Times New Roman" w:hAnsi="Arial" w:cs="Arial"/>
          <w:sz w:val="22"/>
          <w:lang w:eastAsia="es-CO"/>
        </w:rPr>
        <w:t xml:space="preserve"> y </w:t>
      </w:r>
      <w:r w:rsidRPr="00B959C1">
        <w:rPr>
          <w:rFonts w:ascii="Arial" w:eastAsia="Times New Roman" w:hAnsi="Arial" w:cs="Arial"/>
          <w:sz w:val="22"/>
          <w:lang w:eastAsia="es-CO"/>
        </w:rPr>
        <w:t>sentencias y conciliaciones</w:t>
      </w:r>
      <w:r>
        <w:rPr>
          <w:rFonts w:ascii="Arial" w:eastAsia="Times New Roman" w:hAnsi="Arial" w:cs="Arial"/>
          <w:sz w:val="22"/>
          <w:lang w:eastAsia="es-CO"/>
        </w:rPr>
        <w:t>.</w:t>
      </w:r>
    </w:p>
    <w:p w14:paraId="214C6AEC" w14:textId="77777777" w:rsidR="00422BEC" w:rsidRDefault="00422BEC" w:rsidP="00422BEC">
      <w:pPr>
        <w:spacing w:before="0" w:after="0" w:line="240" w:lineRule="auto"/>
        <w:ind w:left="-562"/>
        <w:jc w:val="both"/>
        <w:rPr>
          <w:rFonts w:ascii="Arial" w:eastAsia="Times New Roman" w:hAnsi="Arial" w:cs="Arial"/>
          <w:sz w:val="22"/>
          <w:lang w:eastAsia="es-CO"/>
        </w:rPr>
      </w:pPr>
    </w:p>
    <w:p w14:paraId="0BAEAA97" w14:textId="77777777" w:rsidR="00422BEC" w:rsidRDefault="00422BEC" w:rsidP="00276F99">
      <w:pPr>
        <w:spacing w:before="0" w:after="0" w:line="240" w:lineRule="auto"/>
        <w:ind w:left="158"/>
        <w:jc w:val="both"/>
        <w:rPr>
          <w:rFonts w:ascii="Arial" w:hAnsi="Arial" w:cs="Arial"/>
          <w:bCs/>
          <w:sz w:val="22"/>
        </w:rPr>
      </w:pPr>
      <w:r w:rsidRPr="00225EE9">
        <w:rPr>
          <w:rFonts w:ascii="Arial" w:eastAsia="Times New Roman" w:hAnsi="Arial" w:cs="Arial"/>
          <w:sz w:val="22"/>
          <w:lang w:eastAsia="es-CO"/>
        </w:rPr>
        <w:t xml:space="preserve">En </w:t>
      </w:r>
      <w:r w:rsidRPr="00B959C1">
        <w:rPr>
          <w:rFonts w:ascii="Arial" w:eastAsia="Times New Roman" w:hAnsi="Arial" w:cs="Arial"/>
          <w:sz w:val="22"/>
          <w:lang w:eastAsia="es-CO"/>
        </w:rPr>
        <w:t>otras transferencias - distribución previo concepto DGPPN</w:t>
      </w:r>
      <w:r>
        <w:rPr>
          <w:rFonts w:ascii="Arial" w:eastAsia="Times New Roman" w:hAnsi="Arial" w:cs="Arial"/>
          <w:sz w:val="22"/>
          <w:lang w:eastAsia="es-CO"/>
        </w:rPr>
        <w:t xml:space="preserve">, en el mes de abril, una vez realizada la gestión ante Dirección General de Presupuesto Público Nacional del Ministerio de Hacienda y Crédito Público, se trasladaron $3.239 millones de pesos al rubro de adquisición de bienes y servicios con el fin de 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financiar la apertura de las nuevas </w:t>
      </w:r>
      <w:r>
        <w:rPr>
          <w:rFonts w:ascii="Arial" w:eastAsia="Times New Roman" w:hAnsi="Arial" w:cs="Arial"/>
          <w:sz w:val="22"/>
          <w:lang w:eastAsia="es-CO"/>
        </w:rPr>
        <w:t xml:space="preserve">sedes </w:t>
      </w:r>
      <w:r w:rsidRPr="00225EE9">
        <w:rPr>
          <w:rFonts w:ascii="Arial" w:eastAsia="Times New Roman" w:hAnsi="Arial" w:cs="Arial"/>
          <w:sz w:val="22"/>
          <w:lang w:eastAsia="es-CO"/>
        </w:rPr>
        <w:t>regionales</w:t>
      </w:r>
      <w:r>
        <w:rPr>
          <w:rFonts w:ascii="Arial" w:eastAsia="Times New Roman" w:hAnsi="Arial" w:cs="Arial"/>
          <w:sz w:val="22"/>
          <w:lang w:eastAsia="es-CO"/>
        </w:rPr>
        <w:t xml:space="preserve"> en San Andrés, Pasto, Ibagué y Leticia, con el propósito de d</w:t>
      </w:r>
      <w:r w:rsidRPr="00DD77A4">
        <w:rPr>
          <w:rFonts w:ascii="Arial" w:hAnsi="Arial" w:cs="Arial"/>
          <w:bCs/>
          <w:sz w:val="22"/>
        </w:rPr>
        <w:t>esconcentrar las acciones de</w:t>
      </w:r>
      <w:r>
        <w:rPr>
          <w:rFonts w:ascii="Arial" w:hAnsi="Arial" w:cs="Arial"/>
          <w:bCs/>
          <w:sz w:val="22"/>
        </w:rPr>
        <w:t xml:space="preserve">l </w:t>
      </w:r>
      <w:r w:rsidRPr="00DD77A4">
        <w:rPr>
          <w:rFonts w:ascii="Arial" w:hAnsi="Arial" w:cs="Arial"/>
          <w:bCs/>
          <w:sz w:val="22"/>
        </w:rPr>
        <w:t>nivel central, de forma que se logre dar mayor cobertura por parte de la Superintendencia Nacional de Salud en el territorio nacional.</w:t>
      </w:r>
    </w:p>
    <w:p w14:paraId="46D327F0" w14:textId="77777777" w:rsidR="00422BEC" w:rsidRDefault="00422BEC" w:rsidP="00422BEC">
      <w:pPr>
        <w:spacing w:before="0" w:after="0" w:line="240" w:lineRule="auto"/>
        <w:ind w:left="-562"/>
        <w:jc w:val="both"/>
        <w:rPr>
          <w:rFonts w:ascii="Arial" w:hAnsi="Arial" w:cs="Arial"/>
          <w:bCs/>
          <w:sz w:val="22"/>
        </w:rPr>
      </w:pPr>
    </w:p>
    <w:p w14:paraId="2DB00E29" w14:textId="77777777" w:rsidR="00422BEC" w:rsidRDefault="00422BEC" w:rsidP="00276F99">
      <w:pPr>
        <w:spacing w:before="0" w:after="0" w:line="240" w:lineRule="auto"/>
        <w:ind w:left="158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En virtud de lo anterior de la apropiación inicial de $8.909 millones de pesos, con corte a abril 30 de 2024, se encuentran apropiados la suma de $5.670 millones de pesos.</w:t>
      </w:r>
    </w:p>
    <w:p w14:paraId="561C0AEB" w14:textId="77777777" w:rsidR="00422BEC" w:rsidRPr="00DD77A4" w:rsidRDefault="00422BEC" w:rsidP="00422BEC">
      <w:pPr>
        <w:spacing w:before="0" w:after="0" w:line="240" w:lineRule="auto"/>
        <w:ind w:left="-562"/>
        <w:jc w:val="both"/>
        <w:rPr>
          <w:rFonts w:ascii="Arial" w:eastAsia="Times New Roman" w:hAnsi="Arial" w:cs="Arial"/>
          <w:sz w:val="22"/>
          <w:lang w:eastAsia="es-CO"/>
        </w:rPr>
      </w:pPr>
    </w:p>
    <w:p w14:paraId="7F777A71" w14:textId="77777777" w:rsidR="00422BEC" w:rsidRDefault="00422BEC" w:rsidP="00276F99">
      <w:pPr>
        <w:spacing w:before="0" w:after="0" w:line="240" w:lineRule="auto"/>
        <w:ind w:left="158"/>
        <w:jc w:val="both"/>
        <w:rPr>
          <w:rFonts w:ascii="Arial" w:eastAsia="Times New Roman" w:hAnsi="Arial" w:cs="Arial"/>
          <w:sz w:val="22"/>
          <w:lang w:eastAsia="es-CO"/>
        </w:rPr>
      </w:pPr>
      <w:r w:rsidRPr="00225EE9">
        <w:rPr>
          <w:rFonts w:ascii="Arial" w:eastAsia="Times New Roman" w:hAnsi="Arial" w:cs="Arial"/>
          <w:sz w:val="22"/>
          <w:lang w:eastAsia="es-CO"/>
        </w:rPr>
        <w:t>Al corte del</w:t>
      </w:r>
      <w:r>
        <w:rPr>
          <w:rFonts w:ascii="Arial" w:eastAsia="Times New Roman" w:hAnsi="Arial" w:cs="Arial"/>
          <w:sz w:val="22"/>
          <w:lang w:eastAsia="es-CO"/>
        </w:rPr>
        <w:t xml:space="preserve"> 30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de </w:t>
      </w:r>
      <w:r>
        <w:rPr>
          <w:rFonts w:ascii="Arial" w:eastAsia="Times New Roman" w:hAnsi="Arial" w:cs="Arial"/>
          <w:sz w:val="22"/>
          <w:lang w:eastAsia="es-CO"/>
        </w:rPr>
        <w:t xml:space="preserve">abril </w:t>
      </w:r>
      <w:r w:rsidRPr="00225EE9">
        <w:rPr>
          <w:rFonts w:ascii="Arial" w:eastAsia="Times New Roman" w:hAnsi="Arial" w:cs="Arial"/>
          <w:sz w:val="22"/>
          <w:lang w:eastAsia="es-CO"/>
        </w:rPr>
        <w:t>2024, se presenta una ejecución en transferencias corrientes de $</w:t>
      </w:r>
      <w:r>
        <w:rPr>
          <w:rFonts w:ascii="Arial" w:eastAsia="Times New Roman" w:hAnsi="Arial" w:cs="Arial"/>
          <w:sz w:val="22"/>
          <w:lang w:eastAsia="es-CO"/>
        </w:rPr>
        <w:t xml:space="preserve">157 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millones de pesos equivalente al </w:t>
      </w:r>
      <w:r>
        <w:rPr>
          <w:rFonts w:ascii="Arial" w:eastAsia="Times New Roman" w:hAnsi="Arial" w:cs="Arial"/>
          <w:sz w:val="22"/>
          <w:lang w:eastAsia="es-CO"/>
        </w:rPr>
        <w:t>3</w:t>
      </w:r>
      <w:r w:rsidRPr="00225EE9">
        <w:rPr>
          <w:rFonts w:ascii="Arial" w:eastAsia="Times New Roman" w:hAnsi="Arial" w:cs="Arial"/>
          <w:sz w:val="22"/>
          <w:lang w:eastAsia="es-CO"/>
        </w:rPr>
        <w:t>%, por incapacidades, licencia de maternidad y paternidad.</w:t>
      </w:r>
    </w:p>
    <w:p w14:paraId="25A147D9" w14:textId="77777777" w:rsidR="00422BEC" w:rsidRDefault="00422BEC" w:rsidP="00422BEC">
      <w:pPr>
        <w:spacing w:before="0" w:after="0" w:line="240" w:lineRule="auto"/>
        <w:ind w:left="-562"/>
        <w:jc w:val="both"/>
        <w:rPr>
          <w:rFonts w:ascii="Arial" w:eastAsia="Times New Roman" w:hAnsi="Arial" w:cs="Arial"/>
          <w:sz w:val="22"/>
          <w:lang w:eastAsia="es-CO"/>
        </w:rPr>
      </w:pPr>
    </w:p>
    <w:p w14:paraId="374E20FB" w14:textId="77777777" w:rsidR="00422BEC" w:rsidRPr="00225EE9" w:rsidRDefault="00422BEC" w:rsidP="00422BEC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  <w:r w:rsidRPr="00225EE9">
        <w:rPr>
          <w:rFonts w:ascii="Arial" w:eastAsia="Times New Roman" w:hAnsi="Arial" w:cs="Arial"/>
          <w:b/>
          <w:bCs/>
          <w:sz w:val="22"/>
          <w:lang w:eastAsia="es-CO"/>
        </w:rPr>
        <w:t>Gastos por Tributos, Multas, Sanciones e Intereses de mora:</w:t>
      </w:r>
    </w:p>
    <w:p w14:paraId="4B540C28" w14:textId="77777777" w:rsidR="00422BEC" w:rsidRPr="00225EE9" w:rsidRDefault="00422BEC" w:rsidP="00276F99">
      <w:pPr>
        <w:spacing w:before="0" w:after="0" w:line="240" w:lineRule="auto"/>
        <w:ind w:left="158"/>
        <w:jc w:val="both"/>
        <w:rPr>
          <w:rFonts w:ascii="Arial" w:eastAsia="Times New Roman" w:hAnsi="Arial" w:cs="Arial"/>
          <w:sz w:val="22"/>
          <w:lang w:eastAsia="es-CO"/>
        </w:rPr>
      </w:pPr>
      <w:r w:rsidRPr="00225EE9">
        <w:rPr>
          <w:rFonts w:ascii="Arial" w:eastAsia="Times New Roman" w:hAnsi="Arial" w:cs="Arial"/>
          <w:sz w:val="22"/>
          <w:lang w:eastAsia="es-CO"/>
        </w:rPr>
        <w:t>En este rubro se contemplan los impuestos de vehículos y la cuota de fiscalización y auditaje de la Contraloría General de la República.</w:t>
      </w:r>
    </w:p>
    <w:p w14:paraId="7263459A" w14:textId="77777777" w:rsidR="00422BEC" w:rsidRPr="00225EE9" w:rsidRDefault="00422BEC" w:rsidP="00422BEC">
      <w:pPr>
        <w:spacing w:before="0" w:after="0" w:line="240" w:lineRule="auto"/>
        <w:ind w:left="-562"/>
        <w:jc w:val="both"/>
        <w:rPr>
          <w:rFonts w:ascii="Arial" w:eastAsia="Times New Roman" w:hAnsi="Arial" w:cs="Arial"/>
          <w:sz w:val="22"/>
          <w:lang w:eastAsia="es-CO"/>
        </w:rPr>
      </w:pPr>
    </w:p>
    <w:p w14:paraId="65721470" w14:textId="77777777" w:rsidR="00422BEC" w:rsidRPr="00225EE9" w:rsidRDefault="00422BEC" w:rsidP="00276F99">
      <w:pPr>
        <w:spacing w:before="0" w:after="0" w:line="240" w:lineRule="auto"/>
        <w:ind w:left="158"/>
        <w:jc w:val="both"/>
        <w:rPr>
          <w:rFonts w:ascii="Arial" w:eastAsia="Times New Roman" w:hAnsi="Arial" w:cs="Arial"/>
          <w:sz w:val="22"/>
          <w:lang w:eastAsia="es-CO"/>
        </w:rPr>
      </w:pPr>
      <w:r w:rsidRPr="00225EE9">
        <w:rPr>
          <w:rFonts w:ascii="Arial" w:eastAsia="Times New Roman" w:hAnsi="Arial" w:cs="Arial"/>
          <w:sz w:val="22"/>
          <w:lang w:eastAsia="es-CO"/>
        </w:rPr>
        <w:t xml:space="preserve">Con corte del </w:t>
      </w:r>
      <w:r>
        <w:rPr>
          <w:rFonts w:ascii="Arial" w:eastAsia="Times New Roman" w:hAnsi="Arial" w:cs="Arial"/>
          <w:sz w:val="22"/>
          <w:lang w:eastAsia="es-CO"/>
        </w:rPr>
        <w:t xml:space="preserve">30 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de </w:t>
      </w:r>
      <w:r>
        <w:rPr>
          <w:rFonts w:ascii="Arial" w:eastAsia="Times New Roman" w:hAnsi="Arial" w:cs="Arial"/>
          <w:sz w:val="22"/>
          <w:lang w:eastAsia="es-CO"/>
        </w:rPr>
        <w:t>abril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de 2024 estos gastos tienen una ejecución presupuestal de 0.20%, correspondientes al gravamen de movimientos financieros.</w:t>
      </w:r>
    </w:p>
    <w:p w14:paraId="6486F150" w14:textId="77777777" w:rsidR="00422BEC" w:rsidRPr="00225EE9" w:rsidRDefault="00422BEC" w:rsidP="00422BEC">
      <w:pPr>
        <w:spacing w:before="0" w:after="0" w:line="240" w:lineRule="auto"/>
        <w:ind w:left="-562"/>
        <w:jc w:val="both"/>
        <w:rPr>
          <w:rFonts w:ascii="Arial" w:eastAsia="Times New Roman" w:hAnsi="Arial" w:cs="Arial"/>
          <w:sz w:val="22"/>
          <w:lang w:eastAsia="es-CO"/>
        </w:rPr>
      </w:pPr>
    </w:p>
    <w:p w14:paraId="5754F3D3" w14:textId="77777777" w:rsidR="00276F99" w:rsidRDefault="00276F99" w:rsidP="00276F99">
      <w:pPr>
        <w:spacing w:before="0" w:after="0" w:line="240" w:lineRule="auto"/>
        <w:ind w:left="-562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</w:p>
    <w:p w14:paraId="2ADD8EB0" w14:textId="77777777" w:rsidR="00276F99" w:rsidRDefault="00276F99" w:rsidP="00276F99">
      <w:pPr>
        <w:spacing w:before="0" w:after="0" w:line="240" w:lineRule="auto"/>
        <w:ind w:left="-562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</w:p>
    <w:p w14:paraId="7DFBC9D8" w14:textId="10B7BE65" w:rsidR="00276F99" w:rsidRPr="00276F99" w:rsidRDefault="00276F99" w:rsidP="00276F99">
      <w:pPr>
        <w:spacing w:before="0" w:after="0" w:line="240" w:lineRule="auto"/>
        <w:ind w:left="-562" w:firstLine="720"/>
        <w:jc w:val="both"/>
        <w:rPr>
          <w:rFonts w:ascii="Arial" w:eastAsia="Times New Roman" w:hAnsi="Arial" w:cs="Arial"/>
          <w:b/>
          <w:bCs/>
          <w:sz w:val="22"/>
          <w:u w:val="single"/>
          <w:lang w:eastAsia="es-CO"/>
        </w:rPr>
      </w:pPr>
      <w:r w:rsidRPr="00276F99">
        <w:rPr>
          <w:rFonts w:ascii="Arial" w:eastAsia="Times New Roman" w:hAnsi="Arial" w:cs="Arial"/>
          <w:b/>
          <w:bCs/>
          <w:sz w:val="22"/>
          <w:u w:val="single"/>
          <w:lang w:eastAsia="es-CO"/>
        </w:rPr>
        <w:lastRenderedPageBreak/>
        <w:t>Presupuesto de Inversión:</w:t>
      </w:r>
    </w:p>
    <w:p w14:paraId="3F7B5356" w14:textId="77777777" w:rsidR="00276F99" w:rsidRPr="00225EE9" w:rsidRDefault="00276F99" w:rsidP="00276F99">
      <w:pPr>
        <w:spacing w:before="0" w:after="0" w:line="240" w:lineRule="auto"/>
        <w:ind w:left="-562"/>
        <w:jc w:val="both"/>
        <w:rPr>
          <w:rFonts w:ascii="Arial" w:eastAsia="Times New Roman" w:hAnsi="Arial" w:cs="Arial"/>
          <w:sz w:val="22"/>
          <w:lang w:eastAsia="es-CO"/>
        </w:rPr>
      </w:pPr>
    </w:p>
    <w:p w14:paraId="7938EB6C" w14:textId="77777777" w:rsidR="00276F99" w:rsidRDefault="00276F99" w:rsidP="00276F99">
      <w:pPr>
        <w:spacing w:before="0" w:after="0" w:line="240" w:lineRule="auto"/>
        <w:ind w:left="158"/>
        <w:jc w:val="both"/>
        <w:rPr>
          <w:rFonts w:ascii="Arial" w:eastAsia="Times New Roman" w:hAnsi="Arial" w:cs="Arial"/>
          <w:sz w:val="22"/>
          <w:lang w:eastAsia="es-CO"/>
        </w:rPr>
      </w:pPr>
      <w:r w:rsidRPr="00225EE9">
        <w:rPr>
          <w:rFonts w:ascii="Arial" w:eastAsia="Times New Roman" w:hAnsi="Arial" w:cs="Arial"/>
          <w:sz w:val="22"/>
          <w:lang w:eastAsia="es-CO"/>
        </w:rPr>
        <w:t xml:space="preserve">El presupuesto de inversión con corte al </w:t>
      </w:r>
      <w:r>
        <w:rPr>
          <w:rFonts w:ascii="Arial" w:eastAsia="Times New Roman" w:hAnsi="Arial" w:cs="Arial"/>
          <w:sz w:val="22"/>
          <w:lang w:eastAsia="es-CO"/>
        </w:rPr>
        <w:t xml:space="preserve">30 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de </w:t>
      </w:r>
      <w:r>
        <w:rPr>
          <w:rFonts w:ascii="Arial" w:eastAsia="Times New Roman" w:hAnsi="Arial" w:cs="Arial"/>
          <w:sz w:val="22"/>
          <w:lang w:eastAsia="es-CO"/>
        </w:rPr>
        <w:t>abril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de 2024 se ejecutó $</w:t>
      </w:r>
      <w:r>
        <w:rPr>
          <w:rFonts w:ascii="Arial" w:eastAsia="Times New Roman" w:hAnsi="Arial" w:cs="Arial"/>
          <w:sz w:val="22"/>
          <w:lang w:eastAsia="es-CO"/>
        </w:rPr>
        <w:t>19.599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millones de pesos correspondiente al 2</w:t>
      </w:r>
      <w:r>
        <w:rPr>
          <w:rFonts w:ascii="Arial" w:eastAsia="Times New Roman" w:hAnsi="Arial" w:cs="Arial"/>
          <w:sz w:val="22"/>
          <w:lang w:eastAsia="es-CO"/>
        </w:rPr>
        <w:t>5</w:t>
      </w:r>
      <w:r w:rsidRPr="00225EE9">
        <w:rPr>
          <w:rFonts w:ascii="Arial" w:eastAsia="Times New Roman" w:hAnsi="Arial" w:cs="Arial"/>
          <w:sz w:val="22"/>
          <w:lang w:eastAsia="es-CO"/>
        </w:rPr>
        <w:t>% de la asignación inicial de $79.713 millones de pesos</w:t>
      </w:r>
      <w:r>
        <w:rPr>
          <w:rFonts w:ascii="Arial" w:eastAsia="Times New Roman" w:hAnsi="Arial" w:cs="Arial"/>
          <w:sz w:val="22"/>
          <w:lang w:eastAsia="es-CO"/>
        </w:rPr>
        <w:t xml:space="preserve">. </w:t>
      </w:r>
    </w:p>
    <w:p w14:paraId="17AC7EA1" w14:textId="77777777" w:rsidR="00276F99" w:rsidRDefault="00276F99" w:rsidP="00276F99">
      <w:pPr>
        <w:spacing w:before="0" w:after="0" w:line="240" w:lineRule="auto"/>
        <w:ind w:left="-562"/>
        <w:jc w:val="both"/>
        <w:rPr>
          <w:rFonts w:ascii="Arial" w:eastAsia="Times New Roman" w:hAnsi="Arial" w:cs="Arial"/>
          <w:sz w:val="22"/>
          <w:lang w:eastAsia="es-CO"/>
        </w:rPr>
      </w:pPr>
    </w:p>
    <w:p w14:paraId="4F82ABA5" w14:textId="77777777" w:rsidR="00276F99" w:rsidRDefault="00276F99" w:rsidP="00276F99">
      <w:pPr>
        <w:spacing w:before="0" w:after="0" w:line="240" w:lineRule="auto"/>
        <w:ind w:left="158"/>
        <w:jc w:val="both"/>
        <w:rPr>
          <w:rFonts w:ascii="Arial" w:eastAsia="Times New Roman" w:hAnsi="Arial" w:cs="Arial"/>
          <w:sz w:val="22"/>
          <w:lang w:eastAsia="es-CO"/>
        </w:rPr>
      </w:pPr>
      <w:r>
        <w:rPr>
          <w:rFonts w:ascii="Arial" w:eastAsia="Times New Roman" w:hAnsi="Arial" w:cs="Arial"/>
          <w:sz w:val="22"/>
          <w:lang w:eastAsia="es-CO"/>
        </w:rPr>
        <w:t>El presupuesto de inversión se ejecuta a través de la ejecución de 8 proyectos de inversión desagregados por programa presupuestal de la siguiente manera: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</w:t>
      </w:r>
    </w:p>
    <w:p w14:paraId="3D11D2A6" w14:textId="77777777" w:rsidR="00276F99" w:rsidRDefault="00276F99" w:rsidP="00276F99">
      <w:pPr>
        <w:spacing w:before="0" w:after="0" w:line="240" w:lineRule="auto"/>
        <w:ind w:left="4956" w:firstLine="708"/>
        <w:jc w:val="center"/>
        <w:rPr>
          <w:rFonts w:ascii="Arial" w:hAnsi="Arial" w:cs="Arial"/>
          <w:i/>
          <w:iCs/>
          <w:sz w:val="18"/>
          <w:szCs w:val="18"/>
        </w:rPr>
      </w:pPr>
    </w:p>
    <w:p w14:paraId="4FA242CC" w14:textId="58068CA9" w:rsidR="00276F99" w:rsidRDefault="00276F99" w:rsidP="00276F99">
      <w:pPr>
        <w:spacing w:before="0" w:after="0" w:line="240" w:lineRule="auto"/>
        <w:ind w:left="4956" w:firstLine="708"/>
        <w:jc w:val="center"/>
        <w:rPr>
          <w:rFonts w:eastAsia="Times New Roman" w:cs="Arial"/>
          <w:sz w:val="22"/>
          <w:lang w:eastAsia="es-CO"/>
        </w:rPr>
      </w:pPr>
      <w:r w:rsidRPr="00EA4751">
        <w:rPr>
          <w:rFonts w:ascii="Arial" w:hAnsi="Arial" w:cs="Arial"/>
          <w:i/>
          <w:iCs/>
          <w:sz w:val="18"/>
          <w:szCs w:val="18"/>
        </w:rPr>
        <w:t>Cifras en millones de pesos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9"/>
        <w:gridCol w:w="1812"/>
        <w:gridCol w:w="1099"/>
        <w:gridCol w:w="1216"/>
        <w:gridCol w:w="963"/>
        <w:gridCol w:w="1145"/>
        <w:gridCol w:w="964"/>
      </w:tblGrid>
      <w:tr w:rsidR="00276F99" w:rsidRPr="00276F99" w14:paraId="3E6A0987" w14:textId="77777777" w:rsidTr="00276F99">
        <w:trPr>
          <w:trHeight w:val="450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3FA811B7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>Programa presupuestal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center"/>
            <w:hideMark/>
          </w:tcPr>
          <w:p w14:paraId="2DBC8202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>Proyecto de Inversión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33D4491D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>Apropiación Vigente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7205B4D3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>Compromisos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5FF6F3F1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 xml:space="preserve">% 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1FF956F8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>Obligaciones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3B8A2995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 xml:space="preserve">% </w:t>
            </w:r>
          </w:p>
        </w:tc>
      </w:tr>
      <w:tr w:rsidR="00276F99" w:rsidRPr="00276F99" w14:paraId="76C7276F" w14:textId="77777777" w:rsidTr="00276F99">
        <w:trPr>
          <w:trHeight w:val="780"/>
        </w:trPr>
        <w:tc>
          <w:tcPr>
            <w:tcW w:w="19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C5611" w14:textId="77777777" w:rsidR="00276F99" w:rsidRPr="00276F99" w:rsidRDefault="00276F99" w:rsidP="00276F99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 xml:space="preserve">Total, programa 1906- Aseguramiento y administración del Sistema General de Seguridad Social en Salud-SGSSS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6B5E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842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E0E6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436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92AD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51,8%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B663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218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CF00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25,9%</w:t>
            </w:r>
          </w:p>
        </w:tc>
      </w:tr>
      <w:tr w:rsidR="00276F99" w:rsidRPr="00276F99" w14:paraId="34427DCE" w14:textId="77777777" w:rsidTr="00276F99">
        <w:trPr>
          <w:trHeight w:val="1797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D7DE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C-1906-0300-1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633F1" w14:textId="77777777" w:rsidR="00276F99" w:rsidRPr="00276F99" w:rsidRDefault="00276F99" w:rsidP="00276F99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Optimización de la utilización de los mecanismos de administración de justicia dispuestos por la Supersalud en la resolución de conflictos entre los actores del SGSSS. Nacional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8BA6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842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5D1B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436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DD40A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51,8%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4798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218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6264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25,9%</w:t>
            </w:r>
          </w:p>
        </w:tc>
      </w:tr>
      <w:tr w:rsidR="00276F99" w:rsidRPr="00276F99" w14:paraId="00466D50" w14:textId="77777777" w:rsidTr="00276F99">
        <w:trPr>
          <w:trHeight w:val="555"/>
        </w:trPr>
        <w:tc>
          <w:tcPr>
            <w:tcW w:w="19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11BC1" w14:textId="77777777" w:rsidR="00276F99" w:rsidRPr="00276F99" w:rsidRDefault="00276F99" w:rsidP="00276F99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Total, programa 1903 Inspección, Vigilancia y Control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A5BC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42.307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096C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13.689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2BD4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32,4%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5BAE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4.965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D8C2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11,7%</w:t>
            </w:r>
          </w:p>
        </w:tc>
      </w:tr>
      <w:tr w:rsidR="00276F99" w:rsidRPr="00276F99" w14:paraId="665B1924" w14:textId="77777777" w:rsidTr="00276F99">
        <w:trPr>
          <w:trHeight w:val="1575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C3995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C-1903-0300-8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9C05B" w14:textId="77777777" w:rsidR="00276F99" w:rsidRPr="00276F99" w:rsidRDefault="00276F99" w:rsidP="00276F99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Mejoramiento en la ejecución de las acciones de supervisión y control frente a la gestión en el SGSSS de los vigilados de la Supersalud. Nacional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1FE6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11.222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A747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2.120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F17C6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18,9%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DD9F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656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FCAB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5,9%</w:t>
            </w:r>
          </w:p>
        </w:tc>
      </w:tr>
      <w:tr w:rsidR="00276F99" w:rsidRPr="00276F99" w14:paraId="53BCE061" w14:textId="77777777" w:rsidTr="00276F99">
        <w:trPr>
          <w:trHeight w:val="2025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05EEE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C-1903-0300-7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6BD08" w14:textId="77777777" w:rsidR="00276F99" w:rsidRPr="00276F99" w:rsidRDefault="00276F99" w:rsidP="00276F99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Fortalecimiento del conocimiento de los ciudadanos del funcionamiento del SGSSS, sus derechos y deberes en salud, y las acciones y resultados de la gestión de la Supersalud. Nacional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BD50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3.731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84FF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305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809CB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8,2%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A4CF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78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80E6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2,1%</w:t>
            </w:r>
          </w:p>
        </w:tc>
      </w:tr>
      <w:tr w:rsidR="00276F99" w:rsidRPr="00276F99" w14:paraId="54B5084A" w14:textId="77777777" w:rsidTr="00276F99">
        <w:trPr>
          <w:trHeight w:val="180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8C780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C-1903-0300-9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A404E" w14:textId="77777777" w:rsidR="00276F99" w:rsidRPr="00276F99" w:rsidRDefault="00276F99" w:rsidP="00276F99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Fortalecimiento de la protección del usuario del sistema de salud, a través de mecanismos de inspección y vigilancia, y la promoción de la participación de los ciudadanos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E320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27.354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26F3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11.264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A40CD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41,2%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AA27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4.231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5E0F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15,5%</w:t>
            </w:r>
          </w:p>
        </w:tc>
      </w:tr>
      <w:tr w:rsidR="00276F99" w:rsidRPr="00276F99" w14:paraId="4882639B" w14:textId="77777777" w:rsidTr="00276F99">
        <w:trPr>
          <w:trHeight w:val="735"/>
        </w:trPr>
        <w:tc>
          <w:tcPr>
            <w:tcW w:w="19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BEA7B" w14:textId="77777777" w:rsidR="00276F99" w:rsidRPr="00276F99" w:rsidRDefault="00276F99" w:rsidP="00276F99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lastRenderedPageBreak/>
              <w:t>Total, programa 1999 Fortalecimiento de la gestión y dirección del sector salud y protección social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4FB2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36.564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1F6E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5.473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F888B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15,0%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FE36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789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1C8F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2,2%</w:t>
            </w:r>
          </w:p>
        </w:tc>
      </w:tr>
      <w:tr w:rsidR="00276F99" w:rsidRPr="00276F99" w14:paraId="42A02222" w14:textId="77777777" w:rsidTr="00276F99">
        <w:trPr>
          <w:trHeight w:val="90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3F9FD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C-1999-0300-12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A4017" w14:textId="77777777" w:rsidR="00276F99" w:rsidRPr="00276F99" w:rsidRDefault="00276F99" w:rsidP="00276F99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Desarrollo de la gestión estratégica del talento humano en la Supersalud a nivel nacional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A2BF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2.575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64EA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182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D0B39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7,1%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559D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1B95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0,7%</w:t>
            </w:r>
          </w:p>
        </w:tc>
      </w:tr>
      <w:tr w:rsidR="00276F99" w:rsidRPr="00276F99" w14:paraId="059FAC62" w14:textId="77777777" w:rsidTr="00276F99">
        <w:trPr>
          <w:trHeight w:val="90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A47B3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C-1999-0300-14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D4D3D" w14:textId="77777777" w:rsidR="00276F99" w:rsidRPr="00276F99" w:rsidRDefault="00276F99" w:rsidP="00276F99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Fortalecimiento de la administración de la gestión documental en la Supersalud Nacional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BAE9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8.533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3465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1.980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1CB10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23,2%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0820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517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BDF1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6,1%</w:t>
            </w:r>
          </w:p>
        </w:tc>
      </w:tr>
      <w:tr w:rsidR="00276F99" w:rsidRPr="00276F99" w14:paraId="0AAC0FA3" w14:textId="77777777" w:rsidTr="00276F99">
        <w:trPr>
          <w:trHeight w:val="1575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4D962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C-1999-0300-15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45DC5" w14:textId="77777777" w:rsidR="00276F99" w:rsidRPr="00276F99" w:rsidRDefault="00276F99" w:rsidP="00276F99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Fortalecimiento del Sistema Integrado de Gestión en la provisión de los servicios de la Supersalud a sus grupos de valor dentro del SGSSS. Nacional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07E4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687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6795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183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F89FB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26,7%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4DA2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47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059C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6,8%</w:t>
            </w:r>
          </w:p>
        </w:tc>
      </w:tr>
      <w:tr w:rsidR="00276F99" w:rsidRPr="00276F99" w14:paraId="55BB5295" w14:textId="77777777" w:rsidTr="00276F99">
        <w:trPr>
          <w:trHeight w:val="180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08B27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C-1999-0300-16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70DB8" w14:textId="77777777" w:rsidR="00276F99" w:rsidRPr="00276F99" w:rsidRDefault="00276F99" w:rsidP="00276F99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Optimización del aprovisionamiento, desarrollo de servicios y soluciones de tecnologías de la información que soportan la acciones de IVC al SGSSS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084F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24.769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AEF0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3.128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93123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12,6%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E09C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92CB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0,8%</w:t>
            </w:r>
          </w:p>
        </w:tc>
      </w:tr>
      <w:tr w:rsidR="00276F99" w:rsidRPr="00276F99" w14:paraId="29966D87" w14:textId="77777777" w:rsidTr="00276F99">
        <w:trPr>
          <w:trHeight w:val="300"/>
        </w:trPr>
        <w:tc>
          <w:tcPr>
            <w:tcW w:w="19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0E5BF9FF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>TOTAL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center"/>
            <w:hideMark/>
          </w:tcPr>
          <w:p w14:paraId="79925345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>$ 79.713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center"/>
            <w:hideMark/>
          </w:tcPr>
          <w:p w14:paraId="7D9181A3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>$ 19.599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522748EB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>25,0%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center"/>
            <w:hideMark/>
          </w:tcPr>
          <w:p w14:paraId="48253F34" w14:textId="77777777" w:rsidR="00276F99" w:rsidRPr="00276F99" w:rsidRDefault="00276F99" w:rsidP="00276F9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>$ 5.972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57F693F1" w14:textId="77777777" w:rsidR="00276F99" w:rsidRPr="00276F99" w:rsidRDefault="00276F99" w:rsidP="00276F9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276F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CO"/>
              </w:rPr>
              <w:t>7,0%</w:t>
            </w:r>
          </w:p>
        </w:tc>
      </w:tr>
    </w:tbl>
    <w:p w14:paraId="7B9425F6" w14:textId="77777777" w:rsidR="00276F99" w:rsidRDefault="00276F99" w:rsidP="00276F99">
      <w:pPr>
        <w:spacing w:before="0" w:after="0" w:line="240" w:lineRule="auto"/>
        <w:ind w:left="-562"/>
        <w:jc w:val="both"/>
        <w:rPr>
          <w:rFonts w:eastAsia="Times New Roman" w:cs="Arial"/>
          <w:sz w:val="22"/>
          <w:lang w:eastAsia="es-CO"/>
        </w:rPr>
      </w:pPr>
    </w:p>
    <w:p w14:paraId="118391FE" w14:textId="77777777" w:rsidR="00276F99" w:rsidRPr="006154F3" w:rsidRDefault="00276F99" w:rsidP="00276F99">
      <w:pPr>
        <w:pStyle w:val="Prrafodelista"/>
        <w:numPr>
          <w:ilvl w:val="0"/>
          <w:numId w:val="26"/>
        </w:numPr>
        <w:spacing w:before="0" w:after="0" w:line="240" w:lineRule="auto"/>
        <w:jc w:val="both"/>
        <w:rPr>
          <w:rFonts w:eastAsia="Times New Roman" w:cs="Arial"/>
          <w:sz w:val="22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sz w:val="22"/>
          <w:lang w:eastAsia="es-CO"/>
        </w:rPr>
        <w:t>Programa 1906-</w:t>
      </w:r>
      <w:r w:rsidRPr="006154F3">
        <w:rPr>
          <w:rFonts w:ascii="Arial" w:eastAsia="Times New Roman" w:hAnsi="Arial" w:cs="Arial"/>
          <w:b/>
          <w:bCs/>
          <w:color w:val="000000"/>
          <w:sz w:val="22"/>
          <w:lang w:eastAsia="es-CO"/>
        </w:rPr>
        <w:t>Aseguramiento y administración del Sistema General de Seguridad Social en Salud-SGSSS</w:t>
      </w:r>
      <w:r>
        <w:rPr>
          <w:rFonts w:ascii="Arial" w:eastAsia="Times New Roman" w:hAnsi="Arial" w:cs="Arial"/>
          <w:b/>
          <w:bCs/>
          <w:color w:val="000000"/>
          <w:sz w:val="22"/>
          <w:lang w:eastAsia="es-CO"/>
        </w:rPr>
        <w:t>:</w:t>
      </w:r>
    </w:p>
    <w:p w14:paraId="7F848A72" w14:textId="77777777" w:rsidR="00276F99" w:rsidRDefault="00276F99" w:rsidP="00276F99">
      <w:pPr>
        <w:spacing w:before="0" w:after="0" w:line="240" w:lineRule="auto"/>
        <w:ind w:left="-202"/>
        <w:rPr>
          <w:rFonts w:ascii="Arial" w:eastAsia="Times New Roman" w:hAnsi="Arial" w:cs="Arial"/>
          <w:b/>
          <w:bCs/>
          <w:color w:val="000000"/>
          <w:sz w:val="22"/>
          <w:lang w:eastAsia="es-CO"/>
        </w:rPr>
      </w:pPr>
    </w:p>
    <w:p w14:paraId="1AC03B11" w14:textId="77777777" w:rsidR="00276F99" w:rsidRDefault="00276F99" w:rsidP="00276F99">
      <w:pPr>
        <w:spacing w:before="0" w:after="0" w:line="240" w:lineRule="auto"/>
        <w:ind w:left="-202"/>
        <w:jc w:val="both"/>
        <w:rPr>
          <w:rFonts w:ascii="Arial" w:eastAsia="Times New Roman" w:hAnsi="Arial" w:cs="Arial"/>
          <w:color w:val="000000"/>
          <w:sz w:val="22"/>
          <w:lang w:eastAsia="es-CO"/>
        </w:rPr>
      </w:pPr>
      <w:r w:rsidRPr="006154F3">
        <w:rPr>
          <w:rFonts w:ascii="Arial" w:eastAsia="Times New Roman" w:hAnsi="Arial" w:cs="Arial"/>
          <w:color w:val="000000"/>
          <w:sz w:val="22"/>
          <w:lang w:eastAsia="es-CO"/>
        </w:rPr>
        <w:t>A través d</w:t>
      </w:r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e la ejecución del proyecto asociado a este programa presupuestal, se ejecutan recursos para la realización de las </w:t>
      </w:r>
      <w:proofErr w:type="spellStart"/>
      <w:r>
        <w:rPr>
          <w:rFonts w:ascii="Arial" w:eastAsia="Times New Roman" w:hAnsi="Arial" w:cs="Arial"/>
          <w:color w:val="000000"/>
          <w:sz w:val="22"/>
          <w:lang w:eastAsia="es-CO"/>
        </w:rPr>
        <w:t>prejornadas</w:t>
      </w:r>
      <w:proofErr w:type="spellEnd"/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 y jornadas de conciliación que se llevan a cabo en diferentes lugares del país; de igual manera se apoya la gestión en las decisiones que se deben tomar como “juez de salud” desde la función jurisdiccional.</w:t>
      </w:r>
    </w:p>
    <w:p w14:paraId="5BA6B432" w14:textId="77777777" w:rsidR="00276F99" w:rsidRDefault="00276F99" w:rsidP="00276F99">
      <w:pPr>
        <w:spacing w:before="0" w:after="0" w:line="240" w:lineRule="auto"/>
        <w:ind w:left="-202"/>
        <w:rPr>
          <w:rFonts w:ascii="Arial" w:eastAsia="Times New Roman" w:hAnsi="Arial" w:cs="Arial"/>
          <w:color w:val="000000"/>
          <w:sz w:val="22"/>
          <w:lang w:eastAsia="es-CO"/>
        </w:rPr>
      </w:pPr>
    </w:p>
    <w:p w14:paraId="255BC4C6" w14:textId="77777777" w:rsidR="00276F99" w:rsidRPr="006154F3" w:rsidRDefault="00276F99" w:rsidP="00276F99">
      <w:pPr>
        <w:pStyle w:val="Prrafodelista"/>
        <w:numPr>
          <w:ilvl w:val="0"/>
          <w:numId w:val="26"/>
        </w:numPr>
        <w:spacing w:before="0" w:after="0" w:line="240" w:lineRule="auto"/>
        <w:jc w:val="both"/>
        <w:rPr>
          <w:rFonts w:eastAsia="Times New Roman" w:cs="Arial"/>
          <w:sz w:val="22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sz w:val="22"/>
          <w:lang w:eastAsia="es-CO"/>
        </w:rPr>
        <w:t>Programa 1903-Inspección, vigilancia y control:</w:t>
      </w:r>
    </w:p>
    <w:p w14:paraId="4C9894E7" w14:textId="77777777" w:rsidR="00276F99" w:rsidRDefault="00276F99" w:rsidP="00276F99">
      <w:pPr>
        <w:spacing w:before="0" w:after="0" w:line="240" w:lineRule="auto"/>
        <w:ind w:left="-202"/>
        <w:rPr>
          <w:rFonts w:ascii="Arial" w:eastAsia="Times New Roman" w:hAnsi="Arial" w:cs="Arial"/>
          <w:color w:val="000000"/>
          <w:sz w:val="22"/>
          <w:lang w:eastAsia="es-CO"/>
        </w:rPr>
      </w:pPr>
    </w:p>
    <w:p w14:paraId="14954BDF" w14:textId="77777777" w:rsidR="00276F99" w:rsidRDefault="00276F99" w:rsidP="00276F99">
      <w:pPr>
        <w:spacing w:before="0" w:after="0" w:line="240" w:lineRule="auto"/>
        <w:ind w:left="-202"/>
        <w:jc w:val="both"/>
        <w:rPr>
          <w:rFonts w:ascii="Arial" w:eastAsia="Times New Roman" w:hAnsi="Arial" w:cs="Arial"/>
          <w:color w:val="000000"/>
          <w:sz w:val="22"/>
          <w:lang w:eastAsia="es-CO"/>
        </w:rPr>
      </w:pP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>A través de la ejecución de</w:t>
      </w:r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 </w:t>
      </w: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>l</w:t>
      </w:r>
      <w:r>
        <w:rPr>
          <w:rFonts w:ascii="Arial" w:eastAsia="Times New Roman" w:hAnsi="Arial" w:cs="Arial"/>
          <w:color w:val="000000"/>
          <w:sz w:val="22"/>
          <w:lang w:eastAsia="es-CO"/>
        </w:rPr>
        <w:t>os tres</w:t>
      </w: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 xml:space="preserve"> </w:t>
      </w:r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(3) </w:t>
      </w: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>proyecto</w:t>
      </w:r>
      <w:r>
        <w:rPr>
          <w:rFonts w:ascii="Arial" w:eastAsia="Times New Roman" w:hAnsi="Arial" w:cs="Arial"/>
          <w:color w:val="000000"/>
          <w:sz w:val="22"/>
          <w:lang w:eastAsia="es-CO"/>
        </w:rPr>
        <w:t>s</w:t>
      </w: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 xml:space="preserve"> asociado</w:t>
      </w:r>
      <w:r>
        <w:rPr>
          <w:rFonts w:ascii="Arial" w:eastAsia="Times New Roman" w:hAnsi="Arial" w:cs="Arial"/>
          <w:color w:val="000000"/>
          <w:sz w:val="22"/>
          <w:lang w:eastAsia="es-CO"/>
        </w:rPr>
        <w:t>s</w:t>
      </w: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 xml:space="preserve"> a este programa presupuestal, se ejecutan recursos para la realización</w:t>
      </w:r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 acciones de inspección, vigilancia y control dentro de las cuales se destacan: las auditorias y seguimientos a los sujetos vigilados,</w:t>
      </w:r>
      <w:r w:rsidRPr="008941AD">
        <w:rPr>
          <w:rFonts w:ascii="Calibri Light" w:hAnsi="Calibri Light" w:cs="Calibri Light"/>
        </w:rPr>
        <w:t xml:space="preserve"> </w:t>
      </w:r>
      <w:r w:rsidRPr="008941AD">
        <w:rPr>
          <w:rFonts w:ascii="Arial" w:eastAsia="Times New Roman" w:hAnsi="Arial" w:cs="Arial"/>
          <w:color w:val="000000"/>
          <w:sz w:val="22"/>
          <w:lang w:eastAsia="es-CO"/>
        </w:rPr>
        <w:t>monitorear los Planes de Mejoramientos</w:t>
      </w:r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, </w:t>
      </w:r>
      <w:r w:rsidRPr="007951BE">
        <w:rPr>
          <w:rFonts w:ascii="Arial" w:eastAsia="Times New Roman" w:hAnsi="Arial" w:cs="Arial"/>
          <w:color w:val="000000"/>
          <w:sz w:val="22"/>
          <w:lang w:eastAsia="es-CO"/>
        </w:rPr>
        <w:t xml:space="preserve">asistencia técnicas a vigilados de la Supersalud, mesas de trabajo técnicas </w:t>
      </w:r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y capacitaciones </w:t>
      </w:r>
      <w:r w:rsidRPr="007951BE">
        <w:rPr>
          <w:rFonts w:ascii="Arial" w:eastAsia="Times New Roman" w:hAnsi="Arial" w:cs="Arial"/>
          <w:color w:val="000000"/>
          <w:sz w:val="22"/>
          <w:lang w:eastAsia="es-CO"/>
        </w:rPr>
        <w:t>con actores del SGSSS</w:t>
      </w:r>
      <w:r>
        <w:rPr>
          <w:rFonts w:ascii="Arial" w:eastAsia="Times New Roman" w:hAnsi="Arial" w:cs="Arial"/>
          <w:color w:val="000000"/>
          <w:sz w:val="22"/>
          <w:lang w:eastAsia="es-CO"/>
        </w:rPr>
        <w:t>, apoya a la gestión de Control para la realización de tomas de posesión, del proceso administrativo sancionatorio, del seguimiento a las entidades en alguna acción o medida especial o en proceso de liquidación.</w:t>
      </w:r>
    </w:p>
    <w:p w14:paraId="3E8C5758" w14:textId="77777777" w:rsidR="00276F99" w:rsidRDefault="00276F99" w:rsidP="00276F99">
      <w:pPr>
        <w:spacing w:before="0" w:after="0" w:line="240" w:lineRule="auto"/>
        <w:ind w:left="-202"/>
        <w:jc w:val="both"/>
        <w:rPr>
          <w:rFonts w:ascii="Arial" w:eastAsia="Times New Roman" w:hAnsi="Arial" w:cs="Arial"/>
          <w:color w:val="000000"/>
          <w:sz w:val="22"/>
          <w:lang w:eastAsia="es-CO"/>
        </w:rPr>
      </w:pPr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Se desarrollan las acciones necesarias para garantizar el servicio de atención al usuario del SGSSS y servicio al ciudadano a través de los canales escrito, telefónico, web, chat y redes </w:t>
      </w:r>
      <w:r>
        <w:rPr>
          <w:rFonts w:ascii="Arial" w:eastAsia="Times New Roman" w:hAnsi="Arial" w:cs="Arial"/>
          <w:color w:val="000000"/>
          <w:sz w:val="22"/>
          <w:lang w:eastAsia="es-CO"/>
        </w:rPr>
        <w:lastRenderedPageBreak/>
        <w:t xml:space="preserve">sociales, así como la atención personalizada a lo largo del territorio nacional; se dispone de una línea telefónica gratuita nacional 7x24 para la atención del usuario, y la implementación de estrategias para </w:t>
      </w:r>
      <w:proofErr w:type="spellStart"/>
      <w:r>
        <w:rPr>
          <w:rFonts w:ascii="Arial" w:eastAsia="Times New Roman" w:hAnsi="Arial" w:cs="Arial"/>
          <w:color w:val="000000"/>
          <w:sz w:val="22"/>
          <w:lang w:eastAsia="es-CO"/>
        </w:rPr>
        <w:t>le</w:t>
      </w:r>
      <w:proofErr w:type="spellEnd"/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 fortalecimiento del control social en salud, mediante escenarios de dialogo y capacitación a través de los cuales se difunden derechos y deberes de los usuarios, así como las formas de participación ciudadana y la estructura del sistema de salud colombiano.</w:t>
      </w:r>
    </w:p>
    <w:p w14:paraId="28FFA0B0" w14:textId="77777777" w:rsidR="00276F99" w:rsidRPr="00367FBD" w:rsidRDefault="00276F99" w:rsidP="00276F99">
      <w:pPr>
        <w:spacing w:before="0" w:after="0" w:line="240" w:lineRule="auto"/>
        <w:ind w:left="-202"/>
        <w:jc w:val="both"/>
        <w:rPr>
          <w:rFonts w:ascii="Arial" w:eastAsia="Times New Roman" w:hAnsi="Arial" w:cs="Arial"/>
          <w:color w:val="000000"/>
          <w:sz w:val="22"/>
          <w:lang w:eastAsia="es-CO"/>
        </w:rPr>
      </w:pPr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Por último, como mecanismos de divulgación, </w:t>
      </w:r>
      <w:r w:rsidRPr="00367FBD">
        <w:rPr>
          <w:rFonts w:ascii="Arial" w:eastAsia="Times New Roman" w:hAnsi="Arial" w:cs="Arial"/>
          <w:color w:val="000000"/>
          <w:sz w:val="22"/>
          <w:lang w:eastAsia="es-CO"/>
        </w:rPr>
        <w:t>se diseñan y ejecuta políticas y programas de incidencia nacional tendientes a divulgar masivamente información sobre el derecho a la salud y el marco normativo relevante en el SGSSS y difundir el conocimiento sobre dichas normas y la manera de ejercer mecanismos de protección y defensa; así mismo divulga el accionar de la entidad, haciendo públicas las acciones que en materia de IVC, y de la función jurisdiccional y de conciliación ejecuta en el SGSSS, todo esto a través de diferentes canales de difusión, medios de comunicación tradicionales así como algunos medios alternativos.</w:t>
      </w:r>
    </w:p>
    <w:p w14:paraId="71C451FB" w14:textId="77777777" w:rsidR="00276F99" w:rsidRDefault="00276F99" w:rsidP="00276F99">
      <w:pPr>
        <w:spacing w:before="0" w:after="0" w:line="240" w:lineRule="auto"/>
        <w:ind w:left="-202"/>
        <w:rPr>
          <w:rFonts w:ascii="Arial" w:eastAsia="Times New Roman" w:hAnsi="Arial" w:cs="Arial"/>
          <w:color w:val="000000"/>
          <w:sz w:val="22"/>
          <w:lang w:eastAsia="es-CO"/>
        </w:rPr>
      </w:pPr>
    </w:p>
    <w:p w14:paraId="138A066B" w14:textId="77777777" w:rsidR="00276F99" w:rsidRPr="006154F3" w:rsidRDefault="00276F99" w:rsidP="00276F99">
      <w:pPr>
        <w:pStyle w:val="Prrafodelista"/>
        <w:numPr>
          <w:ilvl w:val="0"/>
          <w:numId w:val="26"/>
        </w:numPr>
        <w:spacing w:before="0" w:after="0" w:line="240" w:lineRule="auto"/>
        <w:jc w:val="both"/>
        <w:rPr>
          <w:rFonts w:eastAsia="Times New Roman" w:cs="Arial"/>
          <w:sz w:val="22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sz w:val="22"/>
          <w:lang w:eastAsia="es-CO"/>
        </w:rPr>
        <w:t>Programa 1999-</w:t>
      </w:r>
      <w:r w:rsidRPr="00BA6679">
        <w:rPr>
          <w:rFonts w:ascii="Arial" w:eastAsia="Times New Roman" w:hAnsi="Arial" w:cs="Arial"/>
          <w:b/>
          <w:bCs/>
          <w:color w:val="000000"/>
          <w:sz w:val="16"/>
          <w:szCs w:val="16"/>
          <w:lang w:eastAsia="es-CO"/>
        </w:rPr>
        <w:t xml:space="preserve"> </w:t>
      </w:r>
      <w:r w:rsidRPr="00BA6679">
        <w:rPr>
          <w:rFonts w:ascii="Arial" w:eastAsia="Times New Roman" w:hAnsi="Arial" w:cs="Arial"/>
          <w:b/>
          <w:bCs/>
          <w:color w:val="000000"/>
          <w:sz w:val="22"/>
          <w:lang w:eastAsia="es-CO"/>
        </w:rPr>
        <w:t>Fortalecimiento de la gestión y dirección del sector salud y protección social</w:t>
      </w:r>
      <w:r>
        <w:rPr>
          <w:rFonts w:ascii="Arial" w:eastAsia="Times New Roman" w:hAnsi="Arial" w:cs="Arial"/>
          <w:b/>
          <w:bCs/>
          <w:color w:val="000000"/>
          <w:sz w:val="22"/>
          <w:lang w:eastAsia="es-CO"/>
        </w:rPr>
        <w:t>:</w:t>
      </w:r>
    </w:p>
    <w:p w14:paraId="3124F0A4" w14:textId="77777777" w:rsidR="00276F99" w:rsidRDefault="00276F99" w:rsidP="00276F99">
      <w:pPr>
        <w:spacing w:before="0" w:after="0" w:line="240" w:lineRule="auto"/>
        <w:ind w:left="-202"/>
        <w:rPr>
          <w:rFonts w:ascii="Arial" w:eastAsia="Times New Roman" w:hAnsi="Arial" w:cs="Arial"/>
          <w:color w:val="000000"/>
          <w:sz w:val="22"/>
          <w:lang w:eastAsia="es-CO"/>
        </w:rPr>
      </w:pPr>
    </w:p>
    <w:p w14:paraId="71309F23" w14:textId="77777777" w:rsidR="00276F99" w:rsidRDefault="00276F99" w:rsidP="00276F99">
      <w:pPr>
        <w:spacing w:before="0" w:after="0" w:line="240" w:lineRule="auto"/>
        <w:ind w:left="-202"/>
        <w:jc w:val="both"/>
        <w:rPr>
          <w:rFonts w:ascii="Arial" w:eastAsia="Times New Roman" w:hAnsi="Arial" w:cs="Arial"/>
          <w:color w:val="000000"/>
          <w:sz w:val="22"/>
          <w:lang w:eastAsia="es-CO"/>
        </w:rPr>
      </w:pP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>A través de la ejecución de</w:t>
      </w:r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 </w:t>
      </w: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>l</w:t>
      </w:r>
      <w:r>
        <w:rPr>
          <w:rFonts w:ascii="Arial" w:eastAsia="Times New Roman" w:hAnsi="Arial" w:cs="Arial"/>
          <w:color w:val="000000"/>
          <w:sz w:val="22"/>
          <w:lang w:eastAsia="es-CO"/>
        </w:rPr>
        <w:t>os cuatro (4)</w:t>
      </w: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 xml:space="preserve"> proyecto</w:t>
      </w:r>
      <w:r>
        <w:rPr>
          <w:rFonts w:ascii="Arial" w:eastAsia="Times New Roman" w:hAnsi="Arial" w:cs="Arial"/>
          <w:color w:val="000000"/>
          <w:sz w:val="22"/>
          <w:lang w:eastAsia="es-CO"/>
        </w:rPr>
        <w:t>s</w:t>
      </w: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 xml:space="preserve"> asociado</w:t>
      </w:r>
      <w:r>
        <w:rPr>
          <w:rFonts w:ascii="Arial" w:eastAsia="Times New Roman" w:hAnsi="Arial" w:cs="Arial"/>
          <w:color w:val="000000"/>
          <w:sz w:val="22"/>
          <w:lang w:eastAsia="es-CO"/>
        </w:rPr>
        <w:t>s</w:t>
      </w: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 xml:space="preserve"> a este programa </w:t>
      </w:r>
      <w:r>
        <w:rPr>
          <w:rFonts w:ascii="Arial" w:eastAsia="Times New Roman" w:hAnsi="Arial" w:cs="Arial"/>
          <w:color w:val="000000"/>
          <w:sz w:val="22"/>
          <w:lang w:eastAsia="es-CO"/>
        </w:rPr>
        <w:t>p</w:t>
      </w:r>
      <w:r w:rsidRPr="00147BF3">
        <w:rPr>
          <w:rFonts w:ascii="Arial" w:eastAsia="Times New Roman" w:hAnsi="Arial" w:cs="Arial"/>
          <w:color w:val="000000"/>
          <w:sz w:val="22"/>
          <w:lang w:eastAsia="es-CO"/>
        </w:rPr>
        <w:t>resupuestal, se ejecutan recursos para la realización</w:t>
      </w:r>
      <w:r>
        <w:rPr>
          <w:rFonts w:ascii="Arial" w:eastAsia="Times New Roman" w:hAnsi="Arial" w:cs="Arial"/>
          <w:color w:val="000000"/>
          <w:sz w:val="22"/>
          <w:lang w:eastAsia="es-CO"/>
        </w:rPr>
        <w:t xml:space="preserve"> de acciones que apoyan la gestión misional la entidad, frente: </w:t>
      </w:r>
    </w:p>
    <w:p w14:paraId="71560091" w14:textId="77777777" w:rsidR="00276F99" w:rsidRDefault="00276F99" w:rsidP="00276F99">
      <w:pPr>
        <w:pStyle w:val="Prrafodelista"/>
        <w:numPr>
          <w:ilvl w:val="0"/>
          <w:numId w:val="28"/>
        </w:numPr>
        <w:spacing w:before="0" w:after="0" w:line="240" w:lineRule="auto"/>
        <w:jc w:val="both"/>
        <w:rPr>
          <w:rFonts w:ascii="Arial" w:eastAsia="Times New Roman" w:hAnsi="Arial" w:cs="Arial"/>
          <w:color w:val="000000"/>
          <w:sz w:val="22"/>
          <w:lang w:eastAsia="es-CO"/>
        </w:rPr>
      </w:pPr>
      <w:r>
        <w:rPr>
          <w:rFonts w:ascii="Arial" w:eastAsia="Times New Roman" w:hAnsi="Arial" w:cs="Arial"/>
          <w:color w:val="000000"/>
          <w:sz w:val="22"/>
          <w:lang w:eastAsia="es-CO"/>
        </w:rPr>
        <w:t>P</w:t>
      </w:r>
      <w:r w:rsidRPr="00E765F6">
        <w:rPr>
          <w:rFonts w:ascii="Arial" w:eastAsia="Times New Roman" w:hAnsi="Arial" w:cs="Arial"/>
          <w:color w:val="000000"/>
          <w:sz w:val="22"/>
          <w:lang w:eastAsia="es-CO"/>
        </w:rPr>
        <w:t>rovisión, y desarrollo de servicios y soluciones de tecnologías de la informan que soportan las acciones de IVC: desarrollos TI, aplicativos, mesa de servicio, renovación tecnología, conectividad, licenciamiento;</w:t>
      </w:r>
    </w:p>
    <w:p w14:paraId="0B60A873" w14:textId="77777777" w:rsidR="00276F99" w:rsidRDefault="00276F99" w:rsidP="00276F99">
      <w:pPr>
        <w:pStyle w:val="Prrafodelista"/>
        <w:numPr>
          <w:ilvl w:val="0"/>
          <w:numId w:val="28"/>
        </w:numPr>
        <w:spacing w:before="0" w:after="0" w:line="240" w:lineRule="auto"/>
        <w:jc w:val="both"/>
        <w:rPr>
          <w:rFonts w:ascii="Arial" w:eastAsia="Times New Roman" w:hAnsi="Arial" w:cs="Arial"/>
          <w:color w:val="000000"/>
          <w:sz w:val="22"/>
          <w:lang w:eastAsia="es-CO"/>
        </w:rPr>
      </w:pPr>
      <w:r>
        <w:rPr>
          <w:rFonts w:ascii="Arial" w:eastAsia="Times New Roman" w:hAnsi="Arial" w:cs="Arial"/>
          <w:color w:val="000000"/>
          <w:sz w:val="22"/>
          <w:lang w:eastAsia="es-CO"/>
        </w:rPr>
        <w:t>Administración de la gestión documental: organización, digitalización, custodia y almacenamiento; soporte gestor documental.</w:t>
      </w:r>
    </w:p>
    <w:p w14:paraId="162AFB4D" w14:textId="77777777" w:rsidR="00276F99" w:rsidRDefault="00276F99" w:rsidP="00276F99">
      <w:pPr>
        <w:pStyle w:val="Prrafodelista"/>
        <w:numPr>
          <w:ilvl w:val="0"/>
          <w:numId w:val="28"/>
        </w:numPr>
        <w:spacing w:before="0" w:after="0" w:line="240" w:lineRule="auto"/>
        <w:jc w:val="both"/>
        <w:rPr>
          <w:rFonts w:ascii="Arial" w:eastAsia="Times New Roman" w:hAnsi="Arial" w:cs="Arial"/>
          <w:color w:val="000000"/>
          <w:sz w:val="22"/>
          <w:lang w:eastAsia="es-CO"/>
        </w:rPr>
      </w:pPr>
      <w:r>
        <w:rPr>
          <w:rFonts w:ascii="Arial" w:eastAsia="Times New Roman" w:hAnsi="Arial" w:cs="Arial"/>
          <w:color w:val="000000"/>
          <w:sz w:val="22"/>
          <w:lang w:eastAsia="es-CO"/>
        </w:rPr>
        <w:t>Frente al talento humano, se desarrollan estrategias de formación y capitación, de bienestar y de seguridad y salud en el trabajo</w:t>
      </w:r>
    </w:p>
    <w:p w14:paraId="09F7834E" w14:textId="77777777" w:rsidR="00276F99" w:rsidRPr="00E765F6" w:rsidRDefault="00276F99" w:rsidP="00276F99">
      <w:pPr>
        <w:pStyle w:val="Prrafodelista"/>
        <w:numPr>
          <w:ilvl w:val="0"/>
          <w:numId w:val="28"/>
        </w:numPr>
        <w:spacing w:before="0" w:after="0" w:line="240" w:lineRule="auto"/>
        <w:jc w:val="both"/>
        <w:rPr>
          <w:rFonts w:ascii="Arial" w:eastAsia="Times New Roman" w:hAnsi="Arial" w:cs="Arial"/>
          <w:color w:val="000000"/>
          <w:sz w:val="22"/>
          <w:lang w:eastAsia="es-CO"/>
        </w:rPr>
      </w:pPr>
      <w:r>
        <w:rPr>
          <w:rFonts w:ascii="Arial" w:eastAsia="Times New Roman" w:hAnsi="Arial" w:cs="Arial"/>
          <w:color w:val="000000"/>
          <w:sz w:val="22"/>
          <w:lang w:eastAsia="es-CO"/>
        </w:rPr>
        <w:t>Apoyo a la gestión para el fortalecimiento y cumplimiento del Modelo Integrado de Planeación y Gestión y del Sistema Integrado de Gestión.</w:t>
      </w:r>
    </w:p>
    <w:p w14:paraId="77750200" w14:textId="77777777" w:rsidR="00276F99" w:rsidRPr="006154F3" w:rsidRDefault="00276F99" w:rsidP="00276F99">
      <w:pPr>
        <w:spacing w:before="0" w:after="0" w:line="240" w:lineRule="auto"/>
        <w:ind w:left="-202"/>
        <w:rPr>
          <w:rFonts w:eastAsia="Times New Roman" w:cs="Arial"/>
          <w:sz w:val="22"/>
          <w:lang w:eastAsia="es-CO"/>
        </w:rPr>
      </w:pPr>
    </w:p>
    <w:p w14:paraId="23A0FC6F" w14:textId="77777777" w:rsidR="00957177" w:rsidRPr="00095CC9" w:rsidRDefault="00957177" w:rsidP="00957177">
      <w:pPr>
        <w:spacing w:before="0" w:after="0" w:line="240" w:lineRule="auto"/>
        <w:rPr>
          <w:rFonts w:ascii="Arial" w:hAnsi="Arial" w:cs="Arial"/>
          <w:b/>
          <w:bCs/>
          <w:sz w:val="22"/>
        </w:rPr>
      </w:pPr>
    </w:p>
    <w:sectPr w:rsidR="00957177" w:rsidRPr="00095CC9" w:rsidSect="00CB1DC1">
      <w:headerReference w:type="default" r:id="rId14"/>
      <w:footerReference w:type="default" r:id="rId15"/>
      <w:pgSz w:w="12240" w:h="15840"/>
      <w:pgMar w:top="1701" w:right="1701" w:bottom="1418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3DA81" w14:textId="77777777" w:rsidR="00D4199F" w:rsidRDefault="00D4199F" w:rsidP="00CD6908">
      <w:pPr>
        <w:spacing w:after="0" w:line="240" w:lineRule="auto"/>
      </w:pPr>
      <w:r>
        <w:separator/>
      </w:r>
    </w:p>
  </w:endnote>
  <w:endnote w:type="continuationSeparator" w:id="0">
    <w:p w14:paraId="5AA5DFE2" w14:textId="77777777" w:rsidR="00D4199F" w:rsidRDefault="00D4199F" w:rsidP="00CD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14B44" w14:textId="03DD092D" w:rsidR="005E2041" w:rsidRPr="002A04BB" w:rsidRDefault="00FD7627" w:rsidP="005E2041">
    <w:pPr>
      <w:pStyle w:val="Piedepgina"/>
    </w:pPr>
    <w:r w:rsidRPr="00FD7627">
      <w:rPr>
        <w:rStyle w:val="Fuentedeprrafopredeter0"/>
        <w:noProof/>
      </w:rPr>
      <w:drawing>
        <wp:anchor distT="0" distB="0" distL="114300" distR="114300" simplePos="0" relativeHeight="251666432" behindDoc="0" locked="0" layoutInCell="1" allowOverlap="1" wp14:anchorId="5E44EB88" wp14:editId="095A601C">
          <wp:simplePos x="0" y="0"/>
          <wp:positionH relativeFrom="rightMargin">
            <wp:posOffset>-93345</wp:posOffset>
          </wp:positionH>
          <wp:positionV relativeFrom="paragraph">
            <wp:posOffset>214630</wp:posOffset>
          </wp:positionV>
          <wp:extent cx="504190" cy="488950"/>
          <wp:effectExtent l="0" t="0" r="0" b="6350"/>
          <wp:wrapNone/>
          <wp:docPr id="153907271" name="Imagen 1" descr="Logotipo SGS">
            <a:extLst xmlns:a="http://schemas.openxmlformats.org/drawingml/2006/main">
              <a:ext uri="{FF2B5EF4-FFF2-40B4-BE49-F238E27FC236}">
                <a16:creationId xmlns:a16="http://schemas.microsoft.com/office/drawing/2014/main" id="{867FD7F5-D31B-634A-876B-ACCE3DFEC814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867FD7F5-D31B-634A-876B-ACCE3DFEC81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19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627">
      <w:rPr>
        <w:rStyle w:val="Fuentedeprrafopredeter0"/>
        <w:noProof/>
      </w:rPr>
      <w:drawing>
        <wp:anchor distT="0" distB="0" distL="114300" distR="114300" simplePos="0" relativeHeight="251667456" behindDoc="1" locked="0" layoutInCell="1" allowOverlap="1" wp14:anchorId="23AAE4D7" wp14:editId="367032D2">
          <wp:simplePos x="0" y="0"/>
          <wp:positionH relativeFrom="column">
            <wp:posOffset>6044565</wp:posOffset>
          </wp:positionH>
          <wp:positionV relativeFrom="paragraph">
            <wp:posOffset>213995</wp:posOffset>
          </wp:positionV>
          <wp:extent cx="342900" cy="489857"/>
          <wp:effectExtent l="0" t="0" r="0" b="5715"/>
          <wp:wrapNone/>
          <wp:docPr id="1802465925" name="Imagen 1802465925" descr="Logo de certificación en carbono neutro otorgado por el Icont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" cy="489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4B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3DD85C" wp14:editId="28AAF2A3">
              <wp:simplePos x="0" y="0"/>
              <wp:positionH relativeFrom="column">
                <wp:posOffset>5430520</wp:posOffset>
              </wp:positionH>
              <wp:positionV relativeFrom="paragraph">
                <wp:posOffset>135255</wp:posOffset>
              </wp:positionV>
              <wp:extent cx="0" cy="973667"/>
              <wp:effectExtent l="0" t="0" r="38100" b="36195"/>
              <wp:wrapNone/>
              <wp:docPr id="1" name="Conector recto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3667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9EEE9D" id="Conector recto 1" o:spid="_x0000_s1026" alt="&quot;&quot;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7.6pt,10.65pt" to="427.6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" strokecolor="#d8d8d8 [2732]"/>
          </w:pict>
        </mc:Fallback>
      </mc:AlternateContent>
    </w:r>
    <w:r w:rsidR="005E2041" w:rsidRPr="002A04B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624B8C" wp14:editId="412B3147">
              <wp:simplePos x="0" y="0"/>
              <wp:positionH relativeFrom="column">
                <wp:posOffset>-394336</wp:posOffset>
              </wp:positionH>
              <wp:positionV relativeFrom="paragraph">
                <wp:posOffset>-59055</wp:posOffset>
              </wp:positionV>
              <wp:extent cx="6657975" cy="0"/>
              <wp:effectExtent l="0" t="0" r="0" b="0"/>
              <wp:wrapNone/>
              <wp:docPr id="6" name="Conector recto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5797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632818" id="Conector recto 6" o:spid="_x0000_s1026" alt="&quot;&quot;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05pt,-4.65pt" to="493.2pt,-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" strokecolor="#d8d8d8 [2732]"/>
          </w:pict>
        </mc:Fallback>
      </mc:AlternateContent>
    </w:r>
    <w:r w:rsidR="005E2041" w:rsidRPr="002A04BB">
      <w:rPr>
        <w:rStyle w:val="Fuentedeprrafopredeter0"/>
      </w:rPr>
      <w:t xml:space="preserve">Página </w:t>
    </w:r>
    <w:r w:rsidR="005E2041" w:rsidRPr="002A04BB">
      <w:rPr>
        <w:rStyle w:val="Fuentedeprrafopredeter0"/>
      </w:rPr>
      <w:fldChar w:fldCharType="begin"/>
    </w:r>
    <w:r w:rsidR="005E2041" w:rsidRPr="002A04BB">
      <w:rPr>
        <w:rStyle w:val="Fuentedeprrafopredeter0"/>
      </w:rPr>
      <w:instrText>PAGE  \* Arabic  \* MERGEFORMAT</w:instrText>
    </w:r>
    <w:r w:rsidR="005E2041" w:rsidRPr="002A04BB">
      <w:rPr>
        <w:rStyle w:val="Fuentedeprrafopredeter0"/>
      </w:rPr>
      <w:fldChar w:fldCharType="separate"/>
    </w:r>
    <w:r w:rsidR="005E2041">
      <w:rPr>
        <w:rStyle w:val="Fuentedeprrafopredeter0"/>
      </w:rPr>
      <w:t>1</w:t>
    </w:r>
    <w:r w:rsidR="005E2041" w:rsidRPr="002A04BB">
      <w:rPr>
        <w:rStyle w:val="Fuentedeprrafopredeter0"/>
      </w:rPr>
      <w:fldChar w:fldCharType="end"/>
    </w:r>
    <w:r w:rsidR="005E2041" w:rsidRPr="002A04BB">
      <w:rPr>
        <w:rStyle w:val="Fuentedeprrafopredeter0"/>
      </w:rPr>
      <w:t xml:space="preserve"> de </w:t>
    </w:r>
    <w:r w:rsidR="005E2041" w:rsidRPr="002A04BB">
      <w:rPr>
        <w:rStyle w:val="Fuentedeprrafopredeter0"/>
      </w:rPr>
      <w:fldChar w:fldCharType="begin"/>
    </w:r>
    <w:r w:rsidR="005E2041" w:rsidRPr="002A04BB">
      <w:rPr>
        <w:rStyle w:val="Fuentedeprrafopredeter0"/>
      </w:rPr>
      <w:instrText>NUMPAGES  \* Arabic  \* MERGEFORMAT</w:instrText>
    </w:r>
    <w:r w:rsidR="005E2041" w:rsidRPr="002A04BB">
      <w:rPr>
        <w:rStyle w:val="Fuentedeprrafopredeter0"/>
      </w:rPr>
      <w:fldChar w:fldCharType="separate"/>
    </w:r>
    <w:r w:rsidR="005E2041">
      <w:rPr>
        <w:rStyle w:val="Fuentedeprrafopredeter0"/>
      </w:rPr>
      <w:t>1</w:t>
    </w:r>
    <w:r w:rsidR="005E2041" w:rsidRPr="002A04BB">
      <w:rPr>
        <w:rStyle w:val="Fuentedeprrafopredeter0"/>
      </w:rPr>
      <w:fldChar w:fldCharType="end"/>
    </w:r>
    <w:r w:rsidR="005E2041" w:rsidRPr="002A04BB">
      <w:rPr>
        <w:rStyle w:val="Fuentedeprrafopredeter0"/>
      </w:rPr>
      <w:t xml:space="preserve">  </w:t>
    </w:r>
  </w:p>
  <w:p w14:paraId="2581237B" w14:textId="3E4FCDC0" w:rsidR="005E2041" w:rsidRPr="002967AB" w:rsidRDefault="005E2041" w:rsidP="005E2041">
    <w:pPr>
      <w:pStyle w:val="Piedepgina"/>
    </w:pPr>
    <w:r w:rsidRPr="002967AB">
      <w:t>Carrera 68 A N.º 24 B - 10, Torre 3 - Pisos 4, 9 y 10</w:t>
    </w:r>
    <w:r>
      <w:t xml:space="preserve"> | </w:t>
    </w:r>
    <w:r w:rsidRPr="002967AB">
      <w:t>PBX +57 601 744 2000 • Bogotá D.C.</w:t>
    </w:r>
  </w:p>
  <w:p w14:paraId="663AECDD" w14:textId="2B3BEAAD" w:rsidR="005E2041" w:rsidRDefault="0026633D" w:rsidP="005E2041">
    <w:pPr>
      <w:pStyle w:val="Piedepgina"/>
      <w:rPr>
        <w:rStyle w:val="Hipervnculo"/>
        <w:color w:val="auto"/>
        <w:u w:val="none"/>
      </w:rPr>
    </w:pPr>
    <w:r w:rsidRPr="002967A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1CC6BB" wp14:editId="41F6833C">
              <wp:simplePos x="0" y="0"/>
              <wp:positionH relativeFrom="rightMargin">
                <wp:posOffset>-172720</wp:posOffset>
              </wp:positionH>
              <wp:positionV relativeFrom="paragraph">
                <wp:posOffset>5715</wp:posOffset>
              </wp:positionV>
              <wp:extent cx="1042035" cy="566420"/>
              <wp:effectExtent l="0" t="0" r="0" b="5080"/>
              <wp:wrapSquare wrapText="bothSides"/>
              <wp:docPr id="217" name="Cuadro de texto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035" cy="566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B88FC4" w14:textId="77777777" w:rsidR="005E2041" w:rsidRPr="00DE4B0C" w:rsidRDefault="005E2041" w:rsidP="0026633D">
                          <w:pPr>
                            <w:pStyle w:val="Piedepgina"/>
                            <w:jc w:val="center"/>
                            <w:rPr>
                              <w:szCs w:val="20"/>
                              <w:lang w:val="es-MX"/>
                            </w:rPr>
                          </w:pPr>
                          <w:r w:rsidRPr="00DE4B0C">
                            <w:rPr>
                              <w:sz w:val="16"/>
                              <w:lang w:val="es-MX"/>
                            </w:rPr>
                            <w:t>Estamos certificados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1CC6B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&quot;&quot;" style="position:absolute;margin-left:-13.6pt;margin-top:.45pt;width:82.05pt;height:44.6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" filled="f" stroked="f">
              <v:textbox>
                <w:txbxContent>
                  <w:p w14:paraId="65B88FC4" w14:textId="77777777" w:rsidR="005E2041" w:rsidRPr="00DE4B0C" w:rsidRDefault="005E2041" w:rsidP="0026633D">
                    <w:pPr>
                      <w:pStyle w:val="Piedepgina"/>
                      <w:jc w:val="center"/>
                      <w:rPr>
                        <w:szCs w:val="20"/>
                        <w:lang w:val="es-MX"/>
                      </w:rPr>
                    </w:pPr>
                    <w:r w:rsidRPr="00DE4B0C">
                      <w:rPr>
                        <w:sz w:val="16"/>
                        <w:lang w:val="es-MX"/>
                      </w:rPr>
                      <w:t>Estamos certificados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hyperlink r:id="rId3" w:history="1">
      <w:r w:rsidR="005E2041" w:rsidRPr="002967AB">
        <w:rPr>
          <w:rStyle w:val="Hipervnculo"/>
          <w:color w:val="auto"/>
          <w:u w:val="none"/>
        </w:rPr>
        <w:t>www.supersalud.gov.co</w:t>
      </w:r>
    </w:hyperlink>
  </w:p>
  <w:p w14:paraId="3C2DBC0C" w14:textId="7FF79A63" w:rsidR="00524BF2" w:rsidRDefault="005F0FFC">
    <w:pPr>
      <w:pStyle w:val="Piedepgina"/>
    </w:pPr>
    <w:r w:rsidRPr="005F0FFC">
      <w:t>DIFT17</w:t>
    </w:r>
  </w:p>
  <w:p w14:paraId="4805E561" w14:textId="77777777" w:rsidR="005E1EBB" w:rsidRDefault="005E1E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C183D" w14:textId="77777777" w:rsidR="00D4199F" w:rsidRDefault="00D4199F" w:rsidP="00CD6908">
      <w:pPr>
        <w:spacing w:after="0" w:line="240" w:lineRule="auto"/>
      </w:pPr>
      <w:r>
        <w:separator/>
      </w:r>
    </w:p>
  </w:footnote>
  <w:footnote w:type="continuationSeparator" w:id="0">
    <w:p w14:paraId="38C0CC54" w14:textId="77777777" w:rsidR="00D4199F" w:rsidRDefault="00D4199F" w:rsidP="00CD6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813E3" w14:textId="29F0BA73" w:rsidR="00E34CD1" w:rsidRDefault="001F2198" w:rsidP="00326EE8">
    <w:pPr>
      <w:pStyle w:val="Encabezado"/>
      <w:ind w:left="-993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32D9569" wp14:editId="4369E422">
          <wp:simplePos x="0" y="0"/>
          <wp:positionH relativeFrom="margin">
            <wp:posOffset>-142875</wp:posOffset>
          </wp:positionH>
          <wp:positionV relativeFrom="page">
            <wp:posOffset>314325</wp:posOffset>
          </wp:positionV>
          <wp:extent cx="6090920" cy="641985"/>
          <wp:effectExtent l="0" t="0" r="5080" b="5715"/>
          <wp:wrapSquare wrapText="bothSides"/>
          <wp:docPr id="387934415" name="Gráfico 3879344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0920" cy="641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094C"/>
    <w:multiLevelType w:val="hybridMultilevel"/>
    <w:tmpl w:val="B480459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237BA"/>
    <w:multiLevelType w:val="hybridMultilevel"/>
    <w:tmpl w:val="28D8423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2631CE"/>
    <w:multiLevelType w:val="hybridMultilevel"/>
    <w:tmpl w:val="5BC04C42"/>
    <w:lvl w:ilvl="0" w:tplc="CA8E4B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17DB5"/>
    <w:multiLevelType w:val="hybridMultilevel"/>
    <w:tmpl w:val="D722BD3E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F2129E4"/>
    <w:multiLevelType w:val="hybridMultilevel"/>
    <w:tmpl w:val="9B104A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C7157"/>
    <w:multiLevelType w:val="hybridMultilevel"/>
    <w:tmpl w:val="4D18EC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F5B55"/>
    <w:multiLevelType w:val="hybridMultilevel"/>
    <w:tmpl w:val="B0CC3416"/>
    <w:lvl w:ilvl="0" w:tplc="64546D5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65573"/>
    <w:multiLevelType w:val="hybridMultilevel"/>
    <w:tmpl w:val="AA3072D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FA1745"/>
    <w:multiLevelType w:val="hybridMultilevel"/>
    <w:tmpl w:val="AE0CB3E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40069"/>
    <w:multiLevelType w:val="hybridMultilevel"/>
    <w:tmpl w:val="D2F8F3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F3D5B"/>
    <w:multiLevelType w:val="hybridMultilevel"/>
    <w:tmpl w:val="027A65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E5AB1"/>
    <w:multiLevelType w:val="hybridMultilevel"/>
    <w:tmpl w:val="EAB0114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845"/>
    <w:multiLevelType w:val="hybridMultilevel"/>
    <w:tmpl w:val="864A62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0364A"/>
    <w:multiLevelType w:val="hybridMultilevel"/>
    <w:tmpl w:val="E304A144"/>
    <w:lvl w:ilvl="0" w:tplc="CA8E4B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8557A"/>
    <w:multiLevelType w:val="hybridMultilevel"/>
    <w:tmpl w:val="A82AE17E"/>
    <w:lvl w:ilvl="0" w:tplc="271CD164">
      <w:start w:val="1"/>
      <w:numFmt w:val="bullet"/>
      <w:pStyle w:val="Lista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543B8"/>
    <w:multiLevelType w:val="hybridMultilevel"/>
    <w:tmpl w:val="A55C4F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31FB4"/>
    <w:multiLevelType w:val="hybridMultilevel"/>
    <w:tmpl w:val="DC38F5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D21FE"/>
    <w:multiLevelType w:val="hybridMultilevel"/>
    <w:tmpl w:val="915AA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65879"/>
    <w:multiLevelType w:val="hybridMultilevel"/>
    <w:tmpl w:val="A04603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564EF"/>
    <w:multiLevelType w:val="hybridMultilevel"/>
    <w:tmpl w:val="37AC46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317EF"/>
    <w:multiLevelType w:val="hybridMultilevel"/>
    <w:tmpl w:val="37AC46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A6153"/>
    <w:multiLevelType w:val="hybridMultilevel"/>
    <w:tmpl w:val="4D18EC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363E6"/>
    <w:multiLevelType w:val="hybridMultilevel"/>
    <w:tmpl w:val="95F8C79A"/>
    <w:lvl w:ilvl="0" w:tplc="2F902518">
      <w:start w:val="6"/>
      <w:numFmt w:val="bullet"/>
      <w:lvlText w:val=""/>
      <w:lvlJc w:val="left"/>
      <w:pPr>
        <w:ind w:left="158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87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9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1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3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5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7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9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18" w:hanging="360"/>
      </w:pPr>
      <w:rPr>
        <w:rFonts w:ascii="Wingdings" w:hAnsi="Wingdings" w:hint="default"/>
      </w:rPr>
    </w:lvl>
  </w:abstractNum>
  <w:abstractNum w:abstractNumId="23" w15:restartNumberingAfterBreak="0">
    <w:nsid w:val="5F673170"/>
    <w:multiLevelType w:val="hybridMultilevel"/>
    <w:tmpl w:val="894CC8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377"/>
    <w:multiLevelType w:val="hybridMultilevel"/>
    <w:tmpl w:val="355A0B12"/>
    <w:lvl w:ilvl="0" w:tplc="240A000D">
      <w:start w:val="1"/>
      <w:numFmt w:val="bullet"/>
      <w:lvlText w:val=""/>
      <w:lvlJc w:val="left"/>
      <w:pPr>
        <w:ind w:left="15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87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9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1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3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5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7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9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18" w:hanging="360"/>
      </w:pPr>
      <w:rPr>
        <w:rFonts w:ascii="Wingdings" w:hAnsi="Wingdings" w:hint="default"/>
      </w:rPr>
    </w:lvl>
  </w:abstractNum>
  <w:abstractNum w:abstractNumId="25" w15:restartNumberingAfterBreak="0">
    <w:nsid w:val="67520999"/>
    <w:multiLevelType w:val="hybridMultilevel"/>
    <w:tmpl w:val="CD84BD4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7E3DC2"/>
    <w:multiLevelType w:val="hybridMultilevel"/>
    <w:tmpl w:val="793EC97A"/>
    <w:lvl w:ilvl="0" w:tplc="240A000D">
      <w:start w:val="1"/>
      <w:numFmt w:val="bullet"/>
      <w:lvlText w:val=""/>
      <w:lvlJc w:val="left"/>
      <w:pPr>
        <w:ind w:left="15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87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9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1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3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5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7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9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18" w:hanging="360"/>
      </w:pPr>
      <w:rPr>
        <w:rFonts w:ascii="Wingdings" w:hAnsi="Wingdings" w:hint="default"/>
      </w:rPr>
    </w:lvl>
  </w:abstractNum>
  <w:abstractNum w:abstractNumId="27" w15:restartNumberingAfterBreak="0">
    <w:nsid w:val="78C8752A"/>
    <w:multiLevelType w:val="hybridMultilevel"/>
    <w:tmpl w:val="D83E59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844915">
    <w:abstractNumId w:val="12"/>
  </w:num>
  <w:num w:numId="2" w16cid:durableId="318461858">
    <w:abstractNumId w:val="10"/>
  </w:num>
  <w:num w:numId="3" w16cid:durableId="627011912">
    <w:abstractNumId w:val="11"/>
  </w:num>
  <w:num w:numId="4" w16cid:durableId="606304505">
    <w:abstractNumId w:val="3"/>
  </w:num>
  <w:num w:numId="5" w16cid:durableId="694504060">
    <w:abstractNumId w:val="14"/>
  </w:num>
  <w:num w:numId="6" w16cid:durableId="2133788029">
    <w:abstractNumId w:val="0"/>
  </w:num>
  <w:num w:numId="7" w16cid:durableId="1101148203">
    <w:abstractNumId w:val="23"/>
  </w:num>
  <w:num w:numId="8" w16cid:durableId="1095785627">
    <w:abstractNumId w:val="8"/>
  </w:num>
  <w:num w:numId="9" w16cid:durableId="233007401">
    <w:abstractNumId w:val="16"/>
  </w:num>
  <w:num w:numId="10" w16cid:durableId="1371229289">
    <w:abstractNumId w:val="25"/>
  </w:num>
  <w:num w:numId="11" w16cid:durableId="1458571809">
    <w:abstractNumId w:val="18"/>
  </w:num>
  <w:num w:numId="12" w16cid:durableId="701782353">
    <w:abstractNumId w:val="2"/>
  </w:num>
  <w:num w:numId="13" w16cid:durableId="1594126729">
    <w:abstractNumId w:val="13"/>
  </w:num>
  <w:num w:numId="14" w16cid:durableId="1789203231">
    <w:abstractNumId w:val="27"/>
  </w:num>
  <w:num w:numId="15" w16cid:durableId="73628737">
    <w:abstractNumId w:val="17"/>
  </w:num>
  <w:num w:numId="16" w16cid:durableId="1001809566">
    <w:abstractNumId w:val="15"/>
  </w:num>
  <w:num w:numId="17" w16cid:durableId="759764738">
    <w:abstractNumId w:val="7"/>
  </w:num>
  <w:num w:numId="18" w16cid:durableId="1865703228">
    <w:abstractNumId w:val="4"/>
  </w:num>
  <w:num w:numId="19" w16cid:durableId="2019113780">
    <w:abstractNumId w:val="6"/>
  </w:num>
  <w:num w:numId="20" w16cid:durableId="1388459060">
    <w:abstractNumId w:val="1"/>
  </w:num>
  <w:num w:numId="21" w16cid:durableId="899944744">
    <w:abstractNumId w:val="9"/>
  </w:num>
  <w:num w:numId="22" w16cid:durableId="609895846">
    <w:abstractNumId w:val="21"/>
  </w:num>
  <w:num w:numId="23" w16cid:durableId="1813209801">
    <w:abstractNumId w:val="5"/>
  </w:num>
  <w:num w:numId="24" w16cid:durableId="627779546">
    <w:abstractNumId w:val="20"/>
  </w:num>
  <w:num w:numId="25" w16cid:durableId="2068264395">
    <w:abstractNumId w:val="19"/>
  </w:num>
  <w:num w:numId="26" w16cid:durableId="712460812">
    <w:abstractNumId w:val="26"/>
  </w:num>
  <w:num w:numId="27" w16cid:durableId="382950385">
    <w:abstractNumId w:val="24"/>
  </w:num>
  <w:num w:numId="28" w16cid:durableId="12392422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908"/>
    <w:rsid w:val="00003A3F"/>
    <w:rsid w:val="00013E13"/>
    <w:rsid w:val="0001784E"/>
    <w:rsid w:val="000246D9"/>
    <w:rsid w:val="000300BE"/>
    <w:rsid w:val="00037C0B"/>
    <w:rsid w:val="00046ECF"/>
    <w:rsid w:val="0005164E"/>
    <w:rsid w:val="000762A7"/>
    <w:rsid w:val="00076992"/>
    <w:rsid w:val="00081E1A"/>
    <w:rsid w:val="000933D8"/>
    <w:rsid w:val="00095CC9"/>
    <w:rsid w:val="00096ADF"/>
    <w:rsid w:val="00097829"/>
    <w:rsid w:val="000A07FE"/>
    <w:rsid w:val="000A55F9"/>
    <w:rsid w:val="000B1C05"/>
    <w:rsid w:val="000C25DB"/>
    <w:rsid w:val="000C31C6"/>
    <w:rsid w:val="000C5BDC"/>
    <w:rsid w:val="000D2698"/>
    <w:rsid w:val="000E0FA8"/>
    <w:rsid w:val="000E172C"/>
    <w:rsid w:val="000F176B"/>
    <w:rsid w:val="001012E0"/>
    <w:rsid w:val="001048B6"/>
    <w:rsid w:val="00106D5C"/>
    <w:rsid w:val="00115089"/>
    <w:rsid w:val="00121AC3"/>
    <w:rsid w:val="00121C52"/>
    <w:rsid w:val="001229A1"/>
    <w:rsid w:val="001308B4"/>
    <w:rsid w:val="00140EE9"/>
    <w:rsid w:val="0014345B"/>
    <w:rsid w:val="00143581"/>
    <w:rsid w:val="00147A3B"/>
    <w:rsid w:val="001547DE"/>
    <w:rsid w:val="00156C5D"/>
    <w:rsid w:val="001601A3"/>
    <w:rsid w:val="0017222E"/>
    <w:rsid w:val="00172660"/>
    <w:rsid w:val="00180CCE"/>
    <w:rsid w:val="001835F3"/>
    <w:rsid w:val="00187CC5"/>
    <w:rsid w:val="00190B3C"/>
    <w:rsid w:val="00195CDA"/>
    <w:rsid w:val="001A78CD"/>
    <w:rsid w:val="001B6187"/>
    <w:rsid w:val="001B6733"/>
    <w:rsid w:val="001C23D5"/>
    <w:rsid w:val="001C5BA9"/>
    <w:rsid w:val="001D2DC4"/>
    <w:rsid w:val="001D32AE"/>
    <w:rsid w:val="001D3B0E"/>
    <w:rsid w:val="001E00E0"/>
    <w:rsid w:val="001E1E6D"/>
    <w:rsid w:val="001E6A54"/>
    <w:rsid w:val="001F106A"/>
    <w:rsid w:val="001F2198"/>
    <w:rsid w:val="001F4CB4"/>
    <w:rsid w:val="001F5864"/>
    <w:rsid w:val="00237626"/>
    <w:rsid w:val="002452D8"/>
    <w:rsid w:val="0024727D"/>
    <w:rsid w:val="00250E27"/>
    <w:rsid w:val="00252ABB"/>
    <w:rsid w:val="0025754C"/>
    <w:rsid w:val="00263638"/>
    <w:rsid w:val="0026633D"/>
    <w:rsid w:val="002717F5"/>
    <w:rsid w:val="00272A8E"/>
    <w:rsid w:val="00273F1E"/>
    <w:rsid w:val="00276F99"/>
    <w:rsid w:val="00284CAB"/>
    <w:rsid w:val="002866E0"/>
    <w:rsid w:val="0028699D"/>
    <w:rsid w:val="00287764"/>
    <w:rsid w:val="00292CE5"/>
    <w:rsid w:val="0029437D"/>
    <w:rsid w:val="0029578B"/>
    <w:rsid w:val="002967AB"/>
    <w:rsid w:val="002A039A"/>
    <w:rsid w:val="002A04AE"/>
    <w:rsid w:val="002A04BB"/>
    <w:rsid w:val="002A2667"/>
    <w:rsid w:val="002A2EDB"/>
    <w:rsid w:val="002A3665"/>
    <w:rsid w:val="002B4216"/>
    <w:rsid w:val="002B45EC"/>
    <w:rsid w:val="002C1478"/>
    <w:rsid w:val="002C2259"/>
    <w:rsid w:val="002D2520"/>
    <w:rsid w:val="002D2BAB"/>
    <w:rsid w:val="002D7F94"/>
    <w:rsid w:val="002E2EC4"/>
    <w:rsid w:val="002E72AA"/>
    <w:rsid w:val="002F767A"/>
    <w:rsid w:val="002F7E81"/>
    <w:rsid w:val="00302B27"/>
    <w:rsid w:val="00303243"/>
    <w:rsid w:val="003035BA"/>
    <w:rsid w:val="0031468F"/>
    <w:rsid w:val="00323671"/>
    <w:rsid w:val="00326EE8"/>
    <w:rsid w:val="0033060D"/>
    <w:rsid w:val="003316A4"/>
    <w:rsid w:val="00357C0F"/>
    <w:rsid w:val="00370FD8"/>
    <w:rsid w:val="0037188C"/>
    <w:rsid w:val="003763AD"/>
    <w:rsid w:val="003836D7"/>
    <w:rsid w:val="00385F41"/>
    <w:rsid w:val="00391573"/>
    <w:rsid w:val="00392452"/>
    <w:rsid w:val="00396951"/>
    <w:rsid w:val="00397FC4"/>
    <w:rsid w:val="003A2969"/>
    <w:rsid w:val="003A78D2"/>
    <w:rsid w:val="003B208C"/>
    <w:rsid w:val="003B28D1"/>
    <w:rsid w:val="003B3D81"/>
    <w:rsid w:val="003D0A3C"/>
    <w:rsid w:val="003D3053"/>
    <w:rsid w:val="003E67A1"/>
    <w:rsid w:val="003F32E7"/>
    <w:rsid w:val="003F5145"/>
    <w:rsid w:val="003F5D79"/>
    <w:rsid w:val="004001E0"/>
    <w:rsid w:val="00401534"/>
    <w:rsid w:val="00401FCF"/>
    <w:rsid w:val="00405EC7"/>
    <w:rsid w:val="00416A29"/>
    <w:rsid w:val="004178CD"/>
    <w:rsid w:val="004227DF"/>
    <w:rsid w:val="00422BEC"/>
    <w:rsid w:val="00433085"/>
    <w:rsid w:val="00436C74"/>
    <w:rsid w:val="00440056"/>
    <w:rsid w:val="00441EB8"/>
    <w:rsid w:val="00443479"/>
    <w:rsid w:val="00455106"/>
    <w:rsid w:val="00465D20"/>
    <w:rsid w:val="00471B38"/>
    <w:rsid w:val="00472676"/>
    <w:rsid w:val="00490CB6"/>
    <w:rsid w:val="00494190"/>
    <w:rsid w:val="0049531B"/>
    <w:rsid w:val="00496210"/>
    <w:rsid w:val="004B17C8"/>
    <w:rsid w:val="004B611D"/>
    <w:rsid w:val="004B644F"/>
    <w:rsid w:val="004B6BB7"/>
    <w:rsid w:val="004C24D8"/>
    <w:rsid w:val="004C251E"/>
    <w:rsid w:val="004C70BD"/>
    <w:rsid w:val="004D1D6E"/>
    <w:rsid w:val="004D3E24"/>
    <w:rsid w:val="004D6D80"/>
    <w:rsid w:val="004F0AE8"/>
    <w:rsid w:val="004F7104"/>
    <w:rsid w:val="005027DC"/>
    <w:rsid w:val="00505A43"/>
    <w:rsid w:val="005116C6"/>
    <w:rsid w:val="00522565"/>
    <w:rsid w:val="005245DC"/>
    <w:rsid w:val="00524BF2"/>
    <w:rsid w:val="00525EAD"/>
    <w:rsid w:val="00535378"/>
    <w:rsid w:val="00546231"/>
    <w:rsid w:val="0054696F"/>
    <w:rsid w:val="00551EAF"/>
    <w:rsid w:val="005554E4"/>
    <w:rsid w:val="0055704E"/>
    <w:rsid w:val="00581581"/>
    <w:rsid w:val="00581FAE"/>
    <w:rsid w:val="00586A2C"/>
    <w:rsid w:val="00597B6F"/>
    <w:rsid w:val="005A186E"/>
    <w:rsid w:val="005A1BC7"/>
    <w:rsid w:val="005B461D"/>
    <w:rsid w:val="005C4480"/>
    <w:rsid w:val="005D238A"/>
    <w:rsid w:val="005E1EBB"/>
    <w:rsid w:val="005E2041"/>
    <w:rsid w:val="005E4D0D"/>
    <w:rsid w:val="005E5F46"/>
    <w:rsid w:val="005E7E66"/>
    <w:rsid w:val="005F0BB8"/>
    <w:rsid w:val="005F0FFC"/>
    <w:rsid w:val="006016D5"/>
    <w:rsid w:val="00602A7F"/>
    <w:rsid w:val="00607C07"/>
    <w:rsid w:val="00610137"/>
    <w:rsid w:val="00610994"/>
    <w:rsid w:val="00614597"/>
    <w:rsid w:val="00615DB4"/>
    <w:rsid w:val="00631724"/>
    <w:rsid w:val="0063277E"/>
    <w:rsid w:val="00633B2E"/>
    <w:rsid w:val="0065584B"/>
    <w:rsid w:val="0066486C"/>
    <w:rsid w:val="00665FDF"/>
    <w:rsid w:val="00671BAE"/>
    <w:rsid w:val="00681BFC"/>
    <w:rsid w:val="00687ABF"/>
    <w:rsid w:val="006907D1"/>
    <w:rsid w:val="00694115"/>
    <w:rsid w:val="006951CE"/>
    <w:rsid w:val="00697925"/>
    <w:rsid w:val="006A3250"/>
    <w:rsid w:val="006B1A06"/>
    <w:rsid w:val="006B1A7D"/>
    <w:rsid w:val="006B4ED8"/>
    <w:rsid w:val="006C00D0"/>
    <w:rsid w:val="006D17ED"/>
    <w:rsid w:val="006D2B31"/>
    <w:rsid w:val="006D2D4C"/>
    <w:rsid w:val="006D2ED3"/>
    <w:rsid w:val="006D4680"/>
    <w:rsid w:val="006D73A0"/>
    <w:rsid w:val="006E193C"/>
    <w:rsid w:val="006E20AE"/>
    <w:rsid w:val="006E3571"/>
    <w:rsid w:val="006E3C24"/>
    <w:rsid w:val="006F2DAB"/>
    <w:rsid w:val="006F547E"/>
    <w:rsid w:val="006F6160"/>
    <w:rsid w:val="00700E06"/>
    <w:rsid w:val="007136E5"/>
    <w:rsid w:val="00717F33"/>
    <w:rsid w:val="007204C2"/>
    <w:rsid w:val="00720E3A"/>
    <w:rsid w:val="007279E2"/>
    <w:rsid w:val="007311B2"/>
    <w:rsid w:val="007341F6"/>
    <w:rsid w:val="00734951"/>
    <w:rsid w:val="007359D3"/>
    <w:rsid w:val="007416FD"/>
    <w:rsid w:val="00741C65"/>
    <w:rsid w:val="007430D8"/>
    <w:rsid w:val="00751E87"/>
    <w:rsid w:val="00754431"/>
    <w:rsid w:val="007562AA"/>
    <w:rsid w:val="00764557"/>
    <w:rsid w:val="00767956"/>
    <w:rsid w:val="0077490D"/>
    <w:rsid w:val="007775C9"/>
    <w:rsid w:val="007937CA"/>
    <w:rsid w:val="00793F95"/>
    <w:rsid w:val="00794DB7"/>
    <w:rsid w:val="007954F6"/>
    <w:rsid w:val="007A07BC"/>
    <w:rsid w:val="007A2846"/>
    <w:rsid w:val="007A4AF8"/>
    <w:rsid w:val="007A5C0B"/>
    <w:rsid w:val="007A6D05"/>
    <w:rsid w:val="007B4A3C"/>
    <w:rsid w:val="007B5C94"/>
    <w:rsid w:val="007D46C2"/>
    <w:rsid w:val="007E35A7"/>
    <w:rsid w:val="007F0111"/>
    <w:rsid w:val="007F284D"/>
    <w:rsid w:val="007F49F6"/>
    <w:rsid w:val="007F7F00"/>
    <w:rsid w:val="0080336C"/>
    <w:rsid w:val="008037DE"/>
    <w:rsid w:val="00811680"/>
    <w:rsid w:val="00812813"/>
    <w:rsid w:val="00814AF3"/>
    <w:rsid w:val="00815B3B"/>
    <w:rsid w:val="00820A0C"/>
    <w:rsid w:val="008273BE"/>
    <w:rsid w:val="00833408"/>
    <w:rsid w:val="008352E9"/>
    <w:rsid w:val="008429A5"/>
    <w:rsid w:val="00846B60"/>
    <w:rsid w:val="008531F5"/>
    <w:rsid w:val="00853DE3"/>
    <w:rsid w:val="00856960"/>
    <w:rsid w:val="008601EF"/>
    <w:rsid w:val="0086442E"/>
    <w:rsid w:val="008718D3"/>
    <w:rsid w:val="00886223"/>
    <w:rsid w:val="008871EC"/>
    <w:rsid w:val="008A081C"/>
    <w:rsid w:val="008A2EB3"/>
    <w:rsid w:val="008A3795"/>
    <w:rsid w:val="008B586A"/>
    <w:rsid w:val="008D46F9"/>
    <w:rsid w:val="008D4B53"/>
    <w:rsid w:val="008E592A"/>
    <w:rsid w:val="008F6FA7"/>
    <w:rsid w:val="008F7E2B"/>
    <w:rsid w:val="009016C6"/>
    <w:rsid w:val="009039A6"/>
    <w:rsid w:val="00906E02"/>
    <w:rsid w:val="00911913"/>
    <w:rsid w:val="00913552"/>
    <w:rsid w:val="0091741A"/>
    <w:rsid w:val="0093001A"/>
    <w:rsid w:val="009330B0"/>
    <w:rsid w:val="0093354B"/>
    <w:rsid w:val="0095064F"/>
    <w:rsid w:val="0095096A"/>
    <w:rsid w:val="009522F4"/>
    <w:rsid w:val="00954BCA"/>
    <w:rsid w:val="00955E9A"/>
    <w:rsid w:val="009561C4"/>
    <w:rsid w:val="00957177"/>
    <w:rsid w:val="009716A4"/>
    <w:rsid w:val="0097557C"/>
    <w:rsid w:val="009866E7"/>
    <w:rsid w:val="009B324B"/>
    <w:rsid w:val="009C093D"/>
    <w:rsid w:val="009D242A"/>
    <w:rsid w:val="009D315B"/>
    <w:rsid w:val="009D4844"/>
    <w:rsid w:val="009D561B"/>
    <w:rsid w:val="009F0B7E"/>
    <w:rsid w:val="009F34F9"/>
    <w:rsid w:val="009F4DB0"/>
    <w:rsid w:val="009F5AD1"/>
    <w:rsid w:val="00A003D1"/>
    <w:rsid w:val="00A043D8"/>
    <w:rsid w:val="00A15E48"/>
    <w:rsid w:val="00A345F1"/>
    <w:rsid w:val="00A415A9"/>
    <w:rsid w:val="00A455E3"/>
    <w:rsid w:val="00A4778C"/>
    <w:rsid w:val="00A52095"/>
    <w:rsid w:val="00A54751"/>
    <w:rsid w:val="00A563D9"/>
    <w:rsid w:val="00A63484"/>
    <w:rsid w:val="00A65AF5"/>
    <w:rsid w:val="00A7295D"/>
    <w:rsid w:val="00A8200E"/>
    <w:rsid w:val="00AA2192"/>
    <w:rsid w:val="00AA66ED"/>
    <w:rsid w:val="00AA7947"/>
    <w:rsid w:val="00AB0A16"/>
    <w:rsid w:val="00AC1AF6"/>
    <w:rsid w:val="00AC7B9C"/>
    <w:rsid w:val="00AD1970"/>
    <w:rsid w:val="00AD6353"/>
    <w:rsid w:val="00AF127C"/>
    <w:rsid w:val="00AF60D5"/>
    <w:rsid w:val="00AF7CBF"/>
    <w:rsid w:val="00B0071F"/>
    <w:rsid w:val="00B018D1"/>
    <w:rsid w:val="00B02F2C"/>
    <w:rsid w:val="00B03366"/>
    <w:rsid w:val="00B052E3"/>
    <w:rsid w:val="00B05E44"/>
    <w:rsid w:val="00B12CC4"/>
    <w:rsid w:val="00B15505"/>
    <w:rsid w:val="00B34780"/>
    <w:rsid w:val="00B476B3"/>
    <w:rsid w:val="00B52205"/>
    <w:rsid w:val="00B52707"/>
    <w:rsid w:val="00B672CE"/>
    <w:rsid w:val="00B7410C"/>
    <w:rsid w:val="00B7495F"/>
    <w:rsid w:val="00B75E4D"/>
    <w:rsid w:val="00B774EA"/>
    <w:rsid w:val="00B822A1"/>
    <w:rsid w:val="00B87C76"/>
    <w:rsid w:val="00B96754"/>
    <w:rsid w:val="00BA031B"/>
    <w:rsid w:val="00BA466C"/>
    <w:rsid w:val="00BB0D85"/>
    <w:rsid w:val="00BC034D"/>
    <w:rsid w:val="00BC3EB2"/>
    <w:rsid w:val="00BC4F34"/>
    <w:rsid w:val="00BE17B5"/>
    <w:rsid w:val="00BF08DE"/>
    <w:rsid w:val="00BF273B"/>
    <w:rsid w:val="00BF6201"/>
    <w:rsid w:val="00BF6F8C"/>
    <w:rsid w:val="00BF70EF"/>
    <w:rsid w:val="00C065EE"/>
    <w:rsid w:val="00C1282F"/>
    <w:rsid w:val="00C16B28"/>
    <w:rsid w:val="00C17638"/>
    <w:rsid w:val="00C222C4"/>
    <w:rsid w:val="00C2368A"/>
    <w:rsid w:val="00C336EA"/>
    <w:rsid w:val="00C514D8"/>
    <w:rsid w:val="00C56072"/>
    <w:rsid w:val="00C57715"/>
    <w:rsid w:val="00C81BC6"/>
    <w:rsid w:val="00C81EB6"/>
    <w:rsid w:val="00C94EC1"/>
    <w:rsid w:val="00CA479B"/>
    <w:rsid w:val="00CA679B"/>
    <w:rsid w:val="00CA7E46"/>
    <w:rsid w:val="00CB1405"/>
    <w:rsid w:val="00CB1DC1"/>
    <w:rsid w:val="00CB781A"/>
    <w:rsid w:val="00CD6908"/>
    <w:rsid w:val="00CE2394"/>
    <w:rsid w:val="00CE6C51"/>
    <w:rsid w:val="00D03075"/>
    <w:rsid w:val="00D06554"/>
    <w:rsid w:val="00D0736C"/>
    <w:rsid w:val="00D138E3"/>
    <w:rsid w:val="00D16708"/>
    <w:rsid w:val="00D16C61"/>
    <w:rsid w:val="00D2036D"/>
    <w:rsid w:val="00D24664"/>
    <w:rsid w:val="00D26DBB"/>
    <w:rsid w:val="00D30A97"/>
    <w:rsid w:val="00D40C84"/>
    <w:rsid w:val="00D40E8D"/>
    <w:rsid w:val="00D4199F"/>
    <w:rsid w:val="00D42328"/>
    <w:rsid w:val="00D454EE"/>
    <w:rsid w:val="00D460AB"/>
    <w:rsid w:val="00D4793F"/>
    <w:rsid w:val="00D52F69"/>
    <w:rsid w:val="00D5513F"/>
    <w:rsid w:val="00D83AD6"/>
    <w:rsid w:val="00D8682E"/>
    <w:rsid w:val="00DA017B"/>
    <w:rsid w:val="00DA4597"/>
    <w:rsid w:val="00DA7D72"/>
    <w:rsid w:val="00DB634A"/>
    <w:rsid w:val="00DB6873"/>
    <w:rsid w:val="00DC1BAF"/>
    <w:rsid w:val="00DC3E26"/>
    <w:rsid w:val="00DD4DB9"/>
    <w:rsid w:val="00DD61D4"/>
    <w:rsid w:val="00DD7300"/>
    <w:rsid w:val="00DE3C88"/>
    <w:rsid w:val="00DE4B0C"/>
    <w:rsid w:val="00DF001B"/>
    <w:rsid w:val="00E02620"/>
    <w:rsid w:val="00E052D4"/>
    <w:rsid w:val="00E06C0B"/>
    <w:rsid w:val="00E14F5F"/>
    <w:rsid w:val="00E17CF9"/>
    <w:rsid w:val="00E23214"/>
    <w:rsid w:val="00E27972"/>
    <w:rsid w:val="00E3158F"/>
    <w:rsid w:val="00E344BB"/>
    <w:rsid w:val="00E34CD1"/>
    <w:rsid w:val="00E37EBF"/>
    <w:rsid w:val="00E43E78"/>
    <w:rsid w:val="00E50582"/>
    <w:rsid w:val="00E60596"/>
    <w:rsid w:val="00E667AA"/>
    <w:rsid w:val="00E73E1E"/>
    <w:rsid w:val="00E86497"/>
    <w:rsid w:val="00E938CA"/>
    <w:rsid w:val="00E97287"/>
    <w:rsid w:val="00EA4751"/>
    <w:rsid w:val="00EA5270"/>
    <w:rsid w:val="00EA663E"/>
    <w:rsid w:val="00EA79FE"/>
    <w:rsid w:val="00EB20C6"/>
    <w:rsid w:val="00EB2D5D"/>
    <w:rsid w:val="00EB3808"/>
    <w:rsid w:val="00EB3FA9"/>
    <w:rsid w:val="00EB7812"/>
    <w:rsid w:val="00EC4634"/>
    <w:rsid w:val="00EC5885"/>
    <w:rsid w:val="00ED5195"/>
    <w:rsid w:val="00EE4EBC"/>
    <w:rsid w:val="00EE7A7D"/>
    <w:rsid w:val="00EE7A87"/>
    <w:rsid w:val="00EF2A5E"/>
    <w:rsid w:val="00EF617B"/>
    <w:rsid w:val="00F00383"/>
    <w:rsid w:val="00F03272"/>
    <w:rsid w:val="00F0395B"/>
    <w:rsid w:val="00F15BFE"/>
    <w:rsid w:val="00F26059"/>
    <w:rsid w:val="00F263DB"/>
    <w:rsid w:val="00F27904"/>
    <w:rsid w:val="00F412C4"/>
    <w:rsid w:val="00F50593"/>
    <w:rsid w:val="00F55996"/>
    <w:rsid w:val="00F5782D"/>
    <w:rsid w:val="00F60843"/>
    <w:rsid w:val="00F61FE9"/>
    <w:rsid w:val="00F6743C"/>
    <w:rsid w:val="00F743C6"/>
    <w:rsid w:val="00F74C74"/>
    <w:rsid w:val="00F83975"/>
    <w:rsid w:val="00F9181C"/>
    <w:rsid w:val="00F94324"/>
    <w:rsid w:val="00FB10E5"/>
    <w:rsid w:val="00FB3DCC"/>
    <w:rsid w:val="00FC1149"/>
    <w:rsid w:val="00FC1414"/>
    <w:rsid w:val="00FC33CD"/>
    <w:rsid w:val="00FD0725"/>
    <w:rsid w:val="00FD3788"/>
    <w:rsid w:val="00FD4626"/>
    <w:rsid w:val="00FD4AD5"/>
    <w:rsid w:val="00FD7627"/>
    <w:rsid w:val="00FE7422"/>
    <w:rsid w:val="00FE7BE2"/>
    <w:rsid w:val="00FF4269"/>
    <w:rsid w:val="00FF77FA"/>
    <w:rsid w:val="2F51F79E"/>
    <w:rsid w:val="4DD133FA"/>
    <w:rsid w:val="6A04A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A922B01"/>
  <w15:docId w15:val="{8B5490C1-2808-4D0B-B934-78BDCCD2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84E"/>
    <w:pPr>
      <w:spacing w:before="240" w:after="480" w:line="360" w:lineRule="auto"/>
    </w:pPr>
    <w:rPr>
      <w:rFonts w:ascii="Verdana" w:hAnsi="Verdana"/>
      <w:sz w:val="24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263DB"/>
    <w:pPr>
      <w:keepNext/>
      <w:keepLines/>
      <w:spacing w:before="360" w:after="540" w:line="480" w:lineRule="auto"/>
      <w:jc w:val="center"/>
      <w:outlineLvl w:val="0"/>
    </w:pPr>
    <w:rPr>
      <w:rFonts w:eastAsia="Arial" w:cs="Arial"/>
      <w:b/>
      <w:bCs/>
      <w:color w:val="365F91" w:themeColor="accent1" w:themeShade="BF"/>
      <w:sz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F263DB"/>
    <w:pPr>
      <w:keepNext/>
      <w:keepLines/>
      <w:spacing w:after="360"/>
      <w:outlineLvl w:val="1"/>
    </w:pPr>
    <w:rPr>
      <w:rFonts w:eastAsia="Arial" w:cs="Arial"/>
      <w:b/>
      <w:bCs/>
      <w:color w:val="365F91" w:themeColor="accent1" w:themeShade="BF"/>
      <w:sz w:val="28"/>
      <w:lang w:val="en-US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F263DB"/>
    <w:pPr>
      <w:keepNext/>
      <w:keepLines/>
      <w:spacing w:after="360" w:line="240" w:lineRule="auto"/>
      <w:outlineLvl w:val="2"/>
    </w:pPr>
    <w:rPr>
      <w:rFonts w:eastAsia="Arial" w:cs="Arial"/>
      <w:color w:val="365F91" w:themeColor="accent1" w:themeShade="BF"/>
      <w:sz w:val="26"/>
      <w:shd w:val="clear" w:color="auto" w:fill="FFFFF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F263DB"/>
    <w:pPr>
      <w:keepNext/>
      <w:keepLines/>
      <w:spacing w:after="360"/>
      <w:outlineLvl w:val="3"/>
    </w:pPr>
    <w:rPr>
      <w:rFonts w:eastAsia="Arial" w:cs="Arial"/>
      <w:i/>
      <w:iCs/>
      <w:color w:val="365F91" w:themeColor="accent1" w:themeShade="BF"/>
      <w:sz w:val="26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6908"/>
  </w:style>
  <w:style w:type="paragraph" w:styleId="Piedepgina">
    <w:name w:val="footer"/>
    <w:basedOn w:val="Normal"/>
    <w:link w:val="PiedepginaCar"/>
    <w:uiPriority w:val="99"/>
    <w:unhideWhenUsed/>
    <w:qFormat/>
    <w:rsid w:val="005E5F46"/>
    <w:pPr>
      <w:tabs>
        <w:tab w:val="center" w:pos="4419"/>
        <w:tab w:val="right" w:pos="8838"/>
      </w:tabs>
      <w:spacing w:before="180" w:after="180" w:line="240" w:lineRule="auto"/>
    </w:pPr>
    <w:rPr>
      <w:sz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E5F46"/>
    <w:rPr>
      <w:rFonts w:ascii="Arial" w:hAnsi="Arial"/>
      <w:sz w:val="18"/>
    </w:rPr>
  </w:style>
  <w:style w:type="paragraph" w:styleId="NormalWeb">
    <w:name w:val="Normal (Web)"/>
    <w:basedOn w:val="Normal"/>
    <w:uiPriority w:val="99"/>
    <w:semiHidden/>
    <w:unhideWhenUsed/>
    <w:rsid w:val="00CD69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E4EB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E4EBC"/>
    <w:rPr>
      <w:color w:val="605E5C"/>
      <w:shd w:val="clear" w:color="auto" w:fill="E1DFDD"/>
    </w:rPr>
  </w:style>
  <w:style w:type="character" w:customStyle="1" w:styleId="Fuentedeprrafopredeter0">
    <w:name w:val="Fuente de párrafo predeter"/>
    <w:rsid w:val="006B1A7D"/>
  </w:style>
  <w:style w:type="character" w:customStyle="1" w:styleId="Ttulo1Car">
    <w:name w:val="Título 1 Car"/>
    <w:basedOn w:val="Fuentedeprrafopredeter"/>
    <w:link w:val="Ttulo1"/>
    <w:uiPriority w:val="9"/>
    <w:rsid w:val="00F263DB"/>
    <w:rPr>
      <w:rFonts w:ascii="Verdana" w:eastAsia="Arial" w:hAnsi="Verdana" w:cs="Arial"/>
      <w:b/>
      <w:bCs/>
      <w:color w:val="365F91" w:themeColor="accent1" w:themeShade="BF"/>
      <w:sz w:val="32"/>
    </w:rPr>
  </w:style>
  <w:style w:type="character" w:customStyle="1" w:styleId="Ttulo2Car">
    <w:name w:val="Título 2 Car"/>
    <w:basedOn w:val="Fuentedeprrafopredeter"/>
    <w:link w:val="Ttulo2"/>
    <w:uiPriority w:val="9"/>
    <w:rsid w:val="00F263DB"/>
    <w:rPr>
      <w:rFonts w:ascii="Verdana" w:eastAsia="Arial" w:hAnsi="Verdana" w:cs="Arial"/>
      <w:b/>
      <w:bCs/>
      <w:color w:val="365F91" w:themeColor="accent1" w:themeShade="BF"/>
      <w:sz w:val="28"/>
      <w:lang w:val="en-US"/>
    </w:rPr>
  </w:style>
  <w:style w:type="paragraph" w:styleId="Prrafodelista">
    <w:name w:val="List Paragraph"/>
    <w:aliases w:val="Lista viñeta,Ha,List Paragraph1,lp1,Párrafo de lista1,Bullet List,FooterText,Use Case List Paragraph,titulo 3,numbered,Paragraphe de liste1,Bulletr List Paragraph,Foot,列出段落,列出段落1,List Paragraph2,List Paragraph21,Parágrafo da Lista1,HOJA"/>
    <w:basedOn w:val="Normal"/>
    <w:link w:val="PrrafodelistaCar"/>
    <w:uiPriority w:val="34"/>
    <w:qFormat/>
    <w:rsid w:val="0001784E"/>
  </w:style>
  <w:style w:type="paragraph" w:styleId="Citadestacada">
    <w:name w:val="Intense Quote"/>
    <w:basedOn w:val="Normal"/>
    <w:next w:val="Normal"/>
    <w:link w:val="CitadestacadaCar"/>
    <w:uiPriority w:val="30"/>
    <w:rsid w:val="009016C6"/>
    <w:pPr>
      <w:pBdr>
        <w:top w:val="single" w:sz="4" w:space="10" w:color="4F81BD" w:themeColor="accent1"/>
        <w:bottom w:val="single" w:sz="4" w:space="10" w:color="4F81BD" w:themeColor="accent1"/>
      </w:pBdr>
      <w:spacing w:before="280" w:after="280"/>
      <w:ind w:left="284" w:right="284"/>
    </w:pPr>
    <w:rPr>
      <w:i/>
      <w:iC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016C6"/>
    <w:rPr>
      <w:rFonts w:ascii="Arial" w:hAnsi="Arial"/>
      <w:i/>
      <w:iCs/>
      <w:color w:val="365F91" w:themeColor="accent1" w:themeShade="BF"/>
      <w:sz w:val="24"/>
    </w:rPr>
  </w:style>
  <w:style w:type="character" w:customStyle="1" w:styleId="Ttulo3Car">
    <w:name w:val="Título 3 Car"/>
    <w:basedOn w:val="Fuentedeprrafopredeter"/>
    <w:link w:val="Ttulo3"/>
    <w:uiPriority w:val="9"/>
    <w:rsid w:val="00F263DB"/>
    <w:rPr>
      <w:rFonts w:ascii="Verdana" w:eastAsia="Arial" w:hAnsi="Verdana" w:cs="Arial"/>
      <w:color w:val="365F91" w:themeColor="accent1" w:themeShade="BF"/>
      <w:sz w:val="26"/>
    </w:rPr>
  </w:style>
  <w:style w:type="character" w:customStyle="1" w:styleId="Ttulo4Car">
    <w:name w:val="Título 4 Car"/>
    <w:basedOn w:val="Fuentedeprrafopredeter"/>
    <w:link w:val="Ttulo4"/>
    <w:uiPriority w:val="9"/>
    <w:rsid w:val="00F263DB"/>
    <w:rPr>
      <w:rFonts w:ascii="Verdana" w:eastAsia="Arial" w:hAnsi="Verdana" w:cs="Arial"/>
      <w:i/>
      <w:iCs/>
      <w:color w:val="365F91" w:themeColor="accent1" w:themeShade="BF"/>
      <w:sz w:val="26"/>
      <w:lang w:val="en-US"/>
    </w:rPr>
  </w:style>
  <w:style w:type="paragraph" w:customStyle="1" w:styleId="Listas">
    <w:name w:val="Listas"/>
    <w:basedOn w:val="Prrafodelista"/>
    <w:link w:val="ListasCar"/>
    <w:rsid w:val="00615DB4"/>
    <w:pPr>
      <w:numPr>
        <w:numId w:val="5"/>
      </w:numPr>
      <w:spacing w:after="0"/>
      <w:ind w:left="714" w:hanging="357"/>
    </w:pPr>
  </w:style>
  <w:style w:type="character" w:styleId="Textoennegrita">
    <w:name w:val="Strong"/>
    <w:basedOn w:val="Fuentedeprrafopredeter"/>
    <w:uiPriority w:val="22"/>
    <w:rsid w:val="006B4ED8"/>
    <w:rPr>
      <w:b/>
      <w:bCs/>
    </w:rPr>
  </w:style>
  <w:style w:type="character" w:customStyle="1" w:styleId="PrrafodelistaCar">
    <w:name w:val="Párrafo de lista Car"/>
    <w:aliases w:val="Lista viñeta Car,Ha Car,List Paragraph1 Car,lp1 Car,Párrafo de lista1 Car,Bullet List Car,FooterText Car,Use Case List Paragraph Car,titulo 3 Car,numbered Car,Paragraphe de liste1 Car,Bulletr List Paragraph Car,Foot Car,列出段落 Car"/>
    <w:basedOn w:val="Fuentedeprrafopredeter"/>
    <w:link w:val="Prrafodelista"/>
    <w:uiPriority w:val="34"/>
    <w:qFormat/>
    <w:rsid w:val="0001784E"/>
    <w:rPr>
      <w:rFonts w:ascii="Verdana" w:hAnsi="Verdana"/>
      <w:sz w:val="24"/>
    </w:rPr>
  </w:style>
  <w:style w:type="character" w:customStyle="1" w:styleId="ListasCar">
    <w:name w:val="Listas Car"/>
    <w:basedOn w:val="PrrafodelistaCar"/>
    <w:link w:val="Listas"/>
    <w:rsid w:val="00615DB4"/>
    <w:rPr>
      <w:rFonts w:ascii="Arial" w:hAnsi="Arial"/>
      <w:sz w:val="24"/>
    </w:rPr>
  </w:style>
  <w:style w:type="table" w:styleId="Tablaconcuadrcula">
    <w:name w:val="Table Grid"/>
    <w:aliases w:val="Tabla con cuadrícula - Supersalud"/>
    <w:basedOn w:val="Tablanormal"/>
    <w:uiPriority w:val="39"/>
    <w:rsid w:val="00EF2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Tablaconcuadrcula4-nfasis1">
    <w:name w:val="Grid Table 4 Accent 1"/>
    <w:aliases w:val="Tabla Supersalud - Azul"/>
    <w:basedOn w:val="Tablanormal"/>
    <w:uiPriority w:val="49"/>
    <w:rsid w:val="00D30A9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5oscura-nfasis1">
    <w:name w:val="Grid Table 5 Dark Accent 1"/>
    <w:basedOn w:val="Tablanormal"/>
    <w:uiPriority w:val="50"/>
    <w:rsid w:val="002D2B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4-nfasis5">
    <w:name w:val="Grid Table 4 Accent 5"/>
    <w:basedOn w:val="Tablanormal"/>
    <w:uiPriority w:val="49"/>
    <w:rsid w:val="002D2BA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2">
    <w:name w:val="Grid Table 4 Accent 2"/>
    <w:basedOn w:val="Tablanormal"/>
    <w:uiPriority w:val="49"/>
    <w:rsid w:val="0023762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cuadrcula4">
    <w:name w:val="Grid Table 4"/>
    <w:basedOn w:val="Tablanormal"/>
    <w:uiPriority w:val="49"/>
    <w:rsid w:val="006D46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5oscura">
    <w:name w:val="Grid Table 5 Dark"/>
    <w:basedOn w:val="Tablanormal"/>
    <w:uiPriority w:val="50"/>
    <w:rsid w:val="00DD73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DD73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4-nfasis4">
    <w:name w:val="Grid Table 4 Accent 4"/>
    <w:basedOn w:val="Tablanormal"/>
    <w:uiPriority w:val="49"/>
    <w:rsid w:val="00D83AD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3">
    <w:name w:val="Grid Table 4 Accent 3"/>
    <w:aliases w:val="Tabla Supersalud- Verde"/>
    <w:basedOn w:val="Tablanormal"/>
    <w:uiPriority w:val="49"/>
    <w:rsid w:val="00D30A97"/>
    <w:pPr>
      <w:spacing w:after="0" w:line="240" w:lineRule="auto"/>
    </w:pPr>
    <w:tblPr>
      <w:tblStyleRowBandSize w:val="1"/>
      <w:tblStyleColBandSize w:val="1"/>
      <w:tblBorders>
        <w:top w:val="single" w:sz="4" w:space="0" w:color="4F6228" w:themeColor="accent3" w:themeShade="80"/>
        <w:left w:val="single" w:sz="4" w:space="0" w:color="4F6228" w:themeColor="accent3" w:themeShade="80"/>
        <w:bottom w:val="single" w:sz="4" w:space="0" w:color="4F6228" w:themeColor="accent3" w:themeShade="80"/>
        <w:right w:val="single" w:sz="4" w:space="0" w:color="4F6228" w:themeColor="accent3" w:themeShade="80"/>
        <w:insideH w:val="single" w:sz="4" w:space="0" w:color="4F6228" w:themeColor="accent3" w:themeShade="80"/>
        <w:insideV w:val="single" w:sz="4" w:space="0" w:color="4F6228" w:themeColor="accent3" w:themeShade="80"/>
      </w:tblBorders>
    </w:tblPr>
    <w:tblStylePr w:type="firstRow">
      <w:rPr>
        <w:b/>
        <w:bCs/>
        <w:color w:val="auto"/>
      </w:rPr>
      <w:tblPr/>
      <w:tcPr>
        <w:shd w:val="clear" w:color="auto" w:fill="44AE4C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EECE1" w:themeFill="background2"/>
      </w:tcPr>
    </w:tblStylePr>
  </w:style>
  <w:style w:type="table" w:styleId="Tabladelista3">
    <w:name w:val="List Table 3"/>
    <w:basedOn w:val="Tablanormal"/>
    <w:uiPriority w:val="48"/>
    <w:rsid w:val="00D83AD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concuadrcula1clara">
    <w:name w:val="Grid Table 1 Light"/>
    <w:basedOn w:val="Tablanormal"/>
    <w:uiPriority w:val="46"/>
    <w:rsid w:val="00AA219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AA219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3-nfasis1">
    <w:name w:val="Grid Table 3 Accent 1"/>
    <w:basedOn w:val="Tablanormal"/>
    <w:uiPriority w:val="48"/>
    <w:rsid w:val="000E17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">
    <w:name w:val="Grid Table 7 Colorful"/>
    <w:basedOn w:val="Tablanormal"/>
    <w:uiPriority w:val="52"/>
    <w:rsid w:val="000E172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3">
    <w:name w:val="Grid Table 3"/>
    <w:basedOn w:val="Tablanormal"/>
    <w:uiPriority w:val="48"/>
    <w:rsid w:val="000E172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customStyle="1" w:styleId="Entrecomilladojurdico">
    <w:name w:val="Entrecomillado jurídico"/>
    <w:basedOn w:val="Normal"/>
    <w:link w:val="EntrecomilladojurdicoCar"/>
    <w:qFormat/>
    <w:rsid w:val="0091741A"/>
    <w:pPr>
      <w:framePr w:wrap="around" w:vAnchor="text" w:hAnchor="text" w:y="1"/>
      <w:pBdr>
        <w:top w:val="single" w:sz="4" w:space="8" w:color="DBE5F1" w:themeColor="accent1" w:themeTint="33"/>
        <w:left w:val="single" w:sz="4" w:space="8" w:color="DBE5F1" w:themeColor="accent1" w:themeTint="33"/>
        <w:bottom w:val="single" w:sz="4" w:space="8" w:color="DBE5F1" w:themeColor="accent1" w:themeTint="33"/>
        <w:right w:val="single" w:sz="4" w:space="8" w:color="DBE5F1" w:themeColor="accent1" w:themeTint="33"/>
      </w:pBdr>
      <w:shd w:val="clear" w:color="auto" w:fill="DBE5F1" w:themeFill="accent1" w:themeFillTint="33"/>
      <w:spacing w:before="0" w:after="0"/>
      <w:ind w:left="851" w:right="851"/>
      <w:mirrorIndents/>
      <w:jc w:val="both"/>
    </w:pPr>
    <w:rPr>
      <w:i/>
      <w:color w:val="000000" w:themeColor="text1"/>
    </w:rPr>
  </w:style>
  <w:style w:type="paragraph" w:customStyle="1" w:styleId="Respuesta">
    <w:name w:val="Respuesta"/>
    <w:basedOn w:val="Normal"/>
    <w:link w:val="RespuestaCar"/>
    <w:rsid w:val="00767956"/>
    <w:pPr>
      <w:keepNext/>
      <w:keepLines/>
      <w:pBdr>
        <w:top w:val="single" w:sz="36" w:space="1" w:color="365F91" w:themeColor="accent1" w:themeShade="BF"/>
        <w:left w:val="single" w:sz="36" w:space="4" w:color="365F91" w:themeColor="accent1" w:themeShade="BF"/>
        <w:bottom w:val="single" w:sz="36" w:space="1" w:color="365F91" w:themeColor="accent1" w:themeShade="BF"/>
        <w:right w:val="single" w:sz="36" w:space="4" w:color="365F91" w:themeColor="accent1" w:themeShade="BF"/>
      </w:pBdr>
      <w:shd w:val="clear" w:color="auto" w:fill="365F91" w:themeFill="accent1" w:themeFillShade="BF"/>
      <w:autoSpaceDE w:val="0"/>
      <w:autoSpaceDN w:val="0"/>
      <w:adjustRightInd w:val="0"/>
      <w:spacing w:before="0" w:after="0" w:line="240" w:lineRule="auto"/>
      <w:ind w:right="113"/>
      <w:jc w:val="right"/>
    </w:pPr>
    <w:rPr>
      <w:rFonts w:cs="Arial"/>
      <w:color w:val="FFFFFF" w:themeColor="background1"/>
      <w:sz w:val="20"/>
      <w:lang w:val="es-ES"/>
    </w:rPr>
  </w:style>
  <w:style w:type="character" w:customStyle="1" w:styleId="EntrecomilladojurdicoCar">
    <w:name w:val="Entrecomillado jurídico Car"/>
    <w:basedOn w:val="CitadestacadaCar"/>
    <w:link w:val="Entrecomilladojurdico"/>
    <w:rsid w:val="0091741A"/>
    <w:rPr>
      <w:rFonts w:ascii="Arial" w:hAnsi="Arial"/>
      <w:i/>
      <w:iCs w:val="0"/>
      <w:color w:val="000000" w:themeColor="text1"/>
      <w:sz w:val="24"/>
      <w:shd w:val="clear" w:color="auto" w:fill="DBE5F1" w:themeFill="accent1" w:themeFillTint="33"/>
    </w:rPr>
  </w:style>
  <w:style w:type="character" w:customStyle="1" w:styleId="RespuestaCar">
    <w:name w:val="Respuesta Car"/>
    <w:basedOn w:val="Fuentedeprrafopredeter"/>
    <w:link w:val="Respuesta"/>
    <w:rsid w:val="00767956"/>
    <w:rPr>
      <w:rFonts w:ascii="Arial" w:hAnsi="Arial" w:cs="Arial"/>
      <w:color w:val="FFFFFF" w:themeColor="background1"/>
      <w:sz w:val="20"/>
      <w:shd w:val="clear" w:color="auto" w:fill="365F91" w:themeFill="accent1" w:themeFillShade="BF"/>
      <w:lang w:val="es-ES"/>
    </w:rPr>
  </w:style>
  <w:style w:type="paragraph" w:styleId="TtuloTDC">
    <w:name w:val="TOC Heading"/>
    <w:basedOn w:val="Ttulo1"/>
    <w:next w:val="Normal"/>
    <w:uiPriority w:val="39"/>
    <w:unhideWhenUsed/>
    <w:rsid w:val="00524BF2"/>
    <w:pPr>
      <w:spacing w:before="240" w:after="0" w:line="259" w:lineRule="auto"/>
      <w:jc w:val="left"/>
      <w:outlineLvl w:val="9"/>
    </w:pPr>
    <w:rPr>
      <w:rFonts w:asciiTheme="majorHAnsi" w:hAnsiTheme="majorHAnsi"/>
      <w:b w:val="0"/>
      <w:bCs w:val="0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524BF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524BF2"/>
    <w:pPr>
      <w:spacing w:after="100"/>
      <w:ind w:left="240"/>
    </w:pPr>
  </w:style>
  <w:style w:type="table" w:styleId="Tablaconcuadrculaclara">
    <w:name w:val="Grid Table Light"/>
    <w:basedOn w:val="Tablanormal"/>
    <w:uiPriority w:val="40"/>
    <w:rsid w:val="008273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link w:val="SinespaciadoCar"/>
    <w:uiPriority w:val="1"/>
    <w:rsid w:val="00EB7812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B7812"/>
    <w:rPr>
      <w:rFonts w:eastAsiaTheme="minorEastAsia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820A0C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820A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820A0C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20A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20A0C"/>
    <w:rPr>
      <w:rFonts w:ascii="Arial" w:hAnsi="Arial"/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rsid w:val="00B52707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PortadaTitulo">
    <w:name w:val="Portada Titulo"/>
    <w:basedOn w:val="Ttulo1"/>
    <w:link w:val="PortadaTituloCar"/>
    <w:rsid w:val="00EF2A5E"/>
    <w:pPr>
      <w:spacing w:before="720" w:after="0" w:line="240" w:lineRule="auto"/>
    </w:pPr>
    <w:rPr>
      <w:sz w:val="64"/>
      <w:szCs w:val="96"/>
    </w:rPr>
  </w:style>
  <w:style w:type="paragraph" w:customStyle="1" w:styleId="PortadaFechadeldocumento">
    <w:name w:val="Portada Fecha del documento"/>
    <w:basedOn w:val="Respuesta"/>
    <w:link w:val="PortadaFechadeldocumentoCar"/>
    <w:rsid w:val="000762A7"/>
    <w:pPr>
      <w:pBdr>
        <w:top w:val="single" w:sz="36" w:space="1" w:color="47AE4C"/>
        <w:left w:val="single" w:sz="36" w:space="4" w:color="47AE4C"/>
        <w:bottom w:val="single" w:sz="36" w:space="1" w:color="47AE4C"/>
        <w:right w:val="single" w:sz="36" w:space="4" w:color="47AE4C"/>
      </w:pBdr>
      <w:shd w:val="clear" w:color="auto" w:fill="47AE4C"/>
      <w:jc w:val="center"/>
    </w:pPr>
    <w:rPr>
      <w:b/>
      <w:sz w:val="24"/>
      <w:szCs w:val="24"/>
    </w:rPr>
  </w:style>
  <w:style w:type="character" w:customStyle="1" w:styleId="PortadaTituloCar">
    <w:name w:val="Portada Titulo Car"/>
    <w:basedOn w:val="Ttulo1Car"/>
    <w:link w:val="PortadaTitulo"/>
    <w:rsid w:val="00EF2A5E"/>
    <w:rPr>
      <w:rFonts w:ascii="Arial" w:eastAsiaTheme="majorEastAsia" w:hAnsi="Arial" w:cstheme="majorBidi"/>
      <w:b/>
      <w:bCs/>
      <w:color w:val="365F91" w:themeColor="accent1" w:themeShade="BF"/>
      <w:sz w:val="64"/>
      <w:szCs w:val="96"/>
    </w:rPr>
  </w:style>
  <w:style w:type="paragraph" w:customStyle="1" w:styleId="Descripcionportada">
    <w:name w:val="Descripcion portada"/>
    <w:basedOn w:val="PortadaFechadeldocumento"/>
    <w:link w:val="DescripcionportadaCar"/>
    <w:rsid w:val="008352E9"/>
    <w:pPr>
      <w:pBdr>
        <w:top w:val="single" w:sz="36" w:space="1" w:color="DEF2DF"/>
        <w:left w:val="single" w:sz="36" w:space="4" w:color="DEF2DF"/>
        <w:bottom w:val="single" w:sz="36" w:space="1" w:color="DEF2DF"/>
        <w:right w:val="single" w:sz="36" w:space="4" w:color="DEF2DF"/>
      </w:pBdr>
      <w:shd w:val="clear" w:color="auto" w:fill="DEF2DF"/>
    </w:pPr>
    <w:rPr>
      <w:b w:val="0"/>
      <w:color w:val="auto"/>
    </w:rPr>
  </w:style>
  <w:style w:type="character" w:customStyle="1" w:styleId="PortadaFechadeldocumentoCar">
    <w:name w:val="Portada Fecha del documento Car"/>
    <w:basedOn w:val="RespuestaCar"/>
    <w:link w:val="PortadaFechadeldocumento"/>
    <w:rsid w:val="000762A7"/>
    <w:rPr>
      <w:rFonts w:ascii="Arial" w:hAnsi="Arial" w:cs="Arial"/>
      <w:b/>
      <w:color w:val="FFFFFF" w:themeColor="background1"/>
      <w:sz w:val="24"/>
      <w:szCs w:val="24"/>
      <w:shd w:val="clear" w:color="auto" w:fill="47AE4C"/>
      <w:lang w:val="es-ES"/>
    </w:rPr>
  </w:style>
  <w:style w:type="paragraph" w:customStyle="1" w:styleId="PortadaDescripcin">
    <w:name w:val="Portada Descripción"/>
    <w:basedOn w:val="Normal"/>
    <w:link w:val="PortadaDescripcinCar"/>
    <w:rsid w:val="00D0736C"/>
    <w:pPr>
      <w:jc w:val="center"/>
    </w:pPr>
    <w:rPr>
      <w:i/>
    </w:rPr>
  </w:style>
  <w:style w:type="character" w:customStyle="1" w:styleId="DescripcionportadaCar">
    <w:name w:val="Descripcion portada Car"/>
    <w:basedOn w:val="PortadaFechadeldocumentoCar"/>
    <w:link w:val="Descripcionportada"/>
    <w:rsid w:val="008352E9"/>
    <w:rPr>
      <w:rFonts w:ascii="Arial" w:hAnsi="Arial" w:cs="Arial"/>
      <w:b w:val="0"/>
      <w:color w:val="FFFFFF" w:themeColor="background1"/>
      <w:sz w:val="24"/>
      <w:szCs w:val="24"/>
      <w:shd w:val="clear" w:color="auto" w:fill="DEF2DF"/>
      <w:lang w:val="es-ES"/>
    </w:rPr>
  </w:style>
  <w:style w:type="paragraph" w:customStyle="1" w:styleId="Fuente">
    <w:name w:val="Fuente"/>
    <w:basedOn w:val="Normal"/>
    <w:link w:val="FuenteCar"/>
    <w:qFormat/>
    <w:rsid w:val="00357C0F"/>
    <w:rPr>
      <w:rFonts w:cs="Open Sans"/>
      <w:i/>
      <w:color w:val="000000"/>
      <w:szCs w:val="21"/>
      <w:shd w:val="clear" w:color="auto" w:fill="FFFFFF"/>
    </w:rPr>
  </w:style>
  <w:style w:type="character" w:customStyle="1" w:styleId="PortadaDescripcinCar">
    <w:name w:val="Portada Descripción Car"/>
    <w:basedOn w:val="Fuentedeprrafopredeter"/>
    <w:link w:val="PortadaDescripcin"/>
    <w:rsid w:val="00D0736C"/>
    <w:rPr>
      <w:rFonts w:ascii="Arial" w:hAnsi="Arial"/>
      <w:i/>
      <w:sz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E5F46"/>
    <w:pPr>
      <w:spacing w:before="0" w:after="0" w:line="240" w:lineRule="auto"/>
    </w:pPr>
    <w:rPr>
      <w:sz w:val="20"/>
      <w:szCs w:val="20"/>
    </w:rPr>
  </w:style>
  <w:style w:type="character" w:customStyle="1" w:styleId="FuenteCar">
    <w:name w:val="Fuente Car"/>
    <w:basedOn w:val="Fuentedeprrafopredeter"/>
    <w:link w:val="Fuente"/>
    <w:rsid w:val="00357C0F"/>
    <w:rPr>
      <w:rFonts w:ascii="Arial" w:hAnsi="Arial" w:cs="Open Sans"/>
      <w:i/>
      <w:color w:val="000000"/>
      <w:sz w:val="24"/>
      <w:szCs w:val="21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E5F46"/>
    <w:rPr>
      <w:rFonts w:ascii="Arial" w:hAnsi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E5F46"/>
    <w:rPr>
      <w:vertAlign w:val="superscript"/>
    </w:rPr>
  </w:style>
  <w:style w:type="paragraph" w:styleId="TDC3">
    <w:name w:val="toc 3"/>
    <w:basedOn w:val="Normal"/>
    <w:next w:val="Normal"/>
    <w:autoRedefine/>
    <w:uiPriority w:val="39"/>
    <w:unhideWhenUsed/>
    <w:rsid w:val="0001784E"/>
    <w:pPr>
      <w:tabs>
        <w:tab w:val="right" w:pos="8828"/>
      </w:tabs>
      <w:spacing w:after="100"/>
    </w:pPr>
  </w:style>
  <w:style w:type="paragraph" w:styleId="TDC4">
    <w:name w:val="toc 4"/>
    <w:basedOn w:val="Normal"/>
    <w:next w:val="Normal"/>
    <w:autoRedefine/>
    <w:uiPriority w:val="39"/>
    <w:unhideWhenUsed/>
    <w:rsid w:val="0001784E"/>
    <w:pPr>
      <w:tabs>
        <w:tab w:val="right" w:pos="8828"/>
      </w:tabs>
      <w:spacing w:after="100"/>
    </w:pPr>
  </w:style>
  <w:style w:type="table" w:styleId="Tablaconcuadrcula5oscura-nfasis6">
    <w:name w:val="Grid Table 5 Dark Accent 6"/>
    <w:basedOn w:val="Tablanormal"/>
    <w:uiPriority w:val="50"/>
    <w:rsid w:val="00D30A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paragraph" w:styleId="Revisin">
    <w:name w:val="Revision"/>
    <w:hidden/>
    <w:uiPriority w:val="99"/>
    <w:semiHidden/>
    <w:rsid w:val="00A003D1"/>
    <w:pPr>
      <w:spacing w:after="0" w:line="240" w:lineRule="auto"/>
    </w:pPr>
    <w:rPr>
      <w:rFonts w:ascii="Verdana" w:hAnsi="Verdana"/>
      <w:sz w:val="24"/>
    </w:rPr>
  </w:style>
  <w:style w:type="paragraph" w:styleId="Textoindependiente">
    <w:name w:val="Body Text"/>
    <w:basedOn w:val="Normal"/>
    <w:link w:val="TextoindependienteCar"/>
    <w:rsid w:val="00494190"/>
    <w:pPr>
      <w:autoSpaceDN w:val="0"/>
      <w:spacing w:before="0" w:after="0" w:line="240" w:lineRule="auto"/>
      <w:jc w:val="both"/>
    </w:pPr>
    <w:rPr>
      <w:rFonts w:ascii="Arial" w:eastAsia="Times New Roman" w:hAnsi="Arial" w:cs="Arial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94190"/>
    <w:rPr>
      <w:rFonts w:ascii="Arial" w:eastAsia="Times New Roman" w:hAnsi="Arial" w:cs="Arial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ersalud.gov.co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supersalud.sharepoint.com/sites/PRESUPUESTO/Documentos%20compartidos/GRUPO%20PRESUPUESTO/PRESUPUESTO/VIGENCIA%202024/PRESUPUESTO/REPORTES%20DIARIOS/4.Abril-24/30%20abril%202024/Informe%20diari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3228588361938628E-2"/>
          <c:y val="1.4457603601513795E-2"/>
          <c:w val="0.951252010837355"/>
          <c:h val="0.831061967769492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'[Informe diario.xlsx]Funcionamiento'!$C$22</c:f>
              <c:strCache>
                <c:ptCount val="1"/>
                <c:pt idx="0">
                  <c:v>APROPIACIÓN VIGENTE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dLbls>
            <c:dLbl>
              <c:idx val="0"/>
              <c:layout>
                <c:manualLayout>
                  <c:x val="0"/>
                  <c:y val="-1.90943807965084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78D-4062-A94B-6B9104372BCC}"/>
                </c:ext>
              </c:extLst>
            </c:dLbl>
            <c:dLbl>
              <c:idx val="1"/>
              <c:layout>
                <c:manualLayout>
                  <c:x val="0"/>
                  <c:y val="-2.45499181669394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78D-4062-A94B-6B9104372BCC}"/>
                </c:ext>
              </c:extLst>
            </c:dLbl>
            <c:dLbl>
              <c:idx val="2"/>
              <c:layout>
                <c:manualLayout>
                  <c:x val="0"/>
                  <c:y val="-1.6366612111293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78D-4062-A94B-6B9104372BCC}"/>
                </c:ext>
              </c:extLst>
            </c:dLbl>
            <c:dLbl>
              <c:idx val="3"/>
              <c:layout>
                <c:manualLayout>
                  <c:x val="-7.7062301587006266E-17"/>
                  <c:y val="-1.968503937007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78D-4062-A94B-6B9104372BC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'[Informe diario.xlsx]Funcionamiento'!$B$23:$B$27</c:f>
              <c:strCache>
                <c:ptCount val="5"/>
                <c:pt idx="0">
                  <c:v> FUNCIONAMIENTO  </c:v>
                </c:pt>
                <c:pt idx="1">
                  <c:v> GASTOS DE PERSONAL </c:v>
                </c:pt>
                <c:pt idx="2">
                  <c:v> ADQUISICIÓN DE BIENES  Y SERVICIOS </c:v>
                </c:pt>
                <c:pt idx="3">
                  <c:v> TRANSFERENCIAS CORRIENTES </c:v>
                </c:pt>
                <c:pt idx="4">
                  <c:v> GASTOS POR TRIBUTOS, MULTAS.. </c:v>
                </c:pt>
              </c:strCache>
            </c:strRef>
          </c:cat>
          <c:val>
            <c:numRef>
              <c:f>'[Informe diario.xlsx]Funcionamiento'!$C$23:$C$27</c:f>
              <c:numCache>
                <c:formatCode>_-* #,##0_-;\-* #,##0_-;_-* "-"??_-;_-@_-</c:formatCode>
                <c:ptCount val="5"/>
                <c:pt idx="0">
                  <c:v>229182.70499999999</c:v>
                </c:pt>
                <c:pt idx="1">
                  <c:v>187394.70699999999</c:v>
                </c:pt>
                <c:pt idx="2">
                  <c:v>35475.006999999998</c:v>
                </c:pt>
                <c:pt idx="3">
                  <c:v>5670.5259999999998</c:v>
                </c:pt>
                <c:pt idx="4">
                  <c:v>642.46500000000003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78D-4062-A94B-6B9104372BCC}"/>
            </c:ext>
          </c:extLst>
        </c:ser>
        <c:ser>
          <c:idx val="1"/>
          <c:order val="1"/>
          <c:tx>
            <c:strRef>
              <c:f>'[Informe diario.xlsx]Funcionamiento'!$D$22</c:f>
              <c:strCache>
                <c:ptCount val="1"/>
                <c:pt idx="0">
                  <c:v>COMPROMISOS </c:v>
                </c:pt>
              </c:strCache>
            </c:strRef>
          </c:tx>
          <c:spPr>
            <a:solidFill>
              <a:srgbClr val="4199B5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dLbls>
            <c:dLbl>
              <c:idx val="0"/>
              <c:layout>
                <c:manualLayout>
                  <c:x val="2.3659282501414941E-2"/>
                  <c:y val="-1.14266228532456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78D-4062-A94B-6B9104372BCC}"/>
                </c:ext>
              </c:extLst>
            </c:dLbl>
            <c:dLbl>
              <c:idx val="1"/>
              <c:layout>
                <c:manualLayout>
                  <c:x val="2.2360020255979982E-2"/>
                  <c:y val="-2.3443796887593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78D-4062-A94B-6B9104372BCC}"/>
                </c:ext>
              </c:extLst>
            </c:dLbl>
            <c:dLbl>
              <c:idx val="2"/>
              <c:layout>
                <c:manualLayout>
                  <c:x val="2.4958402662229616E-2"/>
                  <c:y val="-1.00017029719306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78D-4062-A94B-6B9104372BCC}"/>
                </c:ext>
              </c:extLst>
            </c:dLbl>
            <c:dLbl>
              <c:idx val="3"/>
              <c:layout>
                <c:manualLayout>
                  <c:x val="4.2034468263976461E-3"/>
                  <c:y val="-1.9685039370078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78D-4062-A94B-6B9104372BC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'[Informe diario.xlsx]Funcionamiento'!$B$23:$B$27</c:f>
              <c:strCache>
                <c:ptCount val="5"/>
                <c:pt idx="0">
                  <c:v> FUNCIONAMIENTO  </c:v>
                </c:pt>
                <c:pt idx="1">
                  <c:v> GASTOS DE PERSONAL </c:v>
                </c:pt>
                <c:pt idx="2">
                  <c:v> ADQUISICIÓN DE BIENES  Y SERVICIOS </c:v>
                </c:pt>
                <c:pt idx="3">
                  <c:v> TRANSFERENCIAS CORRIENTES </c:v>
                </c:pt>
                <c:pt idx="4">
                  <c:v> GASTOS POR TRIBUTOS, MULTAS.. </c:v>
                </c:pt>
              </c:strCache>
            </c:strRef>
          </c:cat>
          <c:val>
            <c:numRef>
              <c:f>'[Informe diario.xlsx]Funcionamiento'!$D$23:$D$27</c:f>
              <c:numCache>
                <c:formatCode>_-* #,##0_-;\-* #,##0_-;_-* "-"??_-;_-@_-</c:formatCode>
                <c:ptCount val="5"/>
                <c:pt idx="0">
                  <c:v>73086.409457040005</c:v>
                </c:pt>
                <c:pt idx="1">
                  <c:v>48009.369298999998</c:v>
                </c:pt>
                <c:pt idx="2">
                  <c:v>24919.239306040003</c:v>
                </c:pt>
                <c:pt idx="3">
                  <c:v>156.51592199999999</c:v>
                </c:pt>
                <c:pt idx="4">
                  <c:v>1.2849299999999999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D78D-4062-A94B-6B9104372BCC}"/>
            </c:ext>
          </c:extLst>
        </c:ser>
        <c:ser>
          <c:idx val="2"/>
          <c:order val="2"/>
          <c:tx>
            <c:strRef>
              <c:f>'[Informe diario.xlsx]Funcionamiento'!$E$22</c:f>
              <c:strCache>
                <c:ptCount val="1"/>
                <c:pt idx="0">
                  <c:v>% EJEC</c:v>
                </c:pt>
              </c:strCache>
            </c:strRef>
          </c:tx>
          <c:spPr>
            <a:noFill/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dLbls>
            <c:dLbl>
              <c:idx val="0"/>
              <c:layout>
                <c:manualLayout>
                  <c:x val="-1.2479201331114808E-2"/>
                  <c:y val="-0.2891434806328423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78D-4062-A94B-6B9104372BCC}"/>
                </c:ext>
              </c:extLst>
            </c:dLbl>
            <c:dLbl>
              <c:idx val="1"/>
              <c:layout>
                <c:manualLayout>
                  <c:x val="-1.8069194692403714E-2"/>
                  <c:y val="-0.260319403972141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78D-4062-A94B-6B9104372BCC}"/>
                </c:ext>
              </c:extLst>
            </c:dLbl>
            <c:dLbl>
              <c:idx val="2"/>
              <c:layout>
                <c:manualLayout>
                  <c:x val="-2.2185246810870873E-2"/>
                  <c:y val="-0.171849427168576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D78D-4062-A94B-6B9104372BCC}"/>
                </c:ext>
              </c:extLst>
            </c:dLbl>
            <c:dLbl>
              <c:idx val="3"/>
              <c:layout>
                <c:manualLayout>
                  <c:x val="-4.5260530958220385E-2"/>
                  <c:y val="-0.109701469402938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D78D-4062-A94B-6B9104372BCC}"/>
                </c:ext>
              </c:extLst>
            </c:dLbl>
            <c:dLbl>
              <c:idx val="4"/>
              <c:layout>
                <c:manualLayout>
                  <c:x val="-5.1522011829227526E-2"/>
                  <c:y val="-9.11975323950647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D78D-4062-A94B-6B9104372BCC}"/>
                </c:ext>
              </c:extLst>
            </c:dLbl>
            <c:spPr>
              <a:noFill/>
              <a:ln>
                <a:solidFill>
                  <a:schemeClr val="accent1">
                    <a:lumMod val="75000"/>
                  </a:schemeClr>
                </a:solidFill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noFill/>
                    </a:ln>
                    <a:effectLst/>
                  </c:spPr>
                </c15:leaderLines>
              </c:ext>
            </c:extLst>
          </c:dLbls>
          <c:cat>
            <c:strRef>
              <c:f>'[Informe diario.xlsx]Funcionamiento'!$B$23:$B$27</c:f>
              <c:strCache>
                <c:ptCount val="5"/>
                <c:pt idx="0">
                  <c:v> FUNCIONAMIENTO  </c:v>
                </c:pt>
                <c:pt idx="1">
                  <c:v> GASTOS DE PERSONAL </c:v>
                </c:pt>
                <c:pt idx="2">
                  <c:v> ADQUISICIÓN DE BIENES  Y SERVICIOS </c:v>
                </c:pt>
                <c:pt idx="3">
                  <c:v> TRANSFERENCIAS CORRIENTES </c:v>
                </c:pt>
                <c:pt idx="4">
                  <c:v> GASTOS POR TRIBUTOS, MULTAS.. </c:v>
                </c:pt>
              </c:strCache>
            </c:strRef>
          </c:cat>
          <c:val>
            <c:numRef>
              <c:f>'[Informe diario.xlsx]Funcionamiento'!$E$23:$E$27</c:f>
              <c:numCache>
                <c:formatCode>0%</c:formatCode>
                <c:ptCount val="5"/>
                <c:pt idx="0">
                  <c:v>0.31890019561921135</c:v>
                </c:pt>
                <c:pt idx="1">
                  <c:v>0.25619383848979255</c:v>
                </c:pt>
                <c:pt idx="2">
                  <c:v>0.70244494401481028</c:v>
                </c:pt>
                <c:pt idx="3">
                  <c:v>2.7601658470484042E-2</c:v>
                </c:pt>
                <c:pt idx="4">
                  <c:v>1.9999999999999996E-3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D78D-4062-A94B-6B9104372BC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990371344"/>
        <c:axId val="2114011519"/>
        <c:axId val="0"/>
      </c:bar3DChart>
      <c:catAx>
        <c:axId val="1990371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114011519"/>
        <c:crosses val="autoZero"/>
        <c:auto val="1"/>
        <c:lblAlgn val="ctr"/>
        <c:lblOffset val="100"/>
        <c:noMultiLvlLbl val="0"/>
      </c:catAx>
      <c:valAx>
        <c:axId val="2114011519"/>
        <c:scaling>
          <c:orientation val="minMax"/>
        </c:scaling>
        <c:delete val="1"/>
        <c:axPos val="l"/>
        <c:numFmt formatCode="_-* #,##0_-;\-* #,##0_-;_-* &quot;-&quot;??_-;_-@_-" sourceLinked="1"/>
        <c:majorTickMark val="none"/>
        <c:minorTickMark val="none"/>
        <c:tickLblPos val="nextTo"/>
        <c:crossAx val="1990371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2022-04-29T00:00:00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85EDB6C29E6444A3B81AB5CA7630CC" ma:contentTypeVersion="12" ma:contentTypeDescription="Crear nuevo documento." ma:contentTypeScope="" ma:versionID="d69344784f57a5ccc41e1efdc67125e7">
  <xsd:schema xmlns:xsd="http://www.w3.org/2001/XMLSchema" xmlns:xs="http://www.w3.org/2001/XMLSchema" xmlns:p="http://schemas.microsoft.com/office/2006/metadata/properties" xmlns:ns2="8a44f958-4696-4387-99c2-a51c46e4c29e" xmlns:ns3="3248ecf5-fc9b-4c13-bf2a-e222bb58658e" targetNamespace="http://schemas.microsoft.com/office/2006/metadata/properties" ma:root="true" ma:fieldsID="ca18441adb384e8cb9bbced055b1ce7d" ns2:_="" ns3:_="">
    <xsd:import namespace="8a44f958-4696-4387-99c2-a51c46e4c29e"/>
    <xsd:import namespace="3248ecf5-fc9b-4c13-bf2a-e222bb5865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44f958-4696-4387-99c2-a51c46e4c2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9dd0de2-0d50-4a6d-84d8-73a82e13a0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48ecf5-fc9b-4c13-bf2a-e222bb58658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026e7bb-d294-47d9-a323-ee50d09917fc}" ma:internalName="TaxCatchAll" ma:showField="CatchAllData" ma:web="3248ecf5-fc9b-4c13-bf2a-e222bb5865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48ecf5-fc9b-4c13-bf2a-e222bb58658e" xsi:nil="true"/>
    <lcf76f155ced4ddcb4097134ff3c332f xmlns="8a44f958-4696-4387-99c2-a51c46e4c29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847FF9-82B3-4D6A-9BF2-1B54C6F05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44f958-4696-4387-99c2-a51c46e4c29e"/>
    <ds:schemaRef ds:uri="3248ecf5-fc9b-4c13-bf2a-e222bb5865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EF70DC-6EAD-4FA5-850F-6ABAC6A9C12E}">
  <ds:schemaRefs>
    <ds:schemaRef ds:uri="http://schemas.microsoft.com/office/2006/metadata/properties"/>
    <ds:schemaRef ds:uri="http://schemas.microsoft.com/office/infopath/2007/PartnerControls"/>
    <ds:schemaRef ds:uri="3248ecf5-fc9b-4c13-bf2a-e222bb58658e"/>
    <ds:schemaRef ds:uri="8a44f958-4696-4387-99c2-a51c46e4c29e"/>
  </ds:schemaRefs>
</ds:datastoreItem>
</file>

<file path=customXml/itemProps4.xml><?xml version="1.0" encoding="utf-8"?>
<ds:datastoreItem xmlns:ds="http://schemas.openxmlformats.org/officeDocument/2006/customXml" ds:itemID="{C6A9C2C7-8B8E-4B5B-AE59-510EA9D5C16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571FDD9-D281-421D-A95F-A6EEB40E5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1638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institucional en word</vt:lpstr>
    </vt:vector>
  </TitlesOfParts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institucional en word</dc:title>
  <dc:subject>Subtítulo o descripción del manual</dc:subject>
  <dc:creator>jlozano@supersalud.gov.co</dc:creator>
  <cp:keywords>DIFT17</cp:keywords>
  <dc:description/>
  <cp:lastModifiedBy>Isabel Catherine Rey Florez</cp:lastModifiedBy>
  <cp:revision>4</cp:revision>
  <cp:lastPrinted>2021-12-09T20:17:00Z</cp:lastPrinted>
  <dcterms:created xsi:type="dcterms:W3CDTF">2024-03-06T15:33:00Z</dcterms:created>
  <dcterms:modified xsi:type="dcterms:W3CDTF">2024-05-20T21:35:00Z</dcterms:modified>
  <cp:category>MEvU5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89662028-e0d9-4fdc-97e5-49a46af5b6b3</vt:lpwstr>
  </property>
  <property fmtid="{D5CDD505-2E9C-101B-9397-08002B2CF9AE}" pid="3" name="ContentTypeId">
    <vt:lpwstr>0x0101008C85EDB6C29E6444A3B81AB5CA7630CC</vt:lpwstr>
  </property>
  <property fmtid="{D5CDD505-2E9C-101B-9397-08002B2CF9AE}" pid="4" name="Grupo_Objetivo">
    <vt:lpwstr>Usuarios</vt:lpwstr>
  </property>
  <property fmtid="{D5CDD505-2E9C-101B-9397-08002B2CF9AE}" pid="5" name="Publicado">
    <vt:bool>true</vt:bool>
  </property>
  <property fmtid="{D5CDD505-2E9C-101B-9397-08002B2CF9AE}" pid="6" name="Tematica">
    <vt:lpwstr>formato, Plantilla, Documento, Institucional, COFL02, procesador, palabra, Word,  Proceso, Comunicación, Comunicaciones, Estratégicas, Imagen, Institucional.</vt:lpwstr>
  </property>
</Properties>
</file>