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3CA8FA6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3C21B0">
        <w:rPr>
          <w:rFonts w:ascii="Arial" w:eastAsia="Times New Roman" w:hAnsi="Arial" w:cs="Arial"/>
          <w:lang w:eastAsia="es-ES"/>
        </w:rPr>
        <w:t>3</w:t>
      </w:r>
    </w:p>
    <w:p w14:paraId="7BD1248A" w14:textId="2BE23024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</w:t>
      </w:r>
      <w:r w:rsidR="003C21B0">
        <w:rPr>
          <w:rFonts w:ascii="Arial" w:eastAsia="Times New Roman" w:hAnsi="Arial" w:cs="Arial"/>
          <w:lang w:val="es-ES" w:eastAsia="es-ES"/>
        </w:rPr>
        <w:t>3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C4A4C48" w:rsidR="003B3274" w:rsidRPr="009A5CE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FF0000"/>
          <w:lang w:val="es-ES" w:eastAsia="es-ES"/>
        </w:rPr>
      </w:pPr>
      <w:r w:rsidRPr="002733B4">
        <w:rPr>
          <w:rFonts w:ascii="Arial" w:eastAsia="Times New Roman" w:hAnsi="Arial" w:cs="Arial"/>
          <w:lang w:val="es-ES" w:eastAsia="es-ES"/>
        </w:rPr>
        <w:t>Hora</w:t>
      </w:r>
      <w:r w:rsidR="000F6BF4" w:rsidRPr="002733B4">
        <w:rPr>
          <w:rFonts w:ascii="Arial" w:eastAsia="Times New Roman" w:hAnsi="Arial" w:cs="Arial"/>
          <w:lang w:val="es-ES" w:eastAsia="es-ES"/>
        </w:rPr>
        <w:t xml:space="preserve">: </w:t>
      </w:r>
      <w:r w:rsidR="002733B4" w:rsidRPr="002733B4">
        <w:rPr>
          <w:rFonts w:ascii="Arial" w:eastAsia="Times New Roman" w:hAnsi="Arial" w:cs="Arial"/>
          <w:lang w:val="es-ES" w:eastAsia="es-ES"/>
        </w:rPr>
        <w:t>07</w:t>
      </w:r>
      <w:r w:rsidR="005D46ED" w:rsidRPr="002733B4">
        <w:rPr>
          <w:rFonts w:ascii="Arial" w:eastAsia="Times New Roman" w:hAnsi="Arial" w:cs="Arial"/>
          <w:lang w:val="es-ES" w:eastAsia="es-ES"/>
        </w:rPr>
        <w:t>:</w:t>
      </w:r>
      <w:r w:rsidR="00AE6520" w:rsidRPr="002733B4">
        <w:rPr>
          <w:rFonts w:ascii="Arial" w:eastAsia="Times New Roman" w:hAnsi="Arial" w:cs="Arial"/>
          <w:lang w:val="es-ES" w:eastAsia="es-ES"/>
        </w:rPr>
        <w:t>0</w:t>
      </w:r>
      <w:r w:rsidR="00E121FE" w:rsidRPr="002733B4">
        <w:rPr>
          <w:rFonts w:ascii="Arial" w:eastAsia="Times New Roman" w:hAnsi="Arial" w:cs="Arial"/>
          <w:lang w:val="es-ES" w:eastAsia="es-ES"/>
        </w:rPr>
        <w:t>0</w:t>
      </w:r>
      <w:r w:rsidR="004022EF" w:rsidRPr="002733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2733B4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03CC983F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5AF96308" w14:textId="1EEBA3E5" w:rsidR="009A5CEB" w:rsidRDefault="009A5CEB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C356B79" w14:textId="77777777" w:rsidR="00511E2A" w:rsidRPr="00D34E08" w:rsidRDefault="00511E2A" w:rsidP="00511E2A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bookmarkStart w:id="0" w:name="_Hlk159417538"/>
      <w:r w:rsidRPr="00D34E08">
        <w:rPr>
          <w:rStyle w:val="Textoennegrita"/>
          <w:rFonts w:ascii="Arial" w:hAnsi="Arial" w:cs="Arial"/>
        </w:rPr>
        <w:t>Proyecto de Ley No. 166 de 2023 Cámara</w:t>
      </w:r>
      <w:r w:rsidRPr="00D34E08">
        <w:rPr>
          <w:rFonts w:ascii="Arial" w:hAnsi="Arial" w:cs="Arial"/>
          <w:b/>
          <w:bCs/>
        </w:rPr>
        <w:t xml:space="preserve"> “Por medio de la cual se adopta una reforma laboral para el trabajo digno y decente en Colombia” acumulado con los proyectos:  </w:t>
      </w:r>
      <w:r w:rsidRPr="00D34E08">
        <w:rPr>
          <w:rStyle w:val="Textoennegrita"/>
          <w:rFonts w:ascii="Arial" w:hAnsi="Arial" w:cs="Arial"/>
          <w:u w:val="single"/>
        </w:rPr>
        <w:t>Proyecto de Ley No. 192 de 2023 Cámara</w:t>
      </w:r>
      <w:r w:rsidRPr="00D34E08">
        <w:rPr>
          <w:rFonts w:ascii="Arial" w:hAnsi="Arial" w:cs="Arial"/>
          <w:b/>
          <w:bCs/>
        </w:rPr>
        <w:t xml:space="preserve"> </w:t>
      </w:r>
      <w:r w:rsidRPr="00B8050C">
        <w:rPr>
          <w:rFonts w:ascii="Arial" w:hAnsi="Arial" w:cs="Arial"/>
          <w:b/>
          <w:bCs/>
        </w:rPr>
        <w:t xml:space="preserve">“Por medio de la cual se modifica parcialmente el código sustantivo del trabajo para atender las prioridades actuales del mercado laboral: generación de empleo, reducción de la informalidad laboral y más inclusión. Como también se mejoran los beneficios sociales en equilibrio con la sostenibilidad empresarial y se actualiza y moderniza la ley laboral” </w:t>
      </w:r>
      <w:r w:rsidRPr="00B8050C">
        <w:rPr>
          <w:rFonts w:ascii="Arial" w:hAnsi="Arial" w:cs="Arial"/>
          <w:b/>
          <w:bCs/>
          <w:u w:val="single"/>
        </w:rPr>
        <w:t xml:space="preserve">y </w:t>
      </w:r>
      <w:r w:rsidRPr="00B8050C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B8050C">
        <w:rPr>
          <w:rFonts w:ascii="Arial" w:hAnsi="Arial" w:cs="Arial"/>
          <w:u w:val="single"/>
        </w:rPr>
        <w:t>Cámara</w:t>
      </w:r>
      <w:r w:rsidRPr="00B8050C">
        <w:rPr>
          <w:rFonts w:ascii="Arial" w:hAnsi="Arial" w:cs="Arial"/>
          <w:b/>
          <w:bCs/>
        </w:rPr>
        <w:t xml:space="preserve"> 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</w:p>
    <w:p w14:paraId="4868D3AD" w14:textId="77777777" w:rsidR="00511E2A" w:rsidRPr="00D34E08" w:rsidRDefault="00511E2A" w:rsidP="00511E2A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D34E08">
        <w:rPr>
          <w:rFonts w:ascii="Arial" w:hAnsi="Arial" w:cs="Arial"/>
        </w:rPr>
        <w:t xml:space="preserve">Autores: Ministra del Trabajo GLORIA INES RAMIREZ RIOS. Se adhiere la senadora GLORIA INES FLOREZ SHNEIDER a través de oficio enviado a la Secretaría General de la Cámara el 07 de septiembre de 2023, recibido en la Comisión el 13 de septiembre de 2023.             </w:t>
      </w:r>
    </w:p>
    <w:p w14:paraId="788D8210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67C3A76E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57FB1E78" w14:textId="77777777" w:rsidR="00511E2A" w:rsidRPr="00760F9D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57CCD6E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685E5388" w14:textId="77777777" w:rsidR="00511E2A" w:rsidRPr="009B3F10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05B777E7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6A7F972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3BD7BDB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5E96E96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E85FEC5" w14:textId="77777777" w:rsidR="00511E2A" w:rsidRPr="00D37492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58BB54A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6BB6BD09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1763 de 2023 (dic. 11-23) (Forero, Cristo</w:t>
      </w:r>
      <w:proofErr w:type="gramStart"/>
      <w:r w:rsidRPr="00E71E0B">
        <w:rPr>
          <w:rFonts w:ascii="Arial" w:hAnsi="Arial" w:cs="Arial"/>
        </w:rPr>
        <w:t>).(</w:t>
      </w:r>
      <w:proofErr w:type="gramEnd"/>
      <w:r w:rsidRPr="00E71E0B">
        <w:rPr>
          <w:rFonts w:ascii="Arial" w:hAnsi="Arial" w:cs="Arial"/>
        </w:rPr>
        <w:t>archivo)</w:t>
      </w:r>
    </w:p>
    <w:p w14:paraId="5C7EE459" w14:textId="77777777" w:rsidR="00511E2A" w:rsidRDefault="00511E2A" w:rsidP="00511E2A">
      <w:pPr>
        <w:spacing w:line="24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  <w:r>
        <w:rPr>
          <w:rFonts w:ascii="Arial" w:hAnsi="Arial" w:cs="Arial"/>
        </w:rPr>
        <w:tab/>
      </w:r>
      <w:r w:rsidRPr="00EB6E29">
        <w:rPr>
          <w:rFonts w:ascii="Arial" w:hAnsi="Arial" w:cs="Arial"/>
        </w:rPr>
        <w:t>Votada la ponencia de archivo el 13 de diciembre de 2023 (negada)</w:t>
      </w:r>
    </w:p>
    <w:p w14:paraId="0B0B21B2" w14:textId="4F71912A" w:rsidR="00511E2A" w:rsidRDefault="00511E2A" w:rsidP="00511E2A">
      <w:pPr>
        <w:spacing w:line="240" w:lineRule="auto"/>
        <w:ind w:left="2832"/>
        <w:contextualSpacing/>
        <w:rPr>
          <w:rFonts w:ascii="Arial" w:hAnsi="Arial" w:cs="Arial"/>
        </w:rPr>
      </w:pPr>
      <w:r w:rsidRPr="00EB6E29">
        <w:rPr>
          <w:rFonts w:ascii="Arial" w:hAnsi="Arial" w:cs="Arial"/>
        </w:rPr>
        <w:t>Votada la ponencia positiva (mayoritaria) el 14 de diciembre de 2023</w:t>
      </w:r>
      <w:r>
        <w:rPr>
          <w:rFonts w:ascii="Arial" w:hAnsi="Arial" w:cs="Arial"/>
        </w:rPr>
        <w:t>; votados</w:t>
      </w:r>
      <w:r w:rsidRPr="00EB6E29">
        <w:rPr>
          <w:rFonts w:ascii="Arial" w:hAnsi="Arial" w:cs="Arial"/>
        </w:rPr>
        <w:t xml:space="preserve"> algunos artículos.</w:t>
      </w:r>
    </w:p>
    <w:p w14:paraId="190085FB" w14:textId="77777777" w:rsidR="00EF635B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11 de junio de 2024.</w:t>
      </w:r>
    </w:p>
    <w:p w14:paraId="3018A082" w14:textId="4420AA20" w:rsidR="007C3976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12 de junio de 2024.</w:t>
      </w:r>
    </w:p>
    <w:p w14:paraId="4369C48E" w14:textId="3170B913" w:rsidR="00511E2A" w:rsidRDefault="00511E2A" w:rsidP="007C3976">
      <w:pPr>
        <w:spacing w:line="240" w:lineRule="auto"/>
        <w:ind w:firstLine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2024</w:t>
      </w: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lastRenderedPageBreak/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6605E4F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38C00A3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 w:rsidR="008826A6">
        <w:rPr>
          <w:rFonts w:ascii="Arial" w:hAnsi="Arial" w:cs="Arial"/>
        </w:rPr>
        <w:t xml:space="preserve">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7D8693AC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 w:rsidR="008826A6">
        <w:rPr>
          <w:rFonts w:ascii="Arial" w:hAnsi="Arial" w:cs="Arial"/>
        </w:rPr>
        <w:t xml:space="preserve">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6804E22F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4FDC64EA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</w:t>
      </w:r>
      <w:r w:rsidR="009A5CEB">
        <w:rPr>
          <w:rFonts w:ascii="Arial" w:hAnsi="Arial" w:cs="Arial"/>
        </w:rPr>
        <w:t>1</w:t>
      </w:r>
      <w:r w:rsidR="00EF63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2024.</w:t>
      </w:r>
    </w:p>
    <w:bookmarkEnd w:id="0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85FEB" w14:textId="77777777" w:rsidR="00FA7593" w:rsidRDefault="00FA7593" w:rsidP="00056216">
      <w:pPr>
        <w:spacing w:after="0" w:line="240" w:lineRule="auto"/>
      </w:pPr>
      <w:r>
        <w:separator/>
      </w:r>
    </w:p>
  </w:endnote>
  <w:endnote w:type="continuationSeparator" w:id="0">
    <w:p w14:paraId="01E615F5" w14:textId="77777777" w:rsidR="00FA7593" w:rsidRDefault="00FA759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238E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238E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238E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A68B" w14:textId="77777777" w:rsidR="00FA7593" w:rsidRDefault="00FA7593" w:rsidP="00056216">
      <w:pPr>
        <w:spacing w:after="0" w:line="240" w:lineRule="auto"/>
      </w:pPr>
      <w:r>
        <w:separator/>
      </w:r>
    </w:p>
  </w:footnote>
  <w:footnote w:type="continuationSeparator" w:id="0">
    <w:p w14:paraId="6D1993E8" w14:textId="77777777" w:rsidR="00FA7593" w:rsidRDefault="00FA759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D238E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D238E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D238E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D238E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D238E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D238E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86587CF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24233" w:rsidRPr="00124233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124233" w:rsidRPr="00124233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5B9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24233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3B4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41D3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B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5F49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45D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3976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A5CEB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58C4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121B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C474A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03753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38EB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35B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593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1914489B-BD01-4A26-8576-617D944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67E7-7613-4D0D-9D85-145DC6A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1693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4</cp:revision>
  <cp:lastPrinted>2024-06-12T16:46:00Z</cp:lastPrinted>
  <dcterms:created xsi:type="dcterms:W3CDTF">2024-06-12T16:45:00Z</dcterms:created>
  <dcterms:modified xsi:type="dcterms:W3CDTF">2024-06-12T16:50:00Z</dcterms:modified>
</cp:coreProperties>
</file>