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DFCC" w14:textId="17EA61CA" w:rsidR="00121B16" w:rsidRPr="00A31E81" w:rsidRDefault="003D065B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CONCEPTO FRENTE AL PROYECTO DE LEY NO. 425 DE 2023 CÁMARA – 195 DE 2022 SENADO “POR MEDIO DE LA CUAL SE ADOPTAN MEDIDAS PARA PROMOVER EL USO RACIONAL Y EFICIENTE DE ENERGÍA, SE ESTABLECEN LINEAMIENTOS PARA LOS PLANES DE EFICIENCIA ENERGÉTICA DE LAS ENTIDADES PÚBLICAS, SE INCENTIVAN CONSTRUCCIONES SOSTENIBLES Y SE DICTAN OTRAS DISPOSICIONES”.</w:t>
      </w:r>
    </w:p>
    <w:p w14:paraId="448FCB08" w14:textId="77777777" w:rsidR="003D065B" w:rsidRPr="00A31E81" w:rsidRDefault="003D065B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31748248" w14:textId="24BF3645" w:rsidR="00121B16" w:rsidRPr="00A31E81" w:rsidRDefault="00121B16" w:rsidP="00A31E81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Consideraciones generales</w:t>
      </w:r>
      <w:r w:rsidR="002C4F1F" w:rsidRPr="00A3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.</w:t>
      </w:r>
    </w:p>
    <w:p w14:paraId="5DB6D0A8" w14:textId="77777777" w:rsidR="00121B16" w:rsidRPr="00A31E81" w:rsidRDefault="00121B16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0AE3C319" w14:textId="6B3BF037" w:rsidR="003D065B" w:rsidRPr="00A31E81" w:rsidRDefault="003D065B" w:rsidP="003D06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El presente Proyecto de Ley tiene como objeto “</w:t>
      </w:r>
      <w:r w:rsidR="00793A4D"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>adoptar medidas para promover el uso racional y eficiente de energía, establecer los lineamientos para los planes de eficiencia energética de las entidades públicas, incentivar construcciones sostenibles y dictar otras disposiciones.</w:t>
      </w:r>
    </w:p>
    <w:p w14:paraId="6B4045E9" w14:textId="77777777" w:rsidR="003D065B" w:rsidRPr="00A31E81" w:rsidRDefault="003D065B" w:rsidP="003D06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7DB2DAF5" w14:textId="5F3BD301" w:rsidR="003B31DD" w:rsidRPr="00A31E81" w:rsidRDefault="003B31DD" w:rsidP="00056E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 ese orden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ideas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de manera transversal al contenido del proyecto 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es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conveniente considerar que la eficiencia energética 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 este caso tiene como objetivo mejorar el desempeño energético de las instalaciones públicas,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 partir de l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a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modificaci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ón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hábitos, mejoramiento de procesos y la realización de inversiones necesarias</w:t>
      </w:r>
      <w:r w:rsidR="00056EB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para tal fin.</w:t>
      </w:r>
    </w:p>
    <w:p w14:paraId="26A83FA3" w14:textId="77777777" w:rsidR="00EB60AA" w:rsidRPr="00A31E81" w:rsidRDefault="00EB60AA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35E638BC" w14:textId="3C27BA7E" w:rsidR="00121B16" w:rsidRPr="00A31E81" w:rsidRDefault="00121B16" w:rsidP="00A31E81">
      <w:pPr>
        <w:pStyle w:val="Prrafodelist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Consideraciones frente al articulado.</w:t>
      </w:r>
    </w:p>
    <w:p w14:paraId="5C1B4AA7" w14:textId="77777777" w:rsidR="00121B16" w:rsidRPr="00A31E81" w:rsidRDefault="00121B16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2A45E98A" w14:textId="714E4E6C" w:rsidR="003D065B" w:rsidRPr="00A31E81" w:rsidRDefault="003D065B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Artículo 2. Definiciones.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Frente a las definiciones incluidas en este artículo se realizan los siguientes comentarios</w:t>
      </w:r>
      <w:r w:rsidR="002D257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:</w:t>
      </w:r>
    </w:p>
    <w:p w14:paraId="1572BCB6" w14:textId="77777777" w:rsidR="003D065B" w:rsidRPr="00A31E81" w:rsidRDefault="003D065B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3A8D6C77" w14:textId="02516EC1" w:rsidR="0004282E" w:rsidRPr="00A31E81" w:rsidRDefault="001710A4" w:rsidP="0004282E">
      <w:pPr>
        <w:pStyle w:val="Prrafodelista"/>
        <w:numPr>
          <w:ilvl w:val="0"/>
          <w:numId w:val="22"/>
        </w:num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En la definición </w:t>
      </w:r>
      <w:r w:rsidR="00D0182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para</w:t>
      </w:r>
      <w:r w:rsidR="00D01829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DF24E6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Empresas</w:t>
      </w:r>
      <w:r w:rsidR="003D065B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con capacidad de Gestión Energética – </w:t>
      </w:r>
      <w:r w:rsidR="00271B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</w:t>
      </w:r>
      <w:r w:rsidR="003D065B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CGE</w:t>
      </w:r>
      <w:r w:rsidR="00D01829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,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hace referencia solo a empresas</w:t>
      </w:r>
      <w:r w:rsidR="00FE393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 Sin embargo,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A5C7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no solo las empresas están en 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capacidad de hacer gestión energética</w:t>
      </w:r>
      <w:r w:rsidR="009A5C7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sino también otras entidades del sector público c</w:t>
      </w:r>
      <w:r w:rsidR="00A83E4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o</w:t>
      </w:r>
      <w:r w:rsidR="009A5C7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mo alcaldías, gobernaciones, corporaciones autónomas, etc. </w:t>
      </w:r>
      <w:r w:rsidR="00A83E4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or lo </w:t>
      </w:r>
      <w:r w:rsidR="00A83E4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anterior,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sugiere ampliar la definición.</w:t>
      </w:r>
      <w:r w:rsidR="0018381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0FE9F3D5" w14:textId="77777777" w:rsidR="0004282E" w:rsidRPr="00A31E81" w:rsidRDefault="0004282E" w:rsidP="0004282E">
      <w:pPr>
        <w:pStyle w:val="Prrafodelista"/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08CA2B1D" w14:textId="08283EB6" w:rsidR="0062005F" w:rsidRPr="00A31E81" w:rsidRDefault="00FA57DC" w:rsidP="00413F0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Para </w:t>
      </w:r>
      <w:r w:rsidR="00D0182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la definición de </w:t>
      </w:r>
      <w:r w:rsidRPr="00A31E81">
        <w:rPr>
          <w:rFonts w:ascii="Times New Roman" w:hAnsi="Times New Roman" w:cs="Times New Roman"/>
          <w:b/>
          <w:bCs/>
          <w:sz w:val="24"/>
          <w:szCs w:val="24"/>
        </w:rPr>
        <w:t>Planes de Gestión Eficiente de Energía (PGEE)</w:t>
      </w:r>
      <w:r w:rsidRPr="00A31E81">
        <w:rPr>
          <w:rFonts w:ascii="Times New Roman" w:hAnsi="Times New Roman" w:cs="Times New Roman"/>
          <w:sz w:val="24"/>
          <w:szCs w:val="24"/>
        </w:rPr>
        <w:t xml:space="preserve">, se </w:t>
      </w:r>
      <w:r w:rsidR="0077448A" w:rsidRPr="00A31E81">
        <w:rPr>
          <w:rFonts w:ascii="Times New Roman" w:hAnsi="Times New Roman" w:cs="Times New Roman"/>
          <w:sz w:val="24"/>
          <w:szCs w:val="24"/>
        </w:rPr>
        <w:t xml:space="preserve">debería tener una definición más </w:t>
      </w:r>
      <w:r w:rsidR="00D01829" w:rsidRPr="00A31E81">
        <w:rPr>
          <w:rFonts w:ascii="Times New Roman" w:hAnsi="Times New Roman" w:cs="Times New Roman"/>
          <w:sz w:val="24"/>
          <w:szCs w:val="24"/>
        </w:rPr>
        <w:t xml:space="preserve">técnica y </w:t>
      </w:r>
      <w:r w:rsidR="0077448A" w:rsidRPr="00A31E81">
        <w:rPr>
          <w:rFonts w:ascii="Times New Roman" w:hAnsi="Times New Roman" w:cs="Times New Roman"/>
          <w:sz w:val="24"/>
          <w:szCs w:val="24"/>
        </w:rPr>
        <w:t xml:space="preserve">armonizada con </w:t>
      </w:r>
      <w:r w:rsidR="00106EE5" w:rsidRPr="00A31E81">
        <w:rPr>
          <w:rFonts w:ascii="Times New Roman" w:hAnsi="Times New Roman" w:cs="Times New Roman"/>
          <w:sz w:val="24"/>
          <w:szCs w:val="24"/>
        </w:rPr>
        <w:t xml:space="preserve">la </w:t>
      </w:r>
      <w:r w:rsidR="00AE4F91" w:rsidRPr="00A31E81">
        <w:rPr>
          <w:rFonts w:ascii="Times New Roman" w:hAnsi="Times New Roman" w:cs="Times New Roman"/>
          <w:sz w:val="24"/>
          <w:szCs w:val="24"/>
        </w:rPr>
        <w:t>guía de Planes de Gestión Eficiente de la Energía en Entidades Públicas -PGEE EP, publicada por la UPME en 2020, como parte de la gobernanza de los Planes de Gestión Eficiente de Energía, la cual se puede consultar en el siguiente enlace</w:t>
      </w:r>
      <w:r w:rsidR="0062005F" w:rsidRPr="00A31E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282E" w:rsidRPr="00A31E81">
          <w:rPr>
            <w:rStyle w:val="Hipervnculo"/>
            <w:rFonts w:ascii="Times New Roman" w:hAnsi="Times New Roman" w:cs="Times New Roman"/>
            <w:sz w:val="24"/>
            <w:szCs w:val="24"/>
          </w:rPr>
          <w:t>https://www1.upme.gov.co/DemandayEficiencia/Documents/Guia_liviana_PGEE.pdf</w:t>
        </w:r>
      </w:hyperlink>
      <w:r w:rsidR="0062005F" w:rsidRPr="00A31E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6B9C4" w14:textId="2229C039" w:rsidR="0004282E" w:rsidRPr="00A31E81" w:rsidRDefault="0004282E" w:rsidP="0004282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Se sugiere ampliar las definiciones con respecto a "auditoría energética", "gestión energética", "sistemas de gestión de energía (SGE)" y "certificación energética", “certificación LEED”, “certificación BREEAM” y “certificación EDGE”.</w:t>
      </w:r>
    </w:p>
    <w:p w14:paraId="0ABEA808" w14:textId="77777777" w:rsidR="00853886" w:rsidRPr="00A31E81" w:rsidRDefault="00853886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77C1D810" w14:textId="17AA6436" w:rsidR="00793A4D" w:rsidRPr="00A31E81" w:rsidRDefault="00D249CF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Artículo 3. Eficiencia Energética en el Sector Público. </w:t>
      </w:r>
      <w:r w:rsidR="00FA673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presente disposición propone en su inciso número dos:</w:t>
      </w:r>
    </w:p>
    <w:p w14:paraId="0257A984" w14:textId="77777777" w:rsidR="00793A4D" w:rsidRPr="00A31E81" w:rsidRDefault="00793A4D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8BDBAF5" w14:textId="4F6C7F06" w:rsidR="00FA673F" w:rsidRPr="00A31E81" w:rsidRDefault="00FA673F" w:rsidP="00FA673F">
      <w:pPr>
        <w:pStyle w:val="Prrafodelista"/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   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(…)</w:t>
      </w:r>
    </w:p>
    <w:p w14:paraId="6C809A6E" w14:textId="37A51BE8" w:rsidR="00793A4D" w:rsidRPr="00A31E81" w:rsidRDefault="00793A4D" w:rsidP="00793A4D">
      <w:pPr>
        <w:pStyle w:val="Prrafodelista"/>
        <w:numPr>
          <w:ilvl w:val="0"/>
          <w:numId w:val="15"/>
        </w:numPr>
        <w:ind w:right="3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lastRenderedPageBreak/>
        <w:t>El Ministerio de Minas y Energía por medio de la UPME deberá organizar capacitaciones en materia de gestión energética a los funcionarios designados por cada entidad como gestores energéticos.</w:t>
      </w:r>
    </w:p>
    <w:p w14:paraId="7774F4C3" w14:textId="32119D16" w:rsidR="00226847" w:rsidRPr="00A31E81" w:rsidRDefault="00FA673F" w:rsidP="00226847">
      <w:p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Al respecto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sugiere considerar que la gestión 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eficiente de la energía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requiere de personal con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el conocimiento técnico para evaluar y diagnosticar niveles de eficiencia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energética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 potenciales 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 mejora del desempeño energético de las instalaciones,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 partir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un ejercicio de auditoría u otras herramientas</w:t>
      </w:r>
      <w:r w:rsidR="00793A4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Las eventuales capacitaciones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que pueda realizar la UPME podrán coadyuvar a la formación de los gestores energéticos designado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por cada entidad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</w:t>
      </w:r>
      <w:r w:rsidR="0085388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in embargo,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las competencias de los gestores energéticos deberán ser certificadas por una entidad idónea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y, p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ara tal efecto, dichas capacitaciones podrán incluir a personal de la entidad</w:t>
      </w:r>
      <w:r w:rsidR="0077089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para que desde su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operatividad tenga un impacto sobre los planes de gestión eficiente de la energía.</w:t>
      </w:r>
    </w:p>
    <w:p w14:paraId="45969D78" w14:textId="4CBF66AD" w:rsidR="00770895" w:rsidRPr="00A31E81" w:rsidRDefault="00770895" w:rsidP="00226847">
      <w:p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 línea con lo anterior y sobre la misma disposición se propone un inciso tres así:</w:t>
      </w:r>
    </w:p>
    <w:p w14:paraId="27AF11B7" w14:textId="72035E08" w:rsidR="00FA4195" w:rsidRPr="00A31E81" w:rsidRDefault="00226847" w:rsidP="00FA4195">
      <w:pPr>
        <w:pStyle w:val="Prrafodelista"/>
        <w:numPr>
          <w:ilvl w:val="0"/>
          <w:numId w:val="15"/>
        </w:numPr>
        <w:ind w:right="3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Dentro de las auditorías energéticas adelantadas por las entidades, se deberá calcular un ahorro estimado y las metas que se deben cumplir año a </w:t>
      </w:r>
      <w:r w:rsidR="009A2890"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>año, reportarán</w:t>
      </w:r>
      <w:r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a la Unidad de Planeación </w:t>
      </w:r>
      <w:r w:rsidR="00FA4195"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>Minero-Energética</w:t>
      </w:r>
      <w:r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 xml:space="preserve"> el porcentaje de cumplimiento del ahorro proyectado en el año, junto con los resultados de la implementación de las demás medidas de eficiencia energética.</w:t>
      </w:r>
    </w:p>
    <w:p w14:paraId="58A76433" w14:textId="06DC0C90" w:rsidR="002D5508" w:rsidRPr="00A31E81" w:rsidRDefault="00770895" w:rsidP="00B46407">
      <w:p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Al respecto</w:t>
      </w:r>
      <w:r w:rsidR="00FA419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12229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debería incluir de</w:t>
      </w:r>
      <w:r w:rsidR="00D55F5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ntro de los reportes algunos indicadores de </w:t>
      </w:r>
      <w:r w:rsidR="00DC42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desempeño energético</w:t>
      </w:r>
      <w:r w:rsidR="0056797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los cuales están </w:t>
      </w:r>
      <w:r w:rsidR="009A01F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relacionados</w:t>
      </w:r>
      <w:r w:rsidR="00A25BC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A01F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 los objetivos de la entidad pública.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Dichos</w:t>
      </w:r>
      <w:r w:rsidR="009A01F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indicadores servirán para realizar un </w:t>
      </w:r>
      <w:r w:rsidR="008901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seguimiento más detallado y </w:t>
      </w:r>
      <w:r w:rsidR="00DC42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conocer mejor como se </w:t>
      </w:r>
      <w:r w:rsidR="008901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está</w:t>
      </w:r>
      <w:r w:rsidR="00DC42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gestionando la </w:t>
      </w:r>
      <w:r w:rsidR="004823C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energía </w:t>
      </w:r>
      <w:r w:rsidR="008901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al interior</w:t>
      </w:r>
      <w:r w:rsidR="004823C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las entidades públicas.</w:t>
      </w:r>
    </w:p>
    <w:p w14:paraId="0BE33591" w14:textId="10D0AA92" w:rsidR="00B3766C" w:rsidRPr="00A31E81" w:rsidRDefault="006B5DCA" w:rsidP="00B46407">
      <w:pPr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Artículo 4. Seguimiento al Plan de Gestión de Eficiente de Energía (PGEE).</w:t>
      </w:r>
    </w:p>
    <w:p w14:paraId="207A3329" w14:textId="268D6D56" w:rsidR="006B5DCA" w:rsidRPr="00A31E81" w:rsidRDefault="00141FC3" w:rsidP="00B46407">
      <w:pPr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 respecto a este artículo, </w:t>
      </w:r>
      <w:r w:rsidR="0077089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resulta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vital importancia que se </w:t>
      </w:r>
      <w:r w:rsidR="006968C4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defina con mayor claridad</w:t>
      </w:r>
      <w:r w:rsidR="0063373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405A6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cómo saldrán o de donde serán integrados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los</w:t>
      </w:r>
      <w:r w:rsidR="00405A6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nuevos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recursos para garantizar que tanto el </w:t>
      </w:r>
      <w:r w:rsidR="0075351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Ministerio de Minas y Energía</w:t>
      </w:r>
      <w:r w:rsidR="00650DB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(MME)</w:t>
      </w:r>
      <w:r w:rsidR="0075351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como </w:t>
      </w:r>
      <w:r w:rsidR="00650DB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Unidad de Planeación Minero Energética (UPME)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puedan cumplir con las nuevas funciones que se les asigna, no solo en materia recurso humano, sino también </w:t>
      </w:r>
      <w:r w:rsidR="00405A6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en materia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tecnológic</w:t>
      </w:r>
      <w:r w:rsidR="00405A6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.  </w:t>
      </w:r>
    </w:p>
    <w:p w14:paraId="4162E3D5" w14:textId="0890499F" w:rsidR="003D065B" w:rsidRPr="00A31E81" w:rsidRDefault="00D249CF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Artículo 6. </w:t>
      </w:r>
      <w:r w:rsidR="003B31DD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Seguimiento de las metas de eficiencia energética y consumidores con capacidad de gestión energética.</w:t>
      </w:r>
    </w:p>
    <w:p w14:paraId="4EB9078A" w14:textId="77777777" w:rsidR="003B31DD" w:rsidRPr="00A31E81" w:rsidRDefault="003B31DD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54B90890" w14:textId="77777777" w:rsidR="005D7441" w:rsidRPr="00A31E81" w:rsidRDefault="003B31DD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Sobre esta disposición</w:t>
      </w:r>
      <w:r w:rsidR="0065487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ponemos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65487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consideración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el</w:t>
      </w:r>
      <w:r w:rsidR="005D744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siguiente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hecho</w:t>
      </w:r>
      <w:r w:rsidR="005D744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: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ni a XM ni al SUI se reportan condiciones técnicas de consumo, comportamientos o políticas de consumo, valoración de eficiencia energética en procesos internos productivos, industriales, comerciales, </w:t>
      </w:r>
      <w:r w:rsidR="00413F0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etc.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D578E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T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oda vez que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ello no hace parte de la prestación del servicio público de energía eléctrica </w:t>
      </w:r>
      <w:r w:rsidR="002B3B4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y,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por consiguiente, no son objeto de análisis, seguimiento ni reporte. </w:t>
      </w:r>
    </w:p>
    <w:p w14:paraId="2EA15F1B" w14:textId="77777777" w:rsidR="005D7441" w:rsidRPr="00A31E81" w:rsidRDefault="005D7441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14EF7435" w14:textId="56D7947D" w:rsidR="003B31DD" w:rsidRPr="00A31E81" w:rsidRDefault="00D578E1" w:rsidP="00505AB6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Ahora, p</w:t>
      </w:r>
      <w:r w:rsidR="006D01F4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ara realizar un seguimiento integral de las metas de eficiencia energética</w:t>
      </w:r>
      <w:r w:rsidR="005D744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como pretende proponerlo la disposición número seis (6)</w:t>
      </w:r>
      <w:r w:rsidR="006D01F4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se debe considerar </w:t>
      </w:r>
      <w:r w:rsidR="002B3B4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una </w:t>
      </w:r>
      <w:r w:rsidR="00BF26E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amplia</w:t>
      </w:r>
      <w:r w:rsidR="002B3B4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gama de datos</w:t>
      </w:r>
      <w:r w:rsidR="00BF26E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DA613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transversales a la gestión energética de las entidades públicas</w:t>
      </w:r>
      <w:r w:rsidR="009B75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2B3B4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B75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</w:t>
      </w:r>
      <w:r w:rsidR="002B3B4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o que 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implica un estudio </w:t>
      </w:r>
      <w:r w:rsidR="00DA613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específico 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 cada una de las actividades productivas y los procesos implementados para ello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como lo son</w:t>
      </w:r>
      <w:r w:rsidR="00F54EB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: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i)</w:t>
      </w:r>
      <w:r w:rsidR="009B75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valuación de maquinaria y equipos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; ii) c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iclos de uso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; </w:t>
      </w:r>
      <w:r w:rsidR="009B75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iii</w:t>
      </w:r>
      <w:r w:rsidR="00505AB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)a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nálisis de fichas técnicas y de mantenimientos.</w:t>
      </w:r>
      <w:r w:rsidR="009B75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14:paraId="0684F8F0" w14:textId="77777777" w:rsidR="003D065B" w:rsidRPr="00A31E81" w:rsidRDefault="003D065B" w:rsidP="003D065B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7E017876" w14:textId="77777777" w:rsidR="00D60439" w:rsidRPr="00A31E81" w:rsidRDefault="00E46ADD" w:rsidP="00D60439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Artículo 7. </w:t>
      </w:r>
      <w:r w:rsidR="00D60439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Obligaciones de las empresas con capacidad de gestión energética</w:t>
      </w: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.</w:t>
      </w:r>
    </w:p>
    <w:p w14:paraId="0E6A40AC" w14:textId="77777777" w:rsidR="00D60439" w:rsidRPr="00A31E81" w:rsidRDefault="00D60439" w:rsidP="00D60439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7922E7DC" w14:textId="17BA0900" w:rsidR="00FC538B" w:rsidRPr="00A31E81" w:rsidRDefault="0078405D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Al respecto, se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sugiere que 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el cumplimiento de las obligaciones mencionadas en el presente artículo se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efectué</w:t>
      </w:r>
      <w:r w:rsidR="003D065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 través de la certificación de la norma</w:t>
      </w:r>
      <w:r w:rsidR="00B77A3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DF1B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NTC </w:t>
      </w:r>
      <w:r w:rsidR="00B77A3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ISO 50001, 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 Sistemas de Gestión de la Energía SGE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 </w:t>
      </w:r>
      <w:r w:rsidR="00C062E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Dicha certificación, deberá ser entendida como u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n conjunto de elementos que </w:t>
      </w:r>
      <w:r w:rsidR="00C062E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permitirán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establecer una política </w:t>
      </w:r>
      <w:r w:rsidR="004852F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con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objetivos energéticos</w:t>
      </w:r>
      <w:r w:rsidR="00C062E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viables</w:t>
      </w:r>
      <w:r w:rsidR="004852F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4852F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demás de los procesos y procedimientos necesarios para alcanzar esos objetivos basados en el ciclo de mejora continua</w:t>
      </w:r>
      <w:r w:rsidR="00C062E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:</w:t>
      </w:r>
      <w:r w:rsidR="00B0430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Planificar – Hacer – Verificar – Actuar (PHVA).</w:t>
      </w:r>
    </w:p>
    <w:p w14:paraId="2BAC49E4" w14:textId="77777777" w:rsidR="00011EF5" w:rsidRPr="00A31E81" w:rsidRDefault="00011EF5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71D2C63" w14:textId="72246680" w:rsidR="00011EF5" w:rsidRPr="00A31E81" w:rsidRDefault="004852F0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 concordancia, e</w:t>
      </w:r>
      <w:r w:rsidR="00011EF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s importante considerar que para la estructuración de un Sistema de Gestión de la Energía (SGE), el Gestor Energético (GE) </w:t>
      </w:r>
      <w:r w:rsidR="00AD664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y</w:t>
      </w:r>
      <w:r w:rsidR="00DF1B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demás personal</w:t>
      </w:r>
      <w:r w:rsidR="00AD664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79326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transversa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</w:t>
      </w:r>
      <w:r w:rsidR="0079326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dicha estructuración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deberán</w:t>
      </w:r>
      <w:r w:rsidR="00011EF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estar </w:t>
      </w:r>
      <w:r w:rsidR="008738E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capacitad</w:t>
      </w:r>
      <w:r w:rsidR="00DF1BB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o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</w:t>
      </w:r>
      <w:r w:rsidR="008738E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adecuadamente para 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tal fin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 ahí la importancia de definir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 asertividad y claridad 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en el P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royecto de 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ey</w:t>
      </w:r>
      <w:r w:rsidR="00AD01C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C542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los medios y recursos para fomentar </w:t>
      </w:r>
      <w:r w:rsidR="0079326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la implantación de los SGE en las entidades públicas.</w:t>
      </w:r>
    </w:p>
    <w:p w14:paraId="1C779348" w14:textId="5C82197A" w:rsidR="00DE67DA" w:rsidRPr="00A31E81" w:rsidRDefault="00DE67DA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EE9DBB5" w14:textId="250C0695" w:rsidR="000144B8" w:rsidRPr="00A31E81" w:rsidRDefault="004852F0" w:rsidP="00361C13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Por otra parte, en lo que respecta </w:t>
      </w:r>
      <w:r w:rsidR="00DE67D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al </w:t>
      </w:r>
      <w:r w:rsidR="00DE67DA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Parágrafo </w:t>
      </w:r>
      <w:r w:rsidR="003F2000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1</w:t>
      </w:r>
      <w:r w:rsidR="00DE67DA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. </w:t>
      </w:r>
      <w:r w:rsidR="00DE67D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 artículo en revisión</w:t>
      </w:r>
      <w:r w:rsidR="00DE67D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FF3F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se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sugiere</w:t>
      </w:r>
      <w:r w:rsidR="00FF3F5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definir </w:t>
      </w:r>
      <w:r w:rsidR="005A067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cu</w:t>
      </w:r>
      <w:r w:rsidR="00B73CB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á</w:t>
      </w:r>
      <w:r w:rsidR="005A067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ndo</w:t>
      </w:r>
      <w:r w:rsidR="00F467C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 bajo qu</w:t>
      </w:r>
      <w:r w:rsidR="00B73CB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é</w:t>
      </w:r>
      <w:r w:rsidR="00F467C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metodología</w:t>
      </w:r>
      <w:r w:rsidR="005A067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un </w:t>
      </w:r>
      <w:r w:rsidR="005A0677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ECGE</w:t>
      </w:r>
      <w:r w:rsidR="005A067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467C1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sale de esta figura</w:t>
      </w:r>
      <w:r w:rsidR="00B73CB2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207DD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considerando la vigencia del SGE</w:t>
      </w:r>
      <w:r w:rsidR="00005CF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361C1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Bajo esa misma linera, en lo atinente </w:t>
      </w:r>
      <w:r w:rsidR="001B0DF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a </w:t>
      </w:r>
      <w:r w:rsidR="00361C1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la </w:t>
      </w:r>
      <w:r w:rsidR="001B0DF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obligatoriedad de</w:t>
      </w:r>
      <w:r w:rsidR="00463F8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las </w:t>
      </w:r>
      <w:r w:rsidR="00463F8E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ECGE</w:t>
      </w:r>
      <w:r w:rsidR="00361C13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,</w:t>
      </w:r>
      <w:r w:rsidR="00463F8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</w:t>
      </w:r>
      <w:r w:rsidR="00361C1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sugiere definir </w:t>
      </w:r>
      <w:r w:rsidR="000144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un marco para el cumplimiento y la imposición de sanciones para entidades que no cumplan con los requisitos de eficiencia energética y la emisión de gases de efecto invernadero.</w:t>
      </w:r>
    </w:p>
    <w:p w14:paraId="1A15E4E0" w14:textId="77777777" w:rsidR="00CA4ADF" w:rsidRPr="00A31E81" w:rsidRDefault="00CA4ADF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19D77206" w14:textId="6AAF1978" w:rsidR="00CA4ADF" w:rsidRPr="00A31E81" w:rsidRDefault="00B73CB2" w:rsidP="00B73CB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Bajo ese contexto</w:t>
      </w:r>
      <w:r w:rsidR="00005CF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es importante</w:t>
      </w:r>
      <w:r w:rsidR="00F1594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determinar una clarificación de posible lista de exenciones o casos especiales.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 p</w:t>
      </w:r>
      <w:r w:rsidR="00CA4AD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ara el caso de incumplimiento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CA4AD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debe definir la entidad idónea para realizar las debidas sanciones.</w:t>
      </w:r>
    </w:p>
    <w:p w14:paraId="563D0EEF" w14:textId="77777777" w:rsidR="00CA4ADF" w:rsidRPr="00A31E81" w:rsidRDefault="00CA4ADF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5AA8F366" w14:textId="08E926D8" w:rsidR="00005CFD" w:rsidRPr="00A31E81" w:rsidRDefault="0072704A" w:rsidP="00005CFD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Artículo 8. Informes anuales a cargo del Ministerio de Minas y Energía.</w:t>
      </w:r>
    </w:p>
    <w:p w14:paraId="545D6396" w14:textId="77777777" w:rsidR="00004F2D" w:rsidRPr="00A31E81" w:rsidRDefault="00004F2D" w:rsidP="00005CFD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14:paraId="40C85973" w14:textId="4FDC6FA5" w:rsidR="00004F2D" w:rsidRPr="00A31E81" w:rsidRDefault="00004F2D" w:rsidP="00005CFD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 respecto al </w:t>
      </w: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Parágrafo 1.</w:t>
      </w:r>
      <w:r w:rsidR="00977BF7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977BF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 la presente disposición</w:t>
      </w:r>
      <w:r w:rsidR="00C40A5A"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977BF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se sugiere</w:t>
      </w:r>
      <w:r w:rsidR="00C40A5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definir los recursos para garantizar que el Ministerio de Minas y Energía (MME)</w:t>
      </w:r>
      <w:r w:rsidR="0019370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, o quien este determine, pueda crear un Sistema de Información de avances en Eficiencia Energética en </w:t>
      </w:r>
      <w:r w:rsidR="00347BC3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los tiempos</w:t>
      </w:r>
      <w:r w:rsidR="0019370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977BF7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que el legislador considere. </w:t>
      </w:r>
    </w:p>
    <w:p w14:paraId="0F2D5F2D" w14:textId="77777777" w:rsidR="00005CFD" w:rsidRPr="00A31E81" w:rsidRDefault="00005CFD" w:rsidP="00B04302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541F2125" w14:textId="618F8C53" w:rsidR="001144A4" w:rsidRPr="00A31E81" w:rsidRDefault="001804AB" w:rsidP="001804AB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Artículo 9. Promoción de las certificaciones sostenibles en el entorno construido.</w:t>
      </w:r>
    </w:p>
    <w:p w14:paraId="0E9E5B27" w14:textId="77777777" w:rsidR="00DF1BB5" w:rsidRPr="00A31E81" w:rsidRDefault="00DF1BB5" w:rsidP="00D60439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790A97E2" w14:textId="24F34484" w:rsidR="00512ACF" w:rsidRPr="00A31E81" w:rsidRDefault="00FD316B" w:rsidP="00512A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lastRenderedPageBreak/>
        <w:t>Frente a la presente disposición, consideramos s</w:t>
      </w:r>
      <w:r w:rsidR="00512AC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 deberían generar Incentivos para la adopción de certificaciones internacionales de sostenibilidad como LEED</w:t>
      </w:r>
      <w:r w:rsidRPr="00A31E81">
        <w:rPr>
          <w:rStyle w:val="Refdenotaalpie"/>
          <w:rFonts w:ascii="Times New Roman" w:hAnsi="Times New Roman" w:cs="Times New Roman"/>
          <w:color w:val="000000"/>
          <w:sz w:val="24"/>
          <w:szCs w:val="24"/>
          <w:lang w:eastAsia="es-ES"/>
        </w:rPr>
        <w:footnoteReference w:id="1"/>
      </w:r>
      <w:r w:rsidR="00512AC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BREEAM</w:t>
      </w:r>
      <w:r w:rsidRPr="00A31E81">
        <w:rPr>
          <w:rStyle w:val="Refdenotaalpie"/>
          <w:rFonts w:ascii="Times New Roman" w:hAnsi="Times New Roman" w:cs="Times New Roman"/>
          <w:color w:val="000000"/>
          <w:sz w:val="24"/>
          <w:szCs w:val="24"/>
          <w:lang w:eastAsia="es-ES"/>
        </w:rPr>
        <w:footnoteReference w:id="2"/>
      </w:r>
      <w:r w:rsidR="00512AC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o EDGE</w:t>
      </w:r>
      <w:r w:rsidRPr="00A31E81">
        <w:rPr>
          <w:rStyle w:val="Refdenotaalpie"/>
          <w:rFonts w:ascii="Times New Roman" w:hAnsi="Times New Roman" w:cs="Times New Roman"/>
          <w:color w:val="000000"/>
          <w:sz w:val="24"/>
          <w:szCs w:val="24"/>
          <w:lang w:eastAsia="es-ES"/>
        </w:rPr>
        <w:footnoteReference w:id="3"/>
      </w:r>
      <w:r w:rsidR="00512AC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en nuevos desarrollos y renovaciones de edificios públicos.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 su vez, s</w:t>
      </w:r>
      <w:r w:rsidR="00512ACF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 recomienda la Integración de criterios de eficiencia energética en los códigos de construcción nacionales y locales, alineados con estándares internacionales.</w:t>
      </w:r>
    </w:p>
    <w:p w14:paraId="78F1AA28" w14:textId="77777777" w:rsidR="00DF1BB5" w:rsidRPr="00A31E81" w:rsidRDefault="00DF1BB5" w:rsidP="00D60439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4797A0D1" w14:textId="404E9CC7" w:rsidR="00463F8E" w:rsidRPr="00A31E81" w:rsidRDefault="00E93610" w:rsidP="00463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Por otro lado, d</w:t>
      </w:r>
      <w:r w:rsidR="00C03C9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 acuerdo con las metas de transición energética justa, las cuales son coherentes con el uso racional y eficiente de la energía, es pertinente la promoción FNCER en las instalaciones de las entidades públicas.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Sin embargo</w:t>
      </w:r>
      <w:r w:rsidR="00463F8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es de vital importancia hacer énfasis en los incentivos para acciones o medidas de gestión eficiente de la energía que se contemplan en el PAI-PROURE 2022-2030.</w:t>
      </w:r>
    </w:p>
    <w:p w14:paraId="0E08D655" w14:textId="77777777" w:rsidR="00FD316B" w:rsidRPr="00A31E81" w:rsidRDefault="00FD316B" w:rsidP="00D60439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10D7957B" w14:textId="77777777" w:rsidR="002D0437" w:rsidRPr="00A31E81" w:rsidRDefault="002D0437" w:rsidP="002D0437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Artículo 11. Tratamiento de los datos e información sobre consumo de</w:t>
      </w:r>
    </w:p>
    <w:p w14:paraId="5F7E1CB7" w14:textId="398E396B" w:rsidR="00A15CDC" w:rsidRPr="00A31E81" w:rsidRDefault="002D0437" w:rsidP="002D0437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energía suministrados.</w:t>
      </w:r>
    </w:p>
    <w:p w14:paraId="12DBCEEE" w14:textId="77777777" w:rsidR="00307CA9" w:rsidRPr="00A31E81" w:rsidRDefault="00307CA9" w:rsidP="002D04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8D776FE" w14:textId="3CAF623C" w:rsidR="009C0AF5" w:rsidRPr="00A31E81" w:rsidRDefault="009C0AF5" w:rsidP="009C0A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Considerando la estructura informática para la gestión energética, la cual contiene datos de importancia para la ciudadanía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. Sugerimos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habilitar acceso 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úblico a la Información con el fin de publicar los planes de eficiencia energética, resultados de auditorías energéticas y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reportes de progreso en portales web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Aunado a lo anterior, cabe aclarar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EA6544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los datos suministrados por las </w:t>
      </w:r>
      <w:r w:rsidRPr="00A31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es-ES"/>
        </w:rPr>
        <w:t>ECGE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A6544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pueden ser </w:t>
      </w:r>
      <w:r w:rsidR="00FF17F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catalogados como información sensible, 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dado</w:t>
      </w:r>
      <w:r w:rsidR="00FF17F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que refleja parte de los costos operativos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  <w:r w:rsidR="00FF17F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Por lo tanto,</w:t>
      </w:r>
      <w:r w:rsidR="00FF17F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se debería definir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en este proyecto de ley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una regulación 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el tratamiento de datos relacionados con el consumo energético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en aras de evitar posibles alteraciones 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o 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afectaciones 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fundamentales </w:t>
      </w:r>
      <w:r w:rsidR="00E93610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de tipo legal</w:t>
      </w:r>
      <w:r w:rsidR="00F64BA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7B8156E2" w14:textId="77777777" w:rsidR="002D0437" w:rsidRPr="00A31E81" w:rsidRDefault="002D0437" w:rsidP="00121B16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1B71A" w14:textId="6D658522" w:rsidR="00121B16" w:rsidRPr="00A31E81" w:rsidRDefault="00121B16" w:rsidP="00A31E81">
      <w:pPr>
        <w:pStyle w:val="Prrafodelista"/>
        <w:numPr>
          <w:ilvl w:val="0"/>
          <w:numId w:val="25"/>
        </w:num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Conclusiones</w:t>
      </w:r>
    </w:p>
    <w:p w14:paraId="6FFA3F74" w14:textId="38181C3D" w:rsidR="00121B16" w:rsidRPr="00A31E81" w:rsidRDefault="00121B16" w:rsidP="00121B16">
      <w:pPr>
        <w:spacing w:after="0" w:line="240" w:lineRule="auto"/>
        <w:ind w:right="30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E612B44" w14:textId="66B548FE" w:rsidR="00121B16" w:rsidRPr="00A31E81" w:rsidRDefault="00121B16" w:rsidP="003B31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Reconocemos la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importancia de la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iniciativa legislativa contenida en el Proyecto de</w:t>
      </w:r>
      <w:r w:rsidR="00FF5D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Le</w:t>
      </w:r>
      <w:r w:rsidR="00EB60AA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y</w:t>
      </w:r>
      <w:r w:rsidR="00FF5D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No.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425 de 2023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Cámara 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– 195 de 2022 Senado 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“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por la cual se </w:t>
      </w:r>
      <w:r w:rsidR="003B31DD" w:rsidRPr="00A31E81">
        <w:rPr>
          <w:rFonts w:ascii="Times New Roman" w:hAnsi="Times New Roman" w:cs="Times New Roman"/>
          <w:i/>
          <w:iCs/>
          <w:color w:val="000000"/>
          <w:sz w:val="24"/>
          <w:szCs w:val="24"/>
          <w:lang w:eastAsia="es-ES"/>
        </w:rPr>
        <w:t>adoptan medidas para promover el uso racional y eficiente de energía, establecer los lineamientos para los planes de eficiencia energética de las entidades públicas, incentivar construcciones sostenibles y dictar otras disposiciones</w:t>
      </w: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” y, por los comentarios anteriormente expresados, el Ministerio de Minas y Energía </w:t>
      </w:r>
      <w:r w:rsidR="00FF5D6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solicita respetuosamente se tenga 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en cuenta 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dentro de la 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discusió</w:t>
      </w:r>
      <w:r w:rsidR="003B31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 antes de la aprobación definitiva de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la </w:t>
      </w:r>
      <w:r w:rsidR="00C80CB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iniciativa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44944092" w14:textId="77777777" w:rsidR="003B31DD" w:rsidRPr="00A31E81" w:rsidRDefault="003B31DD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5D58E4F6" w14:textId="36EC8F55" w:rsidR="00121B16" w:rsidRPr="00A31E81" w:rsidRDefault="00634FB5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Aunado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a lo anterior, desde est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e 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ministe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rio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se considera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de gran importancia el análisis de la iniciativa legislativa</w:t>
      </w:r>
      <w:r w:rsidR="00C80CB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construya de 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la mano </w:t>
      </w:r>
      <w:r w:rsidR="00C80CB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con el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Ministerio de Ambiente y Desarrollo Sostenible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</w:t>
      </w:r>
      <w:r w:rsidR="00E46ADD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el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Ministerio de Hacienda y Crédito Público</w:t>
      </w:r>
      <w:r w:rsidR="00C80CBB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, los conceptos técnicos y jurídicos que fortalezcan este proyecto de Ley.</w:t>
      </w:r>
    </w:p>
    <w:p w14:paraId="68D9FF8C" w14:textId="77777777" w:rsidR="00E555F7" w:rsidRPr="00A31E81" w:rsidRDefault="00E555F7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0740BB8C" w14:textId="47728BB6" w:rsidR="00E555F7" w:rsidRPr="00A31E81" w:rsidRDefault="00E555F7" w:rsidP="00121B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lastRenderedPageBreak/>
        <w:t xml:space="preserve">Por otra parte, es de vital importancia el que se defina en este proyecto de Ley los recursos </w:t>
      </w:r>
      <w:r w:rsidR="004C241E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para garantizar que tanto el MME como la UPME, puedan cumplir con las nuevas funciones que se les asigna, no solo en materia recurso humano, sino también, tecnológico.  </w:t>
      </w:r>
    </w:p>
    <w:p w14:paraId="0D49E3D1" w14:textId="77777777" w:rsidR="00092990" w:rsidRPr="00A31E81" w:rsidRDefault="00092990" w:rsidP="004C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203EC164" w14:textId="05DE3752" w:rsidR="0004282E" w:rsidRPr="00A31E81" w:rsidRDefault="00E12E88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  <w:r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F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inalmente, esperamos sean tenidas en cuenta las observaciones técnicas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planteadas en este documento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 así mism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se involucren a los sectores de la eco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no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m</w:t>
      </w:r>
      <w:r w:rsidR="00386CB8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í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a que pueden estar directamente interesados en la iniciativa, reiteramos la disponibilidad de este Ministerio para reunirnos con los</w:t>
      </w:r>
      <w:r w:rsidR="00B444F5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y las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 xml:space="preserve"> Honorables Congresistas y explicar lo </w:t>
      </w:r>
      <w:r w:rsidR="00AD1CE9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planteado</w:t>
      </w:r>
      <w:r w:rsidR="00121B16" w:rsidRPr="00A31E81">
        <w:rPr>
          <w:rFonts w:ascii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33BC0E41" w14:textId="77777777" w:rsidR="009A07F9" w:rsidRDefault="009A07F9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55279C94" w14:textId="77777777" w:rsidR="00A31E81" w:rsidRDefault="00A31E81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6C4B9417" w14:textId="77777777" w:rsidR="00A31E81" w:rsidRDefault="00A31E81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ES"/>
        </w:rPr>
      </w:pPr>
    </w:p>
    <w:p w14:paraId="210A590B" w14:textId="77777777" w:rsidR="00A31E81" w:rsidRPr="00F67238" w:rsidRDefault="00A31E81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s-ES"/>
        </w:rPr>
      </w:pPr>
    </w:p>
    <w:p w14:paraId="4C93663E" w14:textId="21140D1F" w:rsidR="00A94F89" w:rsidRPr="00F67238" w:rsidRDefault="00A31E81" w:rsidP="0038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es-ES"/>
        </w:rPr>
      </w:pPr>
      <w:r w:rsidRPr="00F67238">
        <w:rPr>
          <w:rFonts w:ascii="Times New Roman" w:hAnsi="Times New Roman" w:cs="Times New Roman"/>
          <w:color w:val="000000"/>
          <w:sz w:val="20"/>
          <w:szCs w:val="20"/>
          <w:lang w:eastAsia="es-ES"/>
        </w:rPr>
        <w:t>Grupo Asuntos Legislativos MME</w:t>
      </w:r>
    </w:p>
    <w:sectPr w:rsidR="00A94F89" w:rsidRPr="00F67238">
      <w:headerReference w:type="default" r:id="rId9"/>
      <w:footerReference w:type="even" r:id="rId10"/>
      <w:footerReference w:type="default" r:id="rId11"/>
      <w:pgSz w:w="12240" w:h="15840"/>
      <w:pgMar w:top="1991" w:right="1418" w:bottom="1588" w:left="1418" w:header="573" w:footer="1531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DDC" w14:textId="77777777" w:rsidR="000660B5" w:rsidRDefault="000660B5">
      <w:pPr>
        <w:spacing w:after="0" w:line="240" w:lineRule="auto"/>
      </w:pPr>
      <w:r>
        <w:separator/>
      </w:r>
    </w:p>
  </w:endnote>
  <w:endnote w:type="continuationSeparator" w:id="0">
    <w:p w14:paraId="09B29633" w14:textId="77777777" w:rsidR="000660B5" w:rsidRDefault="0006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Bitstream Vera Sans">
    <w:charset w:val="00"/>
    <w:family w:val="roman"/>
    <w:notTrueType/>
    <w:pitch w:val="default"/>
  </w:font>
  <w:font w:name="FreeSans">
    <w:altName w:val="Cambria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7471209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7B274E3" w14:textId="070519D0" w:rsidR="00B46407" w:rsidRDefault="00B46407" w:rsidP="00606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987541C" w14:textId="77777777" w:rsidR="00B46407" w:rsidRDefault="00B46407" w:rsidP="00B46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935403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DCDFA7" w14:textId="131CB1E2" w:rsidR="00B46407" w:rsidRDefault="00B46407" w:rsidP="00606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83B85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49825EFB" w14:textId="02C74B51" w:rsidR="00DE1913" w:rsidRDefault="005646C4" w:rsidP="00B46407">
    <w:pPr>
      <w:pStyle w:val="Piedepgina"/>
      <w:ind w:right="360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2A11AEC" wp14:editId="0B665D61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4678680" cy="754380"/>
          <wp:effectExtent l="0" t="0" r="0" b="762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73">
      <w:rPr>
        <w:noProof/>
        <w:lang w:val="en-US"/>
      </w:rPr>
      <w:drawing>
        <wp:anchor distT="0" distB="0" distL="0" distR="0" simplePos="0" relativeHeight="2" behindDoc="1" locked="0" layoutInCell="0" allowOverlap="1" wp14:anchorId="4DACDF0C" wp14:editId="78656771">
          <wp:simplePos x="0" y="0"/>
          <wp:positionH relativeFrom="page">
            <wp:posOffset>6362700</wp:posOffset>
          </wp:positionH>
          <wp:positionV relativeFrom="paragraph">
            <wp:posOffset>213360</wp:posOffset>
          </wp:positionV>
          <wp:extent cx="1397000" cy="93472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81979"/>
                  <a:stretch/>
                </pic:blipFill>
                <pic:spPr bwMode="auto">
                  <a:xfrm>
                    <a:off x="0" y="0"/>
                    <a:ext cx="139700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AD84" w14:textId="77777777" w:rsidR="000660B5" w:rsidRDefault="000660B5">
      <w:pPr>
        <w:spacing w:after="0" w:line="240" w:lineRule="auto"/>
      </w:pPr>
      <w:r>
        <w:separator/>
      </w:r>
    </w:p>
  </w:footnote>
  <w:footnote w:type="continuationSeparator" w:id="0">
    <w:p w14:paraId="69231844" w14:textId="77777777" w:rsidR="000660B5" w:rsidRDefault="000660B5">
      <w:pPr>
        <w:spacing w:after="0" w:line="240" w:lineRule="auto"/>
      </w:pPr>
      <w:r>
        <w:continuationSeparator/>
      </w:r>
    </w:p>
  </w:footnote>
  <w:footnote w:id="1">
    <w:p w14:paraId="7A02B5DC" w14:textId="5AC93098" w:rsidR="00FD316B" w:rsidRPr="00A31E81" w:rsidRDefault="00FD316B">
      <w:pPr>
        <w:pStyle w:val="Textonotapie"/>
        <w:rPr>
          <w:rFonts w:ascii="Times" w:hAnsi="Times"/>
          <w:lang w:val="es-ES"/>
        </w:rPr>
      </w:pPr>
      <w:r w:rsidRPr="00A31E81">
        <w:rPr>
          <w:rStyle w:val="Refdenotaalpie"/>
          <w:rFonts w:ascii="Times" w:hAnsi="Times"/>
        </w:rPr>
        <w:footnoteRef/>
      </w:r>
      <w:r w:rsidRPr="00A31E81">
        <w:rPr>
          <w:rFonts w:ascii="Times" w:hAnsi="Times"/>
        </w:rPr>
        <w:t xml:space="preserve"> </w:t>
      </w:r>
      <w:r w:rsidRPr="00A31E81">
        <w:rPr>
          <w:rFonts w:ascii="Times" w:hAnsi="Times" w:cs="Times New Roman"/>
          <w:color w:val="000000"/>
          <w:lang w:eastAsia="es-ES"/>
        </w:rPr>
        <w:t>Sistema de certificación de edificios sostenibles.</w:t>
      </w:r>
    </w:p>
  </w:footnote>
  <w:footnote w:id="2">
    <w:p w14:paraId="21F6ECA9" w14:textId="0A1347DB" w:rsidR="00FD316B" w:rsidRPr="00A31E81" w:rsidRDefault="00FD316B">
      <w:pPr>
        <w:pStyle w:val="Textonotapie"/>
        <w:rPr>
          <w:rFonts w:ascii="Times" w:hAnsi="Times"/>
          <w:lang w:val="es-ES"/>
        </w:rPr>
      </w:pPr>
      <w:r w:rsidRPr="00A31E81">
        <w:rPr>
          <w:rStyle w:val="Refdenotaalpie"/>
          <w:rFonts w:ascii="Times" w:hAnsi="Times"/>
        </w:rPr>
        <w:footnoteRef/>
      </w:r>
      <w:r w:rsidRPr="00A31E81">
        <w:rPr>
          <w:rFonts w:ascii="Times" w:hAnsi="Times"/>
        </w:rPr>
        <w:t xml:space="preserve"> </w:t>
      </w:r>
      <w:r w:rsidRPr="00A31E81">
        <w:rPr>
          <w:rFonts w:ascii="Times" w:hAnsi="Times" w:cs="Times New Roman"/>
          <w:color w:val="000000"/>
          <w:lang w:eastAsia="es-ES"/>
        </w:rPr>
        <w:t>Construcción Sostenible</w:t>
      </w:r>
    </w:p>
  </w:footnote>
  <w:footnote w:id="3">
    <w:p w14:paraId="2D02D8F3" w14:textId="0A7A23C8" w:rsidR="00FD316B" w:rsidRPr="00FD316B" w:rsidRDefault="00FD316B">
      <w:pPr>
        <w:pStyle w:val="Textonotapie"/>
        <w:rPr>
          <w:lang w:val="en-US"/>
        </w:rPr>
      </w:pPr>
      <w:r w:rsidRPr="00A31E81">
        <w:rPr>
          <w:rStyle w:val="Refdenotaalpie"/>
          <w:rFonts w:ascii="Times" w:hAnsi="Times"/>
        </w:rPr>
        <w:footnoteRef/>
      </w:r>
      <w:r w:rsidRPr="00A31E81">
        <w:rPr>
          <w:rFonts w:ascii="Times" w:hAnsi="Times"/>
          <w:lang w:val="en-US"/>
        </w:rPr>
        <w:t xml:space="preserve"> </w:t>
      </w:r>
      <w:r w:rsidRPr="00A31E81">
        <w:rPr>
          <w:rFonts w:ascii="Times" w:hAnsi="Times" w:cs="Times New Roman"/>
          <w:color w:val="000000"/>
          <w:lang w:eastAsia="es-ES"/>
        </w:rPr>
        <w:t>Excellence in Design for Greater Efficiencies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614062"/>
      <w:docPartObj>
        <w:docPartGallery w:val="Page Numbers (Top of Page)"/>
        <w:docPartUnique/>
      </w:docPartObj>
    </w:sdtPr>
    <w:sdtEndPr/>
    <w:sdtContent>
      <w:p w14:paraId="4A7D4DE7" w14:textId="4BFDFAFE" w:rsidR="00892C0E" w:rsidRDefault="00892C0E">
        <w:pPr>
          <w:pStyle w:val="Encabezado"/>
          <w:jc w:val="right"/>
          <w:rPr>
            <w:noProof/>
          </w:rPr>
        </w:pPr>
        <w:r w:rsidRPr="00892C0E">
          <w:rPr>
            <w:noProof/>
            <w:lang w:val="en-US"/>
          </w:rPr>
          <w:drawing>
            <wp:anchor distT="0" distB="0" distL="114300" distR="114300" simplePos="0" relativeHeight="251664384" behindDoc="0" locked="0" layoutInCell="1" allowOverlap="1" wp14:anchorId="3CB8430B" wp14:editId="31E137AA">
              <wp:simplePos x="0" y="0"/>
              <wp:positionH relativeFrom="margin">
                <wp:posOffset>-507076</wp:posOffset>
              </wp:positionH>
              <wp:positionV relativeFrom="paragraph">
                <wp:posOffset>190673</wp:posOffset>
              </wp:positionV>
              <wp:extent cx="2386330" cy="701040"/>
              <wp:effectExtent l="0" t="0" r="0" b="0"/>
              <wp:wrapSquare wrapText="bothSides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633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62CB07" w14:textId="6992D12A" w:rsidR="00892C0E" w:rsidRDefault="00892C0E">
        <w:pPr>
          <w:pStyle w:val="Encabezado"/>
          <w:jc w:val="right"/>
          <w:rPr>
            <w:noProof/>
          </w:rPr>
        </w:pPr>
        <w:r w:rsidRPr="00892C0E"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1FEE9544" wp14:editId="2B651B6F">
              <wp:simplePos x="0" y="0"/>
              <wp:positionH relativeFrom="margin">
                <wp:posOffset>4624359</wp:posOffset>
              </wp:positionH>
              <wp:positionV relativeFrom="paragraph">
                <wp:posOffset>127808</wp:posOffset>
              </wp:positionV>
              <wp:extent cx="1634490" cy="480060"/>
              <wp:effectExtent l="0" t="0" r="0" b="0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9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766BE6" w14:textId="77777777" w:rsidR="00892C0E" w:rsidRDefault="00892C0E">
        <w:pPr>
          <w:pStyle w:val="Encabezado"/>
          <w:jc w:val="right"/>
          <w:rPr>
            <w:noProof/>
          </w:rPr>
        </w:pPr>
      </w:p>
      <w:p w14:paraId="10EE52E8" w14:textId="77777777" w:rsidR="00892C0E" w:rsidRDefault="00892C0E">
        <w:pPr>
          <w:pStyle w:val="Encabezado"/>
          <w:jc w:val="right"/>
          <w:rPr>
            <w:noProof/>
          </w:rPr>
        </w:pPr>
      </w:p>
      <w:p w14:paraId="64ACE5FF" w14:textId="78297ACF" w:rsidR="00892C0E" w:rsidRDefault="00D81703">
        <w:pPr>
          <w:pStyle w:val="Encabezado"/>
          <w:jc w:val="right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470"/>
    <w:multiLevelType w:val="hybridMultilevel"/>
    <w:tmpl w:val="A1024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0B0"/>
    <w:multiLevelType w:val="hybridMultilevel"/>
    <w:tmpl w:val="4AE497E4"/>
    <w:lvl w:ilvl="0" w:tplc="2DAEDE78">
      <w:start w:val="3"/>
      <w:numFmt w:val="bullet"/>
      <w:lvlText w:val="-"/>
      <w:lvlJc w:val="left"/>
      <w:pPr>
        <w:ind w:left="720" w:hanging="360"/>
      </w:pPr>
      <w:rPr>
        <w:rFonts w:ascii="Work Sans" w:eastAsiaTheme="minorEastAsia" w:hAnsi="Work Sans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7E56"/>
    <w:multiLevelType w:val="hybridMultilevel"/>
    <w:tmpl w:val="FF34FCA8"/>
    <w:lvl w:ilvl="0" w:tplc="1E54F1D4">
      <w:start w:val="3"/>
      <w:numFmt w:val="bullet"/>
      <w:lvlText w:val="-"/>
      <w:lvlJc w:val="left"/>
      <w:pPr>
        <w:ind w:left="1080" w:hanging="360"/>
      </w:pPr>
      <w:rPr>
        <w:rFonts w:ascii="Work Sans" w:eastAsiaTheme="minorEastAsia" w:hAnsi="Work San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059BA"/>
    <w:multiLevelType w:val="multilevel"/>
    <w:tmpl w:val="B03C6C0C"/>
    <w:lvl w:ilvl="0">
      <w:start w:val="1"/>
      <w:numFmt w:val="decimal"/>
      <w:lvlText w:val="%1."/>
      <w:lvlJc w:val="left"/>
      <w:pPr>
        <w:ind w:left="1135" w:hanging="360"/>
      </w:pPr>
      <w:rPr>
        <w:rFonts w:eastAsia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135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95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95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55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5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15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75" w:hanging="1800"/>
      </w:pPr>
      <w:rPr>
        <w:rFonts w:eastAsia="Times New Roman" w:hint="default"/>
        <w:b/>
      </w:rPr>
    </w:lvl>
  </w:abstractNum>
  <w:abstractNum w:abstractNumId="4" w15:restartNumberingAfterBreak="0">
    <w:nsid w:val="2AE37CA3"/>
    <w:multiLevelType w:val="hybridMultilevel"/>
    <w:tmpl w:val="9966865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9BA"/>
    <w:multiLevelType w:val="hybridMultilevel"/>
    <w:tmpl w:val="7A4AE148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907644"/>
    <w:multiLevelType w:val="hybridMultilevel"/>
    <w:tmpl w:val="CC22E8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4EA1"/>
    <w:multiLevelType w:val="hybridMultilevel"/>
    <w:tmpl w:val="ED7EC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3C3D"/>
    <w:multiLevelType w:val="hybridMultilevel"/>
    <w:tmpl w:val="0C021562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8FC6A75"/>
    <w:multiLevelType w:val="hybridMultilevel"/>
    <w:tmpl w:val="76BA18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35E3"/>
    <w:multiLevelType w:val="hybridMultilevel"/>
    <w:tmpl w:val="F6DE37D8"/>
    <w:lvl w:ilvl="0" w:tplc="240A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3E092CF1"/>
    <w:multiLevelType w:val="hybridMultilevel"/>
    <w:tmpl w:val="7A4AE148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8373FE"/>
    <w:multiLevelType w:val="hybridMultilevel"/>
    <w:tmpl w:val="3D9C06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6746"/>
    <w:multiLevelType w:val="hybridMultilevel"/>
    <w:tmpl w:val="5636A74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D3B"/>
    <w:multiLevelType w:val="hybridMultilevel"/>
    <w:tmpl w:val="A238E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36F09"/>
    <w:multiLevelType w:val="hybridMultilevel"/>
    <w:tmpl w:val="83EEE816"/>
    <w:lvl w:ilvl="0" w:tplc="1ED099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4935"/>
    <w:multiLevelType w:val="hybridMultilevel"/>
    <w:tmpl w:val="752C95A6"/>
    <w:lvl w:ilvl="0" w:tplc="240A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7823E7A"/>
    <w:multiLevelType w:val="hybridMultilevel"/>
    <w:tmpl w:val="C6FE919A"/>
    <w:lvl w:ilvl="0" w:tplc="240A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BA3158E"/>
    <w:multiLevelType w:val="hybridMultilevel"/>
    <w:tmpl w:val="7A4AE148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932AE"/>
    <w:multiLevelType w:val="hybridMultilevel"/>
    <w:tmpl w:val="CFFCA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A599A"/>
    <w:multiLevelType w:val="hybridMultilevel"/>
    <w:tmpl w:val="7A4AE148"/>
    <w:lvl w:ilvl="0" w:tplc="073852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636EF4"/>
    <w:multiLevelType w:val="hybridMultilevel"/>
    <w:tmpl w:val="3884A9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4A51"/>
    <w:multiLevelType w:val="hybridMultilevel"/>
    <w:tmpl w:val="936AE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40219"/>
    <w:multiLevelType w:val="hybridMultilevel"/>
    <w:tmpl w:val="F29A91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31C55"/>
    <w:multiLevelType w:val="hybridMultilevel"/>
    <w:tmpl w:val="3B6C2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6563">
    <w:abstractNumId w:val="0"/>
  </w:num>
  <w:num w:numId="2" w16cid:durableId="345988928">
    <w:abstractNumId w:val="8"/>
  </w:num>
  <w:num w:numId="3" w16cid:durableId="1313219549">
    <w:abstractNumId w:val="7"/>
  </w:num>
  <w:num w:numId="4" w16cid:durableId="210002453">
    <w:abstractNumId w:val="4"/>
  </w:num>
  <w:num w:numId="5" w16cid:durableId="157842530">
    <w:abstractNumId w:val="9"/>
  </w:num>
  <w:num w:numId="6" w16cid:durableId="556430739">
    <w:abstractNumId w:val="14"/>
  </w:num>
  <w:num w:numId="7" w16cid:durableId="980573763">
    <w:abstractNumId w:val="15"/>
  </w:num>
  <w:num w:numId="8" w16cid:durableId="1097019232">
    <w:abstractNumId w:val="12"/>
  </w:num>
  <w:num w:numId="9" w16cid:durableId="562524117">
    <w:abstractNumId w:val="6"/>
  </w:num>
  <w:num w:numId="10" w16cid:durableId="2144030856">
    <w:abstractNumId w:val="13"/>
  </w:num>
  <w:num w:numId="11" w16cid:durableId="154107297">
    <w:abstractNumId w:val="24"/>
  </w:num>
  <w:num w:numId="12" w16cid:durableId="1328552141">
    <w:abstractNumId w:val="22"/>
  </w:num>
  <w:num w:numId="13" w16cid:durableId="2030912137">
    <w:abstractNumId w:val="1"/>
  </w:num>
  <w:num w:numId="14" w16cid:durableId="1302661879">
    <w:abstractNumId w:val="2"/>
  </w:num>
  <w:num w:numId="15" w16cid:durableId="687679129">
    <w:abstractNumId w:val="20"/>
  </w:num>
  <w:num w:numId="16" w16cid:durableId="1932203735">
    <w:abstractNumId w:val="23"/>
  </w:num>
  <w:num w:numId="17" w16cid:durableId="1000933897">
    <w:abstractNumId w:val="5"/>
  </w:num>
  <w:num w:numId="18" w16cid:durableId="1228298675">
    <w:abstractNumId w:val="11"/>
  </w:num>
  <w:num w:numId="19" w16cid:durableId="595136824">
    <w:abstractNumId w:val="18"/>
  </w:num>
  <w:num w:numId="20" w16cid:durableId="15888197">
    <w:abstractNumId w:val="10"/>
  </w:num>
  <w:num w:numId="21" w16cid:durableId="544685799">
    <w:abstractNumId w:val="17"/>
  </w:num>
  <w:num w:numId="22" w16cid:durableId="1429425931">
    <w:abstractNumId w:val="21"/>
  </w:num>
  <w:num w:numId="23" w16cid:durableId="1266115778">
    <w:abstractNumId w:val="16"/>
  </w:num>
  <w:num w:numId="24" w16cid:durableId="341667346">
    <w:abstractNumId w:val="19"/>
  </w:num>
  <w:num w:numId="25" w16cid:durableId="4033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13"/>
    <w:rsid w:val="00000C43"/>
    <w:rsid w:val="0000351E"/>
    <w:rsid w:val="00004F2D"/>
    <w:rsid w:val="0000550F"/>
    <w:rsid w:val="00005CFD"/>
    <w:rsid w:val="0000682D"/>
    <w:rsid w:val="00011EF5"/>
    <w:rsid w:val="00012CF1"/>
    <w:rsid w:val="000144B8"/>
    <w:rsid w:val="00032ACA"/>
    <w:rsid w:val="00037911"/>
    <w:rsid w:val="0004282E"/>
    <w:rsid w:val="00056EB0"/>
    <w:rsid w:val="000660B5"/>
    <w:rsid w:val="000751AD"/>
    <w:rsid w:val="00092990"/>
    <w:rsid w:val="000A66C6"/>
    <w:rsid w:val="000C1683"/>
    <w:rsid w:val="000C651F"/>
    <w:rsid w:val="000E3042"/>
    <w:rsid w:val="00106EE5"/>
    <w:rsid w:val="001144A4"/>
    <w:rsid w:val="0011534F"/>
    <w:rsid w:val="00121B16"/>
    <w:rsid w:val="00122291"/>
    <w:rsid w:val="00141FC3"/>
    <w:rsid w:val="001710A4"/>
    <w:rsid w:val="001804AB"/>
    <w:rsid w:val="0018381A"/>
    <w:rsid w:val="00192B23"/>
    <w:rsid w:val="00193706"/>
    <w:rsid w:val="00197CF4"/>
    <w:rsid w:val="001B0DFE"/>
    <w:rsid w:val="001D3E4F"/>
    <w:rsid w:val="001E74D4"/>
    <w:rsid w:val="001F7327"/>
    <w:rsid w:val="00201425"/>
    <w:rsid w:val="00207DDE"/>
    <w:rsid w:val="00212C78"/>
    <w:rsid w:val="00226847"/>
    <w:rsid w:val="00270FFB"/>
    <w:rsid w:val="00271BB9"/>
    <w:rsid w:val="002A495F"/>
    <w:rsid w:val="002B3B4B"/>
    <w:rsid w:val="002B6D0A"/>
    <w:rsid w:val="002B7773"/>
    <w:rsid w:val="002B7F6B"/>
    <w:rsid w:val="002C4F1F"/>
    <w:rsid w:val="002D0437"/>
    <w:rsid w:val="002D257A"/>
    <w:rsid w:val="002D5508"/>
    <w:rsid w:val="002E57C8"/>
    <w:rsid w:val="00300C86"/>
    <w:rsid w:val="00307CA9"/>
    <w:rsid w:val="00324931"/>
    <w:rsid w:val="00347BC3"/>
    <w:rsid w:val="00356B6E"/>
    <w:rsid w:val="00361C13"/>
    <w:rsid w:val="00376B65"/>
    <w:rsid w:val="00386CB8"/>
    <w:rsid w:val="003A3C6B"/>
    <w:rsid w:val="003B2B73"/>
    <w:rsid w:val="003B31DD"/>
    <w:rsid w:val="003C7AF0"/>
    <w:rsid w:val="003D065B"/>
    <w:rsid w:val="003F2000"/>
    <w:rsid w:val="003F369D"/>
    <w:rsid w:val="003F44CF"/>
    <w:rsid w:val="00404176"/>
    <w:rsid w:val="00405A62"/>
    <w:rsid w:val="00413F0E"/>
    <w:rsid w:val="004247CC"/>
    <w:rsid w:val="00463F8E"/>
    <w:rsid w:val="00475264"/>
    <w:rsid w:val="004823C3"/>
    <w:rsid w:val="004852F0"/>
    <w:rsid w:val="00485545"/>
    <w:rsid w:val="00485D35"/>
    <w:rsid w:val="004C241E"/>
    <w:rsid w:val="004D3949"/>
    <w:rsid w:val="004D7CDE"/>
    <w:rsid w:val="00505AB6"/>
    <w:rsid w:val="00512ACF"/>
    <w:rsid w:val="00516E3D"/>
    <w:rsid w:val="005646C4"/>
    <w:rsid w:val="0056797E"/>
    <w:rsid w:val="005A0677"/>
    <w:rsid w:val="005A1A3B"/>
    <w:rsid w:val="005A20A7"/>
    <w:rsid w:val="005C32B7"/>
    <w:rsid w:val="005D7441"/>
    <w:rsid w:val="005E23E7"/>
    <w:rsid w:val="005F5103"/>
    <w:rsid w:val="00611C37"/>
    <w:rsid w:val="0062005F"/>
    <w:rsid w:val="00624008"/>
    <w:rsid w:val="0063373D"/>
    <w:rsid w:val="00634FB5"/>
    <w:rsid w:val="00644BE2"/>
    <w:rsid w:val="00650DB1"/>
    <w:rsid w:val="0065487A"/>
    <w:rsid w:val="0068329D"/>
    <w:rsid w:val="006944B7"/>
    <w:rsid w:val="00694DFA"/>
    <w:rsid w:val="006968C4"/>
    <w:rsid w:val="006A1536"/>
    <w:rsid w:val="006B5DCA"/>
    <w:rsid w:val="006D01F4"/>
    <w:rsid w:val="00707459"/>
    <w:rsid w:val="0072704A"/>
    <w:rsid w:val="0072744E"/>
    <w:rsid w:val="00736F43"/>
    <w:rsid w:val="00751AFA"/>
    <w:rsid w:val="00753513"/>
    <w:rsid w:val="00770895"/>
    <w:rsid w:val="0077448A"/>
    <w:rsid w:val="0078405D"/>
    <w:rsid w:val="00793266"/>
    <w:rsid w:val="00793A4D"/>
    <w:rsid w:val="007A5A72"/>
    <w:rsid w:val="007C4DC6"/>
    <w:rsid w:val="007D24EC"/>
    <w:rsid w:val="007E77B9"/>
    <w:rsid w:val="007F02F2"/>
    <w:rsid w:val="007F4B10"/>
    <w:rsid w:val="008148C7"/>
    <w:rsid w:val="00815EEA"/>
    <w:rsid w:val="00851BDA"/>
    <w:rsid w:val="00853886"/>
    <w:rsid w:val="008738E2"/>
    <w:rsid w:val="0089016E"/>
    <w:rsid w:val="00892C0E"/>
    <w:rsid w:val="008D15FB"/>
    <w:rsid w:val="008F18CC"/>
    <w:rsid w:val="009317DF"/>
    <w:rsid w:val="009328A6"/>
    <w:rsid w:val="0093490F"/>
    <w:rsid w:val="009359F1"/>
    <w:rsid w:val="00977BF7"/>
    <w:rsid w:val="00983B85"/>
    <w:rsid w:val="009A01FF"/>
    <w:rsid w:val="009A07F9"/>
    <w:rsid w:val="009A2890"/>
    <w:rsid w:val="009A5C7D"/>
    <w:rsid w:val="009B64A1"/>
    <w:rsid w:val="009B755F"/>
    <w:rsid w:val="009C0059"/>
    <w:rsid w:val="009C0AF5"/>
    <w:rsid w:val="009C1AEA"/>
    <w:rsid w:val="009C761B"/>
    <w:rsid w:val="009F03F8"/>
    <w:rsid w:val="00A01C62"/>
    <w:rsid w:val="00A15CDC"/>
    <w:rsid w:val="00A25BCB"/>
    <w:rsid w:val="00A31E81"/>
    <w:rsid w:val="00A506A1"/>
    <w:rsid w:val="00A5102E"/>
    <w:rsid w:val="00A83E46"/>
    <w:rsid w:val="00A94F89"/>
    <w:rsid w:val="00AC542D"/>
    <w:rsid w:val="00AD01C6"/>
    <w:rsid w:val="00AD1CE9"/>
    <w:rsid w:val="00AD6641"/>
    <w:rsid w:val="00AE4F91"/>
    <w:rsid w:val="00AF3F05"/>
    <w:rsid w:val="00B04302"/>
    <w:rsid w:val="00B06A23"/>
    <w:rsid w:val="00B10232"/>
    <w:rsid w:val="00B20BDE"/>
    <w:rsid w:val="00B3766C"/>
    <w:rsid w:val="00B4250F"/>
    <w:rsid w:val="00B444F5"/>
    <w:rsid w:val="00B46407"/>
    <w:rsid w:val="00B67446"/>
    <w:rsid w:val="00B73CB2"/>
    <w:rsid w:val="00B77A3A"/>
    <w:rsid w:val="00B80ECB"/>
    <w:rsid w:val="00B85D5C"/>
    <w:rsid w:val="00BE0859"/>
    <w:rsid w:val="00BF26E2"/>
    <w:rsid w:val="00C020EE"/>
    <w:rsid w:val="00C03C99"/>
    <w:rsid w:val="00C04ADA"/>
    <w:rsid w:val="00C062EB"/>
    <w:rsid w:val="00C14734"/>
    <w:rsid w:val="00C235B9"/>
    <w:rsid w:val="00C24522"/>
    <w:rsid w:val="00C33F9C"/>
    <w:rsid w:val="00C35D3E"/>
    <w:rsid w:val="00C36C89"/>
    <w:rsid w:val="00C40A5A"/>
    <w:rsid w:val="00C42747"/>
    <w:rsid w:val="00C61235"/>
    <w:rsid w:val="00C80CBB"/>
    <w:rsid w:val="00C82229"/>
    <w:rsid w:val="00CA1F9D"/>
    <w:rsid w:val="00CA4ADF"/>
    <w:rsid w:val="00CD0F61"/>
    <w:rsid w:val="00CE335C"/>
    <w:rsid w:val="00CF6B82"/>
    <w:rsid w:val="00D0059C"/>
    <w:rsid w:val="00D01829"/>
    <w:rsid w:val="00D249CF"/>
    <w:rsid w:val="00D55F58"/>
    <w:rsid w:val="00D578E1"/>
    <w:rsid w:val="00D60439"/>
    <w:rsid w:val="00D662B9"/>
    <w:rsid w:val="00D81703"/>
    <w:rsid w:val="00DA47A5"/>
    <w:rsid w:val="00DA6137"/>
    <w:rsid w:val="00DA6725"/>
    <w:rsid w:val="00DA75B9"/>
    <w:rsid w:val="00DC42B5"/>
    <w:rsid w:val="00DC7B37"/>
    <w:rsid w:val="00DE1913"/>
    <w:rsid w:val="00DE67DA"/>
    <w:rsid w:val="00DF1BB5"/>
    <w:rsid w:val="00DF24E6"/>
    <w:rsid w:val="00E06522"/>
    <w:rsid w:val="00E12E88"/>
    <w:rsid w:val="00E3455F"/>
    <w:rsid w:val="00E37AC0"/>
    <w:rsid w:val="00E46ADD"/>
    <w:rsid w:val="00E555F7"/>
    <w:rsid w:val="00E71E94"/>
    <w:rsid w:val="00E823F2"/>
    <w:rsid w:val="00E9147D"/>
    <w:rsid w:val="00E93610"/>
    <w:rsid w:val="00EA6544"/>
    <w:rsid w:val="00EB3862"/>
    <w:rsid w:val="00EB60AA"/>
    <w:rsid w:val="00ED7AB9"/>
    <w:rsid w:val="00EE6538"/>
    <w:rsid w:val="00F117B2"/>
    <w:rsid w:val="00F15947"/>
    <w:rsid w:val="00F467C1"/>
    <w:rsid w:val="00F51C40"/>
    <w:rsid w:val="00F54EBE"/>
    <w:rsid w:val="00F64BAB"/>
    <w:rsid w:val="00F67238"/>
    <w:rsid w:val="00F746BF"/>
    <w:rsid w:val="00F82974"/>
    <w:rsid w:val="00F92DDE"/>
    <w:rsid w:val="00FA4195"/>
    <w:rsid w:val="00FA439A"/>
    <w:rsid w:val="00FA57DC"/>
    <w:rsid w:val="00FA673F"/>
    <w:rsid w:val="00FA691A"/>
    <w:rsid w:val="00FB2C2A"/>
    <w:rsid w:val="00FC538B"/>
    <w:rsid w:val="00FD316B"/>
    <w:rsid w:val="00FD75B7"/>
    <w:rsid w:val="00FE393F"/>
    <w:rsid w:val="00FF17FB"/>
    <w:rsid w:val="00FF3F5F"/>
    <w:rsid w:val="00FF59FB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83ACB"/>
  <w15:docId w15:val="{9F1C5E03-3067-4F92-A54D-07DF148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05"/>
  </w:style>
  <w:style w:type="paragraph" w:styleId="Ttulo1">
    <w:name w:val="heading 1"/>
    <w:basedOn w:val="Normal"/>
    <w:next w:val="Normal"/>
    <w:link w:val="Ttulo1Car"/>
    <w:uiPriority w:val="9"/>
    <w:qFormat/>
    <w:rsid w:val="002C4F1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4F1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4F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4F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4F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4F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4F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4F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4F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B5EF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B5EF3"/>
  </w:style>
  <w:style w:type="character" w:customStyle="1" w:styleId="TextoindependienteCar">
    <w:name w:val="Texto independiente Car"/>
    <w:basedOn w:val="Fuentedeprrafopredeter"/>
    <w:link w:val="Textoindependiente"/>
    <w:qFormat/>
    <w:rsid w:val="004B5EF3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B5EF3"/>
  </w:style>
  <w:style w:type="character" w:customStyle="1" w:styleId="EncabezadoCar1">
    <w:name w:val="Encabezado Car1"/>
    <w:basedOn w:val="Fuentedeprrafopredeter"/>
    <w:uiPriority w:val="99"/>
    <w:semiHidden/>
    <w:rsid w:val="004B5EF3"/>
  </w:style>
  <w:style w:type="character" w:customStyle="1" w:styleId="PiedepginaCar1">
    <w:name w:val="Pie de página Car1"/>
    <w:basedOn w:val="Fuentedeprrafopredeter"/>
    <w:uiPriority w:val="99"/>
    <w:semiHidden/>
    <w:rsid w:val="004B5EF3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rsid w:val="004B5EF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next w:val="Normal"/>
    <w:uiPriority w:val="35"/>
    <w:unhideWhenUsed/>
    <w:qFormat/>
    <w:rsid w:val="002C4F1F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link w:val="EncabezadoCar"/>
    <w:uiPriority w:val="99"/>
    <w:unhideWhenUsed/>
    <w:rsid w:val="004B5EF3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B5EF3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35D3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51A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21B16"/>
  </w:style>
  <w:style w:type="paragraph" w:customStyle="1" w:styleId="s3">
    <w:name w:val="s3"/>
    <w:basedOn w:val="Normal"/>
    <w:rsid w:val="00121B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s4">
    <w:name w:val="s4"/>
    <w:basedOn w:val="Fuentedeprrafopredeter"/>
    <w:rsid w:val="00121B16"/>
  </w:style>
  <w:style w:type="character" w:customStyle="1" w:styleId="Ttulo1Car">
    <w:name w:val="Título 1 Car"/>
    <w:basedOn w:val="Fuentedeprrafopredeter"/>
    <w:link w:val="Ttulo1"/>
    <w:uiPriority w:val="9"/>
    <w:rsid w:val="002C4F1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4F1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4F1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4F1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4F1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4F1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4F1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4F1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4F1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C4F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C4F1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4F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C4F1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C4F1F"/>
    <w:rPr>
      <w:b/>
      <w:bCs/>
    </w:rPr>
  </w:style>
  <w:style w:type="character" w:styleId="nfasis">
    <w:name w:val="Emphasis"/>
    <w:basedOn w:val="Fuentedeprrafopredeter"/>
    <w:uiPriority w:val="20"/>
    <w:qFormat/>
    <w:rsid w:val="002C4F1F"/>
    <w:rPr>
      <w:i/>
      <w:iCs/>
      <w:color w:val="70AD47" w:themeColor="accent6"/>
    </w:rPr>
  </w:style>
  <w:style w:type="paragraph" w:styleId="Sinespaciado">
    <w:name w:val="No Spacing"/>
    <w:aliases w:val="Aries,k,Sin espaciado1"/>
    <w:link w:val="SinespaciadoCar"/>
    <w:uiPriority w:val="1"/>
    <w:qFormat/>
    <w:rsid w:val="002C4F1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C4F1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C4F1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4F1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4F1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C4F1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C4F1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C4F1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C4F1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C4F1F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4F1F"/>
    <w:pPr>
      <w:outlineLvl w:val="9"/>
    </w:pPr>
  </w:style>
  <w:style w:type="character" w:customStyle="1" w:styleId="SinespaciadoCar">
    <w:name w:val="Sin espaciado Car"/>
    <w:aliases w:val="Aries Car,k Car,Sin espaciado1 Car"/>
    <w:link w:val="Sinespaciado"/>
    <w:uiPriority w:val="1"/>
    <w:locked/>
    <w:rsid w:val="00793A4D"/>
  </w:style>
  <w:style w:type="character" w:styleId="Nmerodepgina">
    <w:name w:val="page number"/>
    <w:basedOn w:val="Fuentedeprrafopredeter"/>
    <w:uiPriority w:val="99"/>
    <w:semiHidden/>
    <w:unhideWhenUsed/>
    <w:rsid w:val="00B46407"/>
  </w:style>
  <w:style w:type="character" w:styleId="Refdecomentario">
    <w:name w:val="annotation reference"/>
    <w:basedOn w:val="Fuentedeprrafopredeter"/>
    <w:uiPriority w:val="99"/>
    <w:semiHidden/>
    <w:unhideWhenUsed/>
    <w:rsid w:val="00983B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B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B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3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3B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B85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2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1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1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upme.gov.co/DemandayEficiencia/Documents/Guia_liviana_PGEE.pdf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002B0-13CA-43FE-9838-7F74CD3AF7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Oficial</vt:lpstr>
    </vt:vector>
  </TitlesOfParts>
  <Company>HP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Oficial</dc:title>
  <dc:subject>Comunicación Oficial</dc:subject>
  <dc:creator>Ministerio de Minas y Energía</dc:creator>
  <cp:lastModifiedBy>OSCAR IVAN PARRA CAMACHO</cp:lastModifiedBy>
  <cp:revision>2</cp:revision>
  <dcterms:created xsi:type="dcterms:W3CDTF">2024-06-18T16:05:00Z</dcterms:created>
  <dcterms:modified xsi:type="dcterms:W3CDTF">2024-06-18T16:05:00Z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