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RAMA LEGISLATIVA DEL PODER PÚBLICO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CONGRESO DE LA REPÚBLICA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COMISIÓN LEGAL PARA LA EQUIDAD DE LA MUJER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PERIODO CONSTITUCIONAL 2022-2026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LEGISLATURA 2023-2024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ORDEN DEL DÍA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Para la Sesión Mixta de la Comisión Legal para la Equidad de la Mujer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23 de Agosto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Hora: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7:30 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Lugar:</w:t>
      </w:r>
      <w:r w:rsidDel="00000000" w:rsidR="00000000" w:rsidRPr="00000000">
        <w:rPr>
          <w:rFonts w:ascii="Arial" w:cs="Arial" w:eastAsia="Arial" w:hAnsi="Arial"/>
          <w:rtl w:val="0"/>
        </w:rPr>
        <w:t xml:space="preserve"> Recinto Comisión Cuarta - Cámara de Representantes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Edificio Nuevo del Congreso, Piso 4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566.929133858267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Llamado a lista y verificación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quórum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.2677165354331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Aprobación del orden del día.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578.267716535433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Aprobación de actas.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5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8"/>
        <w:gridCol w:w="2942"/>
        <w:gridCol w:w="2885"/>
        <w:tblGridChange w:id="0">
          <w:tblGrid>
            <w:gridCol w:w="2848"/>
            <w:gridCol w:w="2942"/>
            <w:gridCol w:w="2885"/>
          </w:tblGrid>
        </w:tblGridChange>
      </w:tblGrid>
      <w:tr>
        <w:trPr>
          <w:cantSplit w:val="0"/>
          <w:trHeight w:val="396.9824218750000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No. De Acta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 de sesión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right="-1298.50393700787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Gaceta</w:t>
            </w:r>
          </w:p>
        </w:tc>
      </w:tr>
      <w:tr>
        <w:trPr>
          <w:cantSplit w:val="0"/>
          <w:trHeight w:val="356.98242187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Acta No. 4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 de octubre de 2022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520 del 23 de mayo de 2023</w:t>
            </w:r>
          </w:p>
        </w:tc>
      </w:tr>
      <w:tr>
        <w:trPr>
          <w:cantSplit w:val="0"/>
          <w:trHeight w:val="326.98242187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Acta No. 5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 de diciembre de 2022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520 del 23 de mayo de 2023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720" w:hanging="578.267716535433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Participación de las Congresistas de la Comisión Legal para la Equidad de las Mujeres frente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al Anexo de Gasto Presupuestal para la Equidad de la Mujer del Proyecto de Ley No. 057 de 2023 Cámara: “Por la cual se decreta el presupuesto de rentas y recursos de capital y ley de apropiaciones para la vigencia fiscal del 1 de enero al 31 de diciembre de 2024”.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578.267716535433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Participación de las entidades del Gobierno Nacional  </w:t>
      </w:r>
      <w:r w:rsidDel="00000000" w:rsidR="00000000" w:rsidRPr="00000000">
        <w:rPr>
          <w:rFonts w:ascii="Arial" w:cs="Arial" w:eastAsia="Arial" w:hAnsi="Arial"/>
          <w:rtl w:val="0"/>
        </w:rPr>
        <w:t xml:space="preserve">con el objetivo de que expongan a detalle el Anexo de Gasto Presupuestal para la Equidad de la Mujer del Proyecto de</w:t>
      </w:r>
      <w:r w:rsidDel="00000000" w:rsidR="00000000" w:rsidRPr="00000000">
        <w:rPr>
          <w:rFonts w:ascii="Arial" w:cs="Arial" w:eastAsia="Arial" w:hAnsi="Arial"/>
          <w:rtl w:val="0"/>
        </w:rPr>
        <w:t xml:space="preserve">del Proyecto de Ley No. 057 de 2023 Cámara: “Por la cual se decreta el presupuesto de rentas y recursos de capital y ley de apropiaciones para la vigencia fiscal del 1 de enero al 31 de diciembre de 2024”.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Ministro de Hacienda y Crédito Público, Dr. Ricardo Bonilla González.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 del Departamento Nacional de Planeación (DNP), Dr. Jorge Iván González Borrero.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Directora del Departamento Administrativo Nacional de Estadística (DANE), Dra. Piedad Urdinola Contreras.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Ministra de la Igualdad, Dra. Francia Elena Márquez Mina.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Consejera Presidencial para la Equidad de la Mujer, Dra. Clemencia Carabalí Radallega.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Ministro de Salud, Dr. Guillermo Alfonso Jaramillo Martínez.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Ministro de Justicia, Dr. Néstor Iván Osuna Patiño.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Ministra de Educación, Dra. Aurora Vergara Figueroa.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Ministra del Trabajo, Dra. Gloria Inés Ramírez Ríos.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Ministra del Deporte, Dra. Astrid Bibiana Rodríguez.</w:t>
      </w:r>
    </w:p>
    <w:p w:rsidR="00000000" w:rsidDel="00000000" w:rsidP="00000000" w:rsidRDefault="00000000" w:rsidRPr="00000000" w14:paraId="00000031">
      <w:pPr>
        <w:spacing w:after="0"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76" w:lineRule="auto"/>
        <w:ind w:left="720" w:hanging="578.267716535433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que propongan las Honorables Congresistas.</w:t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4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87"/>
        <w:gridCol w:w="4987"/>
        <w:tblGridChange w:id="0">
          <w:tblGrid>
            <w:gridCol w:w="4987"/>
            <w:gridCol w:w="4987"/>
          </w:tblGrid>
        </w:tblGridChange>
      </w:tblGrid>
      <w:tr>
        <w:trPr>
          <w:cantSplit w:val="0"/>
          <w:trHeight w:val="1099.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H.R CAROLINA GIRALDO BOTERO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Presidenta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Comisión Legal para la Equidad de la Mujer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Congreso de la República de Colombia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H.S ANA PAOLA AGUDELO GARCÍA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Vicepresidenta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Comisión Legal para la Equidad de la Mujer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Congreso de la República de Colombia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MARIA CRISTINA ROSADO SARABIA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 Ad-Hoc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Comisión Legal para la Equidad de la Mujer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Congreso de la República de Colombia</w:t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ind w:left="-284" w:right="-234" w:firstLine="284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133.8582677165355" w:top="1133.8582677165355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2924175" cy="200025"/>
          <wp:effectExtent b="0" l="0" r="0" t="0"/>
          <wp:docPr descr="https://lh6.googleusercontent.com/JxussFy0Ew1GsU8R9DZgll2i9CqT3RklnL26ApgI-jDpq1wN_gH3nQ_zwLsla5Ln56IWRHxBFf_KnL9V9K1tmfRqEWAZn8me5Zv8VsPA4nMkzjwGSaaSk8g3aO7WI7z1nYBxUuY_" id="12" name="image1.png"/>
          <a:graphic>
            <a:graphicData uri="http://schemas.openxmlformats.org/drawingml/2006/picture">
              <pic:pic>
                <pic:nvPicPr>
                  <pic:cNvPr descr="https://lh6.googleusercontent.com/JxussFy0Ew1GsU8R9DZgll2i9CqT3RklnL26ApgI-jDpq1wN_gH3nQ_zwLsla5Ln56IWRHxBFf_KnL9V9K1tmfRqEWAZn8me5Zv8VsPA4nMkzjwGSaaSk8g3aO7WI7z1nYBxUuY_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4175" cy="200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1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Edificio Nuevo Congreso, Mezanine Sur.   Tel : </w:t>
    </w:r>
    <w:r w:rsidDel="00000000" w:rsidR="00000000" w:rsidRPr="00000000">
      <w:rPr>
        <w:rFonts w:ascii="Trebuchet MS" w:cs="Trebuchet MS" w:eastAsia="Trebuchet MS" w:hAnsi="Trebuchet MS"/>
        <w:color w:val="000000"/>
        <w:sz w:val="18"/>
        <w:szCs w:val="18"/>
        <w:rtl w:val="0"/>
      </w:rPr>
      <w:t xml:space="preserve">3 8 2 3 0 9 6 - 97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hyperlink r:id="rId2"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comisiondelamujer@senado.gov.co</w:t>
      </w:r>
    </w:hyperlink>
    <w:r w:rsidDel="00000000" w:rsidR="00000000" w:rsidRPr="00000000">
      <w:rPr>
        <w:rFonts w:ascii="Arial" w:cs="Arial" w:eastAsia="Arial" w:hAnsi="Arial"/>
        <w:color w:val="0462c1"/>
        <w:sz w:val="20"/>
        <w:szCs w:val="20"/>
        <w:u w:val="single"/>
        <w:rtl w:val="0"/>
      </w:rPr>
      <w:t xml:space="preserve">    </w:t>
    </w:r>
    <w:hyperlink r:id="rId3"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comisionlegalmujercolombia@gmail.com 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1544011" cy="867315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4011" cy="8673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578.2677165354331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misiondelamujer@senado.gov.co" TargetMode="External"/><Relationship Id="rId3" Type="http://schemas.openxmlformats.org/officeDocument/2006/relationships/hyperlink" Target="mailto:comisionlegalmujercolombia@gmail.com%2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AK5NU9b4DxKZmeigNfkZThcTIw==">CgMxLjA4AHIhMTlXMDhlVl9XRTN0d1VWQ0lGU2NoME9RNlVLd0kwdnpH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