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RAMA LEGISLATIVA DEL PODER PÚBLICO</w:t>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CONGRESO DE LA REPÚBLICA</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COMISIÓN LEGAL PARA LA EQUIDAD DE LA MUJER</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PERIODO CONSTITUCIONAL 2022-2026</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LEGISLATURA 2023 – 2024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ORDEN DEL DÍA</w:t>
      </w: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Para la Sesión del día </w:t>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color w:val="000000"/>
          <w:sz w:val="20"/>
          <w:szCs w:val="20"/>
          <w:rtl w:val="0"/>
        </w:rPr>
        <w:t xml:space="preserve"> de </w:t>
      </w:r>
      <w:r w:rsidDel="00000000" w:rsidR="00000000" w:rsidRPr="00000000">
        <w:rPr>
          <w:rFonts w:ascii="Arial" w:cs="Arial" w:eastAsia="Arial" w:hAnsi="Arial"/>
          <w:b w:val="1"/>
          <w:sz w:val="20"/>
          <w:szCs w:val="20"/>
          <w:rtl w:val="0"/>
        </w:rPr>
        <w:t xml:space="preserve">mayo</w:t>
      </w:r>
      <w:r w:rsidDel="00000000" w:rsidR="00000000" w:rsidRPr="00000000">
        <w:rPr>
          <w:rFonts w:ascii="Arial" w:cs="Arial" w:eastAsia="Arial" w:hAnsi="Arial"/>
          <w:b w:val="1"/>
          <w:color w:val="000000"/>
          <w:sz w:val="20"/>
          <w:szCs w:val="20"/>
          <w:rtl w:val="0"/>
        </w:rPr>
        <w:t xml:space="preserve"> de 2024</w:t>
      </w: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Hora: </w:t>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00</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color w:val="000000"/>
          <w:sz w:val="20"/>
          <w:szCs w:val="20"/>
          <w:rtl w:val="0"/>
        </w:rPr>
        <w:t xml:space="preserve">.m.</w:t>
      </w: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Lugar: Recinto de sesiones – Comisión </w:t>
      </w:r>
      <w:r w:rsidDel="00000000" w:rsidR="00000000" w:rsidRPr="00000000">
        <w:rPr>
          <w:rFonts w:ascii="Arial" w:cs="Arial" w:eastAsia="Arial" w:hAnsi="Arial"/>
          <w:b w:val="1"/>
          <w:sz w:val="20"/>
          <w:szCs w:val="20"/>
          <w:rtl w:val="0"/>
        </w:rPr>
        <w:t xml:space="preserve">Legal de cuenta de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Cámara</w:t>
      </w:r>
      <w:r w:rsidDel="00000000" w:rsidR="00000000" w:rsidRPr="00000000">
        <w:rPr>
          <w:rFonts w:ascii="Arial" w:cs="Arial" w:eastAsia="Arial" w:hAnsi="Arial"/>
          <w:b w:val="1"/>
          <w:color w:val="000000"/>
          <w:sz w:val="20"/>
          <w:szCs w:val="20"/>
          <w:rtl w:val="0"/>
        </w:rPr>
        <w:t xml:space="preserve"> de </w:t>
      </w:r>
      <w:r w:rsidDel="00000000" w:rsidR="00000000" w:rsidRPr="00000000">
        <w:rPr>
          <w:rFonts w:ascii="Arial" w:cs="Arial" w:eastAsia="Arial" w:hAnsi="Arial"/>
          <w:b w:val="1"/>
          <w:sz w:val="20"/>
          <w:szCs w:val="20"/>
          <w:rtl w:val="0"/>
        </w:rPr>
        <w:t xml:space="preserve">Representates</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Piso 4 - </w:t>
      </w:r>
      <w:r w:rsidDel="00000000" w:rsidR="00000000" w:rsidRPr="00000000">
        <w:rPr>
          <w:rFonts w:ascii="Arial" w:cs="Arial" w:eastAsia="Arial" w:hAnsi="Arial"/>
          <w:b w:val="1"/>
          <w:color w:val="000000"/>
          <w:sz w:val="20"/>
          <w:szCs w:val="20"/>
          <w:rtl w:val="0"/>
        </w:rPr>
        <w:t xml:space="preserve">Edificio Nuevo del Congreso</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numPr>
          <w:ilvl w:val="0"/>
          <w:numId w:val="3"/>
        </w:numPr>
        <w:spacing w:after="0" w:line="240" w:lineRule="auto"/>
        <w:ind w:left="425.19685039370086" w:hanging="141.7322834645671"/>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Llamado a lista y verificación del quórum</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0">
      <w:pPr>
        <w:numPr>
          <w:ilvl w:val="0"/>
          <w:numId w:val="2"/>
        </w:numPr>
        <w:spacing w:after="0" w:line="240" w:lineRule="auto"/>
        <w:ind w:left="360" w:hanging="76.00000000000001"/>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Aprobación del orden del día.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141.7322834645671"/>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Intervención de l</w:t>
      </w:r>
      <w:r w:rsidDel="00000000" w:rsidR="00000000" w:rsidRPr="00000000">
        <w:rPr>
          <w:rFonts w:ascii="Arial" w:cs="Arial" w:eastAsia="Arial" w:hAnsi="Arial"/>
          <w:sz w:val="20"/>
          <w:szCs w:val="20"/>
          <w:rtl w:val="0"/>
        </w:rPr>
        <w:t xml:space="preserve">as funcionarias y funcionarios citados a debate de control político  para conocer los avances de las acciones estratégicas para la implementación de medidas de protección de las mujeres, en el marco de la declaratoria de emergencia de violencias basadas en género.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3937007874017"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Vicepresidenta de la República y Ministra de la Igualdad, Dra. Francia Márquez Mina </w:t>
      </w:r>
    </w:p>
    <w:p w:rsidR="00000000" w:rsidDel="00000000" w:rsidP="00000000" w:rsidRDefault="00000000" w:rsidRPr="00000000" w14:paraId="00000015">
      <w:pPr>
        <w:numPr>
          <w:ilvl w:val="0"/>
          <w:numId w:val="4"/>
        </w:numPr>
        <w:spacing w:after="0" w:line="240" w:lineRule="auto"/>
        <w:ind w:left="1133.858267716535" w:hanging="708.661417322834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Ministro de Justicia y del Derecho, Dr. Néstor Iván Osuna Patiño</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Ministro de Defensa Nacional, Dr. Iván Velásquez Gómez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Intervención de las funcionarias y funcionarios invitados al debate de control político  para conocer los avances de las acciones estratégicas para la implementación de medidas de protección de las mujeres, en el marco de la declaratoria de emergencia de violencias basadas en género.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Fiscal General de la Nación, Dra. Luz Adriana Camargo Garzón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Defensor del Pueblo, Dr. Carlos Ernesto Camargo Assis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Procuradora General de la Nación, Dra. Margarita Cabello Blanco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V.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Lo que propongan las Honorables Congresistas.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H.R CAROLINA GIRALDO BOTERO</w:t>
        <w:tab/>
        <w:t xml:space="preserve">H.S ANA PAOLA AGUDELO GARCÍA</w:t>
      </w:r>
    </w:p>
    <w:p w:rsidR="00000000" w:rsidDel="00000000" w:rsidP="00000000" w:rsidRDefault="00000000" w:rsidRPr="00000000" w14:paraId="0000002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Presidenta</w:t>
        <w:tab/>
        <w:tab/>
        <w:tab/>
        <w:tab/>
        <w:tab/>
        <w:t xml:space="preserve">Vicepresidenta</w:t>
      </w:r>
    </w:p>
    <w:p w:rsidR="00000000" w:rsidDel="00000000" w:rsidP="00000000" w:rsidRDefault="00000000" w:rsidRPr="00000000" w14:paraId="0000002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Comisión Legal para la Equidad de la Mujer</w:t>
        <w:tab/>
        <w:t xml:space="preserve">    Comisión Legal para la Equidad de la Mujer</w:t>
      </w: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Congreso de la República de Colombia</w:t>
        <w:tab/>
        <w:t xml:space="preserve">Congreso de la República de Colombia</w:t>
      </w:r>
    </w:p>
    <w:p w:rsidR="00000000" w:rsidDel="00000000" w:rsidP="00000000" w:rsidRDefault="00000000" w:rsidRPr="00000000" w14:paraId="00000027">
      <w:pPr>
        <w:spacing w:after="0" w:line="240" w:lineRule="auto"/>
        <w:ind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40" w:lineRule="auto"/>
        <w:ind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MARIA CRISTINA ROSADO SARABIA</w:t>
      </w: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Coordinadora </w:t>
      </w:r>
    </w:p>
    <w:p w:rsidR="00000000" w:rsidDel="00000000" w:rsidP="00000000" w:rsidRDefault="00000000" w:rsidRPr="00000000" w14:paraId="0000002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Comisión Legal para la Equidad de la Mujer </w:t>
      </w:r>
    </w:p>
    <w:p w:rsidR="00000000" w:rsidDel="00000000" w:rsidP="00000000" w:rsidRDefault="00000000" w:rsidRPr="00000000" w14:paraId="0000002C">
      <w:pPr>
        <w:spacing w:after="0" w:line="240" w:lineRule="auto"/>
        <w:ind w:hanging="36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Congreso de la República de Colombia</w:t>
        <w:br w:type="textWrapping"/>
      </w:r>
      <w:r w:rsidDel="00000000" w:rsidR="00000000" w:rsidRPr="00000000">
        <w:rPr>
          <w:rtl w:val="0"/>
        </w:rPr>
      </w:r>
    </w:p>
    <w:sectPr>
      <w:headerReference r:id="rId7" w:type="default"/>
      <w:footerReference r:id="rId8" w:type="default"/>
      <w:pgSz w:h="15840" w:w="12240" w:orient="portrait"/>
      <w:pgMar w:bottom="1417" w:top="1417" w:left="1701" w:right="1701" w:header="568" w:footer="5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left" w:leader="none" w:pos="0"/>
        <w:tab w:val="left" w:leader="none" w:pos="8789"/>
      </w:tabs>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F">
    <w:pPr>
      <w:tabs>
        <w:tab w:val="left" w:leader="none" w:pos="0"/>
        <w:tab w:val="left" w:leader="none" w:pos="8789"/>
      </w:tabs>
      <w:spacing w:after="0" w:line="240" w:lineRule="auto"/>
      <w:jc w:val="center"/>
      <w:rPr>
        <w:rFonts w:ascii="Quattrocento Sans" w:cs="Quattrocento Sans" w:eastAsia="Quattrocento Sans" w:hAnsi="Quattrocento Sans"/>
        <w:sz w:val="20"/>
        <w:szCs w:val="20"/>
      </w:rPr>
    </w:pPr>
    <w:r w:rsidDel="00000000" w:rsidR="00000000" w:rsidRPr="00000000">
      <w:rPr/>
      <w:drawing>
        <wp:inline distB="0" distT="0" distL="0" distR="0">
          <wp:extent cx="2925289" cy="20002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25289"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leader="none" w:pos="0"/>
        <w:tab w:val="left" w:leader="none" w:pos="8789"/>
      </w:tabs>
      <w:spacing w:after="0" w:line="240" w:lineRule="auto"/>
      <w:ind w:right="361"/>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Edificio Nuevo Congreso, Mezanine Sur.   Tel : </w:t>
    </w:r>
    <w:r w:rsidDel="00000000" w:rsidR="00000000" w:rsidRPr="00000000">
      <w:rPr>
        <w:rFonts w:ascii="Trebuchet MS" w:cs="Trebuchet MS" w:eastAsia="Trebuchet MS" w:hAnsi="Trebuchet MS"/>
        <w:sz w:val="18"/>
        <w:szCs w:val="18"/>
        <w:rtl w:val="0"/>
      </w:rPr>
      <w:t xml:space="preserve">3 8 2 3 0 9 6 - 97</w:t>
    </w:r>
    <w:r w:rsidDel="00000000" w:rsidR="00000000" w:rsidRPr="00000000">
      <w:rPr>
        <w:rtl w:val="0"/>
      </w:rPr>
    </w:r>
  </w:p>
  <w:p w:rsidR="00000000" w:rsidDel="00000000" w:rsidP="00000000" w:rsidRDefault="00000000" w:rsidRPr="00000000" w14:paraId="00000031">
    <w:pPr>
      <w:tabs>
        <w:tab w:val="left" w:leader="none" w:pos="0"/>
        <w:tab w:val="left" w:leader="none" w:pos="8789"/>
      </w:tabs>
      <w:spacing w:after="0" w:line="240" w:lineRule="auto"/>
      <w:ind w:right="361"/>
      <w:jc w:val="center"/>
      <w:rPr/>
    </w:pPr>
    <w:hyperlink r:id="rId2">
      <w:r w:rsidDel="00000000" w:rsidR="00000000" w:rsidRPr="00000000">
        <w:rPr>
          <w:rFonts w:ascii="Quattrocento Sans" w:cs="Quattrocento Sans" w:eastAsia="Quattrocento Sans" w:hAnsi="Quattrocento Sans"/>
          <w:color w:val="0000ff"/>
          <w:sz w:val="20"/>
          <w:szCs w:val="20"/>
          <w:u w:val="single"/>
          <w:rtl w:val="0"/>
        </w:rPr>
        <w:t xml:space="preserve">comisiondelamujer@senado.gov.co</w:t>
      </w:r>
    </w:hyperlink>
    <w:r w:rsidDel="00000000" w:rsidR="00000000" w:rsidRPr="00000000">
      <w:rPr>
        <w:rFonts w:ascii="Quattrocento Sans" w:cs="Quattrocento Sans" w:eastAsia="Quattrocento Sans" w:hAnsi="Quattrocento Sans"/>
        <w:color w:val="0462c1"/>
        <w:sz w:val="20"/>
        <w:szCs w:val="20"/>
        <w:u w:val="single"/>
        <w:rtl w:val="0"/>
      </w:rPr>
      <w:t xml:space="preserve">    </w:t>
    </w:r>
    <w:hyperlink r:id="rId3">
      <w:r w:rsidDel="00000000" w:rsidR="00000000" w:rsidRPr="00000000">
        <w:rPr>
          <w:rFonts w:ascii="Quattrocento Sans" w:cs="Quattrocento Sans" w:eastAsia="Quattrocento Sans" w:hAnsi="Quattrocento Sans"/>
          <w:color w:val="0000ff"/>
          <w:sz w:val="20"/>
          <w:szCs w:val="20"/>
          <w:u w:val="single"/>
          <w:rtl w:val="0"/>
        </w:rPr>
        <w:t xml:space="preserve">comisionlegalmujercolombia@gmail.com </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28775" cy="666750"/>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28775" cy="666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6992"/>
    <w:pPr>
      <w:spacing w:line="256" w:lineRule="auto"/>
    </w:pPr>
    <w:rPr>
      <w:rFonts w:ascii="Calibri" w:cs="Calibri" w:eastAsia="Calibri" w:hAnsi="Calibri"/>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71EC2"/>
    <w:pPr>
      <w:tabs>
        <w:tab w:val="center" w:pos="4419"/>
        <w:tab w:val="right" w:pos="8838"/>
      </w:tabs>
      <w:spacing w:after="0" w:line="240" w:lineRule="auto"/>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A71EC2"/>
  </w:style>
  <w:style w:type="paragraph" w:styleId="Piedepgina">
    <w:name w:val="footer"/>
    <w:basedOn w:val="Normal"/>
    <w:link w:val="PiedepginaCar"/>
    <w:uiPriority w:val="99"/>
    <w:unhideWhenUsed w:val="1"/>
    <w:rsid w:val="00A71EC2"/>
    <w:pPr>
      <w:tabs>
        <w:tab w:val="center" w:pos="4419"/>
        <w:tab w:val="right" w:pos="8838"/>
      </w:tabs>
      <w:spacing w:after="0" w:line="240" w:lineRule="auto"/>
    </w:pPr>
    <w:rPr>
      <w:rFonts w:asciiTheme="minorHAnsi" w:cstheme="minorBidi" w:eastAsiaTheme="minorHAnsi" w:hAnsiTheme="minorHAnsi"/>
      <w:lang w:eastAsia="en-US"/>
    </w:rPr>
  </w:style>
  <w:style w:type="character" w:styleId="PiedepginaCar" w:customStyle="1">
    <w:name w:val="Pie de página Car"/>
    <w:basedOn w:val="Fuentedeprrafopredeter"/>
    <w:link w:val="Piedepgina"/>
    <w:uiPriority w:val="99"/>
    <w:rsid w:val="00A71EC2"/>
  </w:style>
  <w:style w:type="character" w:styleId="Hipervnculo">
    <w:name w:val="Hyperlink"/>
    <w:basedOn w:val="Fuentedeprrafopredeter"/>
    <w:uiPriority w:val="99"/>
    <w:semiHidden w:val="1"/>
    <w:unhideWhenUsed w:val="1"/>
    <w:rsid w:val="00B86992"/>
    <w:rPr>
      <w:color w:val="0563c1" w:themeColor="hyperlink"/>
      <w:u w:val="single"/>
    </w:rPr>
  </w:style>
  <w:style w:type="character" w:styleId="Textoennegrita">
    <w:name w:val="Strong"/>
    <w:basedOn w:val="Fuentedeprrafopredeter"/>
    <w:uiPriority w:val="22"/>
    <w:qFormat w:val="1"/>
    <w:rsid w:val="007E750C"/>
    <w:rPr>
      <w:b w:val="1"/>
      <w:bCs w:val="1"/>
    </w:rPr>
  </w:style>
  <w:style w:type="paragraph" w:styleId="Textodeglobo">
    <w:name w:val="Balloon Text"/>
    <w:basedOn w:val="Normal"/>
    <w:link w:val="TextodegloboCar"/>
    <w:uiPriority w:val="99"/>
    <w:semiHidden w:val="1"/>
    <w:unhideWhenUsed w:val="1"/>
    <w:rsid w:val="0025434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54349"/>
    <w:rPr>
      <w:rFonts w:ascii="Segoe UI" w:cs="Segoe UI" w:eastAsia="Calibri" w:hAnsi="Segoe UI"/>
      <w:sz w:val="18"/>
      <w:szCs w:val="18"/>
      <w:lang w:eastAsia="es-CO"/>
    </w:rPr>
  </w:style>
  <w:style w:type="paragraph" w:styleId="Prrafodelista">
    <w:name w:val="List Paragraph"/>
    <w:basedOn w:val="Normal"/>
    <w:uiPriority w:val="34"/>
    <w:qFormat w:val="1"/>
    <w:rsid w:val="00EF02E6"/>
    <w:pPr>
      <w:ind w:left="720"/>
      <w:contextualSpacing w:val="1"/>
    </w:pPr>
  </w:style>
  <w:style w:type="paragraph" w:styleId="NormalWeb">
    <w:name w:val="Normal (Web)"/>
    <w:basedOn w:val="Normal"/>
    <w:uiPriority w:val="99"/>
    <w:semiHidden w:val="1"/>
    <w:unhideWhenUsed w:val="1"/>
    <w:rsid w:val="00A87F5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misiondelamujer@senado.gov.co" TargetMode="External"/><Relationship Id="rId3" Type="http://schemas.openxmlformats.org/officeDocument/2006/relationships/hyperlink" Target="mailto:comisionlegalmujercolombia@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UVj0NMlPknoPIhy3EPZeqhUZYQ==">CgMxLjAyCGguZ2pkZ3hzOAByITFzTFlwTHhDMl9fczJMUXRubTNULUU0UkZwem1SMlJzcw==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2023-09-13T13:56:00Z</dcterms:created>
  <dc:creator>Comisión de la Mujer</dc:creator>
</cp:coreProperties>
</file>