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0FE59" w14:textId="468A4FA8" w:rsidR="002E53D6" w:rsidRDefault="002E53D6" w:rsidP="002E53D6">
      <w:pPr>
        <w:pBdr>
          <w:top w:val="nil"/>
          <w:left w:val="nil"/>
          <w:bottom w:val="nil"/>
          <w:right w:val="nil"/>
          <w:between w:val="nil"/>
        </w:pBdr>
        <w:tabs>
          <w:tab w:val="left" w:pos="3675"/>
        </w:tabs>
        <w:jc w:val="center"/>
        <w:rPr>
          <w:rFonts w:ascii="Arial" w:eastAsia="Arial" w:hAnsi="Arial" w:cs="Arial"/>
          <w:b/>
        </w:rPr>
      </w:pPr>
      <w:r>
        <w:rPr>
          <w:rFonts w:ascii="Arial" w:eastAsia="Arial" w:hAnsi="Arial" w:cs="Arial"/>
          <w:b/>
        </w:rPr>
        <w:t>CUESTIONARIO ADITIVO</w:t>
      </w:r>
    </w:p>
    <w:p w14:paraId="5901E725" w14:textId="06730059" w:rsidR="002E53D6" w:rsidRDefault="002E53D6" w:rsidP="002E53D6">
      <w:pPr>
        <w:pBdr>
          <w:top w:val="nil"/>
          <w:left w:val="nil"/>
          <w:bottom w:val="nil"/>
          <w:right w:val="nil"/>
          <w:between w:val="nil"/>
        </w:pBdr>
        <w:tabs>
          <w:tab w:val="left" w:pos="3675"/>
        </w:tabs>
        <w:jc w:val="center"/>
        <w:rPr>
          <w:rFonts w:ascii="Arial" w:eastAsia="Arial" w:hAnsi="Arial" w:cs="Arial"/>
          <w:b/>
        </w:rPr>
      </w:pPr>
      <w:r>
        <w:rPr>
          <w:rFonts w:ascii="Arial" w:eastAsia="Arial" w:hAnsi="Arial" w:cs="Arial"/>
          <w:b/>
        </w:rPr>
        <w:t>a la proposición No. 053 de 2024</w:t>
      </w:r>
    </w:p>
    <w:p w14:paraId="52A79F78" w14:textId="77777777" w:rsidR="002E53D6" w:rsidRDefault="002E53D6" w:rsidP="002E53D6">
      <w:pPr>
        <w:pBdr>
          <w:top w:val="nil"/>
          <w:left w:val="nil"/>
          <w:bottom w:val="nil"/>
          <w:right w:val="nil"/>
          <w:between w:val="nil"/>
        </w:pBdr>
        <w:tabs>
          <w:tab w:val="left" w:pos="3675"/>
        </w:tabs>
        <w:ind w:left="851"/>
        <w:jc w:val="center"/>
        <w:rPr>
          <w:rFonts w:ascii="Arial" w:eastAsia="Arial" w:hAnsi="Arial" w:cs="Arial"/>
          <w:b/>
        </w:rPr>
      </w:pPr>
    </w:p>
    <w:p w14:paraId="50BF828E" w14:textId="62FF6FA5" w:rsidR="002E53D6" w:rsidRPr="002E53D6" w:rsidRDefault="002E53D6" w:rsidP="002E53D6">
      <w:pPr>
        <w:pStyle w:val="Prrafodelista"/>
        <w:numPr>
          <w:ilvl w:val="0"/>
          <w:numId w:val="12"/>
        </w:numPr>
        <w:pBdr>
          <w:top w:val="nil"/>
          <w:left w:val="nil"/>
          <w:bottom w:val="nil"/>
          <w:right w:val="nil"/>
          <w:between w:val="nil"/>
        </w:pBdr>
        <w:tabs>
          <w:tab w:val="left" w:pos="3675"/>
        </w:tabs>
        <w:jc w:val="both"/>
        <w:rPr>
          <w:rFonts w:ascii="Arial" w:eastAsia="Arial" w:hAnsi="Arial" w:cs="Arial"/>
          <w:b/>
        </w:rPr>
      </w:pPr>
      <w:r>
        <w:rPr>
          <w:rFonts w:ascii="Arial" w:eastAsia="Arial" w:hAnsi="Arial" w:cs="Arial"/>
          <w:b/>
        </w:rPr>
        <w:t>Proporcione un análisis detallado de su estructura de ingresos para la vigencia 2023 – 2024, desagregando los ingresos corrientes, recursos de capital, contribuciones parafiscales, fondos especiales y otras fuentes utilizadas.</w:t>
      </w:r>
    </w:p>
    <w:p w14:paraId="4F97CC92" w14:textId="77777777" w:rsidR="002E53D6" w:rsidRDefault="002E53D6" w:rsidP="00167779">
      <w:pPr>
        <w:pBdr>
          <w:top w:val="nil"/>
          <w:left w:val="nil"/>
          <w:bottom w:val="nil"/>
          <w:right w:val="nil"/>
          <w:between w:val="nil"/>
        </w:pBdr>
        <w:tabs>
          <w:tab w:val="left" w:pos="3675"/>
        </w:tabs>
        <w:ind w:left="851"/>
        <w:jc w:val="both"/>
        <w:rPr>
          <w:rFonts w:ascii="Arial" w:eastAsia="Arial" w:hAnsi="Arial" w:cs="Arial"/>
          <w:b/>
        </w:rPr>
      </w:pPr>
    </w:p>
    <w:tbl>
      <w:tblPr>
        <w:tblpPr w:leftFromText="141" w:rightFromText="141" w:vertAnchor="text" w:horzAnchor="margin" w:tblpXSpec="center" w:tblpY="157"/>
        <w:tblW w:w="9141" w:type="dxa"/>
        <w:tblCellMar>
          <w:left w:w="70" w:type="dxa"/>
          <w:right w:w="70" w:type="dxa"/>
        </w:tblCellMar>
        <w:tblLook w:val="04A0" w:firstRow="1" w:lastRow="0" w:firstColumn="1" w:lastColumn="0" w:noHBand="0" w:noVBand="1"/>
      </w:tblPr>
      <w:tblGrid>
        <w:gridCol w:w="3694"/>
        <w:gridCol w:w="1232"/>
        <w:gridCol w:w="855"/>
        <w:gridCol w:w="522"/>
        <w:gridCol w:w="1105"/>
        <w:gridCol w:w="304"/>
        <w:gridCol w:w="1429"/>
      </w:tblGrid>
      <w:tr w:rsidR="002E53D6" w:rsidRPr="00250819" w14:paraId="0EAB2CC6" w14:textId="77777777" w:rsidTr="002E53D6">
        <w:trPr>
          <w:trHeight w:val="449"/>
        </w:trPr>
        <w:tc>
          <w:tcPr>
            <w:tcW w:w="9141" w:type="dxa"/>
            <w:gridSpan w:val="7"/>
            <w:tcBorders>
              <w:top w:val="nil"/>
              <w:left w:val="nil"/>
              <w:bottom w:val="nil"/>
              <w:right w:val="nil"/>
            </w:tcBorders>
            <w:shd w:val="clear" w:color="auto" w:fill="auto"/>
            <w:noWrap/>
            <w:vAlign w:val="bottom"/>
          </w:tcPr>
          <w:p w14:paraId="2FE209F0" w14:textId="77777777" w:rsidR="002E53D6" w:rsidRPr="00167779" w:rsidRDefault="002E53D6" w:rsidP="002E53D6">
            <w:pPr>
              <w:pBdr>
                <w:top w:val="nil"/>
                <w:left w:val="nil"/>
                <w:bottom w:val="nil"/>
                <w:right w:val="nil"/>
                <w:between w:val="nil"/>
              </w:pBdr>
              <w:tabs>
                <w:tab w:val="left" w:pos="3675"/>
              </w:tabs>
              <w:ind w:left="851"/>
              <w:jc w:val="center"/>
              <w:rPr>
                <w:rFonts w:ascii="Arial" w:eastAsia="Arial" w:hAnsi="Arial" w:cs="Arial"/>
                <w:b/>
              </w:rPr>
            </w:pPr>
            <w:r w:rsidRPr="00167779">
              <w:rPr>
                <w:rFonts w:ascii="Arial" w:eastAsia="Arial" w:hAnsi="Arial" w:cs="Arial"/>
                <w:b/>
              </w:rPr>
              <w:t>PRESUPUESTO DE INGRESOS</w:t>
            </w:r>
            <w:r>
              <w:rPr>
                <w:rFonts w:ascii="Arial" w:eastAsia="Arial" w:hAnsi="Arial" w:cs="Arial"/>
                <w:b/>
              </w:rPr>
              <w:t xml:space="preserve"> </w:t>
            </w:r>
            <w:r w:rsidRPr="00167779">
              <w:rPr>
                <w:rFonts w:ascii="Arial" w:eastAsia="Arial" w:hAnsi="Arial" w:cs="Arial"/>
                <w:b/>
              </w:rPr>
              <w:t xml:space="preserve">VIGENCIA </w:t>
            </w:r>
            <w:r>
              <w:rPr>
                <w:rFonts w:ascii="Arial" w:eastAsia="Arial" w:hAnsi="Arial" w:cs="Arial"/>
                <w:b/>
              </w:rPr>
              <w:t>2023-</w:t>
            </w:r>
            <w:r w:rsidRPr="00167779">
              <w:rPr>
                <w:rFonts w:ascii="Arial" w:eastAsia="Arial" w:hAnsi="Arial" w:cs="Arial"/>
                <w:b/>
              </w:rPr>
              <w:t>2024</w:t>
            </w:r>
          </w:p>
          <w:p w14:paraId="0CDCD384" w14:textId="7C9C0017" w:rsidR="002E53D6" w:rsidRPr="00250819" w:rsidRDefault="002E53D6" w:rsidP="002E53D6">
            <w:pPr>
              <w:widowControl/>
              <w:jc w:val="center"/>
              <w:rPr>
                <w:rFonts w:ascii="Arial" w:eastAsia="Times New Roman" w:hAnsi="Arial" w:cs="Arial"/>
                <w:color w:val="000000"/>
              </w:rPr>
            </w:pPr>
            <w:r>
              <w:rPr>
                <w:rFonts w:ascii="Arial" w:eastAsia="Times New Roman" w:hAnsi="Arial" w:cs="Arial"/>
                <w:color w:val="000000"/>
              </w:rPr>
              <w:t>Cifras en miles de pesos</w:t>
            </w:r>
          </w:p>
        </w:tc>
      </w:tr>
      <w:tr w:rsidR="002E53D6" w:rsidRPr="00250819" w14:paraId="67652E15" w14:textId="77777777" w:rsidTr="002E53D6">
        <w:trPr>
          <w:trHeight w:val="287"/>
        </w:trPr>
        <w:tc>
          <w:tcPr>
            <w:tcW w:w="3694" w:type="dxa"/>
            <w:tcBorders>
              <w:top w:val="nil"/>
              <w:left w:val="nil"/>
              <w:bottom w:val="nil"/>
              <w:right w:val="nil"/>
            </w:tcBorders>
            <w:shd w:val="clear" w:color="auto" w:fill="auto"/>
            <w:noWrap/>
            <w:vAlign w:val="bottom"/>
          </w:tcPr>
          <w:p w14:paraId="57E155C9" w14:textId="77777777" w:rsidR="002E53D6" w:rsidRDefault="002E53D6" w:rsidP="002E53D6">
            <w:pPr>
              <w:widowControl/>
              <w:jc w:val="both"/>
              <w:rPr>
                <w:rFonts w:ascii="Calibri" w:hAnsi="Calibri" w:cs="Calibri"/>
                <w:color w:val="000000"/>
                <w:sz w:val="22"/>
                <w:szCs w:val="22"/>
              </w:rPr>
            </w:pPr>
          </w:p>
        </w:tc>
        <w:tc>
          <w:tcPr>
            <w:tcW w:w="1232" w:type="dxa"/>
            <w:tcBorders>
              <w:top w:val="nil"/>
              <w:left w:val="nil"/>
              <w:bottom w:val="nil"/>
              <w:right w:val="nil"/>
            </w:tcBorders>
            <w:shd w:val="clear" w:color="auto" w:fill="auto"/>
            <w:noWrap/>
            <w:vAlign w:val="bottom"/>
          </w:tcPr>
          <w:p w14:paraId="7AA4E026" w14:textId="77777777" w:rsidR="002E53D6" w:rsidRPr="00250819" w:rsidRDefault="002E53D6" w:rsidP="002E53D6">
            <w:pPr>
              <w:widowControl/>
              <w:jc w:val="both"/>
              <w:rPr>
                <w:rFonts w:ascii="Times New Roman" w:eastAsia="Times New Roman" w:hAnsi="Times New Roman" w:cs="Times New Roman"/>
                <w:sz w:val="20"/>
                <w:szCs w:val="20"/>
              </w:rPr>
            </w:pPr>
          </w:p>
        </w:tc>
        <w:tc>
          <w:tcPr>
            <w:tcW w:w="1377" w:type="dxa"/>
            <w:gridSpan w:val="2"/>
            <w:tcBorders>
              <w:top w:val="nil"/>
              <w:left w:val="nil"/>
              <w:bottom w:val="nil"/>
              <w:right w:val="nil"/>
            </w:tcBorders>
            <w:shd w:val="clear" w:color="auto" w:fill="auto"/>
            <w:noWrap/>
            <w:vAlign w:val="bottom"/>
          </w:tcPr>
          <w:p w14:paraId="223813BC" w14:textId="77777777" w:rsidR="002E53D6" w:rsidRPr="00250819" w:rsidRDefault="002E53D6" w:rsidP="002E53D6">
            <w:pPr>
              <w:widowControl/>
              <w:jc w:val="both"/>
              <w:rPr>
                <w:rFonts w:ascii="Times New Roman" w:eastAsia="Times New Roman" w:hAnsi="Times New Roman" w:cs="Times New Roman"/>
                <w:sz w:val="20"/>
                <w:szCs w:val="20"/>
              </w:rPr>
            </w:pPr>
          </w:p>
        </w:tc>
        <w:tc>
          <w:tcPr>
            <w:tcW w:w="1409" w:type="dxa"/>
            <w:gridSpan w:val="2"/>
            <w:tcBorders>
              <w:top w:val="nil"/>
              <w:left w:val="nil"/>
              <w:bottom w:val="nil"/>
              <w:right w:val="nil"/>
            </w:tcBorders>
            <w:shd w:val="clear" w:color="auto" w:fill="auto"/>
            <w:noWrap/>
            <w:vAlign w:val="bottom"/>
          </w:tcPr>
          <w:p w14:paraId="5C59C593" w14:textId="77777777" w:rsidR="002E53D6" w:rsidRPr="00250819" w:rsidRDefault="002E53D6" w:rsidP="002E53D6">
            <w:pPr>
              <w:widowControl/>
              <w:jc w:val="both"/>
              <w:rPr>
                <w:rFonts w:ascii="Times New Roman" w:eastAsia="Times New Roman" w:hAnsi="Times New Roman" w:cs="Times New Roman"/>
                <w:sz w:val="20"/>
                <w:szCs w:val="20"/>
              </w:rPr>
            </w:pPr>
          </w:p>
        </w:tc>
        <w:tc>
          <w:tcPr>
            <w:tcW w:w="1425" w:type="dxa"/>
            <w:tcBorders>
              <w:top w:val="nil"/>
              <w:left w:val="nil"/>
              <w:bottom w:val="nil"/>
              <w:right w:val="nil"/>
            </w:tcBorders>
            <w:shd w:val="clear" w:color="auto" w:fill="auto"/>
            <w:noWrap/>
            <w:vAlign w:val="bottom"/>
          </w:tcPr>
          <w:p w14:paraId="7AFD6DAB" w14:textId="77777777" w:rsidR="002E53D6" w:rsidRPr="00250819" w:rsidRDefault="002E53D6" w:rsidP="002E53D6">
            <w:pPr>
              <w:widowControl/>
              <w:jc w:val="both"/>
              <w:rPr>
                <w:rFonts w:ascii="Calibri" w:eastAsia="Times New Roman" w:hAnsi="Calibri" w:cs="Calibri"/>
                <w:color w:val="000000"/>
                <w:sz w:val="22"/>
                <w:szCs w:val="22"/>
              </w:rPr>
            </w:pPr>
          </w:p>
        </w:tc>
      </w:tr>
      <w:tr w:rsidR="002E53D6" w:rsidRPr="00250819" w14:paraId="00F69F51" w14:textId="77777777" w:rsidTr="002E53D6">
        <w:trPr>
          <w:trHeight w:val="288"/>
        </w:trPr>
        <w:tc>
          <w:tcPr>
            <w:tcW w:w="57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5CA4D" w14:textId="66421203" w:rsidR="002E53D6" w:rsidRPr="00F33038" w:rsidRDefault="002E53D6" w:rsidP="002E53D6">
            <w:pPr>
              <w:widowControl/>
              <w:jc w:val="center"/>
              <w:rPr>
                <w:rFonts w:ascii="Calibri" w:eastAsia="Times New Roman" w:hAnsi="Calibri" w:cs="Calibri"/>
                <w:b/>
                <w:bCs/>
                <w:color w:val="000000"/>
                <w:sz w:val="22"/>
                <w:szCs w:val="22"/>
              </w:rPr>
            </w:pPr>
            <w:r w:rsidRPr="00F33038">
              <w:rPr>
                <w:rFonts w:ascii="Calibri" w:eastAsia="Times New Roman" w:hAnsi="Calibri" w:cs="Calibri"/>
                <w:b/>
                <w:bCs/>
                <w:color w:val="000000"/>
                <w:sz w:val="22"/>
                <w:szCs w:val="22"/>
              </w:rPr>
              <w:t>CONCEPTO</w:t>
            </w:r>
          </w:p>
        </w:tc>
        <w:tc>
          <w:tcPr>
            <w:tcW w:w="335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4EAA51" w14:textId="77777777" w:rsidR="002E53D6" w:rsidRPr="00F33038" w:rsidRDefault="002E53D6" w:rsidP="002E53D6">
            <w:pPr>
              <w:widowControl/>
              <w:jc w:val="center"/>
              <w:rPr>
                <w:rFonts w:ascii="Calibri" w:eastAsia="Times New Roman" w:hAnsi="Calibri" w:cs="Calibri"/>
                <w:b/>
                <w:bCs/>
                <w:color w:val="000000"/>
                <w:sz w:val="22"/>
                <w:szCs w:val="22"/>
              </w:rPr>
            </w:pPr>
            <w:r w:rsidRPr="00F33038">
              <w:rPr>
                <w:rFonts w:ascii="Calibri" w:eastAsia="Times New Roman" w:hAnsi="Calibri" w:cs="Calibri"/>
                <w:b/>
                <w:bCs/>
                <w:color w:val="000000"/>
                <w:sz w:val="22"/>
                <w:szCs w:val="22"/>
              </w:rPr>
              <w:t>Vigencia</w:t>
            </w:r>
          </w:p>
        </w:tc>
      </w:tr>
      <w:tr w:rsidR="002E53D6" w:rsidRPr="00250819" w14:paraId="1EE15399" w14:textId="77777777" w:rsidTr="002E53D6">
        <w:trPr>
          <w:trHeight w:val="288"/>
        </w:trPr>
        <w:tc>
          <w:tcPr>
            <w:tcW w:w="5781" w:type="dxa"/>
            <w:gridSpan w:val="3"/>
            <w:vMerge/>
            <w:tcBorders>
              <w:top w:val="single" w:sz="4" w:space="0" w:color="auto"/>
              <w:left w:val="single" w:sz="4" w:space="0" w:color="auto"/>
              <w:bottom w:val="single" w:sz="4" w:space="0" w:color="auto"/>
              <w:right w:val="single" w:sz="4" w:space="0" w:color="auto"/>
            </w:tcBorders>
            <w:vAlign w:val="center"/>
            <w:hideMark/>
          </w:tcPr>
          <w:p w14:paraId="104A9E40" w14:textId="77777777" w:rsidR="002E53D6" w:rsidRPr="00F33038" w:rsidRDefault="002E53D6" w:rsidP="002E53D6">
            <w:pPr>
              <w:widowControl/>
              <w:rPr>
                <w:rFonts w:ascii="Calibri" w:eastAsia="Times New Roman" w:hAnsi="Calibri" w:cs="Calibri"/>
                <w:b/>
                <w:bCs/>
                <w:color w:val="000000"/>
                <w:sz w:val="22"/>
                <w:szCs w:val="22"/>
              </w:rPr>
            </w:pPr>
          </w:p>
        </w:tc>
        <w:tc>
          <w:tcPr>
            <w:tcW w:w="1627" w:type="dxa"/>
            <w:gridSpan w:val="2"/>
            <w:tcBorders>
              <w:top w:val="nil"/>
              <w:left w:val="nil"/>
              <w:bottom w:val="nil"/>
              <w:right w:val="single" w:sz="4" w:space="0" w:color="auto"/>
            </w:tcBorders>
            <w:shd w:val="clear" w:color="auto" w:fill="auto"/>
            <w:noWrap/>
            <w:vAlign w:val="bottom"/>
            <w:hideMark/>
          </w:tcPr>
          <w:p w14:paraId="19A5BD18" w14:textId="77777777" w:rsidR="002E53D6" w:rsidRPr="00F33038" w:rsidRDefault="002E53D6" w:rsidP="002E53D6">
            <w:pPr>
              <w:widowControl/>
              <w:jc w:val="center"/>
              <w:rPr>
                <w:rFonts w:ascii="Calibri" w:eastAsia="Times New Roman" w:hAnsi="Calibri" w:cs="Calibri"/>
                <w:b/>
                <w:bCs/>
                <w:color w:val="000000"/>
                <w:sz w:val="22"/>
                <w:szCs w:val="22"/>
              </w:rPr>
            </w:pPr>
            <w:r w:rsidRPr="00F33038">
              <w:rPr>
                <w:rFonts w:ascii="Calibri" w:eastAsia="Times New Roman" w:hAnsi="Calibri" w:cs="Calibri"/>
                <w:b/>
                <w:bCs/>
                <w:color w:val="000000"/>
                <w:sz w:val="22"/>
                <w:szCs w:val="22"/>
              </w:rPr>
              <w:t>2023</w:t>
            </w:r>
          </w:p>
        </w:tc>
        <w:tc>
          <w:tcPr>
            <w:tcW w:w="1732" w:type="dxa"/>
            <w:gridSpan w:val="2"/>
            <w:tcBorders>
              <w:top w:val="nil"/>
              <w:left w:val="nil"/>
              <w:bottom w:val="nil"/>
              <w:right w:val="single" w:sz="4" w:space="0" w:color="auto"/>
            </w:tcBorders>
            <w:shd w:val="clear" w:color="auto" w:fill="auto"/>
            <w:noWrap/>
            <w:vAlign w:val="bottom"/>
            <w:hideMark/>
          </w:tcPr>
          <w:p w14:paraId="0653F769" w14:textId="77777777" w:rsidR="002E53D6" w:rsidRPr="00F33038" w:rsidRDefault="002E53D6" w:rsidP="002E53D6">
            <w:pPr>
              <w:widowControl/>
              <w:jc w:val="center"/>
              <w:rPr>
                <w:rFonts w:ascii="Calibri" w:eastAsia="Times New Roman" w:hAnsi="Calibri" w:cs="Calibri"/>
                <w:b/>
                <w:bCs/>
                <w:color w:val="000000"/>
                <w:sz w:val="22"/>
                <w:szCs w:val="22"/>
              </w:rPr>
            </w:pPr>
            <w:r w:rsidRPr="00F33038">
              <w:rPr>
                <w:rFonts w:ascii="Calibri" w:eastAsia="Times New Roman" w:hAnsi="Calibri" w:cs="Calibri"/>
                <w:b/>
                <w:bCs/>
                <w:color w:val="000000"/>
                <w:sz w:val="22"/>
                <w:szCs w:val="22"/>
              </w:rPr>
              <w:t>2024</w:t>
            </w:r>
          </w:p>
        </w:tc>
      </w:tr>
      <w:tr w:rsidR="002E53D6" w:rsidRPr="00250819" w14:paraId="4EB72E31" w14:textId="77777777" w:rsidTr="002E53D6">
        <w:trPr>
          <w:trHeight w:val="288"/>
        </w:trPr>
        <w:tc>
          <w:tcPr>
            <w:tcW w:w="5781"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550DBD7" w14:textId="2CC830F5" w:rsidR="002E53D6" w:rsidRPr="00250819" w:rsidRDefault="002E53D6" w:rsidP="002E53D6">
            <w:pPr>
              <w:widowControl/>
              <w:rPr>
                <w:rFonts w:ascii="Calibri" w:eastAsia="Times New Roman" w:hAnsi="Calibri" w:cs="Calibri"/>
                <w:b/>
                <w:bCs/>
                <w:color w:val="000000"/>
                <w:sz w:val="22"/>
                <w:szCs w:val="22"/>
              </w:rPr>
            </w:pPr>
            <w:r w:rsidRPr="00250819">
              <w:rPr>
                <w:rFonts w:ascii="Calibri" w:eastAsia="Times New Roman" w:hAnsi="Calibri" w:cs="Calibri"/>
                <w:b/>
                <w:bCs/>
                <w:color w:val="000000"/>
                <w:sz w:val="22"/>
                <w:szCs w:val="22"/>
              </w:rPr>
              <w:t>INGRESOS CORRIENTES</w:t>
            </w:r>
          </w:p>
        </w:tc>
        <w:tc>
          <w:tcPr>
            <w:tcW w:w="1627"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4A0E96FB" w14:textId="77777777" w:rsidR="002E53D6" w:rsidRPr="00250819" w:rsidRDefault="002E53D6" w:rsidP="002E53D6">
            <w:pPr>
              <w:widowControl/>
              <w:jc w:val="right"/>
              <w:rPr>
                <w:rFonts w:ascii="Calibri" w:eastAsia="Times New Roman" w:hAnsi="Calibri" w:cs="Calibri"/>
                <w:b/>
                <w:bCs/>
                <w:color w:val="000000"/>
                <w:sz w:val="22"/>
                <w:szCs w:val="22"/>
              </w:rPr>
            </w:pPr>
            <w:r w:rsidRPr="00250819">
              <w:rPr>
                <w:rFonts w:ascii="Calibri" w:eastAsia="Times New Roman" w:hAnsi="Calibri" w:cs="Calibri"/>
                <w:b/>
                <w:bCs/>
                <w:color w:val="000000"/>
                <w:sz w:val="22"/>
                <w:szCs w:val="22"/>
              </w:rPr>
              <w:t xml:space="preserve">      433.978.965 </w:t>
            </w:r>
          </w:p>
        </w:tc>
        <w:tc>
          <w:tcPr>
            <w:tcW w:w="1732"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2CC2E6CA" w14:textId="77777777" w:rsidR="002E53D6" w:rsidRPr="00250819" w:rsidRDefault="002E53D6" w:rsidP="002E53D6">
            <w:pPr>
              <w:widowControl/>
              <w:jc w:val="right"/>
              <w:rPr>
                <w:rFonts w:ascii="Calibri" w:eastAsia="Times New Roman" w:hAnsi="Calibri" w:cs="Calibri"/>
                <w:b/>
                <w:bCs/>
                <w:color w:val="000000"/>
                <w:sz w:val="22"/>
                <w:szCs w:val="22"/>
              </w:rPr>
            </w:pPr>
            <w:r w:rsidRPr="00250819">
              <w:rPr>
                <w:rFonts w:ascii="Calibri" w:eastAsia="Times New Roman" w:hAnsi="Calibri" w:cs="Calibri"/>
                <w:b/>
                <w:bCs/>
                <w:color w:val="000000"/>
                <w:sz w:val="22"/>
                <w:szCs w:val="22"/>
              </w:rPr>
              <w:t xml:space="preserve">     512.579.275 </w:t>
            </w:r>
          </w:p>
        </w:tc>
      </w:tr>
      <w:tr w:rsidR="002E53D6" w:rsidRPr="00250819" w14:paraId="14AC9237"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ACECD62"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Venta de Energía en Contratos-L.</w:t>
            </w:r>
            <w:r>
              <w:rPr>
                <w:rFonts w:ascii="Calibri" w:eastAsia="Times New Roman" w:hAnsi="Calibri" w:cs="Calibri"/>
                <w:color w:val="000000"/>
                <w:sz w:val="22"/>
                <w:szCs w:val="22"/>
              </w:rPr>
              <w:t xml:space="preserve"> </w:t>
            </w:r>
            <w:r w:rsidRPr="00250819">
              <w:rPr>
                <w:rFonts w:ascii="Calibri" w:eastAsia="Times New Roman" w:hAnsi="Calibri" w:cs="Calibri"/>
                <w:color w:val="000000"/>
                <w:sz w:val="22"/>
                <w:szCs w:val="22"/>
              </w:rPr>
              <w:t>P</w:t>
            </w:r>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1AAA188C"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299.705.802 </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0A7C74BA"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291.557.614</w:t>
            </w:r>
          </w:p>
        </w:tc>
      </w:tr>
      <w:tr w:rsidR="002E53D6" w:rsidRPr="00250819" w14:paraId="5AAAB7F2"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71FBC2"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Venta de Energía en Bolsa</w:t>
            </w:r>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1ED408A9"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122.785.535 </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475D044D"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211.406.066</w:t>
            </w:r>
          </w:p>
        </w:tc>
      </w:tr>
      <w:tr w:rsidR="002E53D6" w:rsidRPr="00250819" w14:paraId="55BC8F45"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25FA74A"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Ingresos por Comercialización</w:t>
            </w:r>
            <w:r>
              <w:rPr>
                <w:rFonts w:ascii="Calibri" w:eastAsia="Times New Roman" w:hAnsi="Calibri" w:cs="Calibri"/>
                <w:color w:val="000000"/>
                <w:sz w:val="22"/>
                <w:szCs w:val="22"/>
              </w:rPr>
              <w:t>-INPEC</w:t>
            </w:r>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0AA19CB3"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265.899 </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75053832"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233.862</w:t>
            </w:r>
          </w:p>
        </w:tc>
      </w:tr>
      <w:tr w:rsidR="002E53D6" w:rsidRPr="00250819" w14:paraId="791C2974"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DD134FD"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Ingresos por Confiabilidad</w:t>
            </w:r>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1DEAAF78"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9.241.687 </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4F5A551A"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6.936.332</w:t>
            </w:r>
          </w:p>
        </w:tc>
      </w:tr>
      <w:tr w:rsidR="002E53D6" w:rsidRPr="00250819" w14:paraId="0566FF98"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86F2D1E"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Ingresos por Conexión</w:t>
            </w:r>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6C22B9FA"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1.420.784 </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0B45A31C"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1.587.680</w:t>
            </w:r>
          </w:p>
        </w:tc>
      </w:tr>
      <w:tr w:rsidR="002E53D6" w:rsidRPr="00250819" w14:paraId="20DCD709"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B680CAF"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Ingresos por Regulación Primaria </w:t>
            </w:r>
            <w:r>
              <w:rPr>
                <w:rFonts w:ascii="Calibri" w:eastAsia="Times New Roman" w:hAnsi="Calibri" w:cs="Calibri"/>
                <w:color w:val="000000"/>
                <w:sz w:val="22"/>
                <w:szCs w:val="22"/>
              </w:rPr>
              <w:t>d</w:t>
            </w:r>
            <w:r w:rsidRPr="00250819">
              <w:rPr>
                <w:rFonts w:ascii="Calibri" w:eastAsia="Times New Roman" w:hAnsi="Calibri" w:cs="Calibri"/>
                <w:color w:val="000000"/>
                <w:sz w:val="22"/>
                <w:szCs w:val="22"/>
              </w:rPr>
              <w:t>e Frecuencia</w:t>
            </w:r>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41BB84B1"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559.258 </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51DE6273"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591.378</w:t>
            </w:r>
          </w:p>
        </w:tc>
      </w:tr>
      <w:tr w:rsidR="002E53D6" w:rsidRPr="00250819" w14:paraId="1A0E9F57"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322B91"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Venta </w:t>
            </w:r>
            <w:r>
              <w:rPr>
                <w:rFonts w:ascii="Calibri" w:eastAsia="Times New Roman" w:hAnsi="Calibri" w:cs="Calibri"/>
                <w:color w:val="000000"/>
                <w:sz w:val="22"/>
                <w:szCs w:val="22"/>
              </w:rPr>
              <w:t>d</w:t>
            </w:r>
            <w:r w:rsidRPr="00250819">
              <w:rPr>
                <w:rFonts w:ascii="Calibri" w:eastAsia="Times New Roman" w:hAnsi="Calibri" w:cs="Calibri"/>
                <w:color w:val="000000"/>
                <w:sz w:val="22"/>
                <w:szCs w:val="22"/>
              </w:rPr>
              <w:t xml:space="preserve">e Certificados </w:t>
            </w:r>
            <w:r>
              <w:rPr>
                <w:rFonts w:ascii="Calibri" w:eastAsia="Times New Roman" w:hAnsi="Calibri" w:cs="Calibri"/>
                <w:color w:val="000000"/>
                <w:sz w:val="22"/>
                <w:szCs w:val="22"/>
              </w:rPr>
              <w:t>d</w:t>
            </w:r>
            <w:r w:rsidRPr="00250819">
              <w:rPr>
                <w:rFonts w:ascii="Calibri" w:eastAsia="Times New Roman" w:hAnsi="Calibri" w:cs="Calibri"/>
                <w:color w:val="000000"/>
                <w:sz w:val="22"/>
                <w:szCs w:val="22"/>
              </w:rPr>
              <w:t xml:space="preserve">e Energía Renovable </w:t>
            </w:r>
            <w:proofErr w:type="spellStart"/>
            <w:r w:rsidRPr="00250819">
              <w:rPr>
                <w:rFonts w:ascii="Calibri" w:eastAsia="Times New Roman" w:hAnsi="Calibri" w:cs="Calibri"/>
                <w:color w:val="000000"/>
                <w:sz w:val="22"/>
                <w:szCs w:val="22"/>
              </w:rPr>
              <w:t>Rec's</w:t>
            </w:r>
            <w:proofErr w:type="spellEnd"/>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46BE4C77"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 </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0D885590"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266.341</w:t>
            </w:r>
          </w:p>
        </w:tc>
      </w:tr>
      <w:tr w:rsidR="002E53D6" w:rsidRPr="00250819" w14:paraId="5BB77F19"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000000" w:fill="DDEBF7"/>
            <w:noWrap/>
            <w:vAlign w:val="center"/>
            <w:hideMark/>
          </w:tcPr>
          <w:p w14:paraId="3E039E0E" w14:textId="53CFB208" w:rsidR="002E53D6" w:rsidRPr="00250819" w:rsidRDefault="002E53D6" w:rsidP="002E53D6">
            <w:pPr>
              <w:widowControl/>
              <w:rPr>
                <w:rFonts w:ascii="Calibri" w:eastAsia="Times New Roman" w:hAnsi="Calibri" w:cs="Calibri"/>
                <w:b/>
                <w:bCs/>
                <w:color w:val="000000"/>
                <w:sz w:val="22"/>
                <w:szCs w:val="22"/>
              </w:rPr>
            </w:pPr>
            <w:r w:rsidRPr="00250819">
              <w:rPr>
                <w:rFonts w:ascii="Calibri" w:eastAsia="Times New Roman" w:hAnsi="Calibri" w:cs="Calibri"/>
                <w:b/>
                <w:bCs/>
                <w:color w:val="000000"/>
                <w:sz w:val="22"/>
                <w:szCs w:val="22"/>
              </w:rPr>
              <w:t>INGRESOS DE CAPITAL</w:t>
            </w:r>
          </w:p>
        </w:tc>
        <w:tc>
          <w:tcPr>
            <w:tcW w:w="1627" w:type="dxa"/>
            <w:gridSpan w:val="2"/>
            <w:tcBorders>
              <w:top w:val="nil"/>
              <w:left w:val="nil"/>
              <w:bottom w:val="single" w:sz="4" w:space="0" w:color="auto"/>
              <w:right w:val="single" w:sz="4" w:space="0" w:color="auto"/>
            </w:tcBorders>
            <w:shd w:val="clear" w:color="000000" w:fill="DDEBF7"/>
            <w:noWrap/>
            <w:vAlign w:val="bottom"/>
            <w:hideMark/>
          </w:tcPr>
          <w:p w14:paraId="2BD34392" w14:textId="77777777" w:rsidR="002E53D6" w:rsidRPr="00250819" w:rsidRDefault="002E53D6" w:rsidP="002E53D6">
            <w:pPr>
              <w:widowControl/>
              <w:jc w:val="right"/>
              <w:rPr>
                <w:rFonts w:ascii="Calibri" w:eastAsia="Times New Roman" w:hAnsi="Calibri" w:cs="Calibri"/>
                <w:b/>
                <w:bCs/>
                <w:color w:val="000000"/>
                <w:sz w:val="22"/>
                <w:szCs w:val="22"/>
              </w:rPr>
            </w:pPr>
            <w:r w:rsidRPr="00250819">
              <w:rPr>
                <w:rFonts w:ascii="Calibri" w:eastAsia="Times New Roman" w:hAnsi="Calibri" w:cs="Calibri"/>
                <w:b/>
                <w:bCs/>
                <w:color w:val="000000"/>
                <w:sz w:val="22"/>
                <w:szCs w:val="22"/>
              </w:rPr>
              <w:t>11.740.450</w:t>
            </w:r>
          </w:p>
        </w:tc>
        <w:tc>
          <w:tcPr>
            <w:tcW w:w="1732" w:type="dxa"/>
            <w:gridSpan w:val="2"/>
            <w:tcBorders>
              <w:top w:val="nil"/>
              <w:left w:val="nil"/>
              <w:bottom w:val="single" w:sz="4" w:space="0" w:color="auto"/>
              <w:right w:val="single" w:sz="4" w:space="0" w:color="auto"/>
            </w:tcBorders>
            <w:shd w:val="clear" w:color="000000" w:fill="DDEBF7"/>
            <w:noWrap/>
            <w:vAlign w:val="bottom"/>
            <w:hideMark/>
          </w:tcPr>
          <w:p w14:paraId="62D412A0" w14:textId="77777777" w:rsidR="002E53D6" w:rsidRPr="00250819" w:rsidRDefault="002E53D6" w:rsidP="002E53D6">
            <w:pPr>
              <w:widowControl/>
              <w:jc w:val="right"/>
              <w:rPr>
                <w:rFonts w:ascii="Calibri" w:eastAsia="Times New Roman" w:hAnsi="Calibri" w:cs="Calibri"/>
                <w:b/>
                <w:bCs/>
                <w:color w:val="000000"/>
                <w:sz w:val="22"/>
                <w:szCs w:val="22"/>
              </w:rPr>
            </w:pPr>
            <w:r w:rsidRPr="00250819">
              <w:rPr>
                <w:rFonts w:ascii="Calibri" w:eastAsia="Times New Roman" w:hAnsi="Calibri" w:cs="Calibri"/>
                <w:b/>
                <w:bCs/>
                <w:color w:val="000000"/>
                <w:sz w:val="22"/>
                <w:szCs w:val="22"/>
              </w:rPr>
              <w:t>77.293.052</w:t>
            </w:r>
          </w:p>
        </w:tc>
      </w:tr>
      <w:tr w:rsidR="002E53D6" w:rsidRPr="00250819" w14:paraId="025E6474"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993B7F4"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Recuperación de Cartera</w:t>
            </w:r>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2304C543"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400.000</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091068F8"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240.000</w:t>
            </w:r>
          </w:p>
        </w:tc>
      </w:tr>
      <w:tr w:rsidR="002E53D6" w:rsidRPr="00250819" w14:paraId="29C5D8E5"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405A1A"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Rendimientos Financieros</w:t>
            </w:r>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11CD9ED9"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11.340.450</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18539791"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9.107.351</w:t>
            </w:r>
          </w:p>
        </w:tc>
      </w:tr>
      <w:tr w:rsidR="002E53D6" w:rsidRPr="00250819" w14:paraId="2797105B"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1E9EFC"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Crédito Proveedores</w:t>
            </w:r>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7FC6028F"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 </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6A5D200F"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30.751.888</w:t>
            </w:r>
          </w:p>
        </w:tc>
      </w:tr>
      <w:tr w:rsidR="002E53D6" w:rsidRPr="00250819" w14:paraId="478E8E1A"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95B3BE3"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 xml:space="preserve">   Recursos De Terceros- Administración</w:t>
            </w:r>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6C156295"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 </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0B73D648"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37.193.813</w:t>
            </w:r>
          </w:p>
        </w:tc>
      </w:tr>
      <w:tr w:rsidR="002E53D6" w:rsidRPr="00250819" w14:paraId="35EB137A"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000000" w:fill="DDEBF7"/>
            <w:noWrap/>
            <w:vAlign w:val="bottom"/>
            <w:hideMark/>
          </w:tcPr>
          <w:p w14:paraId="42EE67CB" w14:textId="76D09755" w:rsidR="002E53D6" w:rsidRPr="00250819" w:rsidRDefault="002E53D6" w:rsidP="002E53D6">
            <w:pPr>
              <w:widowControl/>
              <w:rPr>
                <w:rFonts w:ascii="Calibri" w:eastAsia="Times New Roman" w:hAnsi="Calibri" w:cs="Calibri"/>
                <w:b/>
                <w:bCs/>
                <w:color w:val="000000"/>
                <w:sz w:val="22"/>
                <w:szCs w:val="22"/>
              </w:rPr>
            </w:pPr>
            <w:proofErr w:type="gramStart"/>
            <w:r w:rsidRPr="00250819">
              <w:rPr>
                <w:rFonts w:ascii="Calibri" w:eastAsia="Times New Roman" w:hAnsi="Calibri" w:cs="Calibri"/>
                <w:b/>
                <w:bCs/>
                <w:color w:val="000000"/>
                <w:sz w:val="22"/>
                <w:szCs w:val="22"/>
              </w:rPr>
              <w:t>TOTAL</w:t>
            </w:r>
            <w:proofErr w:type="gramEnd"/>
            <w:r w:rsidRPr="00250819">
              <w:rPr>
                <w:rFonts w:ascii="Calibri" w:eastAsia="Times New Roman" w:hAnsi="Calibri" w:cs="Calibri"/>
                <w:b/>
                <w:bCs/>
                <w:color w:val="000000"/>
                <w:sz w:val="22"/>
                <w:szCs w:val="22"/>
              </w:rPr>
              <w:t xml:space="preserve">   INGRESOS</w:t>
            </w:r>
          </w:p>
        </w:tc>
        <w:tc>
          <w:tcPr>
            <w:tcW w:w="1627" w:type="dxa"/>
            <w:gridSpan w:val="2"/>
            <w:tcBorders>
              <w:top w:val="nil"/>
              <w:left w:val="nil"/>
              <w:bottom w:val="single" w:sz="4" w:space="0" w:color="auto"/>
              <w:right w:val="single" w:sz="4" w:space="0" w:color="auto"/>
            </w:tcBorders>
            <w:shd w:val="clear" w:color="000000" w:fill="DDEBF7"/>
            <w:noWrap/>
            <w:vAlign w:val="bottom"/>
            <w:hideMark/>
          </w:tcPr>
          <w:p w14:paraId="4F10A33F" w14:textId="77777777" w:rsidR="002E53D6" w:rsidRPr="00250819" w:rsidRDefault="002E53D6" w:rsidP="002E53D6">
            <w:pPr>
              <w:widowControl/>
              <w:jc w:val="right"/>
              <w:rPr>
                <w:rFonts w:ascii="Calibri" w:eastAsia="Times New Roman" w:hAnsi="Calibri" w:cs="Calibri"/>
                <w:b/>
                <w:bCs/>
                <w:color w:val="000000"/>
                <w:sz w:val="22"/>
                <w:szCs w:val="22"/>
              </w:rPr>
            </w:pPr>
            <w:r w:rsidRPr="00250819">
              <w:rPr>
                <w:rFonts w:ascii="Calibri" w:eastAsia="Times New Roman" w:hAnsi="Calibri" w:cs="Calibri"/>
                <w:b/>
                <w:bCs/>
                <w:color w:val="000000"/>
                <w:sz w:val="22"/>
                <w:szCs w:val="22"/>
              </w:rPr>
              <w:t>445.719.415</w:t>
            </w:r>
          </w:p>
        </w:tc>
        <w:tc>
          <w:tcPr>
            <w:tcW w:w="1732" w:type="dxa"/>
            <w:gridSpan w:val="2"/>
            <w:tcBorders>
              <w:top w:val="nil"/>
              <w:left w:val="nil"/>
              <w:bottom w:val="single" w:sz="4" w:space="0" w:color="auto"/>
              <w:right w:val="single" w:sz="4" w:space="0" w:color="auto"/>
            </w:tcBorders>
            <w:shd w:val="clear" w:color="000000" w:fill="DDEBF7"/>
            <w:noWrap/>
            <w:vAlign w:val="bottom"/>
            <w:hideMark/>
          </w:tcPr>
          <w:p w14:paraId="4C53932F" w14:textId="77777777" w:rsidR="002E53D6" w:rsidRPr="00250819" w:rsidRDefault="002E53D6" w:rsidP="002E53D6">
            <w:pPr>
              <w:widowControl/>
              <w:jc w:val="right"/>
              <w:rPr>
                <w:rFonts w:ascii="Calibri" w:eastAsia="Times New Roman" w:hAnsi="Calibri" w:cs="Calibri"/>
                <w:b/>
                <w:bCs/>
                <w:color w:val="000000"/>
                <w:sz w:val="22"/>
                <w:szCs w:val="22"/>
              </w:rPr>
            </w:pPr>
            <w:r w:rsidRPr="00250819">
              <w:rPr>
                <w:rFonts w:ascii="Calibri" w:eastAsia="Times New Roman" w:hAnsi="Calibri" w:cs="Calibri"/>
                <w:b/>
                <w:bCs/>
                <w:color w:val="000000"/>
                <w:sz w:val="22"/>
                <w:szCs w:val="22"/>
              </w:rPr>
              <w:t>589.872.327</w:t>
            </w:r>
          </w:p>
        </w:tc>
      </w:tr>
      <w:tr w:rsidR="002E53D6" w:rsidRPr="00250819" w14:paraId="73763744"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6571287" w14:textId="77777777" w:rsidR="002E53D6" w:rsidRPr="00250819" w:rsidRDefault="002E53D6" w:rsidP="002E53D6">
            <w:pPr>
              <w:widowControl/>
              <w:rPr>
                <w:rFonts w:ascii="Calibri" w:eastAsia="Times New Roman" w:hAnsi="Calibri" w:cs="Calibri"/>
                <w:color w:val="000000"/>
                <w:sz w:val="22"/>
                <w:szCs w:val="22"/>
              </w:rPr>
            </w:pPr>
            <w:r w:rsidRPr="00250819">
              <w:rPr>
                <w:rFonts w:ascii="Calibri" w:eastAsia="Times New Roman" w:hAnsi="Calibri" w:cs="Calibri"/>
                <w:color w:val="000000"/>
                <w:sz w:val="22"/>
                <w:szCs w:val="22"/>
              </w:rPr>
              <w:t>Disponibilidad Inicial</w:t>
            </w:r>
          </w:p>
        </w:tc>
        <w:tc>
          <w:tcPr>
            <w:tcW w:w="1627" w:type="dxa"/>
            <w:gridSpan w:val="2"/>
            <w:tcBorders>
              <w:top w:val="nil"/>
              <w:left w:val="nil"/>
              <w:bottom w:val="single" w:sz="4" w:space="0" w:color="auto"/>
              <w:right w:val="single" w:sz="4" w:space="0" w:color="auto"/>
            </w:tcBorders>
            <w:shd w:val="clear" w:color="auto" w:fill="auto"/>
            <w:noWrap/>
            <w:vAlign w:val="bottom"/>
            <w:hideMark/>
          </w:tcPr>
          <w:p w14:paraId="256E8B67"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158.756.489</w:t>
            </w:r>
          </w:p>
        </w:tc>
        <w:tc>
          <w:tcPr>
            <w:tcW w:w="1732" w:type="dxa"/>
            <w:gridSpan w:val="2"/>
            <w:tcBorders>
              <w:top w:val="nil"/>
              <w:left w:val="nil"/>
              <w:bottom w:val="single" w:sz="4" w:space="0" w:color="auto"/>
              <w:right w:val="single" w:sz="4" w:space="0" w:color="auto"/>
            </w:tcBorders>
            <w:shd w:val="clear" w:color="auto" w:fill="auto"/>
            <w:noWrap/>
            <w:vAlign w:val="bottom"/>
            <w:hideMark/>
          </w:tcPr>
          <w:p w14:paraId="1CE6B767" w14:textId="77777777" w:rsidR="002E53D6" w:rsidRPr="00250819" w:rsidRDefault="002E53D6" w:rsidP="002E53D6">
            <w:pPr>
              <w:widowControl/>
              <w:jc w:val="right"/>
              <w:rPr>
                <w:rFonts w:ascii="Calibri" w:eastAsia="Times New Roman" w:hAnsi="Calibri" w:cs="Calibri"/>
                <w:color w:val="000000"/>
                <w:sz w:val="22"/>
                <w:szCs w:val="22"/>
              </w:rPr>
            </w:pPr>
            <w:r w:rsidRPr="00250819">
              <w:rPr>
                <w:rFonts w:ascii="Calibri" w:eastAsia="Times New Roman" w:hAnsi="Calibri" w:cs="Calibri"/>
                <w:color w:val="000000"/>
                <w:sz w:val="22"/>
                <w:szCs w:val="22"/>
              </w:rPr>
              <w:t>155.394.983</w:t>
            </w:r>
          </w:p>
        </w:tc>
      </w:tr>
      <w:tr w:rsidR="002E53D6" w:rsidRPr="00250819" w14:paraId="5921248B" w14:textId="77777777" w:rsidTr="002E53D6">
        <w:trPr>
          <w:trHeight w:val="288"/>
        </w:trPr>
        <w:tc>
          <w:tcPr>
            <w:tcW w:w="5781" w:type="dxa"/>
            <w:gridSpan w:val="3"/>
            <w:tcBorders>
              <w:top w:val="nil"/>
              <w:left w:val="single" w:sz="4" w:space="0" w:color="auto"/>
              <w:bottom w:val="single" w:sz="4" w:space="0" w:color="auto"/>
              <w:right w:val="single" w:sz="4" w:space="0" w:color="auto"/>
            </w:tcBorders>
            <w:shd w:val="clear" w:color="000000" w:fill="BDD7EE"/>
            <w:noWrap/>
            <w:vAlign w:val="bottom"/>
            <w:hideMark/>
          </w:tcPr>
          <w:p w14:paraId="1933108F" w14:textId="64BC0FF7" w:rsidR="002E53D6" w:rsidRPr="00250819" w:rsidRDefault="00F33038" w:rsidP="002E53D6">
            <w:pPr>
              <w:widowControl/>
              <w:rPr>
                <w:rFonts w:ascii="Calibri" w:eastAsia="Times New Roman" w:hAnsi="Calibri" w:cs="Calibri"/>
                <w:b/>
                <w:bCs/>
                <w:color w:val="000000"/>
                <w:sz w:val="22"/>
                <w:szCs w:val="22"/>
              </w:rPr>
            </w:pPr>
            <w:proofErr w:type="gramStart"/>
            <w:r w:rsidRPr="00250819">
              <w:rPr>
                <w:rFonts w:ascii="Calibri" w:eastAsia="Times New Roman" w:hAnsi="Calibri" w:cs="Calibri"/>
                <w:b/>
                <w:bCs/>
                <w:color w:val="000000"/>
                <w:sz w:val="22"/>
                <w:szCs w:val="22"/>
              </w:rPr>
              <w:t>TOTAL</w:t>
            </w:r>
            <w:proofErr w:type="gramEnd"/>
            <w:r w:rsidRPr="00250819">
              <w:rPr>
                <w:rFonts w:ascii="Calibri" w:eastAsia="Times New Roman" w:hAnsi="Calibri" w:cs="Calibri"/>
                <w:b/>
                <w:bCs/>
                <w:color w:val="000000"/>
                <w:sz w:val="22"/>
                <w:szCs w:val="22"/>
              </w:rPr>
              <w:t xml:space="preserve"> INGRESOS</w:t>
            </w:r>
            <w:r w:rsidR="002E53D6" w:rsidRPr="00250819">
              <w:rPr>
                <w:rFonts w:ascii="Calibri" w:eastAsia="Times New Roman" w:hAnsi="Calibri" w:cs="Calibri"/>
                <w:b/>
                <w:bCs/>
                <w:color w:val="000000"/>
                <w:sz w:val="22"/>
                <w:szCs w:val="22"/>
              </w:rPr>
              <w:t xml:space="preserve"> + </w:t>
            </w:r>
            <w:r w:rsidRPr="00250819">
              <w:rPr>
                <w:rFonts w:ascii="Calibri" w:eastAsia="Times New Roman" w:hAnsi="Calibri" w:cs="Calibri"/>
                <w:b/>
                <w:bCs/>
                <w:color w:val="000000"/>
                <w:sz w:val="22"/>
                <w:szCs w:val="22"/>
              </w:rPr>
              <w:t>DISPONIBILIDAD INICIAL</w:t>
            </w:r>
          </w:p>
        </w:tc>
        <w:tc>
          <w:tcPr>
            <w:tcW w:w="1627" w:type="dxa"/>
            <w:gridSpan w:val="2"/>
            <w:tcBorders>
              <w:top w:val="nil"/>
              <w:left w:val="nil"/>
              <w:bottom w:val="single" w:sz="4" w:space="0" w:color="auto"/>
              <w:right w:val="single" w:sz="4" w:space="0" w:color="auto"/>
            </w:tcBorders>
            <w:shd w:val="clear" w:color="000000" w:fill="BDD7EE"/>
            <w:noWrap/>
            <w:vAlign w:val="bottom"/>
            <w:hideMark/>
          </w:tcPr>
          <w:p w14:paraId="570F044E" w14:textId="77777777" w:rsidR="002E53D6" w:rsidRPr="00250819" w:rsidRDefault="002E53D6" w:rsidP="002E53D6">
            <w:pPr>
              <w:widowControl/>
              <w:jc w:val="right"/>
              <w:rPr>
                <w:rFonts w:ascii="Calibri" w:eastAsia="Times New Roman" w:hAnsi="Calibri" w:cs="Calibri"/>
                <w:b/>
                <w:bCs/>
                <w:color w:val="000000"/>
                <w:sz w:val="22"/>
                <w:szCs w:val="22"/>
              </w:rPr>
            </w:pPr>
            <w:r w:rsidRPr="00250819">
              <w:rPr>
                <w:rFonts w:ascii="Calibri" w:eastAsia="Times New Roman" w:hAnsi="Calibri" w:cs="Calibri"/>
                <w:b/>
                <w:bCs/>
                <w:color w:val="000000"/>
                <w:sz w:val="22"/>
                <w:szCs w:val="22"/>
              </w:rPr>
              <w:t>604.475.904</w:t>
            </w:r>
          </w:p>
        </w:tc>
        <w:tc>
          <w:tcPr>
            <w:tcW w:w="1732" w:type="dxa"/>
            <w:gridSpan w:val="2"/>
            <w:tcBorders>
              <w:top w:val="nil"/>
              <w:left w:val="nil"/>
              <w:bottom w:val="single" w:sz="4" w:space="0" w:color="auto"/>
              <w:right w:val="single" w:sz="4" w:space="0" w:color="auto"/>
            </w:tcBorders>
            <w:shd w:val="clear" w:color="000000" w:fill="BDD7EE"/>
            <w:noWrap/>
            <w:vAlign w:val="bottom"/>
            <w:hideMark/>
          </w:tcPr>
          <w:p w14:paraId="762513AD" w14:textId="77777777" w:rsidR="002E53D6" w:rsidRPr="00250819" w:rsidRDefault="002E53D6" w:rsidP="002E53D6">
            <w:pPr>
              <w:widowControl/>
              <w:jc w:val="right"/>
              <w:rPr>
                <w:rFonts w:ascii="Calibri" w:eastAsia="Times New Roman" w:hAnsi="Calibri" w:cs="Calibri"/>
                <w:b/>
                <w:bCs/>
                <w:color w:val="000000"/>
                <w:sz w:val="22"/>
                <w:szCs w:val="22"/>
              </w:rPr>
            </w:pPr>
            <w:r w:rsidRPr="00250819">
              <w:rPr>
                <w:rFonts w:ascii="Calibri" w:eastAsia="Times New Roman" w:hAnsi="Calibri" w:cs="Calibri"/>
                <w:b/>
                <w:bCs/>
                <w:color w:val="000000"/>
                <w:sz w:val="22"/>
                <w:szCs w:val="22"/>
              </w:rPr>
              <w:t>745.267.310</w:t>
            </w:r>
          </w:p>
        </w:tc>
      </w:tr>
    </w:tbl>
    <w:p w14:paraId="61CEABEF" w14:textId="77777777" w:rsidR="002E53D6" w:rsidRDefault="002E53D6" w:rsidP="00167779">
      <w:pPr>
        <w:pBdr>
          <w:top w:val="nil"/>
          <w:left w:val="nil"/>
          <w:bottom w:val="nil"/>
          <w:right w:val="nil"/>
          <w:between w:val="nil"/>
        </w:pBdr>
        <w:tabs>
          <w:tab w:val="left" w:pos="3675"/>
        </w:tabs>
        <w:ind w:left="851"/>
        <w:jc w:val="both"/>
        <w:rPr>
          <w:rFonts w:ascii="Arial" w:eastAsia="Arial" w:hAnsi="Arial" w:cs="Arial"/>
          <w:b/>
        </w:rPr>
      </w:pPr>
    </w:p>
    <w:p w14:paraId="79B2B8E7" w14:textId="77777777" w:rsidR="00CE7C86" w:rsidRDefault="00CE7C86" w:rsidP="00250819">
      <w:pPr>
        <w:pBdr>
          <w:top w:val="nil"/>
          <w:left w:val="nil"/>
          <w:bottom w:val="nil"/>
          <w:right w:val="nil"/>
          <w:between w:val="nil"/>
        </w:pBdr>
        <w:tabs>
          <w:tab w:val="left" w:pos="7725"/>
        </w:tabs>
        <w:rPr>
          <w:rFonts w:ascii="Arial" w:eastAsia="Arial" w:hAnsi="Arial" w:cs="Arial"/>
          <w:b/>
        </w:rPr>
      </w:pPr>
    </w:p>
    <w:p w14:paraId="19CC75F3" w14:textId="77777777" w:rsidR="00CE7C86" w:rsidRDefault="00CE7C86" w:rsidP="00CE7C86">
      <w:pPr>
        <w:numPr>
          <w:ilvl w:val="0"/>
          <w:numId w:val="5"/>
        </w:numPr>
        <w:pBdr>
          <w:top w:val="nil"/>
          <w:left w:val="nil"/>
          <w:bottom w:val="nil"/>
          <w:right w:val="nil"/>
          <w:between w:val="nil"/>
        </w:pBdr>
        <w:jc w:val="both"/>
        <w:rPr>
          <w:rFonts w:ascii="Arial" w:eastAsia="Arial" w:hAnsi="Arial" w:cs="Arial"/>
        </w:rPr>
      </w:pPr>
      <w:r>
        <w:rPr>
          <w:rFonts w:ascii="Arial" w:eastAsia="Arial" w:hAnsi="Arial" w:cs="Arial"/>
        </w:rPr>
        <w:t xml:space="preserve">Los ingresos de un generador de energía eléctrica dependen de la venta de su energía en el mercado de Largo Plazo (LP), en el mercado de Corto Plazo (CP) y los servicios complementarios. </w:t>
      </w:r>
    </w:p>
    <w:p w14:paraId="53D5AE0A" w14:textId="77777777" w:rsidR="00CE7C86" w:rsidRDefault="00CE7C86" w:rsidP="00CE7C86">
      <w:pPr>
        <w:ind w:left="720"/>
        <w:jc w:val="both"/>
        <w:rPr>
          <w:rFonts w:ascii="Arial" w:eastAsia="Arial" w:hAnsi="Arial" w:cs="Arial"/>
        </w:rPr>
      </w:pPr>
    </w:p>
    <w:p w14:paraId="47828967" w14:textId="77777777" w:rsidR="00CE7C86" w:rsidRDefault="00CE7C86" w:rsidP="00CE7C86">
      <w:pPr>
        <w:numPr>
          <w:ilvl w:val="0"/>
          <w:numId w:val="1"/>
        </w:numPr>
        <w:jc w:val="both"/>
        <w:rPr>
          <w:rFonts w:ascii="Arial" w:eastAsia="Arial" w:hAnsi="Arial" w:cs="Arial"/>
        </w:rPr>
      </w:pPr>
      <w:r>
        <w:rPr>
          <w:rFonts w:ascii="Arial" w:eastAsia="Arial" w:hAnsi="Arial" w:cs="Arial"/>
        </w:rPr>
        <w:t xml:space="preserve">Las ventas de energía a </w:t>
      </w:r>
      <w:proofErr w:type="gramStart"/>
      <w:r>
        <w:rPr>
          <w:rFonts w:ascii="Arial" w:eastAsia="Arial" w:hAnsi="Arial" w:cs="Arial"/>
        </w:rPr>
        <w:t>LP,</w:t>
      </w:r>
      <w:proofErr w:type="gramEnd"/>
      <w:r>
        <w:rPr>
          <w:rFonts w:ascii="Arial" w:eastAsia="Arial" w:hAnsi="Arial" w:cs="Arial"/>
        </w:rPr>
        <w:t xml:space="preserve"> se enmarcan en un Plan de Ventas, que es cumplido año a año de acuerdo a los porcentajes de ventas de cada vigencia y a las reservas de acuerdo a la proyección estimada de generación.  Este plan de ventas estará enmarcado en el análisis de oportunidades, que se presentan debido al resultado del libre juego de la oferta y la demanda de energía, y estas oportunidades dentro del marco legal y regulatorio del sector.</w:t>
      </w:r>
    </w:p>
    <w:p w14:paraId="75DE111A" w14:textId="77777777" w:rsidR="00CE7C86" w:rsidRDefault="00CE7C86" w:rsidP="00CE7C86">
      <w:pPr>
        <w:jc w:val="both"/>
        <w:rPr>
          <w:rFonts w:ascii="Arial" w:eastAsia="Arial" w:hAnsi="Arial" w:cs="Arial"/>
        </w:rPr>
      </w:pPr>
    </w:p>
    <w:p w14:paraId="634306BB" w14:textId="1C625216" w:rsidR="00CE7C86" w:rsidRDefault="00CE7C86" w:rsidP="00CE7C86">
      <w:pPr>
        <w:numPr>
          <w:ilvl w:val="0"/>
          <w:numId w:val="2"/>
        </w:numPr>
        <w:jc w:val="both"/>
        <w:rPr>
          <w:rFonts w:ascii="Arial" w:eastAsia="Arial" w:hAnsi="Arial" w:cs="Arial"/>
        </w:rPr>
      </w:pPr>
      <w:r>
        <w:rPr>
          <w:rFonts w:ascii="Arial" w:eastAsia="Arial" w:hAnsi="Arial" w:cs="Arial"/>
        </w:rPr>
        <w:t xml:space="preserve">Para estimar la cantidad de energía mensual a vender en contratos se estima una curva de generación la cual se afectará con un factor que dependerá de las características de cada período; de manera que el impacto sobre la </w:t>
      </w:r>
      <w:r>
        <w:rPr>
          <w:rFonts w:ascii="Arial" w:eastAsia="Arial" w:hAnsi="Arial" w:cs="Arial"/>
        </w:rPr>
        <w:lastRenderedPageBreak/>
        <w:t xml:space="preserve">generación, en el caso de que el pronóstico diste mucho de la realidad, no afecte de forma importante los planes de generación. </w:t>
      </w:r>
    </w:p>
    <w:p w14:paraId="54277325" w14:textId="12AF709D" w:rsidR="00CE7C86" w:rsidRDefault="00CE7C86" w:rsidP="00250819">
      <w:pPr>
        <w:pBdr>
          <w:top w:val="nil"/>
          <w:left w:val="nil"/>
          <w:bottom w:val="nil"/>
          <w:right w:val="nil"/>
          <w:between w:val="nil"/>
        </w:pBdr>
        <w:tabs>
          <w:tab w:val="left" w:pos="7725"/>
        </w:tabs>
        <w:rPr>
          <w:rFonts w:ascii="Arial" w:eastAsia="Arial" w:hAnsi="Arial" w:cs="Arial"/>
          <w:b/>
        </w:rPr>
      </w:pPr>
    </w:p>
    <w:p w14:paraId="2A264908" w14:textId="42751AF8" w:rsidR="00CE7C86" w:rsidRPr="00CE7C86" w:rsidRDefault="00CE7C86" w:rsidP="00250819">
      <w:pPr>
        <w:pBdr>
          <w:top w:val="nil"/>
          <w:left w:val="nil"/>
          <w:bottom w:val="nil"/>
          <w:right w:val="nil"/>
          <w:between w:val="nil"/>
        </w:pBdr>
        <w:tabs>
          <w:tab w:val="left" w:pos="7725"/>
        </w:tabs>
        <w:rPr>
          <w:rFonts w:ascii="Arial" w:eastAsia="Arial" w:hAnsi="Arial" w:cs="Arial"/>
          <w:bCs/>
        </w:rPr>
      </w:pPr>
      <w:r>
        <w:rPr>
          <w:rFonts w:ascii="Arial" w:eastAsia="Arial" w:hAnsi="Arial" w:cs="Arial"/>
          <w:b/>
        </w:rPr>
        <w:t xml:space="preserve"> </w:t>
      </w:r>
      <w:r w:rsidRPr="00CE7C86">
        <w:rPr>
          <w:rFonts w:ascii="Arial" w:eastAsia="Arial" w:hAnsi="Arial" w:cs="Arial"/>
          <w:bCs/>
        </w:rPr>
        <w:t>A continuación, se relacionan la fuente de Ingresos</w:t>
      </w:r>
      <w:r>
        <w:rPr>
          <w:rFonts w:ascii="Arial" w:eastAsia="Arial" w:hAnsi="Arial" w:cs="Arial"/>
          <w:bCs/>
        </w:rPr>
        <w:t xml:space="preserve"> de la empresa</w:t>
      </w:r>
      <w:r w:rsidRPr="00CE7C86">
        <w:rPr>
          <w:rFonts w:ascii="Arial" w:eastAsia="Arial" w:hAnsi="Arial" w:cs="Arial"/>
          <w:bCs/>
        </w:rPr>
        <w:t>:</w:t>
      </w:r>
    </w:p>
    <w:p w14:paraId="5665D7DB" w14:textId="08792252" w:rsidR="00250819" w:rsidRDefault="00250819" w:rsidP="00250819">
      <w:pPr>
        <w:pBdr>
          <w:top w:val="nil"/>
          <w:left w:val="nil"/>
          <w:bottom w:val="nil"/>
          <w:right w:val="nil"/>
          <w:between w:val="nil"/>
        </w:pBdr>
        <w:tabs>
          <w:tab w:val="left" w:pos="7725"/>
        </w:tabs>
        <w:rPr>
          <w:rFonts w:ascii="Arial" w:eastAsia="Arial" w:hAnsi="Arial" w:cs="Arial"/>
          <w:b/>
        </w:rPr>
      </w:pPr>
      <w:r>
        <w:rPr>
          <w:rFonts w:ascii="Arial" w:eastAsia="Arial" w:hAnsi="Arial" w:cs="Arial"/>
          <w:b/>
        </w:rPr>
        <w:tab/>
      </w:r>
    </w:p>
    <w:p w14:paraId="67FF8ABF" w14:textId="77777777" w:rsidR="00167779" w:rsidRDefault="00167779" w:rsidP="00250819">
      <w:pPr>
        <w:pBdr>
          <w:top w:val="nil"/>
          <w:left w:val="nil"/>
          <w:bottom w:val="nil"/>
          <w:right w:val="nil"/>
          <w:between w:val="nil"/>
        </w:pBdr>
        <w:jc w:val="both"/>
        <w:rPr>
          <w:rFonts w:ascii="Arial" w:eastAsia="Arial" w:hAnsi="Arial" w:cs="Arial"/>
          <w:b/>
        </w:rPr>
      </w:pPr>
    </w:p>
    <w:p w14:paraId="437FBF69" w14:textId="7BC3EB51" w:rsidR="00250819" w:rsidRPr="001F33D5" w:rsidRDefault="00250819" w:rsidP="001F33D5">
      <w:pPr>
        <w:pStyle w:val="Prrafodelista"/>
        <w:numPr>
          <w:ilvl w:val="0"/>
          <w:numId w:val="14"/>
        </w:numPr>
        <w:pBdr>
          <w:top w:val="nil"/>
          <w:left w:val="nil"/>
          <w:bottom w:val="nil"/>
          <w:right w:val="nil"/>
          <w:between w:val="nil"/>
        </w:pBdr>
        <w:jc w:val="both"/>
        <w:rPr>
          <w:rFonts w:ascii="Arial" w:eastAsia="Arial" w:hAnsi="Arial" w:cs="Arial"/>
          <w:b/>
          <w:color w:val="000000"/>
        </w:rPr>
      </w:pPr>
      <w:r w:rsidRPr="001F33D5">
        <w:rPr>
          <w:rFonts w:ascii="Arial" w:eastAsia="Arial" w:hAnsi="Arial" w:cs="Arial"/>
          <w:b/>
          <w:color w:val="000000"/>
        </w:rPr>
        <w:t>INGRESOS CORRIENTES</w:t>
      </w:r>
    </w:p>
    <w:p w14:paraId="1C16E0A0" w14:textId="16DEED99" w:rsidR="00250819" w:rsidRDefault="00250819" w:rsidP="00250819">
      <w:pPr>
        <w:pBdr>
          <w:top w:val="nil"/>
          <w:left w:val="nil"/>
          <w:bottom w:val="nil"/>
          <w:right w:val="nil"/>
          <w:between w:val="nil"/>
        </w:pBdr>
        <w:rPr>
          <w:rFonts w:ascii="Arial" w:eastAsia="Arial" w:hAnsi="Arial" w:cs="Arial"/>
          <w:b/>
        </w:rPr>
      </w:pPr>
    </w:p>
    <w:p w14:paraId="20C391E7" w14:textId="67767E73" w:rsidR="00232C53" w:rsidRPr="002E53D6" w:rsidRDefault="00250819" w:rsidP="002E53D6">
      <w:pPr>
        <w:pBdr>
          <w:top w:val="nil"/>
          <w:left w:val="nil"/>
          <w:bottom w:val="nil"/>
          <w:right w:val="nil"/>
          <w:between w:val="nil"/>
        </w:pBdr>
        <w:jc w:val="both"/>
        <w:rPr>
          <w:rFonts w:ascii="Arial" w:eastAsia="Arial" w:hAnsi="Arial" w:cs="Arial"/>
          <w:b/>
        </w:rPr>
      </w:pPr>
      <w:r w:rsidRPr="002E53D6">
        <w:rPr>
          <w:rFonts w:ascii="Arial" w:eastAsia="Arial" w:hAnsi="Arial" w:cs="Arial"/>
          <w:b/>
          <w:color w:val="000000"/>
        </w:rPr>
        <w:t>VENTAS ENERGÍA EN CONTRATOS (LARGO PLAZO)</w:t>
      </w:r>
      <w:r w:rsidRPr="002E53D6">
        <w:rPr>
          <w:rFonts w:ascii="Arial" w:eastAsia="Arial" w:hAnsi="Arial" w:cs="Arial"/>
        </w:rPr>
        <w:t>.</w:t>
      </w:r>
      <w:r w:rsidRPr="002E53D6">
        <w:rPr>
          <w:rFonts w:ascii="Arial" w:eastAsia="Arial" w:hAnsi="Arial" w:cs="Arial"/>
          <w:color w:val="000000"/>
        </w:rPr>
        <w:t xml:space="preserve"> </w:t>
      </w:r>
      <w:r w:rsidR="002E53D6">
        <w:rPr>
          <w:rFonts w:ascii="Arial" w:eastAsia="Arial" w:hAnsi="Arial" w:cs="Arial"/>
          <w:color w:val="000000"/>
        </w:rPr>
        <w:t>Para la vigencia 2024 s</w:t>
      </w:r>
      <w:r w:rsidRPr="002E53D6">
        <w:rPr>
          <w:rFonts w:ascii="Arial" w:eastAsia="Arial" w:hAnsi="Arial" w:cs="Arial"/>
          <w:color w:val="000000"/>
        </w:rPr>
        <w:t>e presupuestan $</w:t>
      </w:r>
      <w:r w:rsidRPr="002E53D6">
        <w:rPr>
          <w:rFonts w:ascii="Arial" w:eastAsia="Arial" w:hAnsi="Arial" w:cs="Arial"/>
        </w:rPr>
        <w:t>2</w:t>
      </w:r>
      <w:r w:rsidR="00CE7C86" w:rsidRPr="002E53D6">
        <w:rPr>
          <w:rFonts w:ascii="Arial" w:eastAsia="Arial" w:hAnsi="Arial" w:cs="Arial"/>
        </w:rPr>
        <w:t>91.</w:t>
      </w:r>
      <w:r w:rsidRPr="002E53D6">
        <w:rPr>
          <w:rFonts w:ascii="Arial" w:eastAsia="Arial" w:hAnsi="Arial" w:cs="Arial"/>
        </w:rPr>
        <w:t>5</w:t>
      </w:r>
      <w:r w:rsidR="00CE7C86" w:rsidRPr="002E53D6">
        <w:rPr>
          <w:rFonts w:ascii="Arial" w:eastAsia="Arial" w:hAnsi="Arial" w:cs="Arial"/>
        </w:rPr>
        <w:t>57,6</w:t>
      </w:r>
      <w:r w:rsidRPr="002E53D6">
        <w:rPr>
          <w:rFonts w:ascii="Arial" w:eastAsia="Arial" w:hAnsi="Arial" w:cs="Arial"/>
          <w:color w:val="000000"/>
        </w:rPr>
        <w:t xml:space="preserve"> millones, con una disminución del 7</w:t>
      </w:r>
      <w:r w:rsidRPr="002E53D6">
        <w:rPr>
          <w:rFonts w:ascii="Arial" w:eastAsia="Arial" w:hAnsi="Arial" w:cs="Arial"/>
        </w:rPr>
        <w:t xml:space="preserve">% </w:t>
      </w:r>
      <w:r w:rsidRPr="002E53D6">
        <w:rPr>
          <w:rFonts w:ascii="Arial" w:eastAsia="Arial" w:hAnsi="Arial" w:cs="Arial"/>
          <w:color w:val="000000"/>
        </w:rPr>
        <w:t>equivalente a $21.755 millones respecto al 202</w:t>
      </w:r>
      <w:r w:rsidR="001F33D5">
        <w:rPr>
          <w:rFonts w:ascii="Arial" w:eastAsia="Arial" w:hAnsi="Arial" w:cs="Arial"/>
          <w:color w:val="000000"/>
        </w:rPr>
        <w:t>3</w:t>
      </w:r>
      <w:r w:rsidRPr="002E53D6">
        <w:rPr>
          <w:rFonts w:ascii="Arial" w:eastAsia="Arial" w:hAnsi="Arial" w:cs="Arial"/>
        </w:rPr>
        <w:t>, debido principalmente a la disminución de la generación como resultado de la presencia del Fenómeno El Niño, que se estima afecte el primer semestre del año 2024</w:t>
      </w:r>
      <w:r w:rsidR="001F33D5">
        <w:rPr>
          <w:rFonts w:ascii="Arial" w:eastAsia="Arial" w:hAnsi="Arial" w:cs="Arial"/>
        </w:rPr>
        <w:t>.</w:t>
      </w:r>
    </w:p>
    <w:p w14:paraId="11570FD3" w14:textId="03B0629B" w:rsidR="00E730D3" w:rsidRPr="00232C53" w:rsidRDefault="00E730D3" w:rsidP="00232C53">
      <w:pPr>
        <w:pStyle w:val="Prrafodelista"/>
        <w:pBdr>
          <w:top w:val="nil"/>
          <w:left w:val="nil"/>
          <w:bottom w:val="nil"/>
          <w:right w:val="nil"/>
          <w:between w:val="nil"/>
        </w:pBdr>
        <w:ind w:left="1080"/>
        <w:jc w:val="both"/>
        <w:rPr>
          <w:rFonts w:ascii="Arial" w:eastAsia="Arial" w:hAnsi="Arial" w:cs="Arial"/>
          <w:b/>
        </w:rPr>
      </w:pPr>
      <w:r w:rsidRPr="00232C53">
        <w:rPr>
          <w:rFonts w:ascii="Arial" w:eastAsia="Arial" w:hAnsi="Arial" w:cs="Arial"/>
          <w:b/>
        </w:rPr>
        <w:t xml:space="preserve">     </w:t>
      </w:r>
    </w:p>
    <w:p w14:paraId="6685FA73" w14:textId="285B4A40" w:rsidR="00E730D3" w:rsidRPr="002E53D6" w:rsidRDefault="00E730D3" w:rsidP="002E53D6">
      <w:pPr>
        <w:jc w:val="both"/>
        <w:rPr>
          <w:rFonts w:ascii="Arial" w:eastAsia="Arial" w:hAnsi="Arial" w:cs="Arial"/>
          <w:color w:val="000000"/>
        </w:rPr>
      </w:pPr>
      <w:r w:rsidRPr="002E53D6">
        <w:rPr>
          <w:rFonts w:ascii="Arial" w:eastAsia="Arial" w:hAnsi="Arial" w:cs="Arial"/>
          <w:b/>
        </w:rPr>
        <w:t xml:space="preserve">VENTAS DE ENERGÍA EN BOLSA.  </w:t>
      </w:r>
      <w:r w:rsidRPr="002E53D6">
        <w:rPr>
          <w:rFonts w:ascii="Arial" w:eastAsia="Arial" w:hAnsi="Arial" w:cs="Arial"/>
          <w:color w:val="000000"/>
        </w:rPr>
        <w:t>Se presupuestan ingresos para la vigencia 202</w:t>
      </w:r>
      <w:r w:rsidRPr="002E53D6">
        <w:rPr>
          <w:rFonts w:ascii="Arial" w:eastAsia="Arial" w:hAnsi="Arial" w:cs="Arial"/>
        </w:rPr>
        <w:t>4</w:t>
      </w:r>
      <w:r w:rsidRPr="002E53D6">
        <w:rPr>
          <w:rFonts w:ascii="Arial" w:eastAsia="Arial" w:hAnsi="Arial" w:cs="Arial"/>
          <w:color w:val="000000"/>
        </w:rPr>
        <w:t xml:space="preserve"> por un monto de $211.406</w:t>
      </w:r>
      <w:r w:rsidRPr="002E53D6">
        <w:rPr>
          <w:rFonts w:ascii="Arial" w:eastAsia="Arial" w:hAnsi="Arial" w:cs="Arial"/>
        </w:rPr>
        <w:t xml:space="preserve"> </w:t>
      </w:r>
      <w:r w:rsidRPr="002E53D6">
        <w:rPr>
          <w:rFonts w:ascii="Arial" w:eastAsia="Arial" w:hAnsi="Arial" w:cs="Arial"/>
          <w:color w:val="000000"/>
        </w:rPr>
        <w:t>millones, con un</w:t>
      </w:r>
      <w:r w:rsidRPr="002E53D6">
        <w:rPr>
          <w:rFonts w:ascii="Arial" w:eastAsia="Arial" w:hAnsi="Arial" w:cs="Arial"/>
        </w:rPr>
        <w:t xml:space="preserve"> aumento </w:t>
      </w:r>
      <w:r w:rsidRPr="002E53D6">
        <w:rPr>
          <w:rFonts w:ascii="Arial" w:eastAsia="Arial" w:hAnsi="Arial" w:cs="Arial"/>
          <w:color w:val="000000"/>
        </w:rPr>
        <w:t xml:space="preserve">del </w:t>
      </w:r>
      <w:r w:rsidR="00232C53" w:rsidRPr="002E53D6">
        <w:rPr>
          <w:rFonts w:ascii="Arial" w:eastAsia="Arial" w:hAnsi="Arial" w:cs="Arial"/>
          <w:color w:val="000000"/>
        </w:rPr>
        <w:t>72</w:t>
      </w:r>
      <w:r w:rsidRPr="002E53D6">
        <w:rPr>
          <w:rFonts w:ascii="Arial" w:eastAsia="Arial" w:hAnsi="Arial" w:cs="Arial"/>
          <w:color w:val="000000"/>
        </w:rPr>
        <w:t>% equivalente a $</w:t>
      </w:r>
      <w:r w:rsidR="00232C53" w:rsidRPr="002E53D6">
        <w:rPr>
          <w:rFonts w:ascii="Arial" w:eastAsia="Arial" w:hAnsi="Arial" w:cs="Arial"/>
          <w:color w:val="000000"/>
        </w:rPr>
        <w:t>88</w:t>
      </w:r>
      <w:r w:rsidRPr="002E53D6">
        <w:rPr>
          <w:rFonts w:ascii="Arial" w:eastAsia="Arial" w:hAnsi="Arial" w:cs="Arial"/>
          <w:color w:val="000000"/>
        </w:rPr>
        <w:t>.</w:t>
      </w:r>
      <w:r w:rsidR="00232C53" w:rsidRPr="002E53D6">
        <w:rPr>
          <w:rFonts w:ascii="Arial" w:eastAsia="Arial" w:hAnsi="Arial" w:cs="Arial"/>
          <w:color w:val="000000"/>
        </w:rPr>
        <w:t>620,5</w:t>
      </w:r>
      <w:r w:rsidRPr="002E53D6">
        <w:rPr>
          <w:rFonts w:ascii="Arial" w:eastAsia="Arial" w:hAnsi="Arial" w:cs="Arial"/>
        </w:rPr>
        <w:t xml:space="preserve"> </w:t>
      </w:r>
      <w:r w:rsidRPr="002E53D6">
        <w:rPr>
          <w:rFonts w:ascii="Arial" w:eastAsia="Arial" w:hAnsi="Arial" w:cs="Arial"/>
          <w:color w:val="000000"/>
        </w:rPr>
        <w:t xml:space="preserve">millones respecto al </w:t>
      </w:r>
      <w:r w:rsidR="00232C53" w:rsidRPr="002E53D6">
        <w:rPr>
          <w:rFonts w:ascii="Arial" w:eastAsia="Arial" w:hAnsi="Arial" w:cs="Arial"/>
          <w:color w:val="000000"/>
        </w:rPr>
        <w:t>aprobado en la vigencia</w:t>
      </w:r>
      <w:r w:rsidRPr="002E53D6">
        <w:rPr>
          <w:rFonts w:ascii="Arial" w:eastAsia="Arial" w:hAnsi="Arial" w:cs="Arial"/>
          <w:color w:val="000000"/>
        </w:rPr>
        <w:t xml:space="preserve"> 202</w:t>
      </w:r>
      <w:r w:rsidRPr="002E53D6">
        <w:rPr>
          <w:rFonts w:ascii="Arial" w:eastAsia="Arial" w:hAnsi="Arial" w:cs="Arial"/>
        </w:rPr>
        <w:t>3</w:t>
      </w:r>
      <w:r w:rsidR="00232C53" w:rsidRPr="002E53D6">
        <w:rPr>
          <w:rFonts w:ascii="Arial" w:eastAsia="Arial" w:hAnsi="Arial" w:cs="Arial"/>
        </w:rPr>
        <w:t xml:space="preserve">, </w:t>
      </w:r>
      <w:r w:rsidR="00232C53" w:rsidRPr="002E53D6">
        <w:rPr>
          <w:rFonts w:ascii="Arial" w:eastAsia="Arial" w:hAnsi="Arial" w:cs="Arial"/>
          <w:color w:val="000000"/>
        </w:rPr>
        <w:t>debido principalmente a las siguientes razones:</w:t>
      </w:r>
    </w:p>
    <w:p w14:paraId="6FE8B9EE" w14:textId="77777777" w:rsidR="00232C53" w:rsidRPr="00232C53" w:rsidRDefault="00232C53" w:rsidP="00232C53">
      <w:pPr>
        <w:pStyle w:val="Prrafodelista"/>
        <w:rPr>
          <w:rFonts w:ascii="Arial" w:eastAsia="Arial" w:hAnsi="Arial" w:cs="Arial"/>
          <w:color w:val="000000"/>
        </w:rPr>
      </w:pPr>
    </w:p>
    <w:p w14:paraId="15570823" w14:textId="07743563" w:rsidR="00232C53" w:rsidRPr="00232C53" w:rsidRDefault="00232C53" w:rsidP="00514D1D">
      <w:pPr>
        <w:pBdr>
          <w:top w:val="nil"/>
          <w:left w:val="nil"/>
          <w:bottom w:val="nil"/>
          <w:right w:val="nil"/>
          <w:between w:val="nil"/>
        </w:pBdr>
        <w:jc w:val="both"/>
        <w:rPr>
          <w:rFonts w:ascii="Arial" w:eastAsia="Arial" w:hAnsi="Arial" w:cs="Arial"/>
          <w:color w:val="000000"/>
        </w:rPr>
      </w:pPr>
      <w:r>
        <w:rPr>
          <w:rFonts w:ascii="Arial" w:eastAsia="Arial" w:hAnsi="Arial" w:cs="Arial"/>
        </w:rPr>
        <w:t xml:space="preserve">El año 2023 fue un año con hidrologías secas, con un 96,48% de la media histórica multianual hasta noviembre y al esperar un periodo seco, continuación de un Niño 2023-2024, nuestros márgenes de reserva son mayores y es por eso </w:t>
      </w:r>
      <w:proofErr w:type="gramStart"/>
      <w:r>
        <w:rPr>
          <w:rFonts w:ascii="Arial" w:eastAsia="Arial" w:hAnsi="Arial" w:cs="Arial"/>
        </w:rPr>
        <w:t>que</w:t>
      </w:r>
      <w:proofErr w:type="gramEnd"/>
      <w:r>
        <w:rPr>
          <w:rFonts w:ascii="Arial" w:eastAsia="Arial" w:hAnsi="Arial" w:cs="Arial"/>
        </w:rPr>
        <w:t xml:space="preserve"> los valores de ventas en bolsa aumentan en esta proyección para 2024 por las mayores cantidades de energía estimadas y los mejores precios. </w:t>
      </w:r>
    </w:p>
    <w:p w14:paraId="2741E84C" w14:textId="77777777" w:rsidR="00232C53" w:rsidRDefault="00232C53" w:rsidP="00232C53">
      <w:pPr>
        <w:pBdr>
          <w:top w:val="nil"/>
          <w:left w:val="nil"/>
          <w:bottom w:val="nil"/>
          <w:right w:val="nil"/>
          <w:between w:val="nil"/>
        </w:pBdr>
        <w:ind w:left="283"/>
        <w:jc w:val="both"/>
        <w:rPr>
          <w:rFonts w:ascii="Arial" w:eastAsia="Arial" w:hAnsi="Arial" w:cs="Arial"/>
        </w:rPr>
      </w:pPr>
    </w:p>
    <w:p w14:paraId="18842193" w14:textId="0D12B35E" w:rsidR="00232C53" w:rsidRDefault="009C75D4" w:rsidP="00232C53">
      <w:pPr>
        <w:jc w:val="both"/>
        <w:rPr>
          <w:rFonts w:ascii="Arial" w:eastAsia="Arial" w:hAnsi="Arial" w:cs="Arial"/>
        </w:rPr>
      </w:pPr>
      <w:r>
        <w:rPr>
          <w:rFonts w:ascii="Arial" w:eastAsia="Arial" w:hAnsi="Arial" w:cs="Arial"/>
          <w:b/>
        </w:rPr>
        <w:t>INGRESOS</w:t>
      </w:r>
      <w:r w:rsidR="00232C53">
        <w:rPr>
          <w:rFonts w:ascii="Arial" w:eastAsia="Arial" w:hAnsi="Arial" w:cs="Arial"/>
          <w:b/>
        </w:rPr>
        <w:t xml:space="preserve"> POR COMERCIALIZACIÓN - INPEC</w:t>
      </w:r>
    </w:p>
    <w:p w14:paraId="2008CA63" w14:textId="77777777" w:rsidR="00232C53" w:rsidRDefault="00232C53" w:rsidP="00232C53">
      <w:pPr>
        <w:jc w:val="both"/>
        <w:rPr>
          <w:rFonts w:ascii="Arial" w:eastAsia="Arial" w:hAnsi="Arial" w:cs="Arial"/>
        </w:rPr>
      </w:pPr>
    </w:p>
    <w:p w14:paraId="0EF3BEAA" w14:textId="77777777" w:rsidR="00413ABE" w:rsidRDefault="00232C53" w:rsidP="00232C53">
      <w:pPr>
        <w:jc w:val="both"/>
        <w:rPr>
          <w:rFonts w:ascii="Arial" w:eastAsia="Arial" w:hAnsi="Arial" w:cs="Arial"/>
        </w:rPr>
      </w:pPr>
      <w:r>
        <w:rPr>
          <w:rFonts w:ascii="Arial" w:eastAsia="Arial" w:hAnsi="Arial" w:cs="Arial"/>
        </w:rPr>
        <w:t>En la actualidad URRÁ continúa atendiendo el convenio No 02-2022 de suministro de energía al INPEC, firmado entre las partes y que tiene por objeto suministrar energía al penal ubicado en las instalaciones del antiguo campamento de URRÁ en Tierralta</w:t>
      </w:r>
      <w:r w:rsidR="00413ABE">
        <w:rPr>
          <w:rFonts w:ascii="Arial" w:eastAsia="Arial" w:hAnsi="Arial" w:cs="Arial"/>
        </w:rPr>
        <w:t>.</w:t>
      </w:r>
    </w:p>
    <w:p w14:paraId="17537EEF" w14:textId="77777777" w:rsidR="00413ABE" w:rsidRDefault="00413ABE" w:rsidP="00232C53">
      <w:pPr>
        <w:jc w:val="both"/>
        <w:rPr>
          <w:rFonts w:ascii="Arial" w:eastAsia="Arial" w:hAnsi="Arial" w:cs="Arial"/>
        </w:rPr>
      </w:pPr>
    </w:p>
    <w:p w14:paraId="1EC2214C" w14:textId="79395B15" w:rsidR="00232C53" w:rsidRDefault="00232C53" w:rsidP="00413ABE">
      <w:pPr>
        <w:jc w:val="both"/>
        <w:rPr>
          <w:rFonts w:ascii="Arial" w:eastAsia="Arial" w:hAnsi="Arial" w:cs="Arial"/>
          <w:color w:val="000000"/>
        </w:rPr>
      </w:pPr>
      <w:r>
        <w:rPr>
          <w:rFonts w:ascii="Arial" w:eastAsia="Arial" w:hAnsi="Arial" w:cs="Arial"/>
        </w:rPr>
        <w:t xml:space="preserve"> El INPEC es un usuario que se encuentra conectado en la misma red que alimenta el campamento de los trabajadores del operador EMEC y es la razón por la cual se sigue atendiendo. La proyección de consumos mensuales se basa en los consumos del año 2023. </w:t>
      </w:r>
    </w:p>
    <w:p w14:paraId="5740576E" w14:textId="77777777" w:rsidR="00232C53" w:rsidRPr="00232C53" w:rsidRDefault="00232C53" w:rsidP="00232C53">
      <w:pPr>
        <w:pStyle w:val="Prrafodelista"/>
        <w:ind w:left="1080"/>
        <w:jc w:val="both"/>
        <w:rPr>
          <w:rFonts w:ascii="Arial" w:eastAsia="Arial" w:hAnsi="Arial" w:cs="Arial"/>
          <w:color w:val="000000"/>
        </w:rPr>
      </w:pPr>
    </w:p>
    <w:p w14:paraId="574F4176" w14:textId="20F6A084" w:rsidR="00413ABE" w:rsidRDefault="00413ABE" w:rsidP="00413ABE">
      <w:pPr>
        <w:jc w:val="both"/>
        <w:rPr>
          <w:rFonts w:ascii="Arial" w:eastAsia="Arial" w:hAnsi="Arial" w:cs="Arial"/>
          <w:b/>
        </w:rPr>
      </w:pPr>
      <w:r>
        <w:rPr>
          <w:rFonts w:ascii="Arial" w:eastAsia="Arial" w:hAnsi="Arial" w:cs="Arial"/>
          <w:b/>
        </w:rPr>
        <w:t>INGRESOS CARGO POR CONFIABILIDAD Y POR ENERGÍA ADICIONAL</w:t>
      </w:r>
    </w:p>
    <w:p w14:paraId="168F2CDD" w14:textId="77777777" w:rsidR="00413ABE" w:rsidRDefault="00413ABE" w:rsidP="00413ABE">
      <w:pPr>
        <w:jc w:val="both"/>
        <w:rPr>
          <w:rFonts w:ascii="Arial" w:eastAsia="Arial" w:hAnsi="Arial" w:cs="Arial"/>
          <w:b/>
        </w:rPr>
      </w:pPr>
    </w:p>
    <w:p w14:paraId="0DB8E61E" w14:textId="77777777" w:rsidR="00413ABE" w:rsidRDefault="00413ABE" w:rsidP="00413ABE">
      <w:pPr>
        <w:jc w:val="both"/>
        <w:rPr>
          <w:rFonts w:ascii="Arial" w:eastAsia="Arial" w:hAnsi="Arial" w:cs="Arial"/>
        </w:rPr>
      </w:pPr>
      <w:bookmarkStart w:id="0" w:name="_heading=h.gjdgxs" w:colFirst="0" w:colLast="0"/>
      <w:bookmarkEnd w:id="0"/>
      <w:r>
        <w:rPr>
          <w:rFonts w:ascii="Arial" w:eastAsia="Arial" w:hAnsi="Arial" w:cs="Arial"/>
        </w:rPr>
        <w:t>El Cargo por Confiabilidad, es una remuneración que se paga a los agentes Generadores de Energía por la disponibilidad de sus activos de generación, y que depende de las características y parámetros de las unidades generadoras y que determina la Energía Firme para el Cargo por Confiabilidad.</w:t>
      </w:r>
    </w:p>
    <w:p w14:paraId="0960B97C" w14:textId="77777777" w:rsidR="00413ABE" w:rsidRDefault="00413ABE" w:rsidP="00413ABE">
      <w:pPr>
        <w:jc w:val="both"/>
        <w:rPr>
          <w:rFonts w:ascii="Arial" w:eastAsia="Arial" w:hAnsi="Arial" w:cs="Arial"/>
        </w:rPr>
      </w:pPr>
    </w:p>
    <w:p w14:paraId="5EB88071" w14:textId="77777777" w:rsidR="00413ABE" w:rsidRDefault="00413ABE" w:rsidP="00413ABE">
      <w:pPr>
        <w:jc w:val="both"/>
        <w:rPr>
          <w:rFonts w:ascii="Arial" w:eastAsia="Arial" w:hAnsi="Arial" w:cs="Arial"/>
        </w:rPr>
      </w:pPr>
      <w:r>
        <w:rPr>
          <w:rFonts w:ascii="Arial" w:eastAsia="Arial" w:hAnsi="Arial" w:cs="Arial"/>
        </w:rPr>
        <w:t xml:space="preserve">Esta Energía Firme para el Cargo por Confiabilidad denominada ENFICC, es la máxima energía eléctrica que es capaz de entregar una planta de generación continuamente, en condiciones de baja hidrología, en un periodo de un año, la cual </w:t>
      </w:r>
      <w:r>
        <w:rPr>
          <w:rFonts w:ascii="Arial" w:eastAsia="Arial" w:hAnsi="Arial" w:cs="Arial"/>
        </w:rPr>
        <w:lastRenderedPageBreak/>
        <w:t>es remunerada total o parcialmente dependiendo de la demanda del sistema. Se denomina finalmente como Obligación de Energía Firme (OEF) y es remunerada al precio de cierre de la Subasta de Energía Firme.</w:t>
      </w:r>
    </w:p>
    <w:p w14:paraId="67246A4E" w14:textId="77777777" w:rsidR="00413ABE" w:rsidRDefault="00413ABE" w:rsidP="00413ABE">
      <w:pPr>
        <w:jc w:val="both"/>
        <w:rPr>
          <w:rFonts w:ascii="Arial" w:eastAsia="Arial" w:hAnsi="Arial" w:cs="Arial"/>
        </w:rPr>
      </w:pPr>
    </w:p>
    <w:p w14:paraId="7B0F2AD1" w14:textId="77777777" w:rsidR="00413ABE" w:rsidRDefault="00413ABE" w:rsidP="00413ABE">
      <w:pPr>
        <w:jc w:val="both"/>
        <w:rPr>
          <w:rFonts w:ascii="Arial" w:eastAsia="Arial" w:hAnsi="Arial" w:cs="Arial"/>
        </w:rPr>
      </w:pPr>
      <w:r>
        <w:rPr>
          <w:rFonts w:ascii="Arial" w:eastAsia="Arial" w:hAnsi="Arial" w:cs="Arial"/>
        </w:rPr>
        <w:t>Otro ingreso adicional que puede recibir un agente generador es por la Energía Disponible Adicional que es el resultado de restar la Obligación de Energía Firme a la Energía Firme de la Planta (Energía Firme – OEF) y es negociada en el Mercado Secundario de Energía Firme, a través de contratos bilaterales entre generadores.</w:t>
      </w:r>
    </w:p>
    <w:p w14:paraId="680D170E" w14:textId="77777777" w:rsidR="009C75D4" w:rsidRDefault="009C75D4" w:rsidP="00413ABE">
      <w:pPr>
        <w:jc w:val="both"/>
        <w:rPr>
          <w:rFonts w:ascii="Arial" w:eastAsia="Arial" w:hAnsi="Arial" w:cs="Arial"/>
        </w:rPr>
      </w:pPr>
    </w:p>
    <w:p w14:paraId="4A7E1331" w14:textId="520604FD" w:rsidR="009C75D4" w:rsidRDefault="009C75D4" w:rsidP="009C75D4">
      <w:pPr>
        <w:jc w:val="both"/>
        <w:rPr>
          <w:rFonts w:ascii="Arial" w:eastAsia="Arial" w:hAnsi="Arial" w:cs="Arial"/>
          <w:b/>
        </w:rPr>
      </w:pPr>
      <w:r>
        <w:rPr>
          <w:rFonts w:ascii="Arial" w:eastAsia="Arial" w:hAnsi="Arial" w:cs="Arial"/>
          <w:b/>
        </w:rPr>
        <w:t>INGRESOS POR CONEXIÓN - AFINIA</w:t>
      </w:r>
    </w:p>
    <w:p w14:paraId="61B327A0" w14:textId="77777777" w:rsidR="009C75D4" w:rsidRDefault="009C75D4" w:rsidP="009C75D4">
      <w:pPr>
        <w:pBdr>
          <w:top w:val="nil"/>
          <w:left w:val="nil"/>
          <w:bottom w:val="nil"/>
          <w:right w:val="nil"/>
          <w:between w:val="nil"/>
        </w:pBdr>
        <w:jc w:val="both"/>
        <w:rPr>
          <w:rFonts w:ascii="Arial" w:eastAsia="Arial" w:hAnsi="Arial" w:cs="Arial"/>
          <w:color w:val="000000"/>
        </w:rPr>
      </w:pPr>
    </w:p>
    <w:p w14:paraId="31040363" w14:textId="77777777" w:rsidR="009C75D4" w:rsidRDefault="009C75D4" w:rsidP="009C75D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Empresa URRÁ S.A. E.S.P. </w:t>
      </w:r>
      <w:r>
        <w:rPr>
          <w:rFonts w:ascii="Arial" w:eastAsia="Arial" w:hAnsi="Arial" w:cs="Arial"/>
        </w:rPr>
        <w:t>Cuenta</w:t>
      </w:r>
      <w:r>
        <w:rPr>
          <w:rFonts w:ascii="Arial" w:eastAsia="Arial" w:hAnsi="Arial" w:cs="Arial"/>
          <w:color w:val="000000"/>
        </w:rPr>
        <w:t xml:space="preserve"> con un contrato con la empresa </w:t>
      </w:r>
      <w:r>
        <w:rPr>
          <w:rFonts w:ascii="Arial" w:eastAsia="Arial" w:hAnsi="Arial" w:cs="Arial"/>
        </w:rPr>
        <w:t>distribuidora</w:t>
      </w:r>
      <w:r>
        <w:rPr>
          <w:rFonts w:ascii="Arial" w:eastAsia="Arial" w:hAnsi="Arial" w:cs="Arial"/>
          <w:color w:val="000000"/>
        </w:rPr>
        <w:t xml:space="preserve"> de la zona, AFINIA, mediante el cual se le permite el acceso al Sistema de Transmisión Nacional (STN) a través de la Subestación de 110 kV de propiedad de URRÁ.</w:t>
      </w:r>
    </w:p>
    <w:p w14:paraId="0202B3C7" w14:textId="77777777" w:rsidR="009C75D4" w:rsidRDefault="009C75D4" w:rsidP="009C75D4">
      <w:pPr>
        <w:pBdr>
          <w:top w:val="nil"/>
          <w:left w:val="nil"/>
          <w:bottom w:val="nil"/>
          <w:right w:val="nil"/>
          <w:between w:val="nil"/>
        </w:pBdr>
        <w:jc w:val="both"/>
        <w:rPr>
          <w:rFonts w:ascii="Arial" w:eastAsia="Arial" w:hAnsi="Arial" w:cs="Arial"/>
          <w:color w:val="000000"/>
        </w:rPr>
      </w:pPr>
    </w:p>
    <w:p w14:paraId="3CB77F5B" w14:textId="77777777" w:rsidR="009C75D4" w:rsidRDefault="009C75D4" w:rsidP="009C75D4">
      <w:pPr>
        <w:jc w:val="both"/>
        <w:rPr>
          <w:rFonts w:ascii="Arial" w:eastAsia="Arial" w:hAnsi="Arial" w:cs="Arial"/>
        </w:rPr>
      </w:pPr>
      <w:r>
        <w:rPr>
          <w:rFonts w:ascii="Arial" w:eastAsia="Arial" w:hAnsi="Arial" w:cs="Arial"/>
        </w:rPr>
        <w:t xml:space="preserve">Este contrato de Conexión tiene por objeto regular las relaciones técnicas, jurídicas, económicas, administrativas y comerciales entre las partes, que se derivan del uso que ellos hacen de los bienes de conexión de propiedad de URRÁ (Subestación de 110 kV), los cuales le permiten a AFINIA el acceso al Sistema de Transmisión Nacional (STN), </w:t>
      </w:r>
      <w:proofErr w:type="gramStart"/>
      <w:r>
        <w:rPr>
          <w:rFonts w:ascii="Arial" w:eastAsia="Arial" w:hAnsi="Arial" w:cs="Arial"/>
        </w:rPr>
        <w:t>de acuerdo a</w:t>
      </w:r>
      <w:proofErr w:type="gramEnd"/>
      <w:r>
        <w:rPr>
          <w:rFonts w:ascii="Arial" w:eastAsia="Arial" w:hAnsi="Arial" w:cs="Arial"/>
        </w:rPr>
        <w:t xml:space="preserve"> lo estipulado por la CREG.</w:t>
      </w:r>
    </w:p>
    <w:p w14:paraId="562EA911" w14:textId="77777777" w:rsidR="001F33D5" w:rsidRDefault="001F33D5" w:rsidP="001F33D5">
      <w:pPr>
        <w:pStyle w:val="Ttulo1"/>
        <w:rPr>
          <w:rFonts w:ascii="Arial" w:eastAsia="Arial" w:hAnsi="Arial" w:cs="Arial"/>
        </w:rPr>
      </w:pPr>
    </w:p>
    <w:p w14:paraId="659043AD" w14:textId="2CEB33CA" w:rsidR="009C75D4" w:rsidRDefault="009C75D4" w:rsidP="001F33D5">
      <w:pPr>
        <w:pStyle w:val="Ttulo1"/>
        <w:numPr>
          <w:ilvl w:val="0"/>
          <w:numId w:val="13"/>
        </w:numPr>
        <w:rPr>
          <w:rFonts w:ascii="Arial" w:eastAsia="Arial" w:hAnsi="Arial" w:cs="Arial"/>
        </w:rPr>
      </w:pPr>
      <w:r>
        <w:rPr>
          <w:rFonts w:ascii="Arial" w:eastAsia="Arial" w:hAnsi="Arial" w:cs="Arial"/>
        </w:rPr>
        <w:t>INGRESOS DE CAPITAL</w:t>
      </w:r>
    </w:p>
    <w:p w14:paraId="6A8136A3" w14:textId="77777777" w:rsidR="009C75D4" w:rsidRDefault="009C75D4" w:rsidP="009C75D4">
      <w:pPr>
        <w:tabs>
          <w:tab w:val="center" w:pos="4420"/>
        </w:tabs>
      </w:pPr>
    </w:p>
    <w:p w14:paraId="7A19EF8A" w14:textId="099A4A63" w:rsidR="009C75D4" w:rsidRDefault="009C75D4" w:rsidP="009C75D4">
      <w:pPr>
        <w:jc w:val="both"/>
        <w:rPr>
          <w:rFonts w:ascii="Arial" w:eastAsia="Arial" w:hAnsi="Arial" w:cs="Arial"/>
        </w:rPr>
      </w:pPr>
      <w:r>
        <w:rPr>
          <w:rFonts w:ascii="Arial" w:eastAsia="Arial" w:hAnsi="Arial" w:cs="Arial"/>
          <w:b/>
        </w:rPr>
        <w:t>RENDIMIENTOS FINANCIEROS.</w:t>
      </w:r>
      <w:r>
        <w:rPr>
          <w:rFonts w:ascii="Arial" w:eastAsia="Arial" w:hAnsi="Arial" w:cs="Arial"/>
        </w:rPr>
        <w:t xml:space="preserve"> Con base al flujo de caja proyectado donde se asegura la caja mínima para atender las obligaciones de la Empresa, los excedentes de tesorería se colocarán en inversiones temporales, representadas en Fondos Fiduciarios, CDT, TES, Cuentas de Ahorros y Corrientes remuneradas, de los cuales se estiman ingresos por intereses generados del orden de $9.107 millones.</w:t>
      </w:r>
    </w:p>
    <w:p w14:paraId="500789A7" w14:textId="77777777" w:rsidR="009C75D4" w:rsidRDefault="009C75D4" w:rsidP="009C75D4">
      <w:pPr>
        <w:jc w:val="both"/>
        <w:rPr>
          <w:rFonts w:ascii="Arial" w:eastAsia="Arial" w:hAnsi="Arial" w:cs="Arial"/>
        </w:rPr>
      </w:pPr>
    </w:p>
    <w:p w14:paraId="78152B78" w14:textId="103676AD" w:rsidR="009C75D4" w:rsidRDefault="009C75D4" w:rsidP="009C75D4">
      <w:pPr>
        <w:jc w:val="both"/>
        <w:rPr>
          <w:rFonts w:ascii="Arial" w:eastAsia="Arial" w:hAnsi="Arial" w:cs="Arial"/>
        </w:rPr>
      </w:pPr>
      <w:r>
        <w:rPr>
          <w:rFonts w:ascii="Arial" w:eastAsia="Arial" w:hAnsi="Arial" w:cs="Arial"/>
          <w:b/>
        </w:rPr>
        <w:t>RECUPERACIÓN DE CARTERA</w:t>
      </w:r>
      <w:r>
        <w:rPr>
          <w:rFonts w:ascii="Arial" w:eastAsia="Arial" w:hAnsi="Arial" w:cs="Arial"/>
        </w:rPr>
        <w:t xml:space="preserve">. Se estiman ingresos por $240,0 millones, que corresponden al Acuerdo de pago pactado con </w:t>
      </w:r>
      <w:r w:rsidR="001F33D5">
        <w:rPr>
          <w:rFonts w:ascii="Arial" w:eastAsia="Arial" w:hAnsi="Arial" w:cs="Arial"/>
        </w:rPr>
        <w:t>nuestros clientes</w:t>
      </w:r>
      <w:r>
        <w:rPr>
          <w:rFonts w:ascii="Arial" w:eastAsia="Arial" w:hAnsi="Arial" w:cs="Arial"/>
        </w:rPr>
        <w:t xml:space="preserve">, por una cuenta por pagar por concepto de suministro de energía, debido a </w:t>
      </w:r>
      <w:r>
        <w:rPr>
          <w:rFonts w:ascii="Arial" w:eastAsia="Arial" w:hAnsi="Arial" w:cs="Arial"/>
          <w:color w:val="000000"/>
        </w:rPr>
        <w:t>los efectos negativos que sufrieron algunos agentes del mercado de energía con la intervención por parte de la Superintendencia de Servicios Públicos en noviembre de 2016 a la empresa Electricaribe</w:t>
      </w:r>
      <w:r>
        <w:rPr>
          <w:rFonts w:ascii="Arial" w:eastAsia="Arial" w:hAnsi="Arial" w:cs="Arial"/>
        </w:rPr>
        <w:t>.</w:t>
      </w:r>
    </w:p>
    <w:p w14:paraId="729281C0" w14:textId="77777777" w:rsidR="003A61B7" w:rsidRDefault="003A61B7" w:rsidP="003A61B7">
      <w:pPr>
        <w:pBdr>
          <w:top w:val="nil"/>
          <w:left w:val="nil"/>
          <w:bottom w:val="nil"/>
          <w:right w:val="nil"/>
          <w:between w:val="nil"/>
        </w:pBdr>
        <w:jc w:val="both"/>
        <w:rPr>
          <w:rFonts w:ascii="Arial" w:eastAsia="Arial" w:hAnsi="Arial" w:cs="Arial"/>
          <w:b/>
        </w:rPr>
      </w:pPr>
    </w:p>
    <w:p w14:paraId="0BD452E7" w14:textId="1F856C84" w:rsidR="003A61B7" w:rsidRDefault="003A61B7" w:rsidP="003A61B7">
      <w:pPr>
        <w:pBdr>
          <w:top w:val="nil"/>
          <w:left w:val="nil"/>
          <w:bottom w:val="nil"/>
          <w:right w:val="nil"/>
          <w:between w:val="nil"/>
        </w:pBdr>
        <w:jc w:val="both"/>
        <w:rPr>
          <w:rFonts w:ascii="Arial" w:eastAsia="Arial" w:hAnsi="Arial" w:cs="Arial"/>
        </w:rPr>
      </w:pPr>
      <w:r>
        <w:rPr>
          <w:rFonts w:ascii="Arial" w:eastAsia="Arial" w:hAnsi="Arial" w:cs="Arial"/>
          <w:b/>
        </w:rPr>
        <w:t>CRÉDITO PROVEEDOR</w:t>
      </w:r>
      <w:r>
        <w:rPr>
          <w:rFonts w:ascii="Arial" w:eastAsia="Arial" w:hAnsi="Arial" w:cs="Arial"/>
        </w:rPr>
        <w:t xml:space="preserve">. Se presupuesta por este rubro la suma de $30.751 millones como fuente de equilibrio presupuestal y corresponde a una gran parte de las cuentas por pagar con vencimiento de pago para el 2025. </w:t>
      </w:r>
    </w:p>
    <w:p w14:paraId="5C1A37FB" w14:textId="77777777" w:rsidR="003A61B7" w:rsidRDefault="003A61B7" w:rsidP="003A61B7">
      <w:pPr>
        <w:pBdr>
          <w:top w:val="nil"/>
          <w:left w:val="nil"/>
          <w:bottom w:val="nil"/>
          <w:right w:val="nil"/>
          <w:between w:val="nil"/>
        </w:pBdr>
        <w:jc w:val="both"/>
        <w:rPr>
          <w:rFonts w:ascii="Arial" w:eastAsia="Arial" w:hAnsi="Arial" w:cs="Arial"/>
        </w:rPr>
      </w:pPr>
    </w:p>
    <w:p w14:paraId="792B1A8D" w14:textId="5CA0BA46" w:rsidR="003A61B7" w:rsidRPr="001F33D5" w:rsidRDefault="00167779" w:rsidP="001F33D5">
      <w:pPr>
        <w:pBdr>
          <w:top w:val="nil"/>
          <w:left w:val="nil"/>
          <w:bottom w:val="nil"/>
          <w:right w:val="nil"/>
          <w:between w:val="nil"/>
        </w:pBdr>
        <w:jc w:val="both"/>
        <w:rPr>
          <w:rFonts w:ascii="Arial" w:eastAsia="Arial" w:hAnsi="Arial" w:cs="Arial"/>
        </w:rPr>
      </w:pPr>
      <w:r w:rsidRPr="001F33D5">
        <w:rPr>
          <w:rFonts w:ascii="Arial" w:eastAsia="Arial" w:hAnsi="Arial" w:cs="Arial"/>
          <w:b/>
          <w:bCs/>
        </w:rPr>
        <w:t xml:space="preserve">VENTA LOS CERTIFICADOS DE ENERGÍA RENOVABLE </w:t>
      </w:r>
      <w:r w:rsidR="003A61B7" w:rsidRPr="001F33D5">
        <w:rPr>
          <w:rFonts w:ascii="Arial" w:eastAsia="Arial" w:hAnsi="Arial" w:cs="Arial"/>
          <w:b/>
          <w:bCs/>
        </w:rPr>
        <w:t>(</w:t>
      </w:r>
      <w:proofErr w:type="spellStart"/>
      <w:r w:rsidR="003A61B7" w:rsidRPr="001F33D5">
        <w:rPr>
          <w:rFonts w:ascii="Arial" w:eastAsia="Arial" w:hAnsi="Arial" w:cs="Arial"/>
          <w:b/>
          <w:bCs/>
        </w:rPr>
        <w:t>REC´s</w:t>
      </w:r>
      <w:proofErr w:type="spellEnd"/>
      <w:r w:rsidR="003A61B7" w:rsidRPr="001F33D5">
        <w:rPr>
          <w:rFonts w:ascii="Arial" w:eastAsia="Arial" w:hAnsi="Arial" w:cs="Arial"/>
          <w:b/>
          <w:bCs/>
        </w:rPr>
        <w:t>)</w:t>
      </w:r>
      <w:r w:rsidR="003A61B7" w:rsidRPr="001F33D5">
        <w:rPr>
          <w:rFonts w:ascii="Arial" w:eastAsia="Arial" w:hAnsi="Arial" w:cs="Arial"/>
        </w:rPr>
        <w:t>: Se estima una nueva fuente de ingresos en 2024 que consiste en la venta de los certificados de energía renovable (</w:t>
      </w:r>
      <w:proofErr w:type="spellStart"/>
      <w:r w:rsidR="003A61B7" w:rsidRPr="001F33D5">
        <w:rPr>
          <w:rFonts w:ascii="Arial" w:eastAsia="Arial" w:hAnsi="Arial" w:cs="Arial"/>
        </w:rPr>
        <w:t>REC´s</w:t>
      </w:r>
      <w:proofErr w:type="spellEnd"/>
      <w:r w:rsidR="003A61B7" w:rsidRPr="001F33D5">
        <w:rPr>
          <w:rFonts w:ascii="Arial" w:eastAsia="Arial" w:hAnsi="Arial" w:cs="Arial"/>
        </w:rPr>
        <w:t xml:space="preserve">) los cuales son una novedosa herramienta implementada en el sector eléctrico con el fin de reducir la huella de carbono, contribuyendo de esta forma a la mitigación del cambio climático y fomentado a su vez la implementación de proyectos con fuentes de energías renovables. La </w:t>
      </w:r>
      <w:r w:rsidR="003A61B7" w:rsidRPr="001F33D5">
        <w:rPr>
          <w:rFonts w:ascii="Arial" w:eastAsia="Arial" w:hAnsi="Arial" w:cs="Arial"/>
        </w:rPr>
        <w:lastRenderedPageBreak/>
        <w:t xml:space="preserve">implementación de la certificación REC por parte de </w:t>
      </w:r>
      <w:proofErr w:type="spellStart"/>
      <w:r w:rsidR="003A61B7" w:rsidRPr="001F33D5">
        <w:rPr>
          <w:rFonts w:ascii="Arial" w:eastAsia="Arial" w:hAnsi="Arial" w:cs="Arial"/>
        </w:rPr>
        <w:t>Urrá</w:t>
      </w:r>
      <w:proofErr w:type="spellEnd"/>
      <w:r w:rsidR="003A61B7" w:rsidRPr="001F33D5">
        <w:rPr>
          <w:rFonts w:ascii="Arial" w:eastAsia="Arial" w:hAnsi="Arial" w:cs="Arial"/>
        </w:rPr>
        <w:t xml:space="preserve"> S.A. E.S.P. permitirá a la empresa hacer más énfasis en su compromiso ambiental y de generación sostenible, garantizando a sus clientes que la energía suministrada proviene al 100% de fuentes de energía renovables y sumándose al grupo de generadores que ya hacen parte de este nuevo camino hacia la transición energética.</w:t>
      </w:r>
    </w:p>
    <w:p w14:paraId="3CE27545" w14:textId="05A6832B" w:rsidR="003A61B7" w:rsidRDefault="003A61B7" w:rsidP="00413ABE">
      <w:pPr>
        <w:jc w:val="both"/>
        <w:rPr>
          <w:rFonts w:ascii="Arial" w:eastAsia="Arial" w:hAnsi="Arial" w:cs="Arial"/>
        </w:rPr>
      </w:pPr>
    </w:p>
    <w:p w14:paraId="5E9DB0BA" w14:textId="77777777" w:rsidR="00514D1D" w:rsidRDefault="00514D1D" w:rsidP="00413ABE">
      <w:pPr>
        <w:jc w:val="both"/>
        <w:rPr>
          <w:rFonts w:ascii="Arial" w:eastAsia="Arial" w:hAnsi="Arial" w:cs="Arial"/>
        </w:rPr>
      </w:pPr>
    </w:p>
    <w:p w14:paraId="28E005C6" w14:textId="5FFC95F1" w:rsidR="001F33D5" w:rsidRPr="001F33D5" w:rsidRDefault="001F33D5" w:rsidP="001F33D5">
      <w:pPr>
        <w:pStyle w:val="Prrafodelista"/>
        <w:numPr>
          <w:ilvl w:val="0"/>
          <w:numId w:val="12"/>
        </w:numPr>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¿Cuál es la desagregación especifica de su presupuesto de gastos o apropiaciones durante la vigencia 2024 en funcionamiento, servicio de la deuda e inversión? Detalle por cuenta/programa, subcuenta/subprograma y si corresponde proyecto de inversión.</w:t>
      </w:r>
    </w:p>
    <w:p w14:paraId="7DBF0E74" w14:textId="77777777" w:rsidR="001F33D5" w:rsidRDefault="001F33D5" w:rsidP="001F33D5">
      <w:pPr>
        <w:pBdr>
          <w:top w:val="nil"/>
          <w:left w:val="nil"/>
          <w:bottom w:val="nil"/>
          <w:right w:val="nil"/>
          <w:between w:val="nil"/>
        </w:pBdr>
        <w:jc w:val="both"/>
        <w:rPr>
          <w:rFonts w:ascii="Arial" w:eastAsia="Arial" w:hAnsi="Arial" w:cs="Arial"/>
          <w:b/>
          <w:bCs/>
          <w:color w:val="000000"/>
        </w:rPr>
      </w:pPr>
    </w:p>
    <w:p w14:paraId="3CE5F45B" w14:textId="05E7DEC3" w:rsidR="00E730D3" w:rsidRPr="000F220B" w:rsidRDefault="00F33038" w:rsidP="001C69A5">
      <w:pPr>
        <w:pBdr>
          <w:top w:val="nil"/>
          <w:left w:val="nil"/>
          <w:bottom w:val="nil"/>
          <w:right w:val="nil"/>
          <w:between w:val="nil"/>
        </w:pBdr>
        <w:jc w:val="center"/>
        <w:rPr>
          <w:rFonts w:ascii="Arial" w:eastAsia="Arial" w:hAnsi="Arial" w:cs="Arial"/>
          <w:b/>
          <w:bCs/>
          <w:color w:val="000000"/>
        </w:rPr>
      </w:pPr>
      <w:r w:rsidRPr="000F220B">
        <w:rPr>
          <w:rFonts w:ascii="Arial" w:eastAsia="Arial" w:hAnsi="Arial" w:cs="Arial"/>
          <w:b/>
          <w:bCs/>
          <w:color w:val="000000"/>
        </w:rPr>
        <w:t>PRESUPUESTO DE GASTOS 2024</w:t>
      </w:r>
    </w:p>
    <w:p w14:paraId="71D1144E" w14:textId="1A4C0F57" w:rsidR="00E730D3" w:rsidRPr="001C69A5" w:rsidRDefault="001C69A5" w:rsidP="00232C53">
      <w:pPr>
        <w:pStyle w:val="Prrafodelista"/>
        <w:pBdr>
          <w:top w:val="nil"/>
          <w:left w:val="nil"/>
          <w:bottom w:val="nil"/>
          <w:right w:val="nil"/>
          <w:between w:val="nil"/>
        </w:pBdr>
        <w:ind w:left="1080"/>
        <w:jc w:val="both"/>
        <w:rPr>
          <w:rFonts w:ascii="Arial" w:eastAsia="Arial" w:hAnsi="Arial" w:cs="Arial"/>
          <w:bCs/>
        </w:rPr>
      </w:pPr>
      <w:r>
        <w:rPr>
          <w:rFonts w:ascii="Arial" w:eastAsia="Arial" w:hAnsi="Arial" w:cs="Arial"/>
          <w:bCs/>
        </w:rPr>
        <w:t xml:space="preserve">                                                                             </w:t>
      </w:r>
      <w:r w:rsidRPr="001C69A5">
        <w:rPr>
          <w:rFonts w:ascii="Arial" w:eastAsia="Arial" w:hAnsi="Arial" w:cs="Arial"/>
          <w:bCs/>
        </w:rPr>
        <w:t>Cifras en miles de pesos</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0"/>
        <w:gridCol w:w="2100"/>
      </w:tblGrid>
      <w:tr w:rsidR="00CF106C" w:rsidRPr="00CF106C" w14:paraId="2680F249" w14:textId="77777777" w:rsidTr="001F33D5">
        <w:trPr>
          <w:trHeight w:val="300"/>
        </w:trPr>
        <w:tc>
          <w:tcPr>
            <w:tcW w:w="7000" w:type="dxa"/>
            <w:vMerge w:val="restart"/>
            <w:shd w:val="clear" w:color="auto" w:fill="auto"/>
            <w:vAlign w:val="center"/>
            <w:hideMark/>
          </w:tcPr>
          <w:p w14:paraId="105C9CE8" w14:textId="77777777" w:rsidR="00CF106C" w:rsidRPr="001F33D5" w:rsidRDefault="00CF106C" w:rsidP="00CF106C">
            <w:pPr>
              <w:widowControl/>
              <w:jc w:val="center"/>
              <w:rPr>
                <w:rFonts w:ascii="Calibri" w:eastAsia="Times New Roman" w:hAnsi="Calibri" w:cs="Calibri"/>
                <w:b/>
                <w:bCs/>
                <w:color w:val="000000"/>
                <w:sz w:val="22"/>
                <w:szCs w:val="22"/>
              </w:rPr>
            </w:pPr>
            <w:r w:rsidRPr="001F33D5">
              <w:rPr>
                <w:rFonts w:ascii="Calibri" w:eastAsia="Times New Roman" w:hAnsi="Calibri" w:cs="Calibri"/>
                <w:b/>
                <w:bCs/>
                <w:color w:val="000000"/>
                <w:sz w:val="22"/>
                <w:szCs w:val="22"/>
              </w:rPr>
              <w:t>CONCEPTO</w:t>
            </w:r>
          </w:p>
        </w:tc>
        <w:tc>
          <w:tcPr>
            <w:tcW w:w="2100" w:type="dxa"/>
            <w:shd w:val="clear" w:color="auto" w:fill="auto"/>
            <w:noWrap/>
            <w:vAlign w:val="bottom"/>
            <w:hideMark/>
          </w:tcPr>
          <w:p w14:paraId="4BFC3B6F" w14:textId="77777777" w:rsidR="00CF106C" w:rsidRPr="00843586" w:rsidRDefault="00CF106C" w:rsidP="00CF106C">
            <w:pPr>
              <w:widowControl/>
              <w:jc w:val="center"/>
              <w:rPr>
                <w:rFonts w:ascii="Calibri" w:eastAsia="Times New Roman" w:hAnsi="Calibri" w:cs="Calibri"/>
                <w:b/>
                <w:bCs/>
                <w:color w:val="000000"/>
                <w:sz w:val="22"/>
                <w:szCs w:val="22"/>
              </w:rPr>
            </w:pPr>
            <w:r w:rsidRPr="00843586">
              <w:rPr>
                <w:rFonts w:ascii="Calibri" w:eastAsia="Times New Roman" w:hAnsi="Calibri" w:cs="Calibri"/>
                <w:b/>
                <w:bCs/>
                <w:color w:val="000000"/>
                <w:sz w:val="22"/>
                <w:szCs w:val="22"/>
              </w:rPr>
              <w:t>Vigencia</w:t>
            </w:r>
          </w:p>
        </w:tc>
      </w:tr>
      <w:tr w:rsidR="00CF106C" w:rsidRPr="00CF106C" w14:paraId="535A66AF" w14:textId="77777777" w:rsidTr="001F33D5">
        <w:trPr>
          <w:trHeight w:val="300"/>
        </w:trPr>
        <w:tc>
          <w:tcPr>
            <w:tcW w:w="7000" w:type="dxa"/>
            <w:vMerge/>
            <w:vAlign w:val="center"/>
            <w:hideMark/>
          </w:tcPr>
          <w:p w14:paraId="3BDB8FA5" w14:textId="77777777" w:rsidR="00CF106C" w:rsidRPr="00CF106C" w:rsidRDefault="00CF106C" w:rsidP="00CF106C">
            <w:pPr>
              <w:widowControl/>
              <w:rPr>
                <w:rFonts w:ascii="Calibri" w:eastAsia="Times New Roman" w:hAnsi="Calibri" w:cs="Calibri"/>
                <w:color w:val="000000"/>
                <w:sz w:val="22"/>
                <w:szCs w:val="22"/>
              </w:rPr>
            </w:pPr>
          </w:p>
        </w:tc>
        <w:tc>
          <w:tcPr>
            <w:tcW w:w="2100" w:type="dxa"/>
            <w:shd w:val="clear" w:color="auto" w:fill="auto"/>
            <w:noWrap/>
            <w:vAlign w:val="bottom"/>
            <w:hideMark/>
          </w:tcPr>
          <w:p w14:paraId="71227E76" w14:textId="77777777" w:rsidR="00CF106C" w:rsidRPr="00843586" w:rsidRDefault="00CF106C" w:rsidP="00CF106C">
            <w:pPr>
              <w:widowControl/>
              <w:jc w:val="center"/>
              <w:rPr>
                <w:rFonts w:ascii="Calibri" w:eastAsia="Times New Roman" w:hAnsi="Calibri" w:cs="Calibri"/>
                <w:b/>
                <w:bCs/>
                <w:color w:val="000000"/>
                <w:sz w:val="22"/>
                <w:szCs w:val="22"/>
              </w:rPr>
            </w:pPr>
            <w:r w:rsidRPr="00843586">
              <w:rPr>
                <w:rFonts w:ascii="Calibri" w:eastAsia="Times New Roman" w:hAnsi="Calibri" w:cs="Calibri"/>
                <w:b/>
                <w:bCs/>
                <w:color w:val="000000"/>
                <w:sz w:val="22"/>
                <w:szCs w:val="22"/>
              </w:rPr>
              <w:t>2024</w:t>
            </w:r>
          </w:p>
        </w:tc>
      </w:tr>
      <w:tr w:rsidR="00CF106C" w:rsidRPr="00CF106C" w14:paraId="6D47D7E9" w14:textId="77777777" w:rsidTr="001F33D5">
        <w:trPr>
          <w:trHeight w:val="300"/>
        </w:trPr>
        <w:tc>
          <w:tcPr>
            <w:tcW w:w="7000" w:type="dxa"/>
            <w:shd w:val="clear" w:color="000000" w:fill="DDEBF7"/>
            <w:noWrap/>
            <w:vAlign w:val="bottom"/>
            <w:hideMark/>
          </w:tcPr>
          <w:p w14:paraId="4E221E1E" w14:textId="44E12EFB" w:rsidR="00CF106C" w:rsidRPr="001F33D5" w:rsidRDefault="001F33D5" w:rsidP="00CF106C">
            <w:pPr>
              <w:widowControl/>
              <w:rPr>
                <w:rFonts w:ascii="Calibri" w:eastAsia="Times New Roman" w:hAnsi="Calibri" w:cs="Calibri"/>
                <w:b/>
                <w:bCs/>
                <w:color w:val="000000"/>
                <w:sz w:val="22"/>
                <w:szCs w:val="22"/>
              </w:rPr>
            </w:pPr>
            <w:r w:rsidRPr="001F33D5">
              <w:rPr>
                <w:rFonts w:ascii="Calibri" w:eastAsia="Times New Roman" w:hAnsi="Calibri" w:cs="Calibri"/>
                <w:b/>
                <w:bCs/>
                <w:color w:val="000000"/>
                <w:sz w:val="22"/>
                <w:szCs w:val="22"/>
              </w:rPr>
              <w:t>FUNCIONAMIENTO</w:t>
            </w:r>
          </w:p>
        </w:tc>
        <w:tc>
          <w:tcPr>
            <w:tcW w:w="2100" w:type="dxa"/>
            <w:shd w:val="clear" w:color="000000" w:fill="DDEBF7"/>
            <w:noWrap/>
            <w:vAlign w:val="bottom"/>
            <w:hideMark/>
          </w:tcPr>
          <w:p w14:paraId="0DEA36E0" w14:textId="77777777" w:rsidR="00CF106C" w:rsidRPr="001C69A5" w:rsidRDefault="00CF106C" w:rsidP="00CF106C">
            <w:pPr>
              <w:widowControl/>
              <w:jc w:val="right"/>
              <w:rPr>
                <w:rFonts w:ascii="Calibri" w:eastAsia="Times New Roman" w:hAnsi="Calibri" w:cs="Calibri"/>
                <w:b/>
                <w:bCs/>
                <w:color w:val="000000"/>
                <w:sz w:val="22"/>
                <w:szCs w:val="22"/>
              </w:rPr>
            </w:pPr>
            <w:r w:rsidRPr="001C69A5">
              <w:rPr>
                <w:rFonts w:ascii="Calibri" w:eastAsia="Times New Roman" w:hAnsi="Calibri" w:cs="Calibri"/>
                <w:b/>
                <w:bCs/>
                <w:color w:val="000000"/>
                <w:sz w:val="22"/>
                <w:szCs w:val="22"/>
              </w:rPr>
              <w:t>108.431.173</w:t>
            </w:r>
          </w:p>
        </w:tc>
      </w:tr>
      <w:tr w:rsidR="00CF106C" w:rsidRPr="00CF106C" w14:paraId="71F73C54" w14:textId="77777777" w:rsidTr="001F33D5">
        <w:trPr>
          <w:trHeight w:val="300"/>
        </w:trPr>
        <w:tc>
          <w:tcPr>
            <w:tcW w:w="7000" w:type="dxa"/>
            <w:shd w:val="clear" w:color="auto" w:fill="auto"/>
            <w:vAlign w:val="center"/>
            <w:hideMark/>
          </w:tcPr>
          <w:p w14:paraId="7832E9BF" w14:textId="77777777" w:rsidR="00CF106C" w:rsidRPr="00CF106C" w:rsidRDefault="00CF106C" w:rsidP="00CF106C">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Gastos Personales</w:t>
            </w:r>
          </w:p>
        </w:tc>
        <w:tc>
          <w:tcPr>
            <w:tcW w:w="2100" w:type="dxa"/>
            <w:shd w:val="clear" w:color="auto" w:fill="auto"/>
            <w:noWrap/>
            <w:vAlign w:val="bottom"/>
            <w:hideMark/>
          </w:tcPr>
          <w:p w14:paraId="543E3800" w14:textId="77777777" w:rsidR="00CF106C" w:rsidRPr="00CF106C" w:rsidRDefault="00CF106C" w:rsidP="00CF106C">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15.972.376</w:t>
            </w:r>
          </w:p>
        </w:tc>
      </w:tr>
      <w:tr w:rsidR="00CF106C" w:rsidRPr="00CF106C" w14:paraId="24E7C8EE" w14:textId="77777777" w:rsidTr="001F33D5">
        <w:trPr>
          <w:trHeight w:val="300"/>
        </w:trPr>
        <w:tc>
          <w:tcPr>
            <w:tcW w:w="7000" w:type="dxa"/>
            <w:shd w:val="clear" w:color="auto" w:fill="auto"/>
            <w:vAlign w:val="center"/>
            <w:hideMark/>
          </w:tcPr>
          <w:p w14:paraId="34D244AC" w14:textId="77777777" w:rsidR="00CF106C" w:rsidRPr="00CF106C" w:rsidRDefault="00CF106C" w:rsidP="00CF106C">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Adquisición De Bienes Y Servicios </w:t>
            </w:r>
          </w:p>
        </w:tc>
        <w:tc>
          <w:tcPr>
            <w:tcW w:w="2100" w:type="dxa"/>
            <w:shd w:val="clear" w:color="auto" w:fill="auto"/>
            <w:noWrap/>
            <w:vAlign w:val="bottom"/>
            <w:hideMark/>
          </w:tcPr>
          <w:p w14:paraId="01A15287" w14:textId="77777777" w:rsidR="00CF106C" w:rsidRPr="00CF106C" w:rsidRDefault="00CF106C" w:rsidP="00CF106C">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13.490.763</w:t>
            </w:r>
          </w:p>
        </w:tc>
      </w:tr>
      <w:tr w:rsidR="00CF106C" w:rsidRPr="00CF106C" w14:paraId="3C7C96CA" w14:textId="77777777" w:rsidTr="001F33D5">
        <w:trPr>
          <w:trHeight w:val="300"/>
        </w:trPr>
        <w:tc>
          <w:tcPr>
            <w:tcW w:w="7000" w:type="dxa"/>
            <w:shd w:val="clear" w:color="auto" w:fill="auto"/>
            <w:vAlign w:val="center"/>
            <w:hideMark/>
          </w:tcPr>
          <w:p w14:paraId="6B141BAA" w14:textId="77777777" w:rsidR="00CF106C" w:rsidRPr="00CF106C" w:rsidRDefault="00CF106C" w:rsidP="00CF106C">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Impuestos y Multas</w:t>
            </w:r>
          </w:p>
        </w:tc>
        <w:tc>
          <w:tcPr>
            <w:tcW w:w="2100" w:type="dxa"/>
            <w:shd w:val="clear" w:color="auto" w:fill="auto"/>
            <w:noWrap/>
            <w:vAlign w:val="bottom"/>
            <w:hideMark/>
          </w:tcPr>
          <w:p w14:paraId="7D763FDA" w14:textId="77777777" w:rsidR="00CF106C" w:rsidRPr="00CF106C" w:rsidRDefault="00CF106C" w:rsidP="00CF106C">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55.418.954</w:t>
            </w:r>
          </w:p>
        </w:tc>
      </w:tr>
      <w:tr w:rsidR="00CF106C" w:rsidRPr="00CF106C" w14:paraId="59973431" w14:textId="77777777" w:rsidTr="001F33D5">
        <w:trPr>
          <w:trHeight w:val="300"/>
        </w:trPr>
        <w:tc>
          <w:tcPr>
            <w:tcW w:w="7000" w:type="dxa"/>
            <w:shd w:val="clear" w:color="auto" w:fill="auto"/>
            <w:vAlign w:val="center"/>
            <w:hideMark/>
          </w:tcPr>
          <w:p w14:paraId="12B1A252" w14:textId="77777777" w:rsidR="00CF106C" w:rsidRPr="00CF106C" w:rsidRDefault="00CF106C" w:rsidP="00CF106C">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Contribuciones</w:t>
            </w:r>
          </w:p>
        </w:tc>
        <w:tc>
          <w:tcPr>
            <w:tcW w:w="2100" w:type="dxa"/>
            <w:shd w:val="clear" w:color="auto" w:fill="auto"/>
            <w:noWrap/>
            <w:vAlign w:val="bottom"/>
            <w:hideMark/>
          </w:tcPr>
          <w:p w14:paraId="43ACDC96" w14:textId="77777777" w:rsidR="00CF106C" w:rsidRPr="00CF106C" w:rsidRDefault="00CF106C" w:rsidP="00CF106C">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6.986.070</w:t>
            </w:r>
          </w:p>
        </w:tc>
      </w:tr>
      <w:tr w:rsidR="00CF106C" w:rsidRPr="00CF106C" w14:paraId="2C28246A" w14:textId="77777777" w:rsidTr="001F33D5">
        <w:trPr>
          <w:trHeight w:val="300"/>
        </w:trPr>
        <w:tc>
          <w:tcPr>
            <w:tcW w:w="7000" w:type="dxa"/>
            <w:shd w:val="clear" w:color="auto" w:fill="auto"/>
            <w:vAlign w:val="center"/>
            <w:hideMark/>
          </w:tcPr>
          <w:p w14:paraId="18BA2381" w14:textId="77777777" w:rsidR="00CF106C" w:rsidRPr="00CF106C" w:rsidRDefault="00CF106C" w:rsidP="00CF106C">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Transferencias Corrientes</w:t>
            </w:r>
          </w:p>
        </w:tc>
        <w:tc>
          <w:tcPr>
            <w:tcW w:w="2100" w:type="dxa"/>
            <w:shd w:val="clear" w:color="auto" w:fill="auto"/>
            <w:noWrap/>
            <w:vAlign w:val="bottom"/>
            <w:hideMark/>
          </w:tcPr>
          <w:p w14:paraId="37F0CE53" w14:textId="77777777" w:rsidR="00CF106C" w:rsidRPr="00CF106C" w:rsidRDefault="00CF106C" w:rsidP="00CF106C">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16.563.010</w:t>
            </w:r>
          </w:p>
        </w:tc>
      </w:tr>
      <w:tr w:rsidR="00CF106C" w:rsidRPr="00CF106C" w14:paraId="7A7AD129" w14:textId="77777777" w:rsidTr="001F33D5">
        <w:trPr>
          <w:trHeight w:val="300"/>
        </w:trPr>
        <w:tc>
          <w:tcPr>
            <w:tcW w:w="7000" w:type="dxa"/>
            <w:shd w:val="clear" w:color="000000" w:fill="DDEBF7"/>
            <w:noWrap/>
            <w:vAlign w:val="bottom"/>
            <w:hideMark/>
          </w:tcPr>
          <w:p w14:paraId="27C741D6" w14:textId="26006AB2" w:rsidR="00CF106C" w:rsidRPr="001F33D5" w:rsidRDefault="001F33D5" w:rsidP="00CF106C">
            <w:pPr>
              <w:widowControl/>
              <w:rPr>
                <w:rFonts w:ascii="Calibri" w:eastAsia="Times New Roman" w:hAnsi="Calibri" w:cs="Calibri"/>
                <w:b/>
                <w:bCs/>
                <w:color w:val="000000"/>
                <w:sz w:val="22"/>
                <w:szCs w:val="22"/>
              </w:rPr>
            </w:pPr>
            <w:r w:rsidRPr="001F33D5">
              <w:rPr>
                <w:rFonts w:ascii="Calibri" w:eastAsia="Times New Roman" w:hAnsi="Calibri" w:cs="Calibri"/>
                <w:b/>
                <w:bCs/>
                <w:color w:val="000000"/>
                <w:sz w:val="22"/>
                <w:szCs w:val="22"/>
              </w:rPr>
              <w:t>INVERSIÓN</w:t>
            </w:r>
          </w:p>
        </w:tc>
        <w:tc>
          <w:tcPr>
            <w:tcW w:w="2100" w:type="dxa"/>
            <w:shd w:val="clear" w:color="000000" w:fill="DDEBF7"/>
            <w:noWrap/>
            <w:vAlign w:val="bottom"/>
            <w:hideMark/>
          </w:tcPr>
          <w:p w14:paraId="223586A3" w14:textId="77777777" w:rsidR="00CF106C" w:rsidRPr="001C69A5" w:rsidRDefault="00CF106C" w:rsidP="00CF106C">
            <w:pPr>
              <w:widowControl/>
              <w:jc w:val="right"/>
              <w:rPr>
                <w:rFonts w:ascii="Calibri" w:eastAsia="Times New Roman" w:hAnsi="Calibri" w:cs="Calibri"/>
                <w:b/>
                <w:bCs/>
                <w:color w:val="000000"/>
                <w:sz w:val="22"/>
                <w:szCs w:val="22"/>
              </w:rPr>
            </w:pPr>
            <w:r w:rsidRPr="001C69A5">
              <w:rPr>
                <w:rFonts w:ascii="Calibri" w:eastAsia="Times New Roman" w:hAnsi="Calibri" w:cs="Calibri"/>
                <w:b/>
                <w:bCs/>
                <w:color w:val="000000"/>
                <w:sz w:val="22"/>
                <w:szCs w:val="22"/>
              </w:rPr>
              <w:t>595.511.721</w:t>
            </w:r>
          </w:p>
        </w:tc>
      </w:tr>
      <w:tr w:rsidR="00CF106C" w:rsidRPr="00CF106C" w14:paraId="40C9C39F" w14:textId="77777777" w:rsidTr="00843586">
        <w:trPr>
          <w:trHeight w:val="420"/>
        </w:trPr>
        <w:tc>
          <w:tcPr>
            <w:tcW w:w="7000" w:type="dxa"/>
            <w:shd w:val="clear" w:color="auto" w:fill="auto"/>
            <w:vAlign w:val="center"/>
            <w:hideMark/>
          </w:tcPr>
          <w:p w14:paraId="54B709B4" w14:textId="77777777" w:rsidR="00CF106C" w:rsidRPr="00CF106C" w:rsidRDefault="00CF106C" w:rsidP="00CF106C">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Generación de Energía Eléctrica con Fuentes Renovables no Convencionales</w:t>
            </w:r>
          </w:p>
        </w:tc>
        <w:tc>
          <w:tcPr>
            <w:tcW w:w="2100" w:type="dxa"/>
            <w:shd w:val="clear" w:color="auto" w:fill="auto"/>
            <w:noWrap/>
            <w:vAlign w:val="bottom"/>
            <w:hideMark/>
          </w:tcPr>
          <w:p w14:paraId="0CFC2951" w14:textId="77777777" w:rsidR="00CF106C" w:rsidRPr="00CF106C" w:rsidRDefault="00CF106C" w:rsidP="00CF106C">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233.781.715</w:t>
            </w:r>
          </w:p>
        </w:tc>
      </w:tr>
      <w:tr w:rsidR="00CF106C" w:rsidRPr="00CF106C" w14:paraId="3C03A3FF" w14:textId="77777777" w:rsidTr="001F33D5">
        <w:trPr>
          <w:trHeight w:val="300"/>
        </w:trPr>
        <w:tc>
          <w:tcPr>
            <w:tcW w:w="7000" w:type="dxa"/>
            <w:shd w:val="clear" w:color="auto" w:fill="auto"/>
            <w:vAlign w:val="center"/>
            <w:hideMark/>
          </w:tcPr>
          <w:p w14:paraId="17627146" w14:textId="77777777" w:rsidR="00CF106C" w:rsidRPr="00CF106C" w:rsidRDefault="00CF106C" w:rsidP="00CF106C">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Compras de Energía en el Mercado de Energía Mayorista- </w:t>
            </w:r>
          </w:p>
        </w:tc>
        <w:tc>
          <w:tcPr>
            <w:tcW w:w="2100" w:type="dxa"/>
            <w:shd w:val="clear" w:color="auto" w:fill="auto"/>
            <w:noWrap/>
            <w:vAlign w:val="bottom"/>
            <w:hideMark/>
          </w:tcPr>
          <w:p w14:paraId="36A03AFC" w14:textId="713CDD0F" w:rsidR="00CF106C" w:rsidRPr="00CF106C" w:rsidRDefault="00514D1D" w:rsidP="00CF106C">
            <w:pPr>
              <w:widowControl/>
              <w:jc w:val="right"/>
              <w:rPr>
                <w:rFonts w:ascii="Calibri" w:eastAsia="Times New Roman" w:hAnsi="Calibri" w:cs="Calibri"/>
                <w:color w:val="000000"/>
                <w:sz w:val="22"/>
                <w:szCs w:val="22"/>
              </w:rPr>
            </w:pPr>
            <w:r>
              <w:rPr>
                <w:rFonts w:ascii="Calibri" w:eastAsia="Times New Roman" w:hAnsi="Calibri" w:cs="Calibri"/>
                <w:color w:val="000000"/>
                <w:sz w:val="22"/>
                <w:szCs w:val="22"/>
              </w:rPr>
              <w:t>248.573.919</w:t>
            </w:r>
          </w:p>
        </w:tc>
      </w:tr>
      <w:tr w:rsidR="00CF106C" w:rsidRPr="00CF106C" w14:paraId="665F3B87" w14:textId="77777777" w:rsidTr="001F33D5">
        <w:trPr>
          <w:trHeight w:val="300"/>
        </w:trPr>
        <w:tc>
          <w:tcPr>
            <w:tcW w:w="7000" w:type="dxa"/>
            <w:shd w:val="clear" w:color="auto" w:fill="auto"/>
            <w:vAlign w:val="center"/>
            <w:hideMark/>
          </w:tcPr>
          <w:p w14:paraId="114A5362" w14:textId="77777777" w:rsidR="00CF106C" w:rsidRPr="00CF106C" w:rsidRDefault="00CF106C" w:rsidP="00CF106C">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Mantenimiento de la Central Hidroeléctrica </w:t>
            </w:r>
            <w:proofErr w:type="spellStart"/>
            <w:r w:rsidRPr="00CF106C">
              <w:rPr>
                <w:rFonts w:ascii="Calibri" w:eastAsia="Times New Roman" w:hAnsi="Calibri" w:cs="Calibri"/>
                <w:color w:val="000000"/>
                <w:sz w:val="22"/>
                <w:szCs w:val="22"/>
              </w:rPr>
              <w:t>Urrá</w:t>
            </w:r>
            <w:proofErr w:type="spellEnd"/>
            <w:r w:rsidRPr="00CF106C">
              <w:rPr>
                <w:rFonts w:ascii="Calibri" w:eastAsia="Times New Roman" w:hAnsi="Calibri" w:cs="Calibri"/>
                <w:color w:val="000000"/>
                <w:sz w:val="22"/>
                <w:szCs w:val="22"/>
              </w:rPr>
              <w:t xml:space="preserve"> I</w:t>
            </w:r>
          </w:p>
        </w:tc>
        <w:tc>
          <w:tcPr>
            <w:tcW w:w="2100" w:type="dxa"/>
            <w:shd w:val="clear" w:color="auto" w:fill="auto"/>
            <w:noWrap/>
            <w:vAlign w:val="bottom"/>
            <w:hideMark/>
          </w:tcPr>
          <w:p w14:paraId="6B6D97A3" w14:textId="77777777" w:rsidR="00CF106C" w:rsidRPr="00CF106C" w:rsidRDefault="00CF106C" w:rsidP="00CF106C">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71.235.320</w:t>
            </w:r>
          </w:p>
        </w:tc>
      </w:tr>
      <w:tr w:rsidR="00CF106C" w:rsidRPr="00CF106C" w14:paraId="31CEC4DB" w14:textId="77777777" w:rsidTr="001F33D5">
        <w:trPr>
          <w:trHeight w:val="510"/>
        </w:trPr>
        <w:tc>
          <w:tcPr>
            <w:tcW w:w="7000" w:type="dxa"/>
            <w:shd w:val="clear" w:color="auto" w:fill="auto"/>
            <w:vAlign w:val="center"/>
            <w:hideMark/>
          </w:tcPr>
          <w:p w14:paraId="6E7B98DC" w14:textId="77777777" w:rsidR="00CF106C" w:rsidRPr="00CF106C" w:rsidRDefault="00CF106C" w:rsidP="00CF106C">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Cumplimiento con las Medidas de Manejo, Requisitos, Normatividad y Acuerdos para la Operación de la Central Hidroeléctrica </w:t>
            </w:r>
            <w:proofErr w:type="spellStart"/>
            <w:r w:rsidRPr="00CF106C">
              <w:rPr>
                <w:rFonts w:ascii="Calibri" w:eastAsia="Times New Roman" w:hAnsi="Calibri" w:cs="Calibri"/>
                <w:color w:val="000000"/>
                <w:sz w:val="22"/>
                <w:szCs w:val="22"/>
              </w:rPr>
              <w:t>Urrá</w:t>
            </w:r>
            <w:proofErr w:type="spellEnd"/>
            <w:r w:rsidRPr="00CF106C">
              <w:rPr>
                <w:rFonts w:ascii="Calibri" w:eastAsia="Times New Roman" w:hAnsi="Calibri" w:cs="Calibri"/>
                <w:color w:val="000000"/>
                <w:sz w:val="22"/>
                <w:szCs w:val="22"/>
              </w:rPr>
              <w:t xml:space="preserve"> S.A E.</w:t>
            </w:r>
            <w:proofErr w:type="gramStart"/>
            <w:r w:rsidRPr="00CF106C">
              <w:rPr>
                <w:rFonts w:ascii="Calibri" w:eastAsia="Times New Roman" w:hAnsi="Calibri" w:cs="Calibri"/>
                <w:color w:val="000000"/>
                <w:sz w:val="22"/>
                <w:szCs w:val="22"/>
              </w:rPr>
              <w:t>S.P</w:t>
            </w:r>
            <w:proofErr w:type="gramEnd"/>
          </w:p>
        </w:tc>
        <w:tc>
          <w:tcPr>
            <w:tcW w:w="2100" w:type="dxa"/>
            <w:shd w:val="clear" w:color="auto" w:fill="auto"/>
            <w:noWrap/>
            <w:vAlign w:val="bottom"/>
            <w:hideMark/>
          </w:tcPr>
          <w:p w14:paraId="16A42291" w14:textId="77777777" w:rsidR="00CF106C" w:rsidRPr="00CF106C" w:rsidRDefault="00CF106C" w:rsidP="00CF106C">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41.920.766</w:t>
            </w:r>
          </w:p>
        </w:tc>
      </w:tr>
      <w:tr w:rsidR="00CF106C" w:rsidRPr="001C69A5" w14:paraId="169CD371" w14:textId="77777777" w:rsidTr="001F33D5">
        <w:trPr>
          <w:trHeight w:val="300"/>
        </w:trPr>
        <w:tc>
          <w:tcPr>
            <w:tcW w:w="7000" w:type="dxa"/>
            <w:shd w:val="clear" w:color="000000" w:fill="DDEBF7"/>
            <w:noWrap/>
            <w:vAlign w:val="bottom"/>
            <w:hideMark/>
          </w:tcPr>
          <w:p w14:paraId="6462D787" w14:textId="1025F13C" w:rsidR="00CF106C" w:rsidRPr="001C69A5" w:rsidRDefault="001C69A5" w:rsidP="00CF106C">
            <w:pPr>
              <w:widowControl/>
              <w:rPr>
                <w:rFonts w:ascii="Calibri" w:eastAsia="Times New Roman" w:hAnsi="Calibri" w:cs="Calibri"/>
                <w:b/>
                <w:bCs/>
                <w:color w:val="000000"/>
                <w:sz w:val="22"/>
                <w:szCs w:val="22"/>
              </w:rPr>
            </w:pPr>
            <w:r w:rsidRPr="001C69A5">
              <w:rPr>
                <w:rFonts w:ascii="Calibri" w:eastAsia="Times New Roman" w:hAnsi="Calibri" w:cs="Calibri"/>
                <w:b/>
                <w:bCs/>
                <w:color w:val="000000"/>
                <w:sz w:val="22"/>
                <w:szCs w:val="22"/>
              </w:rPr>
              <w:t>OPERACIÓN COMERCIAL</w:t>
            </w:r>
          </w:p>
        </w:tc>
        <w:tc>
          <w:tcPr>
            <w:tcW w:w="2100" w:type="dxa"/>
            <w:shd w:val="clear" w:color="000000" w:fill="DDEBF7"/>
            <w:noWrap/>
            <w:vAlign w:val="bottom"/>
            <w:hideMark/>
          </w:tcPr>
          <w:p w14:paraId="3EF34B4E" w14:textId="77777777" w:rsidR="00CF106C" w:rsidRPr="001C69A5" w:rsidRDefault="00CF106C" w:rsidP="00CF106C">
            <w:pPr>
              <w:widowControl/>
              <w:jc w:val="right"/>
              <w:rPr>
                <w:rFonts w:ascii="Calibri" w:eastAsia="Times New Roman" w:hAnsi="Calibri" w:cs="Calibri"/>
                <w:b/>
                <w:bCs/>
                <w:color w:val="000000"/>
                <w:sz w:val="22"/>
                <w:szCs w:val="22"/>
              </w:rPr>
            </w:pPr>
            <w:r w:rsidRPr="001C69A5">
              <w:rPr>
                <w:rFonts w:ascii="Calibri" w:eastAsia="Times New Roman" w:hAnsi="Calibri" w:cs="Calibri"/>
                <w:b/>
                <w:bCs/>
                <w:color w:val="000000"/>
                <w:sz w:val="22"/>
                <w:szCs w:val="22"/>
              </w:rPr>
              <w:t>10.828.371</w:t>
            </w:r>
          </w:p>
        </w:tc>
      </w:tr>
      <w:tr w:rsidR="001C69A5" w:rsidRPr="00CF106C" w14:paraId="6D58F72E" w14:textId="77777777" w:rsidTr="00843586">
        <w:trPr>
          <w:trHeight w:val="300"/>
        </w:trPr>
        <w:tc>
          <w:tcPr>
            <w:tcW w:w="7000" w:type="dxa"/>
            <w:shd w:val="clear" w:color="auto" w:fill="DEEAF6" w:themeFill="accent5" w:themeFillTint="33"/>
            <w:noWrap/>
            <w:vAlign w:val="bottom"/>
          </w:tcPr>
          <w:p w14:paraId="1A483010" w14:textId="5AE1AB7E" w:rsidR="001C69A5" w:rsidRPr="00CF106C" w:rsidRDefault="001C69A5" w:rsidP="001C69A5">
            <w:pPr>
              <w:widowControl/>
              <w:rPr>
                <w:rFonts w:ascii="Calibri" w:eastAsia="Times New Roman" w:hAnsi="Calibri" w:cs="Calibri"/>
                <w:color w:val="000000"/>
                <w:sz w:val="22"/>
                <w:szCs w:val="22"/>
              </w:rPr>
            </w:pPr>
            <w:r w:rsidRPr="001F33D5">
              <w:rPr>
                <w:rFonts w:ascii="Calibri" w:eastAsia="Times New Roman" w:hAnsi="Calibri" w:cs="Calibri"/>
                <w:b/>
                <w:bCs/>
                <w:color w:val="000000"/>
                <w:sz w:val="22"/>
                <w:szCs w:val="22"/>
              </w:rPr>
              <w:t>SERVICIO DE LA DEUDA</w:t>
            </w:r>
          </w:p>
        </w:tc>
        <w:tc>
          <w:tcPr>
            <w:tcW w:w="2100" w:type="dxa"/>
            <w:shd w:val="clear" w:color="auto" w:fill="DEEAF6" w:themeFill="accent5" w:themeFillTint="33"/>
            <w:noWrap/>
            <w:vAlign w:val="bottom"/>
          </w:tcPr>
          <w:p w14:paraId="5E689640" w14:textId="1E7CEC4C" w:rsidR="001C69A5" w:rsidRPr="001C69A5" w:rsidRDefault="001C69A5" w:rsidP="001C69A5">
            <w:pPr>
              <w:widowControl/>
              <w:jc w:val="right"/>
              <w:rPr>
                <w:rFonts w:ascii="Calibri" w:eastAsia="Times New Roman" w:hAnsi="Calibri" w:cs="Calibri"/>
                <w:b/>
                <w:bCs/>
                <w:color w:val="000000"/>
                <w:sz w:val="22"/>
                <w:szCs w:val="22"/>
              </w:rPr>
            </w:pPr>
            <w:r w:rsidRPr="001C69A5">
              <w:rPr>
                <w:rFonts w:ascii="Calibri" w:eastAsia="Times New Roman" w:hAnsi="Calibri" w:cs="Calibri"/>
                <w:b/>
                <w:bCs/>
                <w:color w:val="000000"/>
                <w:sz w:val="22"/>
                <w:szCs w:val="22"/>
              </w:rPr>
              <w:t>30.496.045</w:t>
            </w:r>
          </w:p>
        </w:tc>
      </w:tr>
      <w:tr w:rsidR="001C69A5" w:rsidRPr="00CF106C" w14:paraId="32C417C1" w14:textId="77777777" w:rsidTr="001F33D5">
        <w:trPr>
          <w:trHeight w:val="300"/>
        </w:trPr>
        <w:tc>
          <w:tcPr>
            <w:tcW w:w="7000" w:type="dxa"/>
            <w:shd w:val="clear" w:color="auto" w:fill="auto"/>
            <w:noWrap/>
            <w:vAlign w:val="bottom"/>
          </w:tcPr>
          <w:p w14:paraId="48D317A4" w14:textId="46BFF5DE" w:rsidR="001C69A5" w:rsidRPr="00CF106C" w:rsidRDefault="001C69A5" w:rsidP="001C69A5">
            <w:pPr>
              <w:widowControl/>
              <w:rPr>
                <w:rFonts w:ascii="Calibri" w:eastAsia="Times New Roman" w:hAnsi="Calibri" w:cs="Calibri"/>
                <w:color w:val="000000"/>
                <w:sz w:val="22"/>
                <w:szCs w:val="22"/>
              </w:rPr>
            </w:pPr>
            <w:r>
              <w:rPr>
                <w:rFonts w:ascii="Calibri" w:eastAsia="Times New Roman" w:hAnsi="Calibri" w:cs="Calibri"/>
                <w:color w:val="000000"/>
                <w:sz w:val="22"/>
                <w:szCs w:val="22"/>
              </w:rPr>
              <w:t>Deuda Interna</w:t>
            </w:r>
          </w:p>
        </w:tc>
        <w:tc>
          <w:tcPr>
            <w:tcW w:w="2100" w:type="dxa"/>
            <w:shd w:val="clear" w:color="auto" w:fill="auto"/>
            <w:noWrap/>
            <w:vAlign w:val="bottom"/>
          </w:tcPr>
          <w:p w14:paraId="653EBC21" w14:textId="19B17C2D" w:rsidR="001C69A5" w:rsidRPr="00CF106C" w:rsidRDefault="001C69A5" w:rsidP="001C69A5">
            <w:pPr>
              <w:widowControl/>
              <w:jc w:val="right"/>
              <w:rPr>
                <w:rFonts w:ascii="Calibri" w:eastAsia="Times New Roman" w:hAnsi="Calibri" w:cs="Calibri"/>
                <w:color w:val="000000"/>
                <w:sz w:val="22"/>
                <w:szCs w:val="22"/>
              </w:rPr>
            </w:pPr>
            <w:r>
              <w:rPr>
                <w:rFonts w:ascii="Calibri" w:eastAsia="Times New Roman" w:hAnsi="Calibri" w:cs="Calibri"/>
                <w:color w:val="000000"/>
                <w:sz w:val="22"/>
                <w:szCs w:val="22"/>
              </w:rPr>
              <w:t>30.496.045</w:t>
            </w:r>
          </w:p>
        </w:tc>
      </w:tr>
      <w:tr w:rsidR="001C69A5" w:rsidRPr="00514D1D" w14:paraId="0C6ECBC9" w14:textId="77777777" w:rsidTr="001F33D5">
        <w:trPr>
          <w:trHeight w:val="300"/>
        </w:trPr>
        <w:tc>
          <w:tcPr>
            <w:tcW w:w="7000" w:type="dxa"/>
            <w:shd w:val="clear" w:color="000000" w:fill="DDEBF7"/>
            <w:noWrap/>
            <w:vAlign w:val="bottom"/>
            <w:hideMark/>
          </w:tcPr>
          <w:p w14:paraId="0DC51B91" w14:textId="56B7857C" w:rsidR="001C69A5" w:rsidRPr="001C69A5" w:rsidRDefault="001C69A5" w:rsidP="001C69A5">
            <w:pPr>
              <w:widowControl/>
              <w:rPr>
                <w:rFonts w:ascii="Calibri" w:eastAsia="Times New Roman" w:hAnsi="Calibri" w:cs="Calibri"/>
                <w:b/>
                <w:bCs/>
                <w:color w:val="000000"/>
                <w:sz w:val="22"/>
                <w:szCs w:val="22"/>
              </w:rPr>
            </w:pPr>
            <w:proofErr w:type="gramStart"/>
            <w:r w:rsidRPr="001C69A5">
              <w:rPr>
                <w:rFonts w:ascii="Calibri" w:eastAsia="Times New Roman" w:hAnsi="Calibri" w:cs="Calibri"/>
                <w:b/>
                <w:bCs/>
                <w:color w:val="000000"/>
                <w:sz w:val="22"/>
                <w:szCs w:val="22"/>
              </w:rPr>
              <w:t>TOTAL</w:t>
            </w:r>
            <w:proofErr w:type="gramEnd"/>
            <w:r w:rsidRPr="001C69A5">
              <w:rPr>
                <w:rFonts w:ascii="Calibri" w:eastAsia="Times New Roman" w:hAnsi="Calibri" w:cs="Calibri"/>
                <w:b/>
                <w:bCs/>
                <w:color w:val="000000"/>
                <w:sz w:val="22"/>
                <w:szCs w:val="22"/>
              </w:rPr>
              <w:t xml:space="preserve"> </w:t>
            </w:r>
            <w:r>
              <w:rPr>
                <w:rFonts w:ascii="Calibri" w:eastAsia="Times New Roman" w:hAnsi="Calibri" w:cs="Calibri"/>
                <w:b/>
                <w:bCs/>
                <w:color w:val="000000"/>
                <w:sz w:val="22"/>
                <w:szCs w:val="22"/>
              </w:rPr>
              <w:t xml:space="preserve">PRESUPUESTO DE </w:t>
            </w:r>
            <w:r w:rsidRPr="001C69A5">
              <w:rPr>
                <w:rFonts w:ascii="Calibri" w:eastAsia="Times New Roman" w:hAnsi="Calibri" w:cs="Calibri"/>
                <w:b/>
                <w:bCs/>
                <w:color w:val="000000"/>
                <w:sz w:val="22"/>
                <w:szCs w:val="22"/>
              </w:rPr>
              <w:t xml:space="preserve">GASTOS </w:t>
            </w:r>
          </w:p>
        </w:tc>
        <w:tc>
          <w:tcPr>
            <w:tcW w:w="2100" w:type="dxa"/>
            <w:shd w:val="clear" w:color="000000" w:fill="DDEBF7"/>
            <w:noWrap/>
            <w:vAlign w:val="bottom"/>
            <w:hideMark/>
          </w:tcPr>
          <w:p w14:paraId="5DBF3C07" w14:textId="77777777" w:rsidR="001C69A5" w:rsidRPr="00514D1D" w:rsidRDefault="001C69A5" w:rsidP="001C69A5">
            <w:pPr>
              <w:widowControl/>
              <w:jc w:val="right"/>
              <w:rPr>
                <w:rFonts w:ascii="Calibri" w:eastAsia="Times New Roman" w:hAnsi="Calibri" w:cs="Calibri"/>
                <w:b/>
                <w:bCs/>
                <w:color w:val="000000"/>
                <w:sz w:val="22"/>
                <w:szCs w:val="22"/>
              </w:rPr>
            </w:pPr>
            <w:r w:rsidRPr="00514D1D">
              <w:rPr>
                <w:rFonts w:ascii="Calibri" w:eastAsia="Times New Roman" w:hAnsi="Calibri" w:cs="Calibri"/>
                <w:b/>
                <w:bCs/>
                <w:color w:val="000000"/>
                <w:sz w:val="22"/>
                <w:szCs w:val="22"/>
              </w:rPr>
              <w:t>745.267.310</w:t>
            </w:r>
          </w:p>
        </w:tc>
      </w:tr>
    </w:tbl>
    <w:p w14:paraId="3185760D" w14:textId="77777777" w:rsidR="00CF106C" w:rsidRDefault="00CF106C" w:rsidP="00232C53">
      <w:pPr>
        <w:pStyle w:val="Prrafodelista"/>
        <w:pBdr>
          <w:top w:val="nil"/>
          <w:left w:val="nil"/>
          <w:bottom w:val="nil"/>
          <w:right w:val="nil"/>
          <w:between w:val="nil"/>
        </w:pBdr>
        <w:ind w:left="1080"/>
        <w:jc w:val="both"/>
        <w:rPr>
          <w:rFonts w:ascii="Arial" w:eastAsia="Arial" w:hAnsi="Arial" w:cs="Arial"/>
          <w:b/>
        </w:rPr>
      </w:pPr>
    </w:p>
    <w:p w14:paraId="73B5A628" w14:textId="77777777" w:rsidR="00CF106C" w:rsidRDefault="00CF106C" w:rsidP="00CF106C">
      <w:pPr>
        <w:pBdr>
          <w:top w:val="nil"/>
          <w:left w:val="nil"/>
          <w:bottom w:val="nil"/>
          <w:right w:val="nil"/>
          <w:between w:val="nil"/>
        </w:pBdr>
        <w:jc w:val="both"/>
        <w:rPr>
          <w:rFonts w:ascii="Arial" w:eastAsia="Arial" w:hAnsi="Arial" w:cs="Arial"/>
          <w:b/>
        </w:rPr>
      </w:pPr>
    </w:p>
    <w:p w14:paraId="11106FC9" w14:textId="6ACD5A4E" w:rsidR="00843586" w:rsidRDefault="00843586" w:rsidP="00843586">
      <w:pPr>
        <w:pStyle w:val="Prrafodelista"/>
        <w:numPr>
          <w:ilvl w:val="0"/>
          <w:numId w:val="12"/>
        </w:numPr>
        <w:pBdr>
          <w:top w:val="nil"/>
          <w:left w:val="nil"/>
          <w:bottom w:val="nil"/>
          <w:right w:val="nil"/>
          <w:between w:val="nil"/>
        </w:pBdr>
        <w:jc w:val="both"/>
        <w:rPr>
          <w:rFonts w:ascii="Arial" w:eastAsia="Arial" w:hAnsi="Arial" w:cs="Arial"/>
          <w:b/>
        </w:rPr>
      </w:pPr>
      <w:r>
        <w:rPr>
          <w:rFonts w:ascii="Arial" w:eastAsia="Arial" w:hAnsi="Arial" w:cs="Arial"/>
          <w:b/>
        </w:rPr>
        <w:t>¿Cuál es la proporción de gastos recurrentes en comparación con gastos de capital en el presupuesto total para el año en curso?</w:t>
      </w:r>
    </w:p>
    <w:p w14:paraId="74210B12" w14:textId="77777777" w:rsidR="00843586" w:rsidRDefault="00843586" w:rsidP="00843586">
      <w:pPr>
        <w:pStyle w:val="Prrafodelista"/>
        <w:pBdr>
          <w:top w:val="nil"/>
          <w:left w:val="nil"/>
          <w:bottom w:val="nil"/>
          <w:right w:val="nil"/>
          <w:between w:val="nil"/>
        </w:pBdr>
        <w:jc w:val="both"/>
        <w:rPr>
          <w:rFonts w:ascii="Arial" w:eastAsia="Arial" w:hAnsi="Arial" w:cs="Arial"/>
          <w:b/>
        </w:rPr>
      </w:pPr>
    </w:p>
    <w:p w14:paraId="3A2EF692" w14:textId="6291C3EF" w:rsidR="00843586" w:rsidRPr="00843586" w:rsidRDefault="00843586" w:rsidP="00843586">
      <w:pPr>
        <w:pBdr>
          <w:top w:val="nil"/>
          <w:left w:val="nil"/>
          <w:bottom w:val="nil"/>
          <w:right w:val="nil"/>
          <w:between w:val="nil"/>
        </w:pBdr>
        <w:ind w:left="360"/>
        <w:jc w:val="both"/>
        <w:rPr>
          <w:rFonts w:ascii="Arial" w:eastAsia="Arial" w:hAnsi="Arial" w:cs="Arial"/>
          <w:bCs/>
        </w:rPr>
      </w:pPr>
      <w:r>
        <w:rPr>
          <w:rFonts w:ascii="Arial" w:eastAsia="Arial" w:hAnsi="Arial" w:cs="Arial"/>
          <w:bCs/>
        </w:rPr>
        <w:t>Los gastos recurrentes de funcionamiento corresponden al 6.87% del total del presupuesto para la vigencia 2024</w:t>
      </w:r>
      <w:r w:rsidR="00514D1D">
        <w:rPr>
          <w:rFonts w:ascii="Arial" w:eastAsia="Arial" w:hAnsi="Arial" w:cs="Arial"/>
          <w:bCs/>
        </w:rPr>
        <w:t>.</w:t>
      </w:r>
    </w:p>
    <w:p w14:paraId="7C72FAF8" w14:textId="77777777" w:rsidR="00843586" w:rsidRDefault="00843586" w:rsidP="00843586">
      <w:pPr>
        <w:pStyle w:val="Prrafodelista"/>
        <w:pBdr>
          <w:top w:val="nil"/>
          <w:left w:val="nil"/>
          <w:bottom w:val="nil"/>
          <w:right w:val="nil"/>
          <w:between w:val="nil"/>
        </w:pBdr>
        <w:jc w:val="both"/>
        <w:rPr>
          <w:rFonts w:ascii="Arial" w:eastAsia="Arial" w:hAnsi="Arial" w:cs="Arial"/>
          <w:b/>
        </w:rPr>
      </w:pPr>
    </w:p>
    <w:p w14:paraId="43ECABCC" w14:textId="4D748F1B" w:rsidR="00843586" w:rsidRDefault="00843586" w:rsidP="00843586">
      <w:pPr>
        <w:pStyle w:val="Prrafodelista"/>
        <w:pBdr>
          <w:top w:val="nil"/>
          <w:left w:val="nil"/>
          <w:bottom w:val="nil"/>
          <w:right w:val="nil"/>
          <w:between w:val="nil"/>
        </w:pBdr>
        <w:jc w:val="both"/>
        <w:rPr>
          <w:rFonts w:ascii="Arial" w:eastAsia="Arial" w:hAnsi="Arial" w:cs="Arial"/>
          <w:b/>
        </w:rPr>
      </w:pPr>
    </w:p>
    <w:p w14:paraId="6E63BBC2" w14:textId="77777777" w:rsidR="00514D1D" w:rsidRDefault="00514D1D" w:rsidP="00843586">
      <w:pPr>
        <w:pStyle w:val="Prrafodelista"/>
        <w:pBdr>
          <w:top w:val="nil"/>
          <w:left w:val="nil"/>
          <w:bottom w:val="nil"/>
          <w:right w:val="nil"/>
          <w:between w:val="nil"/>
        </w:pBdr>
        <w:jc w:val="both"/>
        <w:rPr>
          <w:rFonts w:ascii="Arial" w:eastAsia="Arial" w:hAnsi="Arial" w:cs="Arial"/>
          <w:b/>
        </w:rPr>
      </w:pPr>
    </w:p>
    <w:p w14:paraId="0356A352" w14:textId="77777777" w:rsidR="00843586" w:rsidRDefault="00843586" w:rsidP="00843586">
      <w:pPr>
        <w:pStyle w:val="Prrafodelista"/>
        <w:pBdr>
          <w:top w:val="nil"/>
          <w:left w:val="nil"/>
          <w:bottom w:val="nil"/>
          <w:right w:val="nil"/>
          <w:between w:val="nil"/>
        </w:pBdr>
        <w:jc w:val="both"/>
        <w:rPr>
          <w:rFonts w:ascii="Arial" w:eastAsia="Arial" w:hAnsi="Arial" w:cs="Arial"/>
          <w:b/>
        </w:rPr>
      </w:pPr>
    </w:p>
    <w:p w14:paraId="5C63575F" w14:textId="77777777" w:rsidR="00843586" w:rsidRPr="00843586" w:rsidRDefault="00843586" w:rsidP="00843586">
      <w:pPr>
        <w:pStyle w:val="Prrafodelista"/>
        <w:pBdr>
          <w:top w:val="nil"/>
          <w:left w:val="nil"/>
          <w:bottom w:val="nil"/>
          <w:right w:val="nil"/>
          <w:between w:val="nil"/>
        </w:pBdr>
        <w:jc w:val="both"/>
        <w:rPr>
          <w:rFonts w:ascii="Arial" w:eastAsia="Arial" w:hAnsi="Arial" w:cs="Arial"/>
          <w:b/>
        </w:rPr>
      </w:pPr>
    </w:p>
    <w:p w14:paraId="6E66743B" w14:textId="5886FC66" w:rsidR="00CF106C" w:rsidRPr="00843586" w:rsidRDefault="00CF106C" w:rsidP="00843586">
      <w:pPr>
        <w:pStyle w:val="Prrafodelista"/>
        <w:numPr>
          <w:ilvl w:val="0"/>
          <w:numId w:val="12"/>
        </w:numPr>
        <w:pBdr>
          <w:top w:val="nil"/>
          <w:left w:val="nil"/>
          <w:bottom w:val="nil"/>
          <w:right w:val="nil"/>
          <w:between w:val="nil"/>
        </w:pBdr>
        <w:jc w:val="both"/>
        <w:rPr>
          <w:rFonts w:ascii="Arial" w:eastAsia="Arial" w:hAnsi="Arial" w:cs="Arial"/>
          <w:b/>
        </w:rPr>
      </w:pPr>
      <w:r w:rsidRPr="00843586">
        <w:rPr>
          <w:rFonts w:ascii="Arial" w:eastAsia="Arial" w:hAnsi="Arial" w:cs="Arial"/>
          <w:b/>
        </w:rPr>
        <w:lastRenderedPageBreak/>
        <w:t xml:space="preserve">Informe de estado actual de la ejecución presupuestal relacionada con </w:t>
      </w:r>
      <w:r w:rsidR="00843586">
        <w:rPr>
          <w:rFonts w:ascii="Arial" w:eastAsia="Arial" w:hAnsi="Arial" w:cs="Arial"/>
          <w:b/>
        </w:rPr>
        <w:t xml:space="preserve">los </w:t>
      </w:r>
      <w:r w:rsidRPr="00843586">
        <w:rPr>
          <w:rFonts w:ascii="Arial" w:eastAsia="Arial" w:hAnsi="Arial" w:cs="Arial"/>
          <w:b/>
        </w:rPr>
        <w:t>gastos de Funcionamiento e Inversión</w:t>
      </w:r>
      <w:r w:rsidR="00843586">
        <w:rPr>
          <w:rFonts w:ascii="Arial" w:eastAsia="Arial" w:hAnsi="Arial" w:cs="Arial"/>
          <w:b/>
        </w:rPr>
        <w:t>. Específicamente, en cuanto a planes, programas, subprogramas, proyectos de inversión y subproyectos vigentes. ¿Cuál es la situación de la apropiación inicial, vigente, certificada, disponible, comprometida y obligada?</w:t>
      </w:r>
    </w:p>
    <w:p w14:paraId="5FF449AF" w14:textId="77777777" w:rsidR="00CF106C" w:rsidRDefault="00CF106C" w:rsidP="00CF106C">
      <w:pPr>
        <w:pBdr>
          <w:top w:val="nil"/>
          <w:left w:val="nil"/>
          <w:bottom w:val="nil"/>
          <w:right w:val="nil"/>
          <w:between w:val="nil"/>
        </w:pBdr>
        <w:jc w:val="both"/>
        <w:rPr>
          <w:rFonts w:ascii="Arial" w:eastAsia="Arial" w:hAnsi="Arial" w:cs="Arial"/>
          <w:b/>
        </w:rPr>
      </w:pPr>
    </w:p>
    <w:p w14:paraId="0DF3A01E" w14:textId="4B5F8B21" w:rsidR="00D876D7" w:rsidRPr="00514D1D" w:rsidRDefault="00D876D7" w:rsidP="00D876D7">
      <w:pPr>
        <w:widowControl/>
        <w:jc w:val="center"/>
        <w:rPr>
          <w:rFonts w:ascii="Arial" w:eastAsia="Times New Roman" w:hAnsi="Arial" w:cs="Arial"/>
          <w:b/>
          <w:bCs/>
          <w:color w:val="000000"/>
        </w:rPr>
      </w:pPr>
      <w:r w:rsidRPr="00514D1D">
        <w:rPr>
          <w:rFonts w:ascii="Arial" w:eastAsia="Times New Roman" w:hAnsi="Arial" w:cs="Arial"/>
          <w:b/>
          <w:bCs/>
          <w:color w:val="000000"/>
        </w:rPr>
        <w:t>EJECUCION PRESUPUESTO DE GASTOS DE FUNCIONAMI</w:t>
      </w:r>
      <w:r w:rsidR="00514D1D">
        <w:rPr>
          <w:rFonts w:ascii="Arial" w:eastAsia="Times New Roman" w:hAnsi="Arial" w:cs="Arial"/>
          <w:b/>
          <w:bCs/>
          <w:color w:val="000000"/>
        </w:rPr>
        <w:t>EN</w:t>
      </w:r>
      <w:r w:rsidRPr="00514D1D">
        <w:rPr>
          <w:rFonts w:ascii="Arial" w:eastAsia="Times New Roman" w:hAnsi="Arial" w:cs="Arial"/>
          <w:b/>
          <w:bCs/>
          <w:color w:val="000000"/>
        </w:rPr>
        <w:t>TO E INVERSION</w:t>
      </w:r>
    </w:p>
    <w:p w14:paraId="6F486FDB" w14:textId="2B6958EA" w:rsidR="00CF106C" w:rsidRDefault="00D876D7" w:rsidP="00514D1D">
      <w:pPr>
        <w:widowControl/>
        <w:jc w:val="center"/>
        <w:rPr>
          <w:rFonts w:ascii="Arial" w:eastAsia="Arial" w:hAnsi="Arial" w:cs="Arial"/>
          <w:b/>
        </w:rPr>
      </w:pPr>
      <w:r w:rsidRPr="00514D1D">
        <w:rPr>
          <w:rFonts w:ascii="Arial" w:eastAsia="Times New Roman" w:hAnsi="Arial" w:cs="Arial"/>
          <w:b/>
          <w:bCs/>
          <w:color w:val="000000"/>
        </w:rPr>
        <w:t>2024</w:t>
      </w:r>
    </w:p>
    <w:tbl>
      <w:tblPr>
        <w:tblpPr w:leftFromText="141" w:rightFromText="141" w:vertAnchor="text" w:horzAnchor="margin" w:tblpY="88"/>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2"/>
        <w:gridCol w:w="1570"/>
        <w:gridCol w:w="2089"/>
        <w:gridCol w:w="1864"/>
      </w:tblGrid>
      <w:tr w:rsidR="00D876D7" w:rsidRPr="00D876D7" w14:paraId="7F829968" w14:textId="77777777" w:rsidTr="001B5D08">
        <w:trPr>
          <w:gridAfter w:val="1"/>
          <w:wAfter w:w="1863" w:type="dxa"/>
          <w:trHeight w:val="295"/>
        </w:trPr>
        <w:tc>
          <w:tcPr>
            <w:tcW w:w="3802" w:type="dxa"/>
            <w:vMerge w:val="restart"/>
            <w:shd w:val="clear" w:color="auto" w:fill="auto"/>
            <w:vAlign w:val="center"/>
            <w:hideMark/>
          </w:tcPr>
          <w:p w14:paraId="0F2D33EC" w14:textId="77777777" w:rsidR="00D876D7" w:rsidRPr="00D876D7" w:rsidRDefault="00D876D7" w:rsidP="00843586">
            <w:pPr>
              <w:widowControl/>
              <w:jc w:val="center"/>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CONCEPTO</w:t>
            </w:r>
          </w:p>
        </w:tc>
        <w:tc>
          <w:tcPr>
            <w:tcW w:w="3659" w:type="dxa"/>
            <w:gridSpan w:val="2"/>
            <w:shd w:val="clear" w:color="auto" w:fill="auto"/>
            <w:noWrap/>
            <w:vAlign w:val="bottom"/>
            <w:hideMark/>
          </w:tcPr>
          <w:p w14:paraId="542DB0C9" w14:textId="297DECEA" w:rsidR="00D876D7" w:rsidRPr="00D876D7" w:rsidRDefault="00D876D7" w:rsidP="00843586">
            <w:pPr>
              <w:widowControl/>
              <w:jc w:val="center"/>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PRESUPUESTO</w:t>
            </w:r>
          </w:p>
        </w:tc>
      </w:tr>
      <w:tr w:rsidR="00D876D7" w:rsidRPr="00CF106C" w14:paraId="51F89659" w14:textId="77777777" w:rsidTr="001B5D08">
        <w:trPr>
          <w:trHeight w:val="798"/>
        </w:trPr>
        <w:tc>
          <w:tcPr>
            <w:tcW w:w="3802" w:type="dxa"/>
            <w:vMerge/>
            <w:vAlign w:val="center"/>
            <w:hideMark/>
          </w:tcPr>
          <w:p w14:paraId="5044273D" w14:textId="77777777" w:rsidR="00D876D7" w:rsidRPr="00D876D7" w:rsidRDefault="00D876D7" w:rsidP="00843586">
            <w:pPr>
              <w:widowControl/>
              <w:rPr>
                <w:rFonts w:ascii="Calibri" w:eastAsia="Times New Roman" w:hAnsi="Calibri" w:cs="Calibri"/>
                <w:b/>
                <w:bCs/>
                <w:color w:val="000000"/>
                <w:sz w:val="22"/>
                <w:szCs w:val="22"/>
              </w:rPr>
            </w:pPr>
          </w:p>
        </w:tc>
        <w:tc>
          <w:tcPr>
            <w:tcW w:w="1570" w:type="dxa"/>
            <w:shd w:val="clear" w:color="auto" w:fill="auto"/>
            <w:vAlign w:val="center"/>
            <w:hideMark/>
          </w:tcPr>
          <w:p w14:paraId="61A21DC2" w14:textId="77777777" w:rsidR="00D876D7" w:rsidRPr="00D876D7" w:rsidRDefault="00D876D7" w:rsidP="00843586">
            <w:pPr>
              <w:widowControl/>
              <w:jc w:val="center"/>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Aprobado</w:t>
            </w:r>
          </w:p>
        </w:tc>
        <w:tc>
          <w:tcPr>
            <w:tcW w:w="2088" w:type="dxa"/>
            <w:shd w:val="clear" w:color="auto" w:fill="auto"/>
            <w:vAlign w:val="center"/>
            <w:hideMark/>
          </w:tcPr>
          <w:p w14:paraId="33D28E60" w14:textId="77777777" w:rsidR="00D876D7" w:rsidRPr="00D876D7" w:rsidRDefault="00D876D7" w:rsidP="00843586">
            <w:pPr>
              <w:widowControl/>
              <w:jc w:val="center"/>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 xml:space="preserve">Ejecutado a marzo 2024 </w:t>
            </w:r>
          </w:p>
          <w:p w14:paraId="235C8A13" w14:textId="17084883" w:rsidR="00D876D7" w:rsidRPr="00D876D7" w:rsidRDefault="00D876D7" w:rsidP="00843586">
            <w:pPr>
              <w:widowControl/>
              <w:jc w:val="center"/>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Compromisos</w:t>
            </w:r>
          </w:p>
        </w:tc>
        <w:tc>
          <w:tcPr>
            <w:tcW w:w="1864" w:type="dxa"/>
            <w:shd w:val="clear" w:color="auto" w:fill="auto"/>
            <w:vAlign w:val="center"/>
            <w:hideMark/>
          </w:tcPr>
          <w:p w14:paraId="4AA90A2F" w14:textId="698AAA8C" w:rsidR="00D876D7" w:rsidRPr="00D876D7" w:rsidRDefault="00D876D7" w:rsidP="00843586">
            <w:pPr>
              <w:widowControl/>
              <w:jc w:val="center"/>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 xml:space="preserve">% de Ejecución </w:t>
            </w:r>
          </w:p>
        </w:tc>
      </w:tr>
      <w:tr w:rsidR="00D876D7" w:rsidRPr="00D876D7" w14:paraId="0B02CAF3" w14:textId="77777777" w:rsidTr="001B5D08">
        <w:trPr>
          <w:trHeight w:val="295"/>
        </w:trPr>
        <w:tc>
          <w:tcPr>
            <w:tcW w:w="3802" w:type="dxa"/>
            <w:shd w:val="clear" w:color="000000" w:fill="DDEBF7"/>
            <w:noWrap/>
            <w:vAlign w:val="bottom"/>
            <w:hideMark/>
          </w:tcPr>
          <w:p w14:paraId="08D904A8" w14:textId="12A6D8F8" w:rsidR="00D876D7" w:rsidRPr="00D876D7" w:rsidRDefault="00D876D7" w:rsidP="00843586">
            <w:pPr>
              <w:widowControl/>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FUNCIONAMIENTO</w:t>
            </w:r>
          </w:p>
        </w:tc>
        <w:tc>
          <w:tcPr>
            <w:tcW w:w="1570" w:type="dxa"/>
            <w:shd w:val="clear" w:color="000000" w:fill="DDEBF7"/>
            <w:noWrap/>
            <w:vAlign w:val="bottom"/>
            <w:hideMark/>
          </w:tcPr>
          <w:p w14:paraId="08944826" w14:textId="77777777" w:rsidR="00D876D7" w:rsidRPr="00D876D7" w:rsidRDefault="00D876D7" w:rsidP="00843586">
            <w:pPr>
              <w:widowControl/>
              <w:jc w:val="right"/>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108.431.173</w:t>
            </w:r>
          </w:p>
        </w:tc>
        <w:tc>
          <w:tcPr>
            <w:tcW w:w="2088" w:type="dxa"/>
            <w:shd w:val="clear" w:color="000000" w:fill="DDEBF7"/>
            <w:noWrap/>
            <w:vAlign w:val="bottom"/>
            <w:hideMark/>
          </w:tcPr>
          <w:p w14:paraId="3BA0863D" w14:textId="77777777" w:rsidR="00D876D7" w:rsidRPr="00D876D7" w:rsidRDefault="00D876D7" w:rsidP="00843586">
            <w:pPr>
              <w:widowControl/>
              <w:jc w:val="right"/>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22.774.719</w:t>
            </w:r>
          </w:p>
        </w:tc>
        <w:tc>
          <w:tcPr>
            <w:tcW w:w="1864" w:type="dxa"/>
            <w:shd w:val="clear" w:color="000000" w:fill="DDEBF7"/>
            <w:noWrap/>
            <w:vAlign w:val="bottom"/>
            <w:hideMark/>
          </w:tcPr>
          <w:p w14:paraId="020EC0B0" w14:textId="77777777" w:rsidR="00D876D7" w:rsidRPr="00D876D7" w:rsidRDefault="00D876D7" w:rsidP="00843586">
            <w:pPr>
              <w:widowControl/>
              <w:jc w:val="right"/>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21</w:t>
            </w:r>
          </w:p>
        </w:tc>
      </w:tr>
      <w:tr w:rsidR="00D876D7" w:rsidRPr="00CF106C" w14:paraId="249FF4BE" w14:textId="77777777" w:rsidTr="001B5D08">
        <w:trPr>
          <w:trHeight w:val="295"/>
        </w:trPr>
        <w:tc>
          <w:tcPr>
            <w:tcW w:w="3802" w:type="dxa"/>
            <w:shd w:val="clear" w:color="auto" w:fill="auto"/>
            <w:vAlign w:val="center"/>
            <w:hideMark/>
          </w:tcPr>
          <w:p w14:paraId="053089CD" w14:textId="77777777" w:rsidR="00D876D7" w:rsidRPr="00CF106C" w:rsidRDefault="00D876D7" w:rsidP="00843586">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Gastos Personales</w:t>
            </w:r>
          </w:p>
        </w:tc>
        <w:tc>
          <w:tcPr>
            <w:tcW w:w="1570" w:type="dxa"/>
            <w:shd w:val="clear" w:color="auto" w:fill="auto"/>
            <w:noWrap/>
            <w:vAlign w:val="bottom"/>
            <w:hideMark/>
          </w:tcPr>
          <w:p w14:paraId="32232673"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15.972.376</w:t>
            </w:r>
          </w:p>
        </w:tc>
        <w:tc>
          <w:tcPr>
            <w:tcW w:w="2088" w:type="dxa"/>
            <w:shd w:val="clear" w:color="auto" w:fill="auto"/>
            <w:noWrap/>
            <w:vAlign w:val="bottom"/>
            <w:hideMark/>
          </w:tcPr>
          <w:p w14:paraId="0986E213"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3.490.582 </w:t>
            </w:r>
          </w:p>
        </w:tc>
        <w:tc>
          <w:tcPr>
            <w:tcW w:w="1864" w:type="dxa"/>
            <w:shd w:val="clear" w:color="auto" w:fill="auto"/>
            <w:noWrap/>
            <w:vAlign w:val="bottom"/>
            <w:hideMark/>
          </w:tcPr>
          <w:p w14:paraId="6D3EFDEA"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22</w:t>
            </w:r>
          </w:p>
        </w:tc>
      </w:tr>
      <w:tr w:rsidR="00D876D7" w:rsidRPr="00CF106C" w14:paraId="26F47BF3" w14:textId="77777777" w:rsidTr="001B5D08">
        <w:trPr>
          <w:trHeight w:val="295"/>
        </w:trPr>
        <w:tc>
          <w:tcPr>
            <w:tcW w:w="3802" w:type="dxa"/>
            <w:shd w:val="clear" w:color="auto" w:fill="auto"/>
            <w:vAlign w:val="center"/>
            <w:hideMark/>
          </w:tcPr>
          <w:p w14:paraId="277CE4E2" w14:textId="77777777" w:rsidR="00D876D7" w:rsidRPr="00CF106C" w:rsidRDefault="00D876D7" w:rsidP="00843586">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Adquisición De Bienes Y Servicios </w:t>
            </w:r>
          </w:p>
        </w:tc>
        <w:tc>
          <w:tcPr>
            <w:tcW w:w="1570" w:type="dxa"/>
            <w:shd w:val="clear" w:color="auto" w:fill="auto"/>
            <w:noWrap/>
            <w:vAlign w:val="bottom"/>
            <w:hideMark/>
          </w:tcPr>
          <w:p w14:paraId="7D656CFE"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13.490.763</w:t>
            </w:r>
          </w:p>
        </w:tc>
        <w:tc>
          <w:tcPr>
            <w:tcW w:w="2088" w:type="dxa"/>
            <w:shd w:val="clear" w:color="auto" w:fill="auto"/>
            <w:noWrap/>
            <w:vAlign w:val="bottom"/>
            <w:hideMark/>
          </w:tcPr>
          <w:p w14:paraId="371343A3"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7.207.806 </w:t>
            </w:r>
          </w:p>
        </w:tc>
        <w:tc>
          <w:tcPr>
            <w:tcW w:w="1864" w:type="dxa"/>
            <w:shd w:val="clear" w:color="auto" w:fill="auto"/>
            <w:noWrap/>
            <w:vAlign w:val="bottom"/>
            <w:hideMark/>
          </w:tcPr>
          <w:p w14:paraId="7005BB6F"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53</w:t>
            </w:r>
          </w:p>
        </w:tc>
      </w:tr>
      <w:tr w:rsidR="00D876D7" w:rsidRPr="00CF106C" w14:paraId="302404EE" w14:textId="77777777" w:rsidTr="001B5D08">
        <w:trPr>
          <w:trHeight w:val="295"/>
        </w:trPr>
        <w:tc>
          <w:tcPr>
            <w:tcW w:w="3802" w:type="dxa"/>
            <w:shd w:val="clear" w:color="auto" w:fill="auto"/>
            <w:vAlign w:val="center"/>
            <w:hideMark/>
          </w:tcPr>
          <w:p w14:paraId="0C43DF0A" w14:textId="77777777" w:rsidR="00D876D7" w:rsidRPr="00CF106C" w:rsidRDefault="00D876D7" w:rsidP="00843586">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Impuestos y Multas</w:t>
            </w:r>
          </w:p>
        </w:tc>
        <w:tc>
          <w:tcPr>
            <w:tcW w:w="1570" w:type="dxa"/>
            <w:shd w:val="clear" w:color="auto" w:fill="auto"/>
            <w:noWrap/>
            <w:vAlign w:val="bottom"/>
            <w:hideMark/>
          </w:tcPr>
          <w:p w14:paraId="22D03A3B"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55.418.954</w:t>
            </w:r>
          </w:p>
        </w:tc>
        <w:tc>
          <w:tcPr>
            <w:tcW w:w="2088" w:type="dxa"/>
            <w:shd w:val="clear" w:color="auto" w:fill="auto"/>
            <w:noWrap/>
            <w:vAlign w:val="bottom"/>
            <w:hideMark/>
          </w:tcPr>
          <w:p w14:paraId="2956BABC"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7.279.699 </w:t>
            </w:r>
          </w:p>
        </w:tc>
        <w:tc>
          <w:tcPr>
            <w:tcW w:w="1864" w:type="dxa"/>
            <w:shd w:val="clear" w:color="auto" w:fill="auto"/>
            <w:noWrap/>
            <w:vAlign w:val="bottom"/>
            <w:hideMark/>
          </w:tcPr>
          <w:p w14:paraId="4CFD654C"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13</w:t>
            </w:r>
          </w:p>
        </w:tc>
      </w:tr>
      <w:tr w:rsidR="00D876D7" w:rsidRPr="00CF106C" w14:paraId="566F4017" w14:textId="77777777" w:rsidTr="001B5D08">
        <w:trPr>
          <w:trHeight w:val="295"/>
        </w:trPr>
        <w:tc>
          <w:tcPr>
            <w:tcW w:w="3802" w:type="dxa"/>
            <w:shd w:val="clear" w:color="auto" w:fill="auto"/>
            <w:vAlign w:val="center"/>
            <w:hideMark/>
          </w:tcPr>
          <w:p w14:paraId="70DDDCA6" w14:textId="77777777" w:rsidR="00D876D7" w:rsidRPr="00CF106C" w:rsidRDefault="00D876D7" w:rsidP="00843586">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Contribuciones</w:t>
            </w:r>
          </w:p>
        </w:tc>
        <w:tc>
          <w:tcPr>
            <w:tcW w:w="1570" w:type="dxa"/>
            <w:shd w:val="clear" w:color="auto" w:fill="auto"/>
            <w:noWrap/>
            <w:vAlign w:val="bottom"/>
            <w:hideMark/>
          </w:tcPr>
          <w:p w14:paraId="0A66C35F"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6.986.070</w:t>
            </w:r>
          </w:p>
        </w:tc>
        <w:tc>
          <w:tcPr>
            <w:tcW w:w="2088" w:type="dxa"/>
            <w:shd w:val="clear" w:color="auto" w:fill="auto"/>
            <w:noWrap/>
            <w:vAlign w:val="bottom"/>
            <w:hideMark/>
          </w:tcPr>
          <w:p w14:paraId="2361B8C1"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919.410 </w:t>
            </w:r>
          </w:p>
        </w:tc>
        <w:tc>
          <w:tcPr>
            <w:tcW w:w="1864" w:type="dxa"/>
            <w:shd w:val="clear" w:color="auto" w:fill="auto"/>
            <w:noWrap/>
            <w:vAlign w:val="bottom"/>
            <w:hideMark/>
          </w:tcPr>
          <w:p w14:paraId="5D02FB4A"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13</w:t>
            </w:r>
          </w:p>
        </w:tc>
      </w:tr>
      <w:tr w:rsidR="00D876D7" w:rsidRPr="00CF106C" w14:paraId="0094B40B" w14:textId="77777777" w:rsidTr="001B5D08">
        <w:trPr>
          <w:trHeight w:val="295"/>
        </w:trPr>
        <w:tc>
          <w:tcPr>
            <w:tcW w:w="3802" w:type="dxa"/>
            <w:shd w:val="clear" w:color="auto" w:fill="auto"/>
            <w:vAlign w:val="center"/>
            <w:hideMark/>
          </w:tcPr>
          <w:p w14:paraId="04FA9604" w14:textId="77777777" w:rsidR="00D876D7" w:rsidRPr="00CF106C" w:rsidRDefault="00D876D7" w:rsidP="00843586">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Transferencias Corrientes</w:t>
            </w:r>
          </w:p>
        </w:tc>
        <w:tc>
          <w:tcPr>
            <w:tcW w:w="1570" w:type="dxa"/>
            <w:shd w:val="clear" w:color="auto" w:fill="auto"/>
            <w:noWrap/>
            <w:vAlign w:val="bottom"/>
            <w:hideMark/>
          </w:tcPr>
          <w:p w14:paraId="1C59BAE6"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16.563.010</w:t>
            </w:r>
          </w:p>
        </w:tc>
        <w:tc>
          <w:tcPr>
            <w:tcW w:w="2088" w:type="dxa"/>
            <w:shd w:val="clear" w:color="auto" w:fill="auto"/>
            <w:noWrap/>
            <w:vAlign w:val="bottom"/>
            <w:hideMark/>
          </w:tcPr>
          <w:p w14:paraId="3963B9CF"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3.877.222 </w:t>
            </w:r>
          </w:p>
        </w:tc>
        <w:tc>
          <w:tcPr>
            <w:tcW w:w="1864" w:type="dxa"/>
            <w:shd w:val="clear" w:color="auto" w:fill="auto"/>
            <w:noWrap/>
            <w:vAlign w:val="bottom"/>
            <w:hideMark/>
          </w:tcPr>
          <w:p w14:paraId="32D716DC"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23</w:t>
            </w:r>
          </w:p>
        </w:tc>
      </w:tr>
      <w:tr w:rsidR="00D876D7" w:rsidRPr="00CF106C" w14:paraId="0C16F82B" w14:textId="77777777" w:rsidTr="001B5D08">
        <w:trPr>
          <w:trHeight w:val="295"/>
        </w:trPr>
        <w:tc>
          <w:tcPr>
            <w:tcW w:w="3802" w:type="dxa"/>
            <w:shd w:val="clear" w:color="000000" w:fill="DDEBF7"/>
            <w:noWrap/>
            <w:vAlign w:val="bottom"/>
            <w:hideMark/>
          </w:tcPr>
          <w:p w14:paraId="63CBAD5C" w14:textId="5D4096D0" w:rsidR="00D876D7" w:rsidRPr="00D876D7" w:rsidRDefault="00D876D7" w:rsidP="00843586">
            <w:pPr>
              <w:widowControl/>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INVERSIÓN</w:t>
            </w:r>
          </w:p>
        </w:tc>
        <w:tc>
          <w:tcPr>
            <w:tcW w:w="1570" w:type="dxa"/>
            <w:shd w:val="clear" w:color="000000" w:fill="DDEBF7"/>
            <w:noWrap/>
            <w:vAlign w:val="bottom"/>
            <w:hideMark/>
          </w:tcPr>
          <w:p w14:paraId="17C69870" w14:textId="77777777" w:rsidR="00D876D7" w:rsidRPr="00D876D7" w:rsidRDefault="00D876D7" w:rsidP="00843586">
            <w:pPr>
              <w:widowControl/>
              <w:jc w:val="right"/>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595.511.721</w:t>
            </w:r>
          </w:p>
        </w:tc>
        <w:tc>
          <w:tcPr>
            <w:tcW w:w="2088" w:type="dxa"/>
            <w:shd w:val="clear" w:color="000000" w:fill="DDEBF7"/>
            <w:noWrap/>
            <w:vAlign w:val="bottom"/>
            <w:hideMark/>
          </w:tcPr>
          <w:p w14:paraId="38D2C2DA" w14:textId="77777777" w:rsidR="00D876D7" w:rsidRPr="00D876D7" w:rsidRDefault="00D876D7" w:rsidP="00843586">
            <w:pPr>
              <w:widowControl/>
              <w:jc w:val="right"/>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139.791.493</w:t>
            </w:r>
          </w:p>
        </w:tc>
        <w:tc>
          <w:tcPr>
            <w:tcW w:w="1864" w:type="dxa"/>
            <w:shd w:val="clear" w:color="000000" w:fill="DDEBF7"/>
            <w:noWrap/>
            <w:vAlign w:val="bottom"/>
            <w:hideMark/>
          </w:tcPr>
          <w:p w14:paraId="2D86166C" w14:textId="77777777" w:rsidR="00D876D7" w:rsidRPr="00D876D7" w:rsidRDefault="00D876D7" w:rsidP="00843586">
            <w:pPr>
              <w:widowControl/>
              <w:jc w:val="right"/>
              <w:rPr>
                <w:rFonts w:ascii="Calibri" w:eastAsia="Times New Roman" w:hAnsi="Calibri" w:cs="Calibri"/>
                <w:b/>
                <w:bCs/>
                <w:color w:val="000000"/>
                <w:sz w:val="22"/>
                <w:szCs w:val="22"/>
              </w:rPr>
            </w:pPr>
            <w:r w:rsidRPr="00D876D7">
              <w:rPr>
                <w:rFonts w:ascii="Calibri" w:eastAsia="Times New Roman" w:hAnsi="Calibri" w:cs="Calibri"/>
                <w:b/>
                <w:bCs/>
                <w:color w:val="000000"/>
                <w:sz w:val="22"/>
                <w:szCs w:val="22"/>
              </w:rPr>
              <w:t>23</w:t>
            </w:r>
          </w:p>
        </w:tc>
      </w:tr>
      <w:tr w:rsidR="00D876D7" w:rsidRPr="00CF106C" w14:paraId="338FCA5D" w14:textId="77777777" w:rsidTr="001B5D08">
        <w:trPr>
          <w:trHeight w:val="591"/>
        </w:trPr>
        <w:tc>
          <w:tcPr>
            <w:tcW w:w="3802" w:type="dxa"/>
            <w:shd w:val="clear" w:color="auto" w:fill="auto"/>
            <w:vAlign w:val="center"/>
            <w:hideMark/>
          </w:tcPr>
          <w:p w14:paraId="683B2F4F" w14:textId="77777777" w:rsidR="00D876D7" w:rsidRPr="00CF106C" w:rsidRDefault="00D876D7" w:rsidP="00843586">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Generación de Energía Eléctrica con Fuentes Renovables no Convencionales</w:t>
            </w:r>
          </w:p>
        </w:tc>
        <w:tc>
          <w:tcPr>
            <w:tcW w:w="1570" w:type="dxa"/>
            <w:shd w:val="clear" w:color="auto" w:fill="auto"/>
            <w:noWrap/>
            <w:vAlign w:val="bottom"/>
            <w:hideMark/>
          </w:tcPr>
          <w:p w14:paraId="4192D18D"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233.781.715</w:t>
            </w:r>
          </w:p>
        </w:tc>
        <w:tc>
          <w:tcPr>
            <w:tcW w:w="2088" w:type="dxa"/>
            <w:shd w:val="clear" w:color="auto" w:fill="auto"/>
            <w:noWrap/>
            <w:vAlign w:val="bottom"/>
            <w:hideMark/>
          </w:tcPr>
          <w:p w14:paraId="387DDE9F"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56.731.794 </w:t>
            </w:r>
          </w:p>
        </w:tc>
        <w:tc>
          <w:tcPr>
            <w:tcW w:w="1864" w:type="dxa"/>
            <w:shd w:val="clear" w:color="auto" w:fill="auto"/>
            <w:noWrap/>
            <w:vAlign w:val="bottom"/>
            <w:hideMark/>
          </w:tcPr>
          <w:p w14:paraId="524B7336"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24</w:t>
            </w:r>
          </w:p>
        </w:tc>
      </w:tr>
      <w:tr w:rsidR="00D876D7" w:rsidRPr="00CF106C" w14:paraId="73E380A9" w14:textId="77777777" w:rsidTr="001B5D08">
        <w:trPr>
          <w:trHeight w:val="295"/>
        </w:trPr>
        <w:tc>
          <w:tcPr>
            <w:tcW w:w="3802" w:type="dxa"/>
            <w:shd w:val="clear" w:color="auto" w:fill="auto"/>
            <w:vAlign w:val="center"/>
            <w:hideMark/>
          </w:tcPr>
          <w:p w14:paraId="2E533345" w14:textId="77777777" w:rsidR="00D876D7" w:rsidRPr="00CF106C" w:rsidRDefault="00D876D7" w:rsidP="00843586">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Compras de Energía en el Mercado de Energía Mayorista</w:t>
            </w:r>
          </w:p>
        </w:tc>
        <w:tc>
          <w:tcPr>
            <w:tcW w:w="1570" w:type="dxa"/>
            <w:shd w:val="clear" w:color="auto" w:fill="auto"/>
            <w:noWrap/>
            <w:vAlign w:val="bottom"/>
            <w:hideMark/>
          </w:tcPr>
          <w:p w14:paraId="48E29D9B"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154.178.376</w:t>
            </w:r>
          </w:p>
        </w:tc>
        <w:tc>
          <w:tcPr>
            <w:tcW w:w="2088" w:type="dxa"/>
            <w:shd w:val="clear" w:color="auto" w:fill="auto"/>
            <w:noWrap/>
            <w:vAlign w:val="bottom"/>
            <w:hideMark/>
          </w:tcPr>
          <w:p w14:paraId="38C51E59"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14.733.512 </w:t>
            </w:r>
          </w:p>
        </w:tc>
        <w:tc>
          <w:tcPr>
            <w:tcW w:w="1864" w:type="dxa"/>
            <w:shd w:val="clear" w:color="auto" w:fill="auto"/>
            <w:noWrap/>
            <w:vAlign w:val="bottom"/>
            <w:hideMark/>
          </w:tcPr>
          <w:p w14:paraId="50DE1BF6"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10</w:t>
            </w:r>
          </w:p>
        </w:tc>
      </w:tr>
      <w:tr w:rsidR="00D876D7" w:rsidRPr="00CF106C" w14:paraId="3EEC05D5" w14:textId="77777777" w:rsidTr="001B5D08">
        <w:trPr>
          <w:trHeight w:val="295"/>
        </w:trPr>
        <w:tc>
          <w:tcPr>
            <w:tcW w:w="3802" w:type="dxa"/>
            <w:shd w:val="clear" w:color="auto" w:fill="auto"/>
            <w:vAlign w:val="center"/>
            <w:hideMark/>
          </w:tcPr>
          <w:p w14:paraId="79CBBA7E" w14:textId="77777777" w:rsidR="00D876D7" w:rsidRPr="00CF106C" w:rsidRDefault="00D876D7" w:rsidP="00843586">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Servicio de Generación de Energía</w:t>
            </w:r>
          </w:p>
        </w:tc>
        <w:tc>
          <w:tcPr>
            <w:tcW w:w="1570" w:type="dxa"/>
            <w:shd w:val="clear" w:color="auto" w:fill="auto"/>
            <w:noWrap/>
            <w:vAlign w:val="bottom"/>
            <w:hideMark/>
          </w:tcPr>
          <w:p w14:paraId="17BE7195"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94.395.543</w:t>
            </w:r>
          </w:p>
        </w:tc>
        <w:tc>
          <w:tcPr>
            <w:tcW w:w="2088" w:type="dxa"/>
            <w:shd w:val="clear" w:color="auto" w:fill="auto"/>
            <w:noWrap/>
            <w:vAlign w:val="bottom"/>
            <w:hideMark/>
          </w:tcPr>
          <w:p w14:paraId="001813B6"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4.584.795 </w:t>
            </w:r>
          </w:p>
        </w:tc>
        <w:tc>
          <w:tcPr>
            <w:tcW w:w="1864" w:type="dxa"/>
            <w:shd w:val="clear" w:color="auto" w:fill="auto"/>
            <w:noWrap/>
            <w:vAlign w:val="bottom"/>
            <w:hideMark/>
          </w:tcPr>
          <w:p w14:paraId="6B4B32E2"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5</w:t>
            </w:r>
          </w:p>
        </w:tc>
      </w:tr>
      <w:tr w:rsidR="00D876D7" w:rsidRPr="00CF106C" w14:paraId="4B956532" w14:textId="77777777" w:rsidTr="001B5D08">
        <w:trPr>
          <w:trHeight w:val="295"/>
        </w:trPr>
        <w:tc>
          <w:tcPr>
            <w:tcW w:w="3802" w:type="dxa"/>
            <w:shd w:val="clear" w:color="auto" w:fill="auto"/>
            <w:vAlign w:val="center"/>
            <w:hideMark/>
          </w:tcPr>
          <w:p w14:paraId="7FA88E6C" w14:textId="77777777" w:rsidR="00D876D7" w:rsidRPr="00CF106C" w:rsidRDefault="00D876D7" w:rsidP="00843586">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Mantenimiento de la Central Hidroeléctrica </w:t>
            </w:r>
            <w:proofErr w:type="spellStart"/>
            <w:r w:rsidRPr="00CF106C">
              <w:rPr>
                <w:rFonts w:ascii="Calibri" w:eastAsia="Times New Roman" w:hAnsi="Calibri" w:cs="Calibri"/>
                <w:color w:val="000000"/>
                <w:sz w:val="22"/>
                <w:szCs w:val="22"/>
              </w:rPr>
              <w:t>Urrá</w:t>
            </w:r>
            <w:proofErr w:type="spellEnd"/>
            <w:r w:rsidRPr="00CF106C">
              <w:rPr>
                <w:rFonts w:ascii="Calibri" w:eastAsia="Times New Roman" w:hAnsi="Calibri" w:cs="Calibri"/>
                <w:color w:val="000000"/>
                <w:sz w:val="22"/>
                <w:szCs w:val="22"/>
              </w:rPr>
              <w:t xml:space="preserve"> I</w:t>
            </w:r>
          </w:p>
        </w:tc>
        <w:tc>
          <w:tcPr>
            <w:tcW w:w="1570" w:type="dxa"/>
            <w:shd w:val="clear" w:color="auto" w:fill="auto"/>
            <w:noWrap/>
            <w:vAlign w:val="bottom"/>
            <w:hideMark/>
          </w:tcPr>
          <w:p w14:paraId="006CC178"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71.235.320</w:t>
            </w:r>
          </w:p>
        </w:tc>
        <w:tc>
          <w:tcPr>
            <w:tcW w:w="2088" w:type="dxa"/>
            <w:shd w:val="clear" w:color="auto" w:fill="auto"/>
            <w:noWrap/>
            <w:vAlign w:val="bottom"/>
            <w:hideMark/>
          </w:tcPr>
          <w:p w14:paraId="6746D25D"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54.205.463 </w:t>
            </w:r>
          </w:p>
        </w:tc>
        <w:tc>
          <w:tcPr>
            <w:tcW w:w="1864" w:type="dxa"/>
            <w:shd w:val="clear" w:color="auto" w:fill="auto"/>
            <w:noWrap/>
            <w:vAlign w:val="bottom"/>
            <w:hideMark/>
          </w:tcPr>
          <w:p w14:paraId="7B9CDB48"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76</w:t>
            </w:r>
          </w:p>
        </w:tc>
      </w:tr>
      <w:tr w:rsidR="00D876D7" w:rsidRPr="00CF106C" w14:paraId="504DA74D" w14:textId="77777777" w:rsidTr="001B5D08">
        <w:trPr>
          <w:trHeight w:val="888"/>
        </w:trPr>
        <w:tc>
          <w:tcPr>
            <w:tcW w:w="3802" w:type="dxa"/>
            <w:shd w:val="clear" w:color="auto" w:fill="auto"/>
            <w:vAlign w:val="center"/>
            <w:hideMark/>
          </w:tcPr>
          <w:p w14:paraId="3D581BBC" w14:textId="5E8712A6" w:rsidR="00D876D7" w:rsidRPr="00CF106C" w:rsidRDefault="00D876D7" w:rsidP="00843586">
            <w:pPr>
              <w:widowControl/>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Cumplimiento con las Medidas de Manejo, Requisitos, Normatividad y Acuerdos para la Operación de la Central Hidroeléctrica </w:t>
            </w:r>
            <w:proofErr w:type="spellStart"/>
            <w:r w:rsidRPr="00CF106C">
              <w:rPr>
                <w:rFonts w:ascii="Calibri" w:eastAsia="Times New Roman" w:hAnsi="Calibri" w:cs="Calibri"/>
                <w:color w:val="000000"/>
                <w:sz w:val="22"/>
                <w:szCs w:val="22"/>
              </w:rPr>
              <w:t>Urrá</w:t>
            </w:r>
            <w:proofErr w:type="spellEnd"/>
            <w:r w:rsidRPr="00CF106C">
              <w:rPr>
                <w:rFonts w:ascii="Calibri" w:eastAsia="Times New Roman" w:hAnsi="Calibri" w:cs="Calibri"/>
                <w:color w:val="000000"/>
                <w:sz w:val="22"/>
                <w:szCs w:val="22"/>
              </w:rPr>
              <w:t xml:space="preserve"> S.A E.S.P</w:t>
            </w:r>
            <w:r w:rsidR="00514D1D">
              <w:rPr>
                <w:rFonts w:ascii="Calibri" w:eastAsia="Times New Roman" w:hAnsi="Calibri" w:cs="Calibri"/>
                <w:color w:val="000000"/>
                <w:sz w:val="22"/>
                <w:szCs w:val="22"/>
              </w:rPr>
              <w:t>.</w:t>
            </w:r>
          </w:p>
        </w:tc>
        <w:tc>
          <w:tcPr>
            <w:tcW w:w="1570" w:type="dxa"/>
            <w:shd w:val="clear" w:color="auto" w:fill="auto"/>
            <w:noWrap/>
            <w:vAlign w:val="bottom"/>
            <w:hideMark/>
          </w:tcPr>
          <w:p w14:paraId="782CDCB3"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41.920.766</w:t>
            </w:r>
          </w:p>
        </w:tc>
        <w:tc>
          <w:tcPr>
            <w:tcW w:w="2088" w:type="dxa"/>
            <w:shd w:val="clear" w:color="auto" w:fill="auto"/>
            <w:noWrap/>
            <w:vAlign w:val="bottom"/>
            <w:hideMark/>
          </w:tcPr>
          <w:p w14:paraId="6C1BC453"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 xml:space="preserve">         9.535.929 </w:t>
            </w:r>
          </w:p>
        </w:tc>
        <w:tc>
          <w:tcPr>
            <w:tcW w:w="1864" w:type="dxa"/>
            <w:shd w:val="clear" w:color="auto" w:fill="auto"/>
            <w:noWrap/>
            <w:vAlign w:val="bottom"/>
            <w:hideMark/>
          </w:tcPr>
          <w:p w14:paraId="528841B5" w14:textId="77777777" w:rsidR="00D876D7" w:rsidRPr="00CF106C" w:rsidRDefault="00D876D7" w:rsidP="00843586">
            <w:pPr>
              <w:widowControl/>
              <w:jc w:val="right"/>
              <w:rPr>
                <w:rFonts w:ascii="Calibri" w:eastAsia="Times New Roman" w:hAnsi="Calibri" w:cs="Calibri"/>
                <w:color w:val="000000"/>
                <w:sz w:val="22"/>
                <w:szCs w:val="22"/>
              </w:rPr>
            </w:pPr>
            <w:r w:rsidRPr="00CF106C">
              <w:rPr>
                <w:rFonts w:ascii="Calibri" w:eastAsia="Times New Roman" w:hAnsi="Calibri" w:cs="Calibri"/>
                <w:color w:val="000000"/>
                <w:sz w:val="22"/>
                <w:szCs w:val="22"/>
              </w:rPr>
              <w:t>23</w:t>
            </w:r>
          </w:p>
        </w:tc>
      </w:tr>
    </w:tbl>
    <w:p w14:paraId="6F90A213" w14:textId="77777777" w:rsidR="00CF106C" w:rsidRDefault="00CF106C" w:rsidP="00CF106C">
      <w:pPr>
        <w:pBdr>
          <w:top w:val="nil"/>
          <w:left w:val="nil"/>
          <w:bottom w:val="nil"/>
          <w:right w:val="nil"/>
          <w:between w:val="nil"/>
        </w:pBdr>
        <w:jc w:val="both"/>
        <w:rPr>
          <w:rFonts w:ascii="Arial" w:eastAsia="Arial" w:hAnsi="Arial" w:cs="Arial"/>
          <w:b/>
        </w:rPr>
      </w:pPr>
    </w:p>
    <w:p w14:paraId="332CF966" w14:textId="7E6BBC3D" w:rsidR="00CF106C" w:rsidRDefault="00D876D7" w:rsidP="00D876D7">
      <w:pPr>
        <w:pStyle w:val="Prrafodelista"/>
        <w:numPr>
          <w:ilvl w:val="0"/>
          <w:numId w:val="12"/>
        </w:numPr>
        <w:pBdr>
          <w:top w:val="nil"/>
          <w:left w:val="nil"/>
          <w:bottom w:val="nil"/>
          <w:right w:val="nil"/>
          <w:between w:val="nil"/>
        </w:pBdr>
        <w:jc w:val="both"/>
        <w:rPr>
          <w:rFonts w:ascii="Arial" w:eastAsia="Arial" w:hAnsi="Arial" w:cs="Arial"/>
          <w:b/>
        </w:rPr>
      </w:pPr>
      <w:r>
        <w:rPr>
          <w:rFonts w:ascii="Arial" w:eastAsia="Arial" w:hAnsi="Arial" w:cs="Arial"/>
          <w:b/>
        </w:rPr>
        <w:t>¿</w:t>
      </w:r>
      <w:r w:rsidR="001B5D08">
        <w:rPr>
          <w:rFonts w:ascii="Arial" w:eastAsia="Arial" w:hAnsi="Arial" w:cs="Arial"/>
          <w:b/>
        </w:rPr>
        <w:t>Cuáles</w:t>
      </w:r>
      <w:r>
        <w:rPr>
          <w:rFonts w:ascii="Arial" w:eastAsia="Arial" w:hAnsi="Arial" w:cs="Arial"/>
          <w:b/>
        </w:rPr>
        <w:t xml:space="preserve"> son los indicadores de eficiencia utilizados para evaluar la asignación y usos de recursos?</w:t>
      </w:r>
    </w:p>
    <w:p w14:paraId="6CCC883A" w14:textId="77777777" w:rsidR="001B5D08" w:rsidRDefault="001B5D08" w:rsidP="001B5D08">
      <w:pPr>
        <w:pStyle w:val="Prrafodelista"/>
        <w:pBdr>
          <w:top w:val="nil"/>
          <w:left w:val="nil"/>
          <w:bottom w:val="nil"/>
          <w:right w:val="nil"/>
          <w:between w:val="nil"/>
        </w:pBdr>
        <w:jc w:val="both"/>
        <w:rPr>
          <w:rFonts w:ascii="Arial" w:eastAsia="Arial" w:hAnsi="Arial" w:cs="Arial"/>
          <w:b/>
        </w:rPr>
      </w:pPr>
    </w:p>
    <w:p w14:paraId="410FB904" w14:textId="5F51C1DD" w:rsidR="00D876D7" w:rsidRDefault="00D876D7" w:rsidP="00D876D7">
      <w:pPr>
        <w:pBdr>
          <w:top w:val="nil"/>
          <w:left w:val="nil"/>
          <w:bottom w:val="nil"/>
          <w:right w:val="nil"/>
          <w:between w:val="nil"/>
        </w:pBdr>
        <w:ind w:left="360"/>
        <w:jc w:val="both"/>
        <w:rPr>
          <w:rFonts w:ascii="Arial" w:eastAsia="Arial" w:hAnsi="Arial" w:cs="Arial"/>
          <w:bCs/>
        </w:rPr>
      </w:pPr>
      <w:r>
        <w:rPr>
          <w:rFonts w:ascii="Arial" w:eastAsia="Arial" w:hAnsi="Arial" w:cs="Arial"/>
          <w:bCs/>
        </w:rPr>
        <w:t xml:space="preserve">La </w:t>
      </w:r>
      <w:r w:rsidR="001B5D08">
        <w:rPr>
          <w:rFonts w:ascii="Arial" w:eastAsia="Arial" w:hAnsi="Arial" w:cs="Arial"/>
          <w:bCs/>
        </w:rPr>
        <w:t>E</w:t>
      </w:r>
      <w:r>
        <w:rPr>
          <w:rFonts w:ascii="Arial" w:eastAsia="Arial" w:hAnsi="Arial" w:cs="Arial"/>
          <w:bCs/>
        </w:rPr>
        <w:t xml:space="preserve">mpresa URRA S.A. </w:t>
      </w:r>
      <w:r w:rsidR="001B5D08">
        <w:rPr>
          <w:rFonts w:ascii="Arial" w:eastAsia="Arial" w:hAnsi="Arial" w:cs="Arial"/>
          <w:bCs/>
        </w:rPr>
        <w:t>E.S.P. como empresa de servicios públicos domici</w:t>
      </w:r>
      <w:r w:rsidR="00D45F1B">
        <w:rPr>
          <w:rFonts w:ascii="Arial" w:eastAsia="Arial" w:hAnsi="Arial" w:cs="Arial"/>
          <w:bCs/>
        </w:rPr>
        <w:t>liarios</w:t>
      </w:r>
      <w:r w:rsidR="001B5D08">
        <w:rPr>
          <w:rFonts w:ascii="Arial" w:eastAsia="Arial" w:hAnsi="Arial" w:cs="Arial"/>
          <w:bCs/>
        </w:rPr>
        <w:t xml:space="preserve"> de economía mixta</w:t>
      </w:r>
      <w:r w:rsidR="00D45F1B">
        <w:rPr>
          <w:rFonts w:ascii="Arial" w:eastAsia="Arial" w:hAnsi="Arial" w:cs="Arial"/>
          <w:bCs/>
        </w:rPr>
        <w:t>,</w:t>
      </w:r>
      <w:r w:rsidR="001B5D08">
        <w:rPr>
          <w:rFonts w:ascii="Arial" w:eastAsia="Arial" w:hAnsi="Arial" w:cs="Arial"/>
          <w:bCs/>
        </w:rPr>
        <w:t xml:space="preserve"> dentro de su plan de Gestión tiene establecidos para</w:t>
      </w:r>
      <w:r w:rsidR="00D45F1B">
        <w:rPr>
          <w:rFonts w:ascii="Arial" w:eastAsia="Arial" w:hAnsi="Arial" w:cs="Arial"/>
          <w:bCs/>
        </w:rPr>
        <w:t xml:space="preserve"> </w:t>
      </w:r>
      <w:r w:rsidR="00514D1D">
        <w:rPr>
          <w:rFonts w:ascii="Arial" w:eastAsia="Arial" w:hAnsi="Arial" w:cs="Arial"/>
          <w:bCs/>
        </w:rPr>
        <w:t>la medición</w:t>
      </w:r>
      <w:r w:rsidR="001B5D08">
        <w:rPr>
          <w:rFonts w:ascii="Arial" w:eastAsia="Arial" w:hAnsi="Arial" w:cs="Arial"/>
          <w:bCs/>
        </w:rPr>
        <w:t xml:space="preserve"> de su gestión los siguientes indicadores financieros:</w:t>
      </w:r>
    </w:p>
    <w:p w14:paraId="43A765AD" w14:textId="77777777" w:rsidR="001B5D08" w:rsidRDefault="001B5D08" w:rsidP="00D876D7">
      <w:pPr>
        <w:pBdr>
          <w:top w:val="nil"/>
          <w:left w:val="nil"/>
          <w:bottom w:val="nil"/>
          <w:right w:val="nil"/>
          <w:between w:val="nil"/>
        </w:pBdr>
        <w:ind w:left="360"/>
        <w:jc w:val="both"/>
        <w:rPr>
          <w:rFonts w:ascii="Arial" w:eastAsia="Arial" w:hAnsi="Arial" w:cs="Arial"/>
          <w:bCs/>
        </w:rPr>
      </w:pPr>
    </w:p>
    <w:p w14:paraId="0B243375" w14:textId="75ADB963" w:rsidR="001B5D08" w:rsidRDefault="001B5D08" w:rsidP="001B5D08">
      <w:pPr>
        <w:pStyle w:val="Prrafodelista"/>
        <w:numPr>
          <w:ilvl w:val="0"/>
          <w:numId w:val="13"/>
        </w:numPr>
        <w:pBdr>
          <w:top w:val="nil"/>
          <w:left w:val="nil"/>
          <w:bottom w:val="nil"/>
          <w:right w:val="nil"/>
          <w:between w:val="nil"/>
        </w:pBdr>
        <w:jc w:val="both"/>
        <w:rPr>
          <w:rFonts w:ascii="Arial" w:eastAsia="Arial" w:hAnsi="Arial" w:cs="Arial"/>
          <w:bCs/>
        </w:rPr>
      </w:pPr>
      <w:r w:rsidRPr="001B5D08">
        <w:rPr>
          <w:rFonts w:ascii="Arial" w:eastAsia="Arial" w:hAnsi="Arial" w:cs="Arial"/>
          <w:bCs/>
        </w:rPr>
        <w:t>Margen de EBITDA = (EBITDA / Ingresos operacionales) * 100</w:t>
      </w:r>
    </w:p>
    <w:p w14:paraId="082E6BBA" w14:textId="182BB780" w:rsidR="001B5D08" w:rsidRDefault="001B5D08" w:rsidP="001B5D08">
      <w:pPr>
        <w:pStyle w:val="Prrafodelista"/>
        <w:numPr>
          <w:ilvl w:val="0"/>
          <w:numId w:val="13"/>
        </w:numPr>
        <w:pBdr>
          <w:top w:val="nil"/>
          <w:left w:val="nil"/>
          <w:bottom w:val="nil"/>
          <w:right w:val="nil"/>
          <w:between w:val="nil"/>
        </w:pBdr>
        <w:jc w:val="both"/>
        <w:rPr>
          <w:rFonts w:ascii="Arial" w:eastAsia="Arial" w:hAnsi="Arial" w:cs="Arial"/>
          <w:bCs/>
        </w:rPr>
      </w:pPr>
      <w:r w:rsidRPr="001B5D08">
        <w:rPr>
          <w:rFonts w:ascii="Arial" w:eastAsia="Arial" w:hAnsi="Arial" w:cs="Arial"/>
          <w:bCs/>
        </w:rPr>
        <w:t>Utilidad Neta = Utilidad Operacional + Otros Ingresos No Operacionales - Otros Gastos No Operacionales - Provisión Impuestos</w:t>
      </w:r>
    </w:p>
    <w:p w14:paraId="1D990CA5" w14:textId="2BE628B1" w:rsidR="001B5D08" w:rsidRDefault="001B5D08" w:rsidP="001B5D08">
      <w:pPr>
        <w:pStyle w:val="Prrafodelista"/>
        <w:numPr>
          <w:ilvl w:val="0"/>
          <w:numId w:val="13"/>
        </w:numPr>
        <w:pBdr>
          <w:top w:val="nil"/>
          <w:left w:val="nil"/>
          <w:bottom w:val="nil"/>
          <w:right w:val="nil"/>
          <w:between w:val="nil"/>
        </w:pBdr>
        <w:jc w:val="both"/>
        <w:rPr>
          <w:rFonts w:ascii="Arial" w:eastAsia="Arial" w:hAnsi="Arial" w:cs="Arial"/>
          <w:bCs/>
        </w:rPr>
      </w:pPr>
      <w:r>
        <w:rPr>
          <w:rFonts w:ascii="Arial" w:eastAsia="Arial" w:hAnsi="Arial" w:cs="Arial"/>
          <w:bCs/>
        </w:rPr>
        <w:t xml:space="preserve">ROE = </w:t>
      </w:r>
      <w:r w:rsidRPr="001B5D08">
        <w:rPr>
          <w:rFonts w:ascii="Arial" w:eastAsia="Arial" w:hAnsi="Arial" w:cs="Arial"/>
          <w:bCs/>
        </w:rPr>
        <w:t>(U</w:t>
      </w:r>
      <w:r>
        <w:rPr>
          <w:rFonts w:ascii="Arial" w:eastAsia="Arial" w:hAnsi="Arial" w:cs="Arial"/>
          <w:bCs/>
        </w:rPr>
        <w:t xml:space="preserve">tilidad </w:t>
      </w:r>
      <w:r w:rsidRPr="001B5D08">
        <w:rPr>
          <w:rFonts w:ascii="Arial" w:eastAsia="Arial" w:hAnsi="Arial" w:cs="Arial"/>
          <w:bCs/>
        </w:rPr>
        <w:t>N</w:t>
      </w:r>
      <w:r>
        <w:rPr>
          <w:rFonts w:ascii="Arial" w:eastAsia="Arial" w:hAnsi="Arial" w:cs="Arial"/>
          <w:bCs/>
        </w:rPr>
        <w:t>eta</w:t>
      </w:r>
      <w:r w:rsidRPr="001B5D08">
        <w:rPr>
          <w:rFonts w:ascii="Arial" w:eastAsia="Arial" w:hAnsi="Arial" w:cs="Arial"/>
          <w:bCs/>
        </w:rPr>
        <w:t xml:space="preserve"> / Patrimonio) *100</w:t>
      </w:r>
    </w:p>
    <w:p w14:paraId="0A67CF91" w14:textId="687F5865" w:rsidR="001B5D08" w:rsidRDefault="001B5D08" w:rsidP="001B5D08">
      <w:pPr>
        <w:pStyle w:val="Prrafodelista"/>
        <w:numPr>
          <w:ilvl w:val="0"/>
          <w:numId w:val="13"/>
        </w:numPr>
        <w:pBdr>
          <w:top w:val="nil"/>
          <w:left w:val="nil"/>
          <w:bottom w:val="nil"/>
          <w:right w:val="nil"/>
          <w:between w:val="nil"/>
        </w:pBdr>
        <w:jc w:val="both"/>
        <w:rPr>
          <w:rFonts w:ascii="Arial" w:eastAsia="Arial" w:hAnsi="Arial" w:cs="Arial"/>
          <w:bCs/>
        </w:rPr>
      </w:pPr>
      <w:r>
        <w:rPr>
          <w:rFonts w:ascii="Arial" w:eastAsia="Arial" w:hAnsi="Arial" w:cs="Arial"/>
          <w:bCs/>
        </w:rPr>
        <w:t xml:space="preserve">ROCE = </w:t>
      </w:r>
      <w:r w:rsidRPr="001B5D08">
        <w:rPr>
          <w:rFonts w:ascii="Arial" w:eastAsia="Arial" w:hAnsi="Arial" w:cs="Arial"/>
          <w:bCs/>
        </w:rPr>
        <w:t>Utilidad Antes de Intereses e Impuestos / (Total de Activos - Pasivo Corriente)</w:t>
      </w:r>
    </w:p>
    <w:p w14:paraId="10D0668E" w14:textId="77777777" w:rsidR="00514D1D" w:rsidRPr="001B5D08" w:rsidRDefault="00514D1D" w:rsidP="00514D1D">
      <w:pPr>
        <w:pStyle w:val="Prrafodelista"/>
        <w:pBdr>
          <w:top w:val="nil"/>
          <w:left w:val="nil"/>
          <w:bottom w:val="nil"/>
          <w:right w:val="nil"/>
          <w:between w:val="nil"/>
        </w:pBdr>
        <w:jc w:val="both"/>
        <w:rPr>
          <w:rFonts w:ascii="Arial" w:eastAsia="Arial" w:hAnsi="Arial" w:cs="Arial"/>
          <w:bCs/>
        </w:rPr>
      </w:pPr>
    </w:p>
    <w:p w14:paraId="506AE329" w14:textId="0AAEF142" w:rsidR="001B5D08" w:rsidRDefault="001B5D08" w:rsidP="001B5D08">
      <w:pPr>
        <w:pStyle w:val="Prrafodelista"/>
        <w:numPr>
          <w:ilvl w:val="0"/>
          <w:numId w:val="12"/>
        </w:numPr>
        <w:pBdr>
          <w:top w:val="nil"/>
          <w:left w:val="nil"/>
          <w:bottom w:val="nil"/>
          <w:right w:val="nil"/>
          <w:between w:val="nil"/>
        </w:pBdr>
        <w:jc w:val="both"/>
        <w:rPr>
          <w:rFonts w:ascii="Arial" w:eastAsia="Arial" w:hAnsi="Arial" w:cs="Arial"/>
          <w:b/>
        </w:rPr>
      </w:pPr>
      <w:r>
        <w:rPr>
          <w:rFonts w:ascii="Arial" w:eastAsia="Arial" w:hAnsi="Arial" w:cs="Arial"/>
          <w:b/>
        </w:rPr>
        <w:t>¿</w:t>
      </w:r>
      <w:r w:rsidR="00D45F1B">
        <w:rPr>
          <w:rFonts w:ascii="Arial" w:eastAsia="Arial" w:hAnsi="Arial" w:cs="Arial"/>
          <w:b/>
        </w:rPr>
        <w:t>Cuál</w:t>
      </w:r>
      <w:r>
        <w:rPr>
          <w:rFonts w:ascii="Arial" w:eastAsia="Arial" w:hAnsi="Arial" w:cs="Arial"/>
          <w:b/>
        </w:rPr>
        <w:t xml:space="preserve"> es la Política de reservas y ahorros implementada para enfrentar posibles contingencias económicas dentro de su entidad?</w:t>
      </w:r>
    </w:p>
    <w:p w14:paraId="45068A76" w14:textId="16A5343A" w:rsidR="001B5D08" w:rsidRPr="001B5D08" w:rsidRDefault="001B5D08" w:rsidP="001B5D08">
      <w:pPr>
        <w:pBdr>
          <w:top w:val="nil"/>
          <w:left w:val="nil"/>
          <w:bottom w:val="nil"/>
          <w:right w:val="nil"/>
          <w:between w:val="nil"/>
        </w:pBdr>
        <w:ind w:left="360"/>
        <w:jc w:val="both"/>
        <w:rPr>
          <w:rFonts w:ascii="Arial" w:eastAsia="Arial" w:hAnsi="Arial" w:cs="Arial"/>
          <w:bCs/>
        </w:rPr>
      </w:pPr>
    </w:p>
    <w:p w14:paraId="5517C686" w14:textId="0802C254" w:rsidR="001B5D08" w:rsidRDefault="001B5D08" w:rsidP="00D876D7">
      <w:pPr>
        <w:pBdr>
          <w:top w:val="nil"/>
          <w:left w:val="nil"/>
          <w:bottom w:val="nil"/>
          <w:right w:val="nil"/>
          <w:between w:val="nil"/>
        </w:pBdr>
        <w:ind w:left="360"/>
        <w:jc w:val="both"/>
        <w:rPr>
          <w:rFonts w:ascii="Arial" w:eastAsia="Arial" w:hAnsi="Arial" w:cs="Arial"/>
          <w:bCs/>
        </w:rPr>
      </w:pPr>
      <w:r>
        <w:rPr>
          <w:rFonts w:ascii="Arial" w:eastAsia="Arial" w:hAnsi="Arial" w:cs="Arial"/>
          <w:bCs/>
        </w:rPr>
        <w:t xml:space="preserve">La Empresa URRA S.A. E.S.P. </w:t>
      </w:r>
      <w:r w:rsidR="00D45F1B">
        <w:rPr>
          <w:rFonts w:ascii="Arial" w:eastAsia="Arial" w:hAnsi="Arial" w:cs="Arial"/>
          <w:bCs/>
        </w:rPr>
        <w:t>como empresa de servicios públicos domiciliarios de economía mixta, tiene dentro de su política de ahorros hacer un seguimiento mensual al comportamiento de los ingresos por venta de energía; cuando los ingresos sean inferiores a los proyectados la empresa reduce o aplaza inversiones y gastos de funcionamiento</w:t>
      </w:r>
      <w:r w:rsidR="00514D1D">
        <w:rPr>
          <w:rFonts w:ascii="Arial" w:eastAsia="Arial" w:hAnsi="Arial" w:cs="Arial"/>
          <w:bCs/>
        </w:rPr>
        <w:t>; es decir, prioriza el gasto.</w:t>
      </w:r>
      <w:r w:rsidR="00D45F1B">
        <w:rPr>
          <w:rFonts w:ascii="Arial" w:eastAsia="Arial" w:hAnsi="Arial" w:cs="Arial"/>
          <w:bCs/>
        </w:rPr>
        <w:t xml:space="preserve"> </w:t>
      </w:r>
    </w:p>
    <w:p w14:paraId="26C60AA9" w14:textId="77777777" w:rsidR="00D45F1B" w:rsidRDefault="00D45F1B" w:rsidP="00D876D7">
      <w:pPr>
        <w:pBdr>
          <w:top w:val="nil"/>
          <w:left w:val="nil"/>
          <w:bottom w:val="nil"/>
          <w:right w:val="nil"/>
          <w:between w:val="nil"/>
        </w:pBdr>
        <w:ind w:left="360"/>
        <w:jc w:val="both"/>
        <w:rPr>
          <w:rFonts w:ascii="Arial" w:eastAsia="Arial" w:hAnsi="Arial" w:cs="Arial"/>
          <w:bCs/>
        </w:rPr>
      </w:pPr>
    </w:p>
    <w:p w14:paraId="3BC7AD68" w14:textId="54343078" w:rsidR="00D45F1B" w:rsidRDefault="00D45F1B" w:rsidP="00D45F1B">
      <w:pPr>
        <w:pStyle w:val="Prrafodelista"/>
        <w:numPr>
          <w:ilvl w:val="0"/>
          <w:numId w:val="12"/>
        </w:numPr>
        <w:pBdr>
          <w:top w:val="nil"/>
          <w:left w:val="nil"/>
          <w:bottom w:val="nil"/>
          <w:right w:val="nil"/>
          <w:between w:val="nil"/>
        </w:pBdr>
        <w:jc w:val="both"/>
        <w:rPr>
          <w:rFonts w:ascii="Arial" w:eastAsia="Arial" w:hAnsi="Arial" w:cs="Arial"/>
          <w:b/>
        </w:rPr>
      </w:pPr>
      <w:r>
        <w:rPr>
          <w:rFonts w:ascii="Arial" w:eastAsia="Arial" w:hAnsi="Arial" w:cs="Arial"/>
          <w:b/>
        </w:rPr>
        <w:t xml:space="preserve">¿Como ha gestionado la entidad las fluctuaciones en la tasa de cambio y </w:t>
      </w:r>
      <w:proofErr w:type="spellStart"/>
      <w:r>
        <w:rPr>
          <w:rFonts w:ascii="Arial" w:eastAsia="Arial" w:hAnsi="Arial" w:cs="Arial"/>
          <w:b/>
        </w:rPr>
        <w:t>cual</w:t>
      </w:r>
      <w:proofErr w:type="spellEnd"/>
      <w:r>
        <w:rPr>
          <w:rFonts w:ascii="Arial" w:eastAsia="Arial" w:hAnsi="Arial" w:cs="Arial"/>
          <w:b/>
        </w:rPr>
        <w:t xml:space="preserve"> ha sido su impacto en la ejecución presupuestal?</w:t>
      </w:r>
    </w:p>
    <w:p w14:paraId="6867F062" w14:textId="77777777" w:rsidR="00D45F1B" w:rsidRDefault="00D45F1B" w:rsidP="00D45F1B">
      <w:pPr>
        <w:pBdr>
          <w:top w:val="nil"/>
          <w:left w:val="nil"/>
          <w:bottom w:val="nil"/>
          <w:right w:val="nil"/>
          <w:between w:val="nil"/>
        </w:pBdr>
        <w:ind w:left="360"/>
        <w:jc w:val="both"/>
        <w:rPr>
          <w:rFonts w:ascii="Arial" w:eastAsia="Arial" w:hAnsi="Arial" w:cs="Arial"/>
          <w:bCs/>
        </w:rPr>
      </w:pPr>
    </w:p>
    <w:p w14:paraId="59EBEAF5" w14:textId="0D61741D" w:rsidR="00D45F1B" w:rsidRDefault="00D45F1B" w:rsidP="00D45F1B">
      <w:pPr>
        <w:pBdr>
          <w:top w:val="nil"/>
          <w:left w:val="nil"/>
          <w:bottom w:val="nil"/>
          <w:right w:val="nil"/>
          <w:between w:val="nil"/>
        </w:pBdr>
        <w:ind w:left="360"/>
        <w:jc w:val="both"/>
        <w:rPr>
          <w:rFonts w:ascii="Arial" w:eastAsia="Arial" w:hAnsi="Arial" w:cs="Arial"/>
          <w:bCs/>
        </w:rPr>
      </w:pPr>
      <w:r>
        <w:rPr>
          <w:rFonts w:ascii="Arial" w:eastAsia="Arial" w:hAnsi="Arial" w:cs="Arial"/>
          <w:bCs/>
        </w:rPr>
        <w:t xml:space="preserve">La </w:t>
      </w:r>
      <w:r w:rsidR="004324CA">
        <w:rPr>
          <w:rFonts w:ascii="Arial" w:eastAsia="Arial" w:hAnsi="Arial" w:cs="Arial"/>
          <w:bCs/>
        </w:rPr>
        <w:t>E</w:t>
      </w:r>
      <w:r>
        <w:rPr>
          <w:rFonts w:ascii="Arial" w:eastAsia="Arial" w:hAnsi="Arial" w:cs="Arial"/>
          <w:bCs/>
        </w:rPr>
        <w:t>mpresa para cubrirse de las fluctuaciones en la tasa de cambio realizo la apertura de una cuenta de compensación en dólares para desarrollar los proyectos de inversión que incluyen pagos en dólares, logrando con ello minimizar el impacto por diferencia en cambio en la ejecución de sus proyectos.</w:t>
      </w:r>
    </w:p>
    <w:p w14:paraId="518E9792" w14:textId="77777777" w:rsidR="00D45F1B" w:rsidRDefault="00D45F1B" w:rsidP="00D45F1B">
      <w:pPr>
        <w:pBdr>
          <w:top w:val="nil"/>
          <w:left w:val="nil"/>
          <w:bottom w:val="nil"/>
          <w:right w:val="nil"/>
          <w:between w:val="nil"/>
        </w:pBdr>
        <w:ind w:left="360"/>
        <w:jc w:val="both"/>
        <w:rPr>
          <w:rFonts w:ascii="Arial" w:eastAsia="Arial" w:hAnsi="Arial" w:cs="Arial"/>
          <w:bCs/>
        </w:rPr>
      </w:pPr>
    </w:p>
    <w:p w14:paraId="1670038F" w14:textId="25240EB8" w:rsidR="00D45F1B" w:rsidRDefault="00D45F1B" w:rsidP="00D45F1B">
      <w:pPr>
        <w:pStyle w:val="Prrafodelista"/>
        <w:numPr>
          <w:ilvl w:val="0"/>
          <w:numId w:val="12"/>
        </w:numPr>
        <w:pBdr>
          <w:top w:val="nil"/>
          <w:left w:val="nil"/>
          <w:bottom w:val="nil"/>
          <w:right w:val="nil"/>
          <w:between w:val="nil"/>
        </w:pBdr>
        <w:jc w:val="both"/>
        <w:rPr>
          <w:rFonts w:ascii="Arial" w:eastAsia="Arial" w:hAnsi="Arial" w:cs="Arial"/>
          <w:b/>
        </w:rPr>
      </w:pPr>
      <w:r>
        <w:rPr>
          <w:rFonts w:ascii="Arial" w:eastAsia="Arial" w:hAnsi="Arial" w:cs="Arial"/>
          <w:b/>
        </w:rPr>
        <w:t>Durante el año 2023 ¿la entidad experiment</w:t>
      </w:r>
      <w:r w:rsidR="00EA2691">
        <w:rPr>
          <w:rFonts w:ascii="Arial" w:eastAsia="Arial" w:hAnsi="Arial" w:cs="Arial"/>
          <w:b/>
        </w:rPr>
        <w:t>o rezagos presupuestales?</w:t>
      </w:r>
    </w:p>
    <w:p w14:paraId="556F46A0" w14:textId="77777777" w:rsidR="00EA2691" w:rsidRPr="00EA2691" w:rsidRDefault="00EA2691" w:rsidP="00EA2691">
      <w:pPr>
        <w:pBdr>
          <w:top w:val="nil"/>
          <w:left w:val="nil"/>
          <w:bottom w:val="nil"/>
          <w:right w:val="nil"/>
          <w:between w:val="nil"/>
        </w:pBdr>
        <w:ind w:left="360"/>
        <w:jc w:val="both"/>
        <w:rPr>
          <w:rFonts w:ascii="Arial" w:eastAsia="Arial" w:hAnsi="Arial" w:cs="Arial"/>
          <w:b/>
        </w:rPr>
      </w:pPr>
    </w:p>
    <w:p w14:paraId="2E41D643" w14:textId="283B1D0D" w:rsidR="00EA2691" w:rsidRDefault="00EA2691" w:rsidP="00EA2691">
      <w:pPr>
        <w:pBdr>
          <w:top w:val="nil"/>
          <w:left w:val="nil"/>
          <w:bottom w:val="nil"/>
          <w:right w:val="nil"/>
          <w:between w:val="nil"/>
        </w:pBdr>
        <w:ind w:left="360"/>
        <w:jc w:val="both"/>
        <w:rPr>
          <w:rFonts w:ascii="Arial" w:eastAsia="Arial" w:hAnsi="Arial" w:cs="Arial"/>
          <w:bCs/>
        </w:rPr>
      </w:pPr>
      <w:r w:rsidRPr="00EA2691">
        <w:rPr>
          <w:rFonts w:ascii="Arial" w:eastAsia="Arial" w:hAnsi="Arial" w:cs="Arial"/>
          <w:bCs/>
        </w:rPr>
        <w:t xml:space="preserve">La </w:t>
      </w:r>
      <w:r w:rsidR="004324CA">
        <w:rPr>
          <w:rFonts w:ascii="Arial" w:eastAsia="Arial" w:hAnsi="Arial" w:cs="Arial"/>
          <w:bCs/>
        </w:rPr>
        <w:t>E</w:t>
      </w:r>
      <w:r w:rsidRPr="00EA2691">
        <w:rPr>
          <w:rFonts w:ascii="Arial" w:eastAsia="Arial" w:hAnsi="Arial" w:cs="Arial"/>
          <w:bCs/>
        </w:rPr>
        <w:t xml:space="preserve">mpresa URRA S.A. E.S.P en materia presupuestal se rigen por el decreto </w:t>
      </w:r>
      <w:r w:rsidR="0067073A">
        <w:rPr>
          <w:rFonts w:ascii="Arial" w:eastAsia="Arial" w:hAnsi="Arial" w:cs="Arial"/>
          <w:bCs/>
        </w:rPr>
        <w:t xml:space="preserve">único reglamentario del sector hacienda y crédito público (decreto </w:t>
      </w:r>
      <w:r w:rsidRPr="00EA2691">
        <w:rPr>
          <w:rFonts w:ascii="Arial" w:eastAsia="Arial" w:hAnsi="Arial" w:cs="Arial"/>
          <w:bCs/>
        </w:rPr>
        <w:t>115 de 1996</w:t>
      </w:r>
      <w:r w:rsidR="0067073A">
        <w:rPr>
          <w:rFonts w:ascii="Arial" w:eastAsia="Arial" w:hAnsi="Arial" w:cs="Arial"/>
          <w:bCs/>
        </w:rPr>
        <w:t>)</w:t>
      </w:r>
      <w:r w:rsidRPr="00EA2691">
        <w:rPr>
          <w:rFonts w:ascii="Arial" w:eastAsia="Arial" w:hAnsi="Arial" w:cs="Arial"/>
          <w:bCs/>
        </w:rPr>
        <w:t>; por lo tanto, no se presentan rezagos presupuestales.</w:t>
      </w:r>
    </w:p>
    <w:p w14:paraId="74491C9B" w14:textId="77777777" w:rsidR="00514D1D" w:rsidRDefault="00514D1D" w:rsidP="00EA2691">
      <w:pPr>
        <w:pBdr>
          <w:top w:val="nil"/>
          <w:left w:val="nil"/>
          <w:bottom w:val="nil"/>
          <w:right w:val="nil"/>
          <w:between w:val="nil"/>
        </w:pBdr>
        <w:ind w:left="360"/>
        <w:jc w:val="both"/>
        <w:rPr>
          <w:rFonts w:ascii="Arial" w:eastAsia="Arial" w:hAnsi="Arial" w:cs="Arial"/>
          <w:bCs/>
        </w:rPr>
      </w:pPr>
    </w:p>
    <w:p w14:paraId="7A113BE3" w14:textId="23603B46" w:rsidR="004324CA" w:rsidRDefault="00514D1D" w:rsidP="00514D1D">
      <w:pPr>
        <w:pStyle w:val="Prrafodelista"/>
        <w:numPr>
          <w:ilvl w:val="0"/>
          <w:numId w:val="12"/>
        </w:numPr>
        <w:pBdr>
          <w:top w:val="nil"/>
          <w:left w:val="nil"/>
          <w:bottom w:val="nil"/>
          <w:right w:val="nil"/>
          <w:between w:val="nil"/>
        </w:pBdr>
        <w:jc w:val="both"/>
        <w:rPr>
          <w:rFonts w:ascii="Arial" w:eastAsia="Arial" w:hAnsi="Arial" w:cs="Arial"/>
          <w:b/>
        </w:rPr>
      </w:pPr>
      <w:r>
        <w:rPr>
          <w:rFonts w:ascii="Arial" w:eastAsia="Arial" w:hAnsi="Arial" w:cs="Arial"/>
          <w:b/>
        </w:rPr>
        <w:t>¿Qué estrategia ha implementado</w:t>
      </w:r>
      <w:r w:rsidR="004324CA">
        <w:rPr>
          <w:rFonts w:ascii="Arial" w:eastAsia="Arial" w:hAnsi="Arial" w:cs="Arial"/>
          <w:b/>
        </w:rPr>
        <w:t xml:space="preserve"> la entidad para promover la inversión privada como complemento a los proyectos financiados por el presupuesto?</w:t>
      </w:r>
    </w:p>
    <w:p w14:paraId="3CC202F8" w14:textId="77777777" w:rsidR="004324CA" w:rsidRDefault="004324CA" w:rsidP="004324CA">
      <w:pPr>
        <w:pBdr>
          <w:top w:val="nil"/>
          <w:left w:val="nil"/>
          <w:bottom w:val="nil"/>
          <w:right w:val="nil"/>
          <w:between w:val="nil"/>
        </w:pBdr>
        <w:ind w:left="360"/>
        <w:jc w:val="both"/>
        <w:rPr>
          <w:rFonts w:ascii="Arial" w:eastAsia="Arial" w:hAnsi="Arial" w:cs="Arial"/>
          <w:b/>
        </w:rPr>
      </w:pPr>
    </w:p>
    <w:p w14:paraId="45771D7C" w14:textId="5C85E85D" w:rsidR="004324CA" w:rsidRDefault="004324CA" w:rsidP="004324CA">
      <w:pPr>
        <w:pBdr>
          <w:top w:val="nil"/>
          <w:left w:val="nil"/>
          <w:bottom w:val="nil"/>
          <w:right w:val="nil"/>
          <w:between w:val="nil"/>
        </w:pBdr>
        <w:ind w:left="360"/>
        <w:jc w:val="both"/>
        <w:rPr>
          <w:rFonts w:ascii="Arial" w:eastAsia="Arial" w:hAnsi="Arial" w:cs="Arial"/>
          <w:bCs/>
        </w:rPr>
      </w:pPr>
      <w:r>
        <w:rPr>
          <w:rFonts w:ascii="Arial" w:eastAsia="Arial" w:hAnsi="Arial" w:cs="Arial"/>
          <w:bCs/>
        </w:rPr>
        <w:t>La Empresa dentro de su programación de inversión en proyectos hasta el momento ha logrado financiarse con recursos propios</w:t>
      </w:r>
      <w:r w:rsidR="00F33038">
        <w:rPr>
          <w:rFonts w:ascii="Arial" w:eastAsia="Arial" w:hAnsi="Arial" w:cs="Arial"/>
          <w:bCs/>
        </w:rPr>
        <w:t xml:space="preserve"> producto de su optimización comercial y manejo eficiente del embalse.</w:t>
      </w:r>
    </w:p>
    <w:p w14:paraId="2CB0B7DD" w14:textId="77777777" w:rsidR="004324CA" w:rsidRDefault="004324CA" w:rsidP="004324CA">
      <w:pPr>
        <w:pBdr>
          <w:top w:val="nil"/>
          <w:left w:val="nil"/>
          <w:bottom w:val="nil"/>
          <w:right w:val="nil"/>
          <w:between w:val="nil"/>
        </w:pBdr>
        <w:ind w:left="360"/>
        <w:jc w:val="both"/>
        <w:rPr>
          <w:rFonts w:ascii="Arial" w:eastAsia="Arial" w:hAnsi="Arial" w:cs="Arial"/>
          <w:bCs/>
        </w:rPr>
      </w:pPr>
    </w:p>
    <w:p w14:paraId="62221ECF" w14:textId="45EE4C7B" w:rsidR="004324CA" w:rsidRDefault="004324CA" w:rsidP="004324CA">
      <w:pPr>
        <w:pStyle w:val="Prrafodelista"/>
        <w:numPr>
          <w:ilvl w:val="0"/>
          <w:numId w:val="12"/>
        </w:numPr>
        <w:pBdr>
          <w:top w:val="nil"/>
          <w:left w:val="nil"/>
          <w:bottom w:val="nil"/>
          <w:right w:val="nil"/>
          <w:between w:val="nil"/>
        </w:pBdr>
        <w:jc w:val="both"/>
        <w:rPr>
          <w:rFonts w:ascii="Arial" w:eastAsia="Arial" w:hAnsi="Arial" w:cs="Arial"/>
          <w:b/>
        </w:rPr>
      </w:pPr>
      <w:r>
        <w:rPr>
          <w:rFonts w:ascii="Arial" w:eastAsia="Arial" w:hAnsi="Arial" w:cs="Arial"/>
          <w:b/>
        </w:rPr>
        <w:t xml:space="preserve"> ¿Cuáles son los mecanismos utilizados por la entidad para gestionar alianzas estratégicas y colaboraciones interinstitucionales para optimizar la utilización de recursos y evitar duplicidades?</w:t>
      </w:r>
    </w:p>
    <w:p w14:paraId="5CA81200" w14:textId="77777777" w:rsidR="001200F1" w:rsidRDefault="001200F1" w:rsidP="001200F1">
      <w:pPr>
        <w:pBdr>
          <w:top w:val="nil"/>
          <w:left w:val="nil"/>
          <w:bottom w:val="nil"/>
          <w:right w:val="nil"/>
          <w:between w:val="nil"/>
        </w:pBdr>
        <w:ind w:left="360"/>
        <w:jc w:val="both"/>
        <w:rPr>
          <w:rFonts w:ascii="Arial" w:eastAsia="Arial" w:hAnsi="Arial" w:cs="Arial"/>
          <w:bCs/>
        </w:rPr>
      </w:pPr>
    </w:p>
    <w:p w14:paraId="30C742EB" w14:textId="2663C5CD" w:rsidR="001200F1" w:rsidRPr="001200F1" w:rsidRDefault="001200F1" w:rsidP="001200F1">
      <w:pPr>
        <w:pBdr>
          <w:top w:val="nil"/>
          <w:left w:val="nil"/>
          <w:bottom w:val="nil"/>
          <w:right w:val="nil"/>
          <w:between w:val="nil"/>
        </w:pBdr>
        <w:ind w:left="360"/>
        <w:jc w:val="both"/>
        <w:rPr>
          <w:rFonts w:ascii="Arial" w:eastAsia="Arial" w:hAnsi="Arial" w:cs="Arial"/>
          <w:bCs/>
        </w:rPr>
      </w:pPr>
      <w:r>
        <w:rPr>
          <w:rFonts w:ascii="Arial" w:eastAsia="Arial" w:hAnsi="Arial" w:cs="Arial"/>
          <w:bCs/>
        </w:rPr>
        <w:t>L</w:t>
      </w:r>
      <w:r w:rsidRPr="001200F1">
        <w:rPr>
          <w:rFonts w:ascii="Arial" w:eastAsia="Arial" w:hAnsi="Arial" w:cs="Arial"/>
          <w:bCs/>
        </w:rPr>
        <w:t>a</w:t>
      </w:r>
      <w:r>
        <w:rPr>
          <w:rFonts w:ascii="Arial" w:eastAsia="Arial" w:hAnsi="Arial" w:cs="Arial"/>
          <w:bCs/>
        </w:rPr>
        <w:t xml:space="preserve"> Empresa en búsqueda de la co</w:t>
      </w:r>
      <w:r w:rsidRPr="001200F1">
        <w:rPr>
          <w:rFonts w:ascii="Arial" w:eastAsia="Arial" w:hAnsi="Arial" w:cs="Arial"/>
          <w:bCs/>
        </w:rPr>
        <w:t xml:space="preserve">nstrucción de alianzas estratégicas y la colaboración con otras Entidades </w:t>
      </w:r>
      <w:r>
        <w:rPr>
          <w:rFonts w:ascii="Arial" w:eastAsia="Arial" w:hAnsi="Arial" w:cs="Arial"/>
          <w:bCs/>
        </w:rPr>
        <w:t>busca</w:t>
      </w:r>
      <w:r w:rsidRPr="001200F1">
        <w:rPr>
          <w:rFonts w:ascii="Arial" w:eastAsia="Arial" w:hAnsi="Arial" w:cs="Arial"/>
          <w:bCs/>
        </w:rPr>
        <w:t xml:space="preserve"> la </w:t>
      </w:r>
      <w:proofErr w:type="gramStart"/>
      <w:r w:rsidRPr="001200F1">
        <w:rPr>
          <w:rFonts w:ascii="Arial" w:eastAsia="Arial" w:hAnsi="Arial" w:cs="Arial"/>
          <w:bCs/>
        </w:rPr>
        <w:t>participación activa</w:t>
      </w:r>
      <w:proofErr w:type="gramEnd"/>
      <w:r w:rsidRPr="001200F1">
        <w:rPr>
          <w:rFonts w:ascii="Arial" w:eastAsia="Arial" w:hAnsi="Arial" w:cs="Arial"/>
          <w:bCs/>
        </w:rPr>
        <w:t xml:space="preserve"> </w:t>
      </w:r>
      <w:r>
        <w:rPr>
          <w:rFonts w:ascii="Arial" w:eastAsia="Arial" w:hAnsi="Arial" w:cs="Arial"/>
          <w:bCs/>
        </w:rPr>
        <w:t xml:space="preserve">en </w:t>
      </w:r>
      <w:r w:rsidRPr="001200F1">
        <w:rPr>
          <w:rFonts w:ascii="Arial" w:eastAsia="Arial" w:hAnsi="Arial" w:cs="Arial"/>
          <w:bCs/>
        </w:rPr>
        <w:t>espacios de gobernanza en los que se genera la articulación y coordinación interinstitucional de todo orden (nacional y territorial), para la construcción de una política pública y la generación de convenios institucionales de tipo nacional, territorial e internacional.</w:t>
      </w:r>
    </w:p>
    <w:p w14:paraId="63E9F626" w14:textId="77777777" w:rsidR="001200F1" w:rsidRDefault="001200F1" w:rsidP="001200F1">
      <w:pPr>
        <w:pStyle w:val="Prrafodelista"/>
        <w:pBdr>
          <w:top w:val="nil"/>
          <w:left w:val="nil"/>
          <w:bottom w:val="nil"/>
          <w:right w:val="nil"/>
          <w:between w:val="nil"/>
        </w:pBdr>
        <w:jc w:val="both"/>
        <w:rPr>
          <w:rFonts w:ascii="Arial" w:eastAsia="Arial" w:hAnsi="Arial" w:cs="Arial"/>
          <w:b/>
        </w:rPr>
      </w:pPr>
    </w:p>
    <w:p w14:paraId="23FF1EE1" w14:textId="77777777" w:rsidR="004324CA" w:rsidRDefault="004324CA" w:rsidP="004324CA">
      <w:pPr>
        <w:pBdr>
          <w:top w:val="nil"/>
          <w:left w:val="nil"/>
          <w:bottom w:val="nil"/>
          <w:right w:val="nil"/>
          <w:between w:val="nil"/>
        </w:pBdr>
        <w:jc w:val="both"/>
        <w:rPr>
          <w:rFonts w:ascii="Arial" w:eastAsia="Arial" w:hAnsi="Arial" w:cs="Arial"/>
          <w:b/>
        </w:rPr>
      </w:pPr>
    </w:p>
    <w:p w14:paraId="718A8577" w14:textId="6304C058" w:rsidR="004324CA" w:rsidRPr="004324CA" w:rsidRDefault="0067073A" w:rsidP="004324CA">
      <w:pPr>
        <w:pStyle w:val="Prrafodelista"/>
        <w:numPr>
          <w:ilvl w:val="0"/>
          <w:numId w:val="12"/>
        </w:numPr>
        <w:pBdr>
          <w:top w:val="nil"/>
          <w:left w:val="nil"/>
          <w:bottom w:val="nil"/>
          <w:right w:val="nil"/>
          <w:between w:val="nil"/>
        </w:pBdr>
        <w:jc w:val="both"/>
        <w:rPr>
          <w:rFonts w:ascii="Arial" w:eastAsia="Arial" w:hAnsi="Arial" w:cs="Arial"/>
          <w:b/>
        </w:rPr>
      </w:pPr>
      <w:r>
        <w:rPr>
          <w:rFonts w:ascii="Arial" w:eastAsia="Arial" w:hAnsi="Arial" w:cs="Arial"/>
          <w:b/>
        </w:rPr>
        <w:t xml:space="preserve"> ¿Cómo garantiza la entidad la sostenibilidad financiera a largo plazo de los programas y proyectos, incluyendo la evaluación de pasivos contingentes?</w:t>
      </w:r>
    </w:p>
    <w:p w14:paraId="1BFCFBD5" w14:textId="77777777" w:rsidR="004324CA" w:rsidRDefault="004324CA" w:rsidP="004324CA">
      <w:pPr>
        <w:pBdr>
          <w:top w:val="nil"/>
          <w:left w:val="nil"/>
          <w:bottom w:val="nil"/>
          <w:right w:val="nil"/>
          <w:between w:val="nil"/>
        </w:pBdr>
        <w:jc w:val="both"/>
        <w:rPr>
          <w:rFonts w:ascii="Arial" w:eastAsia="Arial" w:hAnsi="Arial" w:cs="Arial"/>
          <w:b/>
        </w:rPr>
      </w:pPr>
    </w:p>
    <w:p w14:paraId="4DDB9680" w14:textId="51D722DA" w:rsidR="0067073A" w:rsidRDefault="0067073A" w:rsidP="001200F1">
      <w:pPr>
        <w:pBdr>
          <w:top w:val="nil"/>
          <w:left w:val="nil"/>
          <w:bottom w:val="nil"/>
          <w:right w:val="nil"/>
          <w:between w:val="nil"/>
        </w:pBdr>
        <w:ind w:left="426"/>
        <w:jc w:val="both"/>
        <w:rPr>
          <w:rFonts w:ascii="Arial" w:eastAsia="Arial" w:hAnsi="Arial" w:cs="Arial"/>
          <w:bCs/>
        </w:rPr>
      </w:pPr>
      <w:r w:rsidRPr="0067073A">
        <w:rPr>
          <w:rFonts w:ascii="Arial" w:eastAsia="Arial" w:hAnsi="Arial" w:cs="Arial"/>
          <w:bCs/>
        </w:rPr>
        <w:t xml:space="preserve">La </w:t>
      </w:r>
      <w:r w:rsidR="001200F1">
        <w:rPr>
          <w:rFonts w:ascii="Arial" w:eastAsia="Arial" w:hAnsi="Arial" w:cs="Arial"/>
          <w:bCs/>
        </w:rPr>
        <w:t xml:space="preserve">Empresa </w:t>
      </w:r>
      <w:r w:rsidR="00993ED2">
        <w:rPr>
          <w:rFonts w:ascii="Arial" w:eastAsia="Arial" w:hAnsi="Arial" w:cs="Arial"/>
          <w:bCs/>
        </w:rPr>
        <w:t>garantiza</w:t>
      </w:r>
      <w:r w:rsidRPr="0067073A">
        <w:rPr>
          <w:rFonts w:ascii="Arial" w:eastAsia="Arial" w:hAnsi="Arial" w:cs="Arial"/>
          <w:bCs/>
        </w:rPr>
        <w:t xml:space="preserve"> la sostenibilidad financiera a largo plazo </w:t>
      </w:r>
      <w:r w:rsidR="00993ED2">
        <w:rPr>
          <w:rFonts w:ascii="Arial" w:eastAsia="Arial" w:hAnsi="Arial" w:cs="Arial"/>
          <w:bCs/>
        </w:rPr>
        <w:t>con</w:t>
      </w:r>
      <w:r w:rsidR="001200F1">
        <w:rPr>
          <w:rFonts w:ascii="Arial" w:eastAsia="Arial" w:hAnsi="Arial" w:cs="Arial"/>
          <w:bCs/>
        </w:rPr>
        <w:t xml:space="preserve"> la optimización comercial y el manejo eficiente del embalse</w:t>
      </w:r>
      <w:r w:rsidR="00993ED2">
        <w:rPr>
          <w:rFonts w:ascii="Arial" w:eastAsia="Arial" w:hAnsi="Arial" w:cs="Arial"/>
          <w:bCs/>
        </w:rPr>
        <w:t xml:space="preserve"> y el desarrollo de nuevos proyectos a través de los siguientes estrategías</w:t>
      </w:r>
      <w:r w:rsidRPr="0067073A">
        <w:rPr>
          <w:rFonts w:ascii="Arial" w:eastAsia="Arial" w:hAnsi="Arial" w:cs="Arial"/>
          <w:bCs/>
        </w:rPr>
        <w:t>:</w:t>
      </w:r>
    </w:p>
    <w:p w14:paraId="1F10C9F2" w14:textId="77777777" w:rsidR="001200F1" w:rsidRDefault="001200F1" w:rsidP="001200F1">
      <w:pPr>
        <w:pBdr>
          <w:top w:val="nil"/>
          <w:left w:val="nil"/>
          <w:bottom w:val="nil"/>
          <w:right w:val="nil"/>
          <w:between w:val="nil"/>
        </w:pBdr>
        <w:ind w:left="426"/>
        <w:jc w:val="both"/>
        <w:rPr>
          <w:rFonts w:ascii="Arial" w:eastAsia="Arial" w:hAnsi="Arial" w:cs="Arial"/>
          <w:bCs/>
        </w:rPr>
      </w:pPr>
    </w:p>
    <w:p w14:paraId="598E633C" w14:textId="0F60594C" w:rsidR="001200F1" w:rsidRPr="001200F1" w:rsidRDefault="001200F1" w:rsidP="001200F1">
      <w:pPr>
        <w:pStyle w:val="Prrafodelista"/>
        <w:numPr>
          <w:ilvl w:val="0"/>
          <w:numId w:val="16"/>
        </w:numPr>
        <w:pBdr>
          <w:top w:val="nil"/>
          <w:left w:val="nil"/>
          <w:bottom w:val="nil"/>
          <w:right w:val="nil"/>
          <w:between w:val="nil"/>
        </w:pBdr>
        <w:jc w:val="both"/>
        <w:rPr>
          <w:rFonts w:ascii="Arial" w:eastAsia="Arial" w:hAnsi="Arial" w:cs="Arial"/>
          <w:bCs/>
        </w:rPr>
      </w:pPr>
      <w:r w:rsidRPr="001200F1">
        <w:rPr>
          <w:rFonts w:ascii="Arial" w:eastAsia="Arial" w:hAnsi="Arial" w:cs="Arial"/>
          <w:bCs/>
        </w:rPr>
        <w:t xml:space="preserve">Planeación, evaluación y control en la ejecución de proyectos </w:t>
      </w:r>
    </w:p>
    <w:p w14:paraId="634104AD" w14:textId="1E3DC647" w:rsidR="0067073A" w:rsidRPr="001200F1" w:rsidRDefault="0067073A" w:rsidP="001200F1">
      <w:pPr>
        <w:pStyle w:val="Prrafodelista"/>
        <w:numPr>
          <w:ilvl w:val="0"/>
          <w:numId w:val="15"/>
        </w:numPr>
        <w:pBdr>
          <w:top w:val="nil"/>
          <w:left w:val="nil"/>
          <w:bottom w:val="nil"/>
          <w:right w:val="nil"/>
          <w:between w:val="nil"/>
        </w:pBdr>
        <w:jc w:val="both"/>
        <w:rPr>
          <w:rFonts w:ascii="Arial" w:eastAsia="Arial" w:hAnsi="Arial" w:cs="Arial"/>
          <w:bCs/>
        </w:rPr>
      </w:pPr>
      <w:r w:rsidRPr="001200F1">
        <w:rPr>
          <w:rFonts w:ascii="Arial" w:eastAsia="Arial" w:hAnsi="Arial" w:cs="Arial"/>
          <w:bCs/>
        </w:rPr>
        <w:t xml:space="preserve">Análisis de los estados financieros </w:t>
      </w:r>
      <w:r w:rsidR="001200F1">
        <w:rPr>
          <w:rFonts w:ascii="Arial" w:eastAsia="Arial" w:hAnsi="Arial" w:cs="Arial"/>
          <w:bCs/>
        </w:rPr>
        <w:t xml:space="preserve">haciendo evaluación e identificando los posibles </w:t>
      </w:r>
      <w:r w:rsidRPr="001200F1">
        <w:rPr>
          <w:rFonts w:ascii="Arial" w:eastAsia="Arial" w:hAnsi="Arial" w:cs="Arial"/>
          <w:bCs/>
        </w:rPr>
        <w:t>los requerimientos en el corto, mediano y largo plazo.</w:t>
      </w:r>
    </w:p>
    <w:p w14:paraId="65BC0B38" w14:textId="77777777" w:rsidR="001200F1" w:rsidRDefault="0067073A" w:rsidP="001200F1">
      <w:pPr>
        <w:pStyle w:val="Prrafodelista"/>
        <w:numPr>
          <w:ilvl w:val="0"/>
          <w:numId w:val="15"/>
        </w:numPr>
        <w:pBdr>
          <w:top w:val="nil"/>
          <w:left w:val="nil"/>
          <w:bottom w:val="nil"/>
          <w:right w:val="nil"/>
          <w:between w:val="nil"/>
        </w:pBdr>
        <w:jc w:val="both"/>
        <w:rPr>
          <w:rFonts w:ascii="Arial" w:eastAsia="Arial" w:hAnsi="Arial" w:cs="Arial"/>
          <w:bCs/>
        </w:rPr>
      </w:pPr>
      <w:r w:rsidRPr="001200F1">
        <w:rPr>
          <w:rFonts w:ascii="Arial" w:eastAsia="Arial" w:hAnsi="Arial" w:cs="Arial"/>
          <w:bCs/>
        </w:rPr>
        <w:t xml:space="preserve">Evaluación y gestión de riesgos para garantizar la sostenibilidad, </w:t>
      </w:r>
      <w:r w:rsidR="001200F1">
        <w:rPr>
          <w:rFonts w:ascii="Arial" w:eastAsia="Arial" w:hAnsi="Arial" w:cs="Arial"/>
          <w:bCs/>
        </w:rPr>
        <w:t xml:space="preserve">que permitan </w:t>
      </w:r>
      <w:r w:rsidRPr="001200F1">
        <w:rPr>
          <w:rFonts w:ascii="Arial" w:eastAsia="Arial" w:hAnsi="Arial" w:cs="Arial"/>
          <w:bCs/>
        </w:rPr>
        <w:t>implementa</w:t>
      </w:r>
      <w:r w:rsidR="001200F1">
        <w:rPr>
          <w:rFonts w:ascii="Arial" w:eastAsia="Arial" w:hAnsi="Arial" w:cs="Arial"/>
          <w:bCs/>
        </w:rPr>
        <w:t xml:space="preserve">r </w:t>
      </w:r>
      <w:r w:rsidRPr="001200F1">
        <w:rPr>
          <w:rFonts w:ascii="Arial" w:eastAsia="Arial" w:hAnsi="Arial" w:cs="Arial"/>
          <w:bCs/>
        </w:rPr>
        <w:t>medidas de control y planes de mejoramiento</w:t>
      </w:r>
      <w:r w:rsidR="001200F1">
        <w:rPr>
          <w:rFonts w:ascii="Arial" w:eastAsia="Arial" w:hAnsi="Arial" w:cs="Arial"/>
          <w:bCs/>
        </w:rPr>
        <w:t xml:space="preserve"> en nuestra operación comercial.</w:t>
      </w:r>
    </w:p>
    <w:p w14:paraId="225EC757" w14:textId="3377E9E6" w:rsidR="004324CA" w:rsidRPr="001200F1" w:rsidRDefault="001200F1" w:rsidP="004324CA">
      <w:pPr>
        <w:pStyle w:val="Prrafodelista"/>
        <w:numPr>
          <w:ilvl w:val="0"/>
          <w:numId w:val="15"/>
        </w:numPr>
        <w:pBdr>
          <w:top w:val="nil"/>
          <w:left w:val="nil"/>
          <w:bottom w:val="nil"/>
          <w:right w:val="nil"/>
          <w:between w:val="nil"/>
        </w:pBdr>
        <w:jc w:val="both"/>
        <w:rPr>
          <w:rFonts w:ascii="Arial" w:eastAsia="Arial" w:hAnsi="Arial" w:cs="Arial"/>
          <w:bCs/>
        </w:rPr>
      </w:pPr>
      <w:r>
        <w:rPr>
          <w:rFonts w:ascii="Arial" w:eastAsia="Arial" w:hAnsi="Arial" w:cs="Arial"/>
          <w:bCs/>
        </w:rPr>
        <w:t>Evaluar las diferentes áreas de procesos previendo dificultades a futuro y garantizando</w:t>
      </w:r>
      <w:r w:rsidR="0067073A" w:rsidRPr="001200F1">
        <w:rPr>
          <w:rFonts w:ascii="Arial" w:eastAsia="Arial" w:hAnsi="Arial" w:cs="Arial"/>
          <w:bCs/>
        </w:rPr>
        <w:t xml:space="preserve"> a sostenibilidad de los</w:t>
      </w:r>
      <w:r>
        <w:rPr>
          <w:rFonts w:ascii="Arial" w:eastAsia="Arial" w:hAnsi="Arial" w:cs="Arial"/>
          <w:bCs/>
        </w:rPr>
        <w:t xml:space="preserve"> </w:t>
      </w:r>
      <w:r w:rsidR="0067073A" w:rsidRPr="001200F1">
        <w:rPr>
          <w:rFonts w:ascii="Arial" w:eastAsia="Arial" w:hAnsi="Arial" w:cs="Arial"/>
          <w:bCs/>
        </w:rPr>
        <w:t>proyectos.</w:t>
      </w:r>
    </w:p>
    <w:p w14:paraId="7F60AAB8" w14:textId="5355EC80" w:rsidR="00514D1D" w:rsidRPr="0067073A" w:rsidRDefault="00514D1D" w:rsidP="004324CA">
      <w:pPr>
        <w:pBdr>
          <w:top w:val="nil"/>
          <w:left w:val="nil"/>
          <w:bottom w:val="nil"/>
          <w:right w:val="nil"/>
          <w:between w:val="nil"/>
        </w:pBdr>
        <w:jc w:val="both"/>
        <w:rPr>
          <w:rFonts w:ascii="Arial" w:eastAsia="Arial" w:hAnsi="Arial" w:cs="Arial"/>
          <w:bCs/>
        </w:rPr>
      </w:pPr>
      <w:r w:rsidRPr="0067073A">
        <w:rPr>
          <w:rFonts w:ascii="Arial" w:eastAsia="Arial" w:hAnsi="Arial" w:cs="Arial"/>
          <w:bCs/>
        </w:rPr>
        <w:t xml:space="preserve"> </w:t>
      </w:r>
    </w:p>
    <w:p w14:paraId="739C5EFC" w14:textId="77777777" w:rsidR="00EA2691" w:rsidRPr="00EA2691" w:rsidRDefault="00EA2691" w:rsidP="00EA2691">
      <w:pPr>
        <w:pBdr>
          <w:top w:val="nil"/>
          <w:left w:val="nil"/>
          <w:bottom w:val="nil"/>
          <w:right w:val="nil"/>
          <w:between w:val="nil"/>
        </w:pBdr>
        <w:jc w:val="both"/>
        <w:rPr>
          <w:rFonts w:ascii="Arial" w:eastAsia="Arial" w:hAnsi="Arial" w:cs="Arial"/>
          <w:bCs/>
        </w:rPr>
      </w:pPr>
    </w:p>
    <w:sectPr w:rsidR="00EA2691" w:rsidRPr="00EA26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7D75"/>
    <w:multiLevelType w:val="hybridMultilevel"/>
    <w:tmpl w:val="C9487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1904B0"/>
    <w:multiLevelType w:val="multilevel"/>
    <w:tmpl w:val="0A98E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AB1A55"/>
    <w:multiLevelType w:val="hybridMultilevel"/>
    <w:tmpl w:val="ABB266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A3281F"/>
    <w:multiLevelType w:val="multilevel"/>
    <w:tmpl w:val="B554E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0A031E"/>
    <w:multiLevelType w:val="multilevel"/>
    <w:tmpl w:val="77764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E17767"/>
    <w:multiLevelType w:val="multilevel"/>
    <w:tmpl w:val="16541CA2"/>
    <w:lvl w:ilvl="0">
      <w:start w:val="1"/>
      <w:numFmt w:val="bullet"/>
      <w:lvlText w:val="●"/>
      <w:lvlJc w:val="left"/>
      <w:pPr>
        <w:ind w:left="1503" w:hanging="360"/>
      </w:pPr>
      <w:rPr>
        <w:rFonts w:ascii="Noto Sans Symbols" w:eastAsia="Noto Sans Symbols" w:hAnsi="Noto Sans Symbols" w:cs="Noto Sans Symbols"/>
      </w:rPr>
    </w:lvl>
    <w:lvl w:ilvl="1">
      <w:start w:val="1"/>
      <w:numFmt w:val="bullet"/>
      <w:lvlText w:val="o"/>
      <w:lvlJc w:val="left"/>
      <w:pPr>
        <w:ind w:left="2223" w:hanging="360"/>
      </w:pPr>
      <w:rPr>
        <w:rFonts w:ascii="Courier New" w:eastAsia="Courier New" w:hAnsi="Courier New" w:cs="Courier New"/>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663" w:hanging="360"/>
      </w:pPr>
      <w:rPr>
        <w:rFonts w:ascii="Noto Sans Symbols" w:eastAsia="Noto Sans Symbols" w:hAnsi="Noto Sans Symbols" w:cs="Noto Sans Symbols"/>
      </w:rPr>
    </w:lvl>
    <w:lvl w:ilvl="4">
      <w:start w:val="1"/>
      <w:numFmt w:val="bullet"/>
      <w:lvlText w:val="o"/>
      <w:lvlJc w:val="left"/>
      <w:pPr>
        <w:ind w:left="4383" w:hanging="360"/>
      </w:pPr>
      <w:rPr>
        <w:rFonts w:ascii="Courier New" w:eastAsia="Courier New" w:hAnsi="Courier New" w:cs="Courier New"/>
      </w:rPr>
    </w:lvl>
    <w:lvl w:ilvl="5">
      <w:start w:val="1"/>
      <w:numFmt w:val="bullet"/>
      <w:lvlText w:val="▪"/>
      <w:lvlJc w:val="left"/>
      <w:pPr>
        <w:ind w:left="5103" w:hanging="360"/>
      </w:pPr>
      <w:rPr>
        <w:rFonts w:ascii="Noto Sans Symbols" w:eastAsia="Noto Sans Symbols" w:hAnsi="Noto Sans Symbols" w:cs="Noto Sans Symbols"/>
      </w:rPr>
    </w:lvl>
    <w:lvl w:ilvl="6">
      <w:start w:val="1"/>
      <w:numFmt w:val="bullet"/>
      <w:lvlText w:val="●"/>
      <w:lvlJc w:val="left"/>
      <w:pPr>
        <w:ind w:left="5823" w:hanging="360"/>
      </w:pPr>
      <w:rPr>
        <w:rFonts w:ascii="Noto Sans Symbols" w:eastAsia="Noto Sans Symbols" w:hAnsi="Noto Sans Symbols" w:cs="Noto Sans Symbols"/>
      </w:rPr>
    </w:lvl>
    <w:lvl w:ilvl="7">
      <w:start w:val="1"/>
      <w:numFmt w:val="bullet"/>
      <w:lvlText w:val="o"/>
      <w:lvlJc w:val="left"/>
      <w:pPr>
        <w:ind w:left="6543" w:hanging="360"/>
      </w:pPr>
      <w:rPr>
        <w:rFonts w:ascii="Courier New" w:eastAsia="Courier New" w:hAnsi="Courier New" w:cs="Courier New"/>
      </w:rPr>
    </w:lvl>
    <w:lvl w:ilvl="8">
      <w:start w:val="1"/>
      <w:numFmt w:val="bullet"/>
      <w:lvlText w:val="▪"/>
      <w:lvlJc w:val="left"/>
      <w:pPr>
        <w:ind w:left="7263" w:hanging="360"/>
      </w:pPr>
      <w:rPr>
        <w:rFonts w:ascii="Noto Sans Symbols" w:eastAsia="Noto Sans Symbols" w:hAnsi="Noto Sans Symbols" w:cs="Noto Sans Symbols"/>
      </w:rPr>
    </w:lvl>
  </w:abstractNum>
  <w:abstractNum w:abstractNumId="6" w15:restartNumberingAfterBreak="0">
    <w:nsid w:val="35C86500"/>
    <w:multiLevelType w:val="multilevel"/>
    <w:tmpl w:val="F9F281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FF20AA"/>
    <w:multiLevelType w:val="hybridMultilevel"/>
    <w:tmpl w:val="BC465F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E2E2E15"/>
    <w:multiLevelType w:val="multilevel"/>
    <w:tmpl w:val="BB8ED0DA"/>
    <w:lvl w:ilvl="0">
      <w:start w:val="1"/>
      <w:numFmt w:val="decimal"/>
      <w:lvlText w:val="%1."/>
      <w:lvlJc w:val="left"/>
      <w:pPr>
        <w:ind w:left="1211" w:hanging="360"/>
      </w:pPr>
      <w:rPr>
        <w:rFonts w:hint="default"/>
      </w:rPr>
    </w:lvl>
    <w:lvl w:ilvl="1">
      <w:start w:val="1"/>
      <w:numFmt w:val="decimal"/>
      <w:isLgl/>
      <w:lvlText w:val="%1.%2"/>
      <w:lvlJc w:val="left"/>
      <w:pPr>
        <w:ind w:left="990" w:hanging="63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9" w15:restartNumberingAfterBreak="0">
    <w:nsid w:val="48442629"/>
    <w:multiLevelType w:val="multilevel"/>
    <w:tmpl w:val="5D109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6A14FA"/>
    <w:multiLevelType w:val="hybridMultilevel"/>
    <w:tmpl w:val="5750E9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6126D3"/>
    <w:multiLevelType w:val="multilevel"/>
    <w:tmpl w:val="62F6F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911410"/>
    <w:multiLevelType w:val="hybridMultilevel"/>
    <w:tmpl w:val="CE8A1E7E"/>
    <w:lvl w:ilvl="0" w:tplc="D0AE45CA">
      <w:start w:val="2"/>
      <w:numFmt w:val="upperRoman"/>
      <w:lvlText w:val="%1."/>
      <w:lvlJc w:val="left"/>
      <w:pPr>
        <w:ind w:left="1571" w:hanging="7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3" w15:restartNumberingAfterBreak="0">
    <w:nsid w:val="6A074A84"/>
    <w:multiLevelType w:val="multilevel"/>
    <w:tmpl w:val="00E47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BB217F"/>
    <w:multiLevelType w:val="hybridMultilevel"/>
    <w:tmpl w:val="1D5815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20C197C"/>
    <w:multiLevelType w:val="hybridMultilevel"/>
    <w:tmpl w:val="9E70A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11465979">
    <w:abstractNumId w:val="9"/>
  </w:num>
  <w:num w:numId="2" w16cid:durableId="1732578987">
    <w:abstractNumId w:val="11"/>
  </w:num>
  <w:num w:numId="3" w16cid:durableId="2009746877">
    <w:abstractNumId w:val="13"/>
  </w:num>
  <w:num w:numId="4" w16cid:durableId="1172522361">
    <w:abstractNumId w:val="3"/>
  </w:num>
  <w:num w:numId="5" w16cid:durableId="501623009">
    <w:abstractNumId w:val="1"/>
  </w:num>
  <w:num w:numId="6" w16cid:durableId="1259824738">
    <w:abstractNumId w:val="4"/>
  </w:num>
  <w:num w:numId="7" w16cid:durableId="111025018">
    <w:abstractNumId w:val="2"/>
  </w:num>
  <w:num w:numId="8" w16cid:durableId="1754860386">
    <w:abstractNumId w:val="8"/>
  </w:num>
  <w:num w:numId="9" w16cid:durableId="1791781567">
    <w:abstractNumId w:val="5"/>
  </w:num>
  <w:num w:numId="10" w16cid:durableId="1855342417">
    <w:abstractNumId w:val="6"/>
  </w:num>
  <w:num w:numId="11" w16cid:durableId="1808813907">
    <w:abstractNumId w:val="12"/>
  </w:num>
  <w:num w:numId="12" w16cid:durableId="110056834">
    <w:abstractNumId w:val="10"/>
  </w:num>
  <w:num w:numId="13" w16cid:durableId="305160951">
    <w:abstractNumId w:val="14"/>
  </w:num>
  <w:num w:numId="14" w16cid:durableId="915476675">
    <w:abstractNumId w:val="7"/>
  </w:num>
  <w:num w:numId="15" w16cid:durableId="1795175927">
    <w:abstractNumId w:val="0"/>
  </w:num>
  <w:num w:numId="16" w16cid:durableId="13180257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19"/>
    <w:rsid w:val="000F220B"/>
    <w:rsid w:val="001200F1"/>
    <w:rsid w:val="00167779"/>
    <w:rsid w:val="001B5D08"/>
    <w:rsid w:val="001C69A5"/>
    <w:rsid w:val="001F33D5"/>
    <w:rsid w:val="00232C53"/>
    <w:rsid w:val="00250819"/>
    <w:rsid w:val="002E53D6"/>
    <w:rsid w:val="00396BC6"/>
    <w:rsid w:val="003A61B7"/>
    <w:rsid w:val="00413ABE"/>
    <w:rsid w:val="004324CA"/>
    <w:rsid w:val="004A69A6"/>
    <w:rsid w:val="00514D1D"/>
    <w:rsid w:val="0067073A"/>
    <w:rsid w:val="00843586"/>
    <w:rsid w:val="00993ED2"/>
    <w:rsid w:val="009C75D4"/>
    <w:rsid w:val="00A1264C"/>
    <w:rsid w:val="00CA33EE"/>
    <w:rsid w:val="00CE7C86"/>
    <w:rsid w:val="00CF106C"/>
    <w:rsid w:val="00CF610A"/>
    <w:rsid w:val="00D45F1B"/>
    <w:rsid w:val="00D876D7"/>
    <w:rsid w:val="00DB0888"/>
    <w:rsid w:val="00E730D3"/>
    <w:rsid w:val="00EA2691"/>
    <w:rsid w:val="00F33038"/>
    <w:rsid w:val="00F71077"/>
    <w:rsid w:val="00FF3B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BD3C"/>
  <w15:chartTrackingRefBased/>
  <w15:docId w15:val="{BE48DE4D-E34B-4FBA-ABFD-752FABBD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19"/>
    <w:pPr>
      <w:widowControl w:val="0"/>
      <w:spacing w:after="0" w:line="240" w:lineRule="auto"/>
    </w:pPr>
    <w:rPr>
      <w:rFonts w:ascii="Courier New" w:eastAsia="Courier New" w:hAnsi="Courier New" w:cs="Courier New"/>
      <w:kern w:val="0"/>
      <w:sz w:val="24"/>
      <w:szCs w:val="24"/>
      <w:lang w:eastAsia="es-CO"/>
      <w14:ligatures w14:val="none"/>
    </w:rPr>
  </w:style>
  <w:style w:type="paragraph" w:styleId="Ttulo1">
    <w:name w:val="heading 1"/>
    <w:basedOn w:val="Normal"/>
    <w:next w:val="Normal"/>
    <w:link w:val="Ttulo1Car"/>
    <w:uiPriority w:val="9"/>
    <w:qFormat/>
    <w:rsid w:val="009C75D4"/>
    <w:pPr>
      <w:keepNext/>
      <w:tabs>
        <w:tab w:val="center" w:pos="4420"/>
      </w:tabs>
      <w:jc w:val="both"/>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819"/>
    <w:pPr>
      <w:ind w:left="720"/>
      <w:contextualSpacing/>
    </w:pPr>
  </w:style>
  <w:style w:type="character" w:customStyle="1" w:styleId="Ttulo1Car">
    <w:name w:val="Título 1 Car"/>
    <w:basedOn w:val="Fuentedeprrafopredeter"/>
    <w:link w:val="Ttulo1"/>
    <w:uiPriority w:val="9"/>
    <w:rsid w:val="009C75D4"/>
    <w:rPr>
      <w:rFonts w:ascii="Courier New" w:eastAsia="Courier New" w:hAnsi="Courier New" w:cs="Courier New"/>
      <w:b/>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39176">
      <w:bodyDiv w:val="1"/>
      <w:marLeft w:val="0"/>
      <w:marRight w:val="0"/>
      <w:marTop w:val="0"/>
      <w:marBottom w:val="0"/>
      <w:divBdr>
        <w:top w:val="none" w:sz="0" w:space="0" w:color="auto"/>
        <w:left w:val="none" w:sz="0" w:space="0" w:color="auto"/>
        <w:bottom w:val="none" w:sz="0" w:space="0" w:color="auto"/>
        <w:right w:val="none" w:sz="0" w:space="0" w:color="auto"/>
      </w:divBdr>
    </w:div>
    <w:div w:id="658970089">
      <w:bodyDiv w:val="1"/>
      <w:marLeft w:val="0"/>
      <w:marRight w:val="0"/>
      <w:marTop w:val="0"/>
      <w:marBottom w:val="0"/>
      <w:divBdr>
        <w:top w:val="none" w:sz="0" w:space="0" w:color="auto"/>
        <w:left w:val="none" w:sz="0" w:space="0" w:color="auto"/>
        <w:bottom w:val="none" w:sz="0" w:space="0" w:color="auto"/>
        <w:right w:val="none" w:sz="0" w:space="0" w:color="auto"/>
      </w:divBdr>
    </w:div>
    <w:div w:id="1014725285">
      <w:bodyDiv w:val="1"/>
      <w:marLeft w:val="0"/>
      <w:marRight w:val="0"/>
      <w:marTop w:val="0"/>
      <w:marBottom w:val="0"/>
      <w:divBdr>
        <w:top w:val="none" w:sz="0" w:space="0" w:color="auto"/>
        <w:left w:val="none" w:sz="0" w:space="0" w:color="auto"/>
        <w:bottom w:val="none" w:sz="0" w:space="0" w:color="auto"/>
        <w:right w:val="none" w:sz="0" w:space="0" w:color="auto"/>
      </w:divBdr>
    </w:div>
    <w:div w:id="1477382739">
      <w:bodyDiv w:val="1"/>
      <w:marLeft w:val="0"/>
      <w:marRight w:val="0"/>
      <w:marTop w:val="0"/>
      <w:marBottom w:val="0"/>
      <w:divBdr>
        <w:top w:val="none" w:sz="0" w:space="0" w:color="auto"/>
        <w:left w:val="none" w:sz="0" w:space="0" w:color="auto"/>
        <w:bottom w:val="none" w:sz="0" w:space="0" w:color="auto"/>
        <w:right w:val="none" w:sz="0" w:space="0" w:color="auto"/>
      </w:divBdr>
    </w:div>
    <w:div w:id="1542664381">
      <w:bodyDiv w:val="1"/>
      <w:marLeft w:val="0"/>
      <w:marRight w:val="0"/>
      <w:marTop w:val="0"/>
      <w:marBottom w:val="0"/>
      <w:divBdr>
        <w:top w:val="none" w:sz="0" w:space="0" w:color="auto"/>
        <w:left w:val="none" w:sz="0" w:space="0" w:color="auto"/>
        <w:bottom w:val="none" w:sz="0" w:space="0" w:color="auto"/>
        <w:right w:val="none" w:sz="0" w:space="0" w:color="auto"/>
      </w:divBdr>
    </w:div>
    <w:div w:id="1869445105">
      <w:bodyDiv w:val="1"/>
      <w:marLeft w:val="0"/>
      <w:marRight w:val="0"/>
      <w:marTop w:val="0"/>
      <w:marBottom w:val="0"/>
      <w:divBdr>
        <w:top w:val="none" w:sz="0" w:space="0" w:color="auto"/>
        <w:left w:val="none" w:sz="0" w:space="0" w:color="auto"/>
        <w:bottom w:val="none" w:sz="0" w:space="0" w:color="auto"/>
        <w:right w:val="none" w:sz="0" w:space="0" w:color="auto"/>
      </w:divBdr>
    </w:div>
    <w:div w:id="19754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11806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carrascal</dc:creator>
  <cp:keywords/>
  <dc:description/>
  <cp:lastModifiedBy>Yamile  González</cp:lastModifiedBy>
  <cp:revision>2</cp:revision>
  <dcterms:created xsi:type="dcterms:W3CDTF">2024-04-30T15:27:00Z</dcterms:created>
  <dcterms:modified xsi:type="dcterms:W3CDTF">2024-04-30T15:27:00Z</dcterms:modified>
</cp:coreProperties>
</file>