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C0" w:rsidRPr="00BE3B49" w:rsidRDefault="00340B5C" w:rsidP="00AF2562">
      <w:pPr>
        <w:pBdr>
          <w:top w:val="nil"/>
          <w:left w:val="nil"/>
          <w:bottom w:val="nil"/>
          <w:right w:val="nil"/>
          <w:between w:val="nil"/>
        </w:pBdr>
        <w:spacing w:before="134"/>
        <w:ind w:left="4755"/>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Bogotá, D.C., </w:t>
      </w:r>
      <w:r w:rsidR="00BE3B49" w:rsidRPr="00BE3B49">
        <w:rPr>
          <w:rFonts w:ascii="Times New Roman" w:hAnsi="Times New Roman" w:cs="Times New Roman"/>
          <w:color w:val="000000"/>
          <w:sz w:val="24"/>
          <w:szCs w:val="24"/>
        </w:rPr>
        <w:t>noviembre</w:t>
      </w:r>
      <w:r w:rsidRPr="00BE3B49">
        <w:rPr>
          <w:rFonts w:ascii="Times New Roman" w:hAnsi="Times New Roman" w:cs="Times New Roman"/>
          <w:color w:val="000000"/>
          <w:sz w:val="24"/>
          <w:szCs w:val="24"/>
        </w:rPr>
        <w:t xml:space="preserve"> de 2023</w:t>
      </w:r>
    </w:p>
    <w:p w:rsidR="00BB2AC0" w:rsidRPr="00BE3B49" w:rsidRDefault="00340B5C">
      <w:pPr>
        <w:pBdr>
          <w:top w:val="nil"/>
          <w:left w:val="nil"/>
          <w:bottom w:val="nil"/>
          <w:right w:val="nil"/>
          <w:between w:val="nil"/>
        </w:pBdr>
        <w:spacing w:before="92"/>
        <w:ind w:left="122"/>
        <w:rPr>
          <w:rFonts w:ascii="Times New Roman" w:hAnsi="Times New Roman" w:cs="Times New Roman"/>
          <w:color w:val="000000"/>
          <w:sz w:val="24"/>
          <w:szCs w:val="24"/>
        </w:rPr>
      </w:pPr>
      <w:r w:rsidRPr="00BE3B49">
        <w:rPr>
          <w:rFonts w:ascii="Times New Roman" w:hAnsi="Times New Roman" w:cs="Times New Roman"/>
          <w:color w:val="000000"/>
          <w:sz w:val="24"/>
          <w:szCs w:val="24"/>
        </w:rPr>
        <w:t>Señor</w:t>
      </w:r>
    </w:p>
    <w:p w:rsidR="00BB2AC0" w:rsidRPr="00BE3B49" w:rsidRDefault="00BB2AC0">
      <w:pPr>
        <w:pBdr>
          <w:top w:val="nil"/>
          <w:left w:val="nil"/>
          <w:bottom w:val="nil"/>
          <w:right w:val="nil"/>
          <w:between w:val="nil"/>
        </w:pBdr>
        <w:spacing w:before="92"/>
        <w:ind w:left="122"/>
        <w:rPr>
          <w:rFonts w:ascii="Times New Roman" w:hAnsi="Times New Roman" w:cs="Times New Roman"/>
          <w:sz w:val="24"/>
          <w:szCs w:val="24"/>
        </w:rPr>
      </w:pPr>
    </w:p>
    <w:p w:rsidR="00BB2AC0" w:rsidRPr="00BE3B49" w:rsidRDefault="00340B5C">
      <w:pPr>
        <w:ind w:left="122"/>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JAIME LUIS LACOUTURE PEÑALOZA</w:t>
      </w:r>
    </w:p>
    <w:p w:rsidR="00BB2AC0" w:rsidRPr="00BE3B49" w:rsidRDefault="00340B5C" w:rsidP="00340B5C">
      <w:pPr>
        <w:pStyle w:val="Ttulo1"/>
        <w:ind w:left="122" w:firstLine="0"/>
        <w:jc w:val="both"/>
        <w:rPr>
          <w:rFonts w:ascii="Times New Roman" w:hAnsi="Times New Roman" w:cs="Times New Roman"/>
        </w:rPr>
      </w:pPr>
      <w:r w:rsidRPr="00BE3B49">
        <w:rPr>
          <w:rFonts w:ascii="Times New Roman" w:hAnsi="Times New Roman" w:cs="Times New Roman"/>
        </w:rPr>
        <w:t>Secretario General H. Cámara de Representantes</w:t>
      </w:r>
    </w:p>
    <w:p w:rsidR="00BB2AC0" w:rsidRPr="00BE3B49" w:rsidRDefault="00BB2AC0">
      <w:pPr>
        <w:pBdr>
          <w:top w:val="nil"/>
          <w:left w:val="nil"/>
          <w:bottom w:val="nil"/>
          <w:right w:val="nil"/>
          <w:between w:val="nil"/>
        </w:pBdr>
        <w:spacing w:before="9"/>
        <w:rPr>
          <w:rFonts w:ascii="Times New Roman" w:eastAsia="Arial" w:hAnsi="Times New Roman" w:cs="Times New Roman"/>
          <w:b/>
          <w:color w:val="000000"/>
          <w:sz w:val="24"/>
          <w:szCs w:val="24"/>
        </w:rPr>
      </w:pPr>
    </w:p>
    <w:p w:rsidR="00BB2AC0" w:rsidRPr="00BE3B49" w:rsidRDefault="00340B5C" w:rsidP="00340B5C">
      <w:pPr>
        <w:spacing w:line="360" w:lineRule="auto"/>
        <w:ind w:left="122" w:right="117"/>
        <w:jc w:val="both"/>
        <w:rPr>
          <w:rFonts w:ascii="Times New Roman" w:eastAsia="Arial" w:hAnsi="Times New Roman" w:cs="Times New Roman"/>
          <w:b/>
          <w:i/>
          <w:sz w:val="24"/>
          <w:szCs w:val="24"/>
        </w:rPr>
      </w:pPr>
      <w:r w:rsidRPr="00BE3B49">
        <w:rPr>
          <w:rFonts w:ascii="Times New Roman" w:hAnsi="Times New Roman" w:cs="Times New Roman"/>
          <w:sz w:val="24"/>
          <w:szCs w:val="24"/>
        </w:rPr>
        <w:t xml:space="preserve">Por medio del presente documento procedo a radicar ante su despacho proyecto de ley </w:t>
      </w:r>
      <w:r w:rsidRPr="00BE3B49">
        <w:rPr>
          <w:rFonts w:ascii="Times New Roman" w:eastAsia="Arial" w:hAnsi="Times New Roman" w:cs="Times New Roman"/>
          <w:b/>
          <w:i/>
          <w:sz w:val="24"/>
          <w:szCs w:val="24"/>
        </w:rPr>
        <w:t>“Por medio de la cual se modifica la ley 136 de 1994 en la búsqueda de una transformación territorial equitativa en Colombia con enfoque social y se dictan otras disposiciones”</w:t>
      </w:r>
      <w:r w:rsidRPr="00BE3B49">
        <w:rPr>
          <w:rFonts w:ascii="Times New Roman" w:hAnsi="Times New Roman" w:cs="Times New Roman"/>
          <w:noProof/>
          <w:sz w:val="24"/>
          <w:szCs w:val="24"/>
          <w:lang w:val="es-CO"/>
        </w:rPr>
        <mc:AlternateContent>
          <mc:Choice Requires="wps">
            <w:drawing>
              <wp:anchor distT="0" distB="0" distL="114300" distR="114300" simplePos="0" relativeHeight="251658240" behindDoc="1" locked="0" layoutInCell="1" hidden="0" allowOverlap="1" wp14:anchorId="4AE63409" wp14:editId="7C671156">
                <wp:simplePos x="0" y="0"/>
                <wp:positionH relativeFrom="column">
                  <wp:posOffset>177800</wp:posOffset>
                </wp:positionH>
                <wp:positionV relativeFrom="paragraph">
                  <wp:posOffset>520700</wp:posOffset>
                </wp:positionV>
                <wp:extent cx="5410200" cy="186055"/>
                <wp:effectExtent l="0" t="0" r="0" b="0"/>
                <wp:wrapNone/>
                <wp:docPr id="48" name="Rectángulo 48"/>
                <wp:cNvGraphicFramePr/>
                <a:graphic xmlns:a="http://schemas.openxmlformats.org/drawingml/2006/main">
                  <a:graphicData uri="http://schemas.microsoft.com/office/word/2010/wordprocessingShape">
                    <wps:wsp>
                      <wps:cNvSpPr/>
                      <wps:spPr>
                        <a:xfrm>
                          <a:off x="3648963" y="3691735"/>
                          <a:ext cx="5400675" cy="176530"/>
                        </a:xfrm>
                        <a:prstGeom prst="rect">
                          <a:avLst/>
                        </a:prstGeom>
                        <a:solidFill>
                          <a:srgbClr val="FFFFFF"/>
                        </a:solidFill>
                        <a:ln>
                          <a:noFill/>
                        </a:ln>
                      </wps:spPr>
                      <wps:txbx>
                        <w:txbxContent>
                          <w:p w:rsidR="00340B5C" w:rsidRDefault="00340B5C">
                            <w:pPr>
                              <w:textDirection w:val="btLr"/>
                            </w:pPr>
                          </w:p>
                        </w:txbxContent>
                      </wps:txbx>
                      <wps:bodyPr spcFirstLastPara="1" wrap="square" lIns="91425" tIns="91425" rIns="91425" bIns="91425" anchor="ctr" anchorCtr="0">
                        <a:noAutofit/>
                      </wps:bodyPr>
                    </wps:wsp>
                  </a:graphicData>
                </a:graphic>
              </wp:anchor>
            </w:drawing>
          </mc:Choice>
          <mc:Fallback>
            <w:pict>
              <v:rect w14:anchorId="4AE63409" id="Rectángulo 48" o:spid="_x0000_s1026" style="position:absolute;left:0;text-align:left;margin-left:14pt;margin-top:41pt;width:426pt;height:1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" stroked="f">
                <v:textbox inset="2.53958mm,2.53958mm,2.53958mm,2.53958mm">
                  <w:txbxContent>
                    <w:p w:rsidR="00340B5C" w:rsidRDefault="00340B5C">
                      <w:pPr>
                        <w:textDirection w:val="btLr"/>
                      </w:pPr>
                    </w:p>
                  </w:txbxContent>
                </v:textbox>
              </v:rect>
            </w:pict>
          </mc:Fallback>
        </mc:AlternateContent>
      </w:r>
      <w:r w:rsidRPr="00BE3B49">
        <w:rPr>
          <w:rFonts w:ascii="Times New Roman" w:hAnsi="Times New Roman" w:cs="Times New Roman"/>
          <w:noProof/>
          <w:sz w:val="24"/>
          <w:szCs w:val="24"/>
          <w:lang w:val="es-CO"/>
        </w:rPr>
        <mc:AlternateContent>
          <mc:Choice Requires="wps">
            <w:drawing>
              <wp:anchor distT="0" distB="0" distL="114300" distR="114300" simplePos="0" relativeHeight="251659264" behindDoc="1" locked="0" layoutInCell="1" hidden="0" allowOverlap="1" wp14:anchorId="191108CE" wp14:editId="3D8B845A">
                <wp:simplePos x="0" y="0"/>
                <wp:positionH relativeFrom="column">
                  <wp:posOffset>635000</wp:posOffset>
                </wp:positionH>
                <wp:positionV relativeFrom="paragraph">
                  <wp:posOffset>254000</wp:posOffset>
                </wp:positionV>
                <wp:extent cx="4954270" cy="184785"/>
                <wp:effectExtent l="0" t="0" r="0" b="0"/>
                <wp:wrapNone/>
                <wp:docPr id="49" name="Rectángulo 49"/>
                <wp:cNvGraphicFramePr/>
                <a:graphic xmlns:a="http://schemas.openxmlformats.org/drawingml/2006/main">
                  <a:graphicData uri="http://schemas.microsoft.com/office/word/2010/wordprocessingShape">
                    <wps:wsp>
                      <wps:cNvSpPr/>
                      <wps:spPr>
                        <a:xfrm>
                          <a:off x="3876928" y="3692370"/>
                          <a:ext cx="4944745" cy="175260"/>
                        </a:xfrm>
                        <a:prstGeom prst="rect">
                          <a:avLst/>
                        </a:prstGeom>
                        <a:solidFill>
                          <a:srgbClr val="FFFFFF"/>
                        </a:solidFill>
                        <a:ln>
                          <a:noFill/>
                        </a:ln>
                      </wps:spPr>
                      <wps:txbx>
                        <w:txbxContent>
                          <w:p w:rsidR="00340B5C" w:rsidRDefault="00340B5C">
                            <w:pPr>
                              <w:textDirection w:val="btLr"/>
                            </w:pPr>
                          </w:p>
                        </w:txbxContent>
                      </wps:txbx>
                      <wps:bodyPr spcFirstLastPara="1" wrap="square" lIns="91425" tIns="91425" rIns="91425" bIns="91425" anchor="ctr" anchorCtr="0">
                        <a:noAutofit/>
                      </wps:bodyPr>
                    </wps:wsp>
                  </a:graphicData>
                </a:graphic>
              </wp:anchor>
            </w:drawing>
          </mc:Choice>
          <mc:Fallback>
            <w:pict>
              <v:rect w14:anchorId="191108CE" id="Rectángulo 49" o:spid="_x0000_s1027" style="position:absolute;left:0;text-align:left;margin-left:50pt;margin-top:20pt;width:390.1pt;height:14.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" stroked="f">
                <v:textbox inset="2.53958mm,2.53958mm,2.53958mm,2.53958mm">
                  <w:txbxContent>
                    <w:p w:rsidR="00340B5C" w:rsidRDefault="00340B5C">
                      <w:pPr>
                        <w:textDirection w:val="btLr"/>
                      </w:pPr>
                    </w:p>
                  </w:txbxContent>
                </v:textbox>
              </v:rect>
            </w:pict>
          </mc:Fallback>
        </mc:AlternateContent>
      </w:r>
    </w:p>
    <w:p w:rsidR="00BB2AC0" w:rsidRPr="00BE3B49" w:rsidRDefault="00340B5C">
      <w:pPr>
        <w:pBdr>
          <w:top w:val="nil"/>
          <w:left w:val="nil"/>
          <w:bottom w:val="nil"/>
          <w:right w:val="nil"/>
          <w:between w:val="nil"/>
        </w:pBdr>
        <w:ind w:left="122"/>
        <w:rPr>
          <w:rFonts w:ascii="Times New Roman" w:hAnsi="Times New Roman" w:cs="Times New Roman"/>
          <w:color w:val="000000"/>
          <w:sz w:val="24"/>
          <w:szCs w:val="24"/>
        </w:rPr>
      </w:pPr>
      <w:r w:rsidRPr="00BE3B49">
        <w:rPr>
          <w:rFonts w:ascii="Times New Roman" w:hAnsi="Times New Roman" w:cs="Times New Roman"/>
          <w:color w:val="000000"/>
          <w:sz w:val="24"/>
          <w:szCs w:val="24"/>
        </w:rPr>
        <w:t>Cordialmente.</w:t>
      </w:r>
    </w:p>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b/>
          <w:sz w:val="24"/>
          <w:szCs w:val="24"/>
        </w:rPr>
      </w:pPr>
    </w:p>
    <w:p w:rsidR="00AF2562" w:rsidRPr="00BE3B49" w:rsidRDefault="00AF2562" w:rsidP="00AF2562">
      <w:pPr>
        <w:widowControl/>
        <w:jc w:val="center"/>
        <w:rPr>
          <w:rFonts w:ascii="Times New Roman" w:eastAsia="Times New Roman" w:hAnsi="Times New Roman" w:cs="Times New Roman"/>
          <w:sz w:val="24"/>
          <w:szCs w:val="24"/>
        </w:rPr>
      </w:pPr>
      <w:r w:rsidRPr="00BE3B49">
        <w:rPr>
          <w:rFonts w:ascii="Times New Roman" w:eastAsia="Times New Roman" w:hAnsi="Times New Roman" w:cs="Times New Roman"/>
          <w:b/>
          <w:sz w:val="24"/>
          <w:szCs w:val="24"/>
        </w:rPr>
        <w:t>ANDRÉS DAVID CALLE AGUA</w:t>
      </w:r>
      <w:r w:rsidRPr="00BE3B49">
        <w:rPr>
          <w:rFonts w:ascii="Times New Roman" w:eastAsia="Times New Roman" w:hAnsi="Times New Roman" w:cs="Times New Roman"/>
          <w:sz w:val="24"/>
          <w:szCs w:val="24"/>
        </w:rPr>
        <w:t>S</w:t>
      </w:r>
    </w:p>
    <w:p w:rsidR="00AF2562" w:rsidRPr="00BE3B49" w:rsidRDefault="00AF2562" w:rsidP="00AF2562">
      <w:pPr>
        <w:widowControl/>
        <w:jc w:val="center"/>
        <w:rPr>
          <w:rFonts w:ascii="Times New Roman" w:eastAsia="Times New Roman" w:hAnsi="Times New Roman" w:cs="Times New Roman"/>
          <w:sz w:val="24"/>
          <w:szCs w:val="24"/>
        </w:rPr>
      </w:pPr>
      <w:r w:rsidRPr="00BE3B49">
        <w:rPr>
          <w:rFonts w:ascii="Times New Roman" w:eastAsia="Times New Roman" w:hAnsi="Times New Roman" w:cs="Times New Roman"/>
          <w:sz w:val="24"/>
          <w:szCs w:val="24"/>
        </w:rPr>
        <w:t>H.R. Dpto. Córdoba</w:t>
      </w:r>
    </w:p>
    <w:p w:rsidR="00BB2AC0" w:rsidRPr="00BE3B49" w:rsidRDefault="00AF2562" w:rsidP="00AF2562">
      <w:pPr>
        <w:jc w:val="center"/>
        <w:rPr>
          <w:rFonts w:ascii="Times New Roman" w:eastAsia="Arial" w:hAnsi="Times New Roman" w:cs="Times New Roman"/>
          <w:sz w:val="24"/>
          <w:szCs w:val="24"/>
        </w:rPr>
        <w:sectPr w:rsidR="00BB2AC0" w:rsidRPr="00BE3B49">
          <w:headerReference w:type="default" r:id="rId8"/>
          <w:footerReference w:type="default" r:id="rId9"/>
          <w:pgSz w:w="11910" w:h="16840"/>
          <w:pgMar w:top="1820" w:right="1580" w:bottom="1380" w:left="1580" w:header="714" w:footer="1184" w:gutter="0"/>
          <w:pgNumType w:start="1"/>
          <w:cols w:space="720"/>
        </w:sectPr>
      </w:pPr>
      <w:r w:rsidRPr="00BE3B49">
        <w:rPr>
          <w:rFonts w:ascii="Times New Roman" w:eastAsia="Times New Roman" w:hAnsi="Times New Roman" w:cs="Times New Roman"/>
          <w:sz w:val="24"/>
          <w:szCs w:val="24"/>
        </w:rPr>
        <w:t>Partido Liberal Colombiano</w:t>
      </w:r>
    </w:p>
    <w:p w:rsidR="00BB2AC0" w:rsidRPr="00BE3B49" w:rsidRDefault="00340B5C">
      <w:pPr>
        <w:pStyle w:val="Ttulo1"/>
        <w:spacing w:before="134"/>
        <w:ind w:left="2230" w:right="2230" w:firstLine="0"/>
        <w:jc w:val="center"/>
        <w:rPr>
          <w:rFonts w:ascii="Times New Roman" w:hAnsi="Times New Roman" w:cs="Times New Roman"/>
        </w:rPr>
      </w:pPr>
      <w:r w:rsidRPr="00BE3B49">
        <w:rPr>
          <w:rFonts w:ascii="Times New Roman" w:hAnsi="Times New Roman" w:cs="Times New Roman"/>
        </w:rPr>
        <w:lastRenderedPageBreak/>
        <w:t>FUNDAMENTACIÓN DEL PROYECTO</w:t>
      </w:r>
    </w:p>
    <w:p w:rsidR="00BB2AC0" w:rsidRPr="00BE3B49" w:rsidRDefault="00BB2AC0">
      <w:pPr>
        <w:pBdr>
          <w:top w:val="nil"/>
          <w:left w:val="nil"/>
          <w:bottom w:val="nil"/>
          <w:right w:val="nil"/>
          <w:between w:val="nil"/>
        </w:pBdr>
        <w:spacing w:before="1"/>
        <w:rPr>
          <w:rFonts w:ascii="Times New Roman" w:eastAsia="Arial" w:hAnsi="Times New Roman" w:cs="Times New Roman"/>
          <w:b/>
          <w:color w:val="000000"/>
          <w:sz w:val="24"/>
          <w:szCs w:val="24"/>
        </w:rPr>
      </w:pPr>
    </w:p>
    <w:p w:rsidR="00BB2AC0" w:rsidRPr="00BE3B49" w:rsidRDefault="00340B5C">
      <w:pPr>
        <w:numPr>
          <w:ilvl w:val="0"/>
          <w:numId w:val="1"/>
        </w:numPr>
        <w:pBdr>
          <w:top w:val="nil"/>
          <w:left w:val="nil"/>
          <w:bottom w:val="nil"/>
          <w:right w:val="nil"/>
          <w:between w:val="nil"/>
        </w:pBdr>
        <w:tabs>
          <w:tab w:val="left" w:pos="842"/>
        </w:tabs>
        <w:spacing w:line="360" w:lineRule="auto"/>
        <w:ind w:left="841" w:right="118"/>
        <w:rPr>
          <w:rFonts w:ascii="Times New Roman" w:eastAsia="Arial" w:hAnsi="Times New Roman" w:cs="Times New Roman"/>
          <w:b/>
          <w:color w:val="000000"/>
          <w:sz w:val="24"/>
          <w:szCs w:val="24"/>
        </w:rPr>
      </w:pPr>
      <w:r w:rsidRPr="00BE3B49">
        <w:rPr>
          <w:rFonts w:ascii="Times New Roman" w:eastAsia="Arial" w:hAnsi="Times New Roman" w:cs="Times New Roman"/>
          <w:b/>
          <w:color w:val="000000"/>
          <w:sz w:val="24"/>
          <w:szCs w:val="24"/>
        </w:rPr>
        <w:t>PROGRAMAS DE DESARROLLO CON ENFOQUE TERRIORIAL (PDET)</w:t>
      </w:r>
    </w:p>
    <w:p w:rsidR="0055643A" w:rsidRPr="00BE3B49" w:rsidRDefault="00340B5C" w:rsidP="0055643A">
      <w:pPr>
        <w:pBdr>
          <w:top w:val="nil"/>
          <w:left w:val="nil"/>
          <w:bottom w:val="nil"/>
          <w:right w:val="nil"/>
          <w:between w:val="nil"/>
        </w:pBdr>
        <w:spacing w:before="159"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Dentro del Acuerdo Final Para La Terminación Del Conflicto Y La Construcción De Una Paz Estable Y Duradera (2016), se establecieron en el punto </w:t>
      </w:r>
      <w:r w:rsidRPr="00BE3B49">
        <w:rPr>
          <w:rFonts w:ascii="Times New Roman" w:eastAsia="Arial" w:hAnsi="Times New Roman" w:cs="Times New Roman"/>
          <w:b/>
          <w:color w:val="000000"/>
          <w:sz w:val="24"/>
          <w:szCs w:val="24"/>
        </w:rPr>
        <w:t xml:space="preserve">1.2. </w:t>
      </w:r>
      <w:r w:rsidRPr="00BE3B49">
        <w:rPr>
          <w:rFonts w:ascii="Times New Roman" w:hAnsi="Times New Roman" w:cs="Times New Roman"/>
          <w:color w:val="000000"/>
          <w:sz w:val="24"/>
          <w:szCs w:val="24"/>
        </w:rPr>
        <w:t xml:space="preserve">los Programas de Desarrollo con Enfoque Territorial con el objetivo de lograr la transformación estructural del campo y el ámbito rural, y un relacionamiento equitativo entre el campo y la ciudad, de manera que se asegure: </w:t>
      </w:r>
      <w:r w:rsidRPr="00BE3B49">
        <w:rPr>
          <w:rFonts w:ascii="Times New Roman" w:eastAsia="Arial" w:hAnsi="Times New Roman" w:cs="Times New Roman"/>
          <w:b/>
          <w:color w:val="000000"/>
          <w:sz w:val="24"/>
          <w:szCs w:val="24"/>
        </w:rPr>
        <w:t xml:space="preserve">(I) </w:t>
      </w:r>
      <w:r w:rsidRPr="00BE3B49">
        <w:rPr>
          <w:rFonts w:ascii="Times New Roman" w:hAnsi="Times New Roman" w:cs="Times New Roman"/>
          <w:color w:val="000000"/>
          <w:sz w:val="24"/>
          <w:szCs w:val="24"/>
        </w:rPr>
        <w:t xml:space="preserve">El bienestar y el buen vivir de la población en zonas rurales de niños y niñas, hombres y mujeres, haciendo efectivos sus derechos políticos, económicos, sociales y culturales, y revirtiendo los efectos de la miseria y el conflicto; </w:t>
      </w:r>
      <w:r w:rsidRPr="00BE3B49">
        <w:rPr>
          <w:rFonts w:ascii="Times New Roman" w:eastAsia="Arial" w:hAnsi="Times New Roman" w:cs="Times New Roman"/>
          <w:b/>
          <w:color w:val="000000"/>
          <w:sz w:val="24"/>
          <w:szCs w:val="24"/>
        </w:rPr>
        <w:t xml:space="preserve">(II) </w:t>
      </w:r>
      <w:r w:rsidRPr="00BE3B49">
        <w:rPr>
          <w:rFonts w:ascii="Times New Roman" w:hAnsi="Times New Roman" w:cs="Times New Roman"/>
          <w:color w:val="000000"/>
          <w:sz w:val="24"/>
          <w:szCs w:val="24"/>
        </w:rPr>
        <w:t xml:space="preserve">La protección de la riqueza </w:t>
      </w:r>
      <w:proofErr w:type="spellStart"/>
      <w:r w:rsidRPr="00BE3B49">
        <w:rPr>
          <w:rFonts w:ascii="Times New Roman" w:hAnsi="Times New Roman" w:cs="Times New Roman"/>
          <w:color w:val="000000"/>
          <w:sz w:val="24"/>
          <w:szCs w:val="24"/>
        </w:rPr>
        <w:t>pluriétnica</w:t>
      </w:r>
      <w:proofErr w:type="spellEnd"/>
      <w:r w:rsidRPr="00BE3B49">
        <w:rPr>
          <w:rFonts w:ascii="Times New Roman" w:hAnsi="Times New Roman" w:cs="Times New Roman"/>
          <w:color w:val="000000"/>
          <w:sz w:val="24"/>
          <w:szCs w:val="24"/>
        </w:rPr>
        <w:t xml:space="preserve"> y multicultural para que contribuya al conocimiento, a la organización de la vida, a la economía, a la producción y al relacionamiento con la naturaleza; </w:t>
      </w:r>
      <w:r w:rsidRPr="00BE3B49">
        <w:rPr>
          <w:rFonts w:ascii="Times New Roman" w:eastAsia="Arial" w:hAnsi="Times New Roman" w:cs="Times New Roman"/>
          <w:b/>
          <w:color w:val="000000"/>
          <w:sz w:val="24"/>
          <w:szCs w:val="24"/>
        </w:rPr>
        <w:t xml:space="preserve">(III) </w:t>
      </w:r>
      <w:r w:rsidRPr="00BE3B49">
        <w:rPr>
          <w:rFonts w:ascii="Times New Roman" w:hAnsi="Times New Roman" w:cs="Times New Roman"/>
          <w:color w:val="000000"/>
          <w:sz w:val="24"/>
          <w:szCs w:val="24"/>
        </w:rPr>
        <w:t xml:space="preserve">El desarrollo de la economía campesina y familiar (cooperativa, mutual, comunal, micro empresarial y asociativa solidaria) y de formas propias de producción de las comunidades indígenas, negras, afrodescendientes, raizales y </w:t>
      </w:r>
      <w:proofErr w:type="spellStart"/>
      <w:r w:rsidRPr="00BE3B49">
        <w:rPr>
          <w:rFonts w:ascii="Times New Roman" w:hAnsi="Times New Roman" w:cs="Times New Roman"/>
          <w:color w:val="000000"/>
          <w:sz w:val="24"/>
          <w:szCs w:val="24"/>
        </w:rPr>
        <w:t>palenqueras</w:t>
      </w:r>
      <w:proofErr w:type="spellEnd"/>
      <w:r w:rsidRPr="00BE3B49">
        <w:rPr>
          <w:rFonts w:ascii="Times New Roman" w:hAnsi="Times New Roman" w:cs="Times New Roman"/>
          <w:color w:val="000000"/>
          <w:sz w:val="24"/>
          <w:szCs w:val="24"/>
        </w:rPr>
        <w:t xml:space="preserve">, mediante el acceso integral a la tierra y a bienes y servicios productivos y sociales, interviniendo con igual énfasis en los espacios interétnicos e interculturales para que avancen efectivamente hacia el desarrollo y la convivencia armónica; </w:t>
      </w:r>
      <w:r w:rsidRPr="00BE3B49">
        <w:rPr>
          <w:rFonts w:ascii="Times New Roman" w:eastAsia="Arial" w:hAnsi="Times New Roman" w:cs="Times New Roman"/>
          <w:b/>
          <w:color w:val="000000"/>
          <w:sz w:val="24"/>
          <w:szCs w:val="24"/>
        </w:rPr>
        <w:t xml:space="preserve">(IV) </w:t>
      </w:r>
      <w:r w:rsidRPr="00BE3B49">
        <w:rPr>
          <w:rFonts w:ascii="Times New Roman" w:hAnsi="Times New Roman" w:cs="Times New Roman"/>
          <w:color w:val="000000"/>
          <w:sz w:val="24"/>
          <w:szCs w:val="24"/>
        </w:rPr>
        <w:t xml:space="preserve">El desarrollo y la integración de las regiones abandonadas y golpeadas por el conflicto, implementando inversiones públicas progresivas, concertadas con las comunidades, con el fin de lograr la convergencia entre la calidad de vida rural y urbana, y fortalecer los encadenamientos entre la ciudad y el campo; </w:t>
      </w:r>
      <w:r w:rsidRPr="00BE3B49">
        <w:rPr>
          <w:rFonts w:ascii="Times New Roman" w:eastAsia="Arial" w:hAnsi="Times New Roman" w:cs="Times New Roman"/>
          <w:b/>
          <w:color w:val="000000"/>
          <w:sz w:val="24"/>
          <w:szCs w:val="24"/>
        </w:rPr>
        <w:t xml:space="preserve">(V) </w:t>
      </w:r>
      <w:r w:rsidRPr="00BE3B49">
        <w:rPr>
          <w:rFonts w:ascii="Times New Roman" w:hAnsi="Times New Roman" w:cs="Times New Roman"/>
          <w:color w:val="000000"/>
          <w:sz w:val="24"/>
          <w:szCs w:val="24"/>
        </w:rPr>
        <w:t xml:space="preserve">El reconocimiento y la promoción de las organizaciones de las comunidades, incluyendo a las organizaciones de mujeres rurales, para que sean actores de primera línea de la transformación estructural del campo; </w:t>
      </w:r>
      <w:r w:rsidRPr="00BE3B49">
        <w:rPr>
          <w:rFonts w:ascii="Times New Roman" w:eastAsia="Arial" w:hAnsi="Times New Roman" w:cs="Times New Roman"/>
          <w:b/>
          <w:color w:val="000000"/>
          <w:sz w:val="24"/>
          <w:szCs w:val="24"/>
        </w:rPr>
        <w:t xml:space="preserve">(VI) </w:t>
      </w:r>
      <w:r w:rsidRPr="00BE3B49">
        <w:rPr>
          <w:rFonts w:ascii="Times New Roman" w:hAnsi="Times New Roman" w:cs="Times New Roman"/>
          <w:color w:val="000000"/>
          <w:sz w:val="24"/>
          <w:szCs w:val="24"/>
        </w:rPr>
        <w:t xml:space="preserve">Hacer del campo colombiano un escenario de reconciliación en el que todos y todas trabajan alrededor de un propósito común, que es la construcción del bien supremo de la paz, derecho y deber de </w:t>
      </w:r>
      <w:r w:rsidR="0055643A" w:rsidRPr="00BE3B49">
        <w:rPr>
          <w:rFonts w:ascii="Times New Roman" w:hAnsi="Times New Roman" w:cs="Times New Roman"/>
          <w:color w:val="000000"/>
          <w:sz w:val="24"/>
          <w:szCs w:val="24"/>
        </w:rPr>
        <w:t>obligatorio cumplimiento</w:t>
      </w:r>
    </w:p>
    <w:p w:rsidR="00BB2AC0" w:rsidRPr="00BE3B49" w:rsidRDefault="00340B5C" w:rsidP="0055643A">
      <w:pPr>
        <w:pBdr>
          <w:top w:val="nil"/>
          <w:left w:val="nil"/>
          <w:bottom w:val="nil"/>
          <w:right w:val="nil"/>
          <w:between w:val="nil"/>
        </w:pBdr>
        <w:spacing w:before="159"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Sin embargo, según la información expuesta en la página web de la Agencia de Renovación del Territorio, los Programas de Desarrollo con Enfoque Territorial (PDET) son un instrumento de planeación y gestión que, en el marco del Acuerdo de Paz, buscan transformar los territorios más afectados por el conflicto armado, la pobreza, la debilidad </w:t>
      </w:r>
      <w:r w:rsidRPr="00BE3B49">
        <w:rPr>
          <w:rFonts w:ascii="Times New Roman" w:hAnsi="Times New Roman" w:cs="Times New Roman"/>
          <w:color w:val="000000"/>
          <w:sz w:val="24"/>
          <w:szCs w:val="24"/>
        </w:rPr>
        <w:lastRenderedPageBreak/>
        <w:t>institucional y la presencia de cultivos de uso ilícito.</w:t>
      </w:r>
    </w:p>
    <w:p w:rsidR="00BB2AC0" w:rsidRPr="00BE3B49" w:rsidRDefault="00340B5C">
      <w:pPr>
        <w:pBdr>
          <w:top w:val="nil"/>
          <w:left w:val="nil"/>
          <w:bottom w:val="nil"/>
          <w:right w:val="nil"/>
          <w:between w:val="nil"/>
        </w:pBdr>
        <w:spacing w:before="162" w:line="360" w:lineRule="auto"/>
        <w:ind w:left="122" w:right="117"/>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Estos PDET se establecieron bajo unos criterios de priorización bajo la sustentación de que el proceso de transformación estructural del campo debe cobijar la totalidad de las zonas rurales del país.</w:t>
      </w:r>
    </w:p>
    <w:p w:rsidR="00BB2AC0" w:rsidRPr="00BE3B49" w:rsidRDefault="00340B5C">
      <w:pPr>
        <w:pBdr>
          <w:top w:val="nil"/>
          <w:left w:val="nil"/>
          <w:bottom w:val="nil"/>
          <w:right w:val="nil"/>
          <w:between w:val="nil"/>
        </w:pBdr>
        <w:spacing w:before="160" w:line="360" w:lineRule="auto"/>
        <w:ind w:left="122" w:right="116"/>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El fin de esta priorización de territorios se fundó en las zonas más necesitadas y urgidas con PDET para implementar con mayor celeridad y recursos los planes nacionales que se creen en el marco del Acuerdo.</w:t>
      </w:r>
    </w:p>
    <w:p w:rsidR="00BB2AC0" w:rsidRPr="00BE3B49" w:rsidRDefault="00340B5C">
      <w:pPr>
        <w:pBdr>
          <w:top w:val="nil"/>
          <w:left w:val="nil"/>
          <w:bottom w:val="nil"/>
          <w:right w:val="nil"/>
          <w:between w:val="nil"/>
        </w:pBdr>
        <w:spacing w:before="160"/>
        <w:ind w:left="122"/>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Estableciendo como criterios de priorización:</w:t>
      </w:r>
    </w:p>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BB2AC0" w:rsidRPr="00BE3B49" w:rsidRDefault="00340B5C">
      <w:pPr>
        <w:numPr>
          <w:ilvl w:val="0"/>
          <w:numId w:val="4"/>
        </w:numPr>
        <w:pBdr>
          <w:top w:val="nil"/>
          <w:left w:val="nil"/>
          <w:bottom w:val="nil"/>
          <w:right w:val="nil"/>
          <w:between w:val="nil"/>
        </w:pBdr>
        <w:tabs>
          <w:tab w:val="left" w:pos="841"/>
          <w:tab w:val="left" w:pos="842"/>
        </w:tabs>
        <w:spacing w:line="350" w:lineRule="auto"/>
        <w:ind w:left="841" w:right="122"/>
        <w:rPr>
          <w:rFonts w:ascii="Times New Roman" w:hAnsi="Times New Roman" w:cs="Times New Roman"/>
          <w:color w:val="000000"/>
          <w:sz w:val="24"/>
          <w:szCs w:val="24"/>
        </w:rPr>
      </w:pPr>
      <w:r w:rsidRPr="00BE3B49">
        <w:rPr>
          <w:rFonts w:ascii="Times New Roman" w:hAnsi="Times New Roman" w:cs="Times New Roman"/>
          <w:color w:val="000000"/>
          <w:sz w:val="24"/>
          <w:szCs w:val="24"/>
        </w:rPr>
        <w:t>Los niveles de pobreza, en particular de pobreza extrema y de necesidades insatisfechas.</w:t>
      </w:r>
    </w:p>
    <w:p w:rsidR="00BB2AC0" w:rsidRPr="00BE3B49" w:rsidRDefault="00340B5C">
      <w:pPr>
        <w:numPr>
          <w:ilvl w:val="0"/>
          <w:numId w:val="4"/>
        </w:numPr>
        <w:pBdr>
          <w:top w:val="nil"/>
          <w:left w:val="nil"/>
          <w:bottom w:val="nil"/>
          <w:right w:val="nil"/>
          <w:between w:val="nil"/>
        </w:pBdr>
        <w:tabs>
          <w:tab w:val="left" w:pos="841"/>
          <w:tab w:val="left" w:pos="842"/>
        </w:tabs>
        <w:spacing w:before="171"/>
        <w:ind w:hanging="361"/>
        <w:rPr>
          <w:rFonts w:ascii="Times New Roman" w:hAnsi="Times New Roman" w:cs="Times New Roman"/>
          <w:color w:val="000000"/>
          <w:sz w:val="24"/>
          <w:szCs w:val="24"/>
        </w:rPr>
      </w:pPr>
      <w:r w:rsidRPr="00BE3B49">
        <w:rPr>
          <w:rFonts w:ascii="Times New Roman" w:hAnsi="Times New Roman" w:cs="Times New Roman"/>
          <w:color w:val="000000"/>
          <w:sz w:val="24"/>
          <w:szCs w:val="24"/>
        </w:rPr>
        <w:t>El grado de afectación derivado del conflicto.</w:t>
      </w:r>
    </w:p>
    <w:p w:rsidR="00BB2AC0" w:rsidRPr="00BE3B49" w:rsidRDefault="00BB2AC0">
      <w:pPr>
        <w:pBdr>
          <w:top w:val="nil"/>
          <w:left w:val="nil"/>
          <w:bottom w:val="nil"/>
          <w:right w:val="nil"/>
          <w:between w:val="nil"/>
        </w:pBdr>
        <w:spacing w:before="9"/>
        <w:rPr>
          <w:rFonts w:ascii="Times New Roman" w:hAnsi="Times New Roman" w:cs="Times New Roman"/>
          <w:color w:val="000000"/>
          <w:sz w:val="24"/>
          <w:szCs w:val="24"/>
        </w:rPr>
      </w:pPr>
    </w:p>
    <w:p w:rsidR="00BB2AC0" w:rsidRPr="00BE3B49" w:rsidRDefault="00340B5C">
      <w:pPr>
        <w:numPr>
          <w:ilvl w:val="0"/>
          <w:numId w:val="4"/>
        </w:numPr>
        <w:pBdr>
          <w:top w:val="nil"/>
          <w:left w:val="nil"/>
          <w:bottom w:val="nil"/>
          <w:right w:val="nil"/>
          <w:between w:val="nil"/>
        </w:pBdr>
        <w:tabs>
          <w:tab w:val="left" w:pos="841"/>
          <w:tab w:val="left" w:pos="842"/>
        </w:tabs>
        <w:spacing w:line="350" w:lineRule="auto"/>
        <w:ind w:left="841" w:right="122"/>
        <w:rPr>
          <w:rFonts w:ascii="Times New Roman" w:hAnsi="Times New Roman" w:cs="Times New Roman"/>
          <w:color w:val="000000"/>
          <w:sz w:val="24"/>
          <w:szCs w:val="24"/>
        </w:rPr>
      </w:pPr>
      <w:r w:rsidRPr="00BE3B49">
        <w:rPr>
          <w:rFonts w:ascii="Times New Roman" w:hAnsi="Times New Roman" w:cs="Times New Roman"/>
          <w:color w:val="000000"/>
          <w:sz w:val="24"/>
          <w:szCs w:val="24"/>
        </w:rPr>
        <w:t>La debilidad de la institucionalidad administrativa y de la capacidad de gestión.</w:t>
      </w:r>
    </w:p>
    <w:p w:rsidR="00BB2AC0" w:rsidRPr="00BE3B49" w:rsidRDefault="00340B5C">
      <w:pPr>
        <w:numPr>
          <w:ilvl w:val="0"/>
          <w:numId w:val="4"/>
        </w:numPr>
        <w:pBdr>
          <w:top w:val="nil"/>
          <w:left w:val="nil"/>
          <w:bottom w:val="nil"/>
          <w:right w:val="nil"/>
          <w:between w:val="nil"/>
        </w:pBdr>
        <w:tabs>
          <w:tab w:val="left" w:pos="841"/>
          <w:tab w:val="left" w:pos="842"/>
        </w:tabs>
        <w:spacing w:before="173"/>
        <w:ind w:hanging="361"/>
        <w:rPr>
          <w:rFonts w:ascii="Times New Roman" w:hAnsi="Times New Roman" w:cs="Times New Roman"/>
          <w:color w:val="000000"/>
          <w:sz w:val="24"/>
          <w:szCs w:val="24"/>
        </w:rPr>
      </w:pPr>
      <w:r w:rsidRPr="00BE3B49">
        <w:rPr>
          <w:rFonts w:ascii="Times New Roman" w:hAnsi="Times New Roman" w:cs="Times New Roman"/>
          <w:color w:val="000000"/>
          <w:sz w:val="24"/>
          <w:szCs w:val="24"/>
        </w:rPr>
        <w:t>La presencia de cultivos de uso ilícito y de otras economías ilegítimas.</w:t>
      </w:r>
    </w:p>
    <w:p w:rsidR="00BB2AC0" w:rsidRPr="00BE3B49" w:rsidRDefault="00BB2AC0">
      <w:pPr>
        <w:pBdr>
          <w:top w:val="nil"/>
          <w:left w:val="nil"/>
          <w:bottom w:val="nil"/>
          <w:right w:val="nil"/>
          <w:between w:val="nil"/>
        </w:pBdr>
        <w:spacing w:before="6"/>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360" w:lineRule="auto"/>
        <w:ind w:left="122" w:right="120"/>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Según el Acuerdo de 2016, para cumplir con los objetivos de los PDET, en cada zona priorizada es necesario elaborar de manera participativa un plan de acción para la transformación regional, que incluiría todos los niveles del ordenamiento territorial, concertado con las autoridades locales y las comunidades.</w:t>
      </w:r>
    </w:p>
    <w:p w:rsidR="00BB2AC0" w:rsidRPr="00BE3B49" w:rsidRDefault="00340B5C">
      <w:pPr>
        <w:pBdr>
          <w:top w:val="nil"/>
          <w:left w:val="nil"/>
          <w:bottom w:val="nil"/>
          <w:right w:val="nil"/>
          <w:between w:val="nil"/>
        </w:pBdr>
        <w:spacing w:before="155" w:line="360" w:lineRule="auto"/>
        <w:ind w:left="122" w:right="116"/>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Los Planes De Acción Para La Transformación Regional debían estar basados en el enfoque territorial de las comunidades rurales que tenga en cuenta las características socio-históricas, culturales, ambientales y productivas de los territorios y sus habitantes, así como sus necesidades diferenciadas en razón de su pertenencia a grupos en condiciones de vulnerabilidad y la vocación de los suelos, para poder desplegar los recursos de inversión pública de manera suficiente y en armonía con los valores tangibles e intangibles de la nación; bajo</w:t>
      </w:r>
      <w:r w:rsidRPr="00BE3B49">
        <w:rPr>
          <w:rFonts w:ascii="Times New Roman" w:hAnsi="Times New Roman" w:cs="Times New Roman"/>
          <w:sz w:val="24"/>
          <w:szCs w:val="24"/>
        </w:rPr>
        <w:t xml:space="preserve"> </w:t>
      </w:r>
      <w:r w:rsidRPr="00BE3B49">
        <w:rPr>
          <w:rFonts w:ascii="Times New Roman" w:hAnsi="Times New Roman" w:cs="Times New Roman"/>
          <w:color w:val="000000"/>
          <w:sz w:val="24"/>
          <w:szCs w:val="24"/>
        </w:rPr>
        <w:t>un diagnóstico objetivo, elaborado con la participación de las comunidades, en el que se consideren bajo el enfoque territorial señalado las necesidades en el territorio y las acciones que coordinen los diferentes elementos, y tenga metas claras y precisas que posibiliten la transformación estructural de las condiciones de vida y de producción.</w:t>
      </w:r>
    </w:p>
    <w:p w:rsidR="00BB2AC0" w:rsidRPr="00BE3B49" w:rsidRDefault="00340B5C">
      <w:pPr>
        <w:pBdr>
          <w:top w:val="nil"/>
          <w:left w:val="nil"/>
          <w:bottom w:val="nil"/>
          <w:right w:val="nil"/>
          <w:between w:val="nil"/>
        </w:pBdr>
        <w:spacing w:before="162" w:line="360" w:lineRule="auto"/>
        <w:ind w:left="122" w:right="118"/>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Finalmente, cada Plan Nacional de Desarrollo acogería las prioridades y metas de los </w:t>
      </w:r>
      <w:r w:rsidRPr="00BE3B49">
        <w:rPr>
          <w:rFonts w:ascii="Times New Roman" w:hAnsi="Times New Roman" w:cs="Times New Roman"/>
          <w:color w:val="000000"/>
          <w:sz w:val="24"/>
          <w:szCs w:val="24"/>
        </w:rPr>
        <w:lastRenderedPageBreak/>
        <w:t>PDET.</w:t>
      </w:r>
    </w:p>
    <w:p w:rsidR="00BB2AC0" w:rsidRPr="00BE3B49" w:rsidRDefault="00340B5C">
      <w:pPr>
        <w:pBdr>
          <w:top w:val="nil"/>
          <w:left w:val="nil"/>
          <w:bottom w:val="nil"/>
          <w:right w:val="nil"/>
          <w:between w:val="nil"/>
        </w:pBdr>
        <w:spacing w:before="159" w:line="360" w:lineRule="auto"/>
        <w:ind w:left="122" w:right="113"/>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También se establecieron mecanismos de participación ciudadana en la búsqueda de una participación activa de las comunidades en conjunto con las autoridades de las entidades territoriales, estableciendo instancias en los distintos niveles territoriales, para garantizar la participación ciudadana en el proceso de toma de decisiones por parte de las autoridades competentes, donde se incluya la presencia representativa de las comunidades, las mujeres rurales y sus organizaciones, y estableciéndose el acompañamiento de los órganos de control, para definir las prioridades en la implementación de los planes nacionales (vías, riego, infraestructura, servicios, etc.) en el territorio, de acuerdo con las necesidades de la población; Asegurar la participación comunitaria en la ejecución de las obras y su mantenimiento y Establecer mecanismos de seguimiento y veeduría de los proyectos.</w:t>
      </w:r>
    </w:p>
    <w:p w:rsidR="00BB2AC0" w:rsidRPr="00BE3B49" w:rsidRDefault="00340B5C">
      <w:pPr>
        <w:pBdr>
          <w:top w:val="nil"/>
          <w:left w:val="nil"/>
          <w:bottom w:val="nil"/>
          <w:right w:val="nil"/>
          <w:between w:val="nil"/>
        </w:pBdr>
        <w:spacing w:before="162" w:line="360" w:lineRule="auto"/>
        <w:ind w:left="122" w:right="117" w:firstLine="67"/>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Los mecanismos de participación que establecida para la construcción de los Planes de Desarrollo con Enfoque Territorial fortalecen la participación ciudadana en las decisiones que los afectan en el marco de la Constitución, impulsando la </w:t>
      </w:r>
      <w:proofErr w:type="spellStart"/>
      <w:r w:rsidRPr="00BE3B49">
        <w:rPr>
          <w:rFonts w:ascii="Times New Roman" w:hAnsi="Times New Roman" w:cs="Times New Roman"/>
          <w:color w:val="000000"/>
          <w:sz w:val="24"/>
          <w:szCs w:val="24"/>
        </w:rPr>
        <w:t>asociatividad</w:t>
      </w:r>
      <w:proofErr w:type="spellEnd"/>
      <w:r w:rsidRPr="00BE3B49">
        <w:rPr>
          <w:rFonts w:ascii="Times New Roman" w:hAnsi="Times New Roman" w:cs="Times New Roman"/>
          <w:color w:val="000000"/>
          <w:sz w:val="24"/>
          <w:szCs w:val="24"/>
        </w:rPr>
        <w:t xml:space="preserve"> solidaria y vigorizar la democracia local; en ningún caso se pretendió limitar las competencias de ejecución de los gobernantes, ni las competencias de órganos colegiados (Congreso, concejos y asambleas).</w:t>
      </w:r>
    </w:p>
    <w:p w:rsidR="00BB2AC0" w:rsidRPr="00BE3B49" w:rsidRDefault="00340B5C">
      <w:pPr>
        <w:pBdr>
          <w:top w:val="nil"/>
          <w:left w:val="nil"/>
          <w:bottom w:val="nil"/>
          <w:right w:val="nil"/>
          <w:between w:val="nil"/>
        </w:pBdr>
        <w:spacing w:before="159" w:line="360" w:lineRule="auto"/>
        <w:ind w:left="122" w:right="117"/>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El mismo Acuerdo también indica que los PDET deben establecer expresamente las características generales y tiempos para garantizar el buen funcionamiento de estos mecanismos de participación.</w:t>
      </w:r>
    </w:p>
    <w:p w:rsidR="00BB2AC0" w:rsidRPr="00BE3B49" w:rsidRDefault="00340B5C">
      <w:pPr>
        <w:pBdr>
          <w:top w:val="nil"/>
          <w:left w:val="nil"/>
          <w:bottom w:val="nil"/>
          <w:right w:val="nil"/>
          <w:between w:val="nil"/>
        </w:pBdr>
        <w:spacing w:before="160" w:line="360" w:lineRule="auto"/>
        <w:ind w:left="122" w:right="121"/>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Expresa también el Acuerdo que los Programas de Desarrollo con Enfoque Territorial (PDET), cuya realización esté proyectada para hacerse en territorio</w:t>
      </w:r>
      <w:r w:rsidRPr="00BE3B49">
        <w:rPr>
          <w:rFonts w:ascii="Times New Roman" w:hAnsi="Times New Roman" w:cs="Times New Roman"/>
          <w:sz w:val="24"/>
          <w:szCs w:val="24"/>
        </w:rPr>
        <w:t xml:space="preserve"> </w:t>
      </w:r>
      <w:r w:rsidRPr="00BE3B49">
        <w:rPr>
          <w:rFonts w:ascii="Times New Roman" w:hAnsi="Times New Roman" w:cs="Times New Roman"/>
          <w:color w:val="000000"/>
          <w:sz w:val="24"/>
          <w:szCs w:val="24"/>
        </w:rPr>
        <w:t xml:space="preserve">de comunidades indígenas y afrocolombianas, deberán contemplar un mecanismo especial de consulta para su implementación, con el fin de incorporar la perspectiva étnica y cultural en el enfoque territorial, orientados a la implementación de los planes de vida, </w:t>
      </w:r>
      <w:proofErr w:type="spellStart"/>
      <w:r w:rsidRPr="00BE3B49">
        <w:rPr>
          <w:rFonts w:ascii="Times New Roman" w:hAnsi="Times New Roman" w:cs="Times New Roman"/>
          <w:color w:val="000000"/>
          <w:sz w:val="24"/>
          <w:szCs w:val="24"/>
        </w:rPr>
        <w:t>etnodesarrollo</w:t>
      </w:r>
      <w:proofErr w:type="spellEnd"/>
      <w:r w:rsidRPr="00BE3B49">
        <w:rPr>
          <w:rFonts w:ascii="Times New Roman" w:hAnsi="Times New Roman" w:cs="Times New Roman"/>
          <w:color w:val="000000"/>
          <w:sz w:val="24"/>
          <w:szCs w:val="24"/>
        </w:rPr>
        <w:t>, planes de manejo ambiental y ordenamiento territorial o sus equivalentes de los pueblos étnicos.</w:t>
      </w:r>
    </w:p>
    <w:p w:rsidR="00BB2AC0" w:rsidRPr="00BE3B49" w:rsidRDefault="00340B5C">
      <w:pPr>
        <w:pBdr>
          <w:top w:val="nil"/>
          <w:left w:val="nil"/>
          <w:bottom w:val="nil"/>
          <w:right w:val="nil"/>
          <w:between w:val="nil"/>
        </w:pBdr>
        <w:spacing w:before="162" w:line="360" w:lineRule="auto"/>
        <w:ind w:left="122" w:right="113"/>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Finalmente, los PDET son el mecanismo de ejecución en las zonas priorizadas de los diferentes planes nacionales que se derivaron y derivaran del Acuerdo de Paz con las FARC en el 2016, donde el Gobierno nacional destina los recursos necesarios para </w:t>
      </w:r>
      <w:r w:rsidRPr="00BE3B49">
        <w:rPr>
          <w:rFonts w:ascii="Times New Roman" w:hAnsi="Times New Roman" w:cs="Times New Roman"/>
          <w:color w:val="000000"/>
          <w:sz w:val="24"/>
          <w:szCs w:val="24"/>
        </w:rPr>
        <w:lastRenderedPageBreak/>
        <w:t>garantizar el diseño y ejecución de los planes de acción para la transformación estructural, con el concurso de las entidades territoriales.</w:t>
      </w:r>
    </w:p>
    <w:p w:rsidR="00BB2AC0" w:rsidRPr="00BE3B49" w:rsidRDefault="00340B5C">
      <w:pPr>
        <w:pBdr>
          <w:top w:val="nil"/>
          <w:left w:val="nil"/>
          <w:bottom w:val="nil"/>
          <w:right w:val="nil"/>
          <w:between w:val="nil"/>
        </w:pBdr>
        <w:spacing w:before="161" w:line="360" w:lineRule="auto"/>
        <w:ind w:left="122" w:right="116"/>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Los Territorios PDET están organizados en 170 municipios, 16 subregiones, 11.000 veredas y 32.808 iniciativas formuladas por las comunidades para transformar los territorios PDET.</w:t>
      </w:r>
    </w:p>
    <w:p w:rsidR="00BB2AC0" w:rsidRPr="00BE3B49" w:rsidRDefault="00BB2AC0">
      <w:pPr>
        <w:pBdr>
          <w:top w:val="nil"/>
          <w:left w:val="nil"/>
          <w:bottom w:val="nil"/>
          <w:right w:val="nil"/>
          <w:between w:val="nil"/>
        </w:pBdr>
        <w:spacing w:before="9" w:after="1"/>
        <w:rPr>
          <w:rFonts w:ascii="Times New Roman" w:hAnsi="Times New Roman" w:cs="Times New Roman"/>
          <w:color w:val="000000"/>
          <w:sz w:val="24"/>
          <w:szCs w:val="24"/>
        </w:rPr>
      </w:pPr>
    </w:p>
    <w:tbl>
      <w:tblPr>
        <w:tblStyle w:val="a0"/>
        <w:tblW w:w="7651" w:type="dxa"/>
        <w:tblInd w:w="55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136"/>
        <w:gridCol w:w="1692"/>
        <w:gridCol w:w="2823"/>
      </w:tblGrid>
      <w:tr w:rsidR="00BB2AC0" w:rsidRPr="00BE3B49">
        <w:trPr>
          <w:trHeight w:val="314"/>
        </w:trPr>
        <w:tc>
          <w:tcPr>
            <w:tcW w:w="3136" w:type="dxa"/>
            <w:tcBorders>
              <w:top w:val="nil"/>
              <w:left w:val="nil"/>
              <w:bottom w:val="nil"/>
              <w:right w:val="nil"/>
            </w:tcBorders>
            <w:shd w:val="clear" w:color="auto" w:fill="4471C4"/>
          </w:tcPr>
          <w:p w:rsidR="00BB2AC0" w:rsidRPr="00BE3B49" w:rsidRDefault="00340B5C">
            <w:pPr>
              <w:pBdr>
                <w:top w:val="nil"/>
                <w:left w:val="nil"/>
                <w:bottom w:val="nil"/>
                <w:right w:val="nil"/>
                <w:between w:val="nil"/>
              </w:pBdr>
              <w:spacing w:before="79" w:line="215" w:lineRule="auto"/>
              <w:ind w:right="464"/>
              <w:jc w:val="right"/>
              <w:rPr>
                <w:rFonts w:ascii="Times New Roman" w:eastAsia="Arial" w:hAnsi="Times New Roman" w:cs="Times New Roman"/>
                <w:b/>
                <w:color w:val="000000"/>
                <w:sz w:val="24"/>
                <w:szCs w:val="24"/>
              </w:rPr>
            </w:pPr>
            <w:r w:rsidRPr="00BE3B49">
              <w:rPr>
                <w:rFonts w:ascii="Times New Roman" w:eastAsia="Arial" w:hAnsi="Times New Roman" w:cs="Times New Roman"/>
                <w:b/>
                <w:color w:val="FFFFFF"/>
                <w:sz w:val="24"/>
                <w:szCs w:val="24"/>
              </w:rPr>
              <w:t>SUBREGIÓN PDET</w:t>
            </w:r>
          </w:p>
        </w:tc>
        <w:tc>
          <w:tcPr>
            <w:tcW w:w="1692" w:type="dxa"/>
            <w:tcBorders>
              <w:top w:val="nil"/>
              <w:left w:val="nil"/>
              <w:bottom w:val="nil"/>
              <w:right w:val="nil"/>
            </w:tcBorders>
            <w:shd w:val="clear" w:color="auto" w:fill="4471C4"/>
          </w:tcPr>
          <w:p w:rsidR="00BB2AC0" w:rsidRPr="00BE3B49" w:rsidRDefault="00340B5C">
            <w:pPr>
              <w:pBdr>
                <w:top w:val="nil"/>
                <w:left w:val="nil"/>
                <w:bottom w:val="nil"/>
                <w:right w:val="nil"/>
                <w:between w:val="nil"/>
              </w:pBdr>
              <w:spacing w:before="79" w:line="215" w:lineRule="auto"/>
              <w:ind w:left="873"/>
              <w:rPr>
                <w:rFonts w:ascii="Times New Roman" w:eastAsia="Arial" w:hAnsi="Times New Roman" w:cs="Times New Roman"/>
                <w:b/>
                <w:color w:val="000000"/>
                <w:sz w:val="24"/>
                <w:szCs w:val="24"/>
              </w:rPr>
            </w:pPr>
            <w:r w:rsidRPr="00BE3B49">
              <w:rPr>
                <w:rFonts w:ascii="Times New Roman" w:eastAsia="Arial" w:hAnsi="Times New Roman" w:cs="Times New Roman"/>
                <w:b/>
                <w:color w:val="FFFFFF"/>
                <w:sz w:val="24"/>
                <w:szCs w:val="24"/>
              </w:rPr>
              <w:t>DPTO</w:t>
            </w:r>
          </w:p>
        </w:tc>
        <w:tc>
          <w:tcPr>
            <w:tcW w:w="2823" w:type="dxa"/>
            <w:tcBorders>
              <w:top w:val="nil"/>
              <w:left w:val="nil"/>
              <w:bottom w:val="nil"/>
              <w:right w:val="nil"/>
            </w:tcBorders>
            <w:shd w:val="clear" w:color="auto" w:fill="4471C4"/>
          </w:tcPr>
          <w:p w:rsidR="00BB2AC0" w:rsidRPr="00BE3B49" w:rsidRDefault="00340B5C">
            <w:pPr>
              <w:pBdr>
                <w:top w:val="nil"/>
                <w:left w:val="nil"/>
                <w:bottom w:val="nil"/>
                <w:right w:val="nil"/>
                <w:between w:val="nil"/>
              </w:pBdr>
              <w:spacing w:before="79" w:line="215" w:lineRule="auto"/>
              <w:ind w:left="988"/>
              <w:rPr>
                <w:rFonts w:ascii="Times New Roman" w:eastAsia="Arial" w:hAnsi="Times New Roman" w:cs="Times New Roman"/>
                <w:b/>
                <w:color w:val="000000"/>
                <w:sz w:val="24"/>
                <w:szCs w:val="24"/>
              </w:rPr>
            </w:pPr>
            <w:r w:rsidRPr="00BE3B49">
              <w:rPr>
                <w:rFonts w:ascii="Times New Roman" w:eastAsia="Arial" w:hAnsi="Times New Roman" w:cs="Times New Roman"/>
                <w:b/>
                <w:color w:val="FFFFFF"/>
                <w:sz w:val="24"/>
                <w:szCs w:val="24"/>
              </w:rPr>
              <w:t>MUNICIPIO</w:t>
            </w:r>
          </w:p>
        </w:tc>
      </w:tr>
      <w:tr w:rsidR="00BB2AC0" w:rsidRPr="00BE3B49">
        <w:trPr>
          <w:trHeight w:val="294"/>
        </w:trPr>
        <w:tc>
          <w:tcPr>
            <w:tcW w:w="3136" w:type="dxa"/>
            <w:tcBorders>
              <w:right w:val="nil"/>
            </w:tcBorders>
          </w:tcPr>
          <w:p w:rsidR="00BB2AC0" w:rsidRPr="00BE3B49" w:rsidRDefault="00340B5C">
            <w:pPr>
              <w:pBdr>
                <w:top w:val="nil"/>
                <w:left w:val="nil"/>
                <w:bottom w:val="nil"/>
                <w:right w:val="nil"/>
                <w:between w:val="nil"/>
              </w:pBdr>
              <w:spacing w:before="64"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4"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4"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Argelia</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Balboa</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Buenos Aires</w:t>
            </w:r>
          </w:p>
        </w:tc>
      </w:tr>
      <w:tr w:rsidR="00BB2AC0" w:rsidRPr="00BE3B49">
        <w:trPr>
          <w:trHeight w:val="301"/>
        </w:trPr>
        <w:tc>
          <w:tcPr>
            <w:tcW w:w="3136" w:type="dxa"/>
            <w:tcBorders>
              <w:right w:val="nil"/>
            </w:tcBorders>
          </w:tcPr>
          <w:p w:rsidR="00BB2AC0" w:rsidRPr="00BE3B49" w:rsidRDefault="00340B5C">
            <w:pPr>
              <w:pBdr>
                <w:top w:val="nil"/>
                <w:left w:val="nil"/>
                <w:bottom w:val="nil"/>
                <w:right w:val="nil"/>
                <w:between w:val="nil"/>
              </w:pBdr>
              <w:spacing w:before="71"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71"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71" w:line="211" w:lineRule="auto"/>
              <w:ind w:left="27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Cajibío</w:t>
            </w:r>
            <w:proofErr w:type="spellEnd"/>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2"/>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Caldono</w:t>
            </w:r>
            <w:proofErr w:type="spellEnd"/>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Caloto</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Corinto</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El Tambo</w:t>
            </w:r>
          </w:p>
        </w:tc>
      </w:tr>
      <w:tr w:rsidR="00BB2AC0" w:rsidRPr="00BE3B49">
        <w:trPr>
          <w:trHeight w:val="300"/>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Jambaló</w:t>
            </w:r>
            <w:proofErr w:type="spellEnd"/>
          </w:p>
        </w:tc>
      </w:tr>
      <w:tr w:rsidR="00BB2AC0" w:rsidRPr="00BE3B49">
        <w:trPr>
          <w:trHeight w:val="302"/>
        </w:trPr>
        <w:tc>
          <w:tcPr>
            <w:tcW w:w="3136" w:type="dxa"/>
            <w:tcBorders>
              <w:right w:val="nil"/>
            </w:tcBorders>
          </w:tcPr>
          <w:p w:rsidR="00BB2AC0" w:rsidRPr="00BE3B49" w:rsidRDefault="00340B5C">
            <w:pPr>
              <w:pBdr>
                <w:top w:val="nil"/>
                <w:left w:val="nil"/>
                <w:bottom w:val="nil"/>
                <w:right w:val="nil"/>
                <w:between w:val="nil"/>
              </w:pBdr>
              <w:spacing w:before="71"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71"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71"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Mercaderes</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69"/>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Miranda</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Morales</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Patía</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Piendamó</w:t>
            </w:r>
            <w:proofErr w:type="spellEnd"/>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Santander De Quilichao</w:t>
            </w:r>
          </w:p>
        </w:tc>
      </w:tr>
      <w:tr w:rsidR="00BB2AC0" w:rsidRPr="00BE3B49">
        <w:trPr>
          <w:trHeight w:val="302"/>
        </w:trPr>
        <w:tc>
          <w:tcPr>
            <w:tcW w:w="3136" w:type="dxa"/>
            <w:tcBorders>
              <w:right w:val="nil"/>
            </w:tcBorders>
          </w:tcPr>
          <w:p w:rsidR="00BB2AC0" w:rsidRPr="00BE3B49" w:rsidRDefault="00340B5C">
            <w:pPr>
              <w:pBdr>
                <w:top w:val="nil"/>
                <w:left w:val="nil"/>
                <w:bottom w:val="nil"/>
                <w:right w:val="nil"/>
                <w:between w:val="nil"/>
              </w:pBdr>
              <w:spacing w:before="71"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71"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71"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Suárez</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69"/>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Toribio</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Cumbitara</w:t>
            </w:r>
            <w:proofErr w:type="spellEnd"/>
          </w:p>
        </w:tc>
      </w:tr>
      <w:tr w:rsidR="00BB2AC0" w:rsidRPr="00BE3B49">
        <w:trPr>
          <w:trHeight w:val="300"/>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El Rosario</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lastRenderedPageBreak/>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Leiva</w:t>
            </w:r>
          </w:p>
        </w:tc>
      </w:tr>
      <w:tr w:rsidR="00BB2AC0" w:rsidRPr="00BE3B49">
        <w:trPr>
          <w:trHeight w:val="299"/>
        </w:trPr>
        <w:tc>
          <w:tcPr>
            <w:tcW w:w="3136" w:type="dxa"/>
            <w:tcBorders>
              <w:right w:val="nil"/>
            </w:tcBorders>
          </w:tcPr>
          <w:p w:rsidR="00BB2AC0" w:rsidRPr="00BE3B49" w:rsidRDefault="00340B5C">
            <w:pPr>
              <w:pBdr>
                <w:top w:val="nil"/>
                <w:left w:val="nil"/>
                <w:bottom w:val="nil"/>
                <w:right w:val="nil"/>
                <w:between w:val="nil"/>
              </w:pBdr>
              <w:spacing w:before="69"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right w:val="nil"/>
            </w:tcBorders>
          </w:tcPr>
          <w:p w:rsidR="00BB2AC0" w:rsidRPr="00BE3B49" w:rsidRDefault="00340B5C">
            <w:pPr>
              <w:pBdr>
                <w:top w:val="nil"/>
                <w:left w:val="nil"/>
                <w:bottom w:val="nil"/>
                <w:right w:val="nil"/>
                <w:between w:val="nil"/>
              </w:pBdr>
              <w:spacing w:before="69"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23" w:type="dxa"/>
            <w:tcBorders>
              <w:left w:val="nil"/>
            </w:tcBorders>
          </w:tcPr>
          <w:p w:rsidR="00BB2AC0" w:rsidRPr="00BE3B49" w:rsidRDefault="00340B5C">
            <w:pPr>
              <w:pBdr>
                <w:top w:val="nil"/>
                <w:left w:val="nil"/>
                <w:bottom w:val="nil"/>
                <w:right w:val="nil"/>
                <w:between w:val="nil"/>
              </w:pBdr>
              <w:spacing w:before="69" w:line="211" w:lineRule="auto"/>
              <w:ind w:left="277"/>
              <w:rPr>
                <w:rFonts w:ascii="Times New Roman" w:hAnsi="Times New Roman" w:cs="Times New Roman"/>
                <w:color w:val="000000"/>
                <w:sz w:val="24"/>
                <w:szCs w:val="24"/>
              </w:rPr>
            </w:pPr>
            <w:r w:rsidRPr="00BE3B49">
              <w:rPr>
                <w:rFonts w:ascii="Times New Roman" w:hAnsi="Times New Roman" w:cs="Times New Roman"/>
                <w:color w:val="000000"/>
                <w:sz w:val="24"/>
                <w:szCs w:val="24"/>
              </w:rPr>
              <w:t>Los Andes</w:t>
            </w:r>
          </w:p>
        </w:tc>
      </w:tr>
      <w:tr w:rsidR="00BB2AC0" w:rsidRPr="00BE3B49">
        <w:trPr>
          <w:trHeight w:val="302"/>
        </w:trPr>
        <w:tc>
          <w:tcPr>
            <w:tcW w:w="3136" w:type="dxa"/>
            <w:tcBorders>
              <w:bottom w:val="nil"/>
              <w:right w:val="nil"/>
            </w:tcBorders>
          </w:tcPr>
          <w:p w:rsidR="00BB2AC0" w:rsidRPr="00BE3B49" w:rsidRDefault="00340B5C">
            <w:pPr>
              <w:pBdr>
                <w:top w:val="nil"/>
                <w:left w:val="nil"/>
                <w:bottom w:val="nil"/>
                <w:right w:val="nil"/>
                <w:between w:val="nil"/>
              </w:pBdr>
              <w:spacing w:before="71" w:line="211" w:lineRule="auto"/>
              <w:ind w:right="471"/>
              <w:jc w:val="right"/>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692" w:type="dxa"/>
            <w:tcBorders>
              <w:left w:val="nil"/>
              <w:bottom w:val="nil"/>
              <w:right w:val="nil"/>
            </w:tcBorders>
          </w:tcPr>
          <w:p w:rsidR="00BB2AC0" w:rsidRPr="00BE3B49" w:rsidRDefault="00340B5C">
            <w:pPr>
              <w:pBdr>
                <w:top w:val="nil"/>
                <w:left w:val="nil"/>
                <w:bottom w:val="nil"/>
                <w:right w:val="nil"/>
                <w:between w:val="nil"/>
              </w:pBdr>
              <w:spacing w:before="71" w:line="211" w:lineRule="auto"/>
              <w:ind w:left="476"/>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23" w:type="dxa"/>
            <w:tcBorders>
              <w:left w:val="nil"/>
              <w:bottom w:val="nil"/>
            </w:tcBorders>
          </w:tcPr>
          <w:p w:rsidR="00BB2AC0" w:rsidRPr="00BE3B49" w:rsidRDefault="00340B5C">
            <w:pPr>
              <w:pBdr>
                <w:top w:val="nil"/>
                <w:left w:val="nil"/>
                <w:bottom w:val="nil"/>
                <w:right w:val="nil"/>
                <w:between w:val="nil"/>
              </w:pBdr>
              <w:spacing w:before="71" w:line="211" w:lineRule="auto"/>
              <w:ind w:left="27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Policarpa</w:t>
            </w:r>
            <w:proofErr w:type="spellEnd"/>
          </w:p>
        </w:tc>
      </w:tr>
    </w:tbl>
    <w:p w:rsidR="00BB2AC0" w:rsidRPr="00BE3B49" w:rsidRDefault="00BB2AC0">
      <w:pPr>
        <w:pBdr>
          <w:top w:val="nil"/>
          <w:left w:val="nil"/>
          <w:bottom w:val="nil"/>
          <w:right w:val="nil"/>
          <w:between w:val="nil"/>
        </w:pBdr>
        <w:spacing w:before="2"/>
        <w:rPr>
          <w:rFonts w:ascii="Times New Roman" w:hAnsi="Times New Roman" w:cs="Times New Roman"/>
          <w:color w:val="000000"/>
          <w:sz w:val="24"/>
          <w:szCs w:val="24"/>
        </w:rPr>
      </w:pPr>
    </w:p>
    <w:tbl>
      <w:tblPr>
        <w:tblStyle w:val="a1"/>
        <w:tblW w:w="7652"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417"/>
        <w:gridCol w:w="1397"/>
        <w:gridCol w:w="2838"/>
      </w:tblGrid>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ight="381"/>
              <w:rPr>
                <w:rFonts w:ascii="Times New Roman" w:hAnsi="Times New Roman" w:cs="Times New Roman"/>
                <w:color w:val="000000"/>
                <w:sz w:val="24"/>
                <w:szCs w:val="24"/>
              </w:rPr>
            </w:pPr>
            <w:r w:rsidRPr="00BE3B49">
              <w:rPr>
                <w:rFonts w:ascii="Times New Roman" w:hAnsi="Times New Roman" w:cs="Times New Roman"/>
                <w:color w:val="000000"/>
                <w:sz w:val="24"/>
                <w:szCs w:val="24"/>
              </w:rPr>
              <w:t>Valle Del Cauca</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Florida</w:t>
            </w:r>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Alto Patía Y Norte Del Cauca</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ight="381"/>
              <w:rPr>
                <w:rFonts w:ascii="Times New Roman" w:hAnsi="Times New Roman" w:cs="Times New Roman"/>
                <w:color w:val="000000"/>
                <w:sz w:val="24"/>
                <w:szCs w:val="24"/>
              </w:rPr>
            </w:pPr>
            <w:r w:rsidRPr="00BE3B49">
              <w:rPr>
                <w:rFonts w:ascii="Times New Roman" w:hAnsi="Times New Roman" w:cs="Times New Roman"/>
                <w:color w:val="000000"/>
                <w:sz w:val="24"/>
                <w:szCs w:val="24"/>
              </w:rPr>
              <w:t>Valle Del Cauca</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Pradera</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Arauquita</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Fortul</w:t>
            </w:r>
          </w:p>
        </w:tc>
      </w:tr>
      <w:tr w:rsidR="00BB2AC0" w:rsidRPr="00BE3B49">
        <w:trPr>
          <w:trHeight w:val="301"/>
        </w:trPr>
        <w:tc>
          <w:tcPr>
            <w:tcW w:w="3417" w:type="dxa"/>
            <w:tcBorders>
              <w:right w:val="nil"/>
            </w:tcBorders>
          </w:tcPr>
          <w:p w:rsidR="00BB2AC0" w:rsidRPr="00BE3B49" w:rsidRDefault="00340B5C">
            <w:pPr>
              <w:pBdr>
                <w:top w:val="nil"/>
                <w:left w:val="nil"/>
                <w:bottom w:val="nil"/>
                <w:right w:val="nil"/>
                <w:between w:val="nil"/>
              </w:pBdr>
              <w:spacing w:before="76"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1397" w:type="dxa"/>
            <w:tcBorders>
              <w:left w:val="nil"/>
              <w:right w:val="nil"/>
            </w:tcBorders>
          </w:tcPr>
          <w:p w:rsidR="00BB2AC0" w:rsidRPr="00BE3B49" w:rsidRDefault="00340B5C">
            <w:pPr>
              <w:pBdr>
                <w:top w:val="nil"/>
                <w:left w:val="nil"/>
                <w:bottom w:val="nil"/>
                <w:right w:val="nil"/>
                <w:between w:val="nil"/>
              </w:pBdr>
              <w:spacing w:before="76"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2838" w:type="dxa"/>
            <w:tcBorders>
              <w:left w:val="nil"/>
            </w:tcBorders>
          </w:tcPr>
          <w:p w:rsidR="00BB2AC0" w:rsidRPr="00BE3B49" w:rsidRDefault="00340B5C">
            <w:pPr>
              <w:pBdr>
                <w:top w:val="nil"/>
                <w:left w:val="nil"/>
                <w:bottom w:val="nil"/>
                <w:right w:val="nil"/>
                <w:between w:val="nil"/>
              </w:pBdr>
              <w:spacing w:before="76"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Saravena</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Arauca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Tame</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Amalfi</w:t>
            </w:r>
          </w:p>
        </w:tc>
      </w:tr>
      <w:tr w:rsidR="00BB2AC0" w:rsidRPr="00BE3B49">
        <w:trPr>
          <w:trHeight w:val="300"/>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Anorí</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Briceño</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Cáceres</w:t>
            </w:r>
          </w:p>
        </w:tc>
      </w:tr>
      <w:tr w:rsidR="00BB2AC0" w:rsidRPr="00BE3B49">
        <w:trPr>
          <w:trHeight w:val="302"/>
        </w:trPr>
        <w:tc>
          <w:tcPr>
            <w:tcW w:w="3417" w:type="dxa"/>
            <w:tcBorders>
              <w:right w:val="nil"/>
            </w:tcBorders>
          </w:tcPr>
          <w:p w:rsidR="00BB2AC0" w:rsidRPr="00BE3B49" w:rsidRDefault="00340B5C">
            <w:pPr>
              <w:pBdr>
                <w:top w:val="nil"/>
                <w:left w:val="nil"/>
                <w:bottom w:val="nil"/>
                <w:right w:val="nil"/>
                <w:between w:val="nil"/>
              </w:pBdr>
              <w:spacing w:before="76"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6"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6"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Caucasia</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El Bagre</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Ituango</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Nechí</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Remedios</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Segovia</w:t>
            </w:r>
          </w:p>
        </w:tc>
      </w:tr>
      <w:tr w:rsidR="00BB2AC0" w:rsidRPr="00BE3B49">
        <w:trPr>
          <w:trHeight w:val="302"/>
        </w:trPr>
        <w:tc>
          <w:tcPr>
            <w:tcW w:w="3417" w:type="dxa"/>
            <w:tcBorders>
              <w:right w:val="nil"/>
            </w:tcBorders>
          </w:tcPr>
          <w:p w:rsidR="00BB2AC0" w:rsidRPr="00BE3B49" w:rsidRDefault="00340B5C">
            <w:pPr>
              <w:pBdr>
                <w:top w:val="nil"/>
                <w:left w:val="nil"/>
                <w:bottom w:val="nil"/>
                <w:right w:val="nil"/>
                <w:between w:val="nil"/>
              </w:pBdr>
              <w:spacing w:before="76"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6"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6"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Tarazá</w:t>
            </w:r>
            <w:proofErr w:type="spellEnd"/>
          </w:p>
        </w:tc>
      </w:tr>
      <w:tr w:rsidR="00BB2AC0" w:rsidRPr="00BE3B49">
        <w:trPr>
          <w:trHeight w:val="300"/>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Valdivia</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Bajo Cauca Y Nordeste Antioqueño</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Zaragoza</w:t>
            </w:r>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Convención</w:t>
            </w:r>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El Carmen</w:t>
            </w:r>
          </w:p>
        </w:tc>
      </w:tr>
      <w:tr w:rsidR="00BB2AC0" w:rsidRPr="00BE3B49">
        <w:trPr>
          <w:trHeight w:val="457"/>
        </w:trPr>
        <w:tc>
          <w:tcPr>
            <w:tcW w:w="3417" w:type="dxa"/>
            <w:tcBorders>
              <w:right w:val="nil"/>
            </w:tcBorders>
          </w:tcPr>
          <w:p w:rsidR="00BB2AC0" w:rsidRPr="00BE3B49" w:rsidRDefault="00BB2AC0">
            <w:pPr>
              <w:pBdr>
                <w:top w:val="nil"/>
                <w:left w:val="nil"/>
                <w:bottom w:val="nil"/>
                <w:right w:val="nil"/>
                <w:between w:val="nil"/>
              </w:pBdr>
              <w:spacing w:before="2"/>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28"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Norte De </w:t>
            </w:r>
            <w:r w:rsidRPr="00BE3B49">
              <w:rPr>
                <w:rFonts w:ascii="Times New Roman" w:hAnsi="Times New Roman" w:cs="Times New Roman"/>
                <w:color w:val="000000"/>
                <w:sz w:val="24"/>
                <w:szCs w:val="24"/>
              </w:rPr>
              <w:lastRenderedPageBreak/>
              <w:t>Santander</w:t>
            </w:r>
          </w:p>
        </w:tc>
        <w:tc>
          <w:tcPr>
            <w:tcW w:w="2838" w:type="dxa"/>
            <w:tcBorders>
              <w:left w:val="nil"/>
            </w:tcBorders>
          </w:tcPr>
          <w:p w:rsidR="00BB2AC0" w:rsidRPr="00BE3B49" w:rsidRDefault="00BB2AC0">
            <w:pPr>
              <w:pBdr>
                <w:top w:val="nil"/>
                <w:left w:val="nil"/>
                <w:bottom w:val="nil"/>
                <w:right w:val="nil"/>
                <w:between w:val="nil"/>
              </w:pBdr>
              <w:spacing w:before="2"/>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El Tarra</w:t>
            </w:r>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Hacarí</w:t>
            </w:r>
            <w:proofErr w:type="spellEnd"/>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San Calixto</w:t>
            </w:r>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5"/>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5"/>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Sardinata</w:t>
            </w:r>
            <w:proofErr w:type="spellEnd"/>
          </w:p>
        </w:tc>
      </w:tr>
      <w:tr w:rsidR="00BB2AC0" w:rsidRPr="00BE3B49">
        <w:trPr>
          <w:trHeight w:val="460"/>
        </w:trPr>
        <w:tc>
          <w:tcPr>
            <w:tcW w:w="3417" w:type="dxa"/>
            <w:tcBorders>
              <w:righ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11"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Teorama</w:t>
            </w:r>
            <w:proofErr w:type="spellEnd"/>
          </w:p>
        </w:tc>
      </w:tr>
      <w:tr w:rsidR="00BB2AC0" w:rsidRPr="00BE3B49">
        <w:trPr>
          <w:trHeight w:val="458"/>
        </w:trPr>
        <w:tc>
          <w:tcPr>
            <w:tcW w:w="3417" w:type="dxa"/>
            <w:tcBorders>
              <w:right w:val="nil"/>
            </w:tcBorders>
          </w:tcPr>
          <w:p w:rsidR="00BB2AC0" w:rsidRPr="00BE3B49" w:rsidRDefault="00BB2AC0">
            <w:pPr>
              <w:pBdr>
                <w:top w:val="nil"/>
                <w:left w:val="nil"/>
                <w:bottom w:val="nil"/>
                <w:right w:val="nil"/>
                <w:between w:val="nil"/>
              </w:pBdr>
              <w:spacing w:before="2"/>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Catatumbo</w:t>
            </w:r>
          </w:p>
        </w:tc>
        <w:tc>
          <w:tcPr>
            <w:tcW w:w="1397" w:type="dxa"/>
            <w:tcBorders>
              <w:left w:val="nil"/>
              <w:right w:val="nil"/>
            </w:tcBorders>
          </w:tcPr>
          <w:p w:rsidR="00BB2AC0" w:rsidRPr="00BE3B49" w:rsidRDefault="00340B5C">
            <w:pPr>
              <w:pBdr>
                <w:top w:val="nil"/>
                <w:left w:val="nil"/>
                <w:bottom w:val="nil"/>
                <w:right w:val="nil"/>
                <w:between w:val="nil"/>
              </w:pBdr>
              <w:spacing w:line="228"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Norte De Santander</w:t>
            </w:r>
          </w:p>
        </w:tc>
        <w:tc>
          <w:tcPr>
            <w:tcW w:w="2838" w:type="dxa"/>
            <w:tcBorders>
              <w:left w:val="nil"/>
            </w:tcBorders>
          </w:tcPr>
          <w:p w:rsidR="00BB2AC0" w:rsidRPr="00BE3B49" w:rsidRDefault="00BB2AC0">
            <w:pPr>
              <w:pBdr>
                <w:top w:val="nil"/>
                <w:left w:val="nil"/>
                <w:bottom w:val="nil"/>
                <w:right w:val="nil"/>
                <w:between w:val="nil"/>
              </w:pBdr>
              <w:spacing w:before="2"/>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Tibú</w:t>
            </w:r>
            <w:proofErr w:type="spellEnd"/>
          </w:p>
        </w:tc>
      </w:tr>
      <w:tr w:rsidR="00BB2AC0" w:rsidRPr="00BE3B49">
        <w:trPr>
          <w:trHeight w:val="301"/>
        </w:trPr>
        <w:tc>
          <w:tcPr>
            <w:tcW w:w="3417" w:type="dxa"/>
            <w:tcBorders>
              <w:right w:val="nil"/>
            </w:tcBorders>
          </w:tcPr>
          <w:p w:rsidR="00BB2AC0" w:rsidRPr="00BE3B49" w:rsidRDefault="00340B5C">
            <w:pPr>
              <w:pBdr>
                <w:top w:val="nil"/>
                <w:left w:val="nil"/>
                <w:bottom w:val="nil"/>
                <w:right w:val="nil"/>
                <w:between w:val="nil"/>
              </w:pBdr>
              <w:spacing w:before="76"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6"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6"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Murindó</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Vigía Del Fuerte</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Acandí</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Bojaya</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Carmen Del </w:t>
            </w:r>
            <w:proofErr w:type="spellStart"/>
            <w:r w:rsidRPr="00BE3B49">
              <w:rPr>
                <w:rFonts w:ascii="Times New Roman" w:hAnsi="Times New Roman" w:cs="Times New Roman"/>
                <w:color w:val="000000"/>
                <w:sz w:val="24"/>
                <w:szCs w:val="24"/>
              </w:rPr>
              <w:t>Darien</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Condoto</w:t>
            </w:r>
            <w:proofErr w:type="spellEnd"/>
          </w:p>
        </w:tc>
      </w:tr>
      <w:tr w:rsidR="00BB2AC0" w:rsidRPr="00BE3B49">
        <w:trPr>
          <w:trHeight w:val="302"/>
        </w:trPr>
        <w:tc>
          <w:tcPr>
            <w:tcW w:w="3417" w:type="dxa"/>
            <w:tcBorders>
              <w:right w:val="nil"/>
            </w:tcBorders>
          </w:tcPr>
          <w:p w:rsidR="00BB2AC0" w:rsidRPr="00BE3B49" w:rsidRDefault="00340B5C">
            <w:pPr>
              <w:pBdr>
                <w:top w:val="nil"/>
                <w:left w:val="nil"/>
                <w:bottom w:val="nil"/>
                <w:right w:val="nil"/>
                <w:between w:val="nil"/>
              </w:pBdr>
              <w:spacing w:before="76"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6"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6"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El Litoral Del San Juan</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Istmina</w:t>
            </w:r>
            <w:proofErr w:type="spellEnd"/>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Medio Atrato</w:t>
            </w:r>
          </w:p>
        </w:tc>
      </w:tr>
      <w:tr w:rsidR="00BB2AC0" w:rsidRPr="00BE3B49">
        <w:trPr>
          <w:trHeight w:val="299"/>
        </w:trPr>
        <w:tc>
          <w:tcPr>
            <w:tcW w:w="3417" w:type="dxa"/>
            <w:tcBorders>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r w:rsidRPr="00BE3B49">
              <w:rPr>
                <w:rFonts w:ascii="Times New Roman" w:hAnsi="Times New Roman" w:cs="Times New Roman"/>
                <w:color w:val="000000"/>
                <w:sz w:val="24"/>
                <w:szCs w:val="24"/>
              </w:rPr>
              <w:t>Medio San Juan</w:t>
            </w:r>
          </w:p>
        </w:tc>
      </w:tr>
      <w:tr w:rsidR="00BB2AC0" w:rsidRPr="00BE3B49">
        <w:trPr>
          <w:trHeight w:val="299"/>
        </w:trPr>
        <w:tc>
          <w:tcPr>
            <w:tcW w:w="3417" w:type="dxa"/>
            <w:tcBorders>
              <w:bottom w:val="nil"/>
              <w:right w:val="nil"/>
            </w:tcBorders>
          </w:tcPr>
          <w:p w:rsidR="00BB2AC0" w:rsidRPr="00BE3B49" w:rsidRDefault="00340B5C">
            <w:pPr>
              <w:pBdr>
                <w:top w:val="nil"/>
                <w:left w:val="nil"/>
                <w:bottom w:val="nil"/>
                <w:right w:val="nil"/>
                <w:between w:val="nil"/>
              </w:pBdr>
              <w:spacing w:before="74" w:line="206"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97" w:type="dxa"/>
            <w:tcBorders>
              <w:left w:val="nil"/>
              <w:bottom w:val="nil"/>
              <w:right w:val="nil"/>
            </w:tcBorders>
          </w:tcPr>
          <w:p w:rsidR="00BB2AC0" w:rsidRPr="00BE3B49" w:rsidRDefault="00340B5C">
            <w:pPr>
              <w:pBdr>
                <w:top w:val="nil"/>
                <w:left w:val="nil"/>
                <w:bottom w:val="nil"/>
                <w:right w:val="nil"/>
                <w:between w:val="nil"/>
              </w:pBdr>
              <w:spacing w:before="74" w:line="206" w:lineRule="auto"/>
              <w:ind w:left="195"/>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38" w:type="dxa"/>
            <w:tcBorders>
              <w:left w:val="nil"/>
              <w:bottom w:val="nil"/>
            </w:tcBorders>
          </w:tcPr>
          <w:p w:rsidR="00BB2AC0" w:rsidRPr="00BE3B49" w:rsidRDefault="00340B5C">
            <w:pPr>
              <w:pBdr>
                <w:top w:val="nil"/>
                <w:left w:val="nil"/>
                <w:bottom w:val="nil"/>
                <w:right w:val="nil"/>
                <w:between w:val="nil"/>
              </w:pBdr>
              <w:spacing w:before="74" w:line="206" w:lineRule="auto"/>
              <w:ind w:left="29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Nóvita</w:t>
            </w:r>
            <w:proofErr w:type="spellEnd"/>
          </w:p>
        </w:tc>
      </w:tr>
    </w:tbl>
    <w:p w:rsidR="00BB2AC0" w:rsidRPr="00BE3B49" w:rsidRDefault="00340B5C">
      <w:pPr>
        <w:pBdr>
          <w:top w:val="nil"/>
          <w:left w:val="nil"/>
          <w:bottom w:val="nil"/>
          <w:right w:val="nil"/>
          <w:between w:val="nil"/>
        </w:pBdr>
        <w:spacing w:before="7"/>
        <w:rPr>
          <w:rFonts w:ascii="Times New Roman" w:hAnsi="Times New Roman" w:cs="Times New Roman"/>
          <w:color w:val="000000"/>
          <w:sz w:val="24"/>
          <w:szCs w:val="24"/>
        </w:rPr>
      </w:pPr>
      <w:r w:rsidRPr="00BE3B49">
        <w:rPr>
          <w:rFonts w:ascii="Times New Roman" w:hAnsi="Times New Roman" w:cs="Times New Roman"/>
          <w:noProof/>
          <w:color w:val="000000"/>
          <w:sz w:val="24"/>
          <w:szCs w:val="24"/>
          <w:lang w:val="es-CO"/>
        </w:rPr>
        <w:drawing>
          <wp:anchor distT="0" distB="0" distL="0" distR="0" simplePos="0" relativeHeight="251671552" behindDoc="1" locked="0" layoutInCell="1" hidden="0" allowOverlap="1">
            <wp:simplePos x="0" y="0"/>
            <wp:positionH relativeFrom="page">
              <wp:posOffset>2284729</wp:posOffset>
            </wp:positionH>
            <wp:positionV relativeFrom="page">
              <wp:posOffset>3650360</wp:posOffset>
            </wp:positionV>
            <wp:extent cx="2987547" cy="3063875"/>
            <wp:effectExtent l="0" t="0" r="0" b="0"/>
            <wp:wrapNone/>
            <wp:docPr id="9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rcRect/>
                    <a:stretch>
                      <a:fillRect/>
                    </a:stretch>
                  </pic:blipFill>
                  <pic:spPr>
                    <a:xfrm>
                      <a:off x="0" y="0"/>
                      <a:ext cx="2987547" cy="3063875"/>
                    </a:xfrm>
                    <a:prstGeom prst="rect">
                      <a:avLst/>
                    </a:prstGeom>
                    <a:ln/>
                  </pic:spPr>
                </pic:pic>
              </a:graphicData>
            </a:graphic>
          </wp:anchor>
        </w:drawing>
      </w:r>
    </w:p>
    <w:tbl>
      <w:tblPr>
        <w:tblStyle w:val="a2"/>
        <w:tblW w:w="7652"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393"/>
        <w:gridCol w:w="1365"/>
        <w:gridCol w:w="2894"/>
      </w:tblGrid>
      <w:tr w:rsidR="00BB2AC0" w:rsidRPr="00BE3B49">
        <w:trPr>
          <w:trHeight w:val="302"/>
        </w:trPr>
        <w:tc>
          <w:tcPr>
            <w:tcW w:w="3393"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65" w:type="dxa"/>
            <w:tcBorders>
              <w:left w:val="nil"/>
              <w:right w:val="nil"/>
            </w:tcBorders>
          </w:tcPr>
          <w:p w:rsidR="00BB2AC0" w:rsidRPr="00BE3B49" w:rsidRDefault="00340B5C">
            <w:pPr>
              <w:pBdr>
                <w:top w:val="nil"/>
                <w:left w:val="nil"/>
                <w:bottom w:val="nil"/>
                <w:right w:val="nil"/>
                <w:between w:val="nil"/>
              </w:pBdr>
              <w:spacing w:before="71"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94" w:type="dxa"/>
            <w:tcBorders>
              <w:left w:val="nil"/>
            </w:tcBorders>
          </w:tcPr>
          <w:p w:rsidR="00BB2AC0" w:rsidRPr="00BE3B49" w:rsidRDefault="00340B5C">
            <w:pPr>
              <w:pBdr>
                <w:top w:val="nil"/>
                <w:left w:val="nil"/>
                <w:bottom w:val="nil"/>
                <w:right w:val="nil"/>
                <w:between w:val="nil"/>
              </w:pBdr>
              <w:spacing w:before="71" w:line="211" w:lineRule="auto"/>
              <w:ind w:left="34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Riosucio</w:t>
            </w:r>
            <w:proofErr w:type="spellEnd"/>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Sipí</w:t>
            </w:r>
            <w:proofErr w:type="spellEnd"/>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Chocó</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Unguía</w:t>
            </w:r>
            <w:proofErr w:type="spellEnd"/>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Albania</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Belén De Los </w:t>
            </w:r>
            <w:proofErr w:type="spellStart"/>
            <w:r w:rsidRPr="00BE3B49">
              <w:rPr>
                <w:rFonts w:ascii="Times New Roman" w:hAnsi="Times New Roman" w:cs="Times New Roman"/>
                <w:color w:val="000000"/>
                <w:sz w:val="24"/>
                <w:szCs w:val="24"/>
              </w:rPr>
              <w:t>Andaquíes</w:t>
            </w:r>
            <w:proofErr w:type="spellEnd"/>
          </w:p>
        </w:tc>
      </w:tr>
      <w:tr w:rsidR="00BB2AC0" w:rsidRPr="00BE3B49">
        <w:trPr>
          <w:trHeight w:val="458"/>
        </w:trPr>
        <w:tc>
          <w:tcPr>
            <w:tcW w:w="3393" w:type="dxa"/>
            <w:tcBorders>
              <w:right w:val="nil"/>
            </w:tcBorders>
          </w:tcPr>
          <w:p w:rsidR="00BB2AC0" w:rsidRPr="00BE3B49" w:rsidRDefault="00340B5C">
            <w:pPr>
              <w:pBdr>
                <w:top w:val="nil"/>
                <w:left w:val="nil"/>
                <w:bottom w:val="nil"/>
                <w:right w:val="nil"/>
                <w:between w:val="nil"/>
              </w:pBdr>
              <w:spacing w:line="228"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8"/>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8"/>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Cartagena Del </w:t>
            </w:r>
            <w:proofErr w:type="spellStart"/>
            <w:r w:rsidRPr="00BE3B49">
              <w:rPr>
                <w:rFonts w:ascii="Times New Roman" w:hAnsi="Times New Roman" w:cs="Times New Roman"/>
                <w:color w:val="000000"/>
                <w:sz w:val="24"/>
                <w:szCs w:val="24"/>
              </w:rPr>
              <w:t>Chairá</w:t>
            </w:r>
            <w:proofErr w:type="spellEnd"/>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Curillo</w:t>
            </w:r>
            <w:proofErr w:type="spellEnd"/>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El </w:t>
            </w:r>
            <w:proofErr w:type="spellStart"/>
            <w:r w:rsidRPr="00BE3B49">
              <w:rPr>
                <w:rFonts w:ascii="Times New Roman" w:hAnsi="Times New Roman" w:cs="Times New Roman"/>
                <w:color w:val="000000"/>
                <w:sz w:val="24"/>
                <w:szCs w:val="24"/>
              </w:rPr>
              <w:t>Doncello</w:t>
            </w:r>
            <w:proofErr w:type="spellEnd"/>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El Paujil</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Florencia</w:t>
            </w:r>
          </w:p>
        </w:tc>
      </w:tr>
      <w:tr w:rsidR="00BB2AC0" w:rsidRPr="00BE3B49">
        <w:trPr>
          <w:trHeight w:val="457"/>
        </w:trPr>
        <w:tc>
          <w:tcPr>
            <w:tcW w:w="3393" w:type="dxa"/>
            <w:tcBorders>
              <w:right w:val="nil"/>
            </w:tcBorders>
          </w:tcPr>
          <w:p w:rsidR="00BB2AC0" w:rsidRPr="00BE3B49" w:rsidRDefault="00340B5C">
            <w:pPr>
              <w:pBdr>
                <w:top w:val="nil"/>
                <w:left w:val="nil"/>
                <w:bottom w:val="nil"/>
                <w:right w:val="nil"/>
                <w:between w:val="nil"/>
              </w:pBdr>
              <w:spacing w:line="228"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8"/>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8"/>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La Montañita</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Milán</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Morelia</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lastRenderedPageBreak/>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Rico</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San José Del Fragua</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San Vicente Del </w:t>
            </w:r>
            <w:proofErr w:type="spellStart"/>
            <w:r w:rsidRPr="00BE3B49">
              <w:rPr>
                <w:rFonts w:ascii="Times New Roman" w:hAnsi="Times New Roman" w:cs="Times New Roman"/>
                <w:color w:val="000000"/>
                <w:sz w:val="24"/>
                <w:szCs w:val="24"/>
              </w:rPr>
              <w:t>Caguán</w:t>
            </w:r>
            <w:proofErr w:type="spellEnd"/>
          </w:p>
        </w:tc>
      </w:tr>
      <w:tr w:rsidR="00BB2AC0" w:rsidRPr="00BE3B49">
        <w:trPr>
          <w:trHeight w:val="457"/>
        </w:trPr>
        <w:tc>
          <w:tcPr>
            <w:tcW w:w="3393" w:type="dxa"/>
            <w:tcBorders>
              <w:right w:val="nil"/>
            </w:tcBorders>
          </w:tcPr>
          <w:p w:rsidR="00BB2AC0" w:rsidRPr="00BE3B49" w:rsidRDefault="00340B5C">
            <w:pPr>
              <w:pBdr>
                <w:top w:val="nil"/>
                <w:left w:val="nil"/>
                <w:bottom w:val="nil"/>
                <w:right w:val="nil"/>
                <w:between w:val="nil"/>
              </w:pBdr>
              <w:spacing w:line="228"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8"/>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8"/>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Solano</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Solita</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Caquetá</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Valparaíso</w:t>
            </w:r>
          </w:p>
        </w:tc>
      </w:tr>
      <w:tr w:rsidR="00BB2AC0" w:rsidRPr="00BE3B49">
        <w:trPr>
          <w:trHeight w:val="460"/>
        </w:trPr>
        <w:tc>
          <w:tcPr>
            <w:tcW w:w="3393" w:type="dxa"/>
            <w:tcBorders>
              <w:right w:val="nil"/>
            </w:tcBorders>
          </w:tcPr>
          <w:p w:rsidR="00BB2AC0" w:rsidRPr="00BE3B49" w:rsidRDefault="00340B5C">
            <w:pPr>
              <w:pBdr>
                <w:top w:val="nil"/>
                <w:left w:val="nil"/>
                <w:bottom w:val="nil"/>
                <w:right w:val="nil"/>
                <w:between w:val="nil"/>
              </w:pBdr>
              <w:spacing w:line="230" w:lineRule="auto"/>
              <w:ind w:left="69" w:right="20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Cuenca Del </w:t>
            </w:r>
            <w:proofErr w:type="spellStart"/>
            <w:r w:rsidRPr="00BE3B49">
              <w:rPr>
                <w:rFonts w:ascii="Times New Roman" w:hAnsi="Times New Roman" w:cs="Times New Roman"/>
                <w:color w:val="000000"/>
                <w:sz w:val="24"/>
                <w:szCs w:val="24"/>
              </w:rPr>
              <w:t>Caguán</w:t>
            </w:r>
            <w:proofErr w:type="spellEnd"/>
            <w:r w:rsidRPr="00BE3B49">
              <w:rPr>
                <w:rFonts w:ascii="Times New Roman" w:hAnsi="Times New Roman" w:cs="Times New Roman"/>
                <w:color w:val="000000"/>
                <w:sz w:val="24"/>
                <w:szCs w:val="24"/>
              </w:rPr>
              <w:t xml:space="preserve"> Y Piedemonte </w:t>
            </w:r>
            <w:proofErr w:type="spellStart"/>
            <w:r w:rsidRPr="00BE3B49">
              <w:rPr>
                <w:rFonts w:ascii="Times New Roman" w:hAnsi="Times New Roman" w:cs="Times New Roman"/>
                <w:color w:val="000000"/>
                <w:sz w:val="24"/>
                <w:szCs w:val="24"/>
              </w:rPr>
              <w:t>Caqueteño</w:t>
            </w:r>
            <w:proofErr w:type="spellEnd"/>
          </w:p>
        </w:tc>
        <w:tc>
          <w:tcPr>
            <w:tcW w:w="1365" w:type="dxa"/>
            <w:tcBorders>
              <w:left w:val="nil"/>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Huila</w:t>
            </w:r>
          </w:p>
        </w:tc>
        <w:tc>
          <w:tcPr>
            <w:tcW w:w="2894"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Algeciras</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Guaviare</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Calamar</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Guaviare</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El Retorno</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Guaviare</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Miraflores</w:t>
            </w:r>
          </w:p>
        </w:tc>
      </w:tr>
      <w:tr w:rsidR="00BB2AC0" w:rsidRPr="00BE3B49">
        <w:trPr>
          <w:trHeight w:val="301"/>
        </w:trPr>
        <w:tc>
          <w:tcPr>
            <w:tcW w:w="3393"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71"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Guaviare</w:t>
            </w:r>
          </w:p>
        </w:tc>
        <w:tc>
          <w:tcPr>
            <w:tcW w:w="2894" w:type="dxa"/>
            <w:tcBorders>
              <w:left w:val="nil"/>
            </w:tcBorders>
          </w:tcPr>
          <w:p w:rsidR="00BB2AC0" w:rsidRPr="00BE3B49" w:rsidRDefault="00340B5C">
            <w:pPr>
              <w:pBdr>
                <w:top w:val="nil"/>
                <w:left w:val="nil"/>
                <w:bottom w:val="nil"/>
                <w:right w:val="nil"/>
                <w:between w:val="nil"/>
              </w:pBdr>
              <w:spacing w:before="71"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San José Del Guaviare</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La Macarena</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Mapiripán</w:t>
            </w:r>
            <w:proofErr w:type="spellEnd"/>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Mesetas</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Concordia</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Lleras</w:t>
            </w:r>
          </w:p>
        </w:tc>
      </w:tr>
      <w:tr w:rsidR="00BB2AC0" w:rsidRPr="00BE3B49">
        <w:trPr>
          <w:trHeight w:val="301"/>
        </w:trPr>
        <w:tc>
          <w:tcPr>
            <w:tcW w:w="3393"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71"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71"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Rico</w:t>
            </w:r>
          </w:p>
        </w:tc>
      </w:tr>
      <w:tr w:rsidR="00BB2AC0" w:rsidRPr="00BE3B49">
        <w:trPr>
          <w:trHeight w:val="300"/>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Uribe</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Macarena - Guaviare</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Meta</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Vista Hermosa</w:t>
            </w:r>
          </w:p>
        </w:tc>
      </w:tr>
      <w:tr w:rsidR="00BB2AC0" w:rsidRPr="00BE3B49">
        <w:trPr>
          <w:trHeight w:val="299"/>
        </w:trPr>
        <w:tc>
          <w:tcPr>
            <w:tcW w:w="3393"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365" w:type="dxa"/>
            <w:tcBorders>
              <w:left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94" w:type="dxa"/>
            <w:tcBorders>
              <w:left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Córdoba</w:t>
            </w:r>
          </w:p>
        </w:tc>
      </w:tr>
      <w:tr w:rsidR="00BB2AC0" w:rsidRPr="00BE3B49">
        <w:trPr>
          <w:trHeight w:val="299"/>
        </w:trPr>
        <w:tc>
          <w:tcPr>
            <w:tcW w:w="3393" w:type="dxa"/>
            <w:tcBorders>
              <w:bottom w:val="nil"/>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365" w:type="dxa"/>
            <w:tcBorders>
              <w:left w:val="nil"/>
              <w:bottom w:val="nil"/>
              <w:right w:val="nil"/>
            </w:tcBorders>
          </w:tcPr>
          <w:p w:rsidR="00BB2AC0" w:rsidRPr="00BE3B49" w:rsidRDefault="00340B5C">
            <w:pPr>
              <w:pBdr>
                <w:top w:val="nil"/>
                <w:left w:val="nil"/>
                <w:bottom w:val="nil"/>
                <w:right w:val="nil"/>
                <w:between w:val="nil"/>
              </w:pBdr>
              <w:spacing w:before="69" w:line="211" w:lineRule="auto"/>
              <w:ind w:left="219"/>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94" w:type="dxa"/>
            <w:tcBorders>
              <w:left w:val="nil"/>
              <w:bottom w:val="nil"/>
            </w:tcBorders>
          </w:tcPr>
          <w:p w:rsidR="00BB2AC0" w:rsidRPr="00BE3B49" w:rsidRDefault="00340B5C">
            <w:pPr>
              <w:pBdr>
                <w:top w:val="nil"/>
                <w:left w:val="nil"/>
                <w:bottom w:val="nil"/>
                <w:right w:val="nil"/>
                <w:between w:val="nil"/>
              </w:pBdr>
              <w:spacing w:before="69" w:line="211" w:lineRule="auto"/>
              <w:ind w:left="347"/>
              <w:rPr>
                <w:rFonts w:ascii="Times New Roman" w:hAnsi="Times New Roman" w:cs="Times New Roman"/>
                <w:color w:val="000000"/>
                <w:sz w:val="24"/>
                <w:szCs w:val="24"/>
              </w:rPr>
            </w:pPr>
            <w:r w:rsidRPr="00BE3B49">
              <w:rPr>
                <w:rFonts w:ascii="Times New Roman" w:hAnsi="Times New Roman" w:cs="Times New Roman"/>
                <w:color w:val="000000"/>
                <w:sz w:val="24"/>
                <w:szCs w:val="24"/>
              </w:rPr>
              <w:t>El Carmen De Bolívar</w:t>
            </w:r>
          </w:p>
        </w:tc>
      </w:tr>
    </w:tbl>
    <w:p w:rsidR="00BB2AC0" w:rsidRPr="00BE3B49" w:rsidRDefault="00BB2AC0">
      <w:pPr>
        <w:pBdr>
          <w:top w:val="nil"/>
          <w:left w:val="nil"/>
          <w:bottom w:val="nil"/>
          <w:right w:val="nil"/>
          <w:between w:val="nil"/>
        </w:pBdr>
        <w:spacing w:before="7"/>
        <w:rPr>
          <w:rFonts w:ascii="Times New Roman" w:hAnsi="Times New Roman" w:cs="Times New Roman"/>
          <w:color w:val="000000"/>
          <w:sz w:val="24"/>
          <w:szCs w:val="24"/>
        </w:rPr>
      </w:pPr>
    </w:p>
    <w:tbl>
      <w:tblPr>
        <w:tblStyle w:val="a3"/>
        <w:tblW w:w="7654"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3178"/>
        <w:gridCol w:w="1626"/>
        <w:gridCol w:w="2850"/>
      </w:tblGrid>
      <w:tr w:rsidR="00BB2AC0" w:rsidRPr="00BE3B49">
        <w:trPr>
          <w:trHeight w:val="302"/>
        </w:trPr>
        <w:tc>
          <w:tcPr>
            <w:tcW w:w="3178"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71"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50" w:type="dxa"/>
            <w:tcBorders>
              <w:left w:val="nil"/>
            </w:tcBorders>
          </w:tcPr>
          <w:p w:rsidR="00BB2AC0" w:rsidRPr="00BE3B49" w:rsidRDefault="00340B5C">
            <w:pPr>
              <w:pBdr>
                <w:top w:val="nil"/>
                <w:left w:val="nil"/>
                <w:bottom w:val="nil"/>
                <w:right w:val="nil"/>
                <w:between w:val="nil"/>
              </w:pBdr>
              <w:spacing w:before="71"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El Guamo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María La Baja</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San Jacinto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San Juan Nepomuceno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Zambrano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Chalán</w:t>
            </w:r>
          </w:p>
        </w:tc>
      </w:tr>
      <w:tr w:rsidR="00BB2AC0" w:rsidRPr="00BE3B49">
        <w:trPr>
          <w:trHeight w:val="301"/>
        </w:trPr>
        <w:tc>
          <w:tcPr>
            <w:tcW w:w="3178"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71"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71"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Coloso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Los Palmitos</w:t>
            </w:r>
          </w:p>
        </w:tc>
      </w:tr>
      <w:tr w:rsidR="00BB2AC0" w:rsidRPr="00BE3B49">
        <w:trPr>
          <w:trHeight w:val="300"/>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Morroa</w:t>
            </w:r>
            <w:proofErr w:type="spellEnd"/>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Ovejas</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San Antonio De Palmito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San Onofre</w:t>
            </w:r>
          </w:p>
        </w:tc>
      </w:tr>
      <w:tr w:rsidR="00BB2AC0" w:rsidRPr="00BE3B49">
        <w:trPr>
          <w:trHeight w:val="302"/>
        </w:trPr>
        <w:tc>
          <w:tcPr>
            <w:tcW w:w="3178"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Montes De María</w:t>
            </w:r>
          </w:p>
        </w:tc>
        <w:tc>
          <w:tcPr>
            <w:tcW w:w="1626" w:type="dxa"/>
            <w:tcBorders>
              <w:left w:val="nil"/>
              <w:right w:val="nil"/>
            </w:tcBorders>
          </w:tcPr>
          <w:p w:rsidR="00BB2AC0" w:rsidRPr="00BE3B49" w:rsidRDefault="00340B5C">
            <w:pPr>
              <w:pBdr>
                <w:top w:val="nil"/>
                <w:left w:val="nil"/>
                <w:bottom w:val="nil"/>
                <w:right w:val="nil"/>
                <w:between w:val="nil"/>
              </w:pBdr>
              <w:spacing w:before="71"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Sucre</w:t>
            </w:r>
          </w:p>
        </w:tc>
        <w:tc>
          <w:tcPr>
            <w:tcW w:w="2850" w:type="dxa"/>
            <w:tcBorders>
              <w:left w:val="nil"/>
            </w:tcBorders>
          </w:tcPr>
          <w:p w:rsidR="00BB2AC0" w:rsidRPr="00BE3B49" w:rsidRDefault="00340B5C">
            <w:pPr>
              <w:pBdr>
                <w:top w:val="nil"/>
                <w:left w:val="nil"/>
                <w:bottom w:val="nil"/>
                <w:right w:val="nil"/>
                <w:between w:val="nil"/>
              </w:pBdr>
              <w:spacing w:before="71"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Tolú Viejo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Medio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Guapi</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Medio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López</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lastRenderedPageBreak/>
              <w:t>Pacífico Medio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Cauca</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Timbiquí</w:t>
            </w:r>
            <w:proofErr w:type="spellEnd"/>
          </w:p>
        </w:tc>
      </w:tr>
      <w:tr w:rsidR="00BB2AC0" w:rsidRPr="00BE3B49">
        <w:trPr>
          <w:trHeight w:val="460"/>
        </w:trPr>
        <w:tc>
          <w:tcPr>
            <w:tcW w:w="3178" w:type="dxa"/>
            <w:tcBorders>
              <w:righ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Medio</w:t>
            </w:r>
          </w:p>
        </w:tc>
        <w:tc>
          <w:tcPr>
            <w:tcW w:w="1626" w:type="dxa"/>
            <w:tcBorders>
              <w:left w:val="nil"/>
              <w:right w:val="nil"/>
            </w:tcBorders>
          </w:tcPr>
          <w:p w:rsidR="00BB2AC0" w:rsidRPr="00BE3B49" w:rsidRDefault="00340B5C">
            <w:pPr>
              <w:pBdr>
                <w:top w:val="nil"/>
                <w:left w:val="nil"/>
                <w:bottom w:val="nil"/>
                <w:right w:val="nil"/>
                <w:between w:val="nil"/>
              </w:pBdr>
              <w:spacing w:line="230" w:lineRule="auto"/>
              <w:ind w:left="434" w:right="371"/>
              <w:rPr>
                <w:rFonts w:ascii="Times New Roman" w:hAnsi="Times New Roman" w:cs="Times New Roman"/>
                <w:color w:val="000000"/>
                <w:sz w:val="24"/>
                <w:szCs w:val="24"/>
              </w:rPr>
            </w:pPr>
            <w:r w:rsidRPr="00BE3B49">
              <w:rPr>
                <w:rFonts w:ascii="Times New Roman" w:hAnsi="Times New Roman" w:cs="Times New Roman"/>
                <w:color w:val="000000"/>
                <w:sz w:val="24"/>
                <w:szCs w:val="24"/>
              </w:rPr>
              <w:t>Valle Del Cauca</w:t>
            </w:r>
          </w:p>
        </w:tc>
        <w:tc>
          <w:tcPr>
            <w:tcW w:w="2850" w:type="dxa"/>
            <w:tcBorders>
              <w:left w:val="nil"/>
            </w:tcBorders>
          </w:tcPr>
          <w:p w:rsidR="00BB2AC0" w:rsidRPr="00BE3B49" w:rsidRDefault="00BB2AC0">
            <w:pPr>
              <w:pBdr>
                <w:top w:val="nil"/>
                <w:left w:val="nil"/>
                <w:bottom w:val="nil"/>
                <w:right w:val="nil"/>
                <w:between w:val="nil"/>
              </w:pBdr>
              <w:spacing w:before="11"/>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Buenaventura</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Barbacoas</w:t>
            </w:r>
          </w:p>
        </w:tc>
      </w:tr>
      <w:tr w:rsidR="00BB2AC0" w:rsidRPr="00BE3B49">
        <w:trPr>
          <w:trHeight w:val="300"/>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El Charco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Francisco Pizarro</w:t>
            </w:r>
          </w:p>
        </w:tc>
      </w:tr>
      <w:tr w:rsidR="00BB2AC0" w:rsidRPr="00BE3B49">
        <w:trPr>
          <w:trHeight w:val="302"/>
        </w:trPr>
        <w:tc>
          <w:tcPr>
            <w:tcW w:w="3178"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71"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71"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La Tola</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Magüi</w:t>
            </w:r>
            <w:proofErr w:type="spellEnd"/>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Mosquera</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Olaya Herrera</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Ricaurte</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Roberto Payán</w:t>
            </w:r>
          </w:p>
        </w:tc>
      </w:tr>
      <w:tr w:rsidR="00BB2AC0" w:rsidRPr="00BE3B49">
        <w:trPr>
          <w:trHeight w:val="302"/>
        </w:trPr>
        <w:tc>
          <w:tcPr>
            <w:tcW w:w="3178"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71"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71"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San </w:t>
            </w:r>
            <w:proofErr w:type="spellStart"/>
            <w:r w:rsidRPr="00BE3B49">
              <w:rPr>
                <w:rFonts w:ascii="Times New Roman" w:hAnsi="Times New Roman" w:cs="Times New Roman"/>
                <w:color w:val="000000"/>
                <w:sz w:val="24"/>
                <w:szCs w:val="24"/>
              </w:rPr>
              <w:t>Andres</w:t>
            </w:r>
            <w:proofErr w:type="spellEnd"/>
            <w:r w:rsidRPr="00BE3B49">
              <w:rPr>
                <w:rFonts w:ascii="Times New Roman" w:hAnsi="Times New Roman" w:cs="Times New Roman"/>
                <w:color w:val="000000"/>
                <w:sz w:val="24"/>
                <w:szCs w:val="24"/>
              </w:rPr>
              <w:t xml:space="preserve"> De Tumaco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Pacífico Y Frontera Nariñense</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Nariño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Santa Bárbara</w:t>
            </w:r>
          </w:p>
        </w:tc>
      </w:tr>
      <w:tr w:rsidR="00BB2AC0" w:rsidRPr="00BE3B49">
        <w:trPr>
          <w:trHeight w:val="300"/>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Leguízamo</w:t>
            </w:r>
            <w:proofErr w:type="spellEnd"/>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Mocoa</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Orito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Asís</w:t>
            </w:r>
          </w:p>
        </w:tc>
      </w:tr>
      <w:tr w:rsidR="00BB2AC0" w:rsidRPr="00BE3B49">
        <w:trPr>
          <w:trHeight w:val="301"/>
        </w:trPr>
        <w:tc>
          <w:tcPr>
            <w:tcW w:w="3178"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71"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71"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Caicedo</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Guzmán</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San Miguel</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Valle Del </w:t>
            </w:r>
            <w:proofErr w:type="spellStart"/>
            <w:r w:rsidRPr="00BE3B49">
              <w:rPr>
                <w:rFonts w:ascii="Times New Roman" w:hAnsi="Times New Roman" w:cs="Times New Roman"/>
                <w:color w:val="000000"/>
                <w:sz w:val="24"/>
                <w:szCs w:val="24"/>
              </w:rPr>
              <w:t>Guamuez</w:t>
            </w:r>
            <w:proofErr w:type="spellEnd"/>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Putumayo</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Villagarzón</w:t>
            </w:r>
            <w:proofErr w:type="spellEnd"/>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Agustín Codazzi</w:t>
            </w:r>
          </w:p>
        </w:tc>
      </w:tr>
      <w:tr w:rsidR="00BB2AC0" w:rsidRPr="00BE3B49">
        <w:trPr>
          <w:trHeight w:val="302"/>
        </w:trPr>
        <w:tc>
          <w:tcPr>
            <w:tcW w:w="3178" w:type="dxa"/>
            <w:tcBorders>
              <w:right w:val="nil"/>
            </w:tcBorders>
          </w:tcPr>
          <w:p w:rsidR="00BB2AC0" w:rsidRPr="00BE3B49" w:rsidRDefault="00340B5C">
            <w:pPr>
              <w:pBdr>
                <w:top w:val="nil"/>
                <w:left w:val="nil"/>
                <w:bottom w:val="nil"/>
                <w:right w:val="nil"/>
                <w:between w:val="nil"/>
              </w:pBdr>
              <w:spacing w:before="72"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1626" w:type="dxa"/>
            <w:tcBorders>
              <w:left w:val="nil"/>
              <w:right w:val="nil"/>
            </w:tcBorders>
          </w:tcPr>
          <w:p w:rsidR="00BB2AC0" w:rsidRPr="00BE3B49" w:rsidRDefault="00340B5C">
            <w:pPr>
              <w:pBdr>
                <w:top w:val="nil"/>
                <w:left w:val="nil"/>
                <w:bottom w:val="nil"/>
                <w:right w:val="nil"/>
                <w:between w:val="nil"/>
              </w:pBdr>
              <w:spacing w:before="72"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50" w:type="dxa"/>
            <w:tcBorders>
              <w:left w:val="nil"/>
            </w:tcBorders>
          </w:tcPr>
          <w:p w:rsidR="00BB2AC0" w:rsidRPr="00BE3B49" w:rsidRDefault="00340B5C">
            <w:pPr>
              <w:pBdr>
                <w:top w:val="nil"/>
                <w:left w:val="nil"/>
                <w:bottom w:val="nil"/>
                <w:right w:val="nil"/>
                <w:between w:val="nil"/>
              </w:pBdr>
              <w:spacing w:before="72"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Becerril</w:t>
            </w:r>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La Jagua De </w:t>
            </w:r>
            <w:proofErr w:type="spellStart"/>
            <w:r w:rsidRPr="00BE3B49">
              <w:rPr>
                <w:rFonts w:ascii="Times New Roman" w:hAnsi="Times New Roman" w:cs="Times New Roman"/>
                <w:color w:val="000000"/>
                <w:sz w:val="24"/>
                <w:szCs w:val="24"/>
              </w:rPr>
              <w:t>Ibirico</w:t>
            </w:r>
            <w:proofErr w:type="spellEnd"/>
          </w:p>
        </w:tc>
      </w:tr>
      <w:tr w:rsidR="00BB2AC0" w:rsidRPr="00BE3B49">
        <w:trPr>
          <w:trHeight w:val="299"/>
        </w:trPr>
        <w:tc>
          <w:tcPr>
            <w:tcW w:w="3178"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1626" w:type="dxa"/>
            <w:tcBorders>
              <w:left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50" w:type="dxa"/>
            <w:tcBorders>
              <w:left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La Paz</w:t>
            </w:r>
          </w:p>
        </w:tc>
      </w:tr>
      <w:tr w:rsidR="00BB2AC0" w:rsidRPr="00BE3B49">
        <w:trPr>
          <w:trHeight w:val="299"/>
        </w:trPr>
        <w:tc>
          <w:tcPr>
            <w:tcW w:w="3178" w:type="dxa"/>
            <w:tcBorders>
              <w:bottom w:val="nil"/>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1626" w:type="dxa"/>
            <w:tcBorders>
              <w:left w:val="nil"/>
              <w:bottom w:val="nil"/>
              <w:right w:val="nil"/>
            </w:tcBorders>
          </w:tcPr>
          <w:p w:rsidR="00BB2AC0" w:rsidRPr="00BE3B49" w:rsidRDefault="00340B5C">
            <w:pPr>
              <w:pBdr>
                <w:top w:val="nil"/>
                <w:left w:val="nil"/>
                <w:bottom w:val="nil"/>
                <w:right w:val="nil"/>
                <w:between w:val="nil"/>
              </w:pBdr>
              <w:spacing w:before="69" w:line="211" w:lineRule="auto"/>
              <w:ind w:left="434"/>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50" w:type="dxa"/>
            <w:tcBorders>
              <w:left w:val="nil"/>
              <w:bottom w:val="nil"/>
            </w:tcBorders>
          </w:tcPr>
          <w:p w:rsidR="00BB2AC0" w:rsidRPr="00BE3B49" w:rsidRDefault="00340B5C">
            <w:pPr>
              <w:pBdr>
                <w:top w:val="nil"/>
                <w:left w:val="nil"/>
                <w:bottom w:val="nil"/>
                <w:right w:val="nil"/>
                <w:between w:val="nil"/>
              </w:pBdr>
              <w:spacing w:before="69" w:line="211" w:lineRule="auto"/>
              <w:ind w:left="301"/>
              <w:rPr>
                <w:rFonts w:ascii="Times New Roman" w:hAnsi="Times New Roman" w:cs="Times New Roman"/>
                <w:color w:val="000000"/>
                <w:sz w:val="24"/>
                <w:szCs w:val="24"/>
              </w:rPr>
            </w:pPr>
            <w:r w:rsidRPr="00BE3B49">
              <w:rPr>
                <w:rFonts w:ascii="Times New Roman" w:hAnsi="Times New Roman" w:cs="Times New Roman"/>
                <w:color w:val="000000"/>
                <w:sz w:val="24"/>
                <w:szCs w:val="24"/>
              </w:rPr>
              <w:t>Manaure Balcón Del Cesar</w:t>
            </w:r>
          </w:p>
        </w:tc>
      </w:tr>
    </w:tbl>
    <w:p w:rsidR="00BB2AC0" w:rsidRPr="00BE3B49" w:rsidRDefault="00BB2AC0">
      <w:pPr>
        <w:pBdr>
          <w:top w:val="nil"/>
          <w:left w:val="nil"/>
          <w:bottom w:val="nil"/>
          <w:right w:val="nil"/>
          <w:between w:val="nil"/>
        </w:pBdr>
        <w:spacing w:before="7"/>
        <w:rPr>
          <w:rFonts w:ascii="Times New Roman" w:hAnsi="Times New Roman" w:cs="Times New Roman"/>
          <w:color w:val="000000"/>
          <w:sz w:val="24"/>
          <w:szCs w:val="24"/>
        </w:rPr>
      </w:pPr>
    </w:p>
    <w:tbl>
      <w:tblPr>
        <w:tblStyle w:val="a4"/>
        <w:tblW w:w="7653" w:type="dxa"/>
        <w:tblInd w:w="55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000" w:firstRow="0" w:lastRow="0" w:firstColumn="0" w:lastColumn="0" w:noHBand="0" w:noVBand="0"/>
      </w:tblPr>
      <w:tblGrid>
        <w:gridCol w:w="2822"/>
        <w:gridCol w:w="2026"/>
        <w:gridCol w:w="2805"/>
      </w:tblGrid>
      <w:tr w:rsidR="00BB2AC0" w:rsidRPr="00BE3B49">
        <w:trPr>
          <w:trHeight w:val="302"/>
        </w:trPr>
        <w:tc>
          <w:tcPr>
            <w:tcW w:w="2822"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71"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05" w:type="dxa"/>
            <w:tcBorders>
              <w:left w:val="nil"/>
            </w:tcBorders>
          </w:tcPr>
          <w:p w:rsidR="00BB2AC0" w:rsidRPr="00BE3B49" w:rsidRDefault="00340B5C">
            <w:pPr>
              <w:pBdr>
                <w:top w:val="nil"/>
                <w:left w:val="nil"/>
                <w:bottom w:val="nil"/>
                <w:right w:val="nil"/>
                <w:between w:val="nil"/>
              </w:pBdr>
              <w:spacing w:before="71"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Pueblo Bello</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San Diego</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Cesar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Valledupar</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La Guajira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Dibulla</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La Guajira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Fonseca</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La Guajira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San Juan Del Cesar</w:t>
            </w:r>
          </w:p>
        </w:tc>
      </w:tr>
      <w:tr w:rsidR="00BB2AC0" w:rsidRPr="00BE3B49">
        <w:trPr>
          <w:trHeight w:val="301"/>
        </w:trPr>
        <w:tc>
          <w:tcPr>
            <w:tcW w:w="2822"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71"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Magdalena</w:t>
            </w:r>
          </w:p>
        </w:tc>
        <w:tc>
          <w:tcPr>
            <w:tcW w:w="2805" w:type="dxa"/>
            <w:tcBorders>
              <w:left w:val="nil"/>
            </w:tcBorders>
          </w:tcPr>
          <w:p w:rsidR="00BB2AC0" w:rsidRPr="00BE3B49" w:rsidRDefault="00340B5C">
            <w:pPr>
              <w:pBdr>
                <w:top w:val="nil"/>
                <w:left w:val="nil"/>
                <w:bottom w:val="nil"/>
                <w:right w:val="nil"/>
                <w:between w:val="nil"/>
              </w:pBdr>
              <w:spacing w:before="71"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Aracataca</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Magdalena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Ciénaga</w:t>
            </w:r>
          </w:p>
        </w:tc>
      </w:tr>
      <w:tr w:rsidR="00BB2AC0" w:rsidRPr="00BE3B49">
        <w:trPr>
          <w:trHeight w:val="300"/>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Magdalena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Fundación</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Sierra Nevada - Perijá</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Magdalena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Santa Marta</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Yondó</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Arenal</w:t>
            </w:r>
          </w:p>
        </w:tc>
      </w:tr>
      <w:tr w:rsidR="00BB2AC0" w:rsidRPr="00BE3B49">
        <w:trPr>
          <w:trHeight w:val="302"/>
        </w:trPr>
        <w:tc>
          <w:tcPr>
            <w:tcW w:w="2822"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lastRenderedPageBreak/>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71"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05" w:type="dxa"/>
            <w:tcBorders>
              <w:left w:val="nil"/>
            </w:tcBorders>
          </w:tcPr>
          <w:p w:rsidR="00BB2AC0" w:rsidRPr="00BE3B49" w:rsidRDefault="00340B5C">
            <w:pPr>
              <w:pBdr>
                <w:top w:val="nil"/>
                <w:left w:val="nil"/>
                <w:bottom w:val="nil"/>
                <w:right w:val="nil"/>
                <w:between w:val="nil"/>
              </w:pBdr>
              <w:spacing w:before="71"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Cantagallo</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Morales</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San Pablo</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Santa Rosa Del Sur</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Bolívar</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Bolívar</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Simití</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Córdoba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Córdoba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Montelíbano</w:t>
            </w:r>
          </w:p>
        </w:tc>
      </w:tr>
      <w:tr w:rsidR="00BB2AC0" w:rsidRPr="00BE3B49">
        <w:trPr>
          <w:trHeight w:val="302"/>
        </w:trPr>
        <w:tc>
          <w:tcPr>
            <w:tcW w:w="2822" w:type="dxa"/>
            <w:tcBorders>
              <w:right w:val="nil"/>
            </w:tcBorders>
          </w:tcPr>
          <w:p w:rsidR="00BB2AC0" w:rsidRPr="00BE3B49" w:rsidRDefault="00340B5C">
            <w:pPr>
              <w:pBdr>
                <w:top w:val="nil"/>
                <w:left w:val="nil"/>
                <w:bottom w:val="nil"/>
                <w:right w:val="nil"/>
                <w:between w:val="nil"/>
              </w:pBdr>
              <w:spacing w:before="72"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Córdoba</w:t>
            </w:r>
          </w:p>
        </w:tc>
        <w:tc>
          <w:tcPr>
            <w:tcW w:w="2026" w:type="dxa"/>
            <w:tcBorders>
              <w:left w:val="nil"/>
              <w:right w:val="nil"/>
            </w:tcBorders>
          </w:tcPr>
          <w:p w:rsidR="00BB2AC0" w:rsidRPr="00BE3B49" w:rsidRDefault="00340B5C">
            <w:pPr>
              <w:pBdr>
                <w:top w:val="nil"/>
                <w:left w:val="nil"/>
                <w:bottom w:val="nil"/>
                <w:right w:val="nil"/>
                <w:between w:val="nil"/>
              </w:pBdr>
              <w:spacing w:before="72"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Córdoba</w:t>
            </w:r>
          </w:p>
        </w:tc>
        <w:tc>
          <w:tcPr>
            <w:tcW w:w="2805" w:type="dxa"/>
            <w:tcBorders>
              <w:left w:val="nil"/>
            </w:tcBorders>
          </w:tcPr>
          <w:p w:rsidR="00BB2AC0" w:rsidRPr="00BE3B49" w:rsidRDefault="00340B5C">
            <w:pPr>
              <w:pBdr>
                <w:top w:val="nil"/>
                <w:left w:val="nil"/>
                <w:bottom w:val="nil"/>
                <w:right w:val="nil"/>
                <w:between w:val="nil"/>
              </w:pBdr>
              <w:spacing w:before="72"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Puerto Libertador</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Córdoba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Córdoba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San </w:t>
            </w:r>
            <w:proofErr w:type="spellStart"/>
            <w:r w:rsidRPr="00BE3B49">
              <w:rPr>
                <w:rFonts w:ascii="Times New Roman" w:hAnsi="Times New Roman" w:cs="Times New Roman"/>
                <w:color w:val="000000"/>
                <w:sz w:val="24"/>
                <w:szCs w:val="24"/>
              </w:rPr>
              <w:t>Jose</w:t>
            </w:r>
            <w:proofErr w:type="spellEnd"/>
            <w:r w:rsidRPr="00BE3B49">
              <w:rPr>
                <w:rFonts w:ascii="Times New Roman" w:hAnsi="Times New Roman" w:cs="Times New Roman"/>
                <w:color w:val="000000"/>
                <w:sz w:val="24"/>
                <w:szCs w:val="24"/>
              </w:rPr>
              <w:t xml:space="preserve"> De </w:t>
            </w:r>
            <w:proofErr w:type="spellStart"/>
            <w:r w:rsidRPr="00BE3B49">
              <w:rPr>
                <w:rFonts w:ascii="Times New Roman" w:hAnsi="Times New Roman" w:cs="Times New Roman"/>
                <w:color w:val="000000"/>
                <w:sz w:val="24"/>
                <w:szCs w:val="24"/>
              </w:rPr>
              <w:t>Ure</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Córdoba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Córdoba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Tierralta</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 Córdoba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Córdoba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Valencia</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Del Tolima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Tolima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Ataco</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Del Tolima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Tolima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Chaparral</w:t>
            </w:r>
          </w:p>
        </w:tc>
      </w:tr>
      <w:tr w:rsidR="00BB2AC0" w:rsidRPr="00BE3B49">
        <w:trPr>
          <w:trHeight w:val="302"/>
        </w:trPr>
        <w:tc>
          <w:tcPr>
            <w:tcW w:w="2822"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Del Tolima</w:t>
            </w:r>
          </w:p>
        </w:tc>
        <w:tc>
          <w:tcPr>
            <w:tcW w:w="2026" w:type="dxa"/>
            <w:tcBorders>
              <w:left w:val="nil"/>
              <w:right w:val="nil"/>
            </w:tcBorders>
          </w:tcPr>
          <w:p w:rsidR="00BB2AC0" w:rsidRPr="00BE3B49" w:rsidRDefault="00340B5C">
            <w:pPr>
              <w:pBdr>
                <w:top w:val="nil"/>
                <w:left w:val="nil"/>
                <w:bottom w:val="nil"/>
                <w:right w:val="nil"/>
                <w:between w:val="nil"/>
              </w:pBdr>
              <w:spacing w:before="71"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Tolima</w:t>
            </w:r>
          </w:p>
        </w:tc>
        <w:tc>
          <w:tcPr>
            <w:tcW w:w="2805" w:type="dxa"/>
            <w:tcBorders>
              <w:left w:val="nil"/>
            </w:tcBorders>
          </w:tcPr>
          <w:p w:rsidR="00BB2AC0" w:rsidRPr="00BE3B49" w:rsidRDefault="00340B5C">
            <w:pPr>
              <w:pBdr>
                <w:top w:val="nil"/>
                <w:left w:val="nil"/>
                <w:bottom w:val="nil"/>
                <w:right w:val="nil"/>
                <w:between w:val="nil"/>
              </w:pBdr>
              <w:spacing w:before="71"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Planadas</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Sur Del Tolima</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Tolima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Rioblanco</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Apartadó</w:t>
            </w:r>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Carepa</w:t>
            </w:r>
            <w:proofErr w:type="spellEnd"/>
          </w:p>
        </w:tc>
      </w:tr>
      <w:tr w:rsidR="00BB2AC0" w:rsidRPr="00BE3B49">
        <w:trPr>
          <w:trHeight w:val="300"/>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Chigorodó</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Dabeiba</w:t>
            </w:r>
            <w:proofErr w:type="spellEnd"/>
          </w:p>
        </w:tc>
      </w:tr>
      <w:tr w:rsidR="00BB2AC0" w:rsidRPr="00BE3B49">
        <w:trPr>
          <w:trHeight w:val="301"/>
        </w:trPr>
        <w:tc>
          <w:tcPr>
            <w:tcW w:w="2822" w:type="dxa"/>
            <w:tcBorders>
              <w:right w:val="nil"/>
            </w:tcBorders>
          </w:tcPr>
          <w:p w:rsidR="00BB2AC0" w:rsidRPr="00BE3B49" w:rsidRDefault="00340B5C">
            <w:pPr>
              <w:pBdr>
                <w:top w:val="nil"/>
                <w:left w:val="nil"/>
                <w:bottom w:val="nil"/>
                <w:right w:val="nil"/>
                <w:between w:val="nil"/>
              </w:pBdr>
              <w:spacing w:before="71"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71"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71"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Mutatá</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proofErr w:type="spellStart"/>
            <w:r w:rsidRPr="00BE3B49">
              <w:rPr>
                <w:rFonts w:ascii="Times New Roman" w:hAnsi="Times New Roman" w:cs="Times New Roman"/>
                <w:color w:val="000000"/>
                <w:sz w:val="24"/>
                <w:szCs w:val="24"/>
              </w:rPr>
              <w:t>Necoclí</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San Pedro De </w:t>
            </w:r>
            <w:proofErr w:type="spellStart"/>
            <w:r w:rsidRPr="00BE3B49">
              <w:rPr>
                <w:rFonts w:ascii="Times New Roman" w:hAnsi="Times New Roman" w:cs="Times New Roman"/>
                <w:color w:val="000000"/>
                <w:sz w:val="24"/>
                <w:szCs w:val="24"/>
              </w:rPr>
              <w:t>Uraba</w:t>
            </w:r>
            <w:proofErr w:type="spellEnd"/>
          </w:p>
        </w:tc>
      </w:tr>
      <w:tr w:rsidR="00BB2AC0" w:rsidRPr="00BE3B49">
        <w:trPr>
          <w:trHeight w:val="299"/>
        </w:trPr>
        <w:tc>
          <w:tcPr>
            <w:tcW w:w="2822" w:type="dxa"/>
            <w:tcBorders>
              <w:right w:val="nil"/>
            </w:tcBorders>
          </w:tcPr>
          <w:p w:rsidR="00BB2AC0" w:rsidRPr="00BE3B49" w:rsidRDefault="00340B5C">
            <w:pPr>
              <w:pBdr>
                <w:top w:val="nil"/>
                <w:left w:val="nil"/>
                <w:bottom w:val="nil"/>
                <w:right w:val="nil"/>
                <w:between w:val="nil"/>
              </w:pBdr>
              <w:spacing w:before="69" w:line="211" w:lineRule="auto"/>
              <w:ind w:left="69"/>
              <w:rPr>
                <w:rFonts w:ascii="Times New Roman" w:hAnsi="Times New Roman" w:cs="Times New Roman"/>
                <w:color w:val="000000"/>
                <w:sz w:val="24"/>
                <w:szCs w:val="24"/>
              </w:rPr>
            </w:pPr>
            <w:r w:rsidRPr="00BE3B49">
              <w:rPr>
                <w:rFonts w:ascii="Times New Roman" w:hAnsi="Times New Roman" w:cs="Times New Roman"/>
                <w:color w:val="000000"/>
                <w:sz w:val="24"/>
                <w:szCs w:val="24"/>
              </w:rPr>
              <w:t>Urabá Antioqueño</w:t>
            </w:r>
          </w:p>
        </w:tc>
        <w:tc>
          <w:tcPr>
            <w:tcW w:w="2026" w:type="dxa"/>
            <w:tcBorders>
              <w:left w:val="nil"/>
              <w:right w:val="nil"/>
            </w:tcBorders>
          </w:tcPr>
          <w:p w:rsidR="00BB2AC0" w:rsidRPr="00BE3B49" w:rsidRDefault="00340B5C">
            <w:pPr>
              <w:pBdr>
                <w:top w:val="nil"/>
                <w:left w:val="nil"/>
                <w:bottom w:val="nil"/>
                <w:right w:val="nil"/>
                <w:between w:val="nil"/>
              </w:pBdr>
              <w:spacing w:before="69" w:line="211" w:lineRule="auto"/>
              <w:ind w:left="790"/>
              <w:rPr>
                <w:rFonts w:ascii="Times New Roman" w:hAnsi="Times New Roman" w:cs="Times New Roman"/>
                <w:color w:val="000000"/>
                <w:sz w:val="24"/>
                <w:szCs w:val="24"/>
              </w:rPr>
            </w:pPr>
            <w:r w:rsidRPr="00BE3B49">
              <w:rPr>
                <w:rFonts w:ascii="Times New Roman" w:hAnsi="Times New Roman" w:cs="Times New Roman"/>
                <w:color w:val="000000"/>
                <w:sz w:val="24"/>
                <w:szCs w:val="24"/>
              </w:rPr>
              <w:t>Antioquia</w:t>
            </w:r>
          </w:p>
        </w:tc>
        <w:tc>
          <w:tcPr>
            <w:tcW w:w="2805" w:type="dxa"/>
            <w:tcBorders>
              <w:left w:val="nil"/>
            </w:tcBorders>
          </w:tcPr>
          <w:p w:rsidR="00BB2AC0" w:rsidRPr="00BE3B49" w:rsidRDefault="00340B5C">
            <w:pPr>
              <w:pBdr>
                <w:top w:val="nil"/>
                <w:left w:val="nil"/>
                <w:bottom w:val="nil"/>
                <w:right w:val="nil"/>
                <w:between w:val="nil"/>
              </w:pBdr>
              <w:spacing w:before="69" w:line="211" w:lineRule="auto"/>
              <w:ind w:left="257"/>
              <w:rPr>
                <w:rFonts w:ascii="Times New Roman" w:hAnsi="Times New Roman" w:cs="Times New Roman"/>
                <w:color w:val="000000"/>
                <w:sz w:val="24"/>
                <w:szCs w:val="24"/>
              </w:rPr>
            </w:pPr>
            <w:r w:rsidRPr="00BE3B49">
              <w:rPr>
                <w:rFonts w:ascii="Times New Roman" w:hAnsi="Times New Roman" w:cs="Times New Roman"/>
                <w:color w:val="000000"/>
                <w:sz w:val="24"/>
                <w:szCs w:val="24"/>
              </w:rPr>
              <w:t>Turbo</w:t>
            </w:r>
          </w:p>
        </w:tc>
      </w:tr>
    </w:tbl>
    <w:p w:rsidR="00BB2AC0" w:rsidRPr="00BE3B49" w:rsidRDefault="00BB2AC0">
      <w:pPr>
        <w:pBdr>
          <w:top w:val="nil"/>
          <w:left w:val="nil"/>
          <w:bottom w:val="nil"/>
          <w:right w:val="nil"/>
          <w:between w:val="nil"/>
        </w:pBdr>
        <w:rPr>
          <w:rFonts w:ascii="Times New Roman" w:hAnsi="Times New Roman" w:cs="Times New Roman"/>
          <w:color w:val="000000"/>
          <w:sz w:val="24"/>
          <w:szCs w:val="24"/>
        </w:rPr>
      </w:pPr>
    </w:p>
    <w:p w:rsidR="00BB2AC0" w:rsidRPr="00BE3B49" w:rsidRDefault="00BB2AC0">
      <w:pPr>
        <w:pBdr>
          <w:top w:val="nil"/>
          <w:left w:val="nil"/>
          <w:bottom w:val="nil"/>
          <w:right w:val="nil"/>
          <w:between w:val="nil"/>
        </w:pBdr>
        <w:spacing w:before="10"/>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92"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Así entonces, urge una política de justicia social en los PDET en la medida que son un compromiso con la equidad porque de sus 6,6 millones de habitantes el 39,2 % vive en pobreza multidimensional, casi el doble que el promedio nacional; 4 de cada 10 viviendas no cuentan con acueducto, casi el doble del déficit</w:t>
      </w:r>
      <w:r w:rsidRPr="00BE3B49">
        <w:rPr>
          <w:rFonts w:ascii="Times New Roman" w:hAnsi="Times New Roman" w:cs="Times New Roman"/>
          <w:sz w:val="24"/>
          <w:szCs w:val="24"/>
        </w:rPr>
        <w:t xml:space="preserve"> </w:t>
      </w:r>
      <w:r w:rsidRPr="00BE3B49">
        <w:rPr>
          <w:rFonts w:ascii="Times New Roman" w:hAnsi="Times New Roman" w:cs="Times New Roman"/>
          <w:color w:val="000000"/>
          <w:sz w:val="24"/>
          <w:szCs w:val="24"/>
        </w:rPr>
        <w:t>nacional; también, El analfabetismo es tres veces mayor al promedio nacional y finalmente solo 35 de cada 100 jóvenes cursan 10º y 11º escolar.</w:t>
      </w:r>
    </w:p>
    <w:p w:rsidR="00BB2AC0" w:rsidRPr="00BE3B49" w:rsidRDefault="00340B5C">
      <w:pPr>
        <w:pBdr>
          <w:top w:val="nil"/>
          <w:left w:val="nil"/>
          <w:bottom w:val="nil"/>
          <w:right w:val="nil"/>
          <w:between w:val="nil"/>
        </w:pBdr>
        <w:spacing w:before="10"/>
        <w:rPr>
          <w:rFonts w:ascii="Times New Roman" w:hAnsi="Times New Roman" w:cs="Times New Roman"/>
          <w:color w:val="000000"/>
          <w:sz w:val="24"/>
          <w:szCs w:val="24"/>
        </w:rPr>
      </w:pPr>
      <w:r w:rsidRPr="00BE3B49">
        <w:rPr>
          <w:rFonts w:ascii="Times New Roman" w:hAnsi="Times New Roman" w:cs="Times New Roman"/>
          <w:noProof/>
          <w:sz w:val="24"/>
          <w:szCs w:val="24"/>
          <w:lang w:val="es-CO"/>
        </w:rPr>
        <w:lastRenderedPageBreak/>
        <w:drawing>
          <wp:anchor distT="0" distB="0" distL="0" distR="0" simplePos="0" relativeHeight="251675648" behindDoc="0" locked="0" layoutInCell="1" hidden="0" allowOverlap="1">
            <wp:simplePos x="0" y="0"/>
            <wp:positionH relativeFrom="column">
              <wp:posOffset>73025</wp:posOffset>
            </wp:positionH>
            <wp:positionV relativeFrom="paragraph">
              <wp:posOffset>97453</wp:posOffset>
            </wp:positionV>
            <wp:extent cx="5203323" cy="2219325"/>
            <wp:effectExtent l="0" t="0" r="0" b="0"/>
            <wp:wrapTopAndBottom distT="0" distB="0"/>
            <wp:docPr id="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203323" cy="2219325"/>
                    </a:xfrm>
                    <a:prstGeom prst="rect">
                      <a:avLst/>
                    </a:prstGeom>
                    <a:ln/>
                  </pic:spPr>
                </pic:pic>
              </a:graphicData>
            </a:graphic>
          </wp:anchor>
        </w:drawing>
      </w:r>
    </w:p>
    <w:p w:rsidR="00BB2AC0" w:rsidRPr="00BE3B49" w:rsidRDefault="00340B5C">
      <w:pPr>
        <w:pBdr>
          <w:top w:val="nil"/>
          <w:left w:val="nil"/>
          <w:bottom w:val="nil"/>
          <w:right w:val="nil"/>
          <w:between w:val="nil"/>
        </w:pBdr>
        <w:spacing w:line="499" w:lineRule="auto"/>
        <w:ind w:left="1341" w:right="106" w:firstLine="5615"/>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Imagen tomada de </w:t>
      </w:r>
      <w:hyperlink r:id="rId12">
        <w:r w:rsidRPr="00BE3B49">
          <w:rPr>
            <w:rFonts w:ascii="Times New Roman" w:hAnsi="Times New Roman" w:cs="Times New Roman"/>
            <w:color w:val="000000"/>
            <w:sz w:val="24"/>
            <w:szCs w:val="24"/>
            <w:u w:val="single"/>
          </w:rPr>
          <w:t>https://www.renovacionterritorio.gov.co/especiales/especial_pdet/</w:t>
        </w:r>
      </w:hyperlink>
    </w:p>
    <w:p w:rsidR="00BB2AC0" w:rsidRPr="00BE3B49" w:rsidRDefault="00BB2AC0">
      <w:pPr>
        <w:pBdr>
          <w:top w:val="nil"/>
          <w:left w:val="nil"/>
          <w:bottom w:val="nil"/>
          <w:right w:val="nil"/>
          <w:between w:val="nil"/>
        </w:pBdr>
        <w:spacing w:before="4"/>
        <w:rPr>
          <w:rFonts w:ascii="Times New Roman" w:hAnsi="Times New Roman" w:cs="Times New Roman"/>
          <w:color w:val="000000"/>
          <w:sz w:val="24"/>
          <w:szCs w:val="24"/>
        </w:rPr>
      </w:pPr>
    </w:p>
    <w:p w:rsidR="00BB2AC0" w:rsidRPr="00BE3B49" w:rsidRDefault="00340B5C">
      <w:pPr>
        <w:pStyle w:val="Ttulo1"/>
        <w:numPr>
          <w:ilvl w:val="0"/>
          <w:numId w:val="1"/>
        </w:numPr>
        <w:tabs>
          <w:tab w:val="left" w:pos="842"/>
        </w:tabs>
        <w:spacing w:before="92"/>
        <w:ind w:hanging="361"/>
        <w:rPr>
          <w:rFonts w:ascii="Times New Roman" w:hAnsi="Times New Roman" w:cs="Times New Roman"/>
        </w:rPr>
      </w:pPr>
      <w:r w:rsidRPr="00BE3B49">
        <w:rPr>
          <w:rFonts w:ascii="Times New Roman" w:hAnsi="Times New Roman" w:cs="Times New Roman"/>
        </w:rPr>
        <w:t>RÉGIMEN Y REQUISITOS PARA LA CREACIÓN DE MUNICIPIOS</w:t>
      </w:r>
    </w:p>
    <w:p w:rsidR="00BB2AC0" w:rsidRPr="00BE3B49" w:rsidRDefault="00BB2AC0">
      <w:pPr>
        <w:pBdr>
          <w:top w:val="nil"/>
          <w:left w:val="nil"/>
          <w:bottom w:val="nil"/>
          <w:right w:val="nil"/>
          <w:between w:val="nil"/>
        </w:pBdr>
        <w:spacing w:before="1"/>
        <w:rPr>
          <w:rFonts w:ascii="Times New Roman" w:eastAsia="Arial" w:hAnsi="Times New Roman" w:cs="Times New Roman"/>
          <w:b/>
          <w:color w:val="000000"/>
          <w:sz w:val="24"/>
          <w:szCs w:val="24"/>
        </w:rPr>
      </w:pPr>
    </w:p>
    <w:p w:rsidR="00BB2AC0" w:rsidRPr="00BE3B49" w:rsidRDefault="00340B5C">
      <w:pPr>
        <w:spacing w:line="360" w:lineRule="auto"/>
        <w:ind w:left="122" w:right="112"/>
        <w:jc w:val="both"/>
        <w:rPr>
          <w:rFonts w:ascii="Times New Roman" w:eastAsia="Arial" w:hAnsi="Times New Roman" w:cs="Times New Roman"/>
          <w:i/>
          <w:sz w:val="24"/>
          <w:szCs w:val="24"/>
        </w:rPr>
      </w:pPr>
      <w:r w:rsidRPr="00BE3B49">
        <w:rPr>
          <w:rFonts w:ascii="Times New Roman" w:hAnsi="Times New Roman" w:cs="Times New Roman"/>
          <w:sz w:val="24"/>
          <w:szCs w:val="24"/>
        </w:rPr>
        <w:t xml:space="preserve">De conformidad con lo dispuesto en el numeral 4 del artículo 150 de la Constitución Política, le corresponde al Congreso, por medio de leyes, </w:t>
      </w:r>
      <w:r w:rsidRPr="00BE3B49">
        <w:rPr>
          <w:rFonts w:ascii="Times New Roman" w:eastAsia="Arial" w:hAnsi="Times New Roman" w:cs="Times New Roman"/>
          <w:i/>
          <w:sz w:val="24"/>
          <w:szCs w:val="24"/>
        </w:rPr>
        <w:t>“Definir la división general del territorio con arreglo a lo previsto en esta Constitución, fijar las bases y condiciones para crear, eliminar, modificar o fusionar entidades territoriales y establecer sus competencias”.</w:t>
      </w:r>
    </w:p>
    <w:p w:rsidR="00BB2AC0" w:rsidRPr="00BE3B49" w:rsidRDefault="00340B5C">
      <w:pPr>
        <w:spacing w:before="161" w:line="360" w:lineRule="auto"/>
        <w:ind w:left="122" w:right="111"/>
        <w:jc w:val="both"/>
        <w:rPr>
          <w:rFonts w:ascii="Times New Roman" w:eastAsia="Arial" w:hAnsi="Times New Roman" w:cs="Times New Roman"/>
          <w:i/>
          <w:sz w:val="24"/>
          <w:szCs w:val="24"/>
        </w:rPr>
      </w:pPr>
      <w:r w:rsidRPr="00BE3B49">
        <w:rPr>
          <w:rFonts w:ascii="Times New Roman" w:hAnsi="Times New Roman" w:cs="Times New Roman"/>
          <w:sz w:val="24"/>
          <w:szCs w:val="24"/>
        </w:rPr>
        <w:t xml:space="preserve">Por su parte el numeral 6° del artículo 300 de la Carta máxima establece que corresponde a las Asambleas Departamentales, por medio de ordenanzas, </w:t>
      </w:r>
      <w:r w:rsidRPr="00BE3B49">
        <w:rPr>
          <w:rFonts w:ascii="Times New Roman" w:eastAsia="Arial" w:hAnsi="Times New Roman" w:cs="Times New Roman"/>
          <w:i/>
          <w:sz w:val="24"/>
          <w:szCs w:val="24"/>
        </w:rPr>
        <w:t>“Con sujeción a los requisitos que señale la Ley, crear y suprimir municipios, segregar y agregar territorios municipales, y organizar provincias”.</w:t>
      </w:r>
    </w:p>
    <w:p w:rsidR="00BB2AC0" w:rsidRPr="00BE3B49" w:rsidRDefault="00340B5C">
      <w:pPr>
        <w:pBdr>
          <w:top w:val="nil"/>
          <w:left w:val="nil"/>
          <w:bottom w:val="nil"/>
          <w:right w:val="nil"/>
          <w:between w:val="nil"/>
        </w:pBdr>
        <w:spacing w:before="158" w:line="360" w:lineRule="auto"/>
        <w:ind w:left="122" w:right="113"/>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Inicialmente la ley 136 de 1994 establecía los requisitos iniciales para la creación de municipios los cuales eran los siguientes:</w:t>
      </w:r>
    </w:p>
    <w:p w:rsidR="00BB2AC0" w:rsidRPr="00BE3B49" w:rsidRDefault="00340B5C">
      <w:pPr>
        <w:spacing w:before="156" w:line="360" w:lineRule="auto"/>
        <w:ind w:left="830" w:right="121"/>
        <w:jc w:val="both"/>
        <w:rPr>
          <w:rFonts w:ascii="Times New Roman" w:eastAsia="Arial" w:hAnsi="Times New Roman" w:cs="Times New Roman"/>
          <w:i/>
          <w:sz w:val="24"/>
          <w:szCs w:val="24"/>
        </w:rPr>
      </w:pPr>
      <w:r w:rsidRPr="00BE3B49">
        <w:rPr>
          <w:rFonts w:ascii="Times New Roman" w:eastAsia="Arial" w:hAnsi="Times New Roman" w:cs="Times New Roman"/>
          <w:b/>
          <w:i/>
          <w:sz w:val="24"/>
          <w:szCs w:val="24"/>
        </w:rPr>
        <w:t xml:space="preserve">ARTICULO 8º. REQUISITOS: </w:t>
      </w:r>
      <w:r w:rsidRPr="00BE3B49">
        <w:rPr>
          <w:rFonts w:ascii="Times New Roman" w:eastAsia="Arial" w:hAnsi="Times New Roman" w:cs="Times New Roman"/>
          <w:i/>
          <w:sz w:val="24"/>
          <w:szCs w:val="24"/>
        </w:rPr>
        <w:t xml:space="preserve">Para que una porción del territorio de un departamento pueda ser erigida en municipio se necesita que concurran las siguientes condiciones: 1. Que el área del municipio propuesto tenga identidad, atendidas sus características naturales, sociales, económicas y culturales. 2. Que cuente por lo menos </w:t>
      </w:r>
      <w:r w:rsidRPr="00BE3B49">
        <w:rPr>
          <w:rFonts w:ascii="Times New Roman" w:eastAsia="Arial" w:hAnsi="Times New Roman" w:cs="Times New Roman"/>
          <w:b/>
          <w:i/>
          <w:sz w:val="24"/>
          <w:szCs w:val="24"/>
          <w:u w:val="single"/>
        </w:rPr>
        <w:t>con siete mil (7.000) habitantes</w:t>
      </w:r>
      <w:r w:rsidRPr="00BE3B49">
        <w:rPr>
          <w:rFonts w:ascii="Times New Roman" w:eastAsia="Arial" w:hAnsi="Times New Roman" w:cs="Times New Roman"/>
          <w:b/>
          <w:i/>
          <w:sz w:val="24"/>
          <w:szCs w:val="24"/>
        </w:rPr>
        <w:t xml:space="preserve"> </w:t>
      </w:r>
      <w:r w:rsidRPr="00BE3B49">
        <w:rPr>
          <w:rFonts w:ascii="Times New Roman" w:eastAsia="Arial" w:hAnsi="Times New Roman" w:cs="Times New Roman"/>
          <w:i/>
          <w:sz w:val="24"/>
          <w:szCs w:val="24"/>
        </w:rPr>
        <w:t xml:space="preserve">y que el municipio o municipios de los cuales se pretende segregar no disminuya su población por </w:t>
      </w:r>
      <w:r w:rsidRPr="00BE3B49">
        <w:rPr>
          <w:rFonts w:ascii="Times New Roman" w:eastAsia="Arial" w:hAnsi="Times New Roman" w:cs="Times New Roman"/>
          <w:i/>
          <w:sz w:val="24"/>
          <w:szCs w:val="24"/>
        </w:rPr>
        <w:lastRenderedPageBreak/>
        <w:t>debajo de este límite señalado, según certificación del Departamento Administrativo Nacional de Estadística. 3. Que el municipio propuesto garantice, por lo menos, ingresos ordinarios anuales equivalentes a cinco mil (5.000) salarios mínimos mensuales, sin incluir la participación en los Ingresos Corrientes de la Nación.</w:t>
      </w:r>
    </w:p>
    <w:p w:rsidR="00BB2AC0" w:rsidRPr="00BE3B49" w:rsidRDefault="00340B5C">
      <w:pPr>
        <w:pBdr>
          <w:top w:val="nil"/>
          <w:left w:val="nil"/>
          <w:bottom w:val="nil"/>
          <w:right w:val="nil"/>
          <w:between w:val="nil"/>
        </w:pBdr>
        <w:spacing w:before="163" w:line="360" w:lineRule="auto"/>
        <w:ind w:left="122" w:right="111"/>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Sin embargo, los anteriores requisitos fueron modificados por la Ley 617 de 2000, artículo 15, estableciendo una modificación a los requisitos para la creación de municipios y racionalización de fiscos municipales los cuales subía el </w:t>
      </w:r>
      <w:proofErr w:type="spellStart"/>
      <w:r w:rsidRPr="00BE3B49">
        <w:rPr>
          <w:rFonts w:ascii="Times New Roman" w:hAnsi="Times New Roman" w:cs="Times New Roman"/>
          <w:color w:val="000000"/>
          <w:sz w:val="24"/>
          <w:szCs w:val="24"/>
        </w:rPr>
        <w:t>numero</w:t>
      </w:r>
      <w:proofErr w:type="spellEnd"/>
      <w:r w:rsidRPr="00BE3B49">
        <w:rPr>
          <w:rFonts w:ascii="Times New Roman" w:hAnsi="Times New Roman" w:cs="Times New Roman"/>
          <w:color w:val="000000"/>
          <w:sz w:val="24"/>
          <w:szCs w:val="24"/>
        </w:rPr>
        <w:t xml:space="preserve"> de pobladores a catorce mil (14.000) e ingresos de libre destinación de cinco mil (5.000) SMLMV durante un período no inferior a cuatro (4) años.</w:t>
      </w:r>
    </w:p>
    <w:p w:rsidR="00BB2AC0" w:rsidRPr="00BE3B49" w:rsidRDefault="00340B5C">
      <w:pPr>
        <w:pBdr>
          <w:top w:val="nil"/>
          <w:left w:val="nil"/>
          <w:bottom w:val="nil"/>
          <w:right w:val="nil"/>
          <w:between w:val="nil"/>
        </w:pBdr>
        <w:spacing w:before="160" w:line="360" w:lineRule="auto"/>
        <w:ind w:left="122" w:right="111"/>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Finalmente, La Ley 1551 de 2012, </w:t>
      </w:r>
      <w:r w:rsidRPr="00BE3B49">
        <w:rPr>
          <w:rFonts w:ascii="Times New Roman" w:eastAsia="Arial" w:hAnsi="Times New Roman" w:cs="Times New Roman"/>
          <w:i/>
          <w:color w:val="000000"/>
          <w:sz w:val="24"/>
          <w:szCs w:val="24"/>
        </w:rPr>
        <w:t xml:space="preserve">“Por la cual se dictan normas para modernizar la organización y el funcionamiento de los municipios”, </w:t>
      </w:r>
      <w:r w:rsidRPr="00BE3B49">
        <w:rPr>
          <w:rFonts w:ascii="Times New Roman" w:hAnsi="Times New Roman" w:cs="Times New Roman"/>
          <w:color w:val="000000"/>
          <w:sz w:val="24"/>
          <w:szCs w:val="24"/>
        </w:rPr>
        <w:t>en su artículo 11 establece los nuevos requisitos para la creación de municipios, subiendo el límite poblacional a veinticinco mil (25.000) habitantes y los ingresos de libre destinación a doce mil (12.000) salarios mínimos mensuales vigentes, durante un período no inferior a cuatro (4) años; de conformidad con certificación previa del Ministerio de Hacienda y Crédito Público.</w:t>
      </w:r>
    </w:p>
    <w:p w:rsidR="00BB2AC0" w:rsidRPr="00BE3B49" w:rsidRDefault="00340B5C">
      <w:pPr>
        <w:pBdr>
          <w:top w:val="nil"/>
          <w:left w:val="nil"/>
          <w:bottom w:val="nil"/>
          <w:right w:val="nil"/>
          <w:between w:val="nil"/>
        </w:pBdr>
        <w:spacing w:before="160"/>
        <w:ind w:left="122"/>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Respecto a la excepción a esta regla general, la ley inicial (L136/1994) estipulaba:</w:t>
      </w:r>
    </w:p>
    <w:p w:rsidR="00BB2AC0" w:rsidRPr="00BE3B49" w:rsidRDefault="00BB2AC0">
      <w:pPr>
        <w:pBdr>
          <w:top w:val="nil"/>
          <w:left w:val="nil"/>
          <w:bottom w:val="nil"/>
          <w:right w:val="nil"/>
          <w:between w:val="nil"/>
        </w:pBdr>
        <w:spacing w:before="10"/>
        <w:rPr>
          <w:rFonts w:ascii="Times New Roman" w:hAnsi="Times New Roman" w:cs="Times New Roman"/>
          <w:color w:val="000000"/>
          <w:sz w:val="24"/>
          <w:szCs w:val="24"/>
        </w:rPr>
      </w:pPr>
    </w:p>
    <w:p w:rsidR="00BB2AC0" w:rsidRPr="00BE3B49" w:rsidRDefault="00340B5C">
      <w:pPr>
        <w:spacing w:before="1" w:line="360" w:lineRule="auto"/>
        <w:ind w:left="830" w:right="117"/>
        <w:jc w:val="both"/>
        <w:rPr>
          <w:rFonts w:ascii="Times New Roman" w:hAnsi="Times New Roman" w:cs="Times New Roman"/>
          <w:color w:val="000000"/>
          <w:sz w:val="24"/>
          <w:szCs w:val="24"/>
        </w:rPr>
      </w:pPr>
      <w:r w:rsidRPr="00BE3B49">
        <w:rPr>
          <w:rFonts w:ascii="Times New Roman" w:eastAsia="Arial" w:hAnsi="Times New Roman" w:cs="Times New Roman"/>
          <w:b/>
          <w:i/>
          <w:sz w:val="24"/>
          <w:szCs w:val="24"/>
        </w:rPr>
        <w:t xml:space="preserve">ARTICULO 9º. EXCEPCION: </w:t>
      </w:r>
      <w:r w:rsidRPr="00BE3B49">
        <w:rPr>
          <w:rFonts w:ascii="Times New Roman" w:eastAsia="Arial" w:hAnsi="Times New Roman" w:cs="Times New Roman"/>
          <w:i/>
          <w:sz w:val="24"/>
          <w:szCs w:val="24"/>
        </w:rPr>
        <w:t xml:space="preserve">Sin el lleno de los requisitos establecidos en el numeral segundo (2º.) del artículo anterior, las Asambleas Departamentales podrán crear municipios cuando, previo a la presentación del proyecto de ordenanza, el presidente de la República considere su creación como de conveniencia nacional, por tratarse de una zona de frontera o de colonización o por razones de defensa nacional, siempre y cuando no se trate de territorios indígenas. PARAGRAFO: Para la creación de municipios en el Departamento Archipiélago de San Andrés, Providencia y Santa Catalina, el concepto de la oficina departamental de planeación no tendrá carácter obligatorio. </w:t>
      </w:r>
      <w:r w:rsidRPr="00BE3B49">
        <w:rPr>
          <w:rFonts w:ascii="Times New Roman" w:hAnsi="Times New Roman" w:cs="Times New Roman"/>
          <w:color w:val="000000"/>
          <w:sz w:val="24"/>
          <w:szCs w:val="24"/>
        </w:rPr>
        <w:t>Sin embargo, lo anterior se modificó con la ley 2200 de 2022 quedando de la siguiente forma:</w:t>
      </w:r>
    </w:p>
    <w:p w:rsidR="00BB2AC0" w:rsidRPr="00BE3B49" w:rsidRDefault="00340B5C">
      <w:pPr>
        <w:spacing w:before="161" w:line="360" w:lineRule="auto"/>
        <w:ind w:left="830" w:right="120"/>
        <w:jc w:val="both"/>
        <w:rPr>
          <w:rFonts w:ascii="Times New Roman" w:eastAsia="Arial" w:hAnsi="Times New Roman" w:cs="Times New Roman"/>
          <w:i/>
          <w:sz w:val="24"/>
          <w:szCs w:val="24"/>
        </w:rPr>
      </w:pPr>
      <w:r w:rsidRPr="00BE3B49">
        <w:rPr>
          <w:rFonts w:ascii="Times New Roman" w:eastAsia="Arial" w:hAnsi="Times New Roman" w:cs="Times New Roman"/>
          <w:b/>
          <w:i/>
          <w:sz w:val="24"/>
          <w:szCs w:val="24"/>
        </w:rPr>
        <w:t xml:space="preserve">ARTÍCULO 9o. EXCEPCIÓN. </w:t>
      </w:r>
      <w:r w:rsidRPr="00BE3B49">
        <w:rPr>
          <w:rFonts w:ascii="Times New Roman" w:eastAsia="Arial" w:hAnsi="Times New Roman" w:cs="Times New Roman"/>
          <w:i/>
          <w:sz w:val="24"/>
          <w:szCs w:val="24"/>
        </w:rPr>
        <w:t xml:space="preserve">Sin el lleno de los requisitos generales para la creación de municipios, las Asambleas Departamentales podrán elevar a municipios las áreas no municipalizadas de su jurisdicción o podrá hacerlo el </w:t>
      </w:r>
      <w:r w:rsidRPr="00BE3B49">
        <w:rPr>
          <w:rFonts w:ascii="Times New Roman" w:eastAsia="Arial" w:hAnsi="Times New Roman" w:cs="Times New Roman"/>
          <w:i/>
          <w:sz w:val="24"/>
          <w:szCs w:val="24"/>
        </w:rPr>
        <w:lastRenderedPageBreak/>
        <w:t>Presidente de la República mediante decreto.</w:t>
      </w:r>
    </w:p>
    <w:p w:rsidR="00BB2AC0" w:rsidRPr="00BE3B49" w:rsidRDefault="00340B5C">
      <w:pPr>
        <w:spacing w:before="161" w:line="360" w:lineRule="auto"/>
        <w:ind w:left="830" w:right="127"/>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Una o varias áreas no municipalizadas pertenecientes al mismo departamento podrán conformar un nuevo municipio.</w:t>
      </w:r>
    </w:p>
    <w:p w:rsidR="00BB2AC0" w:rsidRPr="00BE3B49" w:rsidRDefault="00340B5C">
      <w:pPr>
        <w:spacing w:before="159" w:line="360" w:lineRule="auto"/>
        <w:ind w:left="830" w:right="115"/>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 xml:space="preserve">Para erigir las áreas no municipalizadas en municipios, se deberá contar con previo concepto favorable del Departamento Nacional de Planeación de conformidad con lo dispuesto en el artículo </w:t>
      </w:r>
      <w:hyperlink r:id="rId13" w:anchor="18">
        <w:r w:rsidRPr="00BE3B49">
          <w:rPr>
            <w:rFonts w:ascii="Times New Roman" w:eastAsia="Arial" w:hAnsi="Times New Roman" w:cs="Times New Roman"/>
            <w:i/>
            <w:sz w:val="24"/>
            <w:szCs w:val="24"/>
            <w:u w:val="single"/>
          </w:rPr>
          <w:t>18</w:t>
        </w:r>
      </w:hyperlink>
      <w:hyperlink r:id="rId14" w:anchor="18">
        <w:r w:rsidRPr="00BE3B49">
          <w:rPr>
            <w:rFonts w:ascii="Times New Roman" w:eastAsia="Arial" w:hAnsi="Times New Roman" w:cs="Times New Roman"/>
            <w:i/>
            <w:sz w:val="24"/>
            <w:szCs w:val="24"/>
          </w:rPr>
          <w:t xml:space="preserve"> </w:t>
        </w:r>
      </w:hyperlink>
      <w:r w:rsidRPr="00BE3B49">
        <w:rPr>
          <w:rFonts w:ascii="Times New Roman" w:eastAsia="Arial" w:hAnsi="Times New Roman" w:cs="Times New Roman"/>
          <w:i/>
          <w:sz w:val="24"/>
          <w:szCs w:val="24"/>
        </w:rPr>
        <w:t>del Decreto ley 2274 de 1991.</w:t>
      </w:r>
    </w:p>
    <w:p w:rsidR="00BB2AC0" w:rsidRPr="00BE3B49" w:rsidRDefault="00340B5C">
      <w:pPr>
        <w:spacing w:before="161" w:line="360" w:lineRule="auto"/>
        <w:ind w:left="830" w:right="123"/>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Los departamentos, cuando a ello hubiere lugar, deberán adelantar las actuaciones para llevar a cabo la consulta previa del respectivo proyecto de ordenanza.</w:t>
      </w:r>
    </w:p>
    <w:p w:rsidR="00BB2AC0" w:rsidRPr="00BE3B49" w:rsidRDefault="00340B5C">
      <w:pPr>
        <w:spacing w:before="160" w:line="360" w:lineRule="auto"/>
        <w:ind w:left="830" w:right="117"/>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 xml:space="preserve">La ordenanza deberá establecer expresamente las medidas necesarias para garantizar la continuidad de la prestación de los servicios básicos en el nuevo municipio por parte del departamento, de conformidad con lo previsto en los parágrafos 2 y 3 del artículo </w:t>
      </w:r>
      <w:hyperlink r:id="rId15" w:anchor="87">
        <w:r w:rsidRPr="00BE3B49">
          <w:rPr>
            <w:rFonts w:ascii="Times New Roman" w:eastAsia="Arial" w:hAnsi="Times New Roman" w:cs="Times New Roman"/>
            <w:i/>
            <w:sz w:val="24"/>
            <w:szCs w:val="24"/>
            <w:u w:val="single"/>
          </w:rPr>
          <w:t>87</w:t>
        </w:r>
      </w:hyperlink>
      <w:hyperlink r:id="rId16" w:anchor="87">
        <w:r w:rsidRPr="00BE3B49">
          <w:rPr>
            <w:rFonts w:ascii="Times New Roman" w:eastAsia="Arial" w:hAnsi="Times New Roman" w:cs="Times New Roman"/>
            <w:i/>
            <w:sz w:val="24"/>
            <w:szCs w:val="24"/>
          </w:rPr>
          <w:t xml:space="preserve"> </w:t>
        </w:r>
      </w:hyperlink>
      <w:r w:rsidRPr="00BE3B49">
        <w:rPr>
          <w:rFonts w:ascii="Times New Roman" w:eastAsia="Arial" w:hAnsi="Times New Roman" w:cs="Times New Roman"/>
          <w:i/>
          <w:sz w:val="24"/>
          <w:szCs w:val="24"/>
        </w:rPr>
        <w:t>de la Ley 715 de 2001.</w:t>
      </w:r>
    </w:p>
    <w:p w:rsidR="00BB2AC0" w:rsidRPr="00BE3B49" w:rsidRDefault="00340B5C">
      <w:pPr>
        <w:spacing w:before="161" w:line="360" w:lineRule="auto"/>
        <w:ind w:left="830" w:right="117"/>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 xml:space="preserve">La ordenanza deberá disponer las medidas necesarias para que los departamentos garanticen el funcionamiento de los nuevos municipios durante la vigencia fiscal en que fueren creadas, de conformidad con lo previsto en el inciso 5 del artículo </w:t>
      </w:r>
      <w:hyperlink r:id="rId17" w:anchor="87">
        <w:r w:rsidRPr="00BE3B49">
          <w:rPr>
            <w:rFonts w:ascii="Times New Roman" w:eastAsia="Arial" w:hAnsi="Times New Roman" w:cs="Times New Roman"/>
            <w:i/>
            <w:sz w:val="24"/>
            <w:szCs w:val="24"/>
            <w:u w:val="single"/>
          </w:rPr>
          <w:t>87</w:t>
        </w:r>
      </w:hyperlink>
      <w:hyperlink r:id="rId18" w:anchor="87">
        <w:r w:rsidRPr="00BE3B49">
          <w:rPr>
            <w:rFonts w:ascii="Times New Roman" w:eastAsia="Arial" w:hAnsi="Times New Roman" w:cs="Times New Roman"/>
            <w:i/>
            <w:sz w:val="24"/>
            <w:szCs w:val="24"/>
          </w:rPr>
          <w:t xml:space="preserve"> </w:t>
        </w:r>
      </w:hyperlink>
      <w:r w:rsidRPr="00BE3B49">
        <w:rPr>
          <w:rFonts w:ascii="Times New Roman" w:eastAsia="Arial" w:hAnsi="Times New Roman" w:cs="Times New Roman"/>
          <w:i/>
          <w:sz w:val="24"/>
          <w:szCs w:val="24"/>
        </w:rPr>
        <w:t>de la Ley 715 de 2001.</w:t>
      </w:r>
    </w:p>
    <w:p w:rsidR="00BB2AC0" w:rsidRPr="00BE3B49" w:rsidRDefault="00340B5C">
      <w:pPr>
        <w:spacing w:before="153" w:line="360" w:lineRule="auto"/>
        <w:ind w:left="830" w:right="116"/>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 xml:space="preserve">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 </w:t>
      </w:r>
    </w:p>
    <w:p w:rsidR="00BB2AC0" w:rsidRPr="00BE3B49" w:rsidRDefault="00340B5C">
      <w:pPr>
        <w:spacing w:before="153" w:line="360" w:lineRule="auto"/>
        <w:ind w:left="830" w:right="116"/>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 xml:space="preserve">Una vez aprobada y en firme la Ordenanza, la </w:t>
      </w:r>
      <w:proofErr w:type="spellStart"/>
      <w:r w:rsidRPr="00BE3B49">
        <w:rPr>
          <w:rFonts w:ascii="Times New Roman" w:eastAsia="Arial" w:hAnsi="Times New Roman" w:cs="Times New Roman"/>
          <w:i/>
          <w:sz w:val="24"/>
          <w:szCs w:val="24"/>
        </w:rPr>
        <w:t>Registraduría</w:t>
      </w:r>
      <w:proofErr w:type="spellEnd"/>
      <w:r w:rsidRPr="00BE3B49">
        <w:rPr>
          <w:rFonts w:ascii="Times New Roman" w:eastAsia="Arial" w:hAnsi="Times New Roman" w:cs="Times New Roman"/>
          <w:i/>
          <w:sz w:val="24"/>
          <w:szCs w:val="24"/>
        </w:rPr>
        <w:t xml:space="preserve"> Nacional del Estado Civil en coordinación y apoyo del respectivo departamento adelantará lo referente al proceso para la elección de los alcaldes y los concejales en los nuevos municipios.</w:t>
      </w:r>
    </w:p>
    <w:p w:rsidR="00BB2AC0" w:rsidRPr="00BE3B49" w:rsidRDefault="00340B5C">
      <w:pPr>
        <w:spacing w:before="161" w:line="360" w:lineRule="auto"/>
        <w:ind w:left="830" w:right="122"/>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 xml:space="preserve">La adhesión de áreas no municipalizadas a municipios existentes se regirá por lo dispuesto en este artículo, siempre y cuando, las áreas no municipalizadas y los </w:t>
      </w:r>
      <w:r w:rsidRPr="00BE3B49">
        <w:rPr>
          <w:rFonts w:ascii="Times New Roman" w:eastAsia="Arial" w:hAnsi="Times New Roman" w:cs="Times New Roman"/>
          <w:i/>
          <w:sz w:val="24"/>
          <w:szCs w:val="24"/>
        </w:rPr>
        <w:lastRenderedPageBreak/>
        <w:t>municipios existentes hagan parte del mismo departamento.</w:t>
      </w:r>
    </w:p>
    <w:p w:rsidR="00BB2AC0" w:rsidRPr="00BE3B49" w:rsidRDefault="00340B5C">
      <w:pPr>
        <w:spacing w:before="161" w:line="360" w:lineRule="auto"/>
        <w:ind w:left="830" w:right="122"/>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En los procesos de municipalización de áreas no municipalizadas que a la entrada en vigencia de la presente Ley se haya realizado la Consulta previa, continuarán conforme a lo dispuesto en este artículo.</w:t>
      </w:r>
    </w:p>
    <w:p w:rsidR="00BB2AC0" w:rsidRPr="00BE3B49" w:rsidRDefault="00340B5C">
      <w:pPr>
        <w:spacing w:before="160" w:line="360" w:lineRule="auto"/>
        <w:ind w:left="830" w:right="116"/>
        <w:jc w:val="both"/>
        <w:rPr>
          <w:rFonts w:ascii="Times New Roman" w:eastAsia="Arial" w:hAnsi="Times New Roman" w:cs="Times New Roman"/>
          <w:i/>
          <w:sz w:val="24"/>
          <w:szCs w:val="24"/>
        </w:rPr>
      </w:pPr>
      <w:r w:rsidRPr="00BE3B49">
        <w:rPr>
          <w:rFonts w:ascii="Times New Roman" w:eastAsia="Arial" w:hAnsi="Times New Roman" w:cs="Times New Roman"/>
          <w:i/>
          <w:sz w:val="24"/>
          <w:szCs w:val="24"/>
        </w:rPr>
        <w:t>Las entidades competentes para adelantar la consulta previa tendrán un término de máximo seis (6) meses para llevarla a cabo, contados a partir de la comunicación del proyecto de ordenanza por parte de la Asamblea departamental o del departamento.</w:t>
      </w:r>
    </w:p>
    <w:p w:rsidR="00BB2AC0" w:rsidRPr="00BE3B49" w:rsidRDefault="00340B5C">
      <w:pPr>
        <w:pStyle w:val="Ttulo1"/>
        <w:numPr>
          <w:ilvl w:val="0"/>
          <w:numId w:val="1"/>
        </w:numPr>
        <w:tabs>
          <w:tab w:val="left" w:pos="842"/>
        </w:tabs>
        <w:spacing w:before="159"/>
        <w:ind w:hanging="361"/>
        <w:rPr>
          <w:rFonts w:ascii="Times New Roman" w:hAnsi="Times New Roman" w:cs="Times New Roman"/>
        </w:rPr>
      </w:pPr>
      <w:r w:rsidRPr="00BE3B49">
        <w:rPr>
          <w:rFonts w:ascii="Times New Roman" w:hAnsi="Times New Roman" w:cs="Times New Roman"/>
        </w:rPr>
        <w:t>ARGUMENTACIÓN QUE SUSTENTA EL PROYECTO DE LEY</w:t>
      </w:r>
    </w:p>
    <w:p w:rsidR="00BB2AC0" w:rsidRPr="00BE3B49" w:rsidRDefault="00BB2AC0">
      <w:pPr>
        <w:pBdr>
          <w:top w:val="nil"/>
          <w:left w:val="nil"/>
          <w:bottom w:val="nil"/>
          <w:right w:val="nil"/>
          <w:between w:val="nil"/>
        </w:pBdr>
        <w:spacing w:before="1"/>
        <w:rPr>
          <w:rFonts w:ascii="Times New Roman" w:eastAsia="Arial" w:hAnsi="Times New Roman" w:cs="Times New Roman"/>
          <w:b/>
          <w:color w:val="000000"/>
          <w:sz w:val="24"/>
          <w:szCs w:val="24"/>
        </w:rPr>
      </w:pPr>
    </w:p>
    <w:p w:rsidR="00BB2AC0" w:rsidRPr="00BE3B49" w:rsidRDefault="00340B5C">
      <w:pPr>
        <w:pBdr>
          <w:top w:val="nil"/>
          <w:left w:val="nil"/>
          <w:bottom w:val="nil"/>
          <w:right w:val="nil"/>
          <w:between w:val="nil"/>
        </w:pBdr>
        <w:spacing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Lo más importante que se debe resaltar es que con este proyecto de ley no se pretende “usurpar” competencia para la creación de municipios, lo que se busca con esta iniciativa legislativa es facultar a las asambleas departamentales a erigir nuevos municipios que cumplan ciertas características poblacionales y que estén beneficiados por PDET con el fin de buscar una transformación territorial equitativa con enfoque social donde se inyecte inversión económica, administrativa y de fuerza pública en aquellos territorios alejados, con necesidades económicas y golpeados por la violencia durante el conflicto armado.</w:t>
      </w:r>
    </w:p>
    <w:p w:rsidR="00BB2AC0" w:rsidRPr="00BE3B49" w:rsidRDefault="00340B5C">
      <w:pPr>
        <w:pBdr>
          <w:top w:val="nil"/>
          <w:left w:val="nil"/>
          <w:bottom w:val="nil"/>
          <w:right w:val="nil"/>
          <w:between w:val="nil"/>
        </w:pBdr>
        <w:spacing w:before="161" w:line="360" w:lineRule="auto"/>
        <w:ind w:left="122" w:right="114"/>
        <w:jc w:val="both"/>
        <w:rPr>
          <w:rFonts w:ascii="Times New Roman" w:hAnsi="Times New Roman" w:cs="Times New Roman"/>
          <w:sz w:val="24"/>
          <w:szCs w:val="24"/>
        </w:rPr>
      </w:pPr>
      <w:r w:rsidRPr="00BE3B49">
        <w:rPr>
          <w:rFonts w:ascii="Times New Roman" w:hAnsi="Times New Roman" w:cs="Times New Roman"/>
          <w:color w:val="000000"/>
          <w:sz w:val="24"/>
          <w:szCs w:val="24"/>
        </w:rPr>
        <w:t>Esta iniciativa propone una asignación de competencia a las asambleas departamentales del país, fijando unos requisitos previos que deben seguirse a la hora de proponer la creación de un nuevo ente territorial buscando el desarrollo en las regiones históricamente golpeadas por la violencia y el conflicto armado, requisitos como:</w:t>
      </w:r>
    </w:p>
    <w:p w:rsidR="00BB2AC0" w:rsidRPr="00BE3B49" w:rsidRDefault="00340B5C">
      <w:pPr>
        <w:numPr>
          <w:ilvl w:val="0"/>
          <w:numId w:val="2"/>
        </w:numPr>
        <w:pBdr>
          <w:top w:val="nil"/>
          <w:left w:val="nil"/>
          <w:bottom w:val="nil"/>
          <w:right w:val="nil"/>
          <w:between w:val="nil"/>
        </w:pBdr>
        <w:spacing w:before="161" w:line="360" w:lineRule="auto"/>
        <w:ind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Que los territorios interesados sean beneficiarios de Programas de Desarrollo con Enfoque Territorial con el fin de garantizar el principio de coordinació</w:t>
      </w:r>
      <w:r w:rsidRPr="00BE3B49">
        <w:rPr>
          <w:rFonts w:ascii="Times New Roman" w:hAnsi="Times New Roman" w:cs="Times New Roman"/>
          <w:sz w:val="24"/>
          <w:szCs w:val="24"/>
        </w:rPr>
        <w:t>n.</w:t>
      </w:r>
    </w:p>
    <w:p w:rsidR="00BB2AC0" w:rsidRPr="00BE3B49"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Que los territorios interesados sean colindantes entre ellos con el fin de brindar una garantía al principio de centralización administrativa, de supremacía del derecho comunitario, de continuidad de los servicios públicos y de coordinación.</w:t>
      </w:r>
    </w:p>
    <w:p w:rsidR="00BB2AC0" w:rsidRPr="00BE3B49"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Que los territorios interesados hagan parte de la misma jurisdicción político-administrativa con el fin de brindarle garantía al principio de centralización administrativa, de continuidad de los servicios públicos, de unidad administrativa territorial y de coordinación administrativa.</w:t>
      </w:r>
    </w:p>
    <w:p w:rsidR="00BB2AC0" w:rsidRPr="00BE3B49"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Que la suma de los habitantes de los territorios interesados sea igual o mayor a siete </w:t>
      </w:r>
      <w:r w:rsidRPr="00BE3B49">
        <w:rPr>
          <w:rFonts w:ascii="Times New Roman" w:hAnsi="Times New Roman" w:cs="Times New Roman"/>
          <w:color w:val="000000"/>
          <w:sz w:val="24"/>
          <w:szCs w:val="24"/>
        </w:rPr>
        <w:lastRenderedPageBreak/>
        <w:t>mil (7.000) con el fin de cumplir con el requisito de unidad poblacional para una eficaz y coordinada administración territorial y continuidad efectiva de los servicios públicos.</w:t>
      </w:r>
    </w:p>
    <w:p w:rsidR="00BB2AC0" w:rsidRPr="00BE3B49" w:rsidRDefault="00340B5C">
      <w:pPr>
        <w:numPr>
          <w:ilvl w:val="0"/>
          <w:numId w:val="2"/>
        </w:numPr>
        <w:pBdr>
          <w:top w:val="nil"/>
          <w:left w:val="nil"/>
          <w:bottom w:val="nil"/>
          <w:right w:val="nil"/>
          <w:between w:val="nil"/>
        </w:pBdr>
        <w:spacing w:line="360" w:lineRule="auto"/>
        <w:ind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Que los territorios interesados que cuenten con comunidades indígenas sean partícipes de mecanismos constitucionales de consulta democrática como la consulta previa con el fin de garantizar el principio de autonomía de los pueblos indígenas consagrado en el artículo X de la constitución política de Colombia y respaldado por diferentes sentencias de la H. Corte Constitucional.</w:t>
      </w:r>
    </w:p>
    <w:p w:rsidR="00BB2AC0" w:rsidRPr="00BE3B49" w:rsidRDefault="00340B5C">
      <w:pPr>
        <w:spacing w:before="162" w:line="360" w:lineRule="auto"/>
        <w:ind w:left="122" w:right="115"/>
        <w:jc w:val="both"/>
        <w:rPr>
          <w:rFonts w:ascii="Times New Roman" w:hAnsi="Times New Roman" w:cs="Times New Roman"/>
          <w:sz w:val="24"/>
          <w:szCs w:val="24"/>
        </w:rPr>
      </w:pPr>
      <w:r w:rsidRPr="00BE3B49">
        <w:rPr>
          <w:rFonts w:ascii="Times New Roman" w:hAnsi="Times New Roman" w:cs="Times New Roman"/>
          <w:sz w:val="24"/>
          <w:szCs w:val="24"/>
        </w:rPr>
        <w:t xml:space="preserve">Respecto al primer requisito, </w:t>
      </w:r>
      <w:r w:rsidRPr="00BE3B49">
        <w:rPr>
          <w:rFonts w:ascii="Times New Roman" w:eastAsia="Arial" w:hAnsi="Times New Roman" w:cs="Times New Roman"/>
          <w:b/>
          <w:i/>
          <w:sz w:val="24"/>
          <w:szCs w:val="24"/>
        </w:rPr>
        <w:t>Que los territorios interesados sean beneficiarios de Programas de Desarrollo con Enfoque Territorial</w:t>
      </w:r>
      <w:r w:rsidRPr="00BE3B49">
        <w:rPr>
          <w:rFonts w:ascii="Times New Roman" w:eastAsia="Arial" w:hAnsi="Times New Roman" w:cs="Times New Roman"/>
          <w:i/>
          <w:sz w:val="24"/>
          <w:szCs w:val="24"/>
        </w:rPr>
        <w:t xml:space="preserve">, </w:t>
      </w:r>
      <w:r w:rsidRPr="00BE3B49">
        <w:rPr>
          <w:rFonts w:ascii="Times New Roman" w:hAnsi="Times New Roman" w:cs="Times New Roman"/>
          <w:sz w:val="24"/>
          <w:szCs w:val="24"/>
        </w:rPr>
        <w:t>se fundamenta en el objeto del proyecto de ley, pues lo que se busca es darles la posibilidad a aquellos territorios históricamente olvidados por la guerra y sus consecuencias de tener la posibilidad de un desarrollo, de tener mayor institucionalidad y superar el pasado.</w:t>
      </w:r>
    </w:p>
    <w:p w:rsidR="00BB2AC0" w:rsidRPr="00BE3B49" w:rsidRDefault="00340B5C">
      <w:pPr>
        <w:pBdr>
          <w:top w:val="nil"/>
          <w:left w:val="nil"/>
          <w:bottom w:val="nil"/>
          <w:right w:val="nil"/>
          <w:between w:val="nil"/>
        </w:pBdr>
        <w:spacing w:before="161" w:line="360" w:lineRule="auto"/>
        <w:ind w:left="122" w:right="116"/>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Es aquí donde el principio de coordinación administrativa se evidencia, puesto que son territorios que ya pertenecen a un Programa de Desarrollo con Enfoque Territorial, y que su segregación del municipio inicial no afectaría las condiciones</w:t>
      </w:r>
      <w:r w:rsidRPr="00BE3B49">
        <w:rPr>
          <w:rFonts w:ascii="Times New Roman" w:hAnsi="Times New Roman" w:cs="Times New Roman"/>
          <w:sz w:val="24"/>
          <w:szCs w:val="24"/>
        </w:rPr>
        <w:t xml:space="preserve"> </w:t>
      </w:r>
      <w:r w:rsidRPr="00BE3B49">
        <w:rPr>
          <w:rFonts w:ascii="Times New Roman" w:hAnsi="Times New Roman" w:cs="Times New Roman"/>
          <w:color w:val="000000"/>
          <w:sz w:val="24"/>
          <w:szCs w:val="24"/>
        </w:rPr>
        <w:t>iniciales de su pertenencia al programa, posibilitando la coordinación del municipio creado con las diferentes entidades vinculadas al programa.</w:t>
      </w:r>
    </w:p>
    <w:p w:rsidR="00BB2AC0" w:rsidRPr="00BE3B49" w:rsidRDefault="00340B5C">
      <w:pPr>
        <w:pBdr>
          <w:top w:val="nil"/>
          <w:left w:val="nil"/>
          <w:bottom w:val="nil"/>
          <w:right w:val="nil"/>
          <w:between w:val="nil"/>
        </w:pBdr>
        <w:spacing w:before="161"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Es importante este primer requisito puesto que su vinculación al PDET es fundamental para generar el objetivo de esta iniciativa legislativa, pues es la forma ideal de pretender una verdadera transformación territorial con un enfoque social.</w:t>
      </w:r>
    </w:p>
    <w:p w:rsidR="00BB2AC0" w:rsidRPr="00BE3B49" w:rsidRDefault="00340B5C">
      <w:pPr>
        <w:spacing w:before="161" w:line="360" w:lineRule="auto"/>
        <w:ind w:left="122" w:right="114"/>
        <w:jc w:val="both"/>
        <w:rPr>
          <w:rFonts w:ascii="Times New Roman" w:hAnsi="Times New Roman" w:cs="Times New Roman"/>
          <w:sz w:val="24"/>
          <w:szCs w:val="24"/>
        </w:rPr>
      </w:pPr>
      <w:r w:rsidRPr="00BE3B49">
        <w:rPr>
          <w:rFonts w:ascii="Times New Roman" w:hAnsi="Times New Roman" w:cs="Times New Roman"/>
          <w:sz w:val="24"/>
          <w:szCs w:val="24"/>
        </w:rPr>
        <w:t xml:space="preserve">En cuanto al segundo y tercer requisito, </w:t>
      </w:r>
      <w:r w:rsidRPr="00BE3B49">
        <w:rPr>
          <w:rFonts w:ascii="Times New Roman" w:eastAsia="Arial" w:hAnsi="Times New Roman" w:cs="Times New Roman"/>
          <w:b/>
          <w:i/>
          <w:sz w:val="24"/>
          <w:szCs w:val="24"/>
        </w:rPr>
        <w:t xml:space="preserve">Que los territorios interesados sean colindantes entre ellos, y Que los territorios interesados hagan parte de la misma jurisdicción político-administrativa, </w:t>
      </w:r>
      <w:r w:rsidRPr="00BE3B49">
        <w:rPr>
          <w:rFonts w:ascii="Times New Roman" w:hAnsi="Times New Roman" w:cs="Times New Roman"/>
          <w:sz w:val="24"/>
          <w:szCs w:val="24"/>
        </w:rPr>
        <w:t>se plantean como una forma de pretender la unidad administrativa viéndolo como un principio base para la organización político-administrativa de la administración pública, garantizando la centralización administrativa municipal que permitiría a corto plazo la gestión descentralizada de entidades y organismos nacionales, generando una continuidad coordinada con la prestación de servicios públicos con los que siempre han contado (o en caso de que no cuenten con algún servicio público, permitiría una fácil prestación de este).</w:t>
      </w:r>
    </w:p>
    <w:p w:rsidR="00BB2AC0" w:rsidRPr="00BE3B49" w:rsidRDefault="00340B5C">
      <w:pPr>
        <w:pBdr>
          <w:top w:val="nil"/>
          <w:left w:val="nil"/>
          <w:bottom w:val="nil"/>
          <w:right w:val="nil"/>
          <w:between w:val="nil"/>
        </w:pBdr>
        <w:spacing w:before="160"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Finalmente, estos requisitos permiten garantizar el principio administrativo de </w:t>
      </w:r>
      <w:r w:rsidRPr="00BE3B49">
        <w:rPr>
          <w:rFonts w:ascii="Times New Roman" w:hAnsi="Times New Roman" w:cs="Times New Roman"/>
          <w:color w:val="000000"/>
          <w:sz w:val="24"/>
          <w:szCs w:val="24"/>
        </w:rPr>
        <w:lastRenderedPageBreak/>
        <w:t>supremacía del derecho comunitario, pues no se puede negar que los territorios o el territorio que se piensa erigir como municipio, sus pobladores tienen ideas de comunidad, conviven en comunidad y tienen una identidad que atiende sus características naturales, sociales, económicas y culturales propias de la zona.</w:t>
      </w:r>
    </w:p>
    <w:p w:rsidR="00340B5C" w:rsidRPr="00BE3B49" w:rsidRDefault="00340B5C" w:rsidP="00340B5C">
      <w:pPr>
        <w:pBdr>
          <w:top w:val="nil"/>
          <w:left w:val="nil"/>
          <w:bottom w:val="nil"/>
          <w:right w:val="nil"/>
          <w:between w:val="nil"/>
        </w:pBdr>
        <w:spacing w:before="160"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Para el cuarto requisito, esto es, </w:t>
      </w:r>
      <w:r w:rsidRPr="00BE3B49">
        <w:rPr>
          <w:rFonts w:ascii="Times New Roman" w:eastAsia="Arial" w:hAnsi="Times New Roman" w:cs="Times New Roman"/>
          <w:b/>
          <w:i/>
          <w:color w:val="000000"/>
          <w:sz w:val="24"/>
          <w:szCs w:val="24"/>
        </w:rPr>
        <w:t>Que la suma de los habitantes de los territorios interesados sea igual o mayor a siete mil (7.000)</w:t>
      </w:r>
      <w:r w:rsidRPr="00BE3B49">
        <w:rPr>
          <w:rFonts w:ascii="Times New Roman" w:hAnsi="Times New Roman" w:cs="Times New Roman"/>
          <w:color w:val="000000"/>
          <w:sz w:val="24"/>
          <w:szCs w:val="24"/>
        </w:rPr>
        <w:t>, se busca que la iniciativa legislativa propuesta no sea un instrumento para generar una desorganización territorial en el país, pues por lo contrario, se pretende generar una unidad poblacional mínima, que era la contemplada inicialmente en la ley 136 de 194, con el ánimo de lograr una eficaz y coordinada administración territorial por parte de la administración naciente, además de facilitar la continuidad efectiva de los servicios públicos</w:t>
      </w:r>
    </w:p>
    <w:p w:rsidR="00BB2AC0" w:rsidRPr="00BE3B49" w:rsidRDefault="00340B5C" w:rsidP="00340B5C">
      <w:pPr>
        <w:pBdr>
          <w:top w:val="nil"/>
          <w:left w:val="nil"/>
          <w:bottom w:val="nil"/>
          <w:right w:val="nil"/>
          <w:between w:val="nil"/>
        </w:pBdr>
        <w:spacing w:before="160"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Se debe tener en cuenta que estos territorios que se buscan beneficiar, son corregimiento y veredas apartadas de la centralidad, territorios rurales alejados del desarrollo y cercanos a la pobreza económica, pobreza generada por años de guerra y de olvido, que no han permitido un surgimiento o mejora en vías para sacar sus productos a la región, para generar empresas, empleo, progreso, para que llegue la institucionalidad y su fuerza pública, territorios que por su ubicación geo territorial, como ya se dijo están alejados de los cascos urbanos del municipio principal y que por ende no cuentan con un gran número de habitantes.</w:t>
      </w:r>
    </w:p>
    <w:p w:rsidR="00BB2AC0" w:rsidRPr="00BE3B49" w:rsidRDefault="00340B5C">
      <w:pPr>
        <w:pBdr>
          <w:top w:val="nil"/>
          <w:left w:val="nil"/>
          <w:bottom w:val="nil"/>
          <w:right w:val="nil"/>
          <w:between w:val="nil"/>
        </w:pBdr>
        <w:spacing w:before="162" w:line="360" w:lineRule="auto"/>
        <w:ind w:left="122" w:right="113"/>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Respecto a al último requisito, esto es, </w:t>
      </w:r>
      <w:r w:rsidRPr="00BE3B49">
        <w:rPr>
          <w:rFonts w:ascii="Times New Roman" w:eastAsia="Arial" w:hAnsi="Times New Roman" w:cs="Times New Roman"/>
          <w:b/>
          <w:i/>
          <w:color w:val="000000"/>
          <w:sz w:val="24"/>
          <w:szCs w:val="24"/>
        </w:rPr>
        <w:t xml:space="preserve">Que los territorios interesados que cuenten con comunidades indígenas sean partícipes de mecanismos constitucionales de consulta democrática como la consulta previa, </w:t>
      </w:r>
      <w:r w:rsidRPr="00BE3B49">
        <w:rPr>
          <w:rFonts w:ascii="Times New Roman" w:hAnsi="Times New Roman" w:cs="Times New Roman"/>
          <w:color w:val="000000"/>
          <w:sz w:val="24"/>
          <w:szCs w:val="24"/>
        </w:rPr>
        <w:t xml:space="preserve">la ley inicial, esto es el artículo de la ley 2200 de 2022 no contempló la figura de consulta previa obligatoria, sin embargo, la H. Corte Constitucional en sentencia C-047 de 2022 estableció la constitucionalidad de la norma en sentido exequiblemente condicionada en la medida que debe respetarte el principio de autonomía de los pueblos indígenas toda vez que </w:t>
      </w:r>
      <w:r w:rsidRPr="00BE3B49">
        <w:rPr>
          <w:rFonts w:ascii="Times New Roman" w:hAnsi="Times New Roman" w:cs="Times New Roman"/>
          <w:color w:val="000000"/>
          <w:sz w:val="24"/>
          <w:szCs w:val="24"/>
          <w:highlight w:val="white"/>
        </w:rPr>
        <w:t xml:space="preserve">el </w:t>
      </w:r>
      <w:r w:rsidRPr="00BE3B49">
        <w:rPr>
          <w:rFonts w:ascii="Times New Roman" w:hAnsi="Times New Roman" w:cs="Times New Roman"/>
          <w:color w:val="000000"/>
          <w:sz w:val="24"/>
          <w:szCs w:val="24"/>
        </w:rPr>
        <w:t>Estado está obligado a adoptar todas las medidas que se consideren necesarias y efectivas para que las comunidades indígenas asuman y mantengan sus instituciones y fortalezcan su identidad. En esa medida, es esencial que estas comunidades adopten sus propias decisiones sin la interferencia de terceros (Corte Constitucional en Sentencia T-973 de 2009 y T-601 de 2011, reiterado en Sentencia C-047 de 2022).</w:t>
      </w:r>
    </w:p>
    <w:p w:rsidR="00BB2AC0" w:rsidRPr="00BE3B49" w:rsidRDefault="00340B5C">
      <w:pPr>
        <w:pBdr>
          <w:top w:val="nil"/>
          <w:left w:val="nil"/>
          <w:bottom w:val="nil"/>
          <w:right w:val="nil"/>
          <w:between w:val="nil"/>
        </w:pBdr>
        <w:spacing w:before="160" w:line="360" w:lineRule="auto"/>
        <w:ind w:left="122" w:right="118"/>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lastRenderedPageBreak/>
        <w:t>La Honorable Corte Constitucional en Sentencia C-047 de 2022 también expresó que, en respeto a los derechos de las comunidades indígenas, el Estado no puede imponerles una forma de organización ajena a sus costumbres, pues ello implicaría desconocer su estructura política y social.</w:t>
      </w:r>
    </w:p>
    <w:p w:rsidR="00BB2AC0" w:rsidRPr="00BE3B49" w:rsidRDefault="00340B5C">
      <w:pPr>
        <w:pBdr>
          <w:top w:val="nil"/>
          <w:left w:val="nil"/>
          <w:bottom w:val="nil"/>
          <w:right w:val="nil"/>
          <w:between w:val="nil"/>
        </w:pBdr>
        <w:spacing w:before="160" w:line="360" w:lineRule="auto"/>
        <w:ind w:left="122" w:right="116"/>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Así entonces, la corporación indicó que, para preservar la cultura, las tradiciones y la cosmovisión, entre otros valores de los pueblos indígenas, resulta fundamental garantizar la consulta con sus instituciones representativas, cuando se pretenda constituir una forma de organización externa dentro de los territorios</w:t>
      </w:r>
      <w:r w:rsidRPr="00BE3B49">
        <w:rPr>
          <w:rFonts w:ascii="Times New Roman" w:hAnsi="Times New Roman" w:cs="Times New Roman"/>
          <w:sz w:val="24"/>
          <w:szCs w:val="24"/>
        </w:rPr>
        <w:t xml:space="preserve"> </w:t>
      </w:r>
      <w:r w:rsidRPr="00BE3B49">
        <w:rPr>
          <w:rFonts w:ascii="Times New Roman" w:hAnsi="Times New Roman" w:cs="Times New Roman"/>
          <w:color w:val="000000"/>
          <w:sz w:val="24"/>
          <w:szCs w:val="24"/>
        </w:rPr>
        <w:t>que aquellas gobiernan, pues se trata de decisiones susceptibles de interferir en el desarrollo económico, social o cultural de dichos pueblos.</w:t>
      </w:r>
    </w:p>
    <w:p w:rsidR="00BB2AC0" w:rsidRPr="00BE3B49" w:rsidRDefault="00340B5C">
      <w:pPr>
        <w:pBdr>
          <w:top w:val="nil"/>
          <w:left w:val="nil"/>
          <w:bottom w:val="nil"/>
          <w:right w:val="nil"/>
          <w:between w:val="nil"/>
        </w:pBdr>
        <w:spacing w:before="161"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En consecuencia, con el objeto de garantizar la autonomía de los pueblos indígenas para decidir acerca de sus prioridades y, en esa medida, controlar su desarrollo económico, social y cultural (artículos 330 de la Constitución), en concordancia con la finalidad esencial del Estado de garantizar el derecho de las comunidades indígenas a la participación en las decisiones que los afecten (artículo 2 de la Constitución), la conveniencia para su propio desarrollo, como criterio para autorizar la constitución o modificación de la organización y dirección de los territorios indígenas, solo puede ser decidida de manera autónoma por los consejos que gobiernan dichos territorios.</w:t>
      </w:r>
    </w:p>
    <w:p w:rsidR="00BB2AC0" w:rsidRPr="00BE3B49" w:rsidRDefault="00BB2AC0">
      <w:pPr>
        <w:pBdr>
          <w:top w:val="nil"/>
          <w:left w:val="nil"/>
          <w:bottom w:val="nil"/>
          <w:right w:val="nil"/>
          <w:between w:val="nil"/>
        </w:pBdr>
        <w:spacing w:before="9"/>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line="360" w:lineRule="auto"/>
        <w:ind w:left="122" w:right="113"/>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Así las cosas, la autoridad competente (en este caso, la asamblea departamental) para autorizar la constitución de estructuras territoriales deberá consultar con dichas instancias la correspondiente actuación administrativa, con el fin de que las comunidades indígenas hagan valer su derecho a decidir sobre la conveniencia que, para su propio desarrollo, tiene la creación de figuras extrañas de organización y administración.</w:t>
      </w:r>
    </w:p>
    <w:p w:rsidR="00BB2AC0" w:rsidRPr="00BE3B49" w:rsidRDefault="00340B5C">
      <w:pPr>
        <w:pBdr>
          <w:top w:val="nil"/>
          <w:left w:val="nil"/>
          <w:bottom w:val="nil"/>
          <w:right w:val="nil"/>
          <w:between w:val="nil"/>
        </w:pBdr>
        <w:spacing w:before="161" w:line="360" w:lineRule="auto"/>
        <w:ind w:left="122" w:right="12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Lo anterior, en aplicación del artículo 6 del Convenio 169 de la OIT, que establece el derecho a la consulta previa en cabeza de estas comunidades.</w:t>
      </w:r>
    </w:p>
    <w:p w:rsidR="00BB2AC0" w:rsidRPr="00BE3B49" w:rsidRDefault="00340B5C">
      <w:pPr>
        <w:pBdr>
          <w:top w:val="nil"/>
          <w:left w:val="nil"/>
          <w:bottom w:val="nil"/>
          <w:right w:val="nil"/>
          <w:between w:val="nil"/>
        </w:pBdr>
        <w:spacing w:before="159" w:line="360" w:lineRule="auto"/>
        <w:ind w:left="122" w:right="118"/>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Cabe recordar, igualmente, que la ejecución de cualquier proyecto de desarrollo en los territorios indígenas requiere la consulta previa de las instancias representativas que gobiernan dichos territorios, pues no basta con la decisión sobre su conveniencia. Esto, a fin de evitar injerencias externas en el proceso de desarrollo de estas comunidades</w:t>
      </w:r>
    </w:p>
    <w:p w:rsidR="00BB2AC0" w:rsidRPr="00BE3B49" w:rsidRDefault="00340B5C" w:rsidP="00340B5C">
      <w:pPr>
        <w:pBdr>
          <w:top w:val="nil"/>
          <w:left w:val="nil"/>
          <w:bottom w:val="nil"/>
          <w:right w:val="nil"/>
          <w:between w:val="nil"/>
        </w:pBdr>
        <w:spacing w:before="162" w:line="360" w:lineRule="auto"/>
        <w:ind w:left="122" w:right="116"/>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 xml:space="preserve">Finalmente, la posibilidad de concertar territorios </w:t>
      </w:r>
      <w:proofErr w:type="spellStart"/>
      <w:r w:rsidRPr="00BE3B49">
        <w:rPr>
          <w:rFonts w:ascii="Times New Roman" w:hAnsi="Times New Roman" w:cs="Times New Roman"/>
          <w:color w:val="000000"/>
          <w:sz w:val="24"/>
          <w:szCs w:val="24"/>
        </w:rPr>
        <w:t>veredales</w:t>
      </w:r>
      <w:proofErr w:type="spellEnd"/>
      <w:r w:rsidRPr="00BE3B49">
        <w:rPr>
          <w:rFonts w:ascii="Times New Roman" w:hAnsi="Times New Roman" w:cs="Times New Roman"/>
          <w:color w:val="000000"/>
          <w:sz w:val="24"/>
          <w:szCs w:val="24"/>
        </w:rPr>
        <w:t xml:space="preserve"> y </w:t>
      </w:r>
      <w:proofErr w:type="spellStart"/>
      <w:r w:rsidRPr="00BE3B49">
        <w:rPr>
          <w:rFonts w:ascii="Times New Roman" w:hAnsi="Times New Roman" w:cs="Times New Roman"/>
          <w:color w:val="000000"/>
          <w:sz w:val="24"/>
          <w:szCs w:val="24"/>
        </w:rPr>
        <w:t>Corregimentales</w:t>
      </w:r>
      <w:proofErr w:type="spellEnd"/>
      <w:r w:rsidRPr="00BE3B49">
        <w:rPr>
          <w:rFonts w:ascii="Times New Roman" w:hAnsi="Times New Roman" w:cs="Times New Roman"/>
          <w:color w:val="000000"/>
          <w:sz w:val="24"/>
          <w:szCs w:val="24"/>
        </w:rPr>
        <w:t xml:space="preserve"> que se </w:t>
      </w:r>
      <w:r w:rsidRPr="00BE3B49">
        <w:rPr>
          <w:rFonts w:ascii="Times New Roman" w:hAnsi="Times New Roman" w:cs="Times New Roman"/>
          <w:color w:val="000000"/>
          <w:sz w:val="24"/>
          <w:szCs w:val="24"/>
        </w:rPr>
        <w:lastRenderedPageBreak/>
        <w:t>benefician de Programas de Desarrollo con Enfoque Territorial, que se encuentren colindantes entre sí y que hagan parte de la misma jurisdicción territorial, puedan erigir un nuevo municipio como entidad territorial independiente garantizaría recursos de la nación para su desarrollo potencializaría los PDET en su territorio, fortalecería la institucionalidad de los diferentes entes y organismos descentralizados territoriales, mejoraría la conectividad en los territorios por medio de organización de las vías terciarias o creando nuevas vías para el fácil acceso a la región optimizando el tiempo en rutas de comercio, de transporte terrestre, de carga y agrícola, conectaría territorios rurales históricamente alejados y olvidados por la violencia y la guerra y aseguraría inversión social para vigencias futuras y un eficaz desarrollo rural.</w:t>
      </w:r>
    </w:p>
    <w:p w:rsidR="00BB2AC0" w:rsidRPr="00BE3B49" w:rsidRDefault="00340B5C">
      <w:pPr>
        <w:pBdr>
          <w:top w:val="nil"/>
          <w:left w:val="nil"/>
          <w:bottom w:val="nil"/>
          <w:right w:val="nil"/>
          <w:between w:val="nil"/>
        </w:pBdr>
        <w:spacing w:before="163"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Lo anterior se traduce en mayor calidad de vida para sus habitantes, en la reconstrucción de un territorio por medio de una transformación territorial equitativa con un enfoque social, y utilizando la guerra y sus consecuencias como mecanismo para el desarrollo territorial de una región históricamente olvidada y alejada de la urbe, en otras palabras, significa brindarle a los territorios verdaderamente golpeados por la guerra una posibilidad de desarrollo, de institucionalidad, de conectarlos con la centralidad y de lograr un perdón y una verdadera paz.</w:t>
      </w:r>
    </w:p>
    <w:p w:rsidR="00BB2AC0" w:rsidRPr="00BE3B49" w:rsidRDefault="00340B5C">
      <w:pPr>
        <w:pStyle w:val="Ttulo1"/>
        <w:numPr>
          <w:ilvl w:val="0"/>
          <w:numId w:val="3"/>
        </w:numPr>
        <w:tabs>
          <w:tab w:val="left" w:pos="842"/>
        </w:tabs>
        <w:spacing w:before="159"/>
        <w:ind w:hanging="361"/>
        <w:rPr>
          <w:rFonts w:ascii="Times New Roman" w:hAnsi="Times New Roman" w:cs="Times New Roman"/>
        </w:rPr>
      </w:pPr>
      <w:r w:rsidRPr="00BE3B49">
        <w:rPr>
          <w:rFonts w:ascii="Times New Roman" w:hAnsi="Times New Roman" w:cs="Times New Roman"/>
        </w:rPr>
        <w:t>FUNDAMENTOS JURIDICOS</w:t>
      </w:r>
    </w:p>
    <w:p w:rsidR="00BB2AC0" w:rsidRPr="00BE3B49" w:rsidRDefault="00BB2AC0">
      <w:pPr>
        <w:pBdr>
          <w:top w:val="nil"/>
          <w:left w:val="nil"/>
          <w:bottom w:val="nil"/>
          <w:right w:val="nil"/>
          <w:between w:val="nil"/>
        </w:pBdr>
        <w:spacing w:before="10"/>
        <w:rPr>
          <w:rFonts w:ascii="Times New Roman" w:eastAsia="Arial" w:hAnsi="Times New Roman" w:cs="Times New Roman"/>
          <w:b/>
          <w:color w:val="000000"/>
          <w:sz w:val="24"/>
          <w:szCs w:val="24"/>
        </w:rPr>
      </w:pPr>
    </w:p>
    <w:p w:rsidR="00BB2AC0" w:rsidRPr="00BE3B49" w:rsidRDefault="00340B5C">
      <w:pPr>
        <w:numPr>
          <w:ilvl w:val="1"/>
          <w:numId w:val="3"/>
        </w:numPr>
        <w:pBdr>
          <w:top w:val="nil"/>
          <w:left w:val="nil"/>
          <w:bottom w:val="nil"/>
          <w:right w:val="nil"/>
          <w:between w:val="nil"/>
        </w:pBdr>
        <w:tabs>
          <w:tab w:val="left" w:pos="1605"/>
          <w:tab w:val="left" w:pos="1606"/>
        </w:tabs>
        <w:ind w:hanging="1125"/>
        <w:rPr>
          <w:rFonts w:ascii="Times New Roman" w:eastAsia="Arial" w:hAnsi="Times New Roman" w:cs="Times New Roman"/>
          <w:b/>
          <w:color w:val="000000"/>
          <w:sz w:val="24"/>
          <w:szCs w:val="24"/>
        </w:rPr>
      </w:pPr>
      <w:r w:rsidRPr="00BE3B49">
        <w:rPr>
          <w:rFonts w:ascii="Times New Roman" w:eastAsia="Arial" w:hAnsi="Times New Roman" w:cs="Times New Roman"/>
          <w:b/>
          <w:color w:val="000000"/>
          <w:sz w:val="24"/>
          <w:szCs w:val="24"/>
        </w:rPr>
        <w:t>Fundamentos Constitucionales</w:t>
      </w:r>
    </w:p>
    <w:p w:rsidR="00BB2AC0" w:rsidRPr="00BE3B49" w:rsidRDefault="00BB2AC0">
      <w:pPr>
        <w:pBdr>
          <w:top w:val="nil"/>
          <w:left w:val="nil"/>
          <w:bottom w:val="nil"/>
          <w:right w:val="nil"/>
          <w:between w:val="nil"/>
        </w:pBdr>
        <w:spacing w:before="10"/>
        <w:rPr>
          <w:rFonts w:ascii="Times New Roman" w:eastAsia="Arial" w:hAnsi="Times New Roman" w:cs="Times New Roman"/>
          <w:b/>
          <w:color w:val="000000"/>
          <w:sz w:val="24"/>
          <w:szCs w:val="24"/>
        </w:rPr>
      </w:pPr>
    </w:p>
    <w:p w:rsidR="00BB2AC0" w:rsidRPr="00BE3B49" w:rsidRDefault="00340B5C">
      <w:pPr>
        <w:spacing w:line="360" w:lineRule="auto"/>
        <w:ind w:left="122" w:right="117"/>
        <w:jc w:val="both"/>
        <w:rPr>
          <w:rFonts w:ascii="Times New Roman" w:eastAsia="Arial" w:hAnsi="Times New Roman" w:cs="Times New Roman"/>
          <w:i/>
          <w:sz w:val="24"/>
          <w:szCs w:val="24"/>
        </w:rPr>
      </w:pPr>
      <w:r w:rsidRPr="00BE3B49">
        <w:rPr>
          <w:rFonts w:ascii="Times New Roman" w:hAnsi="Times New Roman" w:cs="Times New Roman"/>
          <w:sz w:val="24"/>
          <w:szCs w:val="24"/>
        </w:rPr>
        <w:t xml:space="preserve">Prescribe el artículo 150 numeral 4º de la Constitución Política que corresponde al Congreso, por medio de leyes, </w:t>
      </w:r>
      <w:r w:rsidRPr="00BE3B49">
        <w:rPr>
          <w:rFonts w:ascii="Times New Roman" w:eastAsia="Arial" w:hAnsi="Times New Roman" w:cs="Times New Roman"/>
          <w:i/>
          <w:sz w:val="24"/>
          <w:szCs w:val="24"/>
        </w:rPr>
        <w:t>“Definir la división general del territorio con arreglo a lo previsto en esta Constitución, fijar las bases y condiciones para crear, eliminar, modificar o fusionar entidades territoriales y establecer sus competencias.”</w:t>
      </w:r>
    </w:p>
    <w:p w:rsidR="00BB2AC0" w:rsidRPr="00BE3B49" w:rsidRDefault="00340B5C">
      <w:pPr>
        <w:spacing w:before="161" w:line="360" w:lineRule="auto"/>
        <w:ind w:left="122" w:right="117"/>
        <w:jc w:val="both"/>
        <w:rPr>
          <w:rFonts w:ascii="Times New Roman" w:eastAsia="Arial" w:hAnsi="Times New Roman" w:cs="Times New Roman"/>
          <w:i/>
          <w:sz w:val="24"/>
          <w:szCs w:val="24"/>
        </w:rPr>
      </w:pPr>
      <w:r w:rsidRPr="00BE3B49">
        <w:rPr>
          <w:rFonts w:ascii="Times New Roman" w:hAnsi="Times New Roman" w:cs="Times New Roman"/>
          <w:sz w:val="24"/>
          <w:szCs w:val="24"/>
        </w:rPr>
        <w:t>Por su parte el numeral 6 del artículo 300 de la Carta establece que corresponde a las Asambleas Departamentales, por medio de ordenanzas</w:t>
      </w:r>
      <w:r w:rsidRPr="00BE3B49">
        <w:rPr>
          <w:rFonts w:ascii="Times New Roman" w:eastAsia="Arial" w:hAnsi="Times New Roman" w:cs="Times New Roman"/>
          <w:i/>
          <w:sz w:val="24"/>
          <w:szCs w:val="24"/>
        </w:rPr>
        <w:t>, “Con sujeción a los requisitos que señale la Ley, crear y suprimir municipios, segregar y agregar territorios municipales, y organizar provincias.”</w:t>
      </w:r>
    </w:p>
    <w:p w:rsidR="00BB2AC0" w:rsidRPr="00BE3B49" w:rsidRDefault="00340B5C">
      <w:pPr>
        <w:pBdr>
          <w:top w:val="nil"/>
          <w:left w:val="nil"/>
          <w:bottom w:val="nil"/>
          <w:right w:val="nil"/>
          <w:between w:val="nil"/>
        </w:pBdr>
        <w:spacing w:before="161" w:line="360" w:lineRule="auto"/>
        <w:ind w:left="122" w:right="117"/>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Finalmente, el articulo 22 y 22A de la constitución política, contienen el derecho fundamental a la paz, fortalecido por el proceso de paz con las FARC en el 2016, que debe aplicarse en la medida que se deben aceptar mecanismos dentro del</w:t>
      </w:r>
      <w:r w:rsidRPr="00BE3B49">
        <w:rPr>
          <w:rFonts w:ascii="Times New Roman" w:hAnsi="Times New Roman" w:cs="Times New Roman"/>
          <w:sz w:val="24"/>
          <w:szCs w:val="24"/>
        </w:rPr>
        <w:t xml:space="preserve"> </w:t>
      </w:r>
      <w:r w:rsidRPr="00BE3B49">
        <w:rPr>
          <w:rFonts w:ascii="Times New Roman" w:hAnsi="Times New Roman" w:cs="Times New Roman"/>
          <w:color w:val="000000"/>
          <w:sz w:val="24"/>
          <w:szCs w:val="24"/>
        </w:rPr>
        <w:t xml:space="preserve">ordenamiento </w:t>
      </w:r>
      <w:r w:rsidRPr="00BE3B49">
        <w:rPr>
          <w:rFonts w:ascii="Times New Roman" w:hAnsi="Times New Roman" w:cs="Times New Roman"/>
          <w:color w:val="000000"/>
          <w:sz w:val="24"/>
          <w:szCs w:val="24"/>
        </w:rPr>
        <w:lastRenderedPageBreak/>
        <w:t>jurídico interno del país que garanticen el derecho a la paz con un enfoque de desarrollo territorial.</w:t>
      </w:r>
    </w:p>
    <w:p w:rsidR="00BB2AC0" w:rsidRPr="00BE3B49" w:rsidRDefault="00340B5C">
      <w:pPr>
        <w:pStyle w:val="Ttulo1"/>
        <w:numPr>
          <w:ilvl w:val="1"/>
          <w:numId w:val="3"/>
        </w:numPr>
        <w:tabs>
          <w:tab w:val="left" w:pos="1605"/>
          <w:tab w:val="left" w:pos="1606"/>
        </w:tabs>
        <w:spacing w:before="161"/>
        <w:ind w:hanging="1125"/>
        <w:rPr>
          <w:rFonts w:ascii="Times New Roman" w:hAnsi="Times New Roman" w:cs="Times New Roman"/>
        </w:rPr>
      </w:pPr>
      <w:r w:rsidRPr="00BE3B49">
        <w:rPr>
          <w:rFonts w:ascii="Times New Roman" w:hAnsi="Times New Roman" w:cs="Times New Roman"/>
        </w:rPr>
        <w:t>Fundamentos Legales</w:t>
      </w:r>
    </w:p>
    <w:p w:rsidR="00BB2AC0" w:rsidRPr="00BE3B49" w:rsidRDefault="00BB2AC0">
      <w:pPr>
        <w:pBdr>
          <w:top w:val="nil"/>
          <w:left w:val="nil"/>
          <w:bottom w:val="nil"/>
          <w:right w:val="nil"/>
          <w:between w:val="nil"/>
        </w:pBdr>
        <w:spacing w:before="10"/>
        <w:rPr>
          <w:rFonts w:ascii="Times New Roman" w:eastAsia="Arial" w:hAnsi="Times New Roman" w:cs="Times New Roman"/>
          <w:b/>
          <w:color w:val="000000"/>
          <w:sz w:val="24"/>
          <w:szCs w:val="24"/>
        </w:rPr>
      </w:pPr>
    </w:p>
    <w:p w:rsidR="00BB2AC0" w:rsidRPr="00BE3B49" w:rsidRDefault="00340B5C">
      <w:pPr>
        <w:pBdr>
          <w:top w:val="nil"/>
          <w:left w:val="nil"/>
          <w:bottom w:val="nil"/>
          <w:right w:val="nil"/>
          <w:between w:val="nil"/>
        </w:pBdr>
        <w:spacing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La ley 136 de 1994 es aquella que dicta las normas tendientes a modernizar la organización y el funcionamiento de los municipios, y en su artículo 8° y 9° contiene los requisitos generales para la creación de municipios y la excepción a la regla general respectivamente.</w:t>
      </w:r>
    </w:p>
    <w:p w:rsidR="00BB2AC0" w:rsidRPr="00BE3B49" w:rsidRDefault="00340B5C">
      <w:pPr>
        <w:pBdr>
          <w:top w:val="nil"/>
          <w:left w:val="nil"/>
          <w:bottom w:val="nil"/>
          <w:right w:val="nil"/>
          <w:between w:val="nil"/>
        </w:pBdr>
        <w:spacing w:before="162"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Así mismo, respecto al artículo 8°, la ley 617 del 2000 y la 1551 de 2012 modificaron las cifras habitacionales para el requisito poblacional contenido en la ley, de siete mil (7.000) habitantes a veinticinco mil (25.000) habitantes, al igual que los ingresos corrientes de libre destinación aumentándolos de cinco mil (5.000) salarios mininos legales mensuales vigentes a doce mil (12.000) salarios mínimos legales mensuales vigentes.</w:t>
      </w:r>
    </w:p>
    <w:p w:rsidR="00BB2AC0" w:rsidRPr="00BE3B49" w:rsidRDefault="00340B5C">
      <w:pPr>
        <w:pBdr>
          <w:top w:val="nil"/>
          <w:left w:val="nil"/>
          <w:bottom w:val="nil"/>
          <w:right w:val="nil"/>
          <w:between w:val="nil"/>
        </w:pBdr>
        <w:spacing w:before="159" w:line="360" w:lineRule="auto"/>
        <w:ind w:left="122" w:right="115"/>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Respecto al artículo 9°, que es aquel que propone el régimen de excepción a los requisitos generales, fue modificado recientemente por la ley 2200 del 2022 complementando el artículo de forma integral.</w:t>
      </w:r>
    </w:p>
    <w:p w:rsidR="00BB2AC0" w:rsidRPr="00BE3B49" w:rsidRDefault="00340B5C">
      <w:pPr>
        <w:pBdr>
          <w:top w:val="nil"/>
          <w:left w:val="nil"/>
          <w:bottom w:val="nil"/>
          <w:right w:val="nil"/>
          <w:between w:val="nil"/>
        </w:pBdr>
        <w:spacing w:before="162"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Sin embargo, se quedó corto a la hora de aplicar lo dispuesto en el acuerdo de paz del 2016, en la medida de generar garantías para una implementación del acuerdo generando espacios de potencialización de Programas de Desarrollo con Enfoque Territorial a los territorios más apartados del país, por tal razón se presenta este proyecto de ley a modo de complementación de dicha iniciativa legislativa.</w:t>
      </w:r>
    </w:p>
    <w:p w:rsidR="00BB2AC0" w:rsidRPr="00BE3B49" w:rsidRDefault="00340B5C">
      <w:pPr>
        <w:pStyle w:val="Ttulo1"/>
        <w:numPr>
          <w:ilvl w:val="1"/>
          <w:numId w:val="3"/>
        </w:numPr>
        <w:tabs>
          <w:tab w:val="left" w:pos="1605"/>
          <w:tab w:val="left" w:pos="1606"/>
        </w:tabs>
        <w:spacing w:before="159"/>
        <w:ind w:hanging="1125"/>
        <w:rPr>
          <w:rFonts w:ascii="Times New Roman" w:hAnsi="Times New Roman" w:cs="Times New Roman"/>
        </w:rPr>
      </w:pPr>
      <w:r w:rsidRPr="00BE3B49">
        <w:rPr>
          <w:rFonts w:ascii="Times New Roman" w:hAnsi="Times New Roman" w:cs="Times New Roman"/>
        </w:rPr>
        <w:t>Fundamentos Jurisprudenciales</w:t>
      </w:r>
    </w:p>
    <w:p w:rsidR="00BB2AC0" w:rsidRPr="00BE3B49" w:rsidRDefault="00BB2AC0">
      <w:pPr>
        <w:pBdr>
          <w:top w:val="nil"/>
          <w:left w:val="nil"/>
          <w:bottom w:val="nil"/>
          <w:right w:val="nil"/>
          <w:between w:val="nil"/>
        </w:pBdr>
        <w:spacing w:before="4"/>
        <w:rPr>
          <w:rFonts w:ascii="Times New Roman" w:eastAsia="Arial" w:hAnsi="Times New Roman" w:cs="Times New Roman"/>
          <w:b/>
          <w:color w:val="000000"/>
          <w:sz w:val="24"/>
          <w:szCs w:val="24"/>
        </w:rPr>
      </w:pPr>
    </w:p>
    <w:p w:rsidR="00BB2AC0" w:rsidRPr="00BE3B49" w:rsidRDefault="00340B5C">
      <w:pPr>
        <w:pBdr>
          <w:top w:val="nil"/>
          <w:left w:val="nil"/>
          <w:bottom w:val="nil"/>
          <w:right w:val="nil"/>
          <w:between w:val="nil"/>
        </w:pBdr>
        <w:spacing w:line="360" w:lineRule="auto"/>
        <w:ind w:left="122" w:right="113"/>
        <w:jc w:val="both"/>
        <w:rPr>
          <w:rFonts w:ascii="Times New Roman" w:hAnsi="Times New Roman" w:cs="Times New Roman"/>
          <w:color w:val="000000"/>
          <w:sz w:val="24"/>
          <w:szCs w:val="24"/>
        </w:rPr>
        <w:sectPr w:rsidR="00BB2AC0" w:rsidRPr="00BE3B49">
          <w:pgSz w:w="11910" w:h="16840"/>
          <w:pgMar w:top="1820" w:right="1580" w:bottom="1440" w:left="1580" w:header="714" w:footer="1184" w:gutter="0"/>
          <w:cols w:space="720"/>
        </w:sectPr>
      </w:pPr>
      <w:r w:rsidRPr="00BE3B49">
        <w:rPr>
          <w:rFonts w:ascii="Times New Roman" w:hAnsi="Times New Roman" w:cs="Times New Roman"/>
          <w:color w:val="000000"/>
          <w:sz w:val="24"/>
          <w:szCs w:val="24"/>
        </w:rPr>
        <w:t xml:space="preserve">El concepto con Radicado No. </w:t>
      </w:r>
      <w:r w:rsidRPr="00BE3B49">
        <w:rPr>
          <w:rFonts w:ascii="Times New Roman" w:eastAsia="Arial" w:hAnsi="Times New Roman" w:cs="Times New Roman"/>
          <w:b/>
          <w:color w:val="000000"/>
          <w:sz w:val="24"/>
          <w:szCs w:val="24"/>
        </w:rPr>
        <w:t xml:space="preserve">11001-03-06-000-2013-00011-00(2140) </w:t>
      </w:r>
      <w:r w:rsidRPr="00BE3B49">
        <w:rPr>
          <w:rFonts w:ascii="Times New Roman" w:hAnsi="Times New Roman" w:cs="Times New Roman"/>
          <w:color w:val="000000"/>
          <w:sz w:val="24"/>
          <w:szCs w:val="24"/>
        </w:rPr>
        <w:t>del 21 de agosto del 2014 emitido por la Sala de Consulta y Servicio Civil del H. Consejo de Estado, reafirma la facultad constitucional dada en el artículo 150 numeral 4° de la constitución política donde le da la facultad al congreso de la república por medio de leyes definir la división político administrativa, y la competencia de las asambleas departamentales de crear municipios de conformidad con el numeral 6° del artículo 300 de la máxima carta política.</w:t>
      </w:r>
    </w:p>
    <w:p w:rsidR="00BE3B49" w:rsidRDefault="00340B5C"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lastRenderedPageBreak/>
        <w:t xml:space="preserve">Respecto a la consulta previa de las comunidades indígenas, la H. Corte Constitucional en sentencia C-048 de 2022, también se manifestó recientemente expresando que estas comunidades tienen el derecho a </w:t>
      </w:r>
      <w:proofErr w:type="spellStart"/>
      <w:r w:rsidRPr="00BE3B49">
        <w:rPr>
          <w:rFonts w:ascii="Times New Roman" w:hAnsi="Times New Roman" w:cs="Times New Roman"/>
          <w:color w:val="000000"/>
          <w:sz w:val="24"/>
          <w:szCs w:val="24"/>
        </w:rPr>
        <w:t>autodeterminarse</w:t>
      </w:r>
      <w:proofErr w:type="spellEnd"/>
      <w:r w:rsidRPr="00BE3B49">
        <w:rPr>
          <w:rFonts w:ascii="Times New Roman" w:hAnsi="Times New Roman" w:cs="Times New Roman"/>
          <w:color w:val="000000"/>
          <w:sz w:val="24"/>
          <w:szCs w:val="24"/>
        </w:rPr>
        <w:t>, y que no puede el Estado (la asamblea departamental en este caso) imponer abusivamente su decisión administrativa sin consultarle al pueblo indígena interesado, razón por la cual, en los casos excepcionales de creación de municipios, debe realizarle la consulta popular en la medida que dicha creación del municipio produzca efectos directos en comunidades indígenas asentados en territorios a municipalizar.</w:t>
      </w: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Pr="00BE3B49" w:rsidRDefault="00BE3B49" w:rsidP="00BE3B49">
      <w:pPr>
        <w:pBdr>
          <w:top w:val="nil"/>
          <w:left w:val="nil"/>
          <w:bottom w:val="nil"/>
          <w:right w:val="nil"/>
          <w:between w:val="nil"/>
        </w:pBdr>
        <w:spacing w:before="134" w:line="360" w:lineRule="auto"/>
        <w:ind w:left="122" w:right="114"/>
        <w:jc w:val="both"/>
        <w:rPr>
          <w:rFonts w:ascii="Times New Roman" w:hAnsi="Times New Roman" w:cs="Times New Roman"/>
          <w:color w:val="000000"/>
          <w:sz w:val="24"/>
          <w:szCs w:val="24"/>
        </w:rPr>
      </w:pPr>
    </w:p>
    <w:p w:rsidR="00BE3B49" w:rsidRPr="00BE3B49" w:rsidRDefault="00BE3B49" w:rsidP="00BE3B49">
      <w:pPr>
        <w:pStyle w:val="Prrafodelista"/>
        <w:numPr>
          <w:ilvl w:val="0"/>
          <w:numId w:val="3"/>
        </w:numPr>
        <w:tabs>
          <w:tab w:val="left" w:pos="2900"/>
        </w:tabs>
        <w:spacing w:before="232" w:line="360" w:lineRule="auto"/>
        <w:ind w:right="19"/>
        <w:jc w:val="both"/>
        <w:rPr>
          <w:rFonts w:ascii="Times New Roman" w:hAnsi="Times New Roman" w:cs="Times New Roman"/>
          <w:b/>
          <w:sz w:val="24"/>
          <w:szCs w:val="24"/>
        </w:rPr>
      </w:pPr>
      <w:r w:rsidRPr="00BE3B49">
        <w:rPr>
          <w:rFonts w:ascii="Times New Roman" w:hAnsi="Times New Roman" w:cs="Times New Roman"/>
          <w:b/>
          <w:sz w:val="24"/>
          <w:szCs w:val="24"/>
        </w:rPr>
        <w:lastRenderedPageBreak/>
        <w:t>TEXTO PROPUESTO</w:t>
      </w:r>
    </w:p>
    <w:p w:rsidR="00BE3B49" w:rsidRPr="00BE3B49" w:rsidRDefault="00BE3B49" w:rsidP="00BE3B49">
      <w:pPr>
        <w:tabs>
          <w:tab w:val="left" w:pos="2900"/>
        </w:tabs>
        <w:spacing w:before="232" w:line="360" w:lineRule="auto"/>
        <w:ind w:right="19"/>
        <w:jc w:val="center"/>
        <w:rPr>
          <w:rFonts w:ascii="Times New Roman" w:hAnsi="Times New Roman" w:cs="Times New Roman"/>
          <w:b/>
          <w:sz w:val="24"/>
          <w:szCs w:val="24"/>
        </w:rPr>
      </w:pPr>
      <w:r w:rsidRPr="00BE3B49">
        <w:rPr>
          <w:rFonts w:ascii="Times New Roman" w:hAnsi="Times New Roman" w:cs="Times New Roman"/>
          <w:b/>
          <w:sz w:val="24"/>
          <w:szCs w:val="24"/>
        </w:rPr>
        <w:t>PROYECTO DE LEY</w:t>
      </w:r>
      <w:r w:rsidRPr="00BE3B49">
        <w:rPr>
          <w:rFonts w:ascii="Times New Roman" w:hAnsi="Times New Roman" w:cs="Times New Roman"/>
          <w:b/>
          <w:sz w:val="24"/>
          <w:szCs w:val="24"/>
          <w:u w:val="single"/>
        </w:rPr>
        <w:tab/>
      </w:r>
      <w:r w:rsidRPr="00BE3B49">
        <w:rPr>
          <w:rFonts w:ascii="Times New Roman" w:hAnsi="Times New Roman" w:cs="Times New Roman"/>
          <w:b/>
          <w:sz w:val="24"/>
          <w:szCs w:val="24"/>
        </w:rPr>
        <w:t>DEL 2023</w:t>
      </w:r>
    </w:p>
    <w:p w:rsidR="00BE3B49" w:rsidRPr="00BE3B49" w:rsidRDefault="00BE3B49" w:rsidP="00BE3B49">
      <w:pPr>
        <w:pBdr>
          <w:top w:val="nil"/>
          <w:left w:val="nil"/>
          <w:bottom w:val="nil"/>
          <w:right w:val="nil"/>
          <w:between w:val="nil"/>
        </w:pBdr>
        <w:spacing w:before="5" w:line="360" w:lineRule="auto"/>
        <w:rPr>
          <w:rFonts w:ascii="Times New Roman" w:hAnsi="Times New Roman" w:cs="Times New Roman"/>
          <w:b/>
          <w:color w:val="000000"/>
          <w:sz w:val="24"/>
          <w:szCs w:val="24"/>
        </w:rPr>
      </w:pPr>
    </w:p>
    <w:p w:rsidR="00BE3B49" w:rsidRPr="00BE3B49" w:rsidRDefault="00BE3B49" w:rsidP="00BE3B49">
      <w:pPr>
        <w:spacing w:line="360" w:lineRule="auto"/>
        <w:ind w:left="102" w:right="117"/>
        <w:jc w:val="both"/>
        <w:rPr>
          <w:rFonts w:ascii="Times New Roman" w:hAnsi="Times New Roman" w:cs="Times New Roman"/>
          <w:b/>
          <w:i/>
          <w:sz w:val="24"/>
          <w:szCs w:val="24"/>
        </w:rPr>
      </w:pPr>
      <w:r w:rsidRPr="00BE3B49">
        <w:rPr>
          <w:rFonts w:ascii="Times New Roman" w:hAnsi="Times New Roman" w:cs="Times New Roman"/>
          <w:b/>
          <w:i/>
          <w:sz w:val="24"/>
          <w:szCs w:val="24"/>
        </w:rPr>
        <w:t>“Por medio de la cual se modifica la ley 136 de 1994 en la búsqueda de una transformación territorial equitativa con enfoque social y se dictan otras disposiciones”</w:t>
      </w:r>
    </w:p>
    <w:p w:rsidR="00BE3B49" w:rsidRPr="00BE3B49" w:rsidRDefault="00BE3B49" w:rsidP="00BE3B49">
      <w:pPr>
        <w:pBdr>
          <w:top w:val="nil"/>
          <w:left w:val="nil"/>
          <w:bottom w:val="nil"/>
          <w:right w:val="nil"/>
          <w:between w:val="nil"/>
        </w:pBdr>
        <w:spacing w:before="8" w:line="360" w:lineRule="auto"/>
        <w:rPr>
          <w:rFonts w:ascii="Times New Roman" w:hAnsi="Times New Roman" w:cs="Times New Roman"/>
          <w:b/>
          <w:i/>
          <w:color w:val="000000"/>
          <w:sz w:val="24"/>
          <w:szCs w:val="24"/>
        </w:rPr>
      </w:pPr>
    </w:p>
    <w:p w:rsidR="00BE3B49" w:rsidRPr="00BE3B49" w:rsidRDefault="00BE3B49" w:rsidP="00BE3B49">
      <w:pPr>
        <w:pBdr>
          <w:top w:val="nil"/>
          <w:left w:val="nil"/>
          <w:bottom w:val="nil"/>
          <w:right w:val="nil"/>
          <w:between w:val="nil"/>
        </w:pBdr>
        <w:spacing w:before="1" w:line="360" w:lineRule="auto"/>
        <w:ind w:left="102" w:right="117"/>
        <w:jc w:val="both"/>
        <w:rPr>
          <w:rFonts w:ascii="Times New Roman" w:hAnsi="Times New Roman" w:cs="Times New Roman"/>
          <w:color w:val="000000"/>
          <w:sz w:val="24"/>
          <w:szCs w:val="24"/>
        </w:rPr>
      </w:pPr>
      <w:r w:rsidRPr="00BE3B49">
        <w:rPr>
          <w:rFonts w:ascii="Times New Roman" w:hAnsi="Times New Roman" w:cs="Times New Roman"/>
          <w:b/>
          <w:color w:val="000000"/>
          <w:sz w:val="24"/>
          <w:szCs w:val="24"/>
        </w:rPr>
        <w:t xml:space="preserve">ARTÍCULO 1°-OBJETO: </w:t>
      </w:r>
      <w:r w:rsidRPr="00BE3B49">
        <w:rPr>
          <w:rFonts w:ascii="Times New Roman" w:hAnsi="Times New Roman" w:cs="Times New Roman"/>
          <w:color w:val="000000"/>
          <w:sz w:val="24"/>
          <w:szCs w:val="24"/>
        </w:rPr>
        <w:t>El objeto de la presente ley es modificar la ley 136 de 1994 con el fin de buscar una transformación en los territorios de Colombia de forma equitativa y con enfoque socio-territorial.</w:t>
      </w:r>
    </w:p>
    <w:p w:rsidR="00BE3B49" w:rsidRPr="00BE3B49" w:rsidRDefault="00BE3B49" w:rsidP="00BE3B49">
      <w:pPr>
        <w:pBdr>
          <w:top w:val="nil"/>
          <w:left w:val="nil"/>
          <w:bottom w:val="nil"/>
          <w:right w:val="nil"/>
          <w:between w:val="nil"/>
        </w:pBdr>
        <w:spacing w:before="11" w:line="360" w:lineRule="auto"/>
        <w:rPr>
          <w:rFonts w:ascii="Times New Roman" w:hAnsi="Times New Roman" w:cs="Times New Roman"/>
          <w:color w:val="000000"/>
          <w:sz w:val="24"/>
          <w:szCs w:val="24"/>
        </w:rPr>
      </w:pPr>
    </w:p>
    <w:p w:rsidR="00BE3B49" w:rsidRPr="00BE3B49" w:rsidRDefault="00BE3B49" w:rsidP="00BE3B49">
      <w:pPr>
        <w:spacing w:line="360" w:lineRule="auto"/>
        <w:ind w:left="102" w:right="120"/>
        <w:jc w:val="both"/>
        <w:rPr>
          <w:rFonts w:ascii="Times New Roman" w:hAnsi="Times New Roman" w:cs="Times New Roman"/>
          <w:sz w:val="24"/>
          <w:szCs w:val="24"/>
        </w:rPr>
      </w:pPr>
      <w:r w:rsidRPr="00BE3B49">
        <w:rPr>
          <w:rFonts w:ascii="Times New Roman" w:hAnsi="Times New Roman" w:cs="Times New Roman"/>
          <w:b/>
          <w:sz w:val="24"/>
          <w:szCs w:val="24"/>
        </w:rPr>
        <w:t xml:space="preserve">ARTÍCULO 2°- MODIFÍQUESE LA LEY 136 DE 1994 Y CRÉESE </w:t>
      </w:r>
      <w:r w:rsidRPr="00BE3B49">
        <w:rPr>
          <w:rFonts w:ascii="Times New Roman" w:hAnsi="Times New Roman" w:cs="Times New Roman"/>
          <w:sz w:val="24"/>
          <w:szCs w:val="24"/>
        </w:rPr>
        <w:t>el artículo 9B, el cual quedará así:</w:t>
      </w:r>
    </w:p>
    <w:p w:rsidR="00BE3B49" w:rsidRPr="00BE3B49" w:rsidRDefault="00BE3B49" w:rsidP="00BE3B49">
      <w:pPr>
        <w:spacing w:line="360" w:lineRule="auto"/>
        <w:ind w:left="102" w:right="120"/>
        <w:jc w:val="both"/>
        <w:rPr>
          <w:rFonts w:ascii="Times New Roman" w:hAnsi="Times New Roman" w:cs="Times New Roman"/>
          <w:sz w:val="24"/>
          <w:szCs w:val="24"/>
        </w:rPr>
      </w:pPr>
    </w:p>
    <w:p w:rsidR="00BE3B49" w:rsidRPr="00BE3B49" w:rsidRDefault="00BE3B49" w:rsidP="00BE3B49">
      <w:pPr>
        <w:pBdr>
          <w:top w:val="nil"/>
          <w:left w:val="nil"/>
          <w:bottom w:val="nil"/>
          <w:right w:val="nil"/>
          <w:between w:val="nil"/>
        </w:pBdr>
        <w:spacing w:before="1" w:line="360" w:lineRule="auto"/>
        <w:ind w:left="720" w:right="116"/>
        <w:jc w:val="both"/>
        <w:rPr>
          <w:rFonts w:ascii="Times New Roman" w:hAnsi="Times New Roman" w:cs="Times New Roman"/>
          <w:i/>
          <w:color w:val="000000"/>
          <w:sz w:val="24"/>
          <w:szCs w:val="24"/>
        </w:rPr>
      </w:pPr>
      <w:r w:rsidRPr="00BE3B49">
        <w:rPr>
          <w:rFonts w:ascii="Times New Roman" w:hAnsi="Times New Roman" w:cs="Times New Roman"/>
          <w:b/>
          <w:i/>
          <w:sz w:val="24"/>
          <w:szCs w:val="24"/>
        </w:rPr>
        <w:t>ARTÍCULO</w:t>
      </w:r>
      <w:r w:rsidRPr="00BE3B49">
        <w:rPr>
          <w:rFonts w:ascii="Times New Roman" w:hAnsi="Times New Roman" w:cs="Times New Roman"/>
          <w:b/>
          <w:i/>
          <w:color w:val="000000"/>
          <w:sz w:val="24"/>
          <w:szCs w:val="24"/>
        </w:rPr>
        <w:t xml:space="preserve"> 9B – EXCEPCIÓN SEGUNDA. CREACIÓN ESPECIAL DE MUNICIPIOS EN TERRITORIOS DE PROGRAMAS DE DESARROLLO CON ENFOQUE TERRITORIAL (PDET). </w:t>
      </w:r>
      <w:r w:rsidRPr="00BE3B49">
        <w:rPr>
          <w:rFonts w:ascii="Times New Roman" w:hAnsi="Times New Roman" w:cs="Times New Roman"/>
          <w:i/>
          <w:color w:val="000000"/>
          <w:sz w:val="24"/>
          <w:szCs w:val="24"/>
        </w:rPr>
        <w:t xml:space="preserve">Aquellos territorios </w:t>
      </w:r>
      <w:proofErr w:type="spellStart"/>
      <w:r w:rsidRPr="00BE3B49">
        <w:rPr>
          <w:rFonts w:ascii="Times New Roman" w:hAnsi="Times New Roman" w:cs="Times New Roman"/>
          <w:i/>
          <w:color w:val="000000"/>
          <w:sz w:val="24"/>
          <w:szCs w:val="24"/>
        </w:rPr>
        <w:t>veredales</w:t>
      </w:r>
      <w:proofErr w:type="spellEnd"/>
      <w:r w:rsidRPr="00BE3B49">
        <w:rPr>
          <w:rFonts w:ascii="Times New Roman" w:hAnsi="Times New Roman" w:cs="Times New Roman"/>
          <w:i/>
          <w:color w:val="000000"/>
          <w:sz w:val="24"/>
          <w:szCs w:val="24"/>
        </w:rPr>
        <w:t xml:space="preserve">, </w:t>
      </w:r>
      <w:proofErr w:type="spellStart"/>
      <w:r w:rsidRPr="00BE3B49">
        <w:rPr>
          <w:rFonts w:ascii="Times New Roman" w:hAnsi="Times New Roman" w:cs="Times New Roman"/>
          <w:i/>
          <w:sz w:val="24"/>
          <w:szCs w:val="24"/>
        </w:rPr>
        <w:t>c</w:t>
      </w:r>
      <w:r w:rsidRPr="00BE3B49">
        <w:rPr>
          <w:rFonts w:ascii="Times New Roman" w:hAnsi="Times New Roman" w:cs="Times New Roman"/>
          <w:i/>
          <w:color w:val="000000"/>
          <w:sz w:val="24"/>
          <w:szCs w:val="24"/>
        </w:rPr>
        <w:t>orregimentales</w:t>
      </w:r>
      <w:proofErr w:type="spellEnd"/>
      <w:r w:rsidRPr="00BE3B49">
        <w:rPr>
          <w:rFonts w:ascii="Times New Roman" w:hAnsi="Times New Roman" w:cs="Times New Roman"/>
          <w:i/>
          <w:color w:val="000000"/>
          <w:sz w:val="24"/>
          <w:szCs w:val="24"/>
        </w:rPr>
        <w:t xml:space="preserve"> y centros poblados rurales, con más de siete mil habitantes (7.000) que hagan parte de municipios beneficiados por programas de desarrollo con enfoque territorial – PDET- y que cuenten con alto grado de afectación como consecuencia del conflicto armado, o que cuenten con alto nivel de pobreza, o que presenten debilidad institucionalidad y administrativa, o que cuenten con alta presencia de cultivos de uso ilícito, y sin el lleno de los requisitos generales para la creación de municipios, las Asambleas Departamentales podrán excepcionalmente elevarlos a municipios previa solicitud en sesión ordinaria o extraordinaria de alguno de sus miembros, del gobernador departamental o del presidente de la república, mediante escrito dirigido al presidente de la corporación. </w:t>
      </w:r>
      <w:r w:rsidRPr="00BE3B49">
        <w:rPr>
          <w:rFonts w:ascii="Times New Roman" w:hAnsi="Times New Roman" w:cs="Times New Roman"/>
          <w:i/>
          <w:noProof/>
          <w:sz w:val="24"/>
          <w:szCs w:val="24"/>
          <w:lang w:val="es-CO"/>
        </w:rPr>
        <mc:AlternateContent>
          <mc:Choice Requires="wps">
            <w:drawing>
              <wp:anchor distT="0" distB="0" distL="114300" distR="114300" simplePos="0" relativeHeight="251677696" behindDoc="1" locked="0" layoutInCell="1" hidden="0" allowOverlap="1" wp14:anchorId="44E9028E" wp14:editId="3A13E52B">
                <wp:simplePos x="0" y="0"/>
                <wp:positionH relativeFrom="column">
                  <wp:posOffset>3568700</wp:posOffset>
                </wp:positionH>
                <wp:positionV relativeFrom="paragraph">
                  <wp:posOffset>1397000</wp:posOffset>
                </wp:positionV>
                <wp:extent cx="53975" cy="186055"/>
                <wp:effectExtent l="0" t="0" r="0" b="0"/>
                <wp:wrapNone/>
                <wp:docPr id="12" name="Rectángulo 12"/>
                <wp:cNvGraphicFramePr/>
                <a:graphic xmlns:a="http://schemas.openxmlformats.org/drawingml/2006/main">
                  <a:graphicData uri="http://schemas.microsoft.com/office/word/2010/wordprocessingShape">
                    <wps:wsp>
                      <wps:cNvSpPr/>
                      <wps:spPr>
                        <a:xfrm>
                          <a:off x="6339775" y="3691735"/>
                          <a:ext cx="44450" cy="176530"/>
                        </a:xfrm>
                        <a:prstGeom prst="rect">
                          <a:avLst/>
                        </a:prstGeom>
                        <a:solidFill>
                          <a:srgbClr val="FFFFFF"/>
                        </a:solidFill>
                        <a:ln>
                          <a:noFill/>
                        </a:ln>
                      </wps:spPr>
                      <wps:txbx>
                        <w:txbxContent>
                          <w:p w:rsidR="00BE3B49" w:rsidRDefault="00BE3B49" w:rsidP="00BE3B49">
                            <w:pPr>
                              <w:textDirection w:val="btLr"/>
                            </w:pPr>
                          </w:p>
                        </w:txbxContent>
                      </wps:txbx>
                      <wps:bodyPr spcFirstLastPara="1" wrap="square" lIns="91425" tIns="91425" rIns="91425" bIns="91425" anchor="ctr" anchorCtr="0">
                        <a:noAutofit/>
                      </wps:bodyPr>
                    </wps:wsp>
                  </a:graphicData>
                </a:graphic>
              </wp:anchor>
            </w:drawing>
          </mc:Choice>
          <mc:Fallback>
            <w:pict>
              <v:rect w14:anchorId="44E9028E" id="Rectángulo 12" o:spid="_x0000_s1028" style="position:absolute;left:0;text-align:left;margin-left:281pt;margin-top:110pt;width:4.25pt;height:14.6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" stroked="f">
                <v:textbox inset="2.53958mm,2.53958mm,2.53958mm,2.53958mm">
                  <w:txbxContent>
                    <w:p w:rsidR="00BE3B49" w:rsidRDefault="00BE3B49" w:rsidP="00BE3B49">
                      <w:pPr>
                        <w:textDirection w:val="btLr"/>
                      </w:pPr>
                    </w:p>
                  </w:txbxContent>
                </v:textbox>
              </v:rect>
            </w:pict>
          </mc:Fallback>
        </mc:AlternateContent>
      </w:r>
      <w:r w:rsidRPr="00BE3B49">
        <w:rPr>
          <w:rFonts w:ascii="Times New Roman" w:hAnsi="Times New Roman" w:cs="Times New Roman"/>
          <w:i/>
          <w:noProof/>
          <w:sz w:val="24"/>
          <w:szCs w:val="24"/>
          <w:lang w:val="es-CO"/>
        </w:rPr>
        <mc:AlternateContent>
          <mc:Choice Requires="wps">
            <w:drawing>
              <wp:anchor distT="0" distB="0" distL="114300" distR="114300" simplePos="0" relativeHeight="251678720" behindDoc="1" locked="0" layoutInCell="1" hidden="0" allowOverlap="1" wp14:anchorId="284B6575" wp14:editId="6F80143D">
                <wp:simplePos x="0" y="0"/>
                <wp:positionH relativeFrom="column">
                  <wp:posOffset>3644900</wp:posOffset>
                </wp:positionH>
                <wp:positionV relativeFrom="paragraph">
                  <wp:posOffset>1003300</wp:posOffset>
                </wp:positionV>
                <wp:extent cx="97790" cy="184785"/>
                <wp:effectExtent l="0" t="0" r="0" b="0"/>
                <wp:wrapNone/>
                <wp:docPr id="10" name="Rectángulo 10"/>
                <wp:cNvGraphicFramePr/>
                <a:graphic xmlns:a="http://schemas.openxmlformats.org/drawingml/2006/main">
                  <a:graphicData uri="http://schemas.microsoft.com/office/word/2010/wordprocessingShape">
                    <wps:wsp>
                      <wps:cNvSpPr/>
                      <wps:spPr>
                        <a:xfrm>
                          <a:off x="6317868" y="3692370"/>
                          <a:ext cx="88265" cy="175260"/>
                        </a:xfrm>
                        <a:prstGeom prst="rect">
                          <a:avLst/>
                        </a:prstGeom>
                        <a:solidFill>
                          <a:srgbClr val="FFFFFF"/>
                        </a:solidFill>
                        <a:ln>
                          <a:noFill/>
                        </a:ln>
                      </wps:spPr>
                      <wps:txbx>
                        <w:txbxContent>
                          <w:p w:rsidR="00BE3B49" w:rsidRDefault="00BE3B49" w:rsidP="00BE3B49">
                            <w:pPr>
                              <w:textDirection w:val="btLr"/>
                            </w:pPr>
                          </w:p>
                        </w:txbxContent>
                      </wps:txbx>
                      <wps:bodyPr spcFirstLastPara="1" wrap="square" lIns="91425" tIns="91425" rIns="91425" bIns="91425" anchor="ctr" anchorCtr="0">
                        <a:noAutofit/>
                      </wps:bodyPr>
                    </wps:wsp>
                  </a:graphicData>
                </a:graphic>
              </wp:anchor>
            </w:drawing>
          </mc:Choice>
          <mc:Fallback>
            <w:pict>
              <v:rect w14:anchorId="284B6575" id="Rectángulo 10" o:spid="_x0000_s1029" style="position:absolute;left:0;text-align:left;margin-left:287pt;margin-top:79pt;width:7.7pt;height:14.5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" stroked="f">
                <v:textbox inset="2.53958mm,2.53958mm,2.53958mm,2.53958mm">
                  <w:txbxContent>
                    <w:p w:rsidR="00BE3B49" w:rsidRDefault="00BE3B49" w:rsidP="00BE3B49">
                      <w:pPr>
                        <w:textDirection w:val="btLr"/>
                      </w:pPr>
                    </w:p>
                  </w:txbxContent>
                </v:textbox>
              </v:rect>
            </w:pict>
          </mc:Fallback>
        </mc:AlternateContent>
      </w:r>
      <w:r w:rsidRPr="00BE3B49">
        <w:rPr>
          <w:rFonts w:ascii="Times New Roman" w:hAnsi="Times New Roman" w:cs="Times New Roman"/>
          <w:i/>
          <w:noProof/>
          <w:sz w:val="24"/>
          <w:szCs w:val="24"/>
          <w:lang w:val="es-CO"/>
        </w:rPr>
        <mc:AlternateContent>
          <mc:Choice Requires="wps">
            <w:drawing>
              <wp:anchor distT="0" distB="0" distL="114300" distR="114300" simplePos="0" relativeHeight="251679744" behindDoc="1" locked="0" layoutInCell="1" hidden="0" allowOverlap="1" wp14:anchorId="1F956717" wp14:editId="41A0ABCE">
                <wp:simplePos x="0" y="0"/>
                <wp:positionH relativeFrom="column">
                  <wp:posOffset>1041400</wp:posOffset>
                </wp:positionH>
                <wp:positionV relativeFrom="paragraph">
                  <wp:posOffset>1003300</wp:posOffset>
                </wp:positionV>
                <wp:extent cx="1434465" cy="184785"/>
                <wp:effectExtent l="0" t="0" r="0" b="0"/>
                <wp:wrapNone/>
                <wp:docPr id="11" name="Rectángulo 11"/>
                <wp:cNvGraphicFramePr/>
                <a:graphic xmlns:a="http://schemas.openxmlformats.org/drawingml/2006/main">
                  <a:graphicData uri="http://schemas.microsoft.com/office/word/2010/wordprocessingShape">
                    <wps:wsp>
                      <wps:cNvSpPr/>
                      <wps:spPr>
                        <a:xfrm>
                          <a:off x="5649530" y="3692370"/>
                          <a:ext cx="1424940" cy="175260"/>
                        </a:xfrm>
                        <a:prstGeom prst="rect">
                          <a:avLst/>
                        </a:prstGeom>
                        <a:solidFill>
                          <a:srgbClr val="FFFFFF"/>
                        </a:solidFill>
                        <a:ln>
                          <a:noFill/>
                        </a:ln>
                      </wps:spPr>
                      <wps:txbx>
                        <w:txbxContent>
                          <w:p w:rsidR="00BE3B49" w:rsidRDefault="00BE3B49" w:rsidP="00BE3B49">
                            <w:pPr>
                              <w:textDirection w:val="btLr"/>
                            </w:pPr>
                          </w:p>
                        </w:txbxContent>
                      </wps:txbx>
                      <wps:bodyPr spcFirstLastPara="1" wrap="square" lIns="91425" tIns="91425" rIns="91425" bIns="91425" anchor="ctr" anchorCtr="0">
                        <a:noAutofit/>
                      </wps:bodyPr>
                    </wps:wsp>
                  </a:graphicData>
                </a:graphic>
              </wp:anchor>
            </w:drawing>
          </mc:Choice>
          <mc:Fallback>
            <w:pict>
              <v:rect w14:anchorId="1F956717" id="Rectángulo 11" o:spid="_x0000_s1030" style="position:absolute;left:0;text-align:left;margin-left:82pt;margin-top:79pt;width:112.95pt;height:14.5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" stroked="f">
                <v:textbox inset="2.53958mm,2.53958mm,2.53958mm,2.53958mm">
                  <w:txbxContent>
                    <w:p w:rsidR="00BE3B49" w:rsidRDefault="00BE3B49" w:rsidP="00BE3B49">
                      <w:pPr>
                        <w:textDirection w:val="btLr"/>
                      </w:pPr>
                    </w:p>
                  </w:txbxContent>
                </v:textbox>
              </v:rect>
            </w:pict>
          </mc:Fallback>
        </mc:AlternateContent>
      </w:r>
    </w:p>
    <w:p w:rsidR="00BE3B49" w:rsidRPr="00BE3B49" w:rsidRDefault="00BE3B49" w:rsidP="00BE3B49">
      <w:pPr>
        <w:pBdr>
          <w:top w:val="nil"/>
          <w:left w:val="nil"/>
          <w:bottom w:val="nil"/>
          <w:right w:val="nil"/>
          <w:between w:val="nil"/>
        </w:pBdr>
        <w:spacing w:before="4" w:line="360" w:lineRule="auto"/>
        <w:ind w:left="618"/>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line="360" w:lineRule="auto"/>
        <w:ind w:left="720" w:right="126"/>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Uno o varios territorios </w:t>
      </w:r>
      <w:proofErr w:type="spellStart"/>
      <w:r w:rsidRPr="00BE3B49">
        <w:rPr>
          <w:rFonts w:ascii="Times New Roman" w:hAnsi="Times New Roman" w:cs="Times New Roman"/>
          <w:i/>
          <w:color w:val="000000"/>
          <w:sz w:val="24"/>
          <w:szCs w:val="24"/>
        </w:rPr>
        <w:t>veredales</w:t>
      </w:r>
      <w:proofErr w:type="spellEnd"/>
      <w:r w:rsidRPr="00BE3B49">
        <w:rPr>
          <w:rFonts w:ascii="Times New Roman" w:hAnsi="Times New Roman" w:cs="Times New Roman"/>
          <w:i/>
          <w:color w:val="000000"/>
          <w:sz w:val="24"/>
          <w:szCs w:val="24"/>
        </w:rPr>
        <w:t xml:space="preserve">, </w:t>
      </w:r>
      <w:proofErr w:type="spellStart"/>
      <w:r w:rsidRPr="00BE3B49">
        <w:rPr>
          <w:rFonts w:ascii="Times New Roman" w:hAnsi="Times New Roman" w:cs="Times New Roman"/>
          <w:i/>
          <w:sz w:val="24"/>
          <w:szCs w:val="24"/>
        </w:rPr>
        <w:t>c</w:t>
      </w:r>
      <w:r w:rsidRPr="00BE3B49">
        <w:rPr>
          <w:rFonts w:ascii="Times New Roman" w:hAnsi="Times New Roman" w:cs="Times New Roman"/>
          <w:i/>
          <w:color w:val="000000"/>
          <w:sz w:val="24"/>
          <w:szCs w:val="24"/>
        </w:rPr>
        <w:t>orregimentales</w:t>
      </w:r>
      <w:proofErr w:type="spellEnd"/>
      <w:r w:rsidRPr="00BE3B49">
        <w:rPr>
          <w:rFonts w:ascii="Times New Roman" w:hAnsi="Times New Roman" w:cs="Times New Roman"/>
          <w:i/>
          <w:color w:val="000000"/>
          <w:sz w:val="24"/>
          <w:szCs w:val="24"/>
        </w:rPr>
        <w:t xml:space="preserve"> y centros poblados rurales que hagan parte de Programas de Desarrollo con Enfoque Territorial pertenecientes al mismo municipio podrán conformar un nuevo municipio siempre y cuando se encuentren colindantes entre ellos.</w:t>
      </w:r>
    </w:p>
    <w:p w:rsidR="00BE3B49" w:rsidRPr="00BE3B49" w:rsidRDefault="00BE3B49" w:rsidP="00BE3B49">
      <w:pPr>
        <w:pBdr>
          <w:top w:val="nil"/>
          <w:left w:val="nil"/>
          <w:bottom w:val="nil"/>
          <w:right w:val="nil"/>
          <w:between w:val="nil"/>
        </w:pBdr>
        <w:spacing w:before="4" w:line="360" w:lineRule="auto"/>
        <w:ind w:left="618"/>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line="360" w:lineRule="auto"/>
        <w:ind w:left="720" w:right="119"/>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Para erigir las áreas de territorios </w:t>
      </w:r>
      <w:proofErr w:type="spellStart"/>
      <w:r w:rsidRPr="00BE3B49">
        <w:rPr>
          <w:rFonts w:ascii="Times New Roman" w:hAnsi="Times New Roman" w:cs="Times New Roman"/>
          <w:i/>
          <w:color w:val="000000"/>
          <w:sz w:val="24"/>
          <w:szCs w:val="24"/>
        </w:rPr>
        <w:t>veredales</w:t>
      </w:r>
      <w:proofErr w:type="spellEnd"/>
      <w:r w:rsidRPr="00BE3B49">
        <w:rPr>
          <w:rFonts w:ascii="Times New Roman" w:hAnsi="Times New Roman" w:cs="Times New Roman"/>
          <w:i/>
          <w:color w:val="000000"/>
          <w:sz w:val="24"/>
          <w:szCs w:val="24"/>
        </w:rPr>
        <w:t xml:space="preserve">, </w:t>
      </w:r>
      <w:proofErr w:type="spellStart"/>
      <w:r w:rsidRPr="00BE3B49">
        <w:rPr>
          <w:rFonts w:ascii="Times New Roman" w:hAnsi="Times New Roman" w:cs="Times New Roman"/>
          <w:i/>
          <w:color w:val="000000"/>
          <w:sz w:val="24"/>
          <w:szCs w:val="24"/>
        </w:rPr>
        <w:t>Corregimentales</w:t>
      </w:r>
      <w:proofErr w:type="spellEnd"/>
      <w:r w:rsidRPr="00BE3B49">
        <w:rPr>
          <w:rFonts w:ascii="Times New Roman" w:hAnsi="Times New Roman" w:cs="Times New Roman"/>
          <w:i/>
          <w:color w:val="000000"/>
          <w:sz w:val="24"/>
          <w:szCs w:val="24"/>
        </w:rPr>
        <w:t xml:space="preserve"> y centros poblados rurales colindantes que hagan parte de Programas de Desarrollo con Enfoque Territorial como nuevos municipios, se deberá contar con previo concepto favorable del Departamento Nacional de Planeación de conformidad con el término dispuesto en el Artículo 18 del Decreto-Ley 2274 de 1991.</w:t>
      </w:r>
    </w:p>
    <w:p w:rsidR="00BE3B49" w:rsidRPr="00BE3B49" w:rsidRDefault="00BE3B49" w:rsidP="00BE3B49">
      <w:pPr>
        <w:pBdr>
          <w:top w:val="nil"/>
          <w:left w:val="nil"/>
          <w:bottom w:val="nil"/>
          <w:right w:val="nil"/>
          <w:between w:val="nil"/>
        </w:pBdr>
        <w:spacing w:before="3" w:line="360" w:lineRule="auto"/>
        <w:ind w:left="618"/>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line="360" w:lineRule="auto"/>
        <w:ind w:left="720" w:right="120"/>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Las </w:t>
      </w:r>
      <w:r w:rsidRPr="00BE3B49">
        <w:rPr>
          <w:rFonts w:ascii="Times New Roman" w:hAnsi="Times New Roman" w:cs="Times New Roman"/>
          <w:i/>
          <w:sz w:val="24"/>
          <w:szCs w:val="24"/>
        </w:rPr>
        <w:t>As</w:t>
      </w:r>
      <w:r w:rsidRPr="00BE3B49">
        <w:rPr>
          <w:rFonts w:ascii="Times New Roman" w:hAnsi="Times New Roman" w:cs="Times New Roman"/>
          <w:i/>
          <w:color w:val="000000"/>
          <w:sz w:val="24"/>
          <w:szCs w:val="24"/>
        </w:rPr>
        <w:t xml:space="preserve">ambleas </w:t>
      </w:r>
      <w:r w:rsidRPr="00BE3B49">
        <w:rPr>
          <w:rFonts w:ascii="Times New Roman" w:hAnsi="Times New Roman" w:cs="Times New Roman"/>
          <w:i/>
          <w:sz w:val="24"/>
          <w:szCs w:val="24"/>
        </w:rPr>
        <w:t>D</w:t>
      </w:r>
      <w:r w:rsidRPr="00BE3B49">
        <w:rPr>
          <w:rFonts w:ascii="Times New Roman" w:hAnsi="Times New Roman" w:cs="Times New Roman"/>
          <w:i/>
          <w:color w:val="000000"/>
          <w:sz w:val="24"/>
          <w:szCs w:val="24"/>
        </w:rPr>
        <w:t xml:space="preserve">epartamentales deberán </w:t>
      </w:r>
      <w:r w:rsidRPr="00BE3B49">
        <w:rPr>
          <w:rFonts w:ascii="Times New Roman" w:hAnsi="Times New Roman" w:cs="Times New Roman"/>
          <w:i/>
          <w:sz w:val="24"/>
          <w:szCs w:val="24"/>
        </w:rPr>
        <w:t>dar trámite</w:t>
      </w:r>
      <w:r w:rsidRPr="00BE3B49">
        <w:rPr>
          <w:rFonts w:ascii="Times New Roman" w:hAnsi="Times New Roman" w:cs="Times New Roman"/>
          <w:i/>
          <w:color w:val="000000"/>
          <w:sz w:val="24"/>
          <w:szCs w:val="24"/>
        </w:rPr>
        <w:t xml:space="preserve"> a la solicitud de creación municipal según el procedimiento establecido en la ley, o en la ordenanza departamental respectiva dentro de los dos (2) meses siguientes a la presentación de la solicitud; los departamentos deberán adelantar las actuaciones de socialización del respectivo proyecto de ordenanza en los territorios interesados dentro de los 15 días posteriores a la publicación del proyecto de ordenanza en la gaceta oficial de la corporación.</w:t>
      </w:r>
    </w:p>
    <w:p w:rsidR="00BE3B49" w:rsidRPr="00BE3B49" w:rsidRDefault="00BE3B49" w:rsidP="00BE3B49">
      <w:pPr>
        <w:pBdr>
          <w:top w:val="nil"/>
          <w:left w:val="nil"/>
          <w:bottom w:val="nil"/>
          <w:right w:val="nil"/>
          <w:between w:val="nil"/>
        </w:pBdr>
        <w:spacing w:before="4" w:line="360" w:lineRule="auto"/>
        <w:ind w:left="618"/>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before="1" w:line="360" w:lineRule="auto"/>
        <w:ind w:left="720" w:right="121"/>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El departamento interesado deberá adelantar la respectiva consulta previa del proyecto de ordenanza respectivo dentro del territorio a municipalizar en los casos en que la creación del municipio afecte directamente a comunidades indígenas, minorías étnicas, negritudes, raizales y </w:t>
      </w:r>
      <w:proofErr w:type="spellStart"/>
      <w:r w:rsidRPr="00BE3B49">
        <w:rPr>
          <w:rFonts w:ascii="Times New Roman" w:hAnsi="Times New Roman" w:cs="Times New Roman"/>
          <w:i/>
          <w:sz w:val="24"/>
          <w:szCs w:val="24"/>
        </w:rPr>
        <w:t>palenqueros</w:t>
      </w:r>
      <w:proofErr w:type="spellEnd"/>
      <w:r w:rsidRPr="00BE3B49">
        <w:rPr>
          <w:rFonts w:ascii="Times New Roman" w:hAnsi="Times New Roman" w:cs="Times New Roman"/>
          <w:i/>
          <w:color w:val="000000"/>
          <w:sz w:val="24"/>
          <w:szCs w:val="24"/>
        </w:rPr>
        <w:t>, asentadas en el territorio del nuevo municipio.</w:t>
      </w:r>
    </w:p>
    <w:p w:rsidR="00BE3B49" w:rsidRPr="00BE3B49" w:rsidRDefault="00BE3B49" w:rsidP="00BE3B49">
      <w:pPr>
        <w:pBdr>
          <w:top w:val="nil"/>
          <w:left w:val="nil"/>
          <w:bottom w:val="nil"/>
          <w:right w:val="nil"/>
          <w:between w:val="nil"/>
        </w:pBdr>
        <w:spacing w:before="133" w:line="360" w:lineRule="auto"/>
        <w:ind w:left="720" w:right="115"/>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La ordenanza y su proyecto deberán establecer expresamente las medidas necesarias para garantizar la continuidad de la prestación de los servicios básicos en el nuevo municipio, precisando las responsabilidades de cada entidad territorial teniendo en cuenta la creación del nuevo municipio, de conformidad con lo previsto en los parágrafos </w:t>
      </w:r>
      <w:hyperlink r:id="rId19">
        <w:r w:rsidRPr="00BE3B49">
          <w:rPr>
            <w:rFonts w:ascii="Times New Roman" w:hAnsi="Times New Roman" w:cs="Times New Roman"/>
            <w:i/>
            <w:color w:val="000000"/>
            <w:sz w:val="24"/>
            <w:szCs w:val="24"/>
          </w:rPr>
          <w:t>2</w:t>
        </w:r>
      </w:hyperlink>
      <w:r w:rsidRPr="00BE3B49">
        <w:rPr>
          <w:rFonts w:ascii="Times New Roman" w:hAnsi="Times New Roman" w:cs="Times New Roman"/>
          <w:i/>
          <w:color w:val="000000"/>
          <w:sz w:val="24"/>
          <w:szCs w:val="24"/>
        </w:rPr>
        <w:t xml:space="preserve">º y </w:t>
      </w:r>
      <w:hyperlink r:id="rId20">
        <w:r w:rsidRPr="00BE3B49">
          <w:rPr>
            <w:rFonts w:ascii="Times New Roman" w:hAnsi="Times New Roman" w:cs="Times New Roman"/>
            <w:i/>
            <w:color w:val="000000"/>
            <w:sz w:val="24"/>
            <w:szCs w:val="24"/>
          </w:rPr>
          <w:t>3</w:t>
        </w:r>
      </w:hyperlink>
      <w:r w:rsidRPr="00BE3B49">
        <w:rPr>
          <w:rFonts w:ascii="Times New Roman" w:hAnsi="Times New Roman" w:cs="Times New Roman"/>
          <w:i/>
          <w:color w:val="000000"/>
          <w:sz w:val="24"/>
          <w:szCs w:val="24"/>
        </w:rPr>
        <w:t>º del artículo 87 de la Ley 715 de 2001.</w:t>
      </w:r>
    </w:p>
    <w:p w:rsidR="00BE3B49" w:rsidRPr="00BE3B49" w:rsidRDefault="00BE3B49" w:rsidP="00BE3B49">
      <w:pPr>
        <w:pBdr>
          <w:top w:val="nil"/>
          <w:left w:val="nil"/>
          <w:bottom w:val="nil"/>
          <w:right w:val="nil"/>
          <w:between w:val="nil"/>
        </w:pBdr>
        <w:spacing w:before="4" w:line="360" w:lineRule="auto"/>
        <w:ind w:left="618"/>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line="360" w:lineRule="auto"/>
        <w:ind w:left="720" w:right="116"/>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Igualmente, la ordenanza y su proyecto deberán disponer las medidas necesarias para que el departamento interesado garantice el funcionamiento del nuevo municipio durante la primera vigencia fiscal en que fueren creadas, de conformidad con lo previsto en el inciso 5 del artículo 87 de la Ley 715 de 2001.</w:t>
      </w:r>
    </w:p>
    <w:p w:rsidR="00BE3B49" w:rsidRPr="00BE3B49" w:rsidRDefault="00BE3B49" w:rsidP="00BE3B49">
      <w:pPr>
        <w:pBdr>
          <w:top w:val="nil"/>
          <w:left w:val="nil"/>
          <w:bottom w:val="nil"/>
          <w:right w:val="nil"/>
          <w:between w:val="nil"/>
        </w:pBdr>
        <w:spacing w:line="360" w:lineRule="auto"/>
        <w:ind w:left="720" w:right="116"/>
        <w:jc w:val="both"/>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before="1" w:line="360" w:lineRule="auto"/>
        <w:ind w:left="720" w:right="120"/>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Una vez aprobada y en firme la Ordenanza mientras se realizan las primeras </w:t>
      </w:r>
      <w:r w:rsidRPr="00BE3B49">
        <w:rPr>
          <w:rFonts w:ascii="Times New Roman" w:hAnsi="Times New Roman" w:cs="Times New Roman"/>
          <w:i/>
          <w:color w:val="000000"/>
          <w:sz w:val="24"/>
          <w:szCs w:val="24"/>
        </w:rPr>
        <w:lastRenderedPageBreak/>
        <w:t>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w:t>
      </w:r>
    </w:p>
    <w:p w:rsidR="00BE3B49" w:rsidRPr="00BE3B49" w:rsidRDefault="00BE3B49" w:rsidP="00BE3B49">
      <w:pPr>
        <w:pBdr>
          <w:top w:val="nil"/>
          <w:left w:val="nil"/>
          <w:bottom w:val="nil"/>
          <w:right w:val="nil"/>
          <w:between w:val="nil"/>
        </w:pBdr>
        <w:spacing w:before="3" w:line="360" w:lineRule="auto"/>
        <w:ind w:left="618"/>
        <w:rPr>
          <w:rFonts w:ascii="Times New Roman" w:hAnsi="Times New Roman" w:cs="Times New Roman"/>
          <w:i/>
          <w:color w:val="000000"/>
          <w:sz w:val="24"/>
          <w:szCs w:val="24"/>
        </w:rPr>
      </w:pPr>
    </w:p>
    <w:p w:rsidR="00BE3B49" w:rsidRPr="00BE3B49" w:rsidRDefault="00BE3B49" w:rsidP="00BE3B49">
      <w:pPr>
        <w:pBdr>
          <w:top w:val="nil"/>
          <w:left w:val="nil"/>
          <w:bottom w:val="nil"/>
          <w:right w:val="nil"/>
          <w:between w:val="nil"/>
        </w:pBdr>
        <w:spacing w:line="360" w:lineRule="auto"/>
        <w:ind w:left="720" w:right="117"/>
        <w:jc w:val="both"/>
        <w:rPr>
          <w:rFonts w:ascii="Times New Roman" w:hAnsi="Times New Roman" w:cs="Times New Roman"/>
          <w:i/>
          <w:color w:val="000000"/>
          <w:sz w:val="24"/>
          <w:szCs w:val="24"/>
        </w:rPr>
      </w:pPr>
      <w:r w:rsidRPr="00BE3B49">
        <w:rPr>
          <w:rFonts w:ascii="Times New Roman" w:hAnsi="Times New Roman" w:cs="Times New Roman"/>
          <w:i/>
          <w:color w:val="000000"/>
          <w:sz w:val="24"/>
          <w:szCs w:val="24"/>
        </w:rPr>
        <w:t xml:space="preserve">Una vez aprobada y en firme la Ordenanza, la </w:t>
      </w:r>
      <w:proofErr w:type="spellStart"/>
      <w:r w:rsidRPr="00BE3B49">
        <w:rPr>
          <w:rFonts w:ascii="Times New Roman" w:hAnsi="Times New Roman" w:cs="Times New Roman"/>
          <w:i/>
          <w:color w:val="000000"/>
          <w:sz w:val="24"/>
          <w:szCs w:val="24"/>
        </w:rPr>
        <w:t>Registraduría</w:t>
      </w:r>
      <w:proofErr w:type="spellEnd"/>
      <w:r w:rsidRPr="00BE3B49">
        <w:rPr>
          <w:rFonts w:ascii="Times New Roman" w:hAnsi="Times New Roman" w:cs="Times New Roman"/>
          <w:i/>
          <w:color w:val="000000"/>
          <w:sz w:val="24"/>
          <w:szCs w:val="24"/>
        </w:rPr>
        <w:t xml:space="preserve"> Nacional del Estado Civil en coordinación y apoyo del respectivo departamento adelantará lo referente al proceso para la elección de los alcaldes y los concejales en los nuevos municipios.</w:t>
      </w:r>
    </w:p>
    <w:p w:rsidR="00BE3B49" w:rsidRPr="00BE3B49" w:rsidRDefault="00BE3B49" w:rsidP="00BE3B49">
      <w:pPr>
        <w:pBdr>
          <w:top w:val="nil"/>
          <w:left w:val="nil"/>
          <w:bottom w:val="nil"/>
          <w:right w:val="nil"/>
          <w:between w:val="nil"/>
        </w:pBdr>
        <w:spacing w:line="360" w:lineRule="auto"/>
        <w:ind w:left="720" w:right="117"/>
        <w:jc w:val="both"/>
        <w:rPr>
          <w:rFonts w:ascii="Times New Roman" w:hAnsi="Times New Roman" w:cs="Times New Roman"/>
          <w:i/>
          <w:sz w:val="24"/>
          <w:szCs w:val="24"/>
        </w:rPr>
      </w:pPr>
      <w:bookmarkStart w:id="0" w:name="_heading=h.71aucw14ocpt" w:colFirst="0" w:colLast="0"/>
      <w:bookmarkEnd w:id="0"/>
    </w:p>
    <w:p w:rsidR="00BE3B49" w:rsidRPr="00BE3B49" w:rsidRDefault="00BE3B49" w:rsidP="00BE3B49">
      <w:pPr>
        <w:pBdr>
          <w:top w:val="nil"/>
          <w:left w:val="nil"/>
          <w:bottom w:val="nil"/>
          <w:right w:val="nil"/>
          <w:between w:val="nil"/>
        </w:pBdr>
        <w:spacing w:line="360" w:lineRule="auto"/>
        <w:ind w:left="720" w:right="117"/>
        <w:jc w:val="both"/>
        <w:rPr>
          <w:rFonts w:ascii="Times New Roman" w:hAnsi="Times New Roman" w:cs="Times New Roman"/>
          <w:i/>
          <w:sz w:val="24"/>
          <w:szCs w:val="24"/>
        </w:rPr>
      </w:pPr>
      <w:bookmarkStart w:id="1" w:name="_heading=h.f4lmnyd3thux" w:colFirst="0" w:colLast="0"/>
      <w:bookmarkEnd w:id="1"/>
      <w:r w:rsidRPr="00BE3B49">
        <w:rPr>
          <w:rFonts w:ascii="Times New Roman" w:hAnsi="Times New Roman" w:cs="Times New Roman"/>
          <w:b/>
          <w:i/>
          <w:sz w:val="24"/>
          <w:szCs w:val="24"/>
        </w:rPr>
        <w:t>PARÁGRAFO:</w:t>
      </w:r>
      <w:r w:rsidRPr="00BE3B49">
        <w:rPr>
          <w:rFonts w:ascii="Times New Roman" w:hAnsi="Times New Roman" w:cs="Times New Roman"/>
          <w:i/>
          <w:sz w:val="24"/>
          <w:szCs w:val="24"/>
        </w:rPr>
        <w:t xml:space="preserve"> el municipio del cual se segrega el nuevo municipio no perderá su calidad de municipio en caso de que por la segregación se reduzca su número de habitantes. </w:t>
      </w:r>
    </w:p>
    <w:p w:rsidR="00BE3B49" w:rsidRPr="00BE3B49" w:rsidRDefault="00BE3B49" w:rsidP="00BE3B49">
      <w:pPr>
        <w:pBdr>
          <w:top w:val="nil"/>
          <w:left w:val="nil"/>
          <w:bottom w:val="nil"/>
          <w:right w:val="nil"/>
          <w:between w:val="nil"/>
        </w:pBdr>
        <w:spacing w:before="3" w:line="360" w:lineRule="auto"/>
        <w:rPr>
          <w:rFonts w:ascii="Times New Roman" w:hAnsi="Times New Roman" w:cs="Times New Roman"/>
          <w:color w:val="000000"/>
          <w:sz w:val="24"/>
          <w:szCs w:val="24"/>
        </w:rPr>
      </w:pPr>
    </w:p>
    <w:p w:rsidR="00BE3B49" w:rsidRPr="00BE3B49" w:rsidRDefault="00BE3B49" w:rsidP="00BE3B49">
      <w:pPr>
        <w:pBdr>
          <w:top w:val="nil"/>
          <w:left w:val="nil"/>
          <w:bottom w:val="nil"/>
          <w:right w:val="nil"/>
          <w:between w:val="nil"/>
        </w:pBdr>
        <w:spacing w:before="3" w:line="360" w:lineRule="auto"/>
        <w:jc w:val="both"/>
        <w:rPr>
          <w:rFonts w:ascii="Times New Roman" w:hAnsi="Times New Roman" w:cs="Times New Roman"/>
          <w:color w:val="000000"/>
          <w:sz w:val="24"/>
          <w:szCs w:val="24"/>
        </w:rPr>
      </w:pPr>
      <w:r w:rsidRPr="00BE3B49">
        <w:rPr>
          <w:rFonts w:ascii="Times New Roman" w:hAnsi="Times New Roman" w:cs="Times New Roman"/>
          <w:b/>
          <w:sz w:val="24"/>
          <w:szCs w:val="24"/>
        </w:rPr>
        <w:t>ARTÍCULO</w:t>
      </w:r>
      <w:r w:rsidRPr="00BE3B49">
        <w:rPr>
          <w:rFonts w:ascii="Times New Roman" w:hAnsi="Times New Roman" w:cs="Times New Roman"/>
          <w:b/>
          <w:color w:val="000000"/>
          <w:sz w:val="24"/>
          <w:szCs w:val="24"/>
        </w:rPr>
        <w:t xml:space="preserve"> 3°. - </w:t>
      </w:r>
      <w:r w:rsidRPr="00BE3B49">
        <w:rPr>
          <w:rFonts w:ascii="Times New Roman" w:hAnsi="Times New Roman" w:cs="Times New Roman"/>
          <w:b/>
          <w:sz w:val="24"/>
          <w:szCs w:val="24"/>
        </w:rPr>
        <w:t>ADICIÓN DEL</w:t>
      </w:r>
      <w:r w:rsidRPr="00BE3B49">
        <w:rPr>
          <w:rFonts w:ascii="Times New Roman" w:hAnsi="Times New Roman" w:cs="Times New Roman"/>
          <w:b/>
          <w:color w:val="000000"/>
          <w:sz w:val="24"/>
          <w:szCs w:val="24"/>
        </w:rPr>
        <w:t xml:space="preserve"> NUEVO MUNICIPIO A LOS </w:t>
      </w:r>
      <w:r w:rsidRPr="00BE3B49">
        <w:rPr>
          <w:rFonts w:ascii="Times New Roman" w:hAnsi="Times New Roman" w:cs="Times New Roman"/>
          <w:b/>
          <w:sz w:val="24"/>
          <w:szCs w:val="24"/>
        </w:rPr>
        <w:t>PROGRAMAS</w:t>
      </w:r>
      <w:r w:rsidRPr="00BE3B49">
        <w:rPr>
          <w:rFonts w:ascii="Times New Roman" w:hAnsi="Times New Roman" w:cs="Times New Roman"/>
          <w:b/>
          <w:color w:val="000000"/>
          <w:sz w:val="24"/>
          <w:szCs w:val="24"/>
        </w:rPr>
        <w:t xml:space="preserve"> DE DESARROLLO CON ENFOQUE TERRITORIAL. </w:t>
      </w:r>
      <w:r w:rsidRPr="00BE3B49">
        <w:rPr>
          <w:rFonts w:ascii="Times New Roman" w:hAnsi="Times New Roman" w:cs="Times New Roman"/>
          <w:color w:val="000000"/>
          <w:sz w:val="24"/>
          <w:szCs w:val="24"/>
        </w:rPr>
        <w:t xml:space="preserve">En virtud del principio de continuidad administrativa, el nuevo municipio creado será ingresado y beneficiado dentro de los Programas de Desarrollo con Enfoque Territorial para lo cual la Agencia de Renovación del territorio o quien tenga bajo su responsabilidad la coordinación de los PDET lo incluirá dentro de la lista de municipios beneficiados y le asignará un plan de acción dentro del marco fiscal vigente para los programas. </w:t>
      </w:r>
    </w:p>
    <w:p w:rsidR="00BE3B49" w:rsidRPr="00BE3B49" w:rsidRDefault="00BE3B49" w:rsidP="00BE3B49">
      <w:pPr>
        <w:pBdr>
          <w:top w:val="nil"/>
          <w:left w:val="nil"/>
          <w:bottom w:val="nil"/>
          <w:right w:val="nil"/>
          <w:between w:val="nil"/>
        </w:pBdr>
        <w:spacing w:before="3" w:line="360" w:lineRule="auto"/>
        <w:jc w:val="both"/>
        <w:rPr>
          <w:rFonts w:ascii="Times New Roman" w:hAnsi="Times New Roman" w:cs="Times New Roman"/>
          <w:sz w:val="24"/>
          <w:szCs w:val="24"/>
        </w:rPr>
      </w:pPr>
    </w:p>
    <w:p w:rsidR="00BE3B49" w:rsidRPr="00BE3B49" w:rsidRDefault="00BE3B49" w:rsidP="00BE3B49">
      <w:pPr>
        <w:pBdr>
          <w:top w:val="nil"/>
          <w:left w:val="nil"/>
          <w:bottom w:val="nil"/>
          <w:right w:val="nil"/>
          <w:between w:val="nil"/>
        </w:pBdr>
        <w:spacing w:before="3" w:line="360" w:lineRule="auto"/>
        <w:jc w:val="both"/>
        <w:rPr>
          <w:rFonts w:ascii="Times New Roman" w:hAnsi="Times New Roman" w:cs="Times New Roman"/>
          <w:sz w:val="24"/>
          <w:szCs w:val="24"/>
        </w:rPr>
      </w:pPr>
      <w:r w:rsidRPr="00BE3B49">
        <w:rPr>
          <w:rFonts w:ascii="Times New Roman" w:hAnsi="Times New Roman" w:cs="Times New Roman"/>
          <w:b/>
          <w:sz w:val="24"/>
          <w:szCs w:val="24"/>
        </w:rPr>
        <w:t xml:space="preserve">ARTÍCULO 4°. - VIGENCIA. </w:t>
      </w:r>
      <w:r w:rsidRPr="00BE3B49">
        <w:rPr>
          <w:rFonts w:ascii="Times New Roman" w:hAnsi="Times New Roman" w:cs="Times New Roman"/>
          <w:sz w:val="24"/>
          <w:szCs w:val="24"/>
        </w:rPr>
        <w:t>La presente ley rige a partir de la fecha de su promulgación.</w:t>
      </w:r>
    </w:p>
    <w:p w:rsidR="00BE3B49" w:rsidRPr="00BE3B49" w:rsidRDefault="00BE3B49" w:rsidP="00BE3B49">
      <w:pPr>
        <w:pBdr>
          <w:top w:val="nil"/>
          <w:left w:val="nil"/>
          <w:bottom w:val="nil"/>
          <w:right w:val="nil"/>
          <w:between w:val="nil"/>
        </w:pBdr>
        <w:spacing w:before="3" w:line="360" w:lineRule="auto"/>
        <w:jc w:val="both"/>
        <w:rPr>
          <w:rFonts w:ascii="Times New Roman" w:hAnsi="Times New Roman" w:cs="Times New Roman"/>
          <w:sz w:val="24"/>
          <w:szCs w:val="24"/>
        </w:rPr>
      </w:pPr>
    </w:p>
    <w:p w:rsidR="00BE3B49" w:rsidRPr="00BE3B49" w:rsidRDefault="00BE3B49" w:rsidP="00BE3B49">
      <w:pPr>
        <w:pBdr>
          <w:top w:val="nil"/>
          <w:left w:val="nil"/>
          <w:bottom w:val="nil"/>
          <w:right w:val="nil"/>
          <w:between w:val="nil"/>
        </w:pBdr>
        <w:spacing w:before="134" w:line="360" w:lineRule="auto"/>
        <w:ind w:right="114"/>
        <w:jc w:val="both"/>
        <w:rPr>
          <w:rFonts w:ascii="Times New Roman" w:hAnsi="Times New Roman" w:cs="Times New Roman"/>
          <w:color w:val="000000"/>
          <w:sz w:val="24"/>
          <w:szCs w:val="24"/>
        </w:rPr>
      </w:pPr>
    </w:p>
    <w:p w:rsidR="00BB2AC0" w:rsidRPr="00BE3B49" w:rsidRDefault="00340B5C">
      <w:pPr>
        <w:pBdr>
          <w:top w:val="nil"/>
          <w:left w:val="nil"/>
          <w:bottom w:val="nil"/>
          <w:right w:val="nil"/>
          <w:between w:val="nil"/>
        </w:pBdr>
        <w:spacing w:before="1"/>
        <w:ind w:left="122"/>
        <w:jc w:val="both"/>
        <w:rPr>
          <w:rFonts w:ascii="Times New Roman" w:hAnsi="Times New Roman" w:cs="Times New Roman"/>
          <w:color w:val="000000"/>
          <w:sz w:val="24"/>
          <w:szCs w:val="24"/>
        </w:rPr>
      </w:pPr>
      <w:r w:rsidRPr="00BE3B49">
        <w:rPr>
          <w:rFonts w:ascii="Times New Roman" w:hAnsi="Times New Roman" w:cs="Times New Roman"/>
          <w:color w:val="000000"/>
          <w:sz w:val="24"/>
          <w:szCs w:val="24"/>
        </w:rPr>
        <w:t>De los H. Congresistas,</w:t>
      </w:r>
    </w:p>
    <w:p w:rsidR="00B9087B" w:rsidRPr="00BE3B49" w:rsidRDefault="00B9087B" w:rsidP="00B9087B">
      <w:pPr>
        <w:pBdr>
          <w:top w:val="nil"/>
          <w:left w:val="nil"/>
          <w:bottom w:val="nil"/>
          <w:right w:val="nil"/>
          <w:between w:val="nil"/>
        </w:pBdr>
        <w:spacing w:before="3" w:line="360" w:lineRule="auto"/>
        <w:jc w:val="both"/>
        <w:rPr>
          <w:rFonts w:ascii="Times New Roman" w:hAnsi="Times New Roman" w:cs="Times New Roman"/>
          <w:sz w:val="24"/>
          <w:szCs w:val="24"/>
        </w:rPr>
      </w:pPr>
      <w:bookmarkStart w:id="2" w:name="_heading=h.gjdgxs" w:colFirst="0" w:colLast="0"/>
      <w:bookmarkEnd w:id="2"/>
    </w:p>
    <w:p w:rsidR="00B9087B" w:rsidRPr="00BE3B49" w:rsidRDefault="00B9087B" w:rsidP="00AF2562">
      <w:pPr>
        <w:pBdr>
          <w:top w:val="nil"/>
          <w:left w:val="nil"/>
          <w:bottom w:val="nil"/>
          <w:right w:val="nil"/>
          <w:between w:val="nil"/>
        </w:pBdr>
        <w:spacing w:before="3" w:line="360" w:lineRule="auto"/>
        <w:jc w:val="right"/>
        <w:rPr>
          <w:rFonts w:ascii="Times New Roman" w:hAnsi="Times New Roman" w:cs="Times New Roman"/>
          <w:sz w:val="24"/>
          <w:szCs w:val="24"/>
        </w:rPr>
      </w:pPr>
    </w:p>
    <w:p w:rsidR="00B9087B" w:rsidRPr="00BE3B49" w:rsidRDefault="00AF2562" w:rsidP="00AF2562">
      <w:pPr>
        <w:pBdr>
          <w:top w:val="nil"/>
          <w:left w:val="nil"/>
          <w:bottom w:val="nil"/>
          <w:right w:val="nil"/>
          <w:between w:val="nil"/>
        </w:pBdr>
        <w:jc w:val="right"/>
        <w:rPr>
          <w:rFonts w:ascii="Times New Roman" w:hAnsi="Times New Roman" w:cs="Times New Roman"/>
          <w:b/>
          <w:sz w:val="24"/>
          <w:szCs w:val="24"/>
        </w:rPr>
      </w:pPr>
      <w:r w:rsidRPr="00BE3B49">
        <w:rPr>
          <w:rFonts w:ascii="Times New Roman" w:hAnsi="Times New Roman" w:cs="Times New Roman"/>
          <w:b/>
          <w:sz w:val="24"/>
          <w:szCs w:val="24"/>
        </w:rPr>
        <w:t xml:space="preserve">ANDRÉS DAVID CALLE AGUAS </w:t>
      </w:r>
    </w:p>
    <w:p w:rsidR="00AF2562" w:rsidRPr="00BE3B49" w:rsidRDefault="00AF2562" w:rsidP="00AF2562">
      <w:pPr>
        <w:pBdr>
          <w:top w:val="nil"/>
          <w:left w:val="nil"/>
          <w:bottom w:val="nil"/>
          <w:right w:val="nil"/>
          <w:between w:val="nil"/>
        </w:pBdr>
        <w:jc w:val="right"/>
        <w:rPr>
          <w:rFonts w:ascii="Times New Roman" w:hAnsi="Times New Roman" w:cs="Times New Roman"/>
          <w:sz w:val="24"/>
          <w:szCs w:val="24"/>
        </w:rPr>
      </w:pPr>
      <w:r w:rsidRPr="00BE3B49">
        <w:rPr>
          <w:rFonts w:ascii="Times New Roman" w:hAnsi="Times New Roman" w:cs="Times New Roman"/>
          <w:sz w:val="24"/>
          <w:szCs w:val="24"/>
        </w:rPr>
        <w:t>H.R. por el Departamento de Córdoba</w:t>
      </w:r>
    </w:p>
    <w:p w:rsidR="00BB2AC0" w:rsidRPr="00BE3B49" w:rsidRDefault="00AF2562" w:rsidP="00BE3B49">
      <w:pPr>
        <w:pBdr>
          <w:top w:val="nil"/>
          <w:left w:val="nil"/>
          <w:bottom w:val="nil"/>
          <w:right w:val="nil"/>
          <w:between w:val="nil"/>
        </w:pBdr>
        <w:jc w:val="right"/>
        <w:rPr>
          <w:rFonts w:ascii="Times New Roman" w:eastAsia="Arial" w:hAnsi="Times New Roman" w:cs="Times New Roman"/>
          <w:b/>
          <w:sz w:val="24"/>
          <w:szCs w:val="24"/>
        </w:rPr>
      </w:pPr>
      <w:r w:rsidRPr="00BE3B49">
        <w:rPr>
          <w:rFonts w:ascii="Times New Roman" w:hAnsi="Times New Roman" w:cs="Times New Roman"/>
          <w:sz w:val="24"/>
          <w:szCs w:val="24"/>
        </w:rPr>
        <w:t>Partido Liberal Colombiano</w:t>
      </w:r>
      <w:bookmarkStart w:id="3" w:name="_GoBack"/>
      <w:bookmarkEnd w:id="3"/>
    </w:p>
    <w:sectPr w:rsidR="00BB2AC0" w:rsidRPr="00BE3B49">
      <w:pgSz w:w="11910" w:h="16840"/>
      <w:pgMar w:top="1820" w:right="1580" w:bottom="1440" w:left="1580" w:header="714" w:footer="11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67" w:rsidRDefault="003C2267">
      <w:r>
        <w:separator/>
      </w:r>
    </w:p>
  </w:endnote>
  <w:endnote w:type="continuationSeparator" w:id="0">
    <w:p w:rsidR="003C2267" w:rsidRDefault="003C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5C" w:rsidRDefault="00340B5C">
    <w:pPr>
      <w:pBdr>
        <w:top w:val="nil"/>
        <w:left w:val="nil"/>
        <w:bottom w:val="nil"/>
        <w:right w:val="nil"/>
        <w:between w:val="nil"/>
      </w:pBdr>
      <w:spacing w:line="14" w:lineRule="auto"/>
      <w:rPr>
        <w:color w:val="000000"/>
        <w:sz w:val="20"/>
        <w:szCs w:val="20"/>
      </w:rPr>
    </w:pPr>
    <w:r>
      <w:rPr>
        <w:noProof/>
        <w:lang w:val="es-CO"/>
      </w:rPr>
      <w:drawing>
        <wp:anchor distT="0" distB="0" distL="0" distR="0" simplePos="0" relativeHeight="251660288" behindDoc="1" locked="0" layoutInCell="1" hidden="0" allowOverlap="1">
          <wp:simplePos x="0" y="0"/>
          <wp:positionH relativeFrom="column">
            <wp:posOffset>719454</wp:posOffset>
          </wp:positionH>
          <wp:positionV relativeFrom="paragraph">
            <wp:posOffset>0</wp:posOffset>
          </wp:positionV>
          <wp:extent cx="3940749" cy="309696"/>
          <wp:effectExtent l="0" t="0" r="0" b="0"/>
          <wp:wrapNone/>
          <wp:docPr id="95"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
                  <a:srcRect/>
                  <a:stretch>
                    <a:fillRect/>
                  </a:stretch>
                </pic:blipFill>
                <pic:spPr>
                  <a:xfrm>
                    <a:off x="0" y="0"/>
                    <a:ext cx="3940749" cy="30969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67" w:rsidRDefault="003C2267">
      <w:r>
        <w:separator/>
      </w:r>
    </w:p>
  </w:footnote>
  <w:footnote w:type="continuationSeparator" w:id="0">
    <w:p w:rsidR="003C2267" w:rsidRDefault="003C22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5C" w:rsidRDefault="00AF2562">
    <w:pPr>
      <w:pBdr>
        <w:top w:val="nil"/>
        <w:left w:val="nil"/>
        <w:bottom w:val="nil"/>
        <w:right w:val="nil"/>
        <w:between w:val="nil"/>
      </w:pBdr>
      <w:spacing w:line="14" w:lineRule="auto"/>
      <w:rPr>
        <w:color w:val="000000"/>
        <w:sz w:val="20"/>
        <w:szCs w:val="20"/>
      </w:rPr>
    </w:pPr>
    <w:r w:rsidRPr="00AF2562">
      <w:rPr>
        <w:noProof/>
        <w:color w:val="000000"/>
        <w:sz w:val="20"/>
        <w:szCs w:val="20"/>
        <w:lang w:val="es-CO"/>
      </w:rPr>
      <w:drawing>
        <wp:anchor distT="0" distB="0" distL="114300" distR="114300" simplePos="0" relativeHeight="251663360" behindDoc="0" locked="0" layoutInCell="1" allowOverlap="1" wp14:anchorId="5E88586D" wp14:editId="2FB53BD2">
          <wp:simplePos x="0" y="0"/>
          <wp:positionH relativeFrom="margin">
            <wp:align>center</wp:align>
          </wp:positionH>
          <wp:positionV relativeFrom="paragraph">
            <wp:posOffset>-406400</wp:posOffset>
          </wp:positionV>
          <wp:extent cx="2732405" cy="763270"/>
          <wp:effectExtent l="0" t="0" r="0" b="0"/>
          <wp:wrapNone/>
          <wp:docPr id="1607423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23929" name="Imagen 1607423929"/>
                  <pic:cNvPicPr/>
                </pic:nvPicPr>
                <pic:blipFill rotWithShape="1">
                  <a:blip r:embed="rId1">
                    <a:clrChange>
                      <a:clrFrom>
                        <a:srgbClr val="9B161C"/>
                      </a:clrFrom>
                      <a:clrTo>
                        <a:srgbClr val="9B161C">
                          <a:alpha val="0"/>
                        </a:srgbClr>
                      </a:clrTo>
                    </a:clrChange>
                    <a:extLst>
                      <a:ext uri="{28A0092B-C50C-407E-A947-70E740481C1C}">
                        <a14:useLocalDpi xmlns:a14="http://schemas.microsoft.com/office/drawing/2010/main" val="0"/>
                      </a:ext>
                    </a:extLst>
                  </a:blip>
                  <a:srcRect l="15551" t="25588" r="14823" b="18089"/>
                  <a:stretch/>
                </pic:blipFill>
                <pic:spPr bwMode="auto">
                  <a:xfrm>
                    <a:off x="0" y="0"/>
                    <a:ext cx="2732405" cy="763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2562">
      <w:rPr>
        <w:noProof/>
        <w:color w:val="000000"/>
        <w:sz w:val="20"/>
        <w:szCs w:val="20"/>
        <w:lang w:val="es-CO"/>
      </w:rPr>
      <mc:AlternateContent>
        <mc:Choice Requires="wps">
          <w:drawing>
            <wp:anchor distT="0" distB="0" distL="114300" distR="114300" simplePos="0" relativeHeight="251662336" behindDoc="0" locked="0" layoutInCell="1" allowOverlap="1" wp14:anchorId="139FB4AE" wp14:editId="70E33ADE">
              <wp:simplePos x="0" y="0"/>
              <wp:positionH relativeFrom="column">
                <wp:posOffset>-1476375</wp:posOffset>
              </wp:positionH>
              <wp:positionV relativeFrom="paragraph">
                <wp:posOffset>-457835</wp:posOffset>
              </wp:positionV>
              <wp:extent cx="8166100" cy="877570"/>
              <wp:effectExtent l="0" t="0" r="0" b="0"/>
              <wp:wrapNone/>
              <wp:docPr id="1606702001" name="Cuadro de texto 2"/>
              <wp:cNvGraphicFramePr/>
              <a:graphic xmlns:a="http://schemas.openxmlformats.org/drawingml/2006/main">
                <a:graphicData uri="http://schemas.microsoft.com/office/word/2010/wordprocessingShape">
                  <wps:wsp>
                    <wps:cNvSpPr txBox="1"/>
                    <wps:spPr>
                      <a:xfrm>
                        <a:off x="0" y="0"/>
                        <a:ext cx="8166100" cy="877570"/>
                      </a:xfrm>
                      <a:prstGeom prst="rect">
                        <a:avLst/>
                      </a:prstGeom>
                      <a:gradFill flip="none" rotWithShape="1">
                        <a:gsLst>
                          <a:gs pos="0">
                            <a:srgbClr val="9C161C">
                              <a:shade val="30000"/>
                              <a:satMod val="115000"/>
                            </a:srgbClr>
                          </a:gs>
                          <a:gs pos="50000">
                            <a:srgbClr val="9C161C">
                              <a:shade val="67500"/>
                              <a:satMod val="115000"/>
                            </a:srgbClr>
                          </a:gs>
                          <a:gs pos="100000">
                            <a:srgbClr val="9C161C">
                              <a:shade val="100000"/>
                              <a:satMod val="115000"/>
                            </a:srgbClr>
                          </a:gs>
                        </a:gsLst>
                        <a:lin ang="16200000" scaled="1"/>
                        <a:tileRect/>
                      </a:gradFill>
                      <a:ln w="6350">
                        <a:noFill/>
                      </a:ln>
                    </wps:spPr>
                    <wps:txbx>
                      <w:txbxContent>
                        <w:p w:rsidR="00AF2562" w:rsidRDefault="00AF2562" w:rsidP="00AF25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FB4AE" id="_x0000_t202" coordsize="21600,21600" o:spt="202" path="m,l,21600r21600,l21600,xe">
              <v:stroke joinstyle="miter"/>
              <v:path gradientshapeok="t" o:connecttype="rect"/>
            </v:shapetype>
            <v:shape id="Cuadro de texto 2" o:spid="_x0000_s1031" type="#_x0000_t202" style="position:absolute;margin-left:-116.25pt;margin-top:-36.05pt;width:643pt;height: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" fillcolor="#5f0206" stroked="f" strokeweight=".5pt">
              <v:fill color2="#a60c13" rotate="t" angle="180" colors="0 #5f0206;.5 #8b080e;1 #a60c13" focus="100%" type="gradient"/>
              <v:textbox>
                <w:txbxContent>
                  <w:p w:rsidR="00AF2562" w:rsidRDefault="00AF2562" w:rsidP="00AF2562"/>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6D76"/>
    <w:multiLevelType w:val="multilevel"/>
    <w:tmpl w:val="21EE110C"/>
    <w:lvl w:ilvl="0">
      <w:numFmt w:val="bullet"/>
      <w:lvlText w:val="●"/>
      <w:lvlJc w:val="left"/>
      <w:pPr>
        <w:ind w:left="842" w:hanging="360"/>
      </w:pPr>
      <w:rPr>
        <w:rFonts w:ascii="Noto Sans Symbols" w:eastAsia="Noto Sans Symbols" w:hAnsi="Noto Sans Symbols" w:cs="Noto Sans Symbols"/>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abstractNum w:abstractNumId="1" w15:restartNumberingAfterBreak="0">
    <w:nsid w:val="29607089"/>
    <w:multiLevelType w:val="multilevel"/>
    <w:tmpl w:val="0CA0B6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F80C84"/>
    <w:multiLevelType w:val="multilevel"/>
    <w:tmpl w:val="8FD0C932"/>
    <w:lvl w:ilvl="0">
      <w:start w:val="4"/>
      <w:numFmt w:val="decimal"/>
      <w:lvlText w:val="%1."/>
      <w:lvlJc w:val="left"/>
      <w:pPr>
        <w:ind w:left="842" w:hanging="360"/>
      </w:pPr>
      <w:rPr>
        <w:rFonts w:ascii="Arial" w:eastAsia="Arial" w:hAnsi="Arial" w:cs="Arial"/>
        <w:b/>
        <w:sz w:val="24"/>
        <w:szCs w:val="24"/>
      </w:rPr>
    </w:lvl>
    <w:lvl w:ilvl="1">
      <w:start w:val="1"/>
      <w:numFmt w:val="decimal"/>
      <w:lvlText w:val="%1.%2."/>
      <w:lvlJc w:val="left"/>
      <w:pPr>
        <w:ind w:left="1605" w:hanging="1124"/>
      </w:pPr>
      <w:rPr>
        <w:rFonts w:ascii="Arial" w:eastAsia="Arial" w:hAnsi="Arial" w:cs="Arial"/>
        <w:b/>
        <w:sz w:val="24"/>
        <w:szCs w:val="24"/>
      </w:rPr>
    </w:lvl>
    <w:lvl w:ilvl="2">
      <w:numFmt w:val="bullet"/>
      <w:lvlText w:val="•"/>
      <w:lvlJc w:val="left"/>
      <w:pPr>
        <w:ind w:left="2394" w:hanging="1124"/>
      </w:pPr>
    </w:lvl>
    <w:lvl w:ilvl="3">
      <w:numFmt w:val="bullet"/>
      <w:lvlText w:val="•"/>
      <w:lvlJc w:val="left"/>
      <w:pPr>
        <w:ind w:left="3188" w:hanging="1124"/>
      </w:pPr>
    </w:lvl>
    <w:lvl w:ilvl="4">
      <w:numFmt w:val="bullet"/>
      <w:lvlText w:val="•"/>
      <w:lvlJc w:val="left"/>
      <w:pPr>
        <w:ind w:left="3982" w:hanging="1124"/>
      </w:pPr>
    </w:lvl>
    <w:lvl w:ilvl="5">
      <w:numFmt w:val="bullet"/>
      <w:lvlText w:val="•"/>
      <w:lvlJc w:val="left"/>
      <w:pPr>
        <w:ind w:left="4776" w:hanging="1123"/>
      </w:pPr>
    </w:lvl>
    <w:lvl w:ilvl="6">
      <w:numFmt w:val="bullet"/>
      <w:lvlText w:val="•"/>
      <w:lvlJc w:val="left"/>
      <w:pPr>
        <w:ind w:left="5570" w:hanging="1124"/>
      </w:pPr>
    </w:lvl>
    <w:lvl w:ilvl="7">
      <w:numFmt w:val="bullet"/>
      <w:lvlText w:val="•"/>
      <w:lvlJc w:val="left"/>
      <w:pPr>
        <w:ind w:left="6364" w:hanging="1124"/>
      </w:pPr>
    </w:lvl>
    <w:lvl w:ilvl="8">
      <w:numFmt w:val="bullet"/>
      <w:lvlText w:val="•"/>
      <w:lvlJc w:val="left"/>
      <w:pPr>
        <w:ind w:left="7158" w:hanging="1124"/>
      </w:pPr>
    </w:lvl>
  </w:abstractNum>
  <w:abstractNum w:abstractNumId="3" w15:restartNumberingAfterBreak="0">
    <w:nsid w:val="7AAA299E"/>
    <w:multiLevelType w:val="multilevel"/>
    <w:tmpl w:val="AB94C418"/>
    <w:lvl w:ilvl="0">
      <w:start w:val="1"/>
      <w:numFmt w:val="decimal"/>
      <w:lvlText w:val="%1."/>
      <w:lvlJc w:val="left"/>
      <w:pPr>
        <w:ind w:left="842" w:hanging="360"/>
      </w:pPr>
      <w:rPr>
        <w:rFonts w:ascii="Arial" w:eastAsia="Arial" w:hAnsi="Arial" w:cs="Arial"/>
        <w:b/>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C0"/>
    <w:rsid w:val="000301D0"/>
    <w:rsid w:val="00340B5C"/>
    <w:rsid w:val="003C2267"/>
    <w:rsid w:val="0055643A"/>
    <w:rsid w:val="007F224B"/>
    <w:rsid w:val="008D5E39"/>
    <w:rsid w:val="00AF2562"/>
    <w:rsid w:val="00B9087B"/>
    <w:rsid w:val="00BB2AC0"/>
    <w:rsid w:val="00BE3B49"/>
    <w:rsid w:val="00BF4807"/>
    <w:rsid w:val="00F73F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2CFB5"/>
  <w15:docId w15:val="{7A72C945-E6CE-41AA-9D00-AE23BEEC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842" w:hanging="1125"/>
      <w:outlineLvl w:val="0"/>
    </w:pPr>
    <w:rPr>
      <w:rFonts w:ascii="Arial" w:eastAsia="Arial" w:hAnsi="Arial" w:cs="Arial"/>
      <w:b/>
      <w:bCs/>
      <w:sz w:val="24"/>
      <w:szCs w:val="24"/>
    </w:rPr>
  </w:style>
  <w:style w:type="paragraph" w:styleId="Ttulo2">
    <w:name w:val="heading 2"/>
    <w:basedOn w:val="Normal"/>
    <w:uiPriority w:val="1"/>
    <w:qFormat/>
    <w:pPr>
      <w:spacing w:line="276" w:lineRule="exact"/>
      <w:ind w:left="4930"/>
      <w:outlineLvl w:val="1"/>
    </w:pPr>
    <w:rPr>
      <w:rFonts w:ascii="Arial" w:eastAsia="Arial" w:hAnsi="Arial" w:cs="Arial"/>
      <w:b/>
      <w:bCs/>
      <w:i/>
      <w:iCs/>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59"/>
      <w:ind w:left="841" w:hanging="360"/>
    </w:pPr>
  </w:style>
  <w:style w:type="paragraph" w:customStyle="1" w:styleId="TableParagraph">
    <w:name w:val="Table Paragraph"/>
    <w:basedOn w:val="Normal"/>
    <w:uiPriority w:val="1"/>
    <w:qFormat/>
    <w:pPr>
      <w:spacing w:before="69" w:line="211" w:lineRule="exact"/>
      <w:ind w:left="69"/>
    </w:pPr>
  </w:style>
  <w:style w:type="table" w:styleId="Tablaconcuadrcula">
    <w:name w:val="Table Grid"/>
    <w:basedOn w:val="Tablanormal"/>
    <w:uiPriority w:val="39"/>
    <w:rsid w:val="0072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F2562"/>
    <w:pPr>
      <w:tabs>
        <w:tab w:val="center" w:pos="4419"/>
        <w:tab w:val="right" w:pos="8838"/>
      </w:tabs>
    </w:pPr>
  </w:style>
  <w:style w:type="character" w:customStyle="1" w:styleId="EncabezadoCar">
    <w:name w:val="Encabezado Car"/>
    <w:basedOn w:val="Fuentedeprrafopredeter"/>
    <w:link w:val="Encabezado"/>
    <w:uiPriority w:val="99"/>
    <w:rsid w:val="00AF2562"/>
  </w:style>
  <w:style w:type="paragraph" w:styleId="Piedepgina">
    <w:name w:val="footer"/>
    <w:basedOn w:val="Normal"/>
    <w:link w:val="PiedepginaCar"/>
    <w:uiPriority w:val="99"/>
    <w:unhideWhenUsed/>
    <w:rsid w:val="00AF2562"/>
    <w:pPr>
      <w:tabs>
        <w:tab w:val="center" w:pos="4419"/>
        <w:tab w:val="right" w:pos="8838"/>
      </w:tabs>
    </w:pPr>
  </w:style>
  <w:style w:type="character" w:customStyle="1" w:styleId="PiedepginaCar">
    <w:name w:val="Pie de página Car"/>
    <w:basedOn w:val="Fuentedeprrafopredeter"/>
    <w:link w:val="Piedepgina"/>
    <w:uiPriority w:val="99"/>
    <w:rsid w:val="00AF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35068">
      <w:bodyDiv w:val="1"/>
      <w:marLeft w:val="0"/>
      <w:marRight w:val="0"/>
      <w:marTop w:val="0"/>
      <w:marBottom w:val="0"/>
      <w:divBdr>
        <w:top w:val="none" w:sz="0" w:space="0" w:color="auto"/>
        <w:left w:val="none" w:sz="0" w:space="0" w:color="auto"/>
        <w:bottom w:val="none" w:sz="0" w:space="0" w:color="auto"/>
        <w:right w:val="none" w:sz="0" w:space="0" w:color="auto"/>
      </w:divBdr>
    </w:div>
    <w:div w:id="1158493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ecretariasenado.gov.co/senado/basedoc/decreto_2274_1991.html" TargetMode="External"/><Relationship Id="rId18" Type="http://schemas.openxmlformats.org/officeDocument/2006/relationships/hyperlink" Target="http://www.secretariasenado.gov.co/senado/basedoc/ley_0715_2001_pr00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novacionterritorio.gov.co/especiales/especial_pdet/" TargetMode="External"/><Relationship Id="rId17" Type="http://schemas.openxmlformats.org/officeDocument/2006/relationships/hyperlink" Target="http://www.secretariasenado.gov.co/senado/basedoc/ley_0715_2001_pr002.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715_2001_pr002.html" TargetMode="External"/><Relationship Id="rId20" Type="http://schemas.openxmlformats.org/officeDocument/2006/relationships/hyperlink" Target="https://www.funcionpublica.gov.co/eva/gestornormativo/norma.php?i=4452&amp;87.p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ecretariasenado.gov.co/senado/basedoc/ley_0715_2001_pr002.html" TargetMode="External"/><Relationship Id="rId10" Type="http://schemas.openxmlformats.org/officeDocument/2006/relationships/image" Target="media/image3.png"/><Relationship Id="rId19" Type="http://schemas.openxmlformats.org/officeDocument/2006/relationships/hyperlink" Target="https://www.funcionpublica.gov.co/eva/gestornormativo/norma.php?i=4452&amp;87.p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cretariasenado.gov.co/senado/basedoc/decreto_2274_1991.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LV5/FYgbjp8tMgHXuWWgGiJUcA==">AMUW2mWsXbTLNzzvAUkRUWExsS4wMh6goDtJ16DyxeTazgngaZ0pg3iTEBzylSw1/h+vAhP+THlfstUnDEwGF8COfd5kKqMhgT3XhiME3oZhbKCn4683+jdFcFk9weJo8WPd0pcyoSpx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6422</Words>
  <Characters>35326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Sebastian Builes Garcia</cp:lastModifiedBy>
  <cp:revision>2</cp:revision>
  <cp:lastPrinted>2023-03-16T13:43:00Z</cp:lastPrinted>
  <dcterms:created xsi:type="dcterms:W3CDTF">2023-11-10T03:19:00Z</dcterms:created>
  <dcterms:modified xsi:type="dcterms:W3CDTF">2023-11-10T03:19:00Z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para Microsoft 365</vt:lpwstr>
  </property>
  <property fmtid="{D5CDD505-2E9C-101B-9397-08002B2CF9AE}" pid="4" name="LastSaved">
    <vt:filetime>2023-02-06T00:00:00Z</vt:filetime>
  </property>
</Properties>
</file>