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Bogotá D.C., 4 de octubre de 202.</w:t>
      </w:r>
    </w:p>
    <w:p w:rsidR="00000000" w:rsidDel="00000000" w:rsidP="00000000" w:rsidRDefault="00000000" w:rsidRPr="00000000" w14:paraId="00000002">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Doctor.</w:t>
      </w:r>
    </w:p>
    <w:p w:rsidR="00000000" w:rsidDel="00000000" w:rsidP="00000000" w:rsidRDefault="00000000" w:rsidRPr="00000000" w14:paraId="00000007">
      <w:pPr>
        <w:spacing w:after="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highlight w:val="white"/>
          <w:rtl w:val="0"/>
        </w:rPr>
        <w:t xml:space="preserve">JAIME LUÍS LACOUTURE PEÑALOZA.</w:t>
      </w:r>
      <w:r w:rsidDel="00000000" w:rsidR="00000000" w:rsidRPr="00000000">
        <w:rPr>
          <w:rtl w:val="0"/>
        </w:rPr>
      </w:r>
    </w:p>
    <w:p w:rsidR="00000000" w:rsidDel="00000000" w:rsidP="00000000" w:rsidRDefault="00000000" w:rsidRPr="00000000" w14:paraId="00000008">
      <w:pPr>
        <w:spacing w:after="0" w:line="240"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Secretario General.</w:t>
      </w:r>
    </w:p>
    <w:p w:rsidR="00000000" w:rsidDel="00000000" w:rsidP="00000000" w:rsidRDefault="00000000" w:rsidRPr="00000000" w14:paraId="00000009">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Honorable Cámara de Representantes.</w:t>
      </w:r>
    </w:p>
    <w:p w:rsidR="00000000" w:rsidDel="00000000" w:rsidP="00000000" w:rsidRDefault="00000000" w:rsidRPr="00000000" w14:paraId="0000000A">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Ciudad.</w:t>
      </w:r>
    </w:p>
    <w:p w:rsidR="00000000" w:rsidDel="00000000" w:rsidP="00000000" w:rsidRDefault="00000000" w:rsidRPr="00000000" w14:paraId="0000000B">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ahoma" w:cs="Tahoma" w:eastAsia="Tahoma" w:hAnsi="Tahoma"/>
          <w:sz w:val="24"/>
          <w:szCs w:val="24"/>
        </w:rPr>
      </w:pPr>
      <w:r w:rsidDel="00000000" w:rsidR="00000000" w:rsidRPr="00000000">
        <w:rPr>
          <w:rFonts w:ascii="Tahoma" w:cs="Tahoma" w:eastAsia="Tahoma" w:hAnsi="Tahoma"/>
          <w:b w:val="1"/>
          <w:sz w:val="24"/>
          <w:szCs w:val="24"/>
          <w:rtl w:val="0"/>
        </w:rPr>
        <w:t xml:space="preserve">ASUNTO: </w:t>
      </w:r>
      <w:r w:rsidDel="00000000" w:rsidR="00000000" w:rsidRPr="00000000">
        <w:rPr>
          <w:rFonts w:ascii="Tahoma" w:cs="Tahoma" w:eastAsia="Tahoma" w:hAnsi="Tahoma"/>
          <w:i w:val="1"/>
          <w:sz w:val="24"/>
          <w:szCs w:val="24"/>
          <w:rtl w:val="0"/>
        </w:rPr>
        <w:t xml:space="preserve">Radicación Proyecto de Ley.</w:t>
      </w:r>
      <w:r w:rsidDel="00000000" w:rsidR="00000000" w:rsidRPr="00000000">
        <w:rPr>
          <w:rtl w:val="0"/>
        </w:rPr>
      </w:r>
    </w:p>
    <w:p w:rsidR="00000000" w:rsidDel="00000000" w:rsidP="00000000" w:rsidRDefault="00000000" w:rsidRPr="00000000" w14:paraId="0000000F">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rFonts w:ascii="Tahoma" w:cs="Tahoma" w:eastAsia="Tahoma" w:hAnsi="Tahoma"/>
          <w:b w:val="1"/>
          <w:i w:val="1"/>
          <w:sz w:val="24"/>
          <w:szCs w:val="24"/>
        </w:rPr>
      </w:pPr>
      <w:r w:rsidDel="00000000" w:rsidR="00000000" w:rsidRPr="00000000">
        <w:rPr>
          <w:rFonts w:ascii="Tahoma" w:cs="Tahoma" w:eastAsia="Tahoma" w:hAnsi="Tahoma"/>
          <w:sz w:val="24"/>
          <w:szCs w:val="24"/>
          <w:rtl w:val="0"/>
        </w:rPr>
        <w:t xml:space="preserve">En nuestra condición de miembros del Congreso de la República y de conformidad con el derecho consagrado en el artículo 150 de la Constitución Política de Colombia, nos permitimos poner a consideración de la Honorable Cámara de Representantes el Proyecto de Ley </w:t>
      </w:r>
      <w:r w:rsidDel="00000000" w:rsidR="00000000" w:rsidRPr="00000000">
        <w:rPr>
          <w:rFonts w:ascii="Tahoma" w:cs="Tahoma" w:eastAsia="Tahoma" w:hAnsi="Tahoma"/>
          <w:b w:val="1"/>
          <w:i w:val="1"/>
          <w:sz w:val="24"/>
          <w:szCs w:val="24"/>
          <w:rtl w:val="0"/>
        </w:rPr>
        <w:t xml:space="preserve">“Por medio del cual se habilita el uso del llamamiento en garantía en los procesos de responsabilidad objetiva en las relaciones de consumo”</w:t>
      </w:r>
    </w:p>
    <w:p w:rsidR="00000000" w:rsidDel="00000000" w:rsidP="00000000" w:rsidRDefault="00000000" w:rsidRPr="00000000" w14:paraId="00000011">
      <w:pPr>
        <w:spacing w:after="0" w:line="276" w:lineRule="auto"/>
        <w:jc w:val="both"/>
        <w:rPr>
          <w:rFonts w:ascii="Tahoma" w:cs="Tahoma" w:eastAsia="Tahoma" w:hAnsi="Tahoma"/>
          <w:i w:val="1"/>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rFonts w:ascii="Tahoma" w:cs="Tahoma" w:eastAsia="Tahoma" w:hAnsi="Tahoma"/>
          <w:i w:val="1"/>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Atentamente,</w:t>
      </w:r>
      <w:r w:rsidDel="00000000" w:rsidR="00000000" w:rsidRPr="00000000">
        <w:rPr>
          <w:rtl w:val="0"/>
        </w:rPr>
      </w:r>
    </w:p>
    <w:p w:rsidR="00000000" w:rsidDel="00000000" w:rsidP="00000000" w:rsidRDefault="00000000" w:rsidRPr="00000000" w14:paraId="00000014">
      <w:pPr>
        <w:tabs>
          <w:tab w:val="right" w:leader="none" w:pos="8838"/>
        </w:tabs>
        <w:spacing w:after="0" w:line="240" w:lineRule="auto"/>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15">
      <w:pPr>
        <w:spacing w:after="0" w:lineRule="auto"/>
        <w:jc w:val="both"/>
        <w:rPr>
          <w:rFonts w:ascii="Tahoma" w:cs="Tahoma" w:eastAsia="Tahoma" w:hAnsi="Tahoma"/>
          <w:sz w:val="24"/>
          <w:szCs w:val="24"/>
        </w:rPr>
      </w:pPr>
      <w:r w:rsidDel="00000000" w:rsidR="00000000" w:rsidRPr="00000000">
        <w:rPr>
          <w:rtl w:val="0"/>
        </w:rPr>
      </w:r>
    </w:p>
    <w:tbl>
      <w:tblPr>
        <w:tblStyle w:val="Table1"/>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B">
            <w:pPr>
              <w:tabs>
                <w:tab w:val="right" w:leader="none" w:pos="8838"/>
              </w:tabs>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PIEDAD CORREAL RUBIANO</w:t>
            </w:r>
          </w:p>
          <w:p w:rsidR="00000000" w:rsidDel="00000000" w:rsidP="00000000" w:rsidRDefault="00000000" w:rsidRPr="00000000" w14:paraId="0000001C">
            <w:pPr>
              <w:tabs>
                <w:tab w:val="right" w:leader="none" w:pos="8838"/>
              </w:tabs>
              <w:spacing w:after="0" w:line="240"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Representante a la Cámara por Quindío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F">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2">
            <w:pPr>
              <w:widowControl w:val="0"/>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MARÍA DEL MAR PIZARRO</w:t>
            </w:r>
          </w:p>
          <w:p w:rsidR="00000000" w:rsidDel="00000000" w:rsidP="00000000" w:rsidRDefault="00000000" w:rsidRPr="00000000" w14:paraId="00000023">
            <w:pPr>
              <w:tabs>
                <w:tab w:val="right" w:leader="none" w:pos="8838"/>
              </w:tabs>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Representante a la Cámara por Bogotá </w:t>
            </w:r>
            <w:r w:rsidDel="00000000" w:rsidR="00000000" w:rsidRPr="00000000">
              <w:rPr>
                <w:rtl w:val="0"/>
              </w:rPr>
            </w:r>
          </w:p>
        </w:tc>
      </w:tr>
    </w:tbl>
    <w:p w:rsidR="00000000" w:rsidDel="00000000" w:rsidP="00000000" w:rsidRDefault="00000000" w:rsidRPr="00000000" w14:paraId="00000024">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6">
      <w:pPr>
        <w:spacing w:after="0" w:lineRule="auto"/>
        <w:jc w:val="left"/>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7">
      <w:pPr>
        <w:spacing w:after="0" w:lineRule="auto"/>
        <w:jc w:val="left"/>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8">
      <w:pPr>
        <w:spacing w:after="0" w:lineRule="auto"/>
        <w:jc w:val="left"/>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9">
      <w:pPr>
        <w:spacing w:after="0" w:lineRule="auto"/>
        <w:jc w:val="left"/>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A">
      <w:pPr>
        <w:spacing w:after="0" w:lineRule="auto"/>
        <w:jc w:val="left"/>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B">
      <w:pPr>
        <w:spacing w:after="0" w:lineRule="auto"/>
        <w:jc w:val="left"/>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2C">
      <w:pPr>
        <w:spacing w:after="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PROYECTO DE LEY No. _____________ DE 2023</w:t>
      </w:r>
    </w:p>
    <w:p w:rsidR="00000000" w:rsidDel="00000000" w:rsidP="00000000" w:rsidRDefault="00000000" w:rsidRPr="00000000" w14:paraId="0000002D">
      <w:pPr>
        <w:spacing w:after="0" w:lineRule="auto"/>
        <w:jc w:val="center"/>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2E">
      <w:pPr>
        <w:spacing w:after="0" w:lineRule="auto"/>
        <w:jc w:val="center"/>
        <w:rPr>
          <w:rFonts w:ascii="Tahoma" w:cs="Tahoma" w:eastAsia="Tahoma" w:hAnsi="Tahoma"/>
          <w:b w:val="1"/>
          <w:i w:val="1"/>
          <w:sz w:val="24"/>
          <w:szCs w:val="24"/>
        </w:rPr>
      </w:pPr>
      <w:r w:rsidDel="00000000" w:rsidR="00000000" w:rsidRPr="00000000">
        <w:rPr>
          <w:rtl w:val="0"/>
        </w:rPr>
      </w:r>
    </w:p>
    <w:p w:rsidR="00000000" w:rsidDel="00000000" w:rsidP="00000000" w:rsidRDefault="00000000" w:rsidRPr="00000000" w14:paraId="0000002F">
      <w:pPr>
        <w:spacing w:after="0" w:lineRule="auto"/>
        <w:jc w:val="center"/>
        <w:rPr>
          <w:rFonts w:ascii="Tahoma" w:cs="Tahoma" w:eastAsia="Tahoma" w:hAnsi="Tahoma"/>
          <w:b w:val="1"/>
          <w:i w:val="1"/>
          <w:color w:val="000000"/>
          <w:sz w:val="24"/>
          <w:szCs w:val="24"/>
        </w:rPr>
      </w:pPr>
      <w:r w:rsidDel="00000000" w:rsidR="00000000" w:rsidRPr="00000000">
        <w:rPr>
          <w:rFonts w:ascii="Tahoma" w:cs="Tahoma" w:eastAsia="Tahoma" w:hAnsi="Tahoma"/>
          <w:b w:val="1"/>
          <w:i w:val="1"/>
          <w:color w:val="000000"/>
          <w:sz w:val="24"/>
          <w:szCs w:val="24"/>
          <w:rtl w:val="0"/>
        </w:rPr>
        <w:t xml:space="preserve">“Por medio del cual se habilita el uso del llamamiento en garantía en los procesos de responsabilidad objetiva en las relaciones de consumo”</w:t>
      </w:r>
    </w:p>
    <w:p w:rsidR="00000000" w:rsidDel="00000000" w:rsidP="00000000" w:rsidRDefault="00000000" w:rsidRPr="00000000" w14:paraId="00000030">
      <w:pPr>
        <w:spacing w:after="0" w:lineRule="auto"/>
        <w:jc w:val="center"/>
        <w:rPr>
          <w:rFonts w:ascii="Tahoma" w:cs="Tahoma" w:eastAsia="Tahoma" w:hAnsi="Tahoma"/>
          <w:b w:val="1"/>
          <w:i w:val="1"/>
          <w:sz w:val="24"/>
          <w:szCs w:val="24"/>
        </w:rPr>
      </w:pPr>
      <w:r w:rsidDel="00000000" w:rsidR="00000000" w:rsidRPr="00000000">
        <w:rPr>
          <w:rtl w:val="0"/>
        </w:rPr>
      </w:r>
    </w:p>
    <w:p w:rsidR="00000000" w:rsidDel="00000000" w:rsidP="00000000" w:rsidRDefault="00000000" w:rsidRPr="00000000" w14:paraId="00000031">
      <w:pPr>
        <w:spacing w:after="0" w:lineRule="auto"/>
        <w:jc w:val="center"/>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32">
      <w:pPr>
        <w:spacing w:after="0" w:lineRule="auto"/>
        <w:jc w:val="center"/>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El Congreso de la República</w:t>
      </w:r>
    </w:p>
    <w:p w:rsidR="00000000" w:rsidDel="00000000" w:rsidP="00000000" w:rsidRDefault="00000000" w:rsidRPr="00000000" w14:paraId="00000033">
      <w:pPr>
        <w:spacing w:after="0" w:lineRule="auto"/>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34">
      <w:pPr>
        <w:spacing w:after="0" w:lineRule="auto"/>
        <w:jc w:val="center"/>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35">
      <w:pPr>
        <w:spacing w:after="0" w:lineRule="auto"/>
        <w:jc w:val="center"/>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DECRETA:</w:t>
      </w:r>
    </w:p>
    <w:p w:rsidR="00000000" w:rsidDel="00000000" w:rsidP="00000000" w:rsidRDefault="00000000" w:rsidRPr="00000000" w14:paraId="00000036">
      <w:pPr>
        <w:spacing w:after="0" w:lineRule="auto"/>
        <w:jc w:val="center"/>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37">
      <w:pPr>
        <w:spacing w:after="0" w:lineRule="auto"/>
        <w:jc w:val="both"/>
        <w:rPr>
          <w:rFonts w:ascii="Tahoma" w:cs="Tahoma" w:eastAsia="Tahoma" w:hAnsi="Tahoma"/>
          <w:color w:val="000000"/>
          <w:sz w:val="24"/>
          <w:szCs w:val="24"/>
        </w:rPr>
      </w:pPr>
      <w:r w:rsidDel="00000000" w:rsidR="00000000" w:rsidRPr="00000000">
        <w:rPr>
          <w:rFonts w:ascii="Tahoma" w:cs="Tahoma" w:eastAsia="Tahoma" w:hAnsi="Tahoma"/>
          <w:b w:val="1"/>
          <w:color w:val="000000"/>
          <w:sz w:val="24"/>
          <w:szCs w:val="24"/>
          <w:rtl w:val="0"/>
        </w:rPr>
        <w:t xml:space="preserve">Artículo 1. </w:t>
      </w:r>
      <w:r w:rsidDel="00000000" w:rsidR="00000000" w:rsidRPr="00000000">
        <w:rPr>
          <w:rFonts w:ascii="Tahoma" w:cs="Tahoma" w:eastAsia="Tahoma" w:hAnsi="Tahoma"/>
          <w:color w:val="000000"/>
          <w:sz w:val="24"/>
          <w:szCs w:val="24"/>
          <w:rtl w:val="0"/>
        </w:rPr>
        <w:t xml:space="preserve">La presente ley tiene por objeto establecer las reglas aplicables para el uso del llamamiento en garantía en los procesos de responsabilidad objetiva en los que es competente la Superintendencia de Industria y Comercio en materia de protección del consumidor.   </w:t>
      </w:r>
    </w:p>
    <w:p w:rsidR="00000000" w:rsidDel="00000000" w:rsidP="00000000" w:rsidRDefault="00000000" w:rsidRPr="00000000" w14:paraId="00000038">
      <w:pPr>
        <w:spacing w:after="0" w:lineRule="auto"/>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39">
      <w:pPr>
        <w:spacing w:after="0" w:lineRule="auto"/>
        <w:jc w:val="both"/>
        <w:rPr>
          <w:rFonts w:ascii="Tahoma" w:cs="Tahoma" w:eastAsia="Tahoma" w:hAnsi="Tahoma"/>
          <w:color w:val="000000"/>
          <w:sz w:val="24"/>
          <w:szCs w:val="24"/>
        </w:rPr>
      </w:pPr>
      <w:r w:rsidDel="00000000" w:rsidR="00000000" w:rsidRPr="00000000">
        <w:rPr>
          <w:rFonts w:ascii="Tahoma" w:cs="Tahoma" w:eastAsia="Tahoma" w:hAnsi="Tahoma"/>
          <w:b w:val="1"/>
          <w:color w:val="000000"/>
          <w:sz w:val="24"/>
          <w:szCs w:val="24"/>
          <w:rtl w:val="0"/>
        </w:rPr>
        <w:t xml:space="preserve">Artículo 2.</w:t>
      </w:r>
      <w:r w:rsidDel="00000000" w:rsidR="00000000" w:rsidRPr="00000000">
        <w:rPr>
          <w:rFonts w:ascii="Tahoma" w:cs="Tahoma" w:eastAsia="Tahoma" w:hAnsi="Tahoma"/>
          <w:color w:val="000000"/>
          <w:sz w:val="24"/>
          <w:szCs w:val="24"/>
          <w:rtl w:val="0"/>
        </w:rPr>
        <w:t xml:space="preserve"> Adiciónese el parágrafo 2 al artículo 58 de la Ley 1480 de 2011 en el siguiente sentido. </w:t>
      </w:r>
    </w:p>
    <w:p w:rsidR="00000000" w:rsidDel="00000000" w:rsidP="00000000" w:rsidRDefault="00000000" w:rsidRPr="00000000" w14:paraId="0000003A">
      <w:pPr>
        <w:spacing w:after="0" w:lineRule="auto"/>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3B">
      <w:pPr>
        <w:spacing w:after="0" w:lineRule="auto"/>
        <w:ind w:left="708" w:firstLine="0"/>
        <w:jc w:val="both"/>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“PARÁGRAFO 2. En las acciones de protección del consumidor se deberá, si a ello hay lugar, realizar el llamamiento de garantía en los mismos términos previstos en el artículo 64 de la Ley 1564 de 2012 o normas que la modifiquen, sustituyan o adicionen. El llamamiento en garantía procederá de oficio o a petición de parte.</w:t>
      </w:r>
    </w:p>
    <w:p w:rsidR="00000000" w:rsidDel="00000000" w:rsidP="00000000" w:rsidRDefault="00000000" w:rsidRPr="00000000" w14:paraId="0000003C">
      <w:pPr>
        <w:spacing w:after="0" w:lineRule="auto"/>
        <w:ind w:left="708" w:firstLine="0"/>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3D">
      <w:pPr>
        <w:spacing w:after="0" w:lineRule="auto"/>
        <w:ind w:left="708" w:firstLine="0"/>
        <w:jc w:val="both"/>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La demanda por medio de la cual se llame en garantía deberá cumplir con los mismos requisitos exigidos en el presente artículo. Si se halla procedente el llamamiento, se ordenará notificar personalmente al convocado y correrle traslado del escrito por el término de la demanda inicial. Si la notificación no se logra dentro del mes siguiente, el llamamiento será ineficaz.</w:t>
      </w:r>
    </w:p>
    <w:p w:rsidR="00000000" w:rsidDel="00000000" w:rsidP="00000000" w:rsidRDefault="00000000" w:rsidRPr="00000000" w14:paraId="0000003E">
      <w:pPr>
        <w:spacing w:after="0" w:lineRule="auto"/>
        <w:ind w:left="708" w:firstLine="0"/>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3F">
      <w:pPr>
        <w:spacing w:after="0" w:lineRule="auto"/>
        <w:ind w:left="708" w:firstLine="0"/>
        <w:jc w:val="both"/>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El llamado en garantía podrá contestar en la demanda y el llamamiento en un solo escrito, solicitando las pruebas que pretenda hacer valer.</w:t>
      </w:r>
    </w:p>
    <w:p w:rsidR="00000000" w:rsidDel="00000000" w:rsidP="00000000" w:rsidRDefault="00000000" w:rsidRPr="00000000" w14:paraId="00000040">
      <w:pPr>
        <w:spacing w:after="0" w:lineRule="auto"/>
        <w:ind w:left="708"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1">
      <w:pPr>
        <w:spacing w:after="0" w:lineRule="auto"/>
        <w:ind w:left="708"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2">
      <w:pPr>
        <w:spacing w:after="0" w:lineRule="auto"/>
        <w:ind w:left="708" w:firstLine="0"/>
        <w:jc w:val="both"/>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En la sentencia se resolverá la relación sustancial aducida y emitirá pronunciamiento sobre las indemnizaciones o restituciones a cargo del llamado en garantía. No será necesario notificar personalmente el auto que admite el llamamiento cuando el llamado actúe en el proceso como parte o como representante de alguna de las partes.”</w:t>
      </w:r>
    </w:p>
    <w:p w:rsidR="00000000" w:rsidDel="00000000" w:rsidP="00000000" w:rsidRDefault="00000000" w:rsidRPr="00000000" w14:paraId="00000043">
      <w:pPr>
        <w:spacing w:after="0" w:lineRule="auto"/>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44">
      <w:pPr>
        <w:spacing w:after="0" w:lineRule="auto"/>
        <w:jc w:val="both"/>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45">
      <w:pPr>
        <w:spacing w:after="0" w:lineRule="auto"/>
        <w:jc w:val="both"/>
        <w:rPr>
          <w:rFonts w:ascii="Tahoma" w:cs="Tahoma" w:eastAsia="Tahoma" w:hAnsi="Tahoma"/>
          <w:sz w:val="24"/>
          <w:szCs w:val="24"/>
        </w:rPr>
      </w:pPr>
      <w:r w:rsidDel="00000000" w:rsidR="00000000" w:rsidRPr="00000000">
        <w:rPr>
          <w:rFonts w:ascii="Tahoma" w:cs="Tahoma" w:eastAsia="Tahoma" w:hAnsi="Tahoma"/>
          <w:b w:val="1"/>
          <w:color w:val="000000"/>
          <w:sz w:val="24"/>
          <w:szCs w:val="24"/>
          <w:rtl w:val="0"/>
        </w:rPr>
        <w:t xml:space="preserve">Artículo 3. Vigencia y derogatorias. </w:t>
      </w:r>
      <w:r w:rsidDel="00000000" w:rsidR="00000000" w:rsidRPr="00000000">
        <w:rPr>
          <w:rFonts w:ascii="Tahoma" w:cs="Tahoma" w:eastAsia="Tahoma" w:hAnsi="Tahoma"/>
          <w:color w:val="000000"/>
          <w:sz w:val="24"/>
          <w:szCs w:val="24"/>
          <w:rtl w:val="0"/>
        </w:rPr>
        <w:t xml:space="preserve">La presente Ley rige a partir de su publicación, y modifica parcialmente el artículo 58 de la Ley 1480 de 2011.</w:t>
      </w:r>
      <w:r w:rsidDel="00000000" w:rsidR="00000000" w:rsidRPr="00000000">
        <w:rPr>
          <w:rtl w:val="0"/>
        </w:rPr>
      </w:r>
    </w:p>
    <w:p w:rsidR="00000000" w:rsidDel="00000000" w:rsidP="00000000" w:rsidRDefault="00000000" w:rsidRPr="00000000" w14:paraId="00000046">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7">
      <w:pPr>
        <w:spacing w:after="0" w:lineRule="auto"/>
        <w:jc w:val="both"/>
        <w:rPr>
          <w:rFonts w:ascii="Tahoma" w:cs="Tahoma" w:eastAsia="Tahoma" w:hAnsi="Tahoma"/>
          <w:sz w:val="24"/>
          <w:szCs w:val="24"/>
        </w:rPr>
      </w:pPr>
      <w:r w:rsidDel="00000000" w:rsidR="00000000" w:rsidRPr="00000000">
        <w:rPr>
          <w:rtl w:val="0"/>
        </w:rPr>
      </w:r>
    </w:p>
    <w:tbl>
      <w:tblPr>
        <w:tblStyle w:val="Table2"/>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4D">
            <w:pPr>
              <w:tabs>
                <w:tab w:val="right" w:leader="none" w:pos="8838"/>
              </w:tabs>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PIEDAD CORREAL RUBIANO</w:t>
            </w:r>
          </w:p>
          <w:p w:rsidR="00000000" w:rsidDel="00000000" w:rsidP="00000000" w:rsidRDefault="00000000" w:rsidRPr="00000000" w14:paraId="0000004E">
            <w:pPr>
              <w:tabs>
                <w:tab w:val="right" w:leader="none" w:pos="8838"/>
              </w:tabs>
              <w:spacing w:after="0" w:line="240"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Representante a la Cámara por Quindío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MARÍA DEL MAR PIZARRO</w:t>
            </w:r>
          </w:p>
          <w:p w:rsidR="00000000" w:rsidDel="00000000" w:rsidP="00000000" w:rsidRDefault="00000000" w:rsidRPr="00000000" w14:paraId="00000055">
            <w:pPr>
              <w:tabs>
                <w:tab w:val="right" w:leader="none" w:pos="8838"/>
              </w:tabs>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Representante a la Cámara por Bogotá </w:t>
            </w:r>
            <w:r w:rsidDel="00000000" w:rsidR="00000000" w:rsidRPr="00000000">
              <w:rPr>
                <w:rtl w:val="0"/>
              </w:rPr>
            </w:r>
          </w:p>
        </w:tc>
      </w:tr>
    </w:tbl>
    <w:p w:rsidR="00000000" w:rsidDel="00000000" w:rsidP="00000000" w:rsidRDefault="00000000" w:rsidRPr="00000000" w14:paraId="00000056">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7">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8">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9">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A">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B">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C">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D">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E">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5F">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0">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1">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2">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3">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4">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5">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6">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7">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8">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9">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A">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B">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C">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D">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6E">
      <w:pPr>
        <w:spacing w:after="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EXPOSICIÓN DE MOTIVOS </w:t>
      </w:r>
    </w:p>
    <w:p w:rsidR="00000000" w:rsidDel="00000000" w:rsidP="00000000" w:rsidRDefault="00000000" w:rsidRPr="00000000" w14:paraId="0000006F">
      <w:pPr>
        <w:spacing w:after="0" w:lineRule="auto"/>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70">
      <w:pPr>
        <w:spacing w:after="0" w:lineRule="auto"/>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71">
      <w:pPr>
        <w:spacing w:after="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TURISMO Y RELACIONES DE CONSUMO AGENCIAS DE VIAJES Y EMPRESAS DE TRANSPORTE AEREO</w:t>
      </w:r>
    </w:p>
    <w:p w:rsidR="00000000" w:rsidDel="00000000" w:rsidP="00000000" w:rsidRDefault="00000000" w:rsidRPr="00000000" w14:paraId="00000072">
      <w:pPr>
        <w:spacing w:after="0" w:lineRule="auto"/>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073">
      <w:pPr>
        <w:spacing w:after="0" w:lineRule="auto"/>
        <w:ind w:left="142" w:firstLine="0"/>
        <w:jc w:val="both"/>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Las bases del Plan Nacional de Desarrollo 2022-2026 “COLOMBIA POTENCIA MUNDIAL DE LA VIDA” señalan que la política de turismo se orientará hacia un turismo inclusivo, sostenible y resiliente, priorizando la función social del turismo, como instrumento para la garantía de derechos y el desarrollo humano, impulsando los nuevos empresarios del sector turismo, y  territorios que han tenido problemas de potencialización en este mismo sector, fomentando las capacidades y la productividad de la cadena de valor del sector, de manera que contribuyan a la construcción de una cultura de paz y el posicionamiento de Colombia como un destino donde el turismo se hace en armonía con de la vida.</w:t>
      </w:r>
    </w:p>
    <w:p w:rsidR="00000000" w:rsidDel="00000000" w:rsidP="00000000" w:rsidRDefault="00000000" w:rsidRPr="00000000" w14:paraId="00000074">
      <w:pPr>
        <w:spacing w:after="0" w:lineRule="auto"/>
        <w:ind w:left="142" w:firstLine="0"/>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75">
      <w:pPr>
        <w:spacing w:after="0" w:lineRule="auto"/>
        <w:ind w:left="142" w:firstLine="0"/>
        <w:jc w:val="both"/>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En este mismo sentido, uno de los propósitos principales que enmarca el Plan Sectorial de Turismo plantea un fomento al desarrollo productivo del sector, mediante estrategias de dinamización que eleven la productividad y el posicionamiento turístico del país promoviendo la justicia social, al tiempo que se construyen capacidades para consolidar el desarrollo sostenible, responsable y regenerativo del turismo en el país, mejorando las prácticas de inclusión e innovación que realizan los entes gubernamentales, las empresas, las comunidades y los territorios, incrementando las oportunidades para la creación de valor social y económico en la oferta turística, para aumentar la demanda de viajeros y el reconocimiento turístico del país.</w:t>
      </w:r>
    </w:p>
    <w:p w:rsidR="00000000" w:rsidDel="00000000" w:rsidP="00000000" w:rsidRDefault="00000000" w:rsidRPr="00000000" w14:paraId="00000076">
      <w:pPr>
        <w:spacing w:after="0" w:lineRule="auto"/>
        <w:ind w:left="142" w:firstLine="0"/>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77">
      <w:pPr>
        <w:spacing w:after="0" w:lineRule="auto"/>
        <w:ind w:left="142" w:firstLine="0"/>
        <w:jc w:val="both"/>
        <w:rPr>
          <w:rFonts w:ascii="Tahoma" w:cs="Tahoma" w:eastAsia="Tahoma" w:hAnsi="Tahoma"/>
          <w:color w:val="000000"/>
          <w:sz w:val="24"/>
          <w:szCs w:val="24"/>
        </w:rPr>
      </w:pPr>
      <w:r w:rsidDel="00000000" w:rsidR="00000000" w:rsidRPr="00000000">
        <w:rPr>
          <w:rFonts w:ascii="Tahoma" w:cs="Tahoma" w:eastAsia="Tahoma" w:hAnsi="Tahoma"/>
          <w:color w:val="000000"/>
          <w:sz w:val="24"/>
          <w:szCs w:val="24"/>
          <w:rtl w:val="0"/>
        </w:rPr>
        <w:t xml:space="preserve">Ambas apuestas están recogidas en una macrometa en la cual se han estimado tres escenarios de acuerdo a una metodología prospectiva que permiten prever un escenario conservador que considera los puntos atípicos en contextos de paz dando como resultado la llegada de 7.300.000 visitantes; un escenario optimista que considera puntos atípicos en contextos de paz más incrementos del 20% anual en inversión de la promoción turística internacional que generaría 9.400.000 visitantes; y, un escenario optimista ideal que considera puntos atípicos en contextos de paz más incrementos del 27% anual en inversión de la promoción turística internacional que generaría 12.000.000 visitantes no residentes al país.</w:t>
      </w:r>
    </w:p>
    <w:p w:rsidR="00000000" w:rsidDel="00000000" w:rsidP="00000000" w:rsidRDefault="00000000" w:rsidRPr="00000000" w14:paraId="00000078">
      <w:pPr>
        <w:spacing w:after="0" w:lineRule="auto"/>
        <w:ind w:left="142" w:firstLine="0"/>
        <w:jc w:val="both"/>
        <w:rPr>
          <w:rFonts w:ascii="Tahoma" w:cs="Tahoma" w:eastAsia="Tahoma" w:hAnsi="Tahoma"/>
          <w:color w:val="000000"/>
          <w:sz w:val="24"/>
          <w:szCs w:val="24"/>
        </w:rPr>
      </w:pPr>
      <w:r w:rsidDel="00000000" w:rsidR="00000000" w:rsidRPr="00000000">
        <w:rPr>
          <w:rtl w:val="0"/>
        </w:rPr>
      </w:r>
    </w:p>
    <w:p w:rsidR="00000000" w:rsidDel="00000000" w:rsidP="00000000" w:rsidRDefault="00000000" w:rsidRPr="00000000" w14:paraId="00000079">
      <w:pPr>
        <w:spacing w:after="0" w:lineRule="auto"/>
        <w:ind w:left="142"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Las metas a 2026 del Plan Nacional de Desarrollo asociadas al sector turismo en Colombia son las siguientes </w:t>
      </w:r>
    </w:p>
    <w:p w:rsidR="00000000" w:rsidDel="00000000" w:rsidP="00000000" w:rsidRDefault="00000000" w:rsidRPr="00000000" w14:paraId="0000007A">
      <w:pPr>
        <w:spacing w:after="0" w:lineRule="auto"/>
        <w:ind w:left="142"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7B">
      <w:pPr>
        <w:numPr>
          <w:ilvl w:val="0"/>
          <w:numId w:val="2"/>
        </w:numPr>
        <w:spacing w:after="0" w:line="240" w:lineRule="auto"/>
        <w:ind w:left="502"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Alcanzar 7,5 millones de visitantes no residentes al 2026 </w:t>
      </w:r>
    </w:p>
    <w:p w:rsidR="00000000" w:rsidDel="00000000" w:rsidP="00000000" w:rsidRDefault="00000000" w:rsidRPr="00000000" w14:paraId="0000007C">
      <w:pPr>
        <w:numPr>
          <w:ilvl w:val="0"/>
          <w:numId w:val="2"/>
        </w:numPr>
        <w:spacing w:after="0" w:line="240" w:lineRule="auto"/>
        <w:ind w:left="502"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Lograr 215.000 personas ocupadas en promedio mensual en actividades asociadas al turismo (agencias de viajes, alojamiento y transporte aéreo de pasajeros). </w:t>
      </w:r>
    </w:p>
    <w:p w:rsidR="00000000" w:rsidDel="00000000" w:rsidP="00000000" w:rsidRDefault="00000000" w:rsidRPr="00000000" w14:paraId="0000007D">
      <w:pPr>
        <w:numPr>
          <w:ilvl w:val="0"/>
          <w:numId w:val="2"/>
        </w:numPr>
        <w:spacing w:after="0" w:line="240" w:lineRule="auto"/>
        <w:ind w:left="502" w:hanging="36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Vincular 500 unidades productivas de los Territorios Turísticos de Paz a la cadena de valor del sector turismo </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Ejes del Plan Sectorial de Turismo </w:t>
      </w:r>
    </w:p>
    <w:p w:rsidR="00000000" w:rsidDel="00000000" w:rsidP="00000000" w:rsidRDefault="00000000" w:rsidRPr="00000000" w14:paraId="0000007F">
      <w:pPr>
        <w:spacing w:after="0" w:lineRule="auto"/>
        <w:ind w:left="502"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Eje 1 - Democratización del turismo como fuerza transformadora para una cultura de paz. </w:t>
      </w:r>
    </w:p>
    <w:p w:rsidR="00000000" w:rsidDel="00000000" w:rsidP="00000000" w:rsidRDefault="00000000" w:rsidRPr="00000000" w14:paraId="00000080">
      <w:pPr>
        <w:spacing w:after="0" w:lineRule="auto"/>
        <w:ind w:left="502"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Eje 2 - Territorios turísticos para la equidad y el bienestar </w:t>
      </w:r>
    </w:p>
    <w:p w:rsidR="00000000" w:rsidDel="00000000" w:rsidP="00000000" w:rsidRDefault="00000000" w:rsidRPr="00000000" w14:paraId="00000081">
      <w:pPr>
        <w:spacing w:after="0" w:lineRule="auto"/>
        <w:ind w:left="502"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Eje 3 - Turismo: alternativa para la transición económica y protección de la naturaleza </w:t>
      </w:r>
    </w:p>
    <w:p w:rsidR="00000000" w:rsidDel="00000000" w:rsidP="00000000" w:rsidRDefault="00000000" w:rsidRPr="00000000" w14:paraId="00000082">
      <w:pPr>
        <w:spacing w:after="0" w:lineRule="auto"/>
        <w:ind w:left="502"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Eje 4. Turismo: internacionalización y economía para la vida y la justicia social </w:t>
      </w:r>
    </w:p>
    <w:p w:rsidR="00000000" w:rsidDel="00000000" w:rsidP="00000000" w:rsidRDefault="00000000" w:rsidRPr="00000000" w14:paraId="00000083">
      <w:pPr>
        <w:spacing w:after="0" w:lineRule="auto"/>
        <w:ind w:left="142"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4">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El turismo juega un papel fundamental en la transición energética dentro del Plan Nacional de Desarrollo 2022-2026, especialmente en el contexto de la reindustrialización del país a través del desarrollo de la ciencia, la tecnología y el conocimiento.  </w:t>
      </w:r>
    </w:p>
    <w:p w:rsidR="00000000" w:rsidDel="00000000" w:rsidP="00000000" w:rsidRDefault="00000000" w:rsidRPr="00000000" w14:paraId="00000085">
      <w:pPr>
        <w:spacing w:after="0" w:lineRule="auto"/>
        <w:ind w:left="142"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6">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través del Plan Sectorial de Turismo “Turismo en Armonía con la vida”, se configura al sector como una estrategia para la conservación de la biodiversidad y la transición económica, donde se requiere la implementación de estrategias y acciones que propendan por la defensa de la biodiversidad y mitigación de los efectos del cambio climático.  </w:t>
      </w:r>
    </w:p>
    <w:p w:rsidR="00000000" w:rsidDel="00000000" w:rsidP="00000000" w:rsidRDefault="00000000" w:rsidRPr="00000000" w14:paraId="00000087">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8">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 industria turística contribuye significativamente al proceso de transición energética desde los siguientes aspectos: </w:t>
      </w:r>
    </w:p>
    <w:p w:rsidR="00000000" w:rsidDel="00000000" w:rsidP="00000000" w:rsidRDefault="00000000" w:rsidRPr="00000000" w14:paraId="00000089">
      <w:pPr>
        <w:spacing w:after="0" w:lineRule="auto"/>
        <w:ind w:left="142"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Diversificación económica: El turismo permite diversificar la economía al generar ingresos y empleo en sectores distintos a los hidrocarburos. </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Promoción de la sostenibilidad: El turismo sostenible y responsable es una oportunidad para promover la conservación y el cuidado del medio ambiente. La adopción de prácticas de turismo sostenible puede impulsar el uso de tecnologías limpias y energías renovables en el sector turístico. </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Inversión en infraestructura verde: La inversión en infraestructuras turísticas respetuosas con el medio ambiente impulsan la transición energética al fomentar el uso de tecnologías y prácticas sostenibles en la industria turística. </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Educación y concienciación: El turismo es una herramienta eficaz para aumentar la concienciación y el conocimiento sobre la importancia de la transición energética y la conservación del medio ambiente. Al ofrecer experiencias educativas y culturales, el sector turístico ayuda a difundir información y sensibilizar a los visitantes sobre la necesidad de proteger y conservar los recursos naturales y utilizar energías limpias. </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02" w:right="0" w:hanging="360"/>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Cooperación regional: Al posicionarse como líder regional en el cuidado de la Amazonía y en la transición hacia energías limpias, el país impulsaría la cooperación y el intercambio de conocimientos y tecnologías en la región. El turismo sirve como plataforma para establecer alianzas y colaboraciones con otros países en materia de desarrollo sostenible y transición energética. </w:t>
      </w:r>
    </w:p>
    <w:p w:rsidR="00000000" w:rsidDel="00000000" w:rsidP="00000000" w:rsidRDefault="00000000" w:rsidRPr="00000000" w14:paraId="0000008F">
      <w:pPr>
        <w:spacing w:after="0" w:lineRule="auto"/>
        <w:ind w:left="142"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0">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Desde el Ministerio de Comercio, Industria y Turismo se tiene proyectado una reducción de las exportaciones minero energéticas debido a la caída en la demanda de Carbón, y la reducción de los precios internacionales de Petróleo y Carbón. De manera que se busca sustituir la caída del valor de las exportaciones a través de las exportaciones de servicios en general y del turismo en particular.  </w:t>
      </w:r>
    </w:p>
    <w:p w:rsidR="00000000" w:rsidDel="00000000" w:rsidP="00000000" w:rsidRDefault="00000000" w:rsidRPr="00000000" w14:paraId="00000091">
      <w:pPr>
        <w:spacing w:after="0" w:lineRule="auto"/>
        <w:ind w:left="142"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2">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Desde esta perspectiva, el sector Turismo juega un papel central en la estrategia de crecimiento de la economía, así como en el proceso de transición energética.  </w:t>
      </w:r>
    </w:p>
    <w:p w:rsidR="00000000" w:rsidDel="00000000" w:rsidP="00000000" w:rsidRDefault="00000000" w:rsidRPr="00000000" w14:paraId="00000093">
      <w:pPr>
        <w:spacing w:after="0" w:lineRule="auto"/>
        <w:ind w:left="142"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94">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Tabla 1. Proyecciones Exportaciones  de Bienes y Servicios 2023-2032</w:t>
      </w:r>
    </w:p>
    <w:p w:rsidR="00000000" w:rsidDel="00000000" w:rsidP="00000000" w:rsidRDefault="00000000" w:rsidRPr="00000000" w14:paraId="00000095">
      <w:pPr>
        <w:spacing w:after="0" w:lineRule="auto"/>
        <w:ind w:left="142" w:firstLine="0"/>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Cifras en millones de USD</w:t>
      </w:r>
    </w:p>
    <w:tbl>
      <w:tblPr>
        <w:tblStyle w:val="Table3"/>
        <w:tblW w:w="8822.0" w:type="dxa"/>
        <w:jc w:val="center"/>
        <w:tblLayout w:type="fixed"/>
        <w:tblLook w:val="0400"/>
      </w:tblPr>
      <w:tblGrid>
        <w:gridCol w:w="718"/>
        <w:gridCol w:w="1615"/>
        <w:gridCol w:w="1498"/>
        <w:gridCol w:w="1825"/>
        <w:gridCol w:w="1668"/>
        <w:gridCol w:w="1498"/>
        <w:tblGridChange w:id="0">
          <w:tblGrid>
            <w:gridCol w:w="718"/>
            <w:gridCol w:w="1615"/>
            <w:gridCol w:w="1498"/>
            <w:gridCol w:w="1825"/>
            <w:gridCol w:w="1668"/>
            <w:gridCol w:w="1498"/>
          </w:tblGrid>
        </w:tblGridChange>
      </w:tblGrid>
      <w:tr>
        <w:trPr>
          <w:cantSplit w:val="0"/>
          <w:trHeight w:val="300" w:hRule="atLeast"/>
          <w:tblHeader w:val="1"/>
        </w:trPr>
        <w:tc>
          <w:tcPr>
            <w:tcBorders>
              <w:top w:color="4f81bd" w:space="0" w:sz="6" w:val="single"/>
              <w:left w:color="4f81bd" w:space="0" w:sz="6" w:val="single"/>
              <w:bottom w:color="000000" w:space="0" w:sz="0" w:val="nil"/>
              <w:right w:color="000000" w:space="0" w:sz="0" w:val="nil"/>
            </w:tcBorders>
            <w:shd w:fill="4f81bd" w:val="clear"/>
            <w:vAlign w:val="bottom"/>
          </w:tcPr>
          <w:p w:rsidR="00000000" w:rsidDel="00000000" w:rsidP="00000000" w:rsidRDefault="00000000" w:rsidRPr="00000000" w14:paraId="00000096">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b w:val="1"/>
                <w:color w:val="ffffff"/>
                <w:sz w:val="24"/>
                <w:szCs w:val="24"/>
                <w:rtl w:val="0"/>
              </w:rPr>
              <w:t xml:space="preserve">Año</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4f81bd" w:val="clear"/>
            <w:vAlign w:val="bottom"/>
          </w:tcPr>
          <w:p w:rsidR="00000000" w:rsidDel="00000000" w:rsidP="00000000" w:rsidRDefault="00000000" w:rsidRPr="00000000" w14:paraId="00000097">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b w:val="1"/>
                <w:color w:val="ffffff"/>
                <w:sz w:val="24"/>
                <w:szCs w:val="24"/>
                <w:rtl w:val="0"/>
              </w:rPr>
              <w:t xml:space="preserve">Expo Minero Energética</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4f81bd" w:val="clear"/>
            <w:vAlign w:val="bottom"/>
          </w:tcPr>
          <w:p w:rsidR="00000000" w:rsidDel="00000000" w:rsidP="00000000" w:rsidRDefault="00000000" w:rsidRPr="00000000" w14:paraId="00000098">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b w:val="1"/>
                <w:color w:val="ffffff"/>
                <w:sz w:val="24"/>
                <w:szCs w:val="24"/>
                <w:rtl w:val="0"/>
              </w:rPr>
              <w:t xml:space="preserve">Expo No Minero Energética</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4f81bd" w:val="clear"/>
            <w:vAlign w:val="bottom"/>
          </w:tcPr>
          <w:p w:rsidR="00000000" w:rsidDel="00000000" w:rsidP="00000000" w:rsidRDefault="00000000" w:rsidRPr="00000000" w14:paraId="00000099">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b w:val="1"/>
                <w:color w:val="ffffff"/>
                <w:sz w:val="24"/>
                <w:szCs w:val="24"/>
                <w:rtl w:val="0"/>
              </w:rPr>
              <w:t xml:space="preserve">Expo Turismo</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4f81bd" w:val="clear"/>
            <w:vAlign w:val="bottom"/>
          </w:tcPr>
          <w:p w:rsidR="00000000" w:rsidDel="00000000" w:rsidP="00000000" w:rsidRDefault="00000000" w:rsidRPr="00000000" w14:paraId="0000009A">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b w:val="1"/>
                <w:color w:val="ffffff"/>
                <w:sz w:val="24"/>
                <w:szCs w:val="24"/>
                <w:rtl w:val="0"/>
              </w:rPr>
              <w:t xml:space="preserve">Expo Servicios</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4f81bd" w:val="clear"/>
            <w:vAlign w:val="bottom"/>
          </w:tcPr>
          <w:p w:rsidR="00000000" w:rsidDel="00000000" w:rsidP="00000000" w:rsidRDefault="00000000" w:rsidRPr="00000000" w14:paraId="0000009B">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b w:val="1"/>
                <w:color w:val="ffffff"/>
                <w:sz w:val="24"/>
                <w:szCs w:val="24"/>
                <w:rtl w:val="0"/>
              </w:rPr>
              <w:t xml:space="preserve">Expo Total</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000000" w:space="0" w:sz="0" w:val="nil"/>
              <w:right w:color="000000" w:space="0" w:sz="0" w:val="nil"/>
            </w:tcBorders>
            <w:shd w:fill="auto" w:val="clear"/>
            <w:vAlign w:val="bottom"/>
          </w:tcPr>
          <w:p w:rsidR="00000000" w:rsidDel="00000000" w:rsidP="00000000" w:rsidRDefault="00000000" w:rsidRPr="00000000" w14:paraId="0000009C">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2023</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D">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28,739</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E">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22,355</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9F">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8,047</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0">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13,156</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auto" w:val="clear"/>
            <w:vAlign w:val="bottom"/>
          </w:tcPr>
          <w:p w:rsidR="00000000" w:rsidDel="00000000" w:rsidP="00000000" w:rsidRDefault="00000000" w:rsidRPr="00000000" w14:paraId="000000A1">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64,251</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000000" w:space="0" w:sz="0" w:val="nil"/>
              <w:right w:color="000000" w:space="0" w:sz="0" w:val="nil"/>
            </w:tcBorders>
            <w:shd w:fill="auto" w:val="clear"/>
            <w:vAlign w:val="bottom"/>
          </w:tcPr>
          <w:p w:rsidR="00000000" w:rsidDel="00000000" w:rsidP="00000000" w:rsidRDefault="00000000" w:rsidRPr="00000000" w14:paraId="000000A2">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2024</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3">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26,894</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4">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23,133</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5">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8,549</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6">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13,864</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auto" w:val="clear"/>
            <w:vAlign w:val="bottom"/>
          </w:tcPr>
          <w:p w:rsidR="00000000" w:rsidDel="00000000" w:rsidP="00000000" w:rsidRDefault="00000000" w:rsidRPr="00000000" w14:paraId="000000A7">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63,891</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000000" w:space="0" w:sz="0" w:val="nil"/>
              <w:right w:color="000000" w:space="0" w:sz="0" w:val="nil"/>
            </w:tcBorders>
            <w:shd w:fill="auto" w:val="clear"/>
            <w:vAlign w:val="bottom"/>
          </w:tcPr>
          <w:p w:rsidR="00000000" w:rsidDel="00000000" w:rsidP="00000000" w:rsidRDefault="00000000" w:rsidRPr="00000000" w14:paraId="000000A8">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2025</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9">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26,561</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A">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23,962</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B">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9,051</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C">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14,571</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auto" w:val="clear"/>
            <w:vAlign w:val="bottom"/>
          </w:tcPr>
          <w:p w:rsidR="00000000" w:rsidDel="00000000" w:rsidP="00000000" w:rsidRDefault="00000000" w:rsidRPr="00000000" w14:paraId="000000AD">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65,094</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000000" w:space="0" w:sz="0" w:val="nil"/>
              <w:right w:color="000000" w:space="0" w:sz="0" w:val="nil"/>
            </w:tcBorders>
            <w:shd w:fill="auto" w:val="clear"/>
            <w:vAlign w:val="bottom"/>
          </w:tcPr>
          <w:p w:rsidR="00000000" w:rsidDel="00000000" w:rsidP="00000000" w:rsidRDefault="00000000" w:rsidRPr="00000000" w14:paraId="000000AE">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2026</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AF">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26,858</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0">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24,859</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1">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9,553</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2">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15,279</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auto" w:val="clear"/>
            <w:vAlign w:val="bottom"/>
          </w:tcPr>
          <w:p w:rsidR="00000000" w:rsidDel="00000000" w:rsidP="00000000" w:rsidRDefault="00000000" w:rsidRPr="00000000" w14:paraId="000000B3">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66,996</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000000" w:space="0" w:sz="0" w:val="nil"/>
              <w:right w:color="000000" w:space="0" w:sz="0" w:val="nil"/>
            </w:tcBorders>
            <w:shd w:fill="auto" w:val="clear"/>
            <w:vAlign w:val="bottom"/>
          </w:tcPr>
          <w:p w:rsidR="00000000" w:rsidDel="00000000" w:rsidP="00000000" w:rsidRDefault="00000000" w:rsidRPr="00000000" w14:paraId="000000B4">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2027</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5">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26,547</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6">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25,754</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7">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10,055</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8">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15,987</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auto" w:val="clear"/>
            <w:vAlign w:val="bottom"/>
          </w:tcPr>
          <w:p w:rsidR="00000000" w:rsidDel="00000000" w:rsidP="00000000" w:rsidRDefault="00000000" w:rsidRPr="00000000" w14:paraId="000000B9">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68,289</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000000" w:space="0" w:sz="0" w:val="nil"/>
              <w:right w:color="000000" w:space="0" w:sz="0" w:val="nil"/>
            </w:tcBorders>
            <w:shd w:fill="auto" w:val="clear"/>
            <w:vAlign w:val="bottom"/>
          </w:tcPr>
          <w:p w:rsidR="00000000" w:rsidDel="00000000" w:rsidP="00000000" w:rsidRDefault="00000000" w:rsidRPr="00000000" w14:paraId="000000BA">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2028</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B">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27,225</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C">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26,681</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D">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10,558</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BE">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16,695</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auto" w:val="clear"/>
            <w:vAlign w:val="bottom"/>
          </w:tcPr>
          <w:p w:rsidR="00000000" w:rsidDel="00000000" w:rsidP="00000000" w:rsidRDefault="00000000" w:rsidRPr="00000000" w14:paraId="000000BF">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70,601</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000000" w:space="0" w:sz="0" w:val="nil"/>
              <w:right w:color="000000" w:space="0" w:sz="0" w:val="nil"/>
            </w:tcBorders>
            <w:shd w:fill="auto" w:val="clear"/>
            <w:vAlign w:val="bottom"/>
          </w:tcPr>
          <w:p w:rsidR="00000000" w:rsidDel="00000000" w:rsidP="00000000" w:rsidRDefault="00000000" w:rsidRPr="00000000" w14:paraId="000000C0">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2029</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28,828</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2">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27,642</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3">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11,060</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4">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17,403</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auto" w:val="clear"/>
            <w:vAlign w:val="bottom"/>
          </w:tcPr>
          <w:p w:rsidR="00000000" w:rsidDel="00000000" w:rsidP="00000000" w:rsidRDefault="00000000" w:rsidRPr="00000000" w14:paraId="000000C5">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73,873</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000000" w:space="0" w:sz="0" w:val="nil"/>
              <w:right w:color="000000" w:space="0" w:sz="0" w:val="nil"/>
            </w:tcBorders>
            <w:shd w:fill="auto" w:val="clear"/>
            <w:vAlign w:val="bottom"/>
          </w:tcPr>
          <w:p w:rsidR="00000000" w:rsidDel="00000000" w:rsidP="00000000" w:rsidRDefault="00000000" w:rsidRPr="00000000" w14:paraId="000000C6">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2030</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7">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29,051</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8">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28,637</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9">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11,562</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A">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18,111</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auto" w:val="clear"/>
            <w:vAlign w:val="bottom"/>
          </w:tcPr>
          <w:p w:rsidR="00000000" w:rsidDel="00000000" w:rsidP="00000000" w:rsidRDefault="00000000" w:rsidRPr="00000000" w14:paraId="000000CB">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75,798</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000000" w:space="0" w:sz="0" w:val="nil"/>
              <w:right w:color="000000" w:space="0" w:sz="0" w:val="nil"/>
            </w:tcBorders>
            <w:shd w:fill="auto" w:val="clear"/>
            <w:vAlign w:val="bottom"/>
          </w:tcPr>
          <w:p w:rsidR="00000000" w:rsidDel="00000000" w:rsidP="00000000" w:rsidRDefault="00000000" w:rsidRPr="00000000" w14:paraId="000000CC">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2031</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D">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26,501</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E">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29,668</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F">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12,064</w:t>
            </w:r>
            <w:r w:rsidDel="00000000" w:rsidR="00000000" w:rsidRPr="00000000">
              <w:rPr>
                <w:rtl w:val="0"/>
              </w:rPr>
            </w:r>
          </w:p>
        </w:tc>
        <w:tc>
          <w:tcPr>
            <w:tcBorders>
              <w:top w:color="4f81bd" w:space="0" w:sz="6"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0">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18,819</w:t>
            </w:r>
            <w:r w:rsidDel="00000000" w:rsidR="00000000" w:rsidRPr="00000000">
              <w:rPr>
                <w:rtl w:val="0"/>
              </w:rPr>
            </w:r>
          </w:p>
        </w:tc>
        <w:tc>
          <w:tcPr>
            <w:tcBorders>
              <w:top w:color="4f81bd" w:space="0" w:sz="6" w:val="single"/>
              <w:left w:color="000000" w:space="0" w:sz="0" w:val="nil"/>
              <w:bottom w:color="000000" w:space="0" w:sz="0" w:val="nil"/>
              <w:right w:color="4f81bd" w:space="0" w:sz="6" w:val="single"/>
            </w:tcBorders>
            <w:shd w:fill="auto" w:val="clear"/>
            <w:vAlign w:val="bottom"/>
          </w:tcPr>
          <w:p w:rsidR="00000000" w:rsidDel="00000000" w:rsidP="00000000" w:rsidRDefault="00000000" w:rsidRPr="00000000" w14:paraId="000000D1">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74,988</w:t>
            </w:r>
            <w:r w:rsidDel="00000000" w:rsidR="00000000" w:rsidRPr="00000000">
              <w:rPr>
                <w:rtl w:val="0"/>
              </w:rPr>
            </w:r>
          </w:p>
        </w:tc>
      </w:tr>
      <w:tr>
        <w:trPr>
          <w:cantSplit w:val="0"/>
          <w:trHeight w:val="300" w:hRule="atLeast"/>
          <w:tblHeader w:val="0"/>
        </w:trPr>
        <w:tc>
          <w:tcPr>
            <w:tcBorders>
              <w:top w:color="4f81bd" w:space="0" w:sz="6" w:val="single"/>
              <w:left w:color="4f81bd" w:space="0" w:sz="6" w:val="single"/>
              <w:bottom w:color="4f81bd" w:space="0" w:sz="6" w:val="single"/>
              <w:right w:color="000000" w:space="0" w:sz="0" w:val="nil"/>
            </w:tcBorders>
            <w:shd w:fill="auto" w:val="clear"/>
            <w:vAlign w:val="bottom"/>
          </w:tcPr>
          <w:p w:rsidR="00000000" w:rsidDel="00000000" w:rsidP="00000000" w:rsidRDefault="00000000" w:rsidRPr="00000000" w14:paraId="000000D2">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2032</w:t>
            </w:r>
            <w:r w:rsidDel="00000000" w:rsidR="00000000" w:rsidRPr="00000000">
              <w:rPr>
                <w:rtl w:val="0"/>
              </w:rPr>
            </w:r>
          </w:p>
        </w:tc>
        <w:tc>
          <w:tcPr>
            <w:tcBorders>
              <w:top w:color="4f81bd" w:space="0" w:sz="6" w:val="single"/>
              <w:left w:color="000000" w:space="0" w:sz="0" w:val="nil"/>
              <w:bottom w:color="4f81bd" w:space="0" w:sz="6" w:val="single"/>
              <w:right w:color="000000" w:space="0" w:sz="0" w:val="nil"/>
            </w:tcBorders>
            <w:shd w:fill="auto" w:val="clear"/>
            <w:vAlign w:val="bottom"/>
          </w:tcPr>
          <w:p w:rsidR="00000000" w:rsidDel="00000000" w:rsidP="00000000" w:rsidRDefault="00000000" w:rsidRPr="00000000" w14:paraId="000000D3">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24,296</w:t>
            </w:r>
            <w:r w:rsidDel="00000000" w:rsidR="00000000" w:rsidRPr="00000000">
              <w:rPr>
                <w:rtl w:val="0"/>
              </w:rPr>
            </w:r>
          </w:p>
        </w:tc>
        <w:tc>
          <w:tcPr>
            <w:tcBorders>
              <w:top w:color="4f81bd" w:space="0" w:sz="6" w:val="single"/>
              <w:left w:color="000000" w:space="0" w:sz="0" w:val="nil"/>
              <w:bottom w:color="4f81bd" w:space="0" w:sz="6" w:val="single"/>
              <w:right w:color="000000" w:space="0" w:sz="0" w:val="nil"/>
            </w:tcBorders>
            <w:shd w:fill="auto" w:val="clear"/>
            <w:vAlign w:val="bottom"/>
          </w:tcPr>
          <w:p w:rsidR="00000000" w:rsidDel="00000000" w:rsidP="00000000" w:rsidRDefault="00000000" w:rsidRPr="00000000" w14:paraId="000000D4">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30,736</w:t>
            </w:r>
            <w:r w:rsidDel="00000000" w:rsidR="00000000" w:rsidRPr="00000000">
              <w:rPr>
                <w:rtl w:val="0"/>
              </w:rPr>
            </w:r>
          </w:p>
        </w:tc>
        <w:tc>
          <w:tcPr>
            <w:tcBorders>
              <w:top w:color="4f81bd" w:space="0" w:sz="6" w:val="single"/>
              <w:left w:color="000000" w:space="0" w:sz="0" w:val="nil"/>
              <w:bottom w:color="4f81bd" w:space="0" w:sz="6" w:val="single"/>
              <w:right w:color="000000" w:space="0" w:sz="0" w:val="nil"/>
            </w:tcBorders>
            <w:shd w:fill="auto" w:val="clear"/>
            <w:vAlign w:val="bottom"/>
          </w:tcPr>
          <w:p w:rsidR="00000000" w:rsidDel="00000000" w:rsidP="00000000" w:rsidRDefault="00000000" w:rsidRPr="00000000" w14:paraId="000000D5">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12,567</w:t>
            </w:r>
            <w:r w:rsidDel="00000000" w:rsidR="00000000" w:rsidRPr="00000000">
              <w:rPr>
                <w:rtl w:val="0"/>
              </w:rPr>
            </w:r>
          </w:p>
        </w:tc>
        <w:tc>
          <w:tcPr>
            <w:tcBorders>
              <w:top w:color="4f81bd" w:space="0" w:sz="6" w:val="single"/>
              <w:left w:color="000000" w:space="0" w:sz="0" w:val="nil"/>
              <w:bottom w:color="4f81bd" w:space="0" w:sz="6" w:val="single"/>
              <w:right w:color="000000" w:space="0" w:sz="0" w:val="nil"/>
            </w:tcBorders>
            <w:shd w:fill="auto" w:val="clear"/>
            <w:vAlign w:val="bottom"/>
          </w:tcPr>
          <w:p w:rsidR="00000000" w:rsidDel="00000000" w:rsidP="00000000" w:rsidRDefault="00000000" w:rsidRPr="00000000" w14:paraId="000000D6">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19,527</w:t>
            </w:r>
            <w:r w:rsidDel="00000000" w:rsidR="00000000" w:rsidRPr="00000000">
              <w:rPr>
                <w:rtl w:val="0"/>
              </w:rPr>
            </w:r>
          </w:p>
        </w:tc>
        <w:tc>
          <w:tcPr>
            <w:tcBorders>
              <w:top w:color="4f81bd" w:space="0" w:sz="6" w:val="single"/>
              <w:left w:color="000000" w:space="0" w:sz="0" w:val="nil"/>
              <w:bottom w:color="4f81bd" w:space="0" w:sz="6" w:val="single"/>
              <w:right w:color="4f81bd" w:space="0" w:sz="6" w:val="single"/>
            </w:tcBorders>
            <w:shd w:fill="auto" w:val="clear"/>
            <w:vAlign w:val="bottom"/>
          </w:tcPr>
          <w:p w:rsidR="00000000" w:rsidDel="00000000" w:rsidP="00000000" w:rsidRDefault="00000000" w:rsidRPr="00000000" w14:paraId="000000D7">
            <w:pPr>
              <w:spacing w:after="0" w:lineRule="auto"/>
              <w:ind w:left="142" w:firstLine="0"/>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74,559</w:t>
            </w:r>
            <w:r w:rsidDel="00000000" w:rsidR="00000000" w:rsidRPr="00000000">
              <w:rPr>
                <w:rtl w:val="0"/>
              </w:rPr>
            </w:r>
          </w:p>
        </w:tc>
      </w:tr>
    </w:tbl>
    <w:p w:rsidR="00000000" w:rsidDel="00000000" w:rsidP="00000000" w:rsidRDefault="00000000" w:rsidRPr="00000000" w14:paraId="000000D8">
      <w:pPr>
        <w:spacing w:after="0" w:lineRule="auto"/>
        <w:ind w:left="0" w:firstLine="0"/>
        <w:jc w:val="left"/>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Fuente  OEE-Mincit</w:t>
      </w:r>
      <w:r w:rsidDel="00000000" w:rsidR="00000000" w:rsidRPr="00000000">
        <w:rPr>
          <w:rtl w:val="0"/>
        </w:rPr>
      </w:r>
    </w:p>
    <w:p w:rsidR="00000000" w:rsidDel="00000000" w:rsidP="00000000" w:rsidRDefault="00000000" w:rsidRPr="00000000" w14:paraId="000000D9">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A">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B">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través del modelo de Transición Energética del Ministerio de Comercio, Industria y Turismo, se proyecta que a 2032 las exportaciones totales del país se ubiquen alrededor de los USD 74.500 Millones, es decir, un crecimiento del 6,7% con respecto a 2022.  </w:t>
      </w:r>
    </w:p>
    <w:p w:rsidR="00000000" w:rsidDel="00000000" w:rsidP="00000000" w:rsidRDefault="00000000" w:rsidRPr="00000000" w14:paraId="000000DC">
      <w:pPr>
        <w:spacing w:after="0" w:lineRule="auto"/>
        <w:ind w:left="142"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D">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Se espera que las exportaciones de servicios alcancen en 2032 un valor de 19.500 millones de dólares, donde las divisas provenientes del turismo representan el 63% en promedio y equivalen a USD 12.500 millones de dólares.  </w:t>
      </w:r>
    </w:p>
    <w:p w:rsidR="00000000" w:rsidDel="00000000" w:rsidP="00000000" w:rsidRDefault="00000000" w:rsidRPr="00000000" w14:paraId="000000DE">
      <w:pPr>
        <w:spacing w:after="0" w:lineRule="auto"/>
        <w:ind w:left="142" w:firstLine="0"/>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DF">
      <w:pPr>
        <w:spacing w:after="0" w:lineRule="auto"/>
        <w:ind w:left="142" w:firstLine="0"/>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De igual manera, se busca revitalizar el turismo interno, que después de la pandemia ha crecido tanto en términos de gasto per cápita, pero no en el número de turistas internos.   </w:t>
      </w:r>
    </w:p>
    <w:p w:rsidR="00000000" w:rsidDel="00000000" w:rsidP="00000000" w:rsidRDefault="00000000" w:rsidRPr="00000000" w14:paraId="000000E0">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E1">
      <w:pPr>
        <w:spacing w:after="0" w:lineRule="auto"/>
        <w:jc w:val="both"/>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Transporte aéreo y problemática a abordar</w:t>
      </w:r>
    </w:p>
    <w:p w:rsidR="00000000" w:rsidDel="00000000" w:rsidP="00000000" w:rsidRDefault="00000000" w:rsidRPr="00000000" w14:paraId="000000E2">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0E3">
      <w:pPr>
        <w:spacing w:after="0" w:lineRule="auto"/>
        <w:jc w:val="both"/>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Antes de la pandemia el gasto promedio per cápita diario en transporte aéreo fue de $175.000 en 2019. Es así como el gasto per cápita en transporte aéreo para 2022 alcanzó $192000, superando los niveles de prepandemia, con un crecimiento del 30% con respecto a 2020 y de un crecimiento de 9.7% con respecto a 2019.  </w:t>
      </w:r>
      <w:r w:rsidDel="00000000" w:rsidR="00000000" w:rsidRPr="00000000">
        <w:rPr>
          <w:rtl w:val="0"/>
        </w:rPr>
      </w:r>
    </w:p>
    <w:p w:rsidR="00000000" w:rsidDel="00000000" w:rsidP="00000000" w:rsidRDefault="00000000" w:rsidRPr="00000000" w14:paraId="000000E4">
      <w:pPr>
        <w:spacing w:after="0" w:lineRule="auto"/>
        <w:jc w:val="both"/>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  </w:t>
      </w:r>
      <w:r w:rsidDel="00000000" w:rsidR="00000000" w:rsidRPr="00000000">
        <w:rPr>
          <w:rtl w:val="0"/>
        </w:rPr>
      </w:r>
    </w:p>
    <w:p w:rsidR="00000000" w:rsidDel="00000000" w:rsidP="00000000" w:rsidRDefault="00000000" w:rsidRPr="00000000" w14:paraId="000000E5">
      <w:pPr>
        <w:spacing w:after="0" w:lineRule="auto"/>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Tabla 2. Gasto percápita diario en transporte 2019-2022</w:t>
      </w:r>
      <w:r w:rsidDel="00000000" w:rsidR="00000000" w:rsidRPr="00000000">
        <w:rPr>
          <w:rtl w:val="0"/>
        </w:rPr>
      </w:r>
    </w:p>
    <w:tbl>
      <w:tblPr>
        <w:tblStyle w:val="Table4"/>
        <w:tblW w:w="8055.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2955"/>
        <w:gridCol w:w="1275"/>
        <w:gridCol w:w="1275"/>
        <w:gridCol w:w="1275"/>
        <w:gridCol w:w="1275"/>
        <w:tblGridChange w:id="0">
          <w:tblGrid>
            <w:gridCol w:w="2955"/>
            <w:gridCol w:w="1275"/>
            <w:gridCol w:w="1275"/>
            <w:gridCol w:w="1275"/>
            <w:gridCol w:w="1275"/>
          </w:tblGrid>
        </w:tblGridChange>
      </w:tblGrid>
      <w:tr>
        <w:trPr>
          <w:cantSplit w:val="0"/>
          <w:trHeight w:val="255" w:hRule="atLeast"/>
          <w:tblHeader w:val="0"/>
        </w:trPr>
        <w:tc>
          <w:tcPr>
            <w:shd w:fill="4f81bd" w:val="clear"/>
            <w:vAlign w:val="bottom"/>
          </w:tcPr>
          <w:p w:rsidR="00000000" w:rsidDel="00000000" w:rsidP="00000000" w:rsidRDefault="00000000" w:rsidRPr="00000000" w14:paraId="000000E6">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  </w:t>
            </w:r>
            <w:r w:rsidDel="00000000" w:rsidR="00000000" w:rsidRPr="00000000">
              <w:rPr>
                <w:rFonts w:ascii="Tahoma" w:cs="Tahoma" w:eastAsia="Tahoma" w:hAnsi="Tahoma"/>
                <w:b w:val="1"/>
                <w:color w:val="ffffff"/>
                <w:rtl w:val="0"/>
              </w:rPr>
              <w:t xml:space="preserve"> </w:t>
            </w:r>
            <w:r w:rsidDel="00000000" w:rsidR="00000000" w:rsidRPr="00000000">
              <w:rPr>
                <w:rFonts w:ascii="Tahoma" w:cs="Tahoma" w:eastAsia="Tahoma" w:hAnsi="Tahoma"/>
                <w:color w:val="ffffff"/>
                <w:rtl w:val="0"/>
              </w:rPr>
              <w:t xml:space="preserve"> </w:t>
            </w:r>
            <w:r w:rsidDel="00000000" w:rsidR="00000000" w:rsidRPr="00000000">
              <w:rPr>
                <w:rtl w:val="0"/>
              </w:rPr>
            </w:r>
          </w:p>
        </w:tc>
        <w:tc>
          <w:tcPr>
            <w:shd w:fill="4f81bd" w:val="clear"/>
            <w:vAlign w:val="bottom"/>
          </w:tcPr>
          <w:p w:rsidR="00000000" w:rsidDel="00000000" w:rsidP="00000000" w:rsidRDefault="00000000" w:rsidRPr="00000000" w14:paraId="000000E7">
            <w:pPr>
              <w:spacing w:after="0" w:lineRule="auto"/>
              <w:ind w:left="142" w:firstLine="0"/>
              <w:jc w:val="both"/>
              <w:rPr>
                <w:rFonts w:ascii="Tahoma" w:cs="Tahoma" w:eastAsia="Tahoma" w:hAnsi="Tahoma"/>
              </w:rPr>
            </w:pPr>
            <w:r w:rsidDel="00000000" w:rsidR="00000000" w:rsidRPr="00000000">
              <w:rPr>
                <w:rFonts w:ascii="Tahoma" w:cs="Tahoma" w:eastAsia="Tahoma" w:hAnsi="Tahoma"/>
                <w:b w:val="1"/>
                <w:color w:val="ffffff"/>
                <w:rtl w:val="0"/>
              </w:rPr>
              <w:t xml:space="preserve">2019</w:t>
            </w:r>
            <w:r w:rsidDel="00000000" w:rsidR="00000000" w:rsidRPr="00000000">
              <w:rPr>
                <w:rFonts w:ascii="Tahoma" w:cs="Tahoma" w:eastAsia="Tahoma" w:hAnsi="Tahoma"/>
                <w:color w:val="ffffff"/>
                <w:rtl w:val="0"/>
              </w:rPr>
              <w:t xml:space="preserve"> </w:t>
            </w:r>
            <w:r w:rsidDel="00000000" w:rsidR="00000000" w:rsidRPr="00000000">
              <w:rPr>
                <w:rtl w:val="0"/>
              </w:rPr>
            </w:r>
          </w:p>
        </w:tc>
        <w:tc>
          <w:tcPr>
            <w:shd w:fill="4f81bd" w:val="clear"/>
            <w:vAlign w:val="bottom"/>
          </w:tcPr>
          <w:p w:rsidR="00000000" w:rsidDel="00000000" w:rsidP="00000000" w:rsidRDefault="00000000" w:rsidRPr="00000000" w14:paraId="000000E8">
            <w:pPr>
              <w:spacing w:after="0" w:lineRule="auto"/>
              <w:ind w:left="142" w:firstLine="0"/>
              <w:jc w:val="both"/>
              <w:rPr>
                <w:rFonts w:ascii="Tahoma" w:cs="Tahoma" w:eastAsia="Tahoma" w:hAnsi="Tahoma"/>
              </w:rPr>
            </w:pPr>
            <w:r w:rsidDel="00000000" w:rsidR="00000000" w:rsidRPr="00000000">
              <w:rPr>
                <w:rFonts w:ascii="Tahoma" w:cs="Tahoma" w:eastAsia="Tahoma" w:hAnsi="Tahoma"/>
                <w:b w:val="1"/>
                <w:color w:val="ffffff"/>
                <w:rtl w:val="0"/>
              </w:rPr>
              <w:t xml:space="preserve">2020</w:t>
            </w:r>
            <w:r w:rsidDel="00000000" w:rsidR="00000000" w:rsidRPr="00000000">
              <w:rPr>
                <w:rFonts w:ascii="Tahoma" w:cs="Tahoma" w:eastAsia="Tahoma" w:hAnsi="Tahoma"/>
                <w:color w:val="ffffff"/>
                <w:rtl w:val="0"/>
              </w:rPr>
              <w:t xml:space="preserve"> </w:t>
            </w:r>
            <w:r w:rsidDel="00000000" w:rsidR="00000000" w:rsidRPr="00000000">
              <w:rPr>
                <w:rtl w:val="0"/>
              </w:rPr>
            </w:r>
          </w:p>
        </w:tc>
        <w:tc>
          <w:tcPr>
            <w:shd w:fill="4f81bd" w:val="clear"/>
            <w:vAlign w:val="bottom"/>
          </w:tcPr>
          <w:p w:rsidR="00000000" w:rsidDel="00000000" w:rsidP="00000000" w:rsidRDefault="00000000" w:rsidRPr="00000000" w14:paraId="000000E9">
            <w:pPr>
              <w:spacing w:after="0" w:lineRule="auto"/>
              <w:ind w:left="142" w:firstLine="0"/>
              <w:jc w:val="both"/>
              <w:rPr>
                <w:rFonts w:ascii="Tahoma" w:cs="Tahoma" w:eastAsia="Tahoma" w:hAnsi="Tahoma"/>
              </w:rPr>
            </w:pPr>
            <w:r w:rsidDel="00000000" w:rsidR="00000000" w:rsidRPr="00000000">
              <w:rPr>
                <w:rFonts w:ascii="Tahoma" w:cs="Tahoma" w:eastAsia="Tahoma" w:hAnsi="Tahoma"/>
                <w:b w:val="1"/>
                <w:color w:val="ffffff"/>
                <w:rtl w:val="0"/>
              </w:rPr>
              <w:t xml:space="preserve">2021</w:t>
            </w:r>
            <w:r w:rsidDel="00000000" w:rsidR="00000000" w:rsidRPr="00000000">
              <w:rPr>
                <w:rFonts w:ascii="Tahoma" w:cs="Tahoma" w:eastAsia="Tahoma" w:hAnsi="Tahoma"/>
                <w:color w:val="ffffff"/>
                <w:rtl w:val="0"/>
              </w:rPr>
              <w:t xml:space="preserve"> </w:t>
            </w:r>
            <w:r w:rsidDel="00000000" w:rsidR="00000000" w:rsidRPr="00000000">
              <w:rPr>
                <w:rtl w:val="0"/>
              </w:rPr>
            </w:r>
          </w:p>
        </w:tc>
        <w:tc>
          <w:tcPr>
            <w:shd w:fill="4f81bd" w:val="clear"/>
            <w:vAlign w:val="bottom"/>
          </w:tcPr>
          <w:p w:rsidR="00000000" w:rsidDel="00000000" w:rsidP="00000000" w:rsidRDefault="00000000" w:rsidRPr="00000000" w14:paraId="000000EA">
            <w:pPr>
              <w:spacing w:after="0" w:lineRule="auto"/>
              <w:ind w:left="142" w:firstLine="0"/>
              <w:jc w:val="both"/>
              <w:rPr>
                <w:rFonts w:ascii="Tahoma" w:cs="Tahoma" w:eastAsia="Tahoma" w:hAnsi="Tahoma"/>
              </w:rPr>
            </w:pPr>
            <w:r w:rsidDel="00000000" w:rsidR="00000000" w:rsidRPr="00000000">
              <w:rPr>
                <w:rFonts w:ascii="Tahoma" w:cs="Tahoma" w:eastAsia="Tahoma" w:hAnsi="Tahoma"/>
                <w:b w:val="1"/>
                <w:color w:val="ffffff"/>
                <w:rtl w:val="0"/>
              </w:rPr>
              <w:t xml:space="preserve">2022</w:t>
            </w:r>
            <w:r w:rsidDel="00000000" w:rsidR="00000000" w:rsidRPr="00000000">
              <w:rPr>
                <w:rFonts w:ascii="Tahoma" w:cs="Tahoma" w:eastAsia="Tahoma" w:hAnsi="Tahoma"/>
                <w:color w:val="ffffff"/>
                <w:rtl w:val="0"/>
              </w:rPr>
              <w:t xml:space="preserve"> </w:t>
            </w:r>
            <w:r w:rsidDel="00000000" w:rsidR="00000000" w:rsidRPr="00000000">
              <w:rPr>
                <w:rtl w:val="0"/>
              </w:rPr>
            </w:r>
          </w:p>
        </w:tc>
      </w:tr>
      <w:tr>
        <w:trPr>
          <w:cantSplit w:val="0"/>
          <w:trHeight w:val="255" w:hRule="atLeast"/>
          <w:tblHeader w:val="0"/>
        </w:trPr>
        <w:tc>
          <w:tcPr>
            <w:shd w:fill="auto" w:val="clear"/>
            <w:vAlign w:val="bottom"/>
          </w:tcPr>
          <w:p w:rsidR="00000000" w:rsidDel="00000000" w:rsidP="00000000" w:rsidRDefault="00000000" w:rsidRPr="00000000" w14:paraId="000000EB">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Transporte aéreo </w:t>
            </w:r>
            <w:r w:rsidDel="00000000" w:rsidR="00000000" w:rsidRPr="00000000">
              <w:rPr>
                <w:rtl w:val="0"/>
              </w:rPr>
            </w:r>
          </w:p>
        </w:tc>
        <w:tc>
          <w:tcPr>
            <w:shd w:fill="auto" w:val="clear"/>
            <w:vAlign w:val="bottom"/>
          </w:tcPr>
          <w:p w:rsidR="00000000" w:rsidDel="00000000" w:rsidP="00000000" w:rsidRDefault="00000000" w:rsidRPr="00000000" w14:paraId="000000EC">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175.931 </w:t>
            </w:r>
            <w:r w:rsidDel="00000000" w:rsidR="00000000" w:rsidRPr="00000000">
              <w:rPr>
                <w:rtl w:val="0"/>
              </w:rPr>
            </w:r>
          </w:p>
        </w:tc>
        <w:tc>
          <w:tcPr>
            <w:shd w:fill="auto" w:val="clear"/>
            <w:vAlign w:val="bottom"/>
          </w:tcPr>
          <w:p w:rsidR="00000000" w:rsidDel="00000000" w:rsidP="00000000" w:rsidRDefault="00000000" w:rsidRPr="00000000" w14:paraId="000000ED">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148.227 </w:t>
            </w:r>
            <w:r w:rsidDel="00000000" w:rsidR="00000000" w:rsidRPr="00000000">
              <w:rPr>
                <w:rtl w:val="0"/>
              </w:rPr>
            </w:r>
          </w:p>
        </w:tc>
        <w:tc>
          <w:tcPr>
            <w:shd w:fill="auto" w:val="clear"/>
            <w:vAlign w:val="bottom"/>
          </w:tcPr>
          <w:p w:rsidR="00000000" w:rsidDel="00000000" w:rsidP="00000000" w:rsidRDefault="00000000" w:rsidRPr="00000000" w14:paraId="000000EE">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184.41 </w:t>
            </w:r>
            <w:r w:rsidDel="00000000" w:rsidR="00000000" w:rsidRPr="00000000">
              <w:rPr>
                <w:rtl w:val="0"/>
              </w:rPr>
            </w:r>
          </w:p>
        </w:tc>
        <w:tc>
          <w:tcPr>
            <w:shd w:fill="auto" w:val="clear"/>
            <w:vAlign w:val="bottom"/>
          </w:tcPr>
          <w:p w:rsidR="00000000" w:rsidDel="00000000" w:rsidP="00000000" w:rsidRDefault="00000000" w:rsidRPr="00000000" w14:paraId="000000EF">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192.121 </w:t>
            </w:r>
            <w:r w:rsidDel="00000000" w:rsidR="00000000" w:rsidRPr="00000000">
              <w:rPr>
                <w:rtl w:val="0"/>
              </w:rPr>
            </w:r>
          </w:p>
        </w:tc>
      </w:tr>
      <w:tr>
        <w:trPr>
          <w:cantSplit w:val="0"/>
          <w:trHeight w:val="255" w:hRule="atLeast"/>
          <w:tblHeader w:val="0"/>
        </w:trPr>
        <w:tc>
          <w:tcPr>
            <w:shd w:fill="auto" w:val="clear"/>
            <w:vAlign w:val="bottom"/>
          </w:tcPr>
          <w:p w:rsidR="00000000" w:rsidDel="00000000" w:rsidP="00000000" w:rsidRDefault="00000000" w:rsidRPr="00000000" w14:paraId="000000F0">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Transporte terrestre público </w:t>
            </w:r>
            <w:r w:rsidDel="00000000" w:rsidR="00000000" w:rsidRPr="00000000">
              <w:rPr>
                <w:rtl w:val="0"/>
              </w:rPr>
            </w:r>
          </w:p>
        </w:tc>
        <w:tc>
          <w:tcPr>
            <w:shd w:fill="auto" w:val="clear"/>
            <w:vAlign w:val="bottom"/>
          </w:tcPr>
          <w:p w:rsidR="00000000" w:rsidDel="00000000" w:rsidP="00000000" w:rsidRDefault="00000000" w:rsidRPr="00000000" w14:paraId="000000F1">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52.517 </w:t>
            </w:r>
            <w:r w:rsidDel="00000000" w:rsidR="00000000" w:rsidRPr="00000000">
              <w:rPr>
                <w:rtl w:val="0"/>
              </w:rPr>
            </w:r>
          </w:p>
        </w:tc>
        <w:tc>
          <w:tcPr>
            <w:shd w:fill="auto" w:val="clear"/>
            <w:vAlign w:val="bottom"/>
          </w:tcPr>
          <w:p w:rsidR="00000000" w:rsidDel="00000000" w:rsidP="00000000" w:rsidRDefault="00000000" w:rsidRPr="00000000" w14:paraId="000000F2">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44.144 </w:t>
            </w:r>
            <w:r w:rsidDel="00000000" w:rsidR="00000000" w:rsidRPr="00000000">
              <w:rPr>
                <w:rtl w:val="0"/>
              </w:rPr>
            </w:r>
          </w:p>
        </w:tc>
        <w:tc>
          <w:tcPr>
            <w:shd w:fill="auto" w:val="clear"/>
            <w:vAlign w:val="bottom"/>
          </w:tcPr>
          <w:p w:rsidR="00000000" w:rsidDel="00000000" w:rsidP="00000000" w:rsidRDefault="00000000" w:rsidRPr="00000000" w14:paraId="000000F3">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59.267 </w:t>
            </w:r>
            <w:r w:rsidDel="00000000" w:rsidR="00000000" w:rsidRPr="00000000">
              <w:rPr>
                <w:rtl w:val="0"/>
              </w:rPr>
            </w:r>
          </w:p>
        </w:tc>
        <w:tc>
          <w:tcPr>
            <w:shd w:fill="auto" w:val="clear"/>
            <w:vAlign w:val="bottom"/>
          </w:tcPr>
          <w:p w:rsidR="00000000" w:rsidDel="00000000" w:rsidP="00000000" w:rsidRDefault="00000000" w:rsidRPr="00000000" w14:paraId="000000F4">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75.154 </w:t>
            </w:r>
            <w:r w:rsidDel="00000000" w:rsidR="00000000" w:rsidRPr="00000000">
              <w:rPr>
                <w:rtl w:val="0"/>
              </w:rPr>
            </w:r>
          </w:p>
        </w:tc>
      </w:tr>
      <w:tr>
        <w:trPr>
          <w:cantSplit w:val="0"/>
          <w:trHeight w:val="255" w:hRule="atLeast"/>
          <w:tblHeader w:val="0"/>
        </w:trPr>
        <w:tc>
          <w:tcPr>
            <w:shd w:fill="auto" w:val="clear"/>
            <w:vAlign w:val="bottom"/>
          </w:tcPr>
          <w:p w:rsidR="00000000" w:rsidDel="00000000" w:rsidP="00000000" w:rsidRDefault="00000000" w:rsidRPr="00000000" w14:paraId="000000F5">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Transporte terrestre particular </w:t>
            </w:r>
            <w:r w:rsidDel="00000000" w:rsidR="00000000" w:rsidRPr="00000000">
              <w:rPr>
                <w:rtl w:val="0"/>
              </w:rPr>
            </w:r>
          </w:p>
        </w:tc>
        <w:tc>
          <w:tcPr>
            <w:shd w:fill="auto" w:val="clear"/>
            <w:vAlign w:val="bottom"/>
          </w:tcPr>
          <w:p w:rsidR="00000000" w:rsidDel="00000000" w:rsidP="00000000" w:rsidRDefault="00000000" w:rsidRPr="00000000" w14:paraId="000000F6">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69.097 </w:t>
            </w:r>
            <w:r w:rsidDel="00000000" w:rsidR="00000000" w:rsidRPr="00000000">
              <w:rPr>
                <w:rtl w:val="0"/>
              </w:rPr>
            </w:r>
          </w:p>
        </w:tc>
        <w:tc>
          <w:tcPr>
            <w:shd w:fill="auto" w:val="clear"/>
            <w:vAlign w:val="bottom"/>
          </w:tcPr>
          <w:p w:rsidR="00000000" w:rsidDel="00000000" w:rsidP="00000000" w:rsidRDefault="00000000" w:rsidRPr="00000000" w14:paraId="000000F7">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72.018 </w:t>
            </w:r>
            <w:r w:rsidDel="00000000" w:rsidR="00000000" w:rsidRPr="00000000">
              <w:rPr>
                <w:rtl w:val="0"/>
              </w:rPr>
            </w:r>
          </w:p>
        </w:tc>
        <w:tc>
          <w:tcPr>
            <w:shd w:fill="auto" w:val="clear"/>
            <w:vAlign w:val="bottom"/>
          </w:tcPr>
          <w:p w:rsidR="00000000" w:rsidDel="00000000" w:rsidP="00000000" w:rsidRDefault="00000000" w:rsidRPr="00000000" w14:paraId="000000F8">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77.779 </w:t>
            </w:r>
            <w:r w:rsidDel="00000000" w:rsidR="00000000" w:rsidRPr="00000000">
              <w:rPr>
                <w:rtl w:val="0"/>
              </w:rPr>
            </w:r>
          </w:p>
        </w:tc>
        <w:tc>
          <w:tcPr>
            <w:shd w:fill="auto" w:val="clear"/>
            <w:vAlign w:val="bottom"/>
          </w:tcPr>
          <w:p w:rsidR="00000000" w:rsidDel="00000000" w:rsidP="00000000" w:rsidRDefault="00000000" w:rsidRPr="00000000" w14:paraId="000000F9">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94.988 </w:t>
            </w:r>
            <w:r w:rsidDel="00000000" w:rsidR="00000000" w:rsidRPr="00000000">
              <w:rPr>
                <w:rtl w:val="0"/>
              </w:rPr>
            </w:r>
          </w:p>
        </w:tc>
      </w:tr>
      <w:tr>
        <w:trPr>
          <w:cantSplit w:val="0"/>
          <w:trHeight w:val="255" w:hRule="atLeast"/>
          <w:tblHeader w:val="0"/>
        </w:trPr>
        <w:tc>
          <w:tcPr>
            <w:shd w:fill="auto" w:val="clear"/>
            <w:vAlign w:val="bottom"/>
          </w:tcPr>
          <w:p w:rsidR="00000000" w:rsidDel="00000000" w:rsidP="00000000" w:rsidRDefault="00000000" w:rsidRPr="00000000" w14:paraId="000000FA">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Otro* </w:t>
            </w:r>
            <w:r w:rsidDel="00000000" w:rsidR="00000000" w:rsidRPr="00000000">
              <w:rPr>
                <w:rtl w:val="0"/>
              </w:rPr>
            </w:r>
          </w:p>
        </w:tc>
        <w:tc>
          <w:tcPr>
            <w:shd w:fill="auto" w:val="clear"/>
            <w:vAlign w:val="bottom"/>
          </w:tcPr>
          <w:p w:rsidR="00000000" w:rsidDel="00000000" w:rsidP="00000000" w:rsidRDefault="00000000" w:rsidRPr="00000000" w14:paraId="000000FB">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64.087 </w:t>
            </w:r>
            <w:r w:rsidDel="00000000" w:rsidR="00000000" w:rsidRPr="00000000">
              <w:rPr>
                <w:rtl w:val="0"/>
              </w:rPr>
            </w:r>
          </w:p>
        </w:tc>
        <w:tc>
          <w:tcPr>
            <w:shd w:fill="auto" w:val="clear"/>
            <w:vAlign w:val="bottom"/>
          </w:tcPr>
          <w:p w:rsidR="00000000" w:rsidDel="00000000" w:rsidP="00000000" w:rsidRDefault="00000000" w:rsidRPr="00000000" w14:paraId="000000FC">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44.269 </w:t>
            </w:r>
            <w:r w:rsidDel="00000000" w:rsidR="00000000" w:rsidRPr="00000000">
              <w:rPr>
                <w:rtl w:val="0"/>
              </w:rPr>
            </w:r>
          </w:p>
        </w:tc>
        <w:tc>
          <w:tcPr>
            <w:shd w:fill="auto" w:val="clear"/>
            <w:vAlign w:val="bottom"/>
          </w:tcPr>
          <w:p w:rsidR="00000000" w:rsidDel="00000000" w:rsidP="00000000" w:rsidRDefault="00000000" w:rsidRPr="00000000" w14:paraId="000000FD">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51.903 </w:t>
            </w:r>
            <w:r w:rsidDel="00000000" w:rsidR="00000000" w:rsidRPr="00000000">
              <w:rPr>
                <w:rtl w:val="0"/>
              </w:rPr>
            </w:r>
          </w:p>
        </w:tc>
        <w:tc>
          <w:tcPr>
            <w:shd w:fill="auto" w:val="clear"/>
            <w:vAlign w:val="bottom"/>
          </w:tcPr>
          <w:p w:rsidR="00000000" w:rsidDel="00000000" w:rsidP="00000000" w:rsidRDefault="00000000" w:rsidRPr="00000000" w14:paraId="000000FE">
            <w:pPr>
              <w:spacing w:after="0" w:lineRule="auto"/>
              <w:ind w:left="142" w:firstLine="0"/>
              <w:jc w:val="both"/>
              <w:rPr>
                <w:rFonts w:ascii="Tahoma" w:cs="Tahoma" w:eastAsia="Tahoma" w:hAnsi="Tahoma"/>
              </w:rPr>
            </w:pPr>
            <w:r w:rsidDel="00000000" w:rsidR="00000000" w:rsidRPr="00000000">
              <w:rPr>
                <w:rFonts w:ascii="Tahoma" w:cs="Tahoma" w:eastAsia="Tahoma" w:hAnsi="Tahoma"/>
                <w:color w:val="000000"/>
                <w:rtl w:val="0"/>
              </w:rPr>
              <w:t xml:space="preserve">49.033 </w:t>
            </w:r>
            <w:r w:rsidDel="00000000" w:rsidR="00000000" w:rsidRPr="00000000">
              <w:rPr>
                <w:rtl w:val="0"/>
              </w:rPr>
            </w:r>
          </w:p>
        </w:tc>
      </w:tr>
    </w:tbl>
    <w:p w:rsidR="00000000" w:rsidDel="00000000" w:rsidP="00000000" w:rsidRDefault="00000000" w:rsidRPr="00000000" w14:paraId="000000FF">
      <w:pPr>
        <w:spacing w:after="0" w:lineRule="auto"/>
        <w:jc w:val="center"/>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Fuente: Encuesta de gasto interno de turismo - DANE</w:t>
      </w:r>
      <w:r w:rsidDel="00000000" w:rsidR="00000000" w:rsidRPr="00000000">
        <w:rPr>
          <w:rtl w:val="0"/>
        </w:rPr>
      </w:r>
    </w:p>
    <w:p w:rsidR="00000000" w:rsidDel="00000000" w:rsidP="00000000" w:rsidRDefault="00000000" w:rsidRPr="00000000" w14:paraId="00000100">
      <w:pPr>
        <w:spacing w:after="0" w:lineRule="auto"/>
        <w:jc w:val="both"/>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  </w:t>
      </w:r>
      <w:r w:rsidDel="00000000" w:rsidR="00000000" w:rsidRPr="00000000">
        <w:rPr>
          <w:rtl w:val="0"/>
        </w:rPr>
      </w:r>
    </w:p>
    <w:p w:rsidR="00000000" w:rsidDel="00000000" w:rsidP="00000000" w:rsidRDefault="00000000" w:rsidRPr="00000000" w14:paraId="00000101">
      <w:pPr>
        <w:spacing w:after="0" w:lineRule="auto"/>
        <w:jc w:val="both"/>
        <w:rPr>
          <w:rFonts w:ascii="Tahoma" w:cs="Tahoma" w:eastAsia="Tahoma" w:hAnsi="Tahoma"/>
          <w:sz w:val="24"/>
          <w:szCs w:val="24"/>
        </w:rPr>
      </w:pPr>
      <w:r w:rsidDel="00000000" w:rsidR="00000000" w:rsidRPr="00000000">
        <w:rPr>
          <w:rFonts w:ascii="Tahoma" w:cs="Tahoma" w:eastAsia="Tahoma" w:hAnsi="Tahoma"/>
          <w:color w:val="000000"/>
          <w:sz w:val="24"/>
          <w:szCs w:val="24"/>
          <w:rtl w:val="0"/>
        </w:rPr>
        <w:t xml:space="preserve">Sin embargo, a pesar de la recuperación en el gasto de transporte aéreo el porcentaje de personas que han realizado turismo o excursionismo interno en este periodo no ha mostrado la misma recuperación. Para 2019 se tenía que un 16,8% de la población total encuestada había realizado alguna de estas actividades, mientras que para 2022 este porcentaje llega apenas a 10,5%. </w:t>
      </w:r>
      <w:r w:rsidDel="00000000" w:rsidR="00000000" w:rsidRPr="00000000">
        <w:rPr>
          <w:rtl w:val="0"/>
        </w:rPr>
      </w:r>
    </w:p>
    <w:p w:rsidR="00000000" w:rsidDel="00000000" w:rsidP="00000000" w:rsidRDefault="00000000" w:rsidRPr="00000000" w14:paraId="00000102">
      <w:pPr>
        <w:spacing w:after="0" w:lineRule="auto"/>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03">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El Señor presidente Gustavo Petro ha señalado, en diferentes foros a nivel nacional e internacional, que quiere incentivar, impulsar y desarrollar el turismo en el país con el propósito de sustituir en el mediano plazo lo ingresos relacionados con la extracción de combustibles fósiles como el gas y el petróleo, y con ello contribuir a la defensa y preservación del medio ambiente. </w:t>
      </w:r>
    </w:p>
    <w:p w:rsidR="00000000" w:rsidDel="00000000" w:rsidP="00000000" w:rsidRDefault="00000000" w:rsidRPr="00000000" w14:paraId="00000104">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5">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6">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Para lograr este propósito es importante disponer de reglas claras que permitan ordenar las relaciones de consumo que se presentan entre turistas y prestadores de servicios turísticos, por tanto, el Ministerio de Comercio, Industria y Turismo y la Superintendencia de Industria y Comercio, en un trabajo coordinado con los actores relevantes del sector turístico del pais, han revisado extensivamente la normativa vigente, especialmente los desarrollos legales en materia de relaciones de consumo, garantías sustanciales y procesales de los consumidores y de los proveedores, que permita tener un acceso efectivo a la justicia económica.</w:t>
      </w:r>
    </w:p>
    <w:p w:rsidR="00000000" w:rsidDel="00000000" w:rsidP="00000000" w:rsidRDefault="00000000" w:rsidRPr="00000000" w14:paraId="00000107">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8">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En este sentido, se destaca que nuestro ordenamiento jurídico cuenta con una serie de herramientas útiles para proteger a los extremos de la relación de consumo, teniendo en cuenta que conforme lo determina el artículo 78 de nuestra Constitución Política, las relaciones de consumo son derechos constitucionales, cuentan con todos los privilegios y amparos que corresponden a los derechos de mayor rango jerárquico dentro de un ordenamiento jurídico.</w:t>
      </w:r>
    </w:p>
    <w:p w:rsidR="00000000" w:rsidDel="00000000" w:rsidP="00000000" w:rsidRDefault="00000000" w:rsidRPr="00000000" w14:paraId="00000109">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A">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El Derecho del Consumidor, como se encuentra concebido actualmente en nuestro ordenamiento jurídico, intenta proteger al consumidor, disminuyendo su vulnerabilidad cognitiva, su posición de indefensión, equilibrando la asimetría de las fuerzas que existe con respecto a los partícipes del mercado, facilitando sus reclamos.</w:t>
      </w:r>
    </w:p>
    <w:p w:rsidR="00000000" w:rsidDel="00000000" w:rsidP="00000000" w:rsidRDefault="00000000" w:rsidRPr="00000000" w14:paraId="0000010B">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C">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En el anterior sentido, se resalta el régimen de responsabilidad objetiva, de arraigo constitucional, como una de las herramientas jurídicas en donde el Legislador ha considerado que en ciertos ámbitos, precisamente como en el del Derecho del Consumidor, es necesario un régimen de responsabilidad especial, no fundada en la culpa del productor o el proveedor, sino en el mero hecho objetivo de haberse puesto en circulación un producto o servicio defectuoso, para facilitar el acceso a la justicia económica de los consumidores.</w:t>
      </w:r>
    </w:p>
    <w:p w:rsidR="00000000" w:rsidDel="00000000" w:rsidP="00000000" w:rsidRDefault="00000000" w:rsidRPr="00000000" w14:paraId="0000010D">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0E">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 jurisprudencia de nuestra H. Corte Constitucional en Sentencia C1141 de 2000. M.P. Eduardo Cifuentes Muñoz, ha precisado que la Constitución Política de 1991, ha querido instaurar un régimen de protección en favor del consumidor y usuario de bienes y servicios que circulan en el mercado. Esto, con el fin de compensar con medidas de distinto orden la posición de inferioridad con la cual consumidores y usuarios, por lo general dispersos y dotados de escasos conocimientos y potencialidades, enfrentan a las fuerzas de la producción y comercialización de bienes y servicios, necesarios en orden a la satisfacción de sus necesidades materiales.</w:t>
      </w:r>
    </w:p>
    <w:p w:rsidR="00000000" w:rsidDel="00000000" w:rsidP="00000000" w:rsidRDefault="00000000" w:rsidRPr="00000000" w14:paraId="0000010F">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10">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En efecto, como se menciona, La Ley 1480 de 2011, establece un marco legal sólido para la protección de los consumidores en Colombia. En virtud de esta Ley, los consumidores tienen el derecho de reclamar ante el productor o el proveedor de bienes y servicios, indistintamente, en casos de problemas o disputas relacionadas con la adquisición de productos o servicios. Esto se basa en la responsabilidad solidaria que es aplicable en materia de protección al consumidor.</w:t>
      </w:r>
    </w:p>
    <w:p w:rsidR="00000000" w:rsidDel="00000000" w:rsidP="00000000" w:rsidRDefault="00000000" w:rsidRPr="00000000" w14:paraId="00000111">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12">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Así mismo, se considera que junto que el régimen de responsabilidad objetiva y solidaria que se ha desarrollado constitucionalmente en pro del consumidor, no implica que se haya dejado desprovisto de acciones legales al sujeto que haya sido condenado a pagar al consumidor solidariamente, pero que no haya actuado con culpa, dolo o negligencia.</w:t>
      </w:r>
    </w:p>
    <w:p w:rsidR="00000000" w:rsidDel="00000000" w:rsidP="00000000" w:rsidRDefault="00000000" w:rsidRPr="00000000" w14:paraId="00000113">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14">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Nos referimos a la existencia de instituciones jurídicas con las que ya cuenta nuestro ordenamiento jurídico, tales como la Acción de Repetición, la cual garantiza seguridad jurídica a los agentes económicos, pues otorga plenas garantías a los agentes que hacen parte de la relación de consumo, pues el consumidor una vez obtuvo la devolución por lo pagado una vez demandó en solidaridad a cualquiera de la cadena de proveedores/distribuidores/prestadores de bienes y servicios, en virtud de la Acción de Repetición, quien fue inicialmente obligado a pagar podrá contrademandar ante la jurisdicción civil ordinaria a quien realmente incurrió en culpa y evitar así que el verdadero responsable se sustraiga del cumplimiento de sus obligaciones.</w:t>
      </w:r>
    </w:p>
    <w:p w:rsidR="00000000" w:rsidDel="00000000" w:rsidP="00000000" w:rsidRDefault="00000000" w:rsidRPr="00000000" w14:paraId="00000115">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16">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Otra institución jurídica es la del llamamiento en garantía que se encuentra dispuesta en el Código General del Proceso, y que por expreso mandato de la Ley, puede ser usado en procesos de responsabilidad objetiva en sede judicial y administrativa. Sin embargo, a pesar que la Superintendencia de Industria y Comercio es la entidad que, como autoridad de competencia y de protección al consumidor, ejerce funciones íntimamente ligadas con los referidos propósitos, la interpretación de las normas y el uso de algunas prerrogativas ha variado entre administraciones, no siendo consistente y por ende generando riesgos de perdida de seguridad jurídica. </w:t>
      </w:r>
    </w:p>
    <w:p w:rsidR="00000000" w:rsidDel="00000000" w:rsidP="00000000" w:rsidRDefault="00000000" w:rsidRPr="00000000" w14:paraId="00000117">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18">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Respecto de lo anterior, la Corte Suprema de Justicia ha señalado de manera reiterada que las autoridades administrativas que ejercen funciones jurisdiccionales tienen la competencia para resolver sobre el llamamiento en garantía dentro de los procesos a su cargo. Lo señalado por la Corte Suprema de Justicia no es otro que, de conformidad con el artículo 24 del Código General del Proceso, “las autoridades administrativas tramitarán los procesos a través de las mismas vías procesales previstas en la ley para los jueces”. </w:t>
      </w:r>
    </w:p>
    <w:p w:rsidR="00000000" w:rsidDel="00000000" w:rsidP="00000000" w:rsidRDefault="00000000" w:rsidRPr="00000000" w14:paraId="00000119">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1A">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Si bien, esta situación podría parecer un aspecto solo procedimental en estos trámites, tiene un impacto directo en la construcción de confianza en nuestras instituciones para el desarrollo de la industria del turismo, y para la garantía real de los derechos de los consumidores, en tanto que, tal como lo haría un juez ordinario al decidir sobre la acción de protección al consumidor, la Superintendencia de Industria y Comercio tiene la competencia para resolver todas las etapas procesales y asuntos propios de los procesos que tiene a su cargo, entre ellos sobre el llamamiento en garantía. </w:t>
      </w:r>
    </w:p>
    <w:p w:rsidR="00000000" w:rsidDel="00000000" w:rsidP="00000000" w:rsidRDefault="00000000" w:rsidRPr="00000000" w14:paraId="0000011B">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1C">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1D">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El principal problema que ha venido enfrentando la industria, radica en que la garantía en los derechos de los consumidores, no solo se encuentra satisfecha cuando se condena a un actor en la relación de consumo, generalmente a las Agencias de Viaje, sin vincular a los demás integrantes de la cadena, lo que resta oportunidades para que en el proceso se analice la participación y responsabilidad objetiva de todos los agentes de la cadena, lo que al final puede restar garantías a los consumidores en la medida en que condena en el ejercicio de funciones judiciales a las agencias de viajes para el cumplimiento de pretensiones asociadas con el contrato de transporte del que ni siquiera son parte. En efecto, cuando se incumplen las prestaciones del contrato de transporte, es el transportador quien tiene la posibilidad de remediar dicho incumplimiento.</w:t>
      </w:r>
    </w:p>
    <w:p w:rsidR="00000000" w:rsidDel="00000000" w:rsidP="00000000" w:rsidRDefault="00000000" w:rsidRPr="00000000" w14:paraId="0000011E">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1F">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Lo anterior, si se tiene en cuenta que es el agente económico que incorpora en sus arcas el precio pagado por el servicio y cuenta con el patrimonio, infraestructura e idoneidad para brindar la mejor respuesta frente a su propio incumplimiento. Cuando por razones formales se excluye la posibilidad de que comparezca al proceso de protección al consumidor, se genera una dinámica ineficiente en la garantía de los derechos. </w:t>
      </w:r>
    </w:p>
    <w:p w:rsidR="00000000" w:rsidDel="00000000" w:rsidP="00000000" w:rsidRDefault="00000000" w:rsidRPr="00000000" w14:paraId="00000120">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21">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22">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Tanto es ello así, que en sentencia del pasado 25 de octubre de 2022 la Corte reiteró su posición al respecto y dijo que la renuencia a resolver sobre el llamamiento en garantía implica la emisión de un fallo citra petita que implica una abierta incongruencia, al dejar de resolver sobre aspectos nucleares del litigio.  </w:t>
      </w:r>
    </w:p>
    <w:p w:rsidR="00000000" w:rsidDel="00000000" w:rsidP="00000000" w:rsidRDefault="00000000" w:rsidRPr="00000000" w14:paraId="00000123">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24">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Así, a fin de asegurar que las aerolíneas puedan comparecer al proceso que se llegara a iniciar en contra la agencia de viajes por el incumplimiento de las obligaciones derivadas del contrato de transporte, se propone incluir una norma para que la autoridad judicial -incluso tratándose de autoridades administrativas en ejercicio de competencias judiciales- pueda sin lugar a más discusiones dentro del mismo trámite de protección al consumidor decidir sobre la pretensión que formule la agencia cuando llame en garantía a la aerolínea si se trata del incumplimiento de obligaciones del contrato de transporte.  </w:t>
      </w:r>
    </w:p>
    <w:p w:rsidR="00000000" w:rsidDel="00000000" w:rsidP="00000000" w:rsidRDefault="00000000" w:rsidRPr="00000000" w14:paraId="00000125">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26">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27">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De otra parte, la inclusión de esta disposición traería grandes beneficios al consumidor: </w:t>
      </w:r>
    </w:p>
    <w:p w:rsidR="00000000" w:rsidDel="00000000" w:rsidP="00000000" w:rsidRDefault="00000000" w:rsidRPr="00000000" w14:paraId="00000128">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29">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5" w:right="0" w:hanging="705"/>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Considerando que la mayoría de casos en materia de consumidor se tramitan ante la Superintendencia de Industria y Comercio, la posición actual de esta entidad en el sentido de negar la admisión del llamamiento en garantía, crea un desincentivo al consumidor de acudir a ella. </w:t>
      </w:r>
    </w:p>
    <w:p w:rsidR="00000000" w:rsidDel="00000000" w:rsidP="00000000" w:rsidRDefault="00000000" w:rsidRPr="00000000" w14:paraId="0000012B">
      <w:pPr>
        <w:spacing w:after="0" w:lineRule="auto"/>
        <w:ind w:left="-360" w:firstLine="75"/>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5" w:right="0" w:hanging="705"/>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Iguala las condiciones de trato del consumidor que acude a la justicia ordinaria con el que acude a la Superintendencia de Industria y Comercio, en ejercicio de facultades judiciales.  </w:t>
      </w:r>
    </w:p>
    <w:p w:rsidR="00000000" w:rsidDel="00000000" w:rsidP="00000000" w:rsidRDefault="00000000" w:rsidRPr="00000000" w14:paraId="0000012D">
      <w:pPr>
        <w:spacing w:after="0" w:lineRule="auto"/>
        <w:ind w:left="-360" w:firstLine="75"/>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5" w:right="0" w:hanging="705"/>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Busca dirimir, en favor de los consumidores, una posición de la entidad administrativa que va en contra de jurisprudencia de la Corte Suprema de Justicia, órgano de cierre de la justicia ordinaria.  </w:t>
      </w:r>
    </w:p>
    <w:p w:rsidR="00000000" w:rsidDel="00000000" w:rsidP="00000000" w:rsidRDefault="00000000" w:rsidRPr="00000000" w14:paraId="0000012F">
      <w:pPr>
        <w:spacing w:after="0" w:lineRule="auto"/>
        <w:ind w:left="-360" w:firstLine="75"/>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5" w:right="0" w:hanging="705"/>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Permite que al proceso y a la discusión probatoria se vinculen a las aerolíneas quienes son las responsables de ejecutar las prestaciones derivadas del contrato de transporte.  </w:t>
      </w:r>
    </w:p>
    <w:p w:rsidR="00000000" w:rsidDel="00000000" w:rsidP="00000000" w:rsidRDefault="00000000" w:rsidRPr="00000000" w14:paraId="00000131">
      <w:pPr>
        <w:spacing w:after="0" w:lineRule="auto"/>
        <w:ind w:left="-360" w:firstLine="75"/>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5" w:right="0" w:hanging="705"/>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Habilita un escenario en el que el consumidor podrá tener claridad sobre las razones que llevaron el incumplimiento de su contrato al habilitar la participación de las aerolíneas en el proceso.  </w:t>
      </w:r>
    </w:p>
    <w:p w:rsidR="00000000" w:rsidDel="00000000" w:rsidP="00000000" w:rsidRDefault="00000000" w:rsidRPr="00000000" w14:paraId="00000133">
      <w:pPr>
        <w:spacing w:after="0" w:lineRule="auto"/>
        <w:ind w:left="-360" w:firstLine="75"/>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5" w:right="0" w:hanging="705"/>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Esta norma no representa una exoneración de la responsabilidad que le asiste a las agencias de viaje, sino por el contrario, refuerza la protección al consumidor ya que garantiza la vinculación del obligado directo del contrato de transporte. Si se comprueba que la reclamación se originó por un comportamiento de la agencia de viaje esta seguirá respondiendo.  </w:t>
      </w:r>
    </w:p>
    <w:p w:rsidR="00000000" w:rsidDel="00000000" w:rsidP="00000000" w:rsidRDefault="00000000" w:rsidRPr="00000000" w14:paraId="00000135">
      <w:pPr>
        <w:spacing w:after="0" w:lineRule="auto"/>
        <w:ind w:left="-360" w:firstLine="75"/>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05" w:right="0" w:hanging="705"/>
        <w:jc w:val="both"/>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Brinda la relación de consumo porque en el caso de comprobarse la responsabilidad de la aerolínea </w:t>
      </w:r>
      <w:r w:rsidDel="00000000" w:rsidR="00000000" w:rsidRPr="00000000">
        <w:rPr>
          <w:rFonts w:ascii="Tahoma" w:cs="Tahoma" w:eastAsia="Tahoma" w:hAnsi="Tahoma"/>
          <w:sz w:val="24"/>
          <w:szCs w:val="24"/>
          <w:rtl w:val="0"/>
        </w:rPr>
        <w:t xml:space="preserve">ésta</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debe responder por las conductas desplegadas y evita que con base en una interpretación inadecuada de la Superintendencia, al final esté ausente de una reclamación que se originó por su comportamiento.  </w:t>
      </w:r>
    </w:p>
    <w:p w:rsidR="00000000" w:rsidDel="00000000" w:rsidP="00000000" w:rsidRDefault="00000000" w:rsidRPr="00000000" w14:paraId="00000137">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38">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En consecuencia, se sugiere la incorporación de un nuevo parágrafo en el artículo 58 de la Ley 1480 de 2011, que se refiere a las reglas adjetivas o procedimentales que aplica la Superintendencia de Industria y Comercio, para fomentar el uso del llamamiento en garantía dentro de sus actuaciones, y fortalecer el régimen de responsabilidad objetiva de los actores en la relación de consumo. </w:t>
      </w:r>
    </w:p>
    <w:p w:rsidR="00000000" w:rsidDel="00000000" w:rsidP="00000000" w:rsidRDefault="00000000" w:rsidRPr="00000000" w14:paraId="00000139">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3A">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 falta de una disposición como esta, en la práctica las agencias de viajes terminan respaldando las obligaciones incumplidas de las aerolíneas, incluso en escenarios extremos como el de cese deliberado de operaciones o quiebra. En circunstancias actuales, existe de hecho un perverso incentivo, pues la aerolínea que sabe que va a incumplir el contrato, distrae sus responsabilidades en las agencias de viajes, cuando resulta evidente que ellas no tienen control ni dominio alguno sobre la operación de sus aeronaves o el cumplimiento de las obligaciones del contrato de transporte, y ni siquiera tienen en sus arcas los dineros que pagan los consumidores por los tiquetes en tales escenarios. </w:t>
      </w:r>
    </w:p>
    <w:p w:rsidR="00000000" w:rsidDel="00000000" w:rsidP="00000000" w:rsidRDefault="00000000" w:rsidRPr="00000000" w14:paraId="0000013B">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 </w:t>
      </w:r>
    </w:p>
    <w:p w:rsidR="00000000" w:rsidDel="00000000" w:rsidP="00000000" w:rsidRDefault="00000000" w:rsidRPr="00000000" w14:paraId="0000013C">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Así las cosas, si bien, la intermediación que realizan las agencias de viajes en la prestación de un servicio turístico, tal y como se desprende del artículo 2.2.4.3.1.3 del Decreto 1074 de 2015, las incluye como aquellas que se dedican profesionalmente al ejercicio de actividades turísticas dirigidas a la prestación de servicios, directamente o como intermediarios entre los viajeros y proveedores de los servicio, tambien es cierto que no son las únicas que se encuentran en uno de los extremos de la relación de consumo, en donde comparten responsabilidades </w:t>
      </w:r>
    </w:p>
    <w:p w:rsidR="00000000" w:rsidDel="00000000" w:rsidP="00000000" w:rsidRDefault="00000000" w:rsidRPr="00000000" w14:paraId="0000013D">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3E">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con otros proveedores de servicios turísticos, tales como: aerolíneas, hoteles, compañías de cruceros, compañías de alquiler de autos, entre otros.</w:t>
      </w:r>
    </w:p>
    <w:p w:rsidR="00000000" w:rsidDel="00000000" w:rsidP="00000000" w:rsidRDefault="00000000" w:rsidRPr="00000000" w14:paraId="0000013F">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0">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1">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En ese contexto, la agencia de viajes es la encargada de establecer una relación directa con el comprador en aspectos como la venta del tiquete y la información de aspectos claves del viaje, por lo cual es natural que el usuario acuda a ella cuando encuentra dificultades en la prestación del servicio en sus diversas etapas; sin embargo, su capacidad para responder por todos los factores internos y externos que podrían afectar la prestación de los demás servicios, es lo que se discute y se pretende resolver con la modificación del artículo señalado. </w:t>
      </w:r>
    </w:p>
    <w:p w:rsidR="00000000" w:rsidDel="00000000" w:rsidP="00000000" w:rsidRDefault="00000000" w:rsidRPr="00000000" w14:paraId="00000142">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3">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Las empresas de transporte son consideradas prestadores del servicio de transporte aéreo, lo que significa que están legalmente autorizadas y reguladas para operar vuelos comerciales y transportar personas o bienes por vía aérea. Las empresas de transporte aéreo tienen la responsabilidad de garantizar la seguridad de los vuelos, cumplir con las regulaciones de aviación civil, mantener sus aeronaves en condiciones adecuadas, proporcionar servicios a bordo a los pasajeros, gestionar la logística de carga y descarga, y cumplir con otros aspectos relacionados con la operación de vuelos. Las responsabilidades de las aerolíneas están claramente consagradas en el Código de Comercio y el RAC (Reglamento Aeronáutico Colombiano).</w:t>
      </w:r>
    </w:p>
    <w:p w:rsidR="00000000" w:rsidDel="00000000" w:rsidP="00000000" w:rsidRDefault="00000000" w:rsidRPr="00000000" w14:paraId="00000144">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5">
      <w:pPr>
        <w:spacing w:after="0" w:lineRule="auto"/>
        <w:jc w:val="both"/>
        <w:rPr>
          <w:rFonts w:ascii="Tahoma" w:cs="Tahoma" w:eastAsia="Tahoma" w:hAnsi="Tahoma"/>
          <w:sz w:val="24"/>
          <w:szCs w:val="24"/>
        </w:rPr>
      </w:pPr>
      <w:r w:rsidDel="00000000" w:rsidR="00000000" w:rsidRPr="00000000">
        <w:rPr>
          <w:rFonts w:ascii="Tahoma" w:cs="Tahoma" w:eastAsia="Tahoma" w:hAnsi="Tahoma"/>
          <w:sz w:val="24"/>
          <w:szCs w:val="24"/>
          <w:rtl w:val="0"/>
        </w:rPr>
        <w:t xml:space="preserve">Esta distinción legal es fundamental para definir sus roles y responsabilidades en las relaciones de consumo, por lo cual, el marco legal debe ser coherente con la protección del usuario. Es así como, si bien se reconoce la diferencia en la naturaleza de los prestadores de servicios turísticos y las empresas de transporte aéreo, es esencial garantizar que los usuarios tengan la posibilidad de reclamar ante cualquier eslabón de la cadena de prestación de servicios cuando se sientan afectados, facilitando entonces los mecanismos para que todos los actores de la cadena puedan acudir al proceso para graduar su responsabilidad, resarcir el daño, y proteger al consumidor.</w:t>
      </w:r>
    </w:p>
    <w:p w:rsidR="00000000" w:rsidDel="00000000" w:rsidP="00000000" w:rsidRDefault="00000000" w:rsidRPr="00000000" w14:paraId="00000146">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7">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8">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9">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A">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B">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C">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D">
      <w:pPr>
        <w:spacing w:after="0" w:lineRule="auto"/>
        <w:jc w:val="both"/>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4E">
      <w:pPr>
        <w:spacing w:after="0" w:lineRule="auto"/>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4F">
      <w:pPr>
        <w:spacing w:after="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MODIFICACIÓN PROPUESTA</w:t>
      </w:r>
    </w:p>
    <w:p w:rsidR="00000000" w:rsidDel="00000000" w:rsidP="00000000" w:rsidRDefault="00000000" w:rsidRPr="00000000" w14:paraId="00000150">
      <w:pPr>
        <w:spacing w:after="0" w:lineRule="auto"/>
        <w:jc w:val="center"/>
        <w:rPr>
          <w:rFonts w:ascii="Tahoma" w:cs="Tahoma" w:eastAsia="Tahoma" w:hAnsi="Tahoma"/>
          <w:b w:val="1"/>
          <w:sz w:val="24"/>
          <w:szCs w:val="24"/>
        </w:rPr>
      </w:pPr>
      <w:r w:rsidDel="00000000" w:rsidR="00000000" w:rsidRPr="00000000">
        <w:rPr>
          <w:rtl w:val="0"/>
        </w:rPr>
      </w:r>
    </w:p>
    <w:p w:rsidR="00000000" w:rsidDel="00000000" w:rsidP="00000000" w:rsidRDefault="00000000" w:rsidRPr="00000000" w14:paraId="00000151">
      <w:pPr>
        <w:spacing w:after="0" w:lineRule="auto"/>
        <w:jc w:val="both"/>
        <w:rPr>
          <w:rFonts w:ascii="Tahoma" w:cs="Tahoma" w:eastAsia="Tahoma" w:hAnsi="Tahoma"/>
          <w:i w:val="1"/>
          <w:sz w:val="24"/>
          <w:szCs w:val="24"/>
        </w:rPr>
      </w:pPr>
      <w:r w:rsidDel="00000000" w:rsidR="00000000" w:rsidRPr="00000000">
        <w:rPr>
          <w:rFonts w:ascii="Tahoma" w:cs="Tahoma" w:eastAsia="Tahoma" w:hAnsi="Tahoma"/>
          <w:sz w:val="24"/>
          <w:szCs w:val="24"/>
          <w:rtl w:val="0"/>
        </w:rPr>
        <w:t xml:space="preserve">Modificación a la Ley 1480 de 2011 </w:t>
      </w:r>
      <w:r w:rsidDel="00000000" w:rsidR="00000000" w:rsidRPr="00000000">
        <w:rPr>
          <w:rFonts w:ascii="Tahoma" w:cs="Tahoma" w:eastAsia="Tahoma" w:hAnsi="Tahoma"/>
          <w:i w:val="1"/>
          <w:sz w:val="24"/>
          <w:szCs w:val="24"/>
          <w:rtl w:val="0"/>
        </w:rPr>
        <w:t xml:space="preserve">“Por medio de la cual se expide el Estatuto del Consumidor y se dictan otras disposiciones”.</w:t>
      </w:r>
    </w:p>
    <w:p w:rsidR="00000000" w:rsidDel="00000000" w:rsidP="00000000" w:rsidRDefault="00000000" w:rsidRPr="00000000" w14:paraId="00000152">
      <w:pPr>
        <w:spacing w:after="0" w:lineRule="auto"/>
        <w:jc w:val="both"/>
        <w:rPr>
          <w:rFonts w:ascii="Tahoma" w:cs="Tahoma" w:eastAsia="Tahoma" w:hAnsi="Tahoma"/>
          <w:sz w:val="24"/>
          <w:szCs w:val="24"/>
        </w:rPr>
      </w:pPr>
      <w:r w:rsidDel="00000000" w:rsidR="00000000" w:rsidRPr="00000000">
        <w:rPr>
          <w:rtl w:val="0"/>
        </w:rPr>
      </w:r>
    </w:p>
    <w:tbl>
      <w:tblPr>
        <w:tblStyle w:val="Table5"/>
        <w:tblW w:w="93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3"/>
        <w:gridCol w:w="4683"/>
        <w:tblGridChange w:id="0">
          <w:tblGrid>
            <w:gridCol w:w="4683"/>
            <w:gridCol w:w="4683"/>
          </w:tblGrid>
        </w:tblGridChange>
      </w:tblGrid>
      <w:tr>
        <w:trPr>
          <w:cantSplit w:val="0"/>
          <w:trHeight w:val="386" w:hRule="atLeast"/>
          <w:tblHeader w:val="0"/>
        </w:trPr>
        <w:tc>
          <w:tcPr/>
          <w:p w:rsidR="00000000" w:rsidDel="00000000" w:rsidP="00000000" w:rsidRDefault="00000000" w:rsidRPr="00000000" w14:paraId="00000153">
            <w:pPr>
              <w:jc w:val="center"/>
              <w:rPr>
                <w:rFonts w:ascii="Tahoma" w:cs="Tahoma" w:eastAsia="Tahoma" w:hAnsi="Tahoma"/>
                <w:b w:val="1"/>
                <w:sz w:val="23"/>
                <w:szCs w:val="23"/>
              </w:rPr>
            </w:pPr>
            <w:r w:rsidDel="00000000" w:rsidR="00000000" w:rsidRPr="00000000">
              <w:rPr>
                <w:rFonts w:ascii="Tahoma" w:cs="Tahoma" w:eastAsia="Tahoma" w:hAnsi="Tahoma"/>
                <w:b w:val="1"/>
                <w:sz w:val="23"/>
                <w:szCs w:val="23"/>
                <w:rtl w:val="0"/>
              </w:rPr>
              <w:t xml:space="preserve">NORMA VIGENTE</w:t>
            </w:r>
          </w:p>
        </w:tc>
        <w:tc>
          <w:tcPr/>
          <w:p w:rsidR="00000000" w:rsidDel="00000000" w:rsidP="00000000" w:rsidRDefault="00000000" w:rsidRPr="00000000" w14:paraId="00000154">
            <w:pPr>
              <w:jc w:val="center"/>
              <w:rPr>
                <w:rFonts w:ascii="Tahoma" w:cs="Tahoma" w:eastAsia="Tahoma" w:hAnsi="Tahoma"/>
                <w:b w:val="1"/>
                <w:sz w:val="23"/>
                <w:szCs w:val="23"/>
              </w:rPr>
            </w:pPr>
            <w:r w:rsidDel="00000000" w:rsidR="00000000" w:rsidRPr="00000000">
              <w:rPr>
                <w:rFonts w:ascii="Tahoma" w:cs="Tahoma" w:eastAsia="Tahoma" w:hAnsi="Tahoma"/>
                <w:b w:val="1"/>
                <w:sz w:val="23"/>
                <w:szCs w:val="23"/>
                <w:rtl w:val="0"/>
              </w:rPr>
              <w:t xml:space="preserve">TEXTO PROPUESTO</w:t>
            </w:r>
          </w:p>
        </w:tc>
      </w:tr>
      <w:tr>
        <w:trPr>
          <w:cantSplit w:val="0"/>
          <w:trHeight w:val="7490" w:hRule="atLeast"/>
          <w:tblHeader w:val="0"/>
        </w:trPr>
        <w:tc>
          <w:tcPr/>
          <w:p w:rsidR="00000000" w:rsidDel="00000000" w:rsidP="00000000" w:rsidRDefault="00000000" w:rsidRPr="00000000" w14:paraId="00000155">
            <w:pPr>
              <w:jc w:val="both"/>
              <w:rPr>
                <w:rFonts w:ascii="Tahoma" w:cs="Tahoma" w:eastAsia="Tahoma" w:hAnsi="Tahoma"/>
                <w:color w:val="333333"/>
                <w:sz w:val="23"/>
                <w:szCs w:val="23"/>
                <w:highlight w:val="white"/>
              </w:rPr>
            </w:pPr>
            <w:r w:rsidDel="00000000" w:rsidR="00000000" w:rsidRPr="00000000">
              <w:rPr>
                <w:rFonts w:ascii="Tahoma" w:cs="Tahoma" w:eastAsia="Tahoma" w:hAnsi="Tahoma"/>
                <w:b w:val="1"/>
                <w:sz w:val="23"/>
                <w:szCs w:val="23"/>
                <w:rtl w:val="0"/>
              </w:rPr>
              <w:t xml:space="preserve">Artículo 58.</w:t>
            </w:r>
            <w:r w:rsidDel="00000000" w:rsidR="00000000" w:rsidRPr="00000000">
              <w:rPr>
                <w:rFonts w:ascii="Tahoma" w:cs="Tahoma" w:eastAsia="Tahoma" w:hAnsi="Tahoma"/>
                <w:sz w:val="23"/>
                <w:szCs w:val="23"/>
                <w:rtl w:val="0"/>
              </w:rPr>
              <w:t xml:space="preserve"> </w:t>
            </w:r>
            <w:r w:rsidDel="00000000" w:rsidR="00000000" w:rsidRPr="00000000">
              <w:rPr>
                <w:rFonts w:ascii="Tahoma" w:cs="Tahoma" w:eastAsia="Tahoma" w:hAnsi="Tahoma"/>
                <w:b w:val="1"/>
                <w:sz w:val="23"/>
                <w:szCs w:val="23"/>
                <w:rtl w:val="0"/>
              </w:rPr>
              <w:t xml:space="preserve">PROCEDIMIENTO. </w:t>
            </w:r>
            <w:r w:rsidDel="00000000" w:rsidR="00000000" w:rsidRPr="00000000">
              <w:rPr>
                <w:rFonts w:ascii="Tahoma" w:cs="Tahoma" w:eastAsia="Tahoma" w:hAnsi="Tahoma"/>
                <w:color w:val="333333"/>
                <w:sz w:val="23"/>
                <w:szCs w:val="23"/>
                <w:highlight w:val="white"/>
                <w:rtl w:val="0"/>
              </w:rPr>
              <w:t xml:space="preserve">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verbal sumario, con observancia de las siguientes reglas especiales: </w:t>
            </w:r>
          </w:p>
          <w:p w:rsidR="00000000" w:rsidDel="00000000" w:rsidP="00000000" w:rsidRDefault="00000000" w:rsidRPr="00000000" w14:paraId="00000156">
            <w:pPr>
              <w:jc w:val="both"/>
              <w:rPr>
                <w:rFonts w:ascii="Tahoma" w:cs="Tahoma" w:eastAsia="Tahoma" w:hAnsi="Tahoma"/>
                <w:color w:val="333333"/>
                <w:sz w:val="23"/>
                <w:szCs w:val="23"/>
                <w:highlight w:val="white"/>
              </w:rPr>
            </w:pPr>
            <w:r w:rsidDel="00000000" w:rsidR="00000000" w:rsidRPr="00000000">
              <w:rPr>
                <w:rtl w:val="0"/>
              </w:rPr>
            </w:r>
          </w:p>
          <w:p w:rsidR="00000000" w:rsidDel="00000000" w:rsidP="00000000" w:rsidRDefault="00000000" w:rsidRPr="00000000" w14:paraId="00000157">
            <w:pPr>
              <w:jc w:val="both"/>
              <w:rPr>
                <w:rFonts w:ascii="Tahoma" w:cs="Tahoma" w:eastAsia="Tahoma" w:hAnsi="Tahoma"/>
                <w:color w:val="333333"/>
                <w:sz w:val="23"/>
                <w:szCs w:val="23"/>
                <w:highlight w:val="white"/>
              </w:rPr>
            </w:pPr>
            <w:r w:rsidDel="00000000" w:rsidR="00000000" w:rsidRPr="00000000">
              <w:rPr>
                <w:rFonts w:ascii="Tahoma" w:cs="Tahoma" w:eastAsia="Tahoma" w:hAnsi="Tahoma"/>
                <w:color w:val="333333"/>
                <w:sz w:val="23"/>
                <w:szCs w:val="23"/>
                <w:highlight w:val="white"/>
                <w:rtl w:val="0"/>
              </w:rPr>
              <w:t xml:space="preserve">(…)</w:t>
            </w:r>
          </w:p>
          <w:p w:rsidR="00000000" w:rsidDel="00000000" w:rsidP="00000000" w:rsidRDefault="00000000" w:rsidRPr="00000000" w14:paraId="00000158">
            <w:pPr>
              <w:jc w:val="both"/>
              <w:rPr>
                <w:rFonts w:ascii="Tahoma" w:cs="Tahoma" w:eastAsia="Tahoma" w:hAnsi="Tahoma"/>
                <w:sz w:val="23"/>
                <w:szCs w:val="23"/>
              </w:rPr>
            </w:pPr>
            <w:r w:rsidDel="00000000" w:rsidR="00000000" w:rsidRPr="00000000">
              <w:rPr>
                <w:rFonts w:ascii="Tahoma" w:cs="Tahoma" w:eastAsia="Tahoma" w:hAnsi="Tahoma"/>
                <w:b w:val="1"/>
                <w:sz w:val="23"/>
                <w:szCs w:val="23"/>
                <w:rtl w:val="0"/>
              </w:rPr>
              <w:t xml:space="preserve">PARÁGRAFO.</w:t>
            </w:r>
            <w:r w:rsidDel="00000000" w:rsidR="00000000" w:rsidRPr="00000000">
              <w:rPr>
                <w:rFonts w:ascii="Tahoma" w:cs="Tahoma" w:eastAsia="Tahoma" w:hAnsi="Tahoma"/>
                <w:sz w:val="23"/>
                <w:szCs w:val="23"/>
                <w:rtl w:val="0"/>
              </w:rPr>
              <w:t xml:space="preserve"> Para efectos de lo previsto en el presente artículo, la Superintendencia Financiera de Colombia tendrá competencia exclusiva respecto de los asuntos a los que se refiere el artículo </w:t>
            </w:r>
            <w:hyperlink r:id="rId7">
              <w:r w:rsidDel="00000000" w:rsidR="00000000" w:rsidRPr="00000000">
                <w:rPr>
                  <w:rFonts w:ascii="Tahoma" w:cs="Tahoma" w:eastAsia="Tahoma" w:hAnsi="Tahoma"/>
                  <w:sz w:val="23"/>
                  <w:szCs w:val="23"/>
                  <w:u w:val="single"/>
                  <w:rtl w:val="0"/>
                </w:rPr>
                <w:t xml:space="preserve">57</w:t>
              </w:r>
            </w:hyperlink>
            <w:r w:rsidDel="00000000" w:rsidR="00000000" w:rsidRPr="00000000">
              <w:rPr>
                <w:rFonts w:ascii="Tahoma" w:cs="Tahoma" w:eastAsia="Tahoma" w:hAnsi="Tahoma"/>
                <w:sz w:val="23"/>
                <w:szCs w:val="23"/>
                <w:rtl w:val="0"/>
              </w:rPr>
              <w:t xml:space="preserve"> de esta ley.</w:t>
            </w:r>
          </w:p>
          <w:p w:rsidR="00000000" w:rsidDel="00000000" w:rsidP="00000000" w:rsidRDefault="00000000" w:rsidRPr="00000000" w14:paraId="00000159">
            <w:pPr>
              <w:jc w:val="both"/>
              <w:rPr>
                <w:rFonts w:ascii="Tahoma" w:cs="Tahoma" w:eastAsia="Tahoma" w:hAnsi="Tahoma"/>
                <w:sz w:val="23"/>
                <w:szCs w:val="23"/>
              </w:rPr>
            </w:pPr>
            <w:r w:rsidDel="00000000" w:rsidR="00000000" w:rsidRPr="00000000">
              <w:rPr>
                <w:rtl w:val="0"/>
              </w:rPr>
            </w:r>
          </w:p>
          <w:p w:rsidR="00000000" w:rsidDel="00000000" w:rsidP="00000000" w:rsidRDefault="00000000" w:rsidRPr="00000000" w14:paraId="0000015A">
            <w:pPr>
              <w:jc w:val="both"/>
              <w:rPr>
                <w:rFonts w:ascii="Tahoma" w:cs="Tahoma" w:eastAsia="Tahoma" w:hAnsi="Tahoma"/>
                <w:b w:val="1"/>
                <w:sz w:val="23"/>
                <w:szCs w:val="23"/>
              </w:rPr>
            </w:pPr>
            <w:r w:rsidDel="00000000" w:rsidR="00000000" w:rsidRPr="00000000">
              <w:rPr>
                <w:rtl w:val="0"/>
              </w:rPr>
            </w:r>
          </w:p>
        </w:tc>
        <w:tc>
          <w:tcPr/>
          <w:p w:rsidR="00000000" w:rsidDel="00000000" w:rsidP="00000000" w:rsidRDefault="00000000" w:rsidRPr="00000000" w14:paraId="0000015B">
            <w:pPr>
              <w:jc w:val="both"/>
              <w:rPr>
                <w:rFonts w:ascii="Tahoma" w:cs="Tahoma" w:eastAsia="Tahoma" w:hAnsi="Tahoma"/>
                <w:sz w:val="23"/>
                <w:szCs w:val="23"/>
              </w:rPr>
            </w:pPr>
            <w:r w:rsidDel="00000000" w:rsidR="00000000" w:rsidRPr="00000000">
              <w:rPr>
                <w:rFonts w:ascii="Tahoma" w:cs="Tahoma" w:eastAsia="Tahoma" w:hAnsi="Tahoma"/>
                <w:b w:val="1"/>
                <w:sz w:val="23"/>
                <w:szCs w:val="23"/>
                <w:rtl w:val="0"/>
              </w:rPr>
              <w:t xml:space="preserve">ARTÍCULO ÚNICO</w:t>
            </w:r>
            <w:r w:rsidDel="00000000" w:rsidR="00000000" w:rsidRPr="00000000">
              <w:rPr>
                <w:rFonts w:ascii="Tahoma" w:cs="Tahoma" w:eastAsia="Tahoma" w:hAnsi="Tahoma"/>
                <w:sz w:val="23"/>
                <w:szCs w:val="23"/>
                <w:rtl w:val="0"/>
              </w:rPr>
              <w:t xml:space="preserve">. Adiciónese el parágrafo 2 al artículo 58 de la Ley 1480 de 2011 en el siguiente sentido. </w:t>
            </w:r>
          </w:p>
          <w:p w:rsidR="00000000" w:rsidDel="00000000" w:rsidP="00000000" w:rsidRDefault="00000000" w:rsidRPr="00000000" w14:paraId="0000015C">
            <w:pPr>
              <w:jc w:val="both"/>
              <w:rPr>
                <w:rFonts w:ascii="Tahoma" w:cs="Tahoma" w:eastAsia="Tahoma" w:hAnsi="Tahoma"/>
                <w:sz w:val="23"/>
                <w:szCs w:val="23"/>
              </w:rPr>
            </w:pPr>
            <w:bookmarkStart w:colFirst="0" w:colLast="0" w:name="_heading=h.gjdgxs" w:id="0"/>
            <w:bookmarkEnd w:id="0"/>
            <w:r w:rsidDel="00000000" w:rsidR="00000000" w:rsidRPr="00000000">
              <w:rPr>
                <w:rtl w:val="0"/>
              </w:rPr>
            </w:r>
          </w:p>
          <w:p w:rsidR="00000000" w:rsidDel="00000000" w:rsidP="00000000" w:rsidRDefault="00000000" w:rsidRPr="00000000" w14:paraId="0000015D">
            <w:pPr>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PARÁGRAFO 2. En las acciones de protección del consumidor se deberá, si a ello hay lugar, realizar el llamamiento de garantía en los mismos términos previstos en el artículo 64 de la Ley 1564 de 2012 o normas que la modifiquen, sustituyan o adicionen. El llamamiento en garantía procederá de oficio o a petición de parte.</w:t>
            </w:r>
          </w:p>
          <w:p w:rsidR="00000000" w:rsidDel="00000000" w:rsidP="00000000" w:rsidRDefault="00000000" w:rsidRPr="00000000" w14:paraId="0000015E">
            <w:pPr>
              <w:jc w:val="both"/>
              <w:rPr>
                <w:rFonts w:ascii="Tahoma" w:cs="Tahoma" w:eastAsia="Tahoma" w:hAnsi="Tahoma"/>
                <w:sz w:val="23"/>
                <w:szCs w:val="23"/>
              </w:rPr>
            </w:pPr>
            <w:r w:rsidDel="00000000" w:rsidR="00000000" w:rsidRPr="00000000">
              <w:rPr>
                <w:rtl w:val="0"/>
              </w:rPr>
            </w:r>
          </w:p>
          <w:p w:rsidR="00000000" w:rsidDel="00000000" w:rsidP="00000000" w:rsidRDefault="00000000" w:rsidRPr="00000000" w14:paraId="0000015F">
            <w:pPr>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La demanda por medio de la cual se llame en garantía deberá cumplir con los mismos requisitos exigidos en el presente artículo. Si se halla procedente el llamamiento, se ordenará notificar personalmente al convocado y correrle traslado del escrito por el término de la demanda inicial. Si la notificación no se logra dentro del mes siguiente, el llamamiento será ineficaz.</w:t>
            </w:r>
          </w:p>
          <w:p w:rsidR="00000000" w:rsidDel="00000000" w:rsidP="00000000" w:rsidRDefault="00000000" w:rsidRPr="00000000" w14:paraId="00000160">
            <w:pPr>
              <w:jc w:val="both"/>
              <w:rPr>
                <w:rFonts w:ascii="Tahoma" w:cs="Tahoma" w:eastAsia="Tahoma" w:hAnsi="Tahoma"/>
                <w:sz w:val="23"/>
                <w:szCs w:val="23"/>
              </w:rPr>
            </w:pPr>
            <w:r w:rsidDel="00000000" w:rsidR="00000000" w:rsidRPr="00000000">
              <w:rPr>
                <w:rtl w:val="0"/>
              </w:rPr>
            </w:r>
          </w:p>
          <w:p w:rsidR="00000000" w:rsidDel="00000000" w:rsidP="00000000" w:rsidRDefault="00000000" w:rsidRPr="00000000" w14:paraId="00000161">
            <w:pPr>
              <w:jc w:val="both"/>
              <w:rPr>
                <w:rFonts w:ascii="Tahoma" w:cs="Tahoma" w:eastAsia="Tahoma" w:hAnsi="Tahoma"/>
                <w:sz w:val="23"/>
                <w:szCs w:val="23"/>
              </w:rPr>
            </w:pPr>
            <w:r w:rsidDel="00000000" w:rsidR="00000000" w:rsidRPr="00000000">
              <w:rPr>
                <w:rFonts w:ascii="Tahoma" w:cs="Tahoma" w:eastAsia="Tahoma" w:hAnsi="Tahoma"/>
                <w:sz w:val="23"/>
                <w:szCs w:val="23"/>
                <w:rtl w:val="0"/>
              </w:rPr>
              <w:t xml:space="preserve">El llamado en garantía podrá contestar en la demanda y el llamamiento en un solo escrito, solicitando las pruebas que pretenda hacer valer.</w:t>
            </w:r>
          </w:p>
          <w:p w:rsidR="00000000" w:rsidDel="00000000" w:rsidP="00000000" w:rsidRDefault="00000000" w:rsidRPr="00000000" w14:paraId="00000162">
            <w:pPr>
              <w:jc w:val="both"/>
              <w:rPr>
                <w:rFonts w:ascii="Tahoma" w:cs="Tahoma" w:eastAsia="Tahoma" w:hAnsi="Tahoma"/>
                <w:sz w:val="23"/>
                <w:szCs w:val="23"/>
              </w:rPr>
            </w:pPr>
            <w:r w:rsidDel="00000000" w:rsidR="00000000" w:rsidRPr="00000000">
              <w:rPr>
                <w:rtl w:val="0"/>
              </w:rPr>
            </w:r>
          </w:p>
          <w:p w:rsidR="00000000" w:rsidDel="00000000" w:rsidP="00000000" w:rsidRDefault="00000000" w:rsidRPr="00000000" w14:paraId="00000163">
            <w:pPr>
              <w:jc w:val="both"/>
              <w:rPr>
                <w:rFonts w:ascii="Tahoma" w:cs="Tahoma" w:eastAsia="Tahoma" w:hAnsi="Tahoma"/>
                <w:b w:val="0"/>
                <w:i w:val="0"/>
                <w:smallCaps w:val="0"/>
                <w:strike w:val="0"/>
                <w:color w:val="000000"/>
                <w:sz w:val="23"/>
                <w:szCs w:val="23"/>
                <w:u w:val="none"/>
                <w:shd w:fill="auto" w:val="clear"/>
                <w:vertAlign w:val="baseline"/>
              </w:rPr>
            </w:pPr>
            <w:r w:rsidDel="00000000" w:rsidR="00000000" w:rsidRPr="00000000">
              <w:rPr>
                <w:rFonts w:ascii="Tahoma" w:cs="Tahoma" w:eastAsia="Tahoma" w:hAnsi="Tahoma"/>
                <w:sz w:val="23"/>
                <w:szCs w:val="23"/>
                <w:rtl w:val="0"/>
              </w:rPr>
              <w:t xml:space="preserve">En la sentencia se resolverá la relación sustancial aducida y emitirá pronunciamiento sobre las indemnizaciones o restituciones a cargo del llamado en garantía. No será necesario notificar personalmente el auto que admite el llamamiento cuando el llamado actúe en el proceso como parte o como representante de alguna de las partes.</w:t>
            </w:r>
            <w:r w:rsidDel="00000000" w:rsidR="00000000" w:rsidRPr="00000000">
              <w:rPr>
                <w:rtl w:val="0"/>
              </w:rPr>
            </w:r>
          </w:p>
        </w:tc>
      </w:tr>
    </w:tbl>
    <w:p w:rsidR="00000000" w:rsidDel="00000000" w:rsidP="00000000" w:rsidRDefault="00000000" w:rsidRPr="00000000" w14:paraId="00000164">
      <w:pPr>
        <w:spacing w:after="240" w:before="240" w:line="276" w:lineRule="auto"/>
        <w:ind w:left="720" w:firstLine="0"/>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CONFLICTOS DE INTERÉS</w:t>
      </w:r>
    </w:p>
    <w:p w:rsidR="00000000" w:rsidDel="00000000" w:rsidP="00000000" w:rsidRDefault="00000000" w:rsidRPr="00000000" w14:paraId="00000165">
      <w:pPr>
        <w:spacing w:after="240" w:before="24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Dando cumplimiento a lo establecido en el artículo 3 de la Ley 2003 del 19 de noviembre de 2019, por la cual se modifica parcialmente la Ley 5 de 1992, se hacen las siguientes consideraciones:</w:t>
      </w:r>
    </w:p>
    <w:p w:rsidR="00000000" w:rsidDel="00000000" w:rsidP="00000000" w:rsidRDefault="00000000" w:rsidRPr="00000000" w14:paraId="0000016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estima que de la discusión y aprobación del presente Proyecto de Ley no podría generar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p>
    <w:p w:rsidR="00000000" w:rsidDel="00000000" w:rsidP="00000000" w:rsidRDefault="00000000" w:rsidRPr="00000000" w14:paraId="00000167">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widowControl w:val="0"/>
        <w:tabs>
          <w:tab w:val="left" w:leader="none" w:pos="1659"/>
          <w:tab w:val="left" w:leader="none" w:pos="1660"/>
        </w:tabs>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el Consejo de Estado en Sentencia proferida el 10 de noviembre de 2009, hace las siguientes precisiones al referirse a los elementos que deben concurrir para que se configure la violación al régimen de conflicto de intereses como causal de pérdida de investidura:</w:t>
      </w:r>
    </w:p>
    <w:p w:rsidR="00000000" w:rsidDel="00000000" w:rsidP="00000000" w:rsidRDefault="00000000" w:rsidRPr="00000000" w14:paraId="00000169">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spacing w:after="0" w:line="276"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16C">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igual forma, es pertinente señalar lo que la Ley 5 de 1992 dispone sobre la materia en el artículo 286, modificado por el artículo 1 de la Ley 2003 de 2019:</w:t>
      </w:r>
    </w:p>
    <w:p w:rsidR="00000000" w:rsidDel="00000000" w:rsidP="00000000" w:rsidRDefault="00000000" w:rsidRPr="00000000" w14:paraId="0000016E">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F">
      <w:pPr>
        <w:spacing w:after="0" w:line="276"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170">
      <w:pPr>
        <w:spacing w:after="0" w:line="276" w:lineRule="auto"/>
        <w:ind w:left="720"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71">
      <w:pPr>
        <w:spacing w:after="0" w:line="276"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72">
      <w:pPr>
        <w:spacing w:after="0" w:line="276" w:lineRule="auto"/>
        <w:ind w:left="720"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73">
      <w:pPr>
        <w:spacing w:after="0" w:line="276" w:lineRule="auto"/>
        <w:ind w:left="720"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174">
      <w:pPr>
        <w:spacing w:after="0" w:line="276" w:lineRule="auto"/>
        <w:ind w:left="720" w:firstLine="0"/>
        <w:jc w:val="both"/>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175">
      <w:pPr>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176">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000000" w:rsidDel="00000000" w:rsidP="00000000" w:rsidRDefault="00000000" w:rsidRPr="00000000" w14:paraId="00000178">
      <w:pPr>
        <w:spacing w:after="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79">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IMPACTO FISCAL </w:t>
      </w:r>
    </w:p>
    <w:p w:rsidR="00000000" w:rsidDel="00000000" w:rsidP="00000000" w:rsidRDefault="00000000" w:rsidRPr="00000000" w14:paraId="0000017A">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B">
      <w:pPr>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Dando cumpliendo con lo estipulado en el artículo 7 de la Ley 819 de 2003 </w:t>
      </w:r>
      <w:r w:rsidDel="00000000" w:rsidR="00000000" w:rsidRPr="00000000">
        <w:rPr>
          <w:rFonts w:ascii="Arial" w:cs="Arial" w:eastAsia="Arial" w:hAnsi="Arial"/>
          <w:i w:val="1"/>
          <w:sz w:val="24"/>
          <w:szCs w:val="24"/>
          <w:rtl w:val="0"/>
        </w:rPr>
        <w:t xml:space="preserve">“Por la cual se dictan normas </w:t>
      </w:r>
      <w:r w:rsidDel="00000000" w:rsidR="00000000" w:rsidRPr="00000000">
        <w:rPr>
          <w:rFonts w:ascii="Arial" w:cs="Arial" w:eastAsia="Arial" w:hAnsi="Arial"/>
          <w:i w:val="1"/>
          <w:sz w:val="24"/>
          <w:szCs w:val="24"/>
          <w:highlight w:val="white"/>
          <w:rtl w:val="0"/>
        </w:rPr>
        <w:t xml:space="preserve">orgánicas en materia de presupuesto, responsabilidad y transparencia fiscal y se dictan otras disposiciones”, </w:t>
      </w:r>
      <w:r w:rsidDel="00000000" w:rsidR="00000000" w:rsidRPr="00000000">
        <w:rPr>
          <w:rFonts w:ascii="Arial" w:cs="Arial" w:eastAsia="Arial" w:hAnsi="Arial"/>
          <w:sz w:val="24"/>
          <w:szCs w:val="24"/>
          <w:highlight w:val="white"/>
          <w:rtl w:val="0"/>
        </w:rPr>
        <w:t xml:space="preserve">se incorpora el presente acápite, manifestando que</w:t>
      </w:r>
      <w:r w:rsidDel="00000000" w:rsidR="00000000" w:rsidRPr="00000000">
        <w:rPr>
          <w:rFonts w:ascii="Arial" w:cs="Arial" w:eastAsia="Arial" w:hAnsi="Arial"/>
          <w:i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este Proyecto de Ley no ordena gasto público, ni  otorga beneficios tributarios, toda vez que, pretende  adicionar un </w:t>
      </w:r>
      <w:r w:rsidDel="00000000" w:rsidR="00000000" w:rsidRPr="00000000">
        <w:rPr>
          <w:rFonts w:ascii="Tahoma" w:cs="Tahoma" w:eastAsia="Tahoma" w:hAnsi="Tahoma"/>
          <w:sz w:val="24"/>
          <w:szCs w:val="24"/>
          <w:highlight w:val="white"/>
          <w:rtl w:val="0"/>
        </w:rPr>
        <w:t xml:space="preserve"> parágrafo al artículo 58 de la Ley 1480 de 2011, estableciendo las reglas aplicables para el uso del llamamiento en garantía en los procesos de responsabilidad objetiva en los que es competente la Superintendencia de Industria y Comercio</w:t>
      </w:r>
      <w:r w:rsidDel="00000000" w:rsidR="00000000" w:rsidRPr="00000000">
        <w:rPr>
          <w:rFonts w:ascii="Arial" w:cs="Arial" w:eastAsia="Arial" w:hAnsi="Arial"/>
          <w:sz w:val="24"/>
          <w:szCs w:val="24"/>
          <w:highlight w:val="white"/>
          <w:rtl w:val="0"/>
        </w:rPr>
        <w:t xml:space="preserve">, por lo tanto no genera impacto fiscal.</w:t>
      </w:r>
    </w:p>
    <w:p w:rsidR="00000000" w:rsidDel="00000000" w:rsidP="00000000" w:rsidRDefault="00000000" w:rsidRPr="00000000" w14:paraId="0000017C">
      <w:pPr>
        <w:spacing w:after="0"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7D">
      <w:pPr>
        <w:spacing w:after="0" w:lineRule="auto"/>
        <w:jc w:val="both"/>
        <w:rPr>
          <w:rFonts w:ascii="Tahoma" w:cs="Tahoma" w:eastAsia="Tahoma" w:hAnsi="Tahoma"/>
          <w:sz w:val="24"/>
          <w:szCs w:val="24"/>
        </w:rPr>
      </w:pPr>
      <w:r w:rsidDel="00000000" w:rsidR="00000000" w:rsidRPr="00000000">
        <w:rPr>
          <w:rtl w:val="0"/>
        </w:rPr>
      </w:r>
    </w:p>
    <w:tbl>
      <w:tblPr>
        <w:tblStyle w:val="Table6"/>
        <w:tblW w:w="88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9"/>
        <w:gridCol w:w="4419"/>
        <w:tblGridChange w:id="0">
          <w:tblGrid>
            <w:gridCol w:w="4419"/>
            <w:gridCol w:w="441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after="0" w:line="240" w:lineRule="auto"/>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7F">
            <w:pPr>
              <w:widowControl w:val="0"/>
              <w:spacing w:after="0" w:line="240" w:lineRule="auto"/>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80">
            <w:pPr>
              <w:tabs>
                <w:tab w:val="right" w:leader="none" w:pos="8838"/>
              </w:tabs>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PIEDAD CORREAL RUBIANO</w:t>
            </w:r>
          </w:p>
          <w:p w:rsidR="00000000" w:rsidDel="00000000" w:rsidP="00000000" w:rsidRDefault="00000000" w:rsidRPr="00000000" w14:paraId="00000181">
            <w:pPr>
              <w:tabs>
                <w:tab w:val="right" w:leader="none" w:pos="8838"/>
              </w:tabs>
              <w:spacing w:after="0" w:line="240" w:lineRule="auto"/>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Representante a la Cámara por Quindío</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83">
            <w:pPr>
              <w:widowControl w:val="0"/>
              <w:spacing w:after="0" w:line="240" w:lineRule="auto"/>
              <w:jc w:val="center"/>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184">
            <w:pPr>
              <w:widowControl w:val="0"/>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MARÍA DEL MAR PIZARRO</w:t>
            </w:r>
          </w:p>
          <w:p w:rsidR="00000000" w:rsidDel="00000000" w:rsidP="00000000" w:rsidRDefault="00000000" w:rsidRPr="00000000" w14:paraId="00000185">
            <w:pPr>
              <w:tabs>
                <w:tab w:val="right" w:leader="none" w:pos="8838"/>
              </w:tabs>
              <w:spacing w:after="0" w:line="240" w:lineRule="auto"/>
              <w:jc w:val="center"/>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Representante a la Cámara por Bogotá </w:t>
            </w:r>
            <w:r w:rsidDel="00000000" w:rsidR="00000000" w:rsidRPr="00000000">
              <w:rPr>
                <w:rtl w:val="0"/>
              </w:rPr>
            </w:r>
          </w:p>
        </w:tc>
      </w:tr>
    </w:tbl>
    <w:p w:rsidR="00000000" w:rsidDel="00000000" w:rsidP="00000000" w:rsidRDefault="00000000" w:rsidRPr="00000000" w14:paraId="00000186">
      <w:pPr>
        <w:spacing w:after="0" w:lineRule="auto"/>
        <w:rPr>
          <w:rFonts w:ascii="Tahoma" w:cs="Tahoma" w:eastAsia="Tahoma" w:hAnsi="Tahoma"/>
          <w:sz w:val="24"/>
          <w:szCs w:val="24"/>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292830</wp:posOffset>
          </wp:positionH>
          <wp:positionV relativeFrom="paragraph">
            <wp:posOffset>-182241</wp:posOffset>
          </wp:positionV>
          <wp:extent cx="4604718" cy="899000"/>
          <wp:effectExtent b="0" l="0" r="0" t="0"/>
          <wp:wrapNone/>
          <wp:docPr id="2" name="image1.jpg"/>
          <a:graphic>
            <a:graphicData uri="http://schemas.openxmlformats.org/drawingml/2006/picture">
              <pic:pic>
                <pic:nvPicPr>
                  <pic:cNvPr id="0" name="image1.jpg"/>
                  <pic:cNvPicPr preferRelativeResize="0"/>
                </pic:nvPicPr>
                <pic:blipFill>
                  <a:blip r:embed="rId1"/>
                  <a:srcRect b="40765" l="0" r="0" t="39600"/>
                  <a:stretch>
                    <a:fillRect/>
                  </a:stretch>
                </pic:blipFill>
                <pic:spPr>
                  <a:xfrm>
                    <a:off x="0" y="0"/>
                    <a:ext cx="4604718" cy="899000"/>
                  </a:xfrm>
                  <a:prstGeom prst="rect"/>
                  <a:ln/>
                </pic:spPr>
              </pic:pic>
            </a:graphicData>
          </a:graphic>
        </wp:anchor>
      </w:drawing>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65" w:hanging="705"/>
      </w:pPr>
      <w:rPr>
        <w:rFonts w:ascii="Tahoma" w:cs="Tahoma" w:eastAsia="Tahoma" w:hAnsi="Tahom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3">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1"/>
    <w:qFormat w:val="1"/>
    <w:rsid w:val="00766E2C"/>
    <w:pPr>
      <w:ind w:left="720"/>
      <w:contextualSpacing w:val="1"/>
    </w:pPr>
  </w:style>
  <w:style w:type="table" w:styleId="Tablaconcuadrcula">
    <w:name w:val="Table Grid"/>
    <w:basedOn w:val="Tablanormal"/>
    <w:uiPriority w:val="39"/>
    <w:rsid w:val="00766E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453343"/>
    <w:pPr>
      <w:spacing w:after="100" w:afterAutospacing="1" w:before="100" w:beforeAutospacing="1" w:line="240" w:lineRule="auto"/>
    </w:pPr>
    <w:rPr>
      <w:rFonts w:ascii="Times New Roman" w:cs="Times New Roman" w:eastAsia="Times New Roman" w:hAnsi="Times New Roman"/>
      <w:kern w:val="0"/>
      <w:sz w:val="24"/>
      <w:szCs w:val="24"/>
      <w:lang w:eastAsia="es-CO"/>
    </w:rPr>
  </w:style>
  <w:style w:type="character" w:styleId="Hipervnculo">
    <w:name w:val="Hyperlink"/>
    <w:basedOn w:val="Fuentedeprrafopredeter"/>
    <w:uiPriority w:val="99"/>
    <w:semiHidden w:val="1"/>
    <w:unhideWhenUsed w:val="1"/>
    <w:rsid w:val="00453343"/>
    <w:rPr>
      <w:color w:val="0000ff"/>
      <w:u w:val="single"/>
    </w:rPr>
  </w:style>
  <w:style w:type="character" w:styleId="baj" w:customStyle="1">
    <w:name w:val="b_aj"/>
    <w:basedOn w:val="Fuentedeprrafopredeter"/>
    <w:rsid w:val="00453343"/>
  </w:style>
  <w:style w:type="paragraph" w:styleId="Textoindependiente">
    <w:name w:val="Body Text"/>
    <w:basedOn w:val="Normal"/>
    <w:link w:val="TextoindependienteCar"/>
    <w:uiPriority w:val="99"/>
    <w:semiHidden w:val="1"/>
    <w:unhideWhenUsed w:val="1"/>
    <w:rsid w:val="007A1EAC"/>
    <w:pPr>
      <w:spacing w:after="120" w:line="240" w:lineRule="auto"/>
    </w:pPr>
    <w:rPr>
      <w:rFonts w:ascii="Times New Roman" w:cs="Times New Roman" w:eastAsia="Times New Roman" w:hAnsi="Times New Roman"/>
      <w:kern w:val="0"/>
      <w:sz w:val="24"/>
      <w:szCs w:val="24"/>
      <w:lang w:eastAsia="es-ES" w:val="es-ES"/>
    </w:rPr>
  </w:style>
  <w:style w:type="character" w:styleId="TextoindependienteCar" w:customStyle="1">
    <w:name w:val="Texto independiente Car"/>
    <w:basedOn w:val="Fuentedeprrafopredeter"/>
    <w:link w:val="Textoindependiente"/>
    <w:uiPriority w:val="99"/>
    <w:semiHidden w:val="1"/>
    <w:rsid w:val="007A1EAC"/>
    <w:rPr>
      <w:rFonts w:ascii="Times New Roman" w:cs="Times New Roman" w:eastAsia="Times New Roman" w:hAnsi="Times New Roman"/>
      <w:kern w:val="0"/>
      <w:sz w:val="24"/>
      <w:szCs w:val="24"/>
      <w:lang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ecretariasenado.gov.co/senado/basedoc/ley_1480_2011_pr001.html#57"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h6NofhLt8QvLqu8s+7qP1wxEYg==">CgMxLjAyCGguZ2pkZ3hzOAByITE2TE1KSHZkc201OURYOEVnWG1QT2dYZ0M0X3VPTXpJdA==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2023-09-25T22:20:00Z</dcterms:created>
  <dc:creator>Mayra Constanza Guerra Ramirez</dc:creator>
</cp:coreProperties>
</file>