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ind w:left="0" w:hanging="2"/>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PROYECTO DE LEY No ____ DE 2023 CÁMARA</w:t>
      </w:r>
    </w:p>
    <w:p w:rsidR="00000000" w:rsidDel="00000000" w:rsidP="00000000" w:rsidRDefault="00000000" w:rsidRPr="00000000" w14:paraId="00000002">
      <w:pPr>
        <w:spacing w:after="0" w:line="240" w:lineRule="auto"/>
        <w:ind w:left="0" w:hanging="2"/>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03">
      <w:pPr>
        <w:spacing w:after="0" w:line="240" w:lineRule="auto"/>
        <w:ind w:left="0" w:hanging="2"/>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 “POR MEDIO DE LA CUAL SE DECLARA PATRIMONIO CULTURAL INMATERIAL DE LA NACIÓN A LAS PRÁCTICAS Y HABILIDADES ARTESANALES DE LA SUBREGIÓN DE LA DEPRESIÓN MOMPOSINA BOLIVARENSE Y SE DICTAN OTRAS DISPOSICIONES.”</w:t>
      </w:r>
    </w:p>
    <w:p w:rsidR="00000000" w:rsidDel="00000000" w:rsidP="00000000" w:rsidRDefault="00000000" w:rsidRPr="00000000" w14:paraId="00000004">
      <w:pPr>
        <w:spacing w:after="0" w:line="240" w:lineRule="auto"/>
        <w:ind w:left="0" w:hanging="2"/>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05">
      <w:pPr>
        <w:spacing w:after="0" w:line="240" w:lineRule="auto"/>
        <w:ind w:left="0" w:hanging="2"/>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El Congreso de Colombia, </w:t>
      </w:r>
    </w:p>
    <w:p w:rsidR="00000000" w:rsidDel="00000000" w:rsidP="00000000" w:rsidRDefault="00000000" w:rsidRPr="00000000" w14:paraId="00000006">
      <w:pPr>
        <w:spacing w:after="0" w:line="240" w:lineRule="auto"/>
        <w:ind w:left="0" w:hanging="2"/>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07">
      <w:pPr>
        <w:spacing w:after="0" w:line="240" w:lineRule="auto"/>
        <w:ind w:left="0" w:hanging="2"/>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DECRETA:</w:t>
      </w:r>
    </w:p>
    <w:p w:rsidR="00000000" w:rsidDel="00000000" w:rsidP="00000000" w:rsidRDefault="00000000" w:rsidRPr="00000000" w14:paraId="00000008">
      <w:pPr>
        <w:spacing w:after="0" w:line="240" w:lineRule="auto"/>
        <w:ind w:left="0" w:hanging="2"/>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09">
      <w:pPr>
        <w:spacing w:after="0" w:line="240" w:lineRule="auto"/>
        <w:ind w:left="0" w:hanging="2"/>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b w:val="1"/>
          <w:sz w:val="24"/>
          <w:szCs w:val="24"/>
          <w:rtl w:val="0"/>
        </w:rPr>
        <w:t xml:space="preserve">ARTÍCULO 1o.</w:t>
      </w:r>
      <w:r w:rsidDel="00000000" w:rsidR="00000000" w:rsidRPr="00000000">
        <w:rPr>
          <w:rFonts w:ascii="Arial Narrow" w:cs="Arial Narrow" w:eastAsia="Arial Narrow" w:hAnsi="Arial Narrow"/>
          <w:sz w:val="24"/>
          <w:szCs w:val="24"/>
          <w:rtl w:val="0"/>
        </w:rPr>
        <w:t xml:space="preserve"> Declárese, reconózcase y exáltese como patrimonio cultural inmaterial de la nación a las prácticas y habilidades antiquísimas, autóctonas e icónicas de notable tradición que ejercen los habitantes de los municipios que conforman la subregión de la Depresión Momposina Bolivarense (Cicuco, Talaigua Nuevo, Santa Cruz de Mompox, San Fernando, Margarita y Hatillo de Loba), para manufacturar piezas</w:t>
      </w:r>
      <w:r w:rsidDel="00000000" w:rsidR="00000000" w:rsidRPr="00000000">
        <w:rPr>
          <w:rFonts w:ascii="Arial Narrow" w:cs="Arial Narrow" w:eastAsia="Arial Narrow" w:hAnsi="Arial Narrow"/>
          <w:sz w:val="24"/>
          <w:szCs w:val="24"/>
          <w:highlight w:val="white"/>
          <w:rtl w:val="0"/>
        </w:rPr>
        <w:t xml:space="preserve"> artesanales de orfebrería, ebanistería, la alfarería y el tejido a mano de una calidad excelsa y de amplio reconocimiento.</w:t>
      </w:r>
    </w:p>
    <w:p w:rsidR="00000000" w:rsidDel="00000000" w:rsidP="00000000" w:rsidRDefault="00000000" w:rsidRPr="00000000" w14:paraId="0000000A">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0B">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ARTÍCULO 2o. </w:t>
      </w:r>
      <w:r w:rsidDel="00000000" w:rsidR="00000000" w:rsidRPr="00000000">
        <w:rPr>
          <w:rFonts w:ascii="Arial Narrow" w:cs="Arial Narrow" w:eastAsia="Arial Narrow" w:hAnsi="Arial Narrow"/>
          <w:sz w:val="24"/>
          <w:szCs w:val="24"/>
          <w:rtl w:val="0"/>
        </w:rPr>
        <w:t xml:space="preserve">Facúltese al Gobierno Nacional a través del Ministerio de Cultura, para que articule con la ciudadanía postulante y convoque al Consejo Nacional de Patrimonio Cultural para la aprobación del concepto favorable de la manifestación patrimonial “Prácticas y Habilidades Artesanales Momposinas”. Posterior a esto se apruebe la realización del Plan Especial de Salvaguardia y así lograr la inclusión de la manifestación en la Lista Representativa de Patrimonio Cultural Inmaterial (LRPCI) del ámbito nacional.</w:t>
      </w:r>
    </w:p>
    <w:p w:rsidR="00000000" w:rsidDel="00000000" w:rsidP="00000000" w:rsidRDefault="00000000" w:rsidRPr="00000000" w14:paraId="0000000C">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0D">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Así mismo, el Ministerio de Cultura incorporará las “Prácticas y Habilidades Artesanales Momposinas” en el Banco de proyectos, con el objetivo de que las mismas se prioricen y se articulen con los planes de inversión de dicha entidad, y de esta manera se pueda velar su conservación, promoción, difusión local, nacional e internacional.</w:t>
      </w:r>
    </w:p>
    <w:p w:rsidR="00000000" w:rsidDel="00000000" w:rsidP="00000000" w:rsidRDefault="00000000" w:rsidRPr="00000000" w14:paraId="0000000E">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0F">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ARTÍCULO 3o. </w:t>
      </w:r>
      <w:r w:rsidDel="00000000" w:rsidR="00000000" w:rsidRPr="00000000">
        <w:rPr>
          <w:rFonts w:ascii="Arial Narrow" w:cs="Arial Narrow" w:eastAsia="Arial Narrow" w:hAnsi="Arial Narrow"/>
          <w:sz w:val="24"/>
          <w:szCs w:val="24"/>
          <w:rtl w:val="0"/>
        </w:rPr>
        <w:t xml:space="preserve">Autorícese al Gobierno Nacional apropiar las partidas presupuestales requeridas en cada vigencia en el Presupuesto General de la Nación, para desarrollar y ejecutar las correspondientes inversiones, y a su vez, la implementación de los proyectos que propendan por la salvaguardia y potencialización comercial de las prácticas y habilidades señaladas en la presente ley.</w:t>
      </w:r>
    </w:p>
    <w:p w:rsidR="00000000" w:rsidDel="00000000" w:rsidP="00000000" w:rsidRDefault="00000000" w:rsidRPr="00000000" w14:paraId="00000010">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b w:val="1"/>
          <w:sz w:val="24"/>
          <w:szCs w:val="24"/>
          <w:rtl w:val="0"/>
        </w:rPr>
        <w:t xml:space="preserve">ARTÍCULO 4o. </w:t>
      </w:r>
      <w:r w:rsidDel="00000000" w:rsidR="00000000" w:rsidRPr="00000000">
        <w:rPr>
          <w:rFonts w:ascii="Arial Narrow" w:cs="Arial Narrow" w:eastAsia="Arial Narrow" w:hAnsi="Arial Narrow"/>
          <w:sz w:val="24"/>
          <w:szCs w:val="24"/>
          <w:highlight w:val="white"/>
          <w:rtl w:val="0"/>
        </w:rPr>
        <w:t xml:space="preserve">La Nación, a través del Ministerio de Cultura, en coordinación con la Gobernación de Bolívar contribuirán a la salvaguardia, promoción, sostenimiento y exaltación de las prácticas </w:t>
      </w:r>
      <w:r w:rsidDel="00000000" w:rsidR="00000000" w:rsidRPr="00000000">
        <w:rPr>
          <w:rFonts w:ascii="Arial Narrow" w:cs="Arial Narrow" w:eastAsia="Arial Narrow" w:hAnsi="Arial Narrow"/>
          <w:sz w:val="24"/>
          <w:szCs w:val="24"/>
          <w:rtl w:val="0"/>
        </w:rPr>
        <w:t xml:space="preserve">tradiciones</w:t>
      </w:r>
      <w:r w:rsidDel="00000000" w:rsidR="00000000" w:rsidRPr="00000000">
        <w:rPr>
          <w:rFonts w:ascii="Arial Narrow" w:cs="Arial Narrow" w:eastAsia="Arial Narrow" w:hAnsi="Arial Narrow"/>
          <w:sz w:val="24"/>
          <w:szCs w:val="24"/>
          <w:highlight w:val="white"/>
          <w:rtl w:val="0"/>
        </w:rPr>
        <w:t xml:space="preserve"> artesanales de la subregión de la Depresión Momposina Bolivarense </w:t>
      </w:r>
      <w:r w:rsidDel="00000000" w:rsidR="00000000" w:rsidRPr="00000000">
        <w:rPr>
          <w:rFonts w:ascii="Arial Narrow" w:cs="Arial Narrow" w:eastAsia="Arial Narrow" w:hAnsi="Arial Narrow"/>
          <w:sz w:val="24"/>
          <w:szCs w:val="24"/>
          <w:rtl w:val="0"/>
        </w:rPr>
        <w:t xml:space="preserve">(Cicuco, Talaigua Nuevo, Santa Cruz de Mompox, San Fernando, Margarita y Hatillo de Loba)</w:t>
      </w:r>
      <w:r w:rsidDel="00000000" w:rsidR="00000000" w:rsidRPr="00000000">
        <w:rPr>
          <w:rFonts w:ascii="Arial Narrow" w:cs="Arial Narrow" w:eastAsia="Arial Narrow" w:hAnsi="Arial Narrow"/>
          <w:sz w:val="24"/>
          <w:szCs w:val="24"/>
          <w:highlight w:val="white"/>
          <w:rtl w:val="0"/>
        </w:rPr>
        <w:t xml:space="preserve">.</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sz w:val="24"/>
          <w:szCs w:val="24"/>
          <w:highlight w:val="white"/>
        </w:rPr>
      </w:pPr>
      <w:r w:rsidDel="00000000" w:rsidR="00000000" w:rsidRPr="00000000">
        <w:rPr>
          <w:rtl w:val="0"/>
        </w:rPr>
      </w:r>
    </w:p>
    <w:p w:rsidR="00000000" w:rsidDel="00000000" w:rsidP="00000000" w:rsidRDefault="00000000" w:rsidRPr="00000000" w14:paraId="00000013">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ARTÍCULO 5o. </w:t>
      </w:r>
      <w:r w:rsidDel="00000000" w:rsidR="00000000" w:rsidRPr="00000000">
        <w:rPr>
          <w:rFonts w:ascii="Arial Narrow" w:cs="Arial Narrow" w:eastAsia="Arial Narrow" w:hAnsi="Arial Narrow"/>
          <w:sz w:val="24"/>
          <w:szCs w:val="24"/>
          <w:rtl w:val="0"/>
        </w:rPr>
        <w:t xml:space="preserve">La presente ley rige a partir de su sanción y publicación en el diario oficial y deroga las demás disposiciones que le sean contrarias.</w:t>
      </w:r>
    </w:p>
    <w:p w:rsidR="00000000" w:rsidDel="00000000" w:rsidP="00000000" w:rsidRDefault="00000000" w:rsidRPr="00000000" w14:paraId="00000014">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5">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los honorables Congresistas,</w:t>
      </w:r>
    </w:p>
    <w:p w:rsidR="00000000" w:rsidDel="00000000" w:rsidP="00000000" w:rsidRDefault="00000000" w:rsidRPr="00000000" w14:paraId="00000017">
      <w:pPr>
        <w:spacing w:after="0" w:lineRule="auto"/>
        <w:ind w:left="0" w:hanging="2"/>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8">
      <w:pPr>
        <w:spacing w:after="0" w:lineRule="auto"/>
        <w:ind w:left="0" w:hanging="2"/>
        <w:rPr>
          <w:rFonts w:ascii="Arial Narrow" w:cs="Arial Narrow" w:eastAsia="Arial Narrow" w:hAnsi="Arial Narrow"/>
          <w:b w:val="1"/>
          <w:sz w:val="24"/>
          <w:szCs w:val="24"/>
        </w:rPr>
      </w:pPr>
      <w:r w:rsidDel="00000000" w:rsidR="00000000" w:rsidRPr="00000000">
        <w:rPr>
          <w:rtl w:val="0"/>
        </w:rPr>
      </w:r>
    </w:p>
    <w:tbl>
      <w:tblPr>
        <w:tblStyle w:val="Table1"/>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4"/>
        <w:gridCol w:w="4414"/>
        <w:tblGridChange w:id="0">
          <w:tblGrid>
            <w:gridCol w:w="4414"/>
            <w:gridCol w:w="4414"/>
          </w:tblGrid>
        </w:tblGridChange>
      </w:tblGrid>
      <w:tr>
        <w:trPr>
          <w:cantSplit w:val="0"/>
          <w:tblHeader w:val="0"/>
        </w:trPr>
        <w:tc>
          <w:tcPr/>
          <w:p w:rsidR="00000000" w:rsidDel="00000000" w:rsidP="00000000" w:rsidRDefault="00000000" w:rsidRPr="00000000" w14:paraId="00000019">
            <w:pPr>
              <w:ind w:left="0" w:firstLine="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1A">
            <w:pPr>
              <w:ind w:left="0" w:firstLine="0"/>
              <w:jc w:val="center"/>
              <w:rPr>
                <w:rFonts w:ascii="Arial Narrow" w:cs="Arial Narrow" w:eastAsia="Arial Narrow" w:hAnsi="Arial Narrow"/>
                <w:b w:val="1"/>
              </w:rPr>
            </w:pPr>
            <w:r w:rsidDel="00000000" w:rsidR="00000000" w:rsidRPr="00000000">
              <w:rPr>
                <w:rFonts w:ascii="Arial Narrow" w:cs="Arial Narrow" w:eastAsia="Arial Narrow" w:hAnsi="Arial Narrow"/>
                <w:b w:val="1"/>
              </w:rPr>
              <w:drawing>
                <wp:inline distB="114300" distT="114300" distL="114300" distR="114300">
                  <wp:extent cx="2133600" cy="733425"/>
                  <wp:effectExtent b="0" l="0" r="0" t="0"/>
                  <wp:docPr id="1069"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133600" cy="73342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ind w:left="0" w:firstLine="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ANDRÉS GUILLERMO MONTES CELEDÓN</w:t>
            </w:r>
          </w:p>
          <w:p w:rsidR="00000000" w:rsidDel="00000000" w:rsidP="00000000" w:rsidRDefault="00000000" w:rsidRPr="00000000" w14:paraId="0000001C">
            <w:pPr>
              <w:ind w:left="0" w:firstLine="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a la Cámara</w:t>
            </w:r>
          </w:p>
          <w:p w:rsidR="00000000" w:rsidDel="00000000" w:rsidP="00000000" w:rsidRDefault="00000000" w:rsidRPr="00000000" w14:paraId="0000001D">
            <w:pPr>
              <w:ind w:left="0" w:firstLine="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Departamento del Bolívar</w:t>
            </w:r>
          </w:p>
          <w:p w:rsidR="00000000" w:rsidDel="00000000" w:rsidP="00000000" w:rsidRDefault="00000000" w:rsidRPr="00000000" w14:paraId="0000001E">
            <w:pPr>
              <w:ind w:left="0" w:firstLine="0"/>
              <w:jc w:val="center"/>
              <w:rPr>
                <w:rFonts w:ascii="Arial Narrow" w:cs="Arial Narrow" w:eastAsia="Arial Narrow" w:hAnsi="Arial Narrow"/>
                <w:b w:val="1"/>
              </w:rPr>
            </w:pPr>
            <w:r w:rsidDel="00000000" w:rsidR="00000000" w:rsidRPr="00000000">
              <w:rPr>
                <w:rFonts w:ascii="Arial Narrow" w:cs="Arial Narrow" w:eastAsia="Arial Narrow" w:hAnsi="Arial Narrow"/>
                <w:sz w:val="24"/>
                <w:szCs w:val="24"/>
                <w:rtl w:val="0"/>
              </w:rPr>
              <w:t xml:space="preserve">Autor</w:t>
            </w:r>
            <w:r w:rsidDel="00000000" w:rsidR="00000000" w:rsidRPr="00000000">
              <w:rPr>
                <w:rtl w:val="0"/>
              </w:rPr>
            </w:r>
          </w:p>
        </w:tc>
        <w:tc>
          <w:tcPr/>
          <w:p w:rsidR="00000000" w:rsidDel="00000000" w:rsidP="00000000" w:rsidRDefault="00000000" w:rsidRPr="00000000" w14:paraId="0000001F">
            <w:pPr>
              <w:ind w:left="0" w:firstLine="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20">
            <w:pPr>
              <w:ind w:left="0" w:firstLine="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21">
            <w:pPr>
              <w:ind w:left="0" w:firstLine="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22">
            <w:pPr>
              <w:ind w:left="0" w:firstLine="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23">
            <w:pPr>
              <w:spacing w:line="276" w:lineRule="auto"/>
              <w:ind w:firstLine="0"/>
              <w:jc w:val="center"/>
              <w:rPr>
                <w:rFonts w:ascii="Arial Narrow" w:cs="Arial Narrow" w:eastAsia="Arial Narrow" w:hAnsi="Arial Narrow"/>
                <w:b w:val="1"/>
              </w:rPr>
            </w:pPr>
            <w:r w:rsidDel="00000000" w:rsidR="00000000" w:rsidRPr="00000000">
              <w:rPr>
                <w:sz w:val="24"/>
                <w:szCs w:val="24"/>
              </w:rPr>
              <w:drawing>
                <wp:inline distB="114300" distT="114300" distL="114300" distR="114300">
                  <wp:extent cx="1484313" cy="239139"/>
                  <wp:effectExtent b="0" l="0" r="0" t="0"/>
                  <wp:docPr id="1060"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484313" cy="239139"/>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ind w:left="0" w:firstLine="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JULIANA ARAY FRANCO</w:t>
            </w:r>
          </w:p>
          <w:p w:rsidR="00000000" w:rsidDel="00000000" w:rsidP="00000000" w:rsidRDefault="00000000" w:rsidRPr="00000000" w14:paraId="00000025">
            <w:pPr>
              <w:ind w:left="0" w:firstLine="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a la Cámara</w:t>
            </w:r>
          </w:p>
          <w:p w:rsidR="00000000" w:rsidDel="00000000" w:rsidP="00000000" w:rsidRDefault="00000000" w:rsidRPr="00000000" w14:paraId="00000026">
            <w:pPr>
              <w:ind w:left="0" w:firstLine="0"/>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Departamento de Bolívar</w:t>
            </w:r>
          </w:p>
          <w:p w:rsidR="00000000" w:rsidDel="00000000" w:rsidP="00000000" w:rsidRDefault="00000000" w:rsidRPr="00000000" w14:paraId="00000027">
            <w:pPr>
              <w:ind w:left="0" w:hanging="2"/>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Coautora</w:t>
            </w:r>
          </w:p>
        </w:tc>
      </w:tr>
      <w:tr>
        <w:trPr>
          <w:cantSplit w:val="0"/>
          <w:tblHeader w:val="0"/>
        </w:trPr>
        <w:tc>
          <w:tcPr/>
          <w:p w:rsidR="00000000" w:rsidDel="00000000" w:rsidP="00000000" w:rsidRDefault="00000000" w:rsidRPr="00000000" w14:paraId="00000028">
            <w:pPr>
              <w:ind w:left="0"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29">
            <w:pPr>
              <w:ind w:left="0"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1419225" cy="504825"/>
                  <wp:effectExtent b="0" l="0" r="0" t="0"/>
                  <wp:docPr id="106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419225" cy="504825"/>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ind w:left="0"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FERNANDO DAVID NIÑO MENDOZA</w:t>
            </w:r>
          </w:p>
          <w:p w:rsidR="00000000" w:rsidDel="00000000" w:rsidP="00000000" w:rsidRDefault="00000000" w:rsidRPr="00000000" w14:paraId="0000002B">
            <w:pPr>
              <w:ind w:left="0" w:firstLine="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a la Cámara</w:t>
            </w:r>
          </w:p>
          <w:p w:rsidR="00000000" w:rsidDel="00000000" w:rsidP="00000000" w:rsidRDefault="00000000" w:rsidRPr="00000000" w14:paraId="0000002C">
            <w:pPr>
              <w:ind w:left="0" w:firstLine="0"/>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Departamento de Bolívar</w:t>
            </w:r>
          </w:p>
          <w:p w:rsidR="00000000" w:rsidDel="00000000" w:rsidP="00000000" w:rsidRDefault="00000000" w:rsidRPr="00000000" w14:paraId="0000002D">
            <w:pPr>
              <w:ind w:left="0" w:firstLine="0"/>
              <w:jc w:val="center"/>
              <w:rPr>
                <w:rFonts w:ascii="Arial Narrow" w:cs="Arial Narrow" w:eastAsia="Arial Narrow" w:hAnsi="Arial Narrow"/>
                <w:b w:val="1"/>
              </w:rPr>
            </w:pPr>
            <w:r w:rsidDel="00000000" w:rsidR="00000000" w:rsidRPr="00000000">
              <w:rPr>
                <w:rFonts w:ascii="Arial Narrow" w:cs="Arial Narrow" w:eastAsia="Arial Narrow" w:hAnsi="Arial Narrow"/>
                <w:sz w:val="24"/>
                <w:szCs w:val="24"/>
                <w:rtl w:val="0"/>
              </w:rPr>
              <w:t xml:space="preserve">Coautor</w:t>
            </w:r>
            <w:r w:rsidDel="00000000" w:rsidR="00000000" w:rsidRPr="00000000">
              <w:rPr>
                <w:rtl w:val="0"/>
              </w:rPr>
            </w:r>
          </w:p>
        </w:tc>
        <w:tc>
          <w:tcPr/>
          <w:p w:rsidR="00000000" w:rsidDel="00000000" w:rsidP="00000000" w:rsidRDefault="00000000" w:rsidRPr="00000000" w14:paraId="0000002E">
            <w:pPr>
              <w:ind w:left="0" w:firstLine="0"/>
              <w:jc w:val="center"/>
              <w:rPr>
                <w:rFonts w:ascii="Arial Narrow" w:cs="Arial Narrow" w:eastAsia="Arial Narrow" w:hAnsi="Arial Narrow"/>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476250</wp:posOffset>
                  </wp:positionH>
                  <wp:positionV relativeFrom="paragraph">
                    <wp:posOffset>232023</wp:posOffset>
                  </wp:positionV>
                  <wp:extent cx="1519238" cy="863203"/>
                  <wp:effectExtent b="0" l="0" r="0" t="0"/>
                  <wp:wrapSquare wrapText="bothSides" distB="114300" distT="114300" distL="114300" distR="114300"/>
                  <wp:docPr id="1061" name="image4.png"/>
                  <a:graphic>
                    <a:graphicData uri="http://schemas.openxmlformats.org/drawingml/2006/picture">
                      <pic:pic>
                        <pic:nvPicPr>
                          <pic:cNvPr id="0" name="image4.png"/>
                          <pic:cNvPicPr preferRelativeResize="0"/>
                        </pic:nvPicPr>
                        <pic:blipFill>
                          <a:blip r:embed="rId10"/>
                          <a:srcRect b="6593" l="0" r="0" t="-6593"/>
                          <a:stretch>
                            <a:fillRect/>
                          </a:stretch>
                        </pic:blipFill>
                        <pic:spPr>
                          <a:xfrm>
                            <a:off x="0" y="0"/>
                            <a:ext cx="1519238" cy="863203"/>
                          </a:xfrm>
                          <a:prstGeom prst="rect"/>
                          <a:ln/>
                        </pic:spPr>
                      </pic:pic>
                    </a:graphicData>
                  </a:graphic>
                </wp:anchor>
              </w:drawing>
            </w:r>
          </w:p>
          <w:p w:rsidR="00000000" w:rsidDel="00000000" w:rsidP="00000000" w:rsidRDefault="00000000" w:rsidRPr="00000000" w14:paraId="0000002F">
            <w:pPr>
              <w:ind w:left="0"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30">
            <w:pPr>
              <w:ind w:left="0"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31">
            <w:pPr>
              <w:ind w:left="0"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32">
            <w:pPr>
              <w:ind w:left="0"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33">
            <w:pPr>
              <w:ind w:left="0" w:firstLine="0"/>
              <w:jc w:val="left"/>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34">
            <w:pPr>
              <w:ind w:left="0" w:firstLine="0"/>
              <w:jc w:val="left"/>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35">
            <w:pPr>
              <w:ind w:left="0"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ANGELA MARÍA VERGARA GONZÁLEZ</w:t>
            </w:r>
          </w:p>
          <w:p w:rsidR="00000000" w:rsidDel="00000000" w:rsidP="00000000" w:rsidRDefault="00000000" w:rsidRPr="00000000" w14:paraId="00000036">
            <w:pPr>
              <w:ind w:left="0" w:firstLine="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a la Cámara</w:t>
            </w:r>
          </w:p>
          <w:p w:rsidR="00000000" w:rsidDel="00000000" w:rsidP="00000000" w:rsidRDefault="00000000" w:rsidRPr="00000000" w14:paraId="00000037">
            <w:pPr>
              <w:ind w:left="0" w:firstLine="0"/>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Departamento de Bolívar</w:t>
            </w:r>
          </w:p>
          <w:p w:rsidR="00000000" w:rsidDel="00000000" w:rsidP="00000000" w:rsidRDefault="00000000" w:rsidRPr="00000000" w14:paraId="00000038">
            <w:pPr>
              <w:ind w:left="0" w:firstLine="0"/>
              <w:jc w:val="center"/>
              <w:rPr>
                <w:rFonts w:ascii="Arial Narrow" w:cs="Arial Narrow" w:eastAsia="Arial Narrow" w:hAnsi="Arial Narrow"/>
                <w:b w:val="1"/>
              </w:rPr>
            </w:pPr>
            <w:r w:rsidDel="00000000" w:rsidR="00000000" w:rsidRPr="00000000">
              <w:rPr>
                <w:rFonts w:ascii="Arial Narrow" w:cs="Arial Narrow" w:eastAsia="Arial Narrow" w:hAnsi="Arial Narrow"/>
                <w:sz w:val="24"/>
                <w:szCs w:val="24"/>
                <w:rtl w:val="0"/>
              </w:rPr>
              <w:t xml:space="preserve">Coautora</w:t>
            </w:r>
            <w:r w:rsidDel="00000000" w:rsidR="00000000" w:rsidRPr="00000000">
              <w:rPr>
                <w:rtl w:val="0"/>
              </w:rPr>
            </w:r>
          </w:p>
        </w:tc>
      </w:tr>
    </w:tbl>
    <w:p w:rsidR="00000000" w:rsidDel="00000000" w:rsidP="00000000" w:rsidRDefault="00000000" w:rsidRPr="00000000" w14:paraId="00000039">
      <w:pPr>
        <w:spacing w:after="0" w:lineRule="auto"/>
        <w:ind w:left="0" w:hanging="2"/>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3A">
      <w:pPr>
        <w:spacing w:after="0" w:line="240" w:lineRule="auto"/>
        <w:ind w:left="0" w:hanging="2"/>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3B">
      <w:pPr>
        <w:spacing w:after="0" w:line="240" w:lineRule="auto"/>
        <w:ind w:left="0" w:hanging="2"/>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3C">
      <w:pPr>
        <w:spacing w:after="0" w:line="240" w:lineRule="auto"/>
        <w:ind w:left="0" w:hanging="2"/>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3D">
      <w:pPr>
        <w:spacing w:after="0" w:line="240" w:lineRule="auto"/>
        <w:ind w:left="0" w:hanging="2"/>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3E">
      <w:pPr>
        <w:spacing w:after="0" w:line="240" w:lineRule="auto"/>
        <w:ind w:left="0" w:hanging="2"/>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3F">
      <w:pPr>
        <w:spacing w:after="0" w:line="240" w:lineRule="auto"/>
        <w:ind w:left="0" w:hanging="2"/>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40">
      <w:pPr>
        <w:spacing w:after="0" w:line="240" w:lineRule="auto"/>
        <w:ind w:left="0" w:hanging="2"/>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41">
      <w:pPr>
        <w:spacing w:after="0" w:line="240" w:lineRule="auto"/>
        <w:ind w:left="0" w:hanging="2"/>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42">
      <w:pPr>
        <w:spacing w:after="0" w:line="240" w:lineRule="auto"/>
        <w:ind w:left="0" w:hanging="2"/>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43">
      <w:pPr>
        <w:spacing w:after="0" w:line="240" w:lineRule="auto"/>
        <w:ind w:left="0" w:hanging="2"/>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44">
      <w:pPr>
        <w:spacing w:after="0" w:line="240" w:lineRule="auto"/>
        <w:ind w:left="0" w:hanging="2"/>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45">
      <w:pPr>
        <w:spacing w:after="0" w:line="240" w:lineRule="auto"/>
        <w:ind w:left="0" w:hanging="2"/>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46">
      <w:pPr>
        <w:spacing w:after="0" w:line="240" w:lineRule="auto"/>
        <w:ind w:left="0" w:hanging="2"/>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47">
      <w:pPr>
        <w:spacing w:after="0" w:line="240" w:lineRule="auto"/>
        <w:ind w:left="0" w:hanging="2"/>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48">
      <w:pPr>
        <w:spacing w:after="0" w:line="240" w:lineRule="auto"/>
        <w:ind w:left="0" w:hanging="2"/>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49">
      <w:pPr>
        <w:spacing w:after="0" w:line="240" w:lineRule="auto"/>
        <w:ind w:left="0" w:hanging="2"/>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4A">
      <w:pPr>
        <w:spacing w:after="0" w:line="240" w:lineRule="auto"/>
        <w:ind w:left="0" w:hanging="2"/>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4B">
      <w:pPr>
        <w:spacing w:after="0" w:line="240" w:lineRule="auto"/>
        <w:ind w:left="0" w:hanging="2"/>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4C">
      <w:pPr>
        <w:spacing w:after="0" w:line="240" w:lineRule="auto"/>
        <w:ind w:left="0" w:hanging="2"/>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4D">
      <w:pPr>
        <w:spacing w:after="0" w:line="240" w:lineRule="auto"/>
        <w:ind w:left="0" w:hanging="2"/>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4E">
      <w:pPr>
        <w:spacing w:after="0" w:line="240" w:lineRule="auto"/>
        <w:ind w:left="0" w:hanging="2"/>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PROYECTO DE LEY No ____ DE 2023 CÁMARA</w:t>
      </w:r>
    </w:p>
    <w:p w:rsidR="00000000" w:rsidDel="00000000" w:rsidP="00000000" w:rsidRDefault="00000000" w:rsidRPr="00000000" w14:paraId="0000004F">
      <w:pPr>
        <w:spacing w:after="0" w:line="240" w:lineRule="auto"/>
        <w:ind w:left="0" w:hanging="2"/>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50">
      <w:pPr>
        <w:spacing w:after="0" w:line="240" w:lineRule="auto"/>
        <w:ind w:left="0" w:hanging="2"/>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 “POR MEDIO DE LA CUAL SE DECLARA PATRIMONIO CULTURAL INMATERIAL DE LA NACIÓN A LAS PRÁCTICAS Y HABILIDADES ARTESANALES DE LA SUBREGIÓN DE LA DEPRESIÓN MOMPOSINA BOLIVARENSE Y SE DICTAN OTRAS DISPOSICIONES.”</w:t>
      </w:r>
    </w:p>
    <w:p w:rsidR="00000000" w:rsidDel="00000000" w:rsidP="00000000" w:rsidRDefault="00000000" w:rsidRPr="00000000" w14:paraId="00000051">
      <w:pPr>
        <w:spacing w:after="0" w:line="240" w:lineRule="auto"/>
        <w:ind w:left="0" w:hanging="2"/>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52">
      <w:pPr>
        <w:spacing w:after="0" w:line="240" w:lineRule="auto"/>
        <w:ind w:left="0" w:hanging="2"/>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EXPOSICIÓN DE MOTIVOS</w:t>
      </w:r>
    </w:p>
    <w:p w:rsidR="00000000" w:rsidDel="00000000" w:rsidP="00000000" w:rsidRDefault="00000000" w:rsidRPr="00000000" w14:paraId="00000053">
      <w:pPr>
        <w:spacing w:after="0" w:line="240" w:lineRule="auto"/>
        <w:ind w:left="0" w:hanging="2"/>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54">
      <w:pPr>
        <w:numPr>
          <w:ilvl w:val="0"/>
          <w:numId w:val="2"/>
        </w:num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ANTECEDENTES.</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el periodo legislativo 2022-2023 se presentó el Proyecto de Ley No. 377 de 2023- Cámara por medio de la cual se declara patrimonio cultural inmaterial de la nación a las prácticas culturales del distrito de Mompox en el marco de la celebración de la Semana Santa. Esta iniciativa tiene por objeto declarar, reconocer y exaltar como patrimonio cultural inmaterial de la nación las prácticas culturales propias de la manifestación inmaterial del Distrito de Mompox en el marco de la Semana Santa. </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Ahora bien, es importante aclarar que la presente iniciativa busca exaltar las técnicas artesanales tradicionales tales como: La orfebrería, ebanistería, alfarería y el tejido de mando. Las cuales han sido prácticas y habilidades antiquísimas, transmitidas de generación en generación entre los habitantes de la Depresión Momposina.</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5A">
      <w:pPr>
        <w:spacing w:after="0" w:line="240" w:lineRule="auto"/>
        <w:ind w:left="0" w:hanging="2"/>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II.  GENERALIDADES.</w:t>
      </w:r>
    </w:p>
    <w:p w:rsidR="00000000" w:rsidDel="00000000" w:rsidP="00000000" w:rsidRDefault="00000000" w:rsidRPr="00000000" w14:paraId="0000005B">
      <w:pPr>
        <w:spacing w:after="0" w:line="240" w:lineRule="auto"/>
        <w:ind w:left="0" w:hanging="2"/>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5C">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subregión de la Depresión Momposina en el departamento de Bolívar, conocida también como la Isla de Mompox, es una extensión territorial del departamento de Bolívar que es conformada por seis municipios a saber:</w:t>
      </w:r>
    </w:p>
    <w:p w:rsidR="00000000" w:rsidDel="00000000" w:rsidP="00000000" w:rsidRDefault="00000000" w:rsidRPr="00000000" w14:paraId="0000005D">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5E">
      <w:pPr>
        <w:numPr>
          <w:ilvl w:val="0"/>
          <w:numId w:val="3"/>
        </w:num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Cicuco</w:t>
      </w:r>
    </w:p>
    <w:p w:rsidR="00000000" w:rsidDel="00000000" w:rsidP="00000000" w:rsidRDefault="00000000" w:rsidRPr="00000000" w14:paraId="0000005F">
      <w:pPr>
        <w:numPr>
          <w:ilvl w:val="0"/>
          <w:numId w:val="3"/>
        </w:num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Talaigua Nuevo</w:t>
      </w:r>
    </w:p>
    <w:p w:rsidR="00000000" w:rsidDel="00000000" w:rsidP="00000000" w:rsidRDefault="00000000" w:rsidRPr="00000000" w14:paraId="00000060">
      <w:pPr>
        <w:numPr>
          <w:ilvl w:val="0"/>
          <w:numId w:val="3"/>
        </w:num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Santa Cruz de Mompox</w:t>
      </w:r>
    </w:p>
    <w:p w:rsidR="00000000" w:rsidDel="00000000" w:rsidP="00000000" w:rsidRDefault="00000000" w:rsidRPr="00000000" w14:paraId="00000061">
      <w:pPr>
        <w:numPr>
          <w:ilvl w:val="0"/>
          <w:numId w:val="3"/>
        </w:num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San Fernando</w:t>
      </w:r>
    </w:p>
    <w:p w:rsidR="00000000" w:rsidDel="00000000" w:rsidP="00000000" w:rsidRDefault="00000000" w:rsidRPr="00000000" w14:paraId="00000062">
      <w:pPr>
        <w:numPr>
          <w:ilvl w:val="0"/>
          <w:numId w:val="3"/>
        </w:num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Margarita</w:t>
      </w:r>
    </w:p>
    <w:p w:rsidR="00000000" w:rsidDel="00000000" w:rsidP="00000000" w:rsidRDefault="00000000" w:rsidRPr="00000000" w14:paraId="00000063">
      <w:pPr>
        <w:numPr>
          <w:ilvl w:val="0"/>
          <w:numId w:val="3"/>
        </w:num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Hatillo de Loba</w:t>
      </w:r>
    </w:p>
    <w:p w:rsidR="00000000" w:rsidDel="00000000" w:rsidP="00000000" w:rsidRDefault="00000000" w:rsidRPr="00000000" w14:paraId="00000064">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65">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Esta subregión se forma por la bifurcación del río Magdalena en los brazos de Mompox que marca el límite con el departamento de Magdalena y Loba que marca la separación con los municipios de la subregión de la Mojana, a la altura del municipio de el Banco.</w:t>
      </w:r>
    </w:p>
    <w:p w:rsidR="00000000" w:rsidDel="00000000" w:rsidP="00000000" w:rsidRDefault="00000000" w:rsidRPr="00000000" w14:paraId="00000066">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67">
      <w:pPr>
        <w:spacing w:after="0" w:line="240" w:lineRule="auto"/>
        <w:ind w:left="0" w:hanging="2"/>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114300" distT="114300" distL="114300" distR="114300">
            <wp:extent cx="4268153" cy="5438775"/>
            <wp:effectExtent b="0" l="0" r="0" t="0"/>
            <wp:docPr id="1064"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4268153" cy="5438775"/>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69">
      <w:pPr>
        <w:spacing w:after="0" w:line="240" w:lineRule="auto"/>
        <w:ind w:left="0" w:hanging="2"/>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Orígenes de las prácticas artesanales</w:t>
      </w:r>
    </w:p>
    <w:p w:rsidR="00000000" w:rsidDel="00000000" w:rsidP="00000000" w:rsidRDefault="00000000" w:rsidRPr="00000000" w14:paraId="0000006A">
      <w:pPr>
        <w:spacing w:after="0" w:line="240" w:lineRule="auto"/>
        <w:ind w:left="0" w:hanging="2"/>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6B">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Mompox supo desarrollarse como una región con vocación ganadera y minera para el siglo XVIII, hitos históricos que permitieron la explotación de la orfebrería, la que sería una de las actividades económicas más características de esta región (Viloria de la Hoz, 2011).</w:t>
      </w:r>
    </w:p>
    <w:p w:rsidR="00000000" w:rsidDel="00000000" w:rsidP="00000000" w:rsidRDefault="00000000" w:rsidRPr="00000000" w14:paraId="0000006C">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6D">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región momposina fue un epicentro de prosperidad económica hasta que empezó su declive a mediados del siglo XIX cuando deja de ser uno de los 19 departamentos de la Nueva Granada y pasa al departamento de Bolívar en 1910. Así mismo, un fenómeno natural contribuyó al decaimiento de la región de Mompox cuando el río Magdalena cambió su curso, dando lugar al brazo de Loba, dejando al brazo Mompox casi innavegable y dándole un nuevo auge al municipio de Magangué. Sin embargo, el auge de Magangué sirvió para reactivar actividades como la minería en los distritos de Loba, Morales y Simití, lo que le dio un nuevo impulso a los orfebres momposinos para continuar desarrollando sus ya conocidas prácticas de tiempo atrás hasta nuestros días donde estas habilidades se han perfeccionado, por ejemplo, la mundialmente conocida filigrana momposina que convierte la rigidez del metal en finos hilos delgados retorcidos por medio de dos tablitas hasta quedar increíblemente entrelazados en forma de trenza, para ser colocado en distintas figuras, circulares, semicirculares o elípticas, de las joyas.  (Viloria de la Hoz, 2011)</w:t>
      </w:r>
    </w:p>
    <w:p w:rsidR="00000000" w:rsidDel="00000000" w:rsidP="00000000" w:rsidRDefault="00000000" w:rsidRPr="00000000" w14:paraId="0000006E">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6F">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actividad artesanal se empezó a diversificar a lo largo de la isla de Mompox dando lugar a una nueva variedad de habilidades como la ebanistería, el manejo de la cerámica, la alfarería y el tejido a mano. En el municipio de Cicuco por ejemplo, son distintivas las habilidades en tejido que crean artículos como escobas, esteras, mochilas y balays;</w:t>
      </w:r>
    </w:p>
    <w:p w:rsidR="00000000" w:rsidDel="00000000" w:rsidP="00000000" w:rsidRDefault="00000000" w:rsidRPr="00000000" w14:paraId="00000070">
      <w:pPr>
        <w:spacing w:after="0" w:line="240" w:lineRule="auto"/>
        <w:ind w:hanging="2"/>
        <w:jc w:val="left"/>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71">
      <w:pPr>
        <w:spacing w:after="0" w:line="240" w:lineRule="auto"/>
        <w:ind w:hanging="2"/>
        <w:jc w:val="center"/>
        <w:rPr>
          <w:rFonts w:ascii="Arial Narrow" w:cs="Arial Narrow" w:eastAsia="Arial Narrow" w:hAnsi="Arial Narrow"/>
          <w:sz w:val="24"/>
          <w:szCs w:val="24"/>
        </w:rPr>
      </w:pPr>
      <w:r w:rsidDel="00000000" w:rsidR="00000000" w:rsidRPr="00000000">
        <w:rPr>
          <w:rtl w:val="0"/>
        </w:rPr>
      </w:r>
    </w:p>
    <w:tbl>
      <w:tblPr>
        <w:tblStyle w:val="Table2"/>
        <w:tblW w:w="882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80"/>
        <w:gridCol w:w="1275"/>
        <w:gridCol w:w="3765"/>
        <w:tblGridChange w:id="0">
          <w:tblGrid>
            <w:gridCol w:w="3780"/>
            <w:gridCol w:w="1275"/>
            <w:gridCol w:w="37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spacing w:after="0" w:line="240" w:lineRule="auto"/>
              <w:ind w:hanging="2"/>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114300" distT="114300" distL="114300" distR="114300">
                  <wp:extent cx="1866900" cy="1661733"/>
                  <wp:effectExtent b="0" l="0" r="0" t="0"/>
                  <wp:docPr id="1071" name="image9.jpg"/>
                  <a:graphic>
                    <a:graphicData uri="http://schemas.openxmlformats.org/drawingml/2006/picture">
                      <pic:pic>
                        <pic:nvPicPr>
                          <pic:cNvPr id="0" name="image9.jpg"/>
                          <pic:cNvPicPr preferRelativeResize="0"/>
                        </pic:nvPicPr>
                        <pic:blipFill>
                          <a:blip r:embed="rId12"/>
                          <a:srcRect b="50154" l="0" r="0" t="0"/>
                          <a:stretch>
                            <a:fillRect/>
                          </a:stretch>
                        </pic:blipFill>
                        <pic:spPr>
                          <a:xfrm>
                            <a:off x="0" y="0"/>
                            <a:ext cx="1866900" cy="166173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Cicuco</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spacing w:after="0" w:line="240" w:lineRule="auto"/>
              <w:ind w:hanging="2"/>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114300" distT="114300" distL="114300" distR="114300">
                  <wp:extent cx="1866900" cy="1664873"/>
                  <wp:effectExtent b="0" l="0" r="0" t="0"/>
                  <wp:docPr id="1068" name="image9.jpg"/>
                  <a:graphic>
                    <a:graphicData uri="http://schemas.openxmlformats.org/drawingml/2006/picture">
                      <pic:pic>
                        <pic:nvPicPr>
                          <pic:cNvPr id="0" name="image9.jpg"/>
                          <pic:cNvPicPr preferRelativeResize="0"/>
                        </pic:nvPicPr>
                        <pic:blipFill>
                          <a:blip r:embed="rId12"/>
                          <a:srcRect b="0" l="0" r="0" t="50060"/>
                          <a:stretch>
                            <a:fillRect/>
                          </a:stretch>
                        </pic:blipFill>
                        <pic:spPr>
                          <a:xfrm>
                            <a:off x="0" y="0"/>
                            <a:ext cx="1866900" cy="166487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9">
      <w:pPr>
        <w:spacing w:after="0" w:line="240" w:lineRule="auto"/>
        <w:ind w:hanging="2"/>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7A">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por otro lado, en Talaigua Nuevo son reconocidas las habilidades en el manejo de la madera, el fique, el cuero y la badana que finalizan en artesanías como los chinchorros, atarrayas, aguaderas, mucutos y mecedoras;</w:t>
      </w:r>
    </w:p>
    <w:p w:rsidR="00000000" w:rsidDel="00000000" w:rsidP="00000000" w:rsidRDefault="00000000" w:rsidRPr="00000000" w14:paraId="0000007B">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7C">
      <w:pPr>
        <w:spacing w:after="0" w:line="240" w:lineRule="auto"/>
        <w:ind w:hanging="2"/>
        <w:jc w:val="left"/>
        <w:rPr>
          <w:rFonts w:ascii="Arial Narrow" w:cs="Arial Narrow" w:eastAsia="Arial Narrow" w:hAnsi="Arial Narrow"/>
          <w:sz w:val="24"/>
          <w:szCs w:val="24"/>
        </w:rPr>
      </w:pPr>
      <w:r w:rsidDel="00000000" w:rsidR="00000000" w:rsidRPr="00000000">
        <w:rPr>
          <w:rtl w:val="0"/>
        </w:rPr>
      </w:r>
    </w:p>
    <w:tbl>
      <w:tblPr>
        <w:tblStyle w:val="Table3"/>
        <w:tblW w:w="882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1710"/>
        <w:gridCol w:w="3510"/>
        <w:tblGridChange w:id="0">
          <w:tblGrid>
            <w:gridCol w:w="3600"/>
            <w:gridCol w:w="1710"/>
            <w:gridCol w:w="35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spacing w:after="0" w:line="240" w:lineRule="auto"/>
              <w:ind w:hanging="2"/>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114300" distT="114300" distL="114300" distR="114300">
                  <wp:extent cx="1905000" cy="1697452"/>
                  <wp:effectExtent b="0" l="0" r="0" t="0"/>
                  <wp:docPr id="1063" name="image10.jpg"/>
                  <a:graphic>
                    <a:graphicData uri="http://schemas.openxmlformats.org/drawingml/2006/picture">
                      <pic:pic>
                        <pic:nvPicPr>
                          <pic:cNvPr id="0" name="image10.jpg"/>
                          <pic:cNvPicPr preferRelativeResize="0"/>
                        </pic:nvPicPr>
                        <pic:blipFill>
                          <a:blip r:embed="rId13"/>
                          <a:srcRect b="49940" l="0" r="0" t="0"/>
                          <a:stretch>
                            <a:fillRect/>
                          </a:stretch>
                        </pic:blipFill>
                        <pic:spPr>
                          <a:xfrm>
                            <a:off x="0" y="0"/>
                            <a:ext cx="1905000" cy="169745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Talaigua Nuevo</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spacing w:after="0" w:line="240" w:lineRule="auto"/>
              <w:ind w:hanging="2"/>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114300" distT="114300" distL="114300" distR="114300">
                  <wp:extent cx="1905000" cy="1697169"/>
                  <wp:effectExtent b="0" l="0" r="0" t="0"/>
                  <wp:docPr id="1072" name="image10.jpg"/>
                  <a:graphic>
                    <a:graphicData uri="http://schemas.openxmlformats.org/drawingml/2006/picture">
                      <pic:pic>
                        <pic:nvPicPr>
                          <pic:cNvPr id="0" name="image10.jpg"/>
                          <pic:cNvPicPr preferRelativeResize="0"/>
                        </pic:nvPicPr>
                        <pic:blipFill>
                          <a:blip r:embed="rId13"/>
                          <a:srcRect b="0" l="0" r="0" t="49949"/>
                          <a:stretch>
                            <a:fillRect/>
                          </a:stretch>
                        </pic:blipFill>
                        <pic:spPr>
                          <a:xfrm>
                            <a:off x="0" y="0"/>
                            <a:ext cx="1905000" cy="169716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5">
      <w:pPr>
        <w:spacing w:after="0" w:line="240" w:lineRule="auto"/>
        <w:ind w:hanging="2"/>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86">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87">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Mompox no es solo famoso por sus artesanías en metal y oro, también es conocido por sus artesanos especialistas en crear sillas y mecedoras tejidas con paja y hechas en solera o roble;</w:t>
      </w:r>
    </w:p>
    <w:p w:rsidR="00000000" w:rsidDel="00000000" w:rsidP="00000000" w:rsidRDefault="00000000" w:rsidRPr="00000000" w14:paraId="00000088">
      <w:pPr>
        <w:spacing w:after="0" w:line="240" w:lineRule="auto"/>
        <w:ind w:hanging="2"/>
        <w:jc w:val="left"/>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89">
      <w:pPr>
        <w:spacing w:after="0" w:line="240" w:lineRule="auto"/>
        <w:ind w:hanging="2"/>
        <w:jc w:val="left"/>
        <w:rPr>
          <w:rFonts w:ascii="Arial Narrow" w:cs="Arial Narrow" w:eastAsia="Arial Narrow" w:hAnsi="Arial Narrow"/>
          <w:sz w:val="24"/>
          <w:szCs w:val="24"/>
        </w:rPr>
      </w:pPr>
      <w:r w:rsidDel="00000000" w:rsidR="00000000" w:rsidRPr="00000000">
        <w:rPr>
          <w:rtl w:val="0"/>
        </w:rPr>
      </w:r>
    </w:p>
    <w:tbl>
      <w:tblPr>
        <w:tblStyle w:val="Table4"/>
        <w:tblW w:w="882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55"/>
        <w:gridCol w:w="1740"/>
        <w:gridCol w:w="3525"/>
        <w:tblGridChange w:id="0">
          <w:tblGrid>
            <w:gridCol w:w="3555"/>
            <w:gridCol w:w="1740"/>
            <w:gridCol w:w="35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spacing w:after="0" w:line="240" w:lineRule="auto"/>
              <w:ind w:hanging="2"/>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114300" distT="114300" distL="114300" distR="114300">
                  <wp:extent cx="1828800" cy="1619466"/>
                  <wp:effectExtent b="0" l="0" r="0" t="0"/>
                  <wp:docPr id="1062" name="image7.jpg"/>
                  <a:graphic>
                    <a:graphicData uri="http://schemas.openxmlformats.org/drawingml/2006/picture">
                      <pic:pic>
                        <pic:nvPicPr>
                          <pic:cNvPr id="0" name="image7.jpg"/>
                          <pic:cNvPicPr preferRelativeResize="0"/>
                        </pic:nvPicPr>
                        <pic:blipFill>
                          <a:blip r:embed="rId14"/>
                          <a:srcRect b="50430" l="0" r="0" t="0"/>
                          <a:stretch>
                            <a:fillRect/>
                          </a:stretch>
                        </pic:blipFill>
                        <pic:spPr>
                          <a:xfrm>
                            <a:off x="0" y="0"/>
                            <a:ext cx="1828800" cy="161946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Santa Cruz de mompox</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spacing w:after="0" w:line="240" w:lineRule="auto"/>
              <w:ind w:hanging="2"/>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114300" distT="114300" distL="114300" distR="114300">
                  <wp:extent cx="1828800" cy="1617248"/>
                  <wp:effectExtent b="0" l="0" r="0" t="0"/>
                  <wp:docPr id="1074" name="image7.jpg"/>
                  <a:graphic>
                    <a:graphicData uri="http://schemas.openxmlformats.org/drawingml/2006/picture">
                      <pic:pic>
                        <pic:nvPicPr>
                          <pic:cNvPr id="0" name="image7.jpg"/>
                          <pic:cNvPicPr preferRelativeResize="0"/>
                        </pic:nvPicPr>
                        <pic:blipFill>
                          <a:blip r:embed="rId14"/>
                          <a:srcRect b="0" l="0" r="0" t="50498"/>
                          <a:stretch>
                            <a:fillRect/>
                          </a:stretch>
                        </pic:blipFill>
                        <pic:spPr>
                          <a:xfrm>
                            <a:off x="0" y="0"/>
                            <a:ext cx="1828800" cy="161724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1">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92">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San Fernando son las mujeres quienes poseen las habilidades para manipular el fique o el hilo para tejer bolsos, carteras, mochilas, así como las habilidades para hacer sillas en madera fina y mecedoras de fique;</w:t>
      </w:r>
    </w:p>
    <w:p w:rsidR="00000000" w:rsidDel="00000000" w:rsidP="00000000" w:rsidRDefault="00000000" w:rsidRPr="00000000" w14:paraId="00000093">
      <w:pPr>
        <w:spacing w:after="0" w:line="240" w:lineRule="auto"/>
        <w:ind w:left="0" w:hanging="2"/>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94">
      <w:pPr>
        <w:spacing w:after="0" w:line="240" w:lineRule="auto"/>
        <w:ind w:left="0" w:hanging="2"/>
        <w:jc w:val="center"/>
        <w:rPr>
          <w:rFonts w:ascii="Arial Narrow" w:cs="Arial Narrow" w:eastAsia="Arial Narrow" w:hAnsi="Arial Narrow"/>
          <w:sz w:val="24"/>
          <w:szCs w:val="24"/>
        </w:rPr>
      </w:pPr>
      <w:r w:rsidDel="00000000" w:rsidR="00000000" w:rsidRPr="00000000">
        <w:rPr>
          <w:rtl w:val="0"/>
        </w:rPr>
      </w:r>
    </w:p>
    <w:tbl>
      <w:tblPr>
        <w:tblStyle w:val="Table5"/>
        <w:tblW w:w="8838.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19"/>
        <w:gridCol w:w="4419"/>
        <w:tblGridChange w:id="0">
          <w:tblGrid>
            <w:gridCol w:w="4419"/>
            <w:gridCol w:w="441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San Fernando</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spacing w:after="0" w:line="240" w:lineRule="auto"/>
              <w:ind w:hanging="2"/>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114300" distT="114300" distL="114300" distR="114300">
                  <wp:extent cx="2096453" cy="1330279"/>
                  <wp:effectExtent b="0" l="0" r="0" t="0"/>
                  <wp:docPr id="1066"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2096453" cy="133027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A">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9B">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9C">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Margarita se encuentran los especialistas en el manejo de palma amarga y penca para hacer abanicos y aguaderas, así también están quienes manejan el curricán para hacer atarrayas y chinchorros, también se presencia la maestría para forjar figuras en madera; finalmente, el municipio de Hatillo de Loba es reconocido por el manejo de la palma de vino para hacer figuras y la alfarería con sus distintivas ollas de barro, tinajas y aguamaniles.</w:t>
      </w:r>
    </w:p>
    <w:p w:rsidR="00000000" w:rsidDel="00000000" w:rsidP="00000000" w:rsidRDefault="00000000" w:rsidRPr="00000000" w14:paraId="0000009D">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9E">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Si bien, la subregión de la Depresión Momposina ha mostrado un gran potencial en desarrollo gracias a los saberes que forjan sus artesanías, estas habilidades y prácticas se han visto puestas en riesgo debido a una variedad de factores que atentan contra su continuidad, entre dichos factores podemos encontrar dinámicas propias de la sociedad momposina donde la práctica de formas de asociación tradicionales lideradas por un pequeño grupo de artesanos (a menudo maestros mayores), que fomentan liderazgos personalistas refuerzan las jerarquías tradicionales, desembocando en un malestar generalizado por parte de los artesanos jóvenes que no encuentran formas de inclusión y representación en las asociaciones, dando como resultado un estancamiento de los productos y falta de individuos que continúen e innoven las prácticas ancestrales (Montero y Calderon, 2018); así también, los artesanos tienen problemas de aprovisionamiento de materias primas. Un estudio del Ministerio de Comercio (2012), indica que el 52% de los artesanos del país encuentran dificultades para en insuficiencia y escasez de elementos para trabajar sus artículos, el informe también refleja que es mucho más complicado conseguir las materias primas que proceden de procesos biológicos vegetales, lo que afecta a quienes practican la tejeduría, cuando se trata de insumos minerales los artesanos están supeditados a las fluctuaciones de los precios de mercado y la disponibilidad, este último aspecto genera que el 71% de los artesanos dedicados a orfebrería compre al detal, de los cuales, el 84% lo hace en el mismo sitio o cerca de su zona de operación, aunque en el caso de Mompox, lo que es el aprovisionamiento de plata es mediante importación desde Canadá (Min Comercio, 2012); igualmente, se presentan otros factores externos como la falta de la institucionalidad permanente que lidere y consolide procesos de gobernanza en pro del desarrollo y continuidad de la habilidad artesanal, al igual que una creciente ola de violencia promovida por la presencia de grupos al margen de la ley que han sometido y condicionado a la población artesanal, ocasionando la migración forzada hacía zonas fuera del control territorial de los grupos.</w:t>
      </w:r>
    </w:p>
    <w:p w:rsidR="00000000" w:rsidDel="00000000" w:rsidP="00000000" w:rsidRDefault="00000000" w:rsidRPr="00000000" w14:paraId="0000009F">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A0">
      <w:pPr>
        <w:spacing w:after="0" w:line="240" w:lineRule="auto"/>
        <w:ind w:left="0" w:hanging="2"/>
        <w:jc w:val="both"/>
        <w:rPr>
          <w:rFonts w:ascii="Arial Narrow" w:cs="Arial Narrow" w:eastAsia="Arial Narrow" w:hAnsi="Arial Narrow"/>
          <w:sz w:val="22"/>
          <w:szCs w:val="22"/>
        </w:rPr>
      </w:pPr>
      <w:hyperlink r:id="rId16">
        <w:r w:rsidDel="00000000" w:rsidR="00000000" w:rsidRPr="00000000">
          <w:rPr>
            <w:rFonts w:ascii="Arial Narrow" w:cs="Arial Narrow" w:eastAsia="Arial Narrow" w:hAnsi="Arial Narrow"/>
            <w:color w:val="1155cc"/>
            <w:sz w:val="22"/>
            <w:szCs w:val="22"/>
            <w:u w:val="single"/>
            <w:rtl w:val="0"/>
          </w:rPr>
          <w:t xml:space="preserve">Vista de La orfebrería prehispánica de Colombia (banrepcultural.org)</w:t>
        </w:r>
      </w:hyperlink>
      <w:r w:rsidDel="00000000" w:rsidR="00000000" w:rsidRPr="00000000">
        <w:rPr>
          <w:rFonts w:ascii="Arial Narrow" w:cs="Arial Narrow" w:eastAsia="Arial Narrow" w:hAnsi="Arial Narrow"/>
          <w:sz w:val="22"/>
          <w:szCs w:val="22"/>
          <w:rtl w:val="0"/>
        </w:rPr>
        <w:t xml:space="preserve"> </w:t>
      </w:r>
    </w:p>
    <w:p w:rsidR="00000000" w:rsidDel="00000000" w:rsidP="00000000" w:rsidRDefault="00000000" w:rsidRPr="00000000" w14:paraId="000000A1">
      <w:pPr>
        <w:spacing w:after="0" w:line="240" w:lineRule="auto"/>
        <w:ind w:left="0" w:hanging="2"/>
        <w:jc w:val="both"/>
        <w:rPr>
          <w:rFonts w:ascii="Arial Narrow" w:cs="Arial Narrow" w:eastAsia="Arial Narrow" w:hAnsi="Arial Narrow"/>
          <w:sz w:val="22"/>
          <w:szCs w:val="22"/>
        </w:rPr>
      </w:pPr>
      <w:hyperlink r:id="rId17">
        <w:r w:rsidDel="00000000" w:rsidR="00000000" w:rsidRPr="00000000">
          <w:rPr>
            <w:rFonts w:ascii="Arial Narrow" w:cs="Arial Narrow" w:eastAsia="Arial Narrow" w:hAnsi="Arial Narrow"/>
            <w:color w:val="1155cc"/>
            <w:sz w:val="22"/>
            <w:szCs w:val="22"/>
            <w:u w:val="single"/>
            <w:rtl w:val="0"/>
          </w:rPr>
          <w:t xml:space="preserve">C-224-16 Corte Constitucional de Colombia</w:t>
        </w:r>
      </w:hyperlink>
      <w:r w:rsidDel="00000000" w:rsidR="00000000" w:rsidRPr="00000000">
        <w:rPr>
          <w:rFonts w:ascii="Arial Narrow" w:cs="Arial Narrow" w:eastAsia="Arial Narrow" w:hAnsi="Arial Narrow"/>
          <w:sz w:val="22"/>
          <w:szCs w:val="22"/>
          <w:rtl w:val="0"/>
        </w:rPr>
        <w:t xml:space="preserve"> </w:t>
      </w:r>
    </w:p>
    <w:p w:rsidR="00000000" w:rsidDel="00000000" w:rsidP="00000000" w:rsidRDefault="00000000" w:rsidRPr="00000000" w14:paraId="000000A2">
      <w:pPr>
        <w:spacing w:after="0" w:line="240" w:lineRule="auto"/>
        <w:ind w:left="0" w:hanging="2"/>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A3">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A4">
      <w:pPr>
        <w:spacing w:after="0" w:line="240" w:lineRule="auto"/>
        <w:ind w:left="0" w:hanging="2"/>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III.  OBJETO DEL PROYECTO.</w:t>
      </w:r>
    </w:p>
    <w:p w:rsidR="00000000" w:rsidDel="00000000" w:rsidP="00000000" w:rsidRDefault="00000000" w:rsidRPr="00000000" w14:paraId="000000A5">
      <w:pPr>
        <w:spacing w:after="0" w:line="240" w:lineRule="auto"/>
        <w:ind w:left="0" w:hanging="2"/>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A6">
      <w:pPr>
        <w:spacing w:after="0" w:line="240" w:lineRule="auto"/>
        <w:ind w:left="0" w:hanging="2"/>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tl w:val="0"/>
        </w:rPr>
        <w:t xml:space="preserve">¿Por qué declarar las habilidades y oficios ancestrales de esta región un patrimonio?</w:t>
      </w:r>
      <w:r w:rsidDel="00000000" w:rsidR="00000000" w:rsidRPr="00000000">
        <w:rPr>
          <w:rtl w:val="0"/>
        </w:rPr>
      </w:r>
    </w:p>
    <w:p w:rsidR="00000000" w:rsidDel="00000000" w:rsidP="00000000" w:rsidRDefault="00000000" w:rsidRPr="00000000" w14:paraId="000000A7">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A8">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Con el objetivo de consolidar la importancia y riqueza cultural que ostenta la subregión de la Depresión Momposina Bolivarense en una gran diversidad de oficios y habilidades que desembocan en piezas artesanales únicas de reconocimiento nacional y mundial por su calidad; se pretende declarar como patrimonio cultural inmaterial de la Nación estas habilidades y oficios para que el Estado vele por su protección, garanticen su continuidad y consoliden su fortalecimiento, se propone la discusión y aprobación de esta iniciativa de ley, para que sea declarado dentro del inventario de patrimonios y ostente un nivel de priorización para focalizar las acciones y políticas del Estado.</w:t>
      </w:r>
    </w:p>
    <w:p w:rsidR="00000000" w:rsidDel="00000000" w:rsidP="00000000" w:rsidRDefault="00000000" w:rsidRPr="00000000" w14:paraId="000000A9">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AA">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Formando parte de la Lista Representativa de Patrimonio Cultural Inmaterial como un medio de salvaguardia de manifestaciones o prácticas culturales, que para el caso, serían las habilidades y oficios que dan forma y describen la identidad de la subregión de la depresión momposina mediante sus piezas artesanales; las instituciones públicas, organizaciones civiles y entidades se obligan y comprometen a salvaguardar, documentar, investigar, promover, fomentar, transmitir y revitalizar dichas manifestación o prácticas, buscando su continuidad en el tiempo como referentes de identidad e innovando con los procesos y experiencias que se vayan forjando en el camino.</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IV.  CONSTITUCIONALIDAD Y LEGALIDAD</w:t>
      </w: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B0">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acuerdo a los lineamientos del ordenamiento constitucional, en particular con el artículo 150, “</w:t>
      </w:r>
      <w:r w:rsidDel="00000000" w:rsidR="00000000" w:rsidRPr="00000000">
        <w:rPr>
          <w:rFonts w:ascii="Arial Narrow" w:cs="Arial Narrow" w:eastAsia="Arial Narrow" w:hAnsi="Arial Narrow"/>
          <w:i w:val="1"/>
          <w:sz w:val="22"/>
          <w:szCs w:val="22"/>
          <w:rtl w:val="0"/>
        </w:rPr>
        <w:t xml:space="preserve">Corresponde al Congreso hacer las leyes</w:t>
      </w:r>
      <w:r w:rsidDel="00000000" w:rsidR="00000000" w:rsidRPr="00000000">
        <w:rPr>
          <w:rFonts w:ascii="Arial Narrow" w:cs="Arial Narrow" w:eastAsia="Arial Narrow" w:hAnsi="Arial Narrow"/>
          <w:sz w:val="24"/>
          <w:szCs w:val="24"/>
          <w:rtl w:val="0"/>
        </w:rPr>
        <w:t xml:space="preserve">…”, con la finalidad de propender al interés y bien general de sus ciudadanos.</w:t>
      </w:r>
    </w:p>
    <w:p w:rsidR="00000000" w:rsidDel="00000000" w:rsidP="00000000" w:rsidRDefault="00000000" w:rsidRPr="00000000" w14:paraId="000000B1">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B2">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Seguidamente, La Constitución Política como fundamento normativo, establece y determina en su artículo 1°, que “</w:t>
      </w:r>
      <w:r w:rsidDel="00000000" w:rsidR="00000000" w:rsidRPr="00000000">
        <w:rPr>
          <w:rFonts w:ascii="Arial Narrow" w:cs="Arial Narrow" w:eastAsia="Arial Narrow" w:hAnsi="Arial Narrow"/>
          <w:i w:val="1"/>
          <w:sz w:val="22"/>
          <w:szCs w:val="22"/>
          <w:rtl w:val="0"/>
        </w:rPr>
        <w:t xml:space="preserve">Colombia es un Estado social de Derecho, fundada en el respeto de la dignidad humana, en el trabajo y la solidaridad de las personas que la integran y en la prevalencia del interés general</w:t>
      </w:r>
      <w:r w:rsidDel="00000000" w:rsidR="00000000" w:rsidRPr="00000000">
        <w:rPr>
          <w:rFonts w:ascii="Arial Narrow" w:cs="Arial Narrow" w:eastAsia="Arial Narrow" w:hAnsi="Arial Narrow"/>
          <w:sz w:val="24"/>
          <w:szCs w:val="24"/>
          <w:rtl w:val="0"/>
        </w:rPr>
        <w:t xml:space="preserve">”. En su artículo 8°, otorga la responsabilidad al Estado de “</w:t>
      </w:r>
      <w:r w:rsidDel="00000000" w:rsidR="00000000" w:rsidRPr="00000000">
        <w:rPr>
          <w:rFonts w:ascii="Arial Narrow" w:cs="Arial Narrow" w:eastAsia="Arial Narrow" w:hAnsi="Arial Narrow"/>
          <w:b w:val="1"/>
          <w:i w:val="1"/>
          <w:sz w:val="22"/>
          <w:szCs w:val="22"/>
          <w:rtl w:val="0"/>
        </w:rPr>
        <w:t xml:space="preserve">proteger las riquezas culturales</w:t>
      </w:r>
      <w:r w:rsidDel="00000000" w:rsidR="00000000" w:rsidRPr="00000000">
        <w:rPr>
          <w:rFonts w:ascii="Arial Narrow" w:cs="Arial Narrow" w:eastAsia="Arial Narrow" w:hAnsi="Arial Narrow"/>
          <w:i w:val="1"/>
          <w:sz w:val="22"/>
          <w:szCs w:val="22"/>
          <w:rtl w:val="0"/>
        </w:rPr>
        <w:t xml:space="preserve"> y naturales de la Nación</w:t>
      </w:r>
      <w:r w:rsidDel="00000000" w:rsidR="00000000" w:rsidRPr="00000000">
        <w:rPr>
          <w:rFonts w:ascii="Arial Narrow" w:cs="Arial Narrow" w:eastAsia="Arial Narrow" w:hAnsi="Arial Narrow"/>
          <w:sz w:val="24"/>
          <w:szCs w:val="24"/>
          <w:rtl w:val="0"/>
        </w:rPr>
        <w:t xml:space="preserve">”, (</w:t>
      </w:r>
      <w:r w:rsidDel="00000000" w:rsidR="00000000" w:rsidRPr="00000000">
        <w:rPr>
          <w:rFonts w:ascii="Arial Narrow" w:cs="Arial Narrow" w:eastAsia="Arial Narrow" w:hAnsi="Arial Narrow"/>
          <w:i w:val="1"/>
          <w:sz w:val="20"/>
          <w:szCs w:val="20"/>
          <w:rtl w:val="0"/>
        </w:rPr>
        <w:t xml:space="preserve">Negrilla fuera del texto</w:t>
      </w:r>
      <w:r w:rsidDel="00000000" w:rsidR="00000000" w:rsidRPr="00000000">
        <w:rPr>
          <w:rFonts w:ascii="Arial Narrow" w:cs="Arial Narrow" w:eastAsia="Arial Narrow" w:hAnsi="Arial Narrow"/>
          <w:sz w:val="24"/>
          <w:szCs w:val="24"/>
          <w:rtl w:val="0"/>
        </w:rPr>
        <w:t xml:space="preserve">).</w:t>
      </w:r>
    </w:p>
    <w:p w:rsidR="00000000" w:rsidDel="00000000" w:rsidP="00000000" w:rsidRDefault="00000000" w:rsidRPr="00000000" w14:paraId="000000B3">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B4">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Ahora bien, en cumplimiento de lo anterior, en virtud de la materia que se pretende declarar por medio de este proyecto de ley, es importante hacer alusión a los artículos 70, 71 y 72 de la Constitución Política, que propenden al fomento, promoción del acceso a la cultura como una responsabilidad del Estado, su protección, así como, “</w:t>
      </w:r>
      <w:r w:rsidDel="00000000" w:rsidR="00000000" w:rsidRPr="00000000">
        <w:rPr>
          <w:rFonts w:ascii="Arial Narrow" w:cs="Arial Narrow" w:eastAsia="Arial Narrow" w:hAnsi="Arial Narrow"/>
          <w:i w:val="1"/>
          <w:sz w:val="22"/>
          <w:szCs w:val="22"/>
          <w:u w:val="single"/>
          <w:rtl w:val="0"/>
        </w:rPr>
        <w:t xml:space="preserve">La cultura en sus diversas manifestaciones es fundamento de la nacionalidad</w:t>
      </w:r>
      <w:r w:rsidDel="00000000" w:rsidR="00000000" w:rsidRPr="00000000">
        <w:rPr>
          <w:rFonts w:ascii="Arial Narrow" w:cs="Arial Narrow" w:eastAsia="Arial Narrow" w:hAnsi="Arial Narrow"/>
          <w:i w:val="1"/>
          <w:sz w:val="22"/>
          <w:szCs w:val="22"/>
          <w:rtl w:val="0"/>
        </w:rPr>
        <w:t xml:space="preserve">. </w:t>
      </w:r>
      <w:r w:rsidDel="00000000" w:rsidR="00000000" w:rsidRPr="00000000">
        <w:rPr>
          <w:rFonts w:ascii="Arial Narrow" w:cs="Arial Narrow" w:eastAsia="Arial Narrow" w:hAnsi="Arial Narrow"/>
          <w:i w:val="1"/>
          <w:sz w:val="22"/>
          <w:szCs w:val="22"/>
          <w:u w:val="single"/>
          <w:rtl w:val="0"/>
        </w:rPr>
        <w:t xml:space="preserve">El Estado reconoce la igualdad y dignidad de todas las que conviven en el país</w:t>
      </w:r>
      <w:r w:rsidDel="00000000" w:rsidR="00000000" w:rsidRPr="00000000">
        <w:rPr>
          <w:rFonts w:ascii="Arial Narrow" w:cs="Arial Narrow" w:eastAsia="Arial Narrow" w:hAnsi="Arial Narrow"/>
          <w:i w:val="1"/>
          <w:sz w:val="22"/>
          <w:szCs w:val="22"/>
          <w:rtl w:val="0"/>
        </w:rPr>
        <w:t xml:space="preserve">. </w:t>
      </w:r>
      <w:r w:rsidDel="00000000" w:rsidR="00000000" w:rsidRPr="00000000">
        <w:rPr>
          <w:rFonts w:ascii="Arial Narrow" w:cs="Arial Narrow" w:eastAsia="Arial Narrow" w:hAnsi="Arial Narrow"/>
          <w:i w:val="1"/>
          <w:sz w:val="22"/>
          <w:szCs w:val="22"/>
          <w:u w:val="single"/>
          <w:rtl w:val="0"/>
        </w:rPr>
        <w:t xml:space="preserve">El Estado promoverá</w:t>
      </w:r>
      <w:r w:rsidDel="00000000" w:rsidR="00000000" w:rsidRPr="00000000">
        <w:rPr>
          <w:rFonts w:ascii="Arial Narrow" w:cs="Arial Narrow" w:eastAsia="Arial Narrow" w:hAnsi="Arial Narrow"/>
          <w:i w:val="1"/>
          <w:sz w:val="22"/>
          <w:szCs w:val="22"/>
          <w:rtl w:val="0"/>
        </w:rPr>
        <w:t xml:space="preserve"> la investigación, la ciencia, </w:t>
      </w:r>
      <w:r w:rsidDel="00000000" w:rsidR="00000000" w:rsidRPr="00000000">
        <w:rPr>
          <w:rFonts w:ascii="Arial Narrow" w:cs="Arial Narrow" w:eastAsia="Arial Narrow" w:hAnsi="Arial Narrow"/>
          <w:i w:val="1"/>
          <w:sz w:val="22"/>
          <w:szCs w:val="22"/>
          <w:u w:val="single"/>
          <w:rtl w:val="0"/>
        </w:rPr>
        <w:t xml:space="preserve">el desarrollo y la difusión de los valores culturales de la Nación</w:t>
      </w:r>
      <w:r w:rsidDel="00000000" w:rsidR="00000000" w:rsidRPr="00000000">
        <w:rPr>
          <w:rFonts w:ascii="Arial Narrow" w:cs="Arial Narrow" w:eastAsia="Arial Narrow" w:hAnsi="Arial Narrow"/>
          <w:sz w:val="26"/>
          <w:szCs w:val="26"/>
          <w:rtl w:val="0"/>
        </w:rPr>
        <w:t xml:space="preserve">.</w:t>
      </w:r>
      <w:r w:rsidDel="00000000" w:rsidR="00000000" w:rsidRPr="00000000">
        <w:rPr>
          <w:rFonts w:ascii="Arial Narrow" w:cs="Arial Narrow" w:eastAsia="Arial Narrow" w:hAnsi="Arial Narrow"/>
          <w:sz w:val="24"/>
          <w:szCs w:val="24"/>
          <w:rtl w:val="0"/>
        </w:rPr>
        <w:t xml:space="preserve">” (</w:t>
      </w:r>
      <w:r w:rsidDel="00000000" w:rsidR="00000000" w:rsidRPr="00000000">
        <w:rPr>
          <w:rFonts w:ascii="Arial Narrow" w:cs="Arial Narrow" w:eastAsia="Arial Narrow" w:hAnsi="Arial Narrow"/>
          <w:sz w:val="20"/>
          <w:szCs w:val="20"/>
          <w:rtl w:val="0"/>
        </w:rPr>
        <w:t xml:space="preserve">Subrayado fuera del texto</w:t>
      </w:r>
      <w:r w:rsidDel="00000000" w:rsidR="00000000" w:rsidRPr="00000000">
        <w:rPr>
          <w:rFonts w:ascii="Arial Narrow" w:cs="Arial Narrow" w:eastAsia="Arial Narrow" w:hAnsi="Arial Narrow"/>
          <w:sz w:val="24"/>
          <w:szCs w:val="24"/>
          <w:rtl w:val="0"/>
        </w:rPr>
        <w:t xml:space="preserve">). En el numeral 8 del artículo 95, nos otorga como colombianos la responsabilidad de “</w:t>
      </w:r>
      <w:r w:rsidDel="00000000" w:rsidR="00000000" w:rsidRPr="00000000">
        <w:rPr>
          <w:rFonts w:ascii="Arial Narrow" w:cs="Arial Narrow" w:eastAsia="Arial Narrow" w:hAnsi="Arial Narrow"/>
          <w:i w:val="1"/>
          <w:sz w:val="22"/>
          <w:szCs w:val="22"/>
          <w:u w:val="single"/>
          <w:rtl w:val="0"/>
        </w:rPr>
        <w:t xml:space="preserve">Proteger los recursos culturales</w:t>
      </w:r>
      <w:r w:rsidDel="00000000" w:rsidR="00000000" w:rsidRPr="00000000">
        <w:rPr>
          <w:rFonts w:ascii="Arial Narrow" w:cs="Arial Narrow" w:eastAsia="Arial Narrow" w:hAnsi="Arial Narrow"/>
          <w:i w:val="1"/>
          <w:sz w:val="22"/>
          <w:szCs w:val="22"/>
          <w:rtl w:val="0"/>
        </w:rPr>
        <w:t xml:space="preserve"> y naturales del país </w:t>
      </w:r>
      <w:r w:rsidDel="00000000" w:rsidR="00000000" w:rsidRPr="00000000">
        <w:rPr>
          <w:rFonts w:ascii="Arial Narrow" w:cs="Arial Narrow" w:eastAsia="Arial Narrow" w:hAnsi="Arial Narrow"/>
          <w:i w:val="1"/>
          <w:sz w:val="22"/>
          <w:szCs w:val="22"/>
          <w:u w:val="single"/>
          <w:rtl w:val="0"/>
        </w:rPr>
        <w:t xml:space="preserve">y velar por la conservación</w:t>
      </w:r>
      <w:r w:rsidDel="00000000" w:rsidR="00000000" w:rsidRPr="00000000">
        <w:rPr>
          <w:rFonts w:ascii="Arial Narrow" w:cs="Arial Narrow" w:eastAsia="Arial Narrow" w:hAnsi="Arial Narrow"/>
          <w:i w:val="1"/>
          <w:sz w:val="22"/>
          <w:szCs w:val="22"/>
          <w:rtl w:val="0"/>
        </w:rPr>
        <w:t xml:space="preserve"> …</w:t>
      </w:r>
      <w:r w:rsidDel="00000000" w:rsidR="00000000" w:rsidRPr="00000000">
        <w:rPr>
          <w:rFonts w:ascii="Arial Narrow" w:cs="Arial Narrow" w:eastAsia="Arial Narrow" w:hAnsi="Arial Narrow"/>
          <w:sz w:val="24"/>
          <w:szCs w:val="24"/>
          <w:rtl w:val="0"/>
        </w:rPr>
        <w:t xml:space="preserve">” (</w:t>
      </w:r>
      <w:r w:rsidDel="00000000" w:rsidR="00000000" w:rsidRPr="00000000">
        <w:rPr>
          <w:rFonts w:ascii="Arial Narrow" w:cs="Arial Narrow" w:eastAsia="Arial Narrow" w:hAnsi="Arial Narrow"/>
          <w:sz w:val="20"/>
          <w:szCs w:val="20"/>
          <w:rtl w:val="0"/>
        </w:rPr>
        <w:t xml:space="preserve">Subrayado fuera del texto</w:t>
      </w:r>
      <w:r w:rsidDel="00000000" w:rsidR="00000000" w:rsidRPr="00000000">
        <w:rPr>
          <w:rFonts w:ascii="Arial Narrow" w:cs="Arial Narrow" w:eastAsia="Arial Narrow" w:hAnsi="Arial Narrow"/>
          <w:sz w:val="24"/>
          <w:szCs w:val="24"/>
          <w:rtl w:val="0"/>
        </w:rPr>
        <w:t xml:space="preserve">).</w:t>
      </w:r>
    </w:p>
    <w:p w:rsidR="00000000" w:rsidDel="00000000" w:rsidP="00000000" w:rsidRDefault="00000000" w:rsidRPr="00000000" w14:paraId="000000B5">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B6">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Ampliando el fundamento normativo, pasamos de los aportes Constitucionales, a los de orden Legal, como lo son los siguientes:</w:t>
      </w:r>
    </w:p>
    <w:p w:rsidR="00000000" w:rsidDel="00000000" w:rsidP="00000000" w:rsidRDefault="00000000" w:rsidRPr="00000000" w14:paraId="000000B7">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B8">
      <w:pPr>
        <w:numPr>
          <w:ilvl w:val="0"/>
          <w:numId w:val="1"/>
        </w:numPr>
        <w:spacing w:after="0" w:line="240" w:lineRule="auto"/>
        <w:ind w:left="0" w:hanging="2"/>
        <w:jc w:val="both"/>
        <w:rPr>
          <w:rFonts w:ascii="Arial" w:cs="Arial" w:eastAsia="Arial" w:hAnsi="Arial"/>
        </w:rPr>
      </w:pPr>
      <w:r w:rsidDel="00000000" w:rsidR="00000000" w:rsidRPr="00000000">
        <w:rPr>
          <w:rFonts w:ascii="Arial Narrow" w:cs="Arial Narrow" w:eastAsia="Arial Narrow" w:hAnsi="Arial Narrow"/>
          <w:b w:val="1"/>
          <w:sz w:val="24"/>
          <w:szCs w:val="24"/>
          <w:rtl w:val="0"/>
        </w:rPr>
        <w:t xml:space="preserve">Ley 5</w:t>
      </w:r>
      <w:r w:rsidDel="00000000" w:rsidR="00000000" w:rsidRPr="00000000">
        <w:rPr>
          <w:rFonts w:ascii="Arial Narrow" w:cs="Arial Narrow" w:eastAsia="Arial Narrow" w:hAnsi="Arial Narrow"/>
          <w:b w:val="1"/>
          <w:sz w:val="24"/>
          <w:szCs w:val="24"/>
          <w:vertAlign w:val="superscript"/>
          <w:rtl w:val="0"/>
        </w:rPr>
        <w:t xml:space="preserve">a</w:t>
      </w:r>
      <w:r w:rsidDel="00000000" w:rsidR="00000000" w:rsidRPr="00000000">
        <w:rPr>
          <w:rFonts w:ascii="Arial Narrow" w:cs="Arial Narrow" w:eastAsia="Arial Narrow" w:hAnsi="Arial Narrow"/>
          <w:b w:val="1"/>
          <w:sz w:val="24"/>
          <w:szCs w:val="24"/>
          <w:rtl w:val="0"/>
        </w:rPr>
        <w:t xml:space="preserve"> de 1992</w:t>
      </w:r>
      <w:r w:rsidDel="00000000" w:rsidR="00000000" w:rsidRPr="00000000">
        <w:rPr>
          <w:rFonts w:ascii="Arial Narrow" w:cs="Arial Narrow" w:eastAsia="Arial Narrow" w:hAnsi="Arial Narrow"/>
          <w:sz w:val="24"/>
          <w:szCs w:val="24"/>
          <w:rtl w:val="0"/>
        </w:rPr>
        <w:t xml:space="preserve"> - </w:t>
      </w:r>
      <w:r w:rsidDel="00000000" w:rsidR="00000000" w:rsidRPr="00000000">
        <w:rPr>
          <w:rFonts w:ascii="Arial Narrow" w:cs="Arial Narrow" w:eastAsia="Arial Narrow" w:hAnsi="Arial Narrow"/>
          <w:sz w:val="26"/>
          <w:szCs w:val="26"/>
          <w:rtl w:val="0"/>
        </w:rPr>
        <w:t xml:space="preserve">“</w:t>
      </w:r>
      <w:r w:rsidDel="00000000" w:rsidR="00000000" w:rsidRPr="00000000">
        <w:rPr>
          <w:rFonts w:ascii="Arial Narrow" w:cs="Arial Narrow" w:eastAsia="Arial Narrow" w:hAnsi="Arial Narrow"/>
          <w:i w:val="1"/>
          <w:sz w:val="22"/>
          <w:szCs w:val="22"/>
          <w:rtl w:val="0"/>
        </w:rPr>
        <w:t xml:space="preserve">Por la cual se expide el Reglamento del Congreso; el Senado y la Cámara de Representantes</w:t>
      </w:r>
      <w:r w:rsidDel="00000000" w:rsidR="00000000" w:rsidRPr="00000000">
        <w:rPr>
          <w:rFonts w:ascii="Arial Narrow" w:cs="Arial Narrow" w:eastAsia="Arial Narrow" w:hAnsi="Arial Narrow"/>
          <w:sz w:val="26"/>
          <w:szCs w:val="26"/>
          <w:rtl w:val="0"/>
        </w:rPr>
        <w:t xml:space="preserve">”</w:t>
      </w:r>
      <w:r w:rsidDel="00000000" w:rsidR="00000000" w:rsidRPr="00000000">
        <w:rPr>
          <w:rFonts w:ascii="Arial Narrow" w:cs="Arial Narrow" w:eastAsia="Arial Narrow" w:hAnsi="Arial Narrow"/>
          <w:sz w:val="24"/>
          <w:szCs w:val="24"/>
          <w:rtl w:val="0"/>
        </w:rPr>
        <w:t xml:space="preserve">. En su artículo 6°. “</w:t>
      </w:r>
      <w:r w:rsidDel="00000000" w:rsidR="00000000" w:rsidRPr="00000000">
        <w:rPr>
          <w:rFonts w:ascii="Arial Narrow" w:cs="Arial Narrow" w:eastAsia="Arial Narrow" w:hAnsi="Arial Narrow"/>
          <w:i w:val="1"/>
          <w:sz w:val="22"/>
          <w:szCs w:val="22"/>
          <w:rtl w:val="0"/>
        </w:rPr>
        <w:t xml:space="preserve">Clases de funciones del Congreso. El Congreso de la República cumple:</w:t>
      </w:r>
      <w:r w:rsidDel="00000000" w:rsidR="00000000" w:rsidRPr="00000000">
        <w:rPr>
          <w:rtl w:val="0"/>
        </w:rPr>
      </w:r>
    </w:p>
    <w:p w:rsidR="00000000" w:rsidDel="00000000" w:rsidP="00000000" w:rsidRDefault="00000000" w:rsidRPr="00000000" w14:paraId="000000B9">
      <w:pPr>
        <w:spacing w:after="0" w:line="240" w:lineRule="auto"/>
        <w:ind w:left="0" w:hanging="2"/>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i w:val="1"/>
          <w:sz w:val="22"/>
          <w:szCs w:val="22"/>
          <w:rtl w:val="0"/>
        </w:rPr>
        <w:t xml:space="preserve">(…)</w:t>
      </w:r>
    </w:p>
    <w:p w:rsidR="00000000" w:rsidDel="00000000" w:rsidP="00000000" w:rsidRDefault="00000000" w:rsidRPr="00000000" w14:paraId="000000BA">
      <w:pPr>
        <w:spacing w:after="0" w:line="240" w:lineRule="auto"/>
        <w:ind w:left="0" w:hanging="2"/>
        <w:jc w:val="both"/>
        <w:rPr>
          <w:rFonts w:ascii="Arial Narrow" w:cs="Arial Narrow" w:eastAsia="Arial Narrow" w:hAnsi="Arial Narrow"/>
          <w:sz w:val="26"/>
          <w:szCs w:val="26"/>
        </w:rPr>
      </w:pPr>
      <w:r w:rsidDel="00000000" w:rsidR="00000000" w:rsidRPr="00000000">
        <w:rPr>
          <w:rFonts w:ascii="Arial Narrow" w:cs="Arial Narrow" w:eastAsia="Arial Narrow" w:hAnsi="Arial Narrow"/>
          <w:i w:val="1"/>
          <w:sz w:val="22"/>
          <w:szCs w:val="22"/>
          <w:rtl w:val="0"/>
        </w:rPr>
        <w:t xml:space="preserve">2. </w:t>
      </w:r>
      <w:r w:rsidDel="00000000" w:rsidR="00000000" w:rsidRPr="00000000">
        <w:rPr>
          <w:rFonts w:ascii="Arial Narrow" w:cs="Arial Narrow" w:eastAsia="Arial Narrow" w:hAnsi="Arial Narrow"/>
          <w:b w:val="1"/>
          <w:i w:val="1"/>
          <w:sz w:val="22"/>
          <w:szCs w:val="22"/>
          <w:rtl w:val="0"/>
        </w:rPr>
        <w:t xml:space="preserve">Función legislativa, para elaborar,</w:t>
      </w:r>
      <w:r w:rsidDel="00000000" w:rsidR="00000000" w:rsidRPr="00000000">
        <w:rPr>
          <w:rFonts w:ascii="Arial Narrow" w:cs="Arial Narrow" w:eastAsia="Arial Narrow" w:hAnsi="Arial Narrow"/>
          <w:i w:val="1"/>
          <w:sz w:val="22"/>
          <w:szCs w:val="22"/>
          <w:rtl w:val="0"/>
        </w:rPr>
        <w:t xml:space="preserve"> interpretar, reformar y derogar </w:t>
      </w:r>
      <w:r w:rsidDel="00000000" w:rsidR="00000000" w:rsidRPr="00000000">
        <w:rPr>
          <w:rFonts w:ascii="Arial Narrow" w:cs="Arial Narrow" w:eastAsia="Arial Narrow" w:hAnsi="Arial Narrow"/>
          <w:b w:val="1"/>
          <w:i w:val="1"/>
          <w:sz w:val="22"/>
          <w:szCs w:val="22"/>
          <w:rtl w:val="0"/>
        </w:rPr>
        <w:t xml:space="preserve">las leyes</w:t>
      </w:r>
      <w:r w:rsidDel="00000000" w:rsidR="00000000" w:rsidRPr="00000000">
        <w:rPr>
          <w:rFonts w:ascii="Arial Narrow" w:cs="Arial Narrow" w:eastAsia="Arial Narrow" w:hAnsi="Arial Narrow"/>
          <w:i w:val="1"/>
          <w:sz w:val="22"/>
          <w:szCs w:val="22"/>
          <w:rtl w:val="0"/>
        </w:rPr>
        <w:t xml:space="preserve"> y códigos en todos los ramos de la legislación</w:t>
      </w:r>
      <w:r w:rsidDel="00000000" w:rsidR="00000000" w:rsidRPr="00000000">
        <w:rPr>
          <w:rFonts w:ascii="Arial Narrow" w:cs="Arial Narrow" w:eastAsia="Arial Narrow" w:hAnsi="Arial Narrow"/>
          <w:sz w:val="26"/>
          <w:szCs w:val="26"/>
          <w:rtl w:val="0"/>
        </w:rPr>
        <w:t xml:space="preserve">”.</w:t>
      </w:r>
    </w:p>
    <w:p w:rsidR="00000000" w:rsidDel="00000000" w:rsidP="00000000" w:rsidRDefault="00000000" w:rsidRPr="00000000" w14:paraId="000000BB">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BC">
      <w:pPr>
        <w:spacing w:after="0" w:line="240" w:lineRule="auto"/>
        <w:ind w:left="0" w:hanging="2"/>
        <w:jc w:val="both"/>
        <w:rPr>
          <w:rFonts w:ascii="Arial Narrow" w:cs="Arial Narrow" w:eastAsia="Arial Narrow" w:hAnsi="Arial Narrow"/>
          <w:sz w:val="26"/>
          <w:szCs w:val="26"/>
        </w:rPr>
      </w:pPr>
      <w:r w:rsidDel="00000000" w:rsidR="00000000" w:rsidRPr="00000000">
        <w:rPr>
          <w:rFonts w:ascii="Arial Narrow" w:cs="Arial Narrow" w:eastAsia="Arial Narrow" w:hAnsi="Arial Narrow"/>
          <w:sz w:val="24"/>
          <w:szCs w:val="24"/>
          <w:rtl w:val="0"/>
        </w:rPr>
        <w:t xml:space="preserve">Artículo 139°. </w:t>
      </w:r>
      <w:r w:rsidDel="00000000" w:rsidR="00000000" w:rsidRPr="00000000">
        <w:rPr>
          <w:rFonts w:ascii="Arial Narrow" w:cs="Arial Narrow" w:eastAsia="Arial Narrow" w:hAnsi="Arial Narrow"/>
          <w:sz w:val="26"/>
          <w:szCs w:val="26"/>
          <w:rtl w:val="0"/>
        </w:rPr>
        <w:t xml:space="preserve">“</w:t>
      </w:r>
      <w:r w:rsidDel="00000000" w:rsidR="00000000" w:rsidRPr="00000000">
        <w:rPr>
          <w:rFonts w:ascii="Arial Narrow" w:cs="Arial Narrow" w:eastAsia="Arial Narrow" w:hAnsi="Arial Narrow"/>
          <w:i w:val="1"/>
          <w:sz w:val="22"/>
          <w:szCs w:val="22"/>
          <w:rtl w:val="0"/>
        </w:rPr>
        <w:t xml:space="preserve">Presentación de proyectos. Los proyectos de ley podrán presentarse en la Secretaría General de las Cámaras o en sus plenarias</w:t>
      </w:r>
      <w:r w:rsidDel="00000000" w:rsidR="00000000" w:rsidRPr="00000000">
        <w:rPr>
          <w:rFonts w:ascii="Arial Narrow" w:cs="Arial Narrow" w:eastAsia="Arial Narrow" w:hAnsi="Arial Narrow"/>
          <w:sz w:val="26"/>
          <w:szCs w:val="26"/>
          <w:rtl w:val="0"/>
        </w:rPr>
        <w:t xml:space="preserve">”.</w:t>
      </w:r>
    </w:p>
    <w:p w:rsidR="00000000" w:rsidDel="00000000" w:rsidP="00000000" w:rsidRDefault="00000000" w:rsidRPr="00000000" w14:paraId="000000BD">
      <w:pPr>
        <w:spacing w:after="0" w:line="240" w:lineRule="auto"/>
        <w:ind w:left="1" w:hanging="3"/>
        <w:jc w:val="both"/>
        <w:rPr>
          <w:rFonts w:ascii="Arial Narrow" w:cs="Arial Narrow" w:eastAsia="Arial Narrow" w:hAnsi="Arial Narrow"/>
          <w:sz w:val="26"/>
          <w:szCs w:val="26"/>
        </w:rPr>
      </w:pPr>
      <w:r w:rsidDel="00000000" w:rsidR="00000000" w:rsidRPr="00000000">
        <w:rPr>
          <w:rtl w:val="0"/>
        </w:rPr>
      </w:r>
    </w:p>
    <w:p w:rsidR="00000000" w:rsidDel="00000000" w:rsidP="00000000" w:rsidRDefault="00000000" w:rsidRPr="00000000" w14:paraId="000000BE">
      <w:pPr>
        <w:spacing w:after="0" w:line="240" w:lineRule="auto"/>
        <w:ind w:left="0" w:hanging="2"/>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sz w:val="24"/>
          <w:szCs w:val="24"/>
          <w:rtl w:val="0"/>
        </w:rPr>
        <w:t xml:space="preserve">Artículo 140°. </w:t>
      </w:r>
      <w:r w:rsidDel="00000000" w:rsidR="00000000" w:rsidRPr="00000000">
        <w:rPr>
          <w:rFonts w:ascii="Arial Narrow" w:cs="Arial Narrow" w:eastAsia="Arial Narrow" w:hAnsi="Arial Narrow"/>
          <w:i w:val="1"/>
          <w:sz w:val="22"/>
          <w:szCs w:val="22"/>
          <w:rtl w:val="0"/>
        </w:rPr>
        <w:t xml:space="preserve">“(modificado por el artículo 13 de la Ley 974 de 2005). Iniciativa legislativa. </w:t>
      </w:r>
      <w:r w:rsidDel="00000000" w:rsidR="00000000" w:rsidRPr="00000000">
        <w:rPr>
          <w:rFonts w:ascii="Arial Narrow" w:cs="Arial Narrow" w:eastAsia="Arial Narrow" w:hAnsi="Arial Narrow"/>
          <w:b w:val="1"/>
          <w:i w:val="1"/>
          <w:sz w:val="22"/>
          <w:szCs w:val="22"/>
          <w:rtl w:val="0"/>
        </w:rPr>
        <w:t xml:space="preserve">Pueden presentar proyectos de ley</w:t>
      </w:r>
      <w:r w:rsidDel="00000000" w:rsidR="00000000" w:rsidRPr="00000000">
        <w:rPr>
          <w:rFonts w:ascii="Arial Narrow" w:cs="Arial Narrow" w:eastAsia="Arial Narrow" w:hAnsi="Arial Narrow"/>
          <w:i w:val="1"/>
          <w:sz w:val="22"/>
          <w:szCs w:val="22"/>
          <w:rtl w:val="0"/>
        </w:rPr>
        <w:t xml:space="preserve">:</w:t>
      </w:r>
    </w:p>
    <w:p w:rsidR="00000000" w:rsidDel="00000000" w:rsidP="00000000" w:rsidRDefault="00000000" w:rsidRPr="00000000" w14:paraId="000000BF">
      <w:pPr>
        <w:spacing w:after="0" w:line="240" w:lineRule="auto"/>
        <w:ind w:left="0" w:hanging="2"/>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i w:val="1"/>
          <w:sz w:val="22"/>
          <w:szCs w:val="22"/>
          <w:rtl w:val="0"/>
        </w:rPr>
        <w:t xml:space="preserve">1.</w:t>
      </w:r>
      <w:r w:rsidDel="00000000" w:rsidR="00000000" w:rsidRPr="00000000">
        <w:rPr>
          <w:rFonts w:ascii="Arial Narrow" w:cs="Arial Narrow" w:eastAsia="Arial Narrow" w:hAnsi="Arial Narrow"/>
          <w:sz w:val="16"/>
          <w:szCs w:val="16"/>
          <w:rtl w:val="0"/>
        </w:rPr>
        <w:t xml:space="preserve">            </w:t>
      </w:r>
      <w:r w:rsidDel="00000000" w:rsidR="00000000" w:rsidRPr="00000000">
        <w:rPr>
          <w:rFonts w:ascii="Arial Narrow" w:cs="Arial Narrow" w:eastAsia="Arial Narrow" w:hAnsi="Arial Narrow"/>
          <w:i w:val="1"/>
          <w:sz w:val="22"/>
          <w:szCs w:val="22"/>
          <w:rtl w:val="0"/>
        </w:rPr>
        <w:t xml:space="preserve">Los Senadores y </w:t>
      </w:r>
      <w:r w:rsidDel="00000000" w:rsidR="00000000" w:rsidRPr="00000000">
        <w:rPr>
          <w:rFonts w:ascii="Arial Narrow" w:cs="Arial Narrow" w:eastAsia="Arial Narrow" w:hAnsi="Arial Narrow"/>
          <w:b w:val="1"/>
          <w:i w:val="1"/>
          <w:sz w:val="22"/>
          <w:szCs w:val="22"/>
          <w:rtl w:val="0"/>
        </w:rPr>
        <w:t xml:space="preserve">Representantes a la Cámara</w:t>
      </w:r>
      <w:r w:rsidDel="00000000" w:rsidR="00000000" w:rsidRPr="00000000">
        <w:rPr>
          <w:rFonts w:ascii="Arial Narrow" w:cs="Arial Narrow" w:eastAsia="Arial Narrow" w:hAnsi="Arial Narrow"/>
          <w:i w:val="1"/>
          <w:sz w:val="22"/>
          <w:szCs w:val="22"/>
          <w:rtl w:val="0"/>
        </w:rPr>
        <w:t xml:space="preserve"> individualmente y a través de las bancadas.</w:t>
      </w:r>
    </w:p>
    <w:p w:rsidR="00000000" w:rsidDel="00000000" w:rsidP="00000000" w:rsidRDefault="00000000" w:rsidRPr="00000000" w14:paraId="000000C0">
      <w:pPr>
        <w:spacing w:after="0" w:line="240" w:lineRule="auto"/>
        <w:ind w:left="0" w:hanging="2"/>
        <w:jc w:val="both"/>
        <w:rPr>
          <w:rFonts w:ascii="Arial Narrow" w:cs="Arial Narrow" w:eastAsia="Arial Narrow" w:hAnsi="Arial Narrow"/>
          <w:sz w:val="26"/>
          <w:szCs w:val="26"/>
        </w:rPr>
      </w:pPr>
      <w:r w:rsidDel="00000000" w:rsidR="00000000" w:rsidRPr="00000000">
        <w:rPr>
          <w:rFonts w:ascii="Arial Narrow" w:cs="Arial Narrow" w:eastAsia="Arial Narrow" w:hAnsi="Arial Narrow"/>
          <w:i w:val="1"/>
          <w:sz w:val="22"/>
          <w:szCs w:val="22"/>
          <w:rtl w:val="0"/>
        </w:rPr>
        <w:t xml:space="preserve">(…)”</w:t>
      </w:r>
      <w:r w:rsidDel="00000000" w:rsidR="00000000" w:rsidRPr="00000000">
        <w:rPr>
          <w:rFonts w:ascii="Arial Narrow" w:cs="Arial Narrow" w:eastAsia="Arial Narrow" w:hAnsi="Arial Narrow"/>
          <w:sz w:val="26"/>
          <w:szCs w:val="26"/>
          <w:rtl w:val="0"/>
        </w:rPr>
        <w:t xml:space="preserve">. </w:t>
      </w:r>
      <w:r w:rsidDel="00000000" w:rsidR="00000000" w:rsidRPr="00000000">
        <w:rPr>
          <w:rFonts w:ascii="Arial Narrow" w:cs="Arial Narrow" w:eastAsia="Arial Narrow" w:hAnsi="Arial Narrow"/>
          <w:sz w:val="24"/>
          <w:szCs w:val="24"/>
          <w:rtl w:val="0"/>
        </w:rPr>
        <w:t xml:space="preserve">(</w:t>
      </w:r>
      <w:r w:rsidDel="00000000" w:rsidR="00000000" w:rsidRPr="00000000">
        <w:rPr>
          <w:rFonts w:ascii="Arial Narrow" w:cs="Arial Narrow" w:eastAsia="Arial Narrow" w:hAnsi="Arial Narrow"/>
          <w:i w:val="1"/>
          <w:sz w:val="20"/>
          <w:szCs w:val="20"/>
          <w:rtl w:val="0"/>
        </w:rPr>
        <w:t xml:space="preserve">Negrilla fuera del texto</w:t>
      </w:r>
      <w:r w:rsidDel="00000000" w:rsidR="00000000" w:rsidRPr="00000000">
        <w:rPr>
          <w:rFonts w:ascii="Arial Narrow" w:cs="Arial Narrow" w:eastAsia="Arial Narrow" w:hAnsi="Arial Narrow"/>
          <w:sz w:val="24"/>
          <w:szCs w:val="24"/>
          <w:rtl w:val="0"/>
        </w:rPr>
        <w:t xml:space="preserve">).</w:t>
      </w:r>
      <w:r w:rsidDel="00000000" w:rsidR="00000000" w:rsidRPr="00000000">
        <w:rPr>
          <w:rtl w:val="0"/>
        </w:rPr>
      </w:r>
    </w:p>
    <w:p w:rsidR="00000000" w:rsidDel="00000000" w:rsidP="00000000" w:rsidRDefault="00000000" w:rsidRPr="00000000" w14:paraId="000000C1">
      <w:pPr>
        <w:spacing w:after="0" w:line="240" w:lineRule="auto"/>
        <w:ind w:left="1" w:hanging="3"/>
        <w:jc w:val="both"/>
        <w:rPr>
          <w:rFonts w:ascii="Arial Narrow" w:cs="Arial Narrow" w:eastAsia="Arial Narrow" w:hAnsi="Arial Narrow"/>
          <w:sz w:val="26"/>
          <w:szCs w:val="26"/>
        </w:rPr>
      </w:pPr>
      <w:r w:rsidDel="00000000" w:rsidR="00000000" w:rsidRPr="00000000">
        <w:rPr>
          <w:rtl w:val="0"/>
        </w:rPr>
      </w:r>
    </w:p>
    <w:p w:rsidR="00000000" w:rsidDel="00000000" w:rsidP="00000000" w:rsidRDefault="00000000" w:rsidRPr="00000000" w14:paraId="000000C2">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tab/>
      </w:r>
      <w:r w:rsidDel="00000000" w:rsidR="00000000" w:rsidRPr="00000000">
        <w:rPr>
          <w:rFonts w:ascii="Arial Narrow" w:cs="Arial Narrow" w:eastAsia="Arial Narrow" w:hAnsi="Arial Narrow"/>
          <w:b w:val="1"/>
          <w:sz w:val="24"/>
          <w:szCs w:val="24"/>
          <w:rtl w:val="0"/>
        </w:rPr>
        <w:t xml:space="preserve">Ley 397 de 1997</w:t>
      </w:r>
      <w:r w:rsidDel="00000000" w:rsidR="00000000" w:rsidRPr="00000000">
        <w:rPr>
          <w:rFonts w:ascii="Arial Narrow" w:cs="Arial Narrow" w:eastAsia="Arial Narrow" w:hAnsi="Arial Narrow"/>
          <w:sz w:val="24"/>
          <w:szCs w:val="24"/>
          <w:rtl w:val="0"/>
        </w:rPr>
        <w:t xml:space="preserve"> - “</w:t>
      </w:r>
      <w:r w:rsidDel="00000000" w:rsidR="00000000" w:rsidRPr="00000000">
        <w:rPr>
          <w:rFonts w:ascii="Arial Narrow" w:cs="Arial Narrow" w:eastAsia="Arial Narrow" w:hAnsi="Arial Narrow"/>
          <w:i w:val="1"/>
          <w:sz w:val="22"/>
          <w:szCs w:val="22"/>
          <w:rtl w:val="0"/>
        </w:rPr>
        <w:t xml:space="preserve">Por la cual se desarrollan los artículos 70, 71 y 72 y demás artículos concordantes de la Constitución Política y se dictan normas sobre patrimonio cultural, fomentos y estímulos a la cultura, se crea el Ministerio de la Cultura y se trasladan algunas dependencias</w:t>
      </w:r>
      <w:r w:rsidDel="00000000" w:rsidR="00000000" w:rsidRPr="00000000">
        <w:rPr>
          <w:rFonts w:ascii="Arial Narrow" w:cs="Arial Narrow" w:eastAsia="Arial Narrow" w:hAnsi="Arial Narrow"/>
          <w:sz w:val="24"/>
          <w:szCs w:val="24"/>
          <w:rtl w:val="0"/>
        </w:rPr>
        <w:t xml:space="preserve">”.</w:t>
      </w:r>
    </w:p>
    <w:p w:rsidR="00000000" w:rsidDel="00000000" w:rsidP="00000000" w:rsidRDefault="00000000" w:rsidRPr="00000000" w14:paraId="000000C3">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p w:rsidR="00000000" w:rsidDel="00000000" w:rsidP="00000000" w:rsidRDefault="00000000" w:rsidRPr="00000000" w14:paraId="000000C4">
      <w:pPr>
        <w:spacing w:after="0" w:line="240" w:lineRule="auto"/>
        <w:ind w:left="0" w:hanging="2"/>
        <w:jc w:val="both"/>
        <w:rPr>
          <w:rFonts w:ascii="Arial Narrow" w:cs="Arial Narrow" w:eastAsia="Arial Narrow" w:hAnsi="Arial Narrow"/>
          <w:i w:val="1"/>
          <w:sz w:val="24"/>
          <w:szCs w:val="24"/>
        </w:rPr>
      </w:pPr>
      <w:r w:rsidDel="00000000" w:rsidR="00000000" w:rsidRPr="00000000">
        <w:rPr>
          <w:rFonts w:ascii="Arial Narrow" w:cs="Arial Narrow" w:eastAsia="Arial Narrow" w:hAnsi="Arial Narrow"/>
          <w:sz w:val="24"/>
          <w:szCs w:val="24"/>
          <w:rtl w:val="0"/>
        </w:rPr>
        <w:t xml:space="preserve">●     </w:t>
        <w:tab/>
      </w:r>
      <w:r w:rsidDel="00000000" w:rsidR="00000000" w:rsidRPr="00000000">
        <w:rPr>
          <w:rFonts w:ascii="Arial Narrow" w:cs="Arial Narrow" w:eastAsia="Arial Narrow" w:hAnsi="Arial Narrow"/>
          <w:b w:val="1"/>
          <w:sz w:val="24"/>
          <w:szCs w:val="24"/>
          <w:rtl w:val="0"/>
        </w:rPr>
        <w:t xml:space="preserve">Ley 1037 de 2006</w:t>
      </w:r>
      <w:r w:rsidDel="00000000" w:rsidR="00000000" w:rsidRPr="00000000">
        <w:rPr>
          <w:rFonts w:ascii="Arial Narrow" w:cs="Arial Narrow" w:eastAsia="Arial Narrow" w:hAnsi="Arial Narrow"/>
          <w:sz w:val="24"/>
          <w:szCs w:val="24"/>
          <w:rtl w:val="0"/>
        </w:rPr>
        <w:t xml:space="preserve"> - “</w:t>
      </w:r>
      <w:r w:rsidDel="00000000" w:rsidR="00000000" w:rsidRPr="00000000">
        <w:rPr>
          <w:rFonts w:ascii="Arial Narrow" w:cs="Arial Narrow" w:eastAsia="Arial Narrow" w:hAnsi="Arial Narrow"/>
          <w:i w:val="1"/>
          <w:sz w:val="22"/>
          <w:szCs w:val="22"/>
          <w:rtl w:val="0"/>
        </w:rPr>
        <w:t xml:space="preserve">Por medio de la cual se aprueba la “Convención para la Salvaguardia del Patrimonio Cultural Inmaterial”, aprobada por la Conferencia General de la Unesco en su XXXII reunión, celebrada en París y clausurada el diecisiete (17) de octubre de dos mil tres (2003), y hecha y firmada en París el tres (3) de noviembre de dos mil tres (2003)</w:t>
      </w:r>
      <w:r w:rsidDel="00000000" w:rsidR="00000000" w:rsidRPr="00000000">
        <w:rPr>
          <w:rFonts w:ascii="Arial Narrow" w:cs="Arial Narrow" w:eastAsia="Arial Narrow" w:hAnsi="Arial Narrow"/>
          <w:sz w:val="24"/>
          <w:szCs w:val="24"/>
          <w:rtl w:val="0"/>
        </w:rPr>
        <w:t xml:space="preserve">, en su artículo 1° dispone las finalidades de la convención: </w:t>
      </w:r>
      <w:r w:rsidDel="00000000" w:rsidR="00000000" w:rsidRPr="00000000">
        <w:rPr>
          <w:rFonts w:ascii="Arial Narrow" w:cs="Arial Narrow" w:eastAsia="Arial Narrow" w:hAnsi="Arial Narrow"/>
          <w:i w:val="1"/>
          <w:sz w:val="24"/>
          <w:szCs w:val="24"/>
          <w:rtl w:val="0"/>
        </w:rPr>
        <w:t xml:space="preserve">“</w:t>
      </w:r>
      <w:r w:rsidDel="00000000" w:rsidR="00000000" w:rsidRPr="00000000">
        <w:rPr>
          <w:rFonts w:ascii="Arial Narrow" w:cs="Arial Narrow" w:eastAsia="Arial Narrow" w:hAnsi="Arial Narrow"/>
          <w:i w:val="1"/>
          <w:sz w:val="22"/>
          <w:szCs w:val="22"/>
          <w:rtl w:val="0"/>
        </w:rPr>
        <w:t xml:space="preserve">a) La Salvaguardia del Patrimonio Cultural Inmaterial; b) El respeto del patrimonio cultural inmaterial de las comunidades, grupos e individuos de que se trate; c) La sensibilización en el plano local, nacional e internacional a la importancia del patrimonio cultural inmaterial y de su reconocimiento recíproco; d) La cooperación y asistencia internacionales</w:t>
      </w:r>
      <w:r w:rsidDel="00000000" w:rsidR="00000000" w:rsidRPr="00000000">
        <w:rPr>
          <w:rFonts w:ascii="Arial Narrow" w:cs="Arial Narrow" w:eastAsia="Arial Narrow" w:hAnsi="Arial Narrow"/>
          <w:i w:val="1"/>
          <w:sz w:val="24"/>
          <w:szCs w:val="24"/>
          <w:rtl w:val="0"/>
        </w:rPr>
        <w:t xml:space="preserve">.”</w:t>
      </w:r>
    </w:p>
    <w:p w:rsidR="00000000" w:rsidDel="00000000" w:rsidP="00000000" w:rsidRDefault="00000000" w:rsidRPr="00000000" w14:paraId="000000C5">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C6">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tab/>
        <w:t xml:space="preserve">Ley 1185 de 2008 – “</w:t>
      </w:r>
      <w:r w:rsidDel="00000000" w:rsidR="00000000" w:rsidRPr="00000000">
        <w:rPr>
          <w:rFonts w:ascii="Arial Narrow" w:cs="Arial Narrow" w:eastAsia="Arial Narrow" w:hAnsi="Arial Narrow"/>
          <w:i w:val="1"/>
          <w:sz w:val="22"/>
          <w:szCs w:val="22"/>
          <w:rtl w:val="0"/>
        </w:rPr>
        <w:t xml:space="preserve">Por la cual se modifica y adiciona la Ley 397 de 1997 –Ley General de Cultura– y se dictan otras disposiciones</w:t>
      </w:r>
      <w:r w:rsidDel="00000000" w:rsidR="00000000" w:rsidRPr="00000000">
        <w:rPr>
          <w:rFonts w:ascii="Arial Narrow" w:cs="Arial Narrow" w:eastAsia="Arial Narrow" w:hAnsi="Arial Narrow"/>
          <w:sz w:val="24"/>
          <w:szCs w:val="24"/>
          <w:rtl w:val="0"/>
        </w:rPr>
        <w:t xml:space="preserve">.”</w:t>
      </w:r>
    </w:p>
    <w:p w:rsidR="00000000" w:rsidDel="00000000" w:rsidP="00000000" w:rsidRDefault="00000000" w:rsidRPr="00000000" w14:paraId="000000C7">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p w:rsidR="00000000" w:rsidDel="00000000" w:rsidP="00000000" w:rsidRDefault="00000000" w:rsidRPr="00000000" w14:paraId="000000C8">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tab/>
        <w:t xml:space="preserve">Decreto 2941 de 2009 – “</w:t>
      </w:r>
      <w:r w:rsidDel="00000000" w:rsidR="00000000" w:rsidRPr="00000000">
        <w:rPr>
          <w:rFonts w:ascii="Arial Narrow" w:cs="Arial Narrow" w:eastAsia="Arial Narrow" w:hAnsi="Arial Narrow"/>
          <w:i w:val="1"/>
          <w:sz w:val="22"/>
          <w:szCs w:val="22"/>
          <w:rtl w:val="0"/>
        </w:rPr>
        <w:t xml:space="preserve">Por el cual se reglamenta parcialmente la Ley 397 de 1997 modificada por la Ley 1185 de 2008, en lo correspondiente al Patrimonio Cultural de la Nación de naturaleza inmaterial.</w:t>
      </w:r>
      <w:r w:rsidDel="00000000" w:rsidR="00000000" w:rsidRPr="00000000">
        <w:rPr>
          <w:rFonts w:ascii="Arial Narrow" w:cs="Arial Narrow" w:eastAsia="Arial Narrow" w:hAnsi="Arial Narrow"/>
          <w:sz w:val="24"/>
          <w:szCs w:val="24"/>
          <w:rtl w:val="0"/>
        </w:rPr>
        <w:t xml:space="preserve">”, determina en su artículo 8 “</w:t>
      </w:r>
      <w:r w:rsidDel="00000000" w:rsidR="00000000" w:rsidRPr="00000000">
        <w:rPr>
          <w:rFonts w:ascii="Arial Narrow" w:cs="Arial Narrow" w:eastAsia="Arial Narrow" w:hAnsi="Arial Narrow"/>
          <w:i w:val="1"/>
          <w:sz w:val="22"/>
          <w:szCs w:val="22"/>
          <w:rtl w:val="0"/>
        </w:rPr>
        <w:t xml:space="preserve">Campos de alcance de la Lista Representativa de Patrimonio Cultural Inmaterial. La Lista Representativa de Patrimonio Cultural Inmaterial se podrá integrar con manifestaciones que correspondan a uno o varios de los siguientes campos:”, (…) numeral “6) Técnicas y tradiciones asociadas a la fabricación de objetos artesanales. Comprende el conjunto de tradiciones familiares y comunitarias asociadas a la producción de tejidos, cerámica, cestería, adornos y en general, de objetos utilitarios de valor artesanal</w:t>
      </w:r>
      <w:r w:rsidDel="00000000" w:rsidR="00000000" w:rsidRPr="00000000">
        <w:rPr>
          <w:rFonts w:ascii="Arial Narrow" w:cs="Arial Narrow" w:eastAsia="Arial Narrow" w:hAnsi="Arial Narrow"/>
          <w:sz w:val="24"/>
          <w:szCs w:val="24"/>
          <w:rtl w:val="0"/>
        </w:rPr>
        <w:t xml:space="preserve">.”</w:t>
      </w:r>
    </w:p>
    <w:p w:rsidR="00000000" w:rsidDel="00000000" w:rsidP="00000000" w:rsidRDefault="00000000" w:rsidRPr="00000000" w14:paraId="000000C9">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CA">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w:t>
      </w:r>
      <w:r w:rsidDel="00000000" w:rsidR="00000000" w:rsidRPr="00000000">
        <w:rPr>
          <w:rFonts w:ascii="Arial Narrow" w:cs="Arial Narrow" w:eastAsia="Arial Narrow" w:hAnsi="Arial Narrow"/>
          <w:sz w:val="14"/>
          <w:szCs w:val="14"/>
          <w:rtl w:val="0"/>
        </w:rPr>
        <w:t xml:space="preserve">                   </w:t>
      </w:r>
      <w:r w:rsidDel="00000000" w:rsidR="00000000" w:rsidRPr="00000000">
        <w:rPr>
          <w:rFonts w:ascii="Arial Narrow" w:cs="Arial Narrow" w:eastAsia="Arial Narrow" w:hAnsi="Arial Narrow"/>
          <w:sz w:val="24"/>
          <w:szCs w:val="24"/>
          <w:rtl w:val="0"/>
        </w:rPr>
        <w:t xml:space="preserve">Decreto 1080 de 2015 - “</w:t>
      </w:r>
      <w:r w:rsidDel="00000000" w:rsidR="00000000" w:rsidRPr="00000000">
        <w:rPr>
          <w:rFonts w:ascii="Arial Narrow" w:cs="Arial Narrow" w:eastAsia="Arial Narrow" w:hAnsi="Arial Narrow"/>
          <w:i w:val="1"/>
          <w:sz w:val="22"/>
          <w:szCs w:val="22"/>
          <w:rtl w:val="0"/>
        </w:rPr>
        <w:t xml:space="preserve">Por medio del cual se expide el Decreto Único Reglamentario del Sector Cultura</w:t>
      </w:r>
      <w:r w:rsidDel="00000000" w:rsidR="00000000" w:rsidRPr="00000000">
        <w:rPr>
          <w:rFonts w:ascii="Arial Narrow" w:cs="Arial Narrow" w:eastAsia="Arial Narrow" w:hAnsi="Arial Narrow"/>
          <w:sz w:val="24"/>
          <w:szCs w:val="24"/>
          <w:rtl w:val="0"/>
        </w:rPr>
        <w:t xml:space="preserve">”, Modificado por el Decreto 2358 de 2019 – “</w:t>
      </w:r>
      <w:r w:rsidDel="00000000" w:rsidR="00000000" w:rsidRPr="00000000">
        <w:rPr>
          <w:rFonts w:ascii="Arial Narrow" w:cs="Arial Narrow" w:eastAsia="Arial Narrow" w:hAnsi="Arial Narrow"/>
          <w:i w:val="1"/>
          <w:sz w:val="22"/>
          <w:szCs w:val="22"/>
          <w:rtl w:val="0"/>
        </w:rPr>
        <w:t xml:space="preserve">Por el cual se modifica y adiciona el decreto 1080 de 2015, Decreto Único Reglamentario del Sector Cultura, en lo relacionado con el Patrimonio Cultural Material e Inmaterial.</w:t>
      </w:r>
      <w:r w:rsidDel="00000000" w:rsidR="00000000" w:rsidRPr="00000000">
        <w:rPr>
          <w:rFonts w:ascii="Arial Narrow" w:cs="Arial Narrow" w:eastAsia="Arial Narrow" w:hAnsi="Arial Narrow"/>
          <w:sz w:val="24"/>
          <w:szCs w:val="24"/>
          <w:rtl w:val="0"/>
        </w:rPr>
        <w:t xml:space="preserve">”, lineamientos que permiten la regulación del sector cultural y lo referente al patrimonio cultural inmaterial.</w:t>
      </w:r>
    </w:p>
    <w:p w:rsidR="00000000" w:rsidDel="00000000" w:rsidP="00000000" w:rsidRDefault="00000000" w:rsidRPr="00000000" w14:paraId="000000CB">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CC">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 anteriormente expuesto, es la base Constitucional y legal que se ostenta como fundamento normativo para impulsar el trámite legislativo de la propuesta planteada en el proyecto de ley que permitirá y dará garantías al desarrollo cultural, en la declaratoria, reconocimiento y exaltación del patrimonio cultural inmaterial de la nación a las prácticas y habilidades que ejercen los habitantes de los municipios que conforman la subregión de la Depresión Momposina Bolivarense; así mismo y de manera estratégica, contribuir con el fomento, protección y fortalecimiento del patrimonio cultura, la tradición y sus expresiones artísticas en el territorio.</w:t>
      </w:r>
    </w:p>
    <w:p w:rsidR="00000000" w:rsidDel="00000000" w:rsidP="00000000" w:rsidRDefault="00000000" w:rsidRPr="00000000" w14:paraId="000000CD">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CE">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CF">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V.  IMPACTO FISCAL</w:t>
      </w:r>
      <w:r w:rsidDel="00000000" w:rsidR="00000000" w:rsidRPr="00000000">
        <w:rPr>
          <w:rtl w:val="0"/>
        </w:rPr>
      </w:r>
    </w:p>
    <w:p w:rsidR="00000000" w:rsidDel="00000000" w:rsidP="00000000" w:rsidRDefault="00000000" w:rsidRPr="00000000" w14:paraId="000000D1">
      <w:pPr>
        <w:spacing w:after="0" w:line="276"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D2">
      <w:pPr>
        <w:spacing w:after="0" w:line="276"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cumplimiento del artículo 7º de la Ley 819 de 2003, el cual señala que</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i w:val="1"/>
          <w:sz w:val="22"/>
          <w:szCs w:val="22"/>
          <w:rtl w:val="0"/>
        </w:rPr>
        <w:t xml:space="preserve">“(...) En todo momento, el impacto fiscal de cualquier proyecto de ley, ordenanza o acuerdo, que ordene gasto o que otorgue beneficios tributarios, deberá hacerse explícito y deberá ser compatible con el Marco Fiscal de Mediano Plazo </w:t>
      </w:r>
      <w:r w:rsidDel="00000000" w:rsidR="00000000" w:rsidRPr="00000000">
        <w:rPr>
          <w:rFonts w:ascii="Arial Narrow" w:cs="Arial Narrow" w:eastAsia="Arial Narrow" w:hAnsi="Arial Narrow"/>
          <w:i w:val="1"/>
          <w:sz w:val="24"/>
          <w:szCs w:val="24"/>
          <w:rtl w:val="0"/>
        </w:rPr>
        <w:t xml:space="preserve">(...)”</w:t>
      </w:r>
      <w:r w:rsidDel="00000000" w:rsidR="00000000" w:rsidRPr="00000000">
        <w:rPr>
          <w:rFonts w:ascii="Arial Narrow" w:cs="Arial Narrow" w:eastAsia="Arial Narrow" w:hAnsi="Arial Narrow"/>
          <w:sz w:val="24"/>
          <w:szCs w:val="24"/>
          <w:rtl w:val="0"/>
        </w:rPr>
        <w:t xml:space="preserve">; es preciso determinar que el presente proyecto de ley no genera impacto fiscal, toda vez que no ordena gasto adicional ni tampoco otorga beneficios tributarios de ningún tipo; solamente se autoriza al Gobierno nacional para que apropie las partidas presupuestales necesarias o las que se requieran para el cumplimiento de lo dispuesto, ya que las mismas deben estar incluidas en la lista Representativa de Patrimonio Cultural Inmaterial (LRPCI).</w:t>
      </w:r>
    </w:p>
    <w:p w:rsidR="00000000" w:rsidDel="00000000" w:rsidP="00000000" w:rsidRDefault="00000000" w:rsidRPr="00000000" w14:paraId="000000D3">
      <w:pPr>
        <w:spacing w:after="0" w:line="276" w:lineRule="auto"/>
        <w:ind w:left="0" w:hanging="2"/>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D4">
      <w:pPr>
        <w:spacing w:after="0" w:line="276"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Particularmente, el artículo referido de la Ley 819 de 2003, ha sido objeto de fallo por parte de la Corte Constitucional, teniendo en cuenta lo dispuesto en la Sentencia C-502 de 2007, el cual señala que los incisos del artículo 7,</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i w:val="1"/>
          <w:sz w:val="22"/>
          <w:szCs w:val="22"/>
          <w:rtl w:val="0"/>
        </w:rPr>
        <w:t xml:space="preserve">“debe interpretarse en el sentido de que su fin es obtener que las leyes que se dicten tengan en cuenta las realidades macroeconómicas, pero sin crear barreras insalvables en el ejercicio de la función legislativa ni crear un poder de veto legislativo en cabeza del Ministro de Hacienda”.</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sz w:val="24"/>
          <w:szCs w:val="24"/>
          <w:rtl w:val="0"/>
        </w:rPr>
        <w:t xml:space="preserve">En atención a la jurisprudencia citada para dar soporte al impacto fiscal de la iniciativa, es preciso tener claridad a lo establecido por la corte Constitucional en atención a que la carga de demostrar la inconveniencia del proyecto de ley con el marco fiscal de mediano plazo, corresponde y es competencia del Ministerio de Hacienda y Crédito Público, sin que ello genere un poder de veto al legislativo para adelantar y llevar a cabo su ejercicio de la función legislativa.</w:t>
      </w:r>
    </w:p>
    <w:p w:rsidR="00000000" w:rsidDel="00000000" w:rsidP="00000000" w:rsidRDefault="00000000" w:rsidRPr="00000000" w14:paraId="000000D5">
      <w:pPr>
        <w:spacing w:after="0" w:line="276"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D6">
      <w:pPr>
        <w:spacing w:after="0" w:line="276"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Por lo expuesto, la iniciativa legislativa no genera un costo fiscal directo y cumple con lo requerido en el artículo 7 de la Ley 819 de 2003.</w:t>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VI.  CIRCUNSTANCIAS O EVENTOS QUE PODRÍAN GENERAR CONFLICTOS DE INTERÉS</w:t>
      </w: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De acuerdo con el artículo 3 de la Ley 2003 de 2019, atentamente nos disponemos a señalar algunos criterios guías en los que se podría configurar conflictos de intereses, para que los congresistas tomen una decisión en torno a si se encuentran inmersos en alguna de estas causales, sin embargo, pueden existir otras causales en las que se pueda encontrar cada congresista, las cuales deberán ser determinadas para cada caso en particular por su titular, siendo estos criterios meramente informativos y que deben ser analizados teniendo en cuenta lo expresado en el artículo 1 de la Ley 2003 de 2019.</w:t>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sz w:val="24"/>
          <w:szCs w:val="24"/>
          <w:rtl w:val="0"/>
        </w:rPr>
        <w:t xml:space="preserve">Entre las situaciones que señala el artículo 1o antes mencionado, se encuentran</w:t>
      </w:r>
      <w:r w:rsidDel="00000000" w:rsidR="00000000" w:rsidRPr="00000000">
        <w:rPr>
          <w:rFonts w:ascii="Arial Narrow" w:cs="Arial Narrow" w:eastAsia="Arial Narrow" w:hAnsi="Arial Narrow"/>
          <w:color w:val="000000"/>
          <w:rtl w:val="0"/>
        </w:rPr>
        <w:t xml:space="preserve">: “a) </w:t>
      </w:r>
      <w:r w:rsidDel="00000000" w:rsidR="00000000" w:rsidRPr="00000000">
        <w:rPr>
          <w:rFonts w:ascii="Arial Narrow" w:cs="Arial Narrow" w:eastAsia="Arial Narrow" w:hAnsi="Arial Narrow"/>
          <w:b w:val="1"/>
          <w:i w:val="1"/>
          <w:color w:val="000000"/>
          <w:rtl w:val="0"/>
        </w:rPr>
        <w:t xml:space="preserve">Beneficio particular:</w:t>
      </w:r>
      <w:r w:rsidDel="00000000" w:rsidR="00000000" w:rsidRPr="00000000">
        <w:rPr>
          <w:rFonts w:ascii="Arial Narrow" w:cs="Arial Narrow" w:eastAsia="Arial Narrow" w:hAnsi="Arial Narrow"/>
          <w:i w:val="1"/>
          <w:color w:val="000000"/>
          <w:rtl w:val="0"/>
        </w:rPr>
        <w:t xml:space="preserve">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b) </w:t>
      </w:r>
      <w:r w:rsidDel="00000000" w:rsidR="00000000" w:rsidRPr="00000000">
        <w:rPr>
          <w:rFonts w:ascii="Arial Narrow" w:cs="Arial Narrow" w:eastAsia="Arial Narrow" w:hAnsi="Arial Narrow"/>
          <w:b w:val="1"/>
          <w:i w:val="1"/>
          <w:color w:val="000000"/>
          <w:rtl w:val="0"/>
        </w:rPr>
        <w:t xml:space="preserve"> Beneficio actual:</w:t>
      </w:r>
      <w:r w:rsidDel="00000000" w:rsidR="00000000" w:rsidRPr="00000000">
        <w:rPr>
          <w:rFonts w:ascii="Arial Narrow" w:cs="Arial Narrow" w:eastAsia="Arial Narrow" w:hAnsi="Arial Narrow"/>
          <w:i w:val="1"/>
          <w:color w:val="000000"/>
          <w:rtl w:val="0"/>
        </w:rPr>
        <w:t xml:space="preserve"> aquel que efectivamente se configura en las circunstancias presentes y existentes al momento en el que el congresista participa de la decisión; y el c) </w:t>
      </w:r>
      <w:r w:rsidDel="00000000" w:rsidR="00000000" w:rsidRPr="00000000">
        <w:rPr>
          <w:rFonts w:ascii="Arial Narrow" w:cs="Arial Narrow" w:eastAsia="Arial Narrow" w:hAnsi="Arial Narrow"/>
          <w:b w:val="1"/>
          <w:i w:val="1"/>
          <w:color w:val="000000"/>
          <w:rtl w:val="0"/>
        </w:rPr>
        <w:t xml:space="preserve">Beneficio directo</w:t>
      </w:r>
      <w:r w:rsidDel="00000000" w:rsidR="00000000" w:rsidRPr="00000000">
        <w:rPr>
          <w:rFonts w:ascii="Arial Narrow" w:cs="Arial Narrow" w:eastAsia="Arial Narrow" w:hAnsi="Arial Narrow"/>
          <w:i w:val="1"/>
          <w:color w:val="000000"/>
          <w:rtl w:val="0"/>
        </w:rPr>
        <w:t xml:space="preserve">: aquel que se produzca de forma específica respecto del congresista, de su cónyuge, compañero o compañera permanente, o parientes dentro del segundo grado de consanguinidad, segundo de afinidad o primero civil</w:t>
      </w:r>
      <w:r w:rsidDel="00000000" w:rsidR="00000000" w:rsidRPr="00000000">
        <w:rPr>
          <w:rFonts w:ascii="Arial Narrow" w:cs="Arial Narrow" w:eastAsia="Arial Narrow" w:hAnsi="Arial Narrow"/>
          <w:color w:val="000000"/>
          <w:rtl w:val="0"/>
        </w:rPr>
        <w:t xml:space="preserve">.”.</w:t>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color w:val="000000"/>
          <w:sz w:val="24"/>
          <w:szCs w:val="24"/>
          <w:rtl w:val="0"/>
        </w:rPr>
        <w:t xml:space="preserve">Por lo anterior, las circunstancias o eventos que podrían generar un conflicto de interés serían aquellos que tengan un beneficio particular, actual y directo en </w:t>
      </w:r>
      <w:r w:rsidDel="00000000" w:rsidR="00000000" w:rsidRPr="00000000">
        <w:rPr>
          <w:rFonts w:ascii="Arial Narrow" w:cs="Arial Narrow" w:eastAsia="Arial Narrow" w:hAnsi="Arial Narrow"/>
          <w:sz w:val="24"/>
          <w:szCs w:val="24"/>
          <w:rtl w:val="0"/>
        </w:rPr>
        <w:t xml:space="preserve">actividades</w:t>
      </w:r>
      <w:r w:rsidDel="00000000" w:rsidR="00000000" w:rsidRPr="00000000">
        <w:rPr>
          <w:rFonts w:ascii="Arial Narrow" w:cs="Arial Narrow" w:eastAsia="Arial Narrow" w:hAnsi="Arial Narrow"/>
          <w:color w:val="000000"/>
          <w:sz w:val="24"/>
          <w:szCs w:val="24"/>
          <w:rtl w:val="0"/>
        </w:rPr>
        <w:t xml:space="preserve"> relacionadas con </w:t>
      </w:r>
      <w:r w:rsidDel="00000000" w:rsidR="00000000" w:rsidRPr="00000000">
        <w:rPr>
          <w:rFonts w:ascii="Arial Narrow" w:cs="Arial Narrow" w:eastAsia="Arial Narrow" w:hAnsi="Arial Narrow"/>
          <w:sz w:val="24"/>
          <w:szCs w:val="24"/>
          <w:rtl w:val="0"/>
        </w:rPr>
        <w:t xml:space="preserve">el objeto de la iniciativa; además el proyecto de ley es de carácter general y no implica un conflicto de interés de carácter particular</w:t>
      </w:r>
      <w:r w:rsidDel="00000000" w:rsidR="00000000" w:rsidRPr="00000000">
        <w:rPr>
          <w:rFonts w:ascii="Arial Narrow" w:cs="Arial Narrow" w:eastAsia="Arial Narrow" w:hAnsi="Arial Narrow"/>
          <w:color w:val="000000"/>
          <w:sz w:val="24"/>
          <w:szCs w:val="24"/>
          <w:rtl w:val="0"/>
        </w:rPr>
        <w:t xml:space="preserve">.</w:t>
      </w: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Es preciso aclarar que los conflictos de interés son de carácter personal y corresponde a cada uno de los congresistas evaluarlos, teniendo presente que lo referido anteriormente, no los exonera de examinar cuidadosamente las posibles circunstancias que pueden dar lugar a conflictos de interés para conocer y votar este tipo de iniciativas.</w:t>
      </w:r>
    </w:p>
    <w:p w:rsidR="00000000" w:rsidDel="00000000" w:rsidP="00000000" w:rsidRDefault="00000000" w:rsidRPr="00000000" w14:paraId="000000E2">
      <w:pPr>
        <w:keepLines w:val="1"/>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E3">
      <w:pPr>
        <w:keepLines w:val="1"/>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los honorables Congresistas,</w:t>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E6">
      <w:pPr>
        <w:spacing w:after="0" w:lineRule="auto"/>
        <w:ind w:hanging="2"/>
        <w:rPr>
          <w:rFonts w:ascii="Arial Narrow" w:cs="Arial Narrow" w:eastAsia="Arial Narrow" w:hAnsi="Arial Narrow"/>
          <w:b w:val="1"/>
          <w:sz w:val="24"/>
          <w:szCs w:val="24"/>
        </w:rPr>
      </w:pPr>
      <w:r w:rsidDel="00000000" w:rsidR="00000000" w:rsidRPr="00000000">
        <w:rPr>
          <w:rtl w:val="0"/>
        </w:rPr>
      </w:r>
    </w:p>
    <w:tbl>
      <w:tblPr>
        <w:tblStyle w:val="Table6"/>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4"/>
        <w:gridCol w:w="4414"/>
        <w:tblGridChange w:id="0">
          <w:tblGrid>
            <w:gridCol w:w="4414"/>
            <w:gridCol w:w="4414"/>
          </w:tblGrid>
        </w:tblGridChange>
      </w:tblGrid>
      <w:tr>
        <w:trPr>
          <w:cantSplit w:val="0"/>
          <w:tblHeader w:val="0"/>
        </w:trPr>
        <w:tc>
          <w:tcPr/>
          <w:p w:rsidR="00000000" w:rsidDel="00000000" w:rsidP="00000000" w:rsidRDefault="00000000" w:rsidRPr="00000000" w14:paraId="000000E7">
            <w:pPr>
              <w:spacing w:after="0" w:line="240" w:lineRule="auto"/>
              <w:ind w:firstLine="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E8">
            <w:pPr>
              <w:spacing w:after="0" w:line="240" w:lineRule="auto"/>
              <w:ind w:firstLine="0"/>
              <w:jc w:val="center"/>
              <w:rPr>
                <w:rFonts w:ascii="Arial Narrow" w:cs="Arial Narrow" w:eastAsia="Arial Narrow" w:hAnsi="Arial Narrow"/>
                <w:b w:val="1"/>
              </w:rPr>
            </w:pPr>
            <w:r w:rsidDel="00000000" w:rsidR="00000000" w:rsidRPr="00000000">
              <w:rPr>
                <w:rFonts w:ascii="Arial Narrow" w:cs="Arial Narrow" w:eastAsia="Arial Narrow" w:hAnsi="Arial Narrow"/>
                <w:b w:val="1"/>
              </w:rPr>
              <w:drawing>
                <wp:inline distB="114300" distT="114300" distL="114300" distR="114300">
                  <wp:extent cx="2133600" cy="733425"/>
                  <wp:effectExtent b="0" l="0" r="0" t="0"/>
                  <wp:docPr id="107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133600" cy="733425"/>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spacing w:after="0" w:line="240" w:lineRule="auto"/>
              <w:ind w:firstLine="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ANDRÉS GUILLERMO MONTES CELEDÓN</w:t>
            </w:r>
          </w:p>
          <w:p w:rsidR="00000000" w:rsidDel="00000000" w:rsidP="00000000" w:rsidRDefault="00000000" w:rsidRPr="00000000" w14:paraId="000000EA">
            <w:pPr>
              <w:spacing w:after="0" w:line="240" w:lineRule="auto"/>
              <w:ind w:firstLine="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a la Cámara</w:t>
            </w:r>
          </w:p>
          <w:p w:rsidR="00000000" w:rsidDel="00000000" w:rsidP="00000000" w:rsidRDefault="00000000" w:rsidRPr="00000000" w14:paraId="000000EB">
            <w:pPr>
              <w:spacing w:after="0" w:line="240" w:lineRule="auto"/>
              <w:ind w:firstLine="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Departamento del Bolívar</w:t>
            </w:r>
          </w:p>
          <w:p w:rsidR="00000000" w:rsidDel="00000000" w:rsidP="00000000" w:rsidRDefault="00000000" w:rsidRPr="00000000" w14:paraId="000000EC">
            <w:pPr>
              <w:spacing w:after="0" w:line="240" w:lineRule="auto"/>
              <w:ind w:firstLine="0"/>
              <w:jc w:val="center"/>
              <w:rPr>
                <w:rFonts w:ascii="Arial Narrow" w:cs="Arial Narrow" w:eastAsia="Arial Narrow" w:hAnsi="Arial Narrow"/>
                <w:b w:val="1"/>
              </w:rPr>
            </w:pPr>
            <w:r w:rsidDel="00000000" w:rsidR="00000000" w:rsidRPr="00000000">
              <w:rPr>
                <w:rFonts w:ascii="Arial Narrow" w:cs="Arial Narrow" w:eastAsia="Arial Narrow" w:hAnsi="Arial Narrow"/>
                <w:sz w:val="24"/>
                <w:szCs w:val="24"/>
                <w:rtl w:val="0"/>
              </w:rPr>
              <w:t xml:space="preserve">Autor</w:t>
            </w:r>
            <w:r w:rsidDel="00000000" w:rsidR="00000000" w:rsidRPr="00000000">
              <w:rPr>
                <w:rtl w:val="0"/>
              </w:rPr>
            </w:r>
          </w:p>
        </w:tc>
        <w:tc>
          <w:tcPr/>
          <w:p w:rsidR="00000000" w:rsidDel="00000000" w:rsidP="00000000" w:rsidRDefault="00000000" w:rsidRPr="00000000" w14:paraId="000000ED">
            <w:pPr>
              <w:spacing w:after="0" w:line="240" w:lineRule="auto"/>
              <w:ind w:firstLine="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EE">
            <w:pPr>
              <w:spacing w:after="0" w:line="240" w:lineRule="auto"/>
              <w:ind w:firstLine="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EF">
            <w:pPr>
              <w:spacing w:after="0" w:line="240" w:lineRule="auto"/>
              <w:ind w:firstLine="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F0">
            <w:pPr>
              <w:spacing w:after="0" w:line="240" w:lineRule="auto"/>
              <w:ind w:firstLine="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F1">
            <w:pPr>
              <w:spacing w:after="0" w:line="276" w:lineRule="auto"/>
              <w:ind w:firstLine="0"/>
              <w:jc w:val="center"/>
              <w:rPr>
                <w:rFonts w:ascii="Arial Narrow" w:cs="Arial Narrow" w:eastAsia="Arial Narrow" w:hAnsi="Arial Narrow"/>
                <w:b w:val="1"/>
              </w:rPr>
            </w:pPr>
            <w:r w:rsidDel="00000000" w:rsidR="00000000" w:rsidRPr="00000000">
              <w:rPr>
                <w:sz w:val="24"/>
                <w:szCs w:val="24"/>
              </w:rPr>
              <w:drawing>
                <wp:inline distB="114300" distT="114300" distL="114300" distR="114300">
                  <wp:extent cx="1484313" cy="239139"/>
                  <wp:effectExtent b="0" l="0" r="0" t="0"/>
                  <wp:docPr id="107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484313" cy="239139"/>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spacing w:after="0" w:line="240" w:lineRule="auto"/>
              <w:ind w:firstLine="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JULIANA ARAY FRANCO</w:t>
            </w:r>
          </w:p>
          <w:p w:rsidR="00000000" w:rsidDel="00000000" w:rsidP="00000000" w:rsidRDefault="00000000" w:rsidRPr="00000000" w14:paraId="000000F3">
            <w:pPr>
              <w:spacing w:after="0" w:line="240" w:lineRule="auto"/>
              <w:ind w:firstLine="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a la Cámara</w:t>
            </w:r>
          </w:p>
          <w:p w:rsidR="00000000" w:rsidDel="00000000" w:rsidP="00000000" w:rsidRDefault="00000000" w:rsidRPr="00000000" w14:paraId="000000F4">
            <w:pPr>
              <w:spacing w:after="0" w:line="240" w:lineRule="auto"/>
              <w:ind w:firstLine="0"/>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Departamento de Bolívar</w:t>
            </w:r>
          </w:p>
          <w:p w:rsidR="00000000" w:rsidDel="00000000" w:rsidP="00000000" w:rsidRDefault="00000000" w:rsidRPr="00000000" w14:paraId="000000F5">
            <w:pPr>
              <w:spacing w:after="0" w:line="240" w:lineRule="auto"/>
              <w:ind w:hanging="2"/>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Coautora</w:t>
            </w:r>
          </w:p>
        </w:tc>
      </w:tr>
      <w:tr>
        <w:trPr>
          <w:cantSplit w:val="0"/>
          <w:tblHeader w:val="0"/>
        </w:trPr>
        <w:tc>
          <w:tcPr/>
          <w:p w:rsidR="00000000" w:rsidDel="00000000" w:rsidP="00000000" w:rsidRDefault="00000000" w:rsidRPr="00000000" w14:paraId="000000F6">
            <w:pPr>
              <w:spacing w:after="0" w:line="240" w:lineRule="auto"/>
              <w:ind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F7">
            <w:pPr>
              <w:spacing w:after="0" w:line="240" w:lineRule="auto"/>
              <w:ind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1419225" cy="504825"/>
                  <wp:effectExtent b="0" l="0" r="0" t="0"/>
                  <wp:docPr id="1059"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419225" cy="504825"/>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spacing w:after="0" w:line="240" w:lineRule="auto"/>
              <w:ind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FERNANDO DAVID NIÑO MENDOZA</w:t>
            </w:r>
          </w:p>
          <w:p w:rsidR="00000000" w:rsidDel="00000000" w:rsidP="00000000" w:rsidRDefault="00000000" w:rsidRPr="00000000" w14:paraId="000000F9">
            <w:pPr>
              <w:spacing w:after="0" w:line="240" w:lineRule="auto"/>
              <w:ind w:firstLine="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a la Cámara</w:t>
            </w:r>
          </w:p>
          <w:p w:rsidR="00000000" w:rsidDel="00000000" w:rsidP="00000000" w:rsidRDefault="00000000" w:rsidRPr="00000000" w14:paraId="000000FA">
            <w:pPr>
              <w:spacing w:after="0" w:line="240" w:lineRule="auto"/>
              <w:ind w:firstLine="0"/>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Departamento de Bolívar</w:t>
            </w:r>
          </w:p>
          <w:p w:rsidR="00000000" w:rsidDel="00000000" w:rsidP="00000000" w:rsidRDefault="00000000" w:rsidRPr="00000000" w14:paraId="000000FB">
            <w:pPr>
              <w:spacing w:after="0" w:line="240" w:lineRule="auto"/>
              <w:ind w:firstLine="0"/>
              <w:jc w:val="center"/>
              <w:rPr>
                <w:rFonts w:ascii="Arial Narrow" w:cs="Arial Narrow" w:eastAsia="Arial Narrow" w:hAnsi="Arial Narrow"/>
                <w:b w:val="1"/>
              </w:rPr>
            </w:pPr>
            <w:r w:rsidDel="00000000" w:rsidR="00000000" w:rsidRPr="00000000">
              <w:rPr>
                <w:rFonts w:ascii="Arial Narrow" w:cs="Arial Narrow" w:eastAsia="Arial Narrow" w:hAnsi="Arial Narrow"/>
                <w:sz w:val="24"/>
                <w:szCs w:val="24"/>
                <w:rtl w:val="0"/>
              </w:rPr>
              <w:t xml:space="preserve">Coautor</w:t>
            </w:r>
            <w:r w:rsidDel="00000000" w:rsidR="00000000" w:rsidRPr="00000000">
              <w:rPr>
                <w:rtl w:val="0"/>
              </w:rPr>
            </w:r>
          </w:p>
        </w:tc>
        <w:tc>
          <w:tcPr/>
          <w:p w:rsidR="00000000" w:rsidDel="00000000" w:rsidP="00000000" w:rsidRDefault="00000000" w:rsidRPr="00000000" w14:paraId="000000FC">
            <w:pPr>
              <w:spacing w:after="0" w:line="240" w:lineRule="auto"/>
              <w:ind w:firstLine="0"/>
              <w:jc w:val="center"/>
              <w:rPr>
                <w:rFonts w:ascii="Arial Narrow" w:cs="Arial Narrow" w:eastAsia="Arial Narrow" w:hAnsi="Arial Narrow"/>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476250</wp:posOffset>
                  </wp:positionH>
                  <wp:positionV relativeFrom="paragraph">
                    <wp:posOffset>232023</wp:posOffset>
                  </wp:positionV>
                  <wp:extent cx="1519238" cy="863203"/>
                  <wp:effectExtent b="0" l="0" r="0" t="0"/>
                  <wp:wrapSquare wrapText="bothSides" distB="114300" distT="114300" distL="114300" distR="114300"/>
                  <wp:docPr id="1067" name="image4.png"/>
                  <a:graphic>
                    <a:graphicData uri="http://schemas.openxmlformats.org/drawingml/2006/picture">
                      <pic:pic>
                        <pic:nvPicPr>
                          <pic:cNvPr id="0" name="image4.png"/>
                          <pic:cNvPicPr preferRelativeResize="0"/>
                        </pic:nvPicPr>
                        <pic:blipFill>
                          <a:blip r:embed="rId10"/>
                          <a:srcRect b="6593" l="0" r="0" t="-6593"/>
                          <a:stretch>
                            <a:fillRect/>
                          </a:stretch>
                        </pic:blipFill>
                        <pic:spPr>
                          <a:xfrm>
                            <a:off x="0" y="0"/>
                            <a:ext cx="1519238" cy="863203"/>
                          </a:xfrm>
                          <a:prstGeom prst="rect"/>
                          <a:ln/>
                        </pic:spPr>
                      </pic:pic>
                    </a:graphicData>
                  </a:graphic>
                </wp:anchor>
              </w:drawing>
            </w:r>
          </w:p>
          <w:p w:rsidR="00000000" w:rsidDel="00000000" w:rsidP="00000000" w:rsidRDefault="00000000" w:rsidRPr="00000000" w14:paraId="000000FD">
            <w:pPr>
              <w:spacing w:after="0" w:line="240" w:lineRule="auto"/>
              <w:ind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FE">
            <w:pPr>
              <w:spacing w:after="0" w:line="240" w:lineRule="auto"/>
              <w:ind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FF">
            <w:pPr>
              <w:spacing w:after="0" w:line="240" w:lineRule="auto"/>
              <w:ind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00">
            <w:pPr>
              <w:spacing w:after="0" w:line="240" w:lineRule="auto"/>
              <w:ind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01">
            <w:pPr>
              <w:spacing w:after="0" w:line="240" w:lineRule="auto"/>
              <w:ind w:firstLine="0"/>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02">
            <w:pPr>
              <w:spacing w:after="0" w:line="240" w:lineRule="auto"/>
              <w:ind w:firstLine="0"/>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03">
            <w:pPr>
              <w:spacing w:after="0" w:line="240" w:lineRule="auto"/>
              <w:ind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ANGELA MARÍA VERGARA GONZÁLEZ</w:t>
            </w:r>
          </w:p>
          <w:p w:rsidR="00000000" w:rsidDel="00000000" w:rsidP="00000000" w:rsidRDefault="00000000" w:rsidRPr="00000000" w14:paraId="00000104">
            <w:pPr>
              <w:spacing w:after="0" w:line="240" w:lineRule="auto"/>
              <w:ind w:firstLine="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a la Cámara</w:t>
            </w:r>
          </w:p>
          <w:p w:rsidR="00000000" w:rsidDel="00000000" w:rsidP="00000000" w:rsidRDefault="00000000" w:rsidRPr="00000000" w14:paraId="00000105">
            <w:pPr>
              <w:spacing w:after="0" w:line="240" w:lineRule="auto"/>
              <w:ind w:firstLine="0"/>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Departamento de Bolívar</w:t>
            </w:r>
          </w:p>
          <w:p w:rsidR="00000000" w:rsidDel="00000000" w:rsidP="00000000" w:rsidRDefault="00000000" w:rsidRPr="00000000" w14:paraId="00000106">
            <w:pPr>
              <w:spacing w:after="0" w:line="240" w:lineRule="auto"/>
              <w:ind w:firstLine="0"/>
              <w:jc w:val="center"/>
              <w:rPr>
                <w:rFonts w:ascii="Arial Narrow" w:cs="Arial Narrow" w:eastAsia="Arial Narrow" w:hAnsi="Arial Narrow"/>
                <w:b w:val="1"/>
              </w:rPr>
            </w:pPr>
            <w:r w:rsidDel="00000000" w:rsidR="00000000" w:rsidRPr="00000000">
              <w:rPr>
                <w:rFonts w:ascii="Arial Narrow" w:cs="Arial Narrow" w:eastAsia="Arial Narrow" w:hAnsi="Arial Narrow"/>
                <w:sz w:val="24"/>
                <w:szCs w:val="24"/>
                <w:rtl w:val="0"/>
              </w:rPr>
              <w:t xml:space="preserve">Coautora</w:t>
            </w:r>
            <w:r w:rsidDel="00000000" w:rsidR="00000000" w:rsidRPr="00000000">
              <w:rPr>
                <w:rtl w:val="0"/>
              </w:rPr>
            </w:r>
          </w:p>
        </w:tc>
      </w:tr>
    </w:tbl>
    <w:p w:rsidR="00000000" w:rsidDel="00000000" w:rsidP="00000000" w:rsidRDefault="00000000" w:rsidRPr="00000000" w14:paraId="00000107">
      <w:pPr>
        <w:spacing w:after="0" w:lineRule="auto"/>
        <w:ind w:hanging="2"/>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sectPr>
      <w:headerReference r:id="rId18"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9">
    <w:pPr>
      <w:pBdr>
        <w:top w:space="0" w:sz="0" w:val="nil"/>
        <w:left w:space="0" w:sz="0" w:val="nil"/>
        <w:bottom w:space="0" w:sz="0" w:val="nil"/>
        <w:right w:space="0" w:sz="0" w:val="nil"/>
        <w:between w:space="0" w:sz="0" w:val="nil"/>
      </w:pBdr>
      <w:spacing w:after="0" w:line="240" w:lineRule="auto"/>
      <w:ind w:left="0" w:hanging="2"/>
      <w:jc w:val="center"/>
      <w:rPr>
        <w:color w:val="000000"/>
      </w:rPr>
    </w:pPr>
    <w:r w:rsidDel="00000000" w:rsidR="00000000" w:rsidRPr="00000000">
      <w:rPr>
        <w:color w:val="000000"/>
      </w:rPr>
      <w:drawing>
        <wp:inline distB="0" distT="0" distL="114300" distR="114300">
          <wp:extent cx="2573020" cy="937260"/>
          <wp:effectExtent b="0" l="0" r="0" t="0"/>
          <wp:docPr id="1070"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573020" cy="93726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after="0" w:line="240" w:lineRule="auto"/>
      <w:ind w:left="0" w:hanging="2"/>
      <w:jc w:val="center"/>
      <w:rPr>
        <w:color w:val="000000"/>
      </w:rPr>
    </w:pPr>
    <w:r w:rsidDel="00000000" w:rsidR="00000000" w:rsidRPr="00000000">
      <w:rPr>
        <w:rtl w:val="0"/>
      </w:rPr>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12701</wp:posOffset>
              </wp:positionH>
              <wp:positionV relativeFrom="paragraph">
                <wp:posOffset>5096</wp:posOffset>
              </wp:positionV>
              <wp:extent cx="5648325" cy="114300"/>
              <wp:effectExtent b="0" l="0" r="0" t="0"/>
              <wp:wrapNone/>
              <wp:docPr id="1058" name=""/>
              <a:graphic>
                <a:graphicData uri="http://schemas.microsoft.com/office/word/2010/wordprocessingShape">
                  <wps:wsp>
                    <wps:cNvCnPr/>
                    <wps:spPr>
                      <a:xfrm>
                        <a:off x="2572638" y="3780000"/>
                        <a:ext cx="5546725" cy="0"/>
                      </a:xfrm>
                      <a:prstGeom prst="straightConnector1">
                        <a:avLst/>
                      </a:prstGeom>
                      <a:noFill/>
                      <a:ln cap="flat" cmpd="sng" w="12700">
                        <a:solidFill>
                          <a:srgbClr val="BF9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12701</wp:posOffset>
              </wp:positionH>
              <wp:positionV relativeFrom="paragraph">
                <wp:posOffset>5096</wp:posOffset>
              </wp:positionV>
              <wp:extent cx="5648325" cy="114300"/>
              <wp:effectExtent b="0" l="0" r="0" t="0"/>
              <wp:wrapNone/>
              <wp:docPr id="1058" name="image11.png"/>
              <a:graphic>
                <a:graphicData uri="http://schemas.openxmlformats.org/drawingml/2006/picture">
                  <pic:pic>
                    <pic:nvPicPr>
                      <pic:cNvPr id="0" name="image11.png"/>
                      <pic:cNvPicPr preferRelativeResize="0"/>
                    </pic:nvPicPr>
                    <pic:blipFill>
                      <a:blip r:embed="rId2"/>
                      <a:srcRect/>
                      <a:stretch>
                        <a:fillRect/>
                      </a:stretch>
                    </pic:blipFill>
                    <pic:spPr>
                      <a:xfrm>
                        <a:off x="0" y="0"/>
                        <a:ext cx="5648325" cy="1143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0"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upperRoman"/>
      <w:lvlText w:val="%1."/>
      <w:lvlJc w:val="left"/>
      <w:pPr>
        <w:ind w:left="718" w:hanging="720"/>
      </w:pPr>
      <w:rPr>
        <w:vertAlign w:val="baseline"/>
      </w:rPr>
    </w:lvl>
    <w:lvl w:ilvl="1">
      <w:start w:val="1"/>
      <w:numFmt w:val="lowerLetter"/>
      <w:lvlText w:val="%2."/>
      <w:lvlJc w:val="left"/>
      <w:pPr>
        <w:ind w:left="1078" w:hanging="360"/>
      </w:pPr>
      <w:rPr>
        <w:vertAlign w:val="baseline"/>
      </w:rPr>
    </w:lvl>
    <w:lvl w:ilvl="2">
      <w:start w:val="1"/>
      <w:numFmt w:val="lowerRoman"/>
      <w:lvlText w:val="%3."/>
      <w:lvlJc w:val="right"/>
      <w:pPr>
        <w:ind w:left="1798" w:hanging="180"/>
      </w:pPr>
      <w:rPr>
        <w:vertAlign w:val="baseline"/>
      </w:rPr>
    </w:lvl>
    <w:lvl w:ilvl="3">
      <w:start w:val="1"/>
      <w:numFmt w:val="decimal"/>
      <w:lvlText w:val="%4."/>
      <w:lvlJc w:val="left"/>
      <w:pPr>
        <w:ind w:left="2518" w:hanging="360"/>
      </w:pPr>
      <w:rPr>
        <w:vertAlign w:val="baseline"/>
      </w:rPr>
    </w:lvl>
    <w:lvl w:ilvl="4">
      <w:start w:val="1"/>
      <w:numFmt w:val="lowerLetter"/>
      <w:lvlText w:val="%5."/>
      <w:lvlJc w:val="left"/>
      <w:pPr>
        <w:ind w:left="3238" w:hanging="360"/>
      </w:pPr>
      <w:rPr>
        <w:vertAlign w:val="baseline"/>
      </w:rPr>
    </w:lvl>
    <w:lvl w:ilvl="5">
      <w:start w:val="1"/>
      <w:numFmt w:val="lowerRoman"/>
      <w:lvlText w:val="%6."/>
      <w:lvlJc w:val="right"/>
      <w:pPr>
        <w:ind w:left="3958" w:hanging="180"/>
      </w:pPr>
      <w:rPr>
        <w:vertAlign w:val="baseline"/>
      </w:rPr>
    </w:lvl>
    <w:lvl w:ilvl="6">
      <w:start w:val="1"/>
      <w:numFmt w:val="decimal"/>
      <w:lvlText w:val="%7."/>
      <w:lvlJc w:val="left"/>
      <w:pPr>
        <w:ind w:left="4678" w:hanging="360"/>
      </w:pPr>
      <w:rPr>
        <w:vertAlign w:val="baseline"/>
      </w:rPr>
    </w:lvl>
    <w:lvl w:ilvl="7">
      <w:start w:val="1"/>
      <w:numFmt w:val="lowerLetter"/>
      <w:lvlText w:val="%8."/>
      <w:lvlJc w:val="left"/>
      <w:pPr>
        <w:ind w:left="5398" w:hanging="360"/>
      </w:pPr>
      <w:rPr>
        <w:vertAlign w:val="baseline"/>
      </w:rPr>
    </w:lvl>
    <w:lvl w:ilvl="8">
      <w:start w:val="1"/>
      <w:numFmt w:val="lowerRoman"/>
      <w:lvlText w:val="%9."/>
      <w:lvlJc w:val="right"/>
      <w:pPr>
        <w:ind w:left="6118" w:hanging="180"/>
      </w:pPr>
      <w:rPr>
        <w:vertAlign w:val="baseli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1"/>
        <w:szCs w:val="21"/>
        <w:lang w:val="es-CO"/>
      </w:rPr>
    </w:rPrDefault>
    <w:pPrDefault>
      <w:pPr>
        <w:spacing w:after="200" w:line="288"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40" w:before="360" w:line="240" w:lineRule="auto"/>
    </w:pPr>
    <w:rPr>
      <w:rFonts w:ascii="Calibri" w:cs="Calibri" w:eastAsia="Calibri" w:hAnsi="Calibri"/>
      <w:color w:val="538135"/>
      <w:sz w:val="40"/>
      <w:szCs w:val="40"/>
    </w:rPr>
  </w:style>
  <w:style w:type="paragraph" w:styleId="Heading2">
    <w:name w:val="heading 2"/>
    <w:basedOn w:val="Normal"/>
    <w:next w:val="Normal"/>
    <w:pPr>
      <w:keepNext w:val="1"/>
      <w:keepLines w:val="1"/>
      <w:spacing w:after="0" w:before="80" w:line="240" w:lineRule="auto"/>
    </w:pPr>
    <w:rPr>
      <w:rFonts w:ascii="Calibri" w:cs="Calibri" w:eastAsia="Calibri" w:hAnsi="Calibri"/>
      <w:color w:val="538135"/>
      <w:sz w:val="28"/>
      <w:szCs w:val="28"/>
    </w:rPr>
  </w:style>
  <w:style w:type="paragraph" w:styleId="Heading3">
    <w:name w:val="heading 3"/>
    <w:basedOn w:val="Normal"/>
    <w:next w:val="Normal"/>
    <w:pPr>
      <w:keepNext w:val="1"/>
      <w:keepLines w:val="1"/>
      <w:spacing w:after="0" w:before="80" w:line="240" w:lineRule="auto"/>
    </w:pPr>
    <w:rPr>
      <w:rFonts w:ascii="Calibri" w:cs="Calibri" w:eastAsia="Calibri" w:hAnsi="Calibri"/>
      <w:color w:val="538135"/>
      <w:sz w:val="24"/>
      <w:szCs w:val="24"/>
    </w:rPr>
  </w:style>
  <w:style w:type="paragraph" w:styleId="Heading4">
    <w:name w:val="heading 4"/>
    <w:basedOn w:val="Normal"/>
    <w:next w:val="Normal"/>
    <w:pPr>
      <w:keepNext w:val="1"/>
      <w:keepLines w:val="1"/>
      <w:spacing w:after="0" w:before="80" w:lineRule="auto"/>
    </w:pPr>
    <w:rPr>
      <w:rFonts w:ascii="Calibri" w:cs="Calibri" w:eastAsia="Calibri" w:hAnsi="Calibri"/>
      <w:color w:val="70ad47"/>
      <w:sz w:val="22"/>
      <w:szCs w:val="22"/>
    </w:rPr>
  </w:style>
  <w:style w:type="paragraph" w:styleId="Heading5">
    <w:name w:val="heading 5"/>
    <w:basedOn w:val="Normal"/>
    <w:next w:val="Normal"/>
    <w:pPr>
      <w:keepNext w:val="1"/>
      <w:keepLines w:val="1"/>
      <w:spacing w:after="0" w:before="40" w:lineRule="auto"/>
    </w:pPr>
    <w:rPr>
      <w:rFonts w:ascii="Calibri" w:cs="Calibri" w:eastAsia="Calibri" w:hAnsi="Calibri"/>
      <w:i w:val="1"/>
      <w:color w:val="70ad47"/>
      <w:sz w:val="22"/>
      <w:szCs w:val="22"/>
    </w:rPr>
  </w:style>
  <w:style w:type="paragraph" w:styleId="Heading6">
    <w:name w:val="heading 6"/>
    <w:basedOn w:val="Normal"/>
    <w:next w:val="Normal"/>
    <w:pPr>
      <w:keepNext w:val="1"/>
      <w:keepLines w:val="1"/>
      <w:spacing w:after="0" w:before="40" w:lineRule="auto"/>
    </w:pPr>
    <w:rPr>
      <w:rFonts w:ascii="Calibri" w:cs="Calibri" w:eastAsia="Calibri" w:hAnsi="Calibri"/>
      <w:color w:val="70ad47"/>
    </w:rPr>
  </w:style>
  <w:style w:type="paragraph" w:styleId="Title">
    <w:name w:val="Title"/>
    <w:basedOn w:val="Normal"/>
    <w:next w:val="Normal"/>
    <w:pPr>
      <w:spacing w:after="0" w:line="240" w:lineRule="auto"/>
    </w:pPr>
    <w:rPr>
      <w:rFonts w:ascii="Calibri" w:cs="Calibri" w:eastAsia="Calibri" w:hAnsi="Calibri"/>
      <w:color w:val="262626"/>
      <w:sz w:val="96"/>
      <w:szCs w:val="96"/>
    </w:rPr>
  </w:style>
  <w:style w:type="paragraph" w:styleId="Normal" w:default="1">
    <w:name w:val="Normal"/>
    <w:qFormat w:val="1"/>
    <w:pPr>
      <w:ind w:left="-1" w:leftChars="-1" w:hangingChars="1"/>
      <w:textAlignment w:val="top"/>
      <w:outlineLvl w:val="0"/>
    </w:pPr>
    <w:rPr>
      <w:position w:val="-1"/>
      <w:lang w:eastAsia="en-US"/>
    </w:rPr>
  </w:style>
  <w:style w:type="paragraph" w:styleId="Ttulo1">
    <w:name w:val="heading 1"/>
    <w:basedOn w:val="Normal"/>
    <w:next w:val="Normal"/>
    <w:uiPriority w:val="9"/>
    <w:qFormat w:val="1"/>
    <w:pPr>
      <w:keepNext w:val="1"/>
      <w:keepLines w:val="1"/>
      <w:spacing w:after="40" w:before="360" w:line="240" w:lineRule="auto"/>
    </w:pPr>
    <w:rPr>
      <w:rFonts w:ascii="Calibri Light" w:cs="Times New Roman" w:eastAsia="Times New Roman" w:hAnsi="Calibri Light"/>
      <w:color w:val="538135"/>
      <w:sz w:val="40"/>
      <w:szCs w:val="40"/>
    </w:rPr>
  </w:style>
  <w:style w:type="paragraph" w:styleId="Ttulo2">
    <w:name w:val="heading 2"/>
    <w:basedOn w:val="Normal"/>
    <w:next w:val="Normal"/>
    <w:uiPriority w:val="9"/>
    <w:semiHidden w:val="1"/>
    <w:unhideWhenUsed w:val="1"/>
    <w:qFormat w:val="1"/>
    <w:pPr>
      <w:keepNext w:val="1"/>
      <w:keepLines w:val="1"/>
      <w:spacing w:after="0" w:before="80" w:line="240" w:lineRule="auto"/>
      <w:outlineLvl w:val="1"/>
    </w:pPr>
    <w:rPr>
      <w:rFonts w:ascii="Calibri Light" w:cs="Times New Roman" w:eastAsia="Times New Roman" w:hAnsi="Calibri Light"/>
      <w:color w:val="538135"/>
      <w:sz w:val="28"/>
      <w:szCs w:val="28"/>
    </w:rPr>
  </w:style>
  <w:style w:type="paragraph" w:styleId="Ttulo3">
    <w:name w:val="heading 3"/>
    <w:basedOn w:val="Normal"/>
    <w:next w:val="Normal"/>
    <w:uiPriority w:val="9"/>
    <w:semiHidden w:val="1"/>
    <w:unhideWhenUsed w:val="1"/>
    <w:qFormat w:val="1"/>
    <w:pPr>
      <w:keepNext w:val="1"/>
      <w:keepLines w:val="1"/>
      <w:spacing w:after="0" w:before="80" w:line="240" w:lineRule="auto"/>
      <w:outlineLvl w:val="2"/>
    </w:pPr>
    <w:rPr>
      <w:rFonts w:ascii="Calibri Light" w:cs="Times New Roman" w:eastAsia="Times New Roman" w:hAnsi="Calibri Light"/>
      <w:color w:val="538135"/>
      <w:sz w:val="24"/>
      <w:szCs w:val="24"/>
    </w:rPr>
  </w:style>
  <w:style w:type="paragraph" w:styleId="Ttulo4">
    <w:name w:val="heading 4"/>
    <w:basedOn w:val="Normal"/>
    <w:next w:val="Normal"/>
    <w:uiPriority w:val="9"/>
    <w:semiHidden w:val="1"/>
    <w:unhideWhenUsed w:val="1"/>
    <w:qFormat w:val="1"/>
    <w:pPr>
      <w:keepNext w:val="1"/>
      <w:keepLines w:val="1"/>
      <w:spacing w:after="0" w:before="80"/>
      <w:outlineLvl w:val="3"/>
    </w:pPr>
    <w:rPr>
      <w:rFonts w:ascii="Calibri Light" w:cs="Times New Roman" w:eastAsia="Times New Roman" w:hAnsi="Calibri Light"/>
      <w:color w:val="70ad47"/>
      <w:sz w:val="22"/>
      <w:szCs w:val="22"/>
    </w:rPr>
  </w:style>
  <w:style w:type="paragraph" w:styleId="Ttulo5">
    <w:name w:val="heading 5"/>
    <w:basedOn w:val="Normal"/>
    <w:next w:val="Normal"/>
    <w:uiPriority w:val="9"/>
    <w:semiHidden w:val="1"/>
    <w:unhideWhenUsed w:val="1"/>
    <w:qFormat w:val="1"/>
    <w:pPr>
      <w:keepNext w:val="1"/>
      <w:keepLines w:val="1"/>
      <w:spacing w:after="0" w:before="40"/>
      <w:outlineLvl w:val="4"/>
    </w:pPr>
    <w:rPr>
      <w:rFonts w:ascii="Calibri Light" w:cs="Times New Roman" w:eastAsia="Times New Roman" w:hAnsi="Calibri Light"/>
      <w:i w:val="1"/>
      <w:iCs w:val="1"/>
      <w:color w:val="70ad47"/>
      <w:sz w:val="22"/>
      <w:szCs w:val="22"/>
    </w:rPr>
  </w:style>
  <w:style w:type="paragraph" w:styleId="Ttulo6">
    <w:name w:val="heading 6"/>
    <w:basedOn w:val="Normal"/>
    <w:next w:val="Normal"/>
    <w:uiPriority w:val="9"/>
    <w:semiHidden w:val="1"/>
    <w:unhideWhenUsed w:val="1"/>
    <w:qFormat w:val="1"/>
    <w:pPr>
      <w:keepNext w:val="1"/>
      <w:keepLines w:val="1"/>
      <w:spacing w:after="0" w:before="40"/>
      <w:outlineLvl w:val="5"/>
    </w:pPr>
    <w:rPr>
      <w:rFonts w:ascii="Calibri Light" w:cs="Times New Roman" w:eastAsia="Times New Roman" w:hAnsi="Calibri Light"/>
      <w:color w:val="70ad47"/>
    </w:rPr>
  </w:style>
  <w:style w:type="paragraph" w:styleId="Ttulo7">
    <w:name w:val="heading 7"/>
    <w:basedOn w:val="Normal"/>
    <w:next w:val="Normal"/>
    <w:pPr>
      <w:keepNext w:val="1"/>
      <w:keepLines w:val="1"/>
      <w:spacing w:after="0" w:before="40"/>
      <w:outlineLvl w:val="6"/>
    </w:pPr>
    <w:rPr>
      <w:rFonts w:ascii="Calibri Light" w:cs="Times New Roman" w:eastAsia="Times New Roman" w:hAnsi="Calibri Light"/>
      <w:b w:val="1"/>
      <w:bCs w:val="1"/>
      <w:color w:val="70ad47"/>
    </w:rPr>
  </w:style>
  <w:style w:type="paragraph" w:styleId="Ttulo8">
    <w:name w:val="heading 8"/>
    <w:basedOn w:val="Normal"/>
    <w:next w:val="Normal"/>
    <w:pPr>
      <w:keepNext w:val="1"/>
      <w:keepLines w:val="1"/>
      <w:spacing w:after="0" w:before="40"/>
      <w:outlineLvl w:val="7"/>
    </w:pPr>
    <w:rPr>
      <w:rFonts w:ascii="Calibri Light" w:cs="Times New Roman" w:eastAsia="Times New Roman" w:hAnsi="Calibri Light"/>
      <w:b w:val="1"/>
      <w:bCs w:val="1"/>
      <w:i w:val="1"/>
      <w:iCs w:val="1"/>
      <w:color w:val="70ad47"/>
      <w:sz w:val="20"/>
      <w:szCs w:val="20"/>
    </w:rPr>
  </w:style>
  <w:style w:type="paragraph" w:styleId="Ttulo9">
    <w:name w:val="heading 9"/>
    <w:basedOn w:val="Normal"/>
    <w:next w:val="Normal"/>
    <w:pPr>
      <w:keepNext w:val="1"/>
      <w:keepLines w:val="1"/>
      <w:spacing w:after="0" w:before="40"/>
      <w:outlineLvl w:val="8"/>
    </w:pPr>
    <w:rPr>
      <w:rFonts w:ascii="Calibri Light" w:cs="Times New Roman" w:eastAsia="Times New Roman" w:hAnsi="Calibri Light"/>
      <w:i w:val="1"/>
      <w:iCs w:val="1"/>
      <w:color w:val="70ad47"/>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spacing w:after="0" w:line="240" w:lineRule="auto"/>
      <w:contextualSpacing w:val="1"/>
    </w:pPr>
    <w:rPr>
      <w:rFonts w:ascii="Calibri Light" w:cs="Times New Roman" w:eastAsia="Times New Roman" w:hAnsi="Calibri Light"/>
      <w:color w:val="262626"/>
      <w:spacing w:val="-15"/>
      <w:sz w:val="96"/>
      <w:szCs w:val="96"/>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next w:val="TableNormal5"/>
    <w:pPr>
      <w:suppressAutoHyphens w:val="1"/>
      <w:ind w:left="-1" w:leftChars="-1" w:hangingChars="1"/>
      <w:textDirection w:val="btLr"/>
      <w:textAlignment w:val="top"/>
      <w:outlineLvl w:val="0"/>
    </w:pPr>
    <w:rPr>
      <w:position w:val="-1"/>
    </w:rPr>
    <w:tblPr>
      <w:tblCellMar>
        <w:top w:w="0.0" w:type="dxa"/>
        <w:left w:w="0.0" w:type="dxa"/>
        <w:bottom w:w="0.0" w:type="dxa"/>
        <w:right w:w="0.0" w:type="dxa"/>
      </w:tblCellMar>
    </w:tblPr>
  </w:style>
  <w:style w:type="paragraph" w:styleId="NormalWeb">
    <w:name w:val="Normal (Web)"/>
    <w:basedOn w:val="Normal"/>
    <w:pPr>
      <w:spacing w:after="100" w:afterAutospacing="1" w:before="100" w:beforeAutospacing="1" w:line="240" w:lineRule="auto"/>
    </w:pPr>
    <w:rPr>
      <w:rFonts w:ascii="Times New Roman" w:cs="Times New Roman" w:eastAsia="Times New Roman" w:hAnsi="Times New Roman"/>
      <w:sz w:val="24"/>
      <w:szCs w:val="24"/>
      <w:lang w:eastAsia="es-CO"/>
    </w:rPr>
  </w:style>
  <w:style w:type="character" w:styleId="baj" w:customStyle="1">
    <w:name w:val="b_aj"/>
    <w:rPr>
      <w:w w:val="100"/>
      <w:position w:val="-1"/>
      <w:effect w:val="none"/>
      <w:vertAlign w:val="baseline"/>
      <w:cs w:val="0"/>
      <w:em w:val="none"/>
    </w:rPr>
  </w:style>
  <w:style w:type="character" w:styleId="Textoennegrita">
    <w:name w:val="Strong"/>
    <w:rPr>
      <w:b w:val="1"/>
      <w:bCs w:val="1"/>
      <w:w w:val="100"/>
      <w:position w:val="-1"/>
      <w:effect w:val="none"/>
      <w:vertAlign w:val="baseline"/>
      <w:cs w:val="0"/>
      <w:em w:val="none"/>
    </w:rPr>
  </w:style>
  <w:style w:type="paragraph" w:styleId="Sinespaciado">
    <w:name w:val="No Spacing"/>
    <w:pPr>
      <w:spacing w:line="1" w:lineRule="atLeast"/>
      <w:ind w:left="-1" w:leftChars="-1" w:hangingChars="1"/>
      <w:textAlignment w:val="top"/>
      <w:outlineLvl w:val="0"/>
    </w:pPr>
    <w:rPr>
      <w:position w:val="-1"/>
      <w:lang w:eastAsia="en-US"/>
    </w:rPr>
  </w:style>
  <w:style w:type="character" w:styleId="apple-converted-space" w:customStyle="1">
    <w:name w:val="apple-converted-space"/>
    <w:rPr>
      <w:w w:val="100"/>
      <w:position w:val="-1"/>
      <w:effect w:val="none"/>
      <w:vertAlign w:val="baseline"/>
      <w:cs w:val="0"/>
      <w:em w:val="none"/>
    </w:rPr>
  </w:style>
  <w:style w:type="paragraph" w:styleId="Encabezado">
    <w:name w:val="header"/>
    <w:basedOn w:val="Normal"/>
    <w:pPr>
      <w:spacing w:after="0" w:line="240" w:lineRule="auto"/>
    </w:pPr>
  </w:style>
  <w:style w:type="character" w:styleId="EncabezadoCar" w:customStyle="1">
    <w:name w:val="Encabezado Car"/>
    <w:rPr>
      <w:w w:val="100"/>
      <w:position w:val="-1"/>
      <w:effect w:val="none"/>
      <w:vertAlign w:val="baseline"/>
      <w:cs w:val="0"/>
      <w:em w:val="none"/>
    </w:rPr>
  </w:style>
  <w:style w:type="paragraph" w:styleId="Piedepgina">
    <w:name w:val="footer"/>
    <w:basedOn w:val="Normal"/>
    <w:pPr>
      <w:spacing w:after="0" w:line="240" w:lineRule="auto"/>
    </w:pPr>
  </w:style>
  <w:style w:type="character" w:styleId="PiedepginaCar" w:customStyle="1">
    <w:name w:val="Pie de página Car"/>
    <w:rPr>
      <w:w w:val="100"/>
      <w:position w:val="-1"/>
      <w:effect w:val="none"/>
      <w:vertAlign w:val="baseline"/>
      <w:cs w:val="0"/>
      <w:em w:val="none"/>
    </w:rPr>
  </w:style>
  <w:style w:type="character" w:styleId="Hipervnculo">
    <w:name w:val="Hyperlink"/>
    <w:rPr>
      <w:color w:val="0000ff"/>
      <w:w w:val="100"/>
      <w:position w:val="-1"/>
      <w:u w:val="single"/>
      <w:effect w:val="none"/>
      <w:vertAlign w:val="baseline"/>
      <w:cs w:val="0"/>
      <w:em w:val="none"/>
    </w:rPr>
  </w:style>
  <w:style w:type="character" w:styleId="Ttulo3Car" w:customStyle="1">
    <w:name w:val="Título 3 Car"/>
    <w:rPr>
      <w:rFonts w:ascii="Calibri Light" w:cs="Times New Roman" w:eastAsia="Times New Roman" w:hAnsi="Calibri Light"/>
      <w:color w:val="538135"/>
      <w:w w:val="100"/>
      <w:position w:val="-1"/>
      <w:sz w:val="24"/>
      <w:szCs w:val="24"/>
      <w:effect w:val="none"/>
      <w:vertAlign w:val="baseline"/>
      <w:cs w:val="0"/>
      <w:em w:val="none"/>
    </w:rPr>
  </w:style>
  <w:style w:type="character" w:styleId="Refdecomentario">
    <w:name w:val="annotation reference"/>
    <w:rPr>
      <w:w w:val="100"/>
      <w:position w:val="-1"/>
      <w:sz w:val="16"/>
      <w:szCs w:val="16"/>
      <w:effect w:val="none"/>
      <w:vertAlign w:val="baseline"/>
      <w:cs w:val="0"/>
      <w:em w:val="none"/>
    </w:rPr>
  </w:style>
  <w:style w:type="paragraph" w:styleId="Textocomentario">
    <w:name w:val="annotation text"/>
    <w:basedOn w:val="Normal"/>
    <w:pPr>
      <w:spacing w:line="240" w:lineRule="auto"/>
    </w:pPr>
    <w:rPr>
      <w:sz w:val="20"/>
      <w:szCs w:val="20"/>
    </w:rPr>
  </w:style>
  <w:style w:type="character" w:styleId="TextocomentarioCar" w:customStyle="1">
    <w:name w:val="Texto comentario Car"/>
    <w:rPr>
      <w:w w:val="100"/>
      <w:position w:val="-1"/>
      <w:sz w:val="20"/>
      <w:szCs w:val="20"/>
      <w:effect w:val="none"/>
      <w:vertAlign w:val="baseline"/>
      <w:cs w:val="0"/>
      <w:em w:val="none"/>
    </w:rPr>
  </w:style>
  <w:style w:type="paragraph" w:styleId="Asuntodelcomentario">
    <w:name w:val="annotation subject"/>
    <w:basedOn w:val="Textocomentario"/>
    <w:next w:val="Textocomentario"/>
    <w:rPr>
      <w:b w:val="1"/>
      <w:bCs w:val="1"/>
    </w:rPr>
  </w:style>
  <w:style w:type="character" w:styleId="AsuntodelcomentarioCar" w:customStyle="1">
    <w:name w:val="Asunto del comentario Car"/>
    <w:rPr>
      <w:b w:val="1"/>
      <w:bCs w:val="1"/>
      <w:w w:val="100"/>
      <w:position w:val="-1"/>
      <w:sz w:val="20"/>
      <w:szCs w:val="20"/>
      <w:effect w:val="none"/>
      <w:vertAlign w:val="baseline"/>
      <w:cs w:val="0"/>
      <w:em w:val="none"/>
    </w:rPr>
  </w:style>
  <w:style w:type="paragraph" w:styleId="Textodeglobo">
    <w:name w:val="Balloon Text"/>
    <w:basedOn w:val="Normal"/>
    <w:pPr>
      <w:spacing w:after="0" w:line="240" w:lineRule="auto"/>
    </w:pPr>
    <w:rPr>
      <w:rFonts w:ascii="Segoe UI" w:cs="Segoe UI" w:hAnsi="Segoe UI"/>
      <w:sz w:val="18"/>
      <w:szCs w:val="18"/>
    </w:rPr>
  </w:style>
  <w:style w:type="character" w:styleId="TextodegloboCar" w:customStyle="1">
    <w:name w:val="Texto de globo Car"/>
    <w:rPr>
      <w:rFonts w:ascii="Segoe UI" w:cs="Segoe UI" w:hAnsi="Segoe UI"/>
      <w:w w:val="100"/>
      <w:position w:val="-1"/>
      <w:sz w:val="18"/>
      <w:szCs w:val="18"/>
      <w:effect w:val="none"/>
      <w:vertAlign w:val="baseline"/>
      <w:cs w:val="0"/>
      <w:em w:val="none"/>
    </w:rPr>
  </w:style>
  <w:style w:type="paragraph" w:styleId="Textonotapie">
    <w:name w:val="footnote text"/>
    <w:basedOn w:val="Normal"/>
    <w:pPr>
      <w:spacing w:after="0" w:line="240" w:lineRule="auto"/>
    </w:pPr>
    <w:rPr>
      <w:sz w:val="20"/>
      <w:szCs w:val="20"/>
    </w:rPr>
  </w:style>
  <w:style w:type="character" w:styleId="TextonotapieCar" w:customStyle="1">
    <w:name w:val="Texto nota pie Car"/>
    <w:rPr>
      <w:w w:val="100"/>
      <w:position w:val="-1"/>
      <w:sz w:val="20"/>
      <w:szCs w:val="20"/>
      <w:effect w:val="none"/>
      <w:vertAlign w:val="baseline"/>
      <w:cs w:val="0"/>
      <w:em w:val="none"/>
    </w:rPr>
  </w:style>
  <w:style w:type="character" w:styleId="Refdenotaalpie">
    <w:name w:val="footnote reference"/>
    <w:rPr>
      <w:w w:val="100"/>
      <w:position w:val="-1"/>
      <w:effect w:val="none"/>
      <w:vertAlign w:val="superscript"/>
      <w:cs w:val="0"/>
      <w:em w:val="none"/>
    </w:rPr>
  </w:style>
  <w:style w:type="character" w:styleId="Ttulo1Car" w:customStyle="1">
    <w:name w:val="Título 1 Car"/>
    <w:rPr>
      <w:rFonts w:ascii="Calibri Light" w:cs="Times New Roman" w:eastAsia="Times New Roman" w:hAnsi="Calibri Light"/>
      <w:color w:val="538135"/>
      <w:w w:val="100"/>
      <w:position w:val="-1"/>
      <w:sz w:val="40"/>
      <w:szCs w:val="40"/>
      <w:effect w:val="none"/>
      <w:vertAlign w:val="baseline"/>
      <w:cs w:val="0"/>
      <w:em w:val="none"/>
    </w:rPr>
  </w:style>
  <w:style w:type="character" w:styleId="Ttulo2Car" w:customStyle="1">
    <w:name w:val="Título 2 Car"/>
    <w:rPr>
      <w:rFonts w:ascii="Calibri Light" w:cs="Times New Roman" w:eastAsia="Times New Roman" w:hAnsi="Calibri Light"/>
      <w:color w:val="538135"/>
      <w:w w:val="100"/>
      <w:position w:val="-1"/>
      <w:sz w:val="28"/>
      <w:szCs w:val="28"/>
      <w:effect w:val="none"/>
      <w:vertAlign w:val="baseline"/>
      <w:cs w:val="0"/>
      <w:em w:val="none"/>
    </w:rPr>
  </w:style>
  <w:style w:type="character" w:styleId="Ttulo4Car" w:customStyle="1">
    <w:name w:val="Título 4 Car"/>
    <w:rPr>
      <w:rFonts w:ascii="Calibri Light" w:cs="Times New Roman" w:eastAsia="Times New Roman" w:hAnsi="Calibri Light"/>
      <w:color w:val="70ad47"/>
      <w:w w:val="100"/>
      <w:position w:val="-1"/>
      <w:sz w:val="22"/>
      <w:szCs w:val="22"/>
      <w:effect w:val="none"/>
      <w:vertAlign w:val="baseline"/>
      <w:cs w:val="0"/>
      <w:em w:val="none"/>
    </w:rPr>
  </w:style>
  <w:style w:type="character" w:styleId="Ttulo5Car" w:customStyle="1">
    <w:name w:val="Título 5 Car"/>
    <w:rPr>
      <w:rFonts w:ascii="Calibri Light" w:cs="Times New Roman" w:eastAsia="Times New Roman" w:hAnsi="Calibri Light"/>
      <w:i w:val="1"/>
      <w:iCs w:val="1"/>
      <w:color w:val="70ad47"/>
      <w:w w:val="100"/>
      <w:position w:val="-1"/>
      <w:sz w:val="22"/>
      <w:szCs w:val="22"/>
      <w:effect w:val="none"/>
      <w:vertAlign w:val="baseline"/>
      <w:cs w:val="0"/>
      <w:em w:val="none"/>
    </w:rPr>
  </w:style>
  <w:style w:type="character" w:styleId="Ttulo6Car" w:customStyle="1">
    <w:name w:val="Título 6 Car"/>
    <w:rPr>
      <w:rFonts w:ascii="Calibri Light" w:cs="Times New Roman" w:eastAsia="Times New Roman" w:hAnsi="Calibri Light"/>
      <w:color w:val="70ad47"/>
      <w:w w:val="100"/>
      <w:position w:val="-1"/>
      <w:effect w:val="none"/>
      <w:vertAlign w:val="baseline"/>
      <w:cs w:val="0"/>
      <w:em w:val="none"/>
    </w:rPr>
  </w:style>
  <w:style w:type="character" w:styleId="Ttulo7Car" w:customStyle="1">
    <w:name w:val="Título 7 Car"/>
    <w:rPr>
      <w:rFonts w:ascii="Calibri Light" w:cs="Times New Roman" w:eastAsia="Times New Roman" w:hAnsi="Calibri Light"/>
      <w:b w:val="1"/>
      <w:bCs w:val="1"/>
      <w:color w:val="70ad47"/>
      <w:w w:val="100"/>
      <w:position w:val="-1"/>
      <w:effect w:val="none"/>
      <w:vertAlign w:val="baseline"/>
      <w:cs w:val="0"/>
      <w:em w:val="none"/>
    </w:rPr>
  </w:style>
  <w:style w:type="character" w:styleId="Ttulo8Car" w:customStyle="1">
    <w:name w:val="Título 8 Car"/>
    <w:rPr>
      <w:rFonts w:ascii="Calibri Light" w:cs="Times New Roman" w:eastAsia="Times New Roman" w:hAnsi="Calibri Light"/>
      <w:b w:val="1"/>
      <w:bCs w:val="1"/>
      <w:i w:val="1"/>
      <w:iCs w:val="1"/>
      <w:color w:val="70ad47"/>
      <w:w w:val="100"/>
      <w:position w:val="-1"/>
      <w:sz w:val="20"/>
      <w:szCs w:val="20"/>
      <w:effect w:val="none"/>
      <w:vertAlign w:val="baseline"/>
      <w:cs w:val="0"/>
      <w:em w:val="none"/>
    </w:rPr>
  </w:style>
  <w:style w:type="character" w:styleId="Ttulo9Car" w:customStyle="1">
    <w:name w:val="Título 9 Car"/>
    <w:rPr>
      <w:rFonts w:ascii="Calibri Light" w:cs="Times New Roman" w:eastAsia="Times New Roman" w:hAnsi="Calibri Light"/>
      <w:i w:val="1"/>
      <w:iCs w:val="1"/>
      <w:color w:val="70ad47"/>
      <w:w w:val="100"/>
      <w:position w:val="-1"/>
      <w:sz w:val="20"/>
      <w:szCs w:val="20"/>
      <w:effect w:val="none"/>
      <w:vertAlign w:val="baseline"/>
      <w:cs w:val="0"/>
      <w:em w:val="none"/>
    </w:rPr>
  </w:style>
  <w:style w:type="paragraph" w:styleId="Descripcin">
    <w:name w:val="caption"/>
    <w:basedOn w:val="Normal"/>
    <w:next w:val="Normal"/>
    <w:pPr>
      <w:spacing w:line="240" w:lineRule="auto"/>
    </w:pPr>
    <w:rPr>
      <w:b w:val="1"/>
      <w:bCs w:val="1"/>
      <w:smallCaps w:val="1"/>
      <w:color w:val="595959"/>
    </w:rPr>
  </w:style>
  <w:style w:type="character" w:styleId="TtuloCar" w:customStyle="1">
    <w:name w:val="Título Car"/>
    <w:rPr>
      <w:rFonts w:ascii="Calibri Light" w:cs="Times New Roman" w:eastAsia="Times New Roman" w:hAnsi="Calibri Light"/>
      <w:color w:val="262626"/>
      <w:spacing w:val="-15"/>
      <w:w w:val="100"/>
      <w:position w:val="-1"/>
      <w:sz w:val="96"/>
      <w:szCs w:val="96"/>
      <w:effect w:val="none"/>
      <w:vertAlign w:val="baseline"/>
      <w:cs w:val="0"/>
      <w:em w:val="non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SubttuloCar" w:customStyle="1">
    <w:name w:val="Subtítulo Car"/>
    <w:rPr>
      <w:rFonts w:ascii="Calibri Light" w:cs="Times New Roman" w:eastAsia="Times New Roman" w:hAnsi="Calibri Light"/>
      <w:w w:val="100"/>
      <w:position w:val="-1"/>
      <w:sz w:val="30"/>
      <w:szCs w:val="30"/>
      <w:effect w:val="none"/>
      <w:vertAlign w:val="baseline"/>
      <w:cs w:val="0"/>
      <w:em w:val="none"/>
    </w:rPr>
  </w:style>
  <w:style w:type="character" w:styleId="nfasis">
    <w:name w:val="Emphasis"/>
    <w:rPr>
      <w:i w:val="1"/>
      <w:iCs w:val="1"/>
      <w:color w:val="70ad47"/>
      <w:w w:val="100"/>
      <w:position w:val="-1"/>
      <w:effect w:val="none"/>
      <w:vertAlign w:val="baseline"/>
      <w:cs w:val="0"/>
      <w:em w:val="none"/>
    </w:rPr>
  </w:style>
  <w:style w:type="paragraph" w:styleId="Cita">
    <w:name w:val="Quote"/>
    <w:basedOn w:val="Normal"/>
    <w:next w:val="Normal"/>
    <w:pPr>
      <w:spacing w:before="160"/>
      <w:ind w:left="720" w:right="720"/>
      <w:jc w:val="center"/>
    </w:pPr>
    <w:rPr>
      <w:i w:val="1"/>
      <w:iCs w:val="1"/>
      <w:color w:val="262626"/>
    </w:rPr>
  </w:style>
  <w:style w:type="character" w:styleId="CitaCar" w:customStyle="1">
    <w:name w:val="Cita Car"/>
    <w:rPr>
      <w:i w:val="1"/>
      <w:iCs w:val="1"/>
      <w:color w:val="262626"/>
      <w:w w:val="100"/>
      <w:position w:val="-1"/>
      <w:effect w:val="none"/>
      <w:vertAlign w:val="baseline"/>
      <w:cs w:val="0"/>
      <w:em w:val="none"/>
    </w:rPr>
  </w:style>
  <w:style w:type="paragraph" w:styleId="Citadestacada">
    <w:name w:val="Intense Quote"/>
    <w:basedOn w:val="Normal"/>
    <w:next w:val="Normal"/>
    <w:pPr>
      <w:spacing w:after="160" w:before="160" w:line="264" w:lineRule="auto"/>
      <w:ind w:left="720" w:right="720"/>
      <w:jc w:val="center"/>
    </w:pPr>
    <w:rPr>
      <w:rFonts w:ascii="Calibri Light" w:cs="Times New Roman" w:eastAsia="Times New Roman" w:hAnsi="Calibri Light"/>
      <w:i w:val="1"/>
      <w:iCs w:val="1"/>
      <w:color w:val="70ad47"/>
      <w:sz w:val="32"/>
      <w:szCs w:val="32"/>
    </w:rPr>
  </w:style>
  <w:style w:type="character" w:styleId="CitadestacadaCar" w:customStyle="1">
    <w:name w:val="Cita destacada Car"/>
    <w:rPr>
      <w:rFonts w:ascii="Calibri Light" w:cs="Times New Roman" w:eastAsia="Times New Roman" w:hAnsi="Calibri Light"/>
      <w:i w:val="1"/>
      <w:iCs w:val="1"/>
      <w:color w:val="70ad47"/>
      <w:w w:val="100"/>
      <w:position w:val="-1"/>
      <w:sz w:val="32"/>
      <w:szCs w:val="32"/>
      <w:effect w:val="none"/>
      <w:vertAlign w:val="baseline"/>
      <w:cs w:val="0"/>
      <w:em w:val="none"/>
    </w:rPr>
  </w:style>
  <w:style w:type="character" w:styleId="nfasissutil">
    <w:name w:val="Subtle Emphasis"/>
    <w:rPr>
      <w:i w:val="1"/>
      <w:iCs w:val="1"/>
      <w:w w:val="100"/>
      <w:position w:val="-1"/>
      <w:effect w:val="none"/>
      <w:vertAlign w:val="baseline"/>
      <w:cs w:val="0"/>
      <w:em w:val="none"/>
    </w:rPr>
  </w:style>
  <w:style w:type="character" w:styleId="nfasisintenso">
    <w:name w:val="Intense Emphasis"/>
    <w:rPr>
      <w:b w:val="1"/>
      <w:bCs w:val="1"/>
      <w:i w:val="1"/>
      <w:iCs w:val="1"/>
      <w:w w:val="100"/>
      <w:position w:val="-1"/>
      <w:effect w:val="none"/>
      <w:vertAlign w:val="baseline"/>
      <w:cs w:val="0"/>
      <w:em w:val="none"/>
    </w:rPr>
  </w:style>
  <w:style w:type="character" w:styleId="Referenciasutil">
    <w:name w:val="Subtle Reference"/>
    <w:rPr>
      <w:smallCaps w:val="1"/>
      <w:color w:val="595959"/>
      <w:w w:val="100"/>
      <w:position w:val="-1"/>
      <w:effect w:val="none"/>
      <w:vertAlign w:val="baseline"/>
      <w:cs w:val="0"/>
      <w:em w:val="none"/>
    </w:rPr>
  </w:style>
  <w:style w:type="character" w:styleId="Referenciaintensa">
    <w:name w:val="Intense Reference"/>
    <w:rPr>
      <w:b w:val="1"/>
      <w:bCs w:val="1"/>
      <w:smallCaps w:val="1"/>
      <w:color w:val="70ad47"/>
      <w:w w:val="100"/>
      <w:position w:val="-1"/>
      <w:effect w:val="none"/>
      <w:vertAlign w:val="baseline"/>
      <w:cs w:val="0"/>
      <w:em w:val="none"/>
    </w:rPr>
  </w:style>
  <w:style w:type="character" w:styleId="Ttulodellibro">
    <w:name w:val="Book Title"/>
    <w:rPr>
      <w:b w:val="1"/>
      <w:bCs w:val="1"/>
      <w:smallCaps w:val="1"/>
      <w:spacing w:val="7"/>
      <w:w w:val="100"/>
      <w:position w:val="-1"/>
      <w:sz w:val="21"/>
      <w:szCs w:val="21"/>
      <w:effect w:val="none"/>
      <w:vertAlign w:val="baseline"/>
      <w:cs w:val="0"/>
      <w:em w:val="none"/>
    </w:rPr>
  </w:style>
  <w:style w:type="paragraph" w:styleId="TtuloTDC">
    <w:name w:val="TOC Heading"/>
    <w:basedOn w:val="Ttulo1"/>
    <w:next w:val="Normal"/>
    <w:pPr>
      <w:outlineLvl w:val="9"/>
    </w:pPr>
  </w:style>
  <w:style w:type="table" w:styleId="Tablaconcuadrcula">
    <w:name w:val="Table Grid"/>
    <w:basedOn w:val="Tablanormal"/>
    <w:pPr>
      <w:spacing w:after="0" w:line="240" w:lineRule="auto"/>
      <w:ind w:left="-1" w:leftChars="-1" w:hangingChars="1"/>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efault" w:customStyle="1">
    <w:name w:val="Default"/>
    <w:pPr>
      <w:autoSpaceDE w:val="0"/>
      <w:autoSpaceDN w:val="0"/>
      <w:adjustRightInd w:val="0"/>
      <w:spacing w:line="1" w:lineRule="atLeast"/>
      <w:ind w:left="-1" w:leftChars="-1" w:hangingChars="1"/>
      <w:textAlignment w:val="top"/>
      <w:outlineLvl w:val="0"/>
    </w:pPr>
    <w:rPr>
      <w:rFonts w:ascii="Verdana" w:cs="Verdana" w:hAnsi="Verdana"/>
      <w:color w:val="000000"/>
      <w:position w:val="-1"/>
      <w:sz w:val="24"/>
      <w:szCs w:val="24"/>
      <w:lang w:eastAsia="en-US"/>
    </w:rPr>
  </w:style>
  <w:style w:type="paragraph" w:styleId="Prrafodelista">
    <w:name w:val="List Paragraph"/>
    <w:basedOn w:val="Normal"/>
    <w:pPr>
      <w:spacing w:after="160" w:line="256" w:lineRule="auto"/>
      <w:ind w:left="720"/>
      <w:contextualSpacing w:val="1"/>
    </w:pPr>
    <w:rPr>
      <w:rFonts w:cs="Times New Roman"/>
      <w:sz w:val="22"/>
      <w:szCs w:val="22"/>
    </w:rPr>
  </w:style>
  <w:style w:type="character" w:styleId="Fecha1" w:customStyle="1">
    <w:name w:val="Fecha1"/>
    <w:rPr>
      <w:w w:val="100"/>
      <w:position w:val="-1"/>
      <w:effect w:val="none"/>
      <w:vertAlign w:val="baseline"/>
      <w:cs w:val="0"/>
      <w:em w:val="none"/>
    </w:rPr>
  </w:style>
  <w:style w:type="table" w:styleId="a" w:customStyle="1">
    <w:basedOn w:val="TableNormal6"/>
    <w:tblPr>
      <w:tblStyleRowBandSize w:val="1"/>
      <w:tblStyleColBandSize w:val="1"/>
      <w:tblCellMar>
        <w:left w:w="108.0" w:type="dxa"/>
        <w:right w:w="108.0" w:type="dxa"/>
      </w:tblCellMar>
    </w:tblPr>
  </w:style>
  <w:style w:type="character" w:styleId="Mencinsinresolver1" w:customStyle="1">
    <w:name w:val="Mención sin resolver1"/>
    <w:qFormat w:val="1"/>
    <w:rPr>
      <w:color w:val="605e5c"/>
      <w:w w:val="100"/>
      <w:position w:val="-1"/>
      <w:effect w:val="none"/>
      <w:shd w:color="auto" w:fill="e1dfdd" w:val="clear"/>
      <w:vertAlign w:val="baseline"/>
      <w:cs w:val="0"/>
      <w:em w:val="none"/>
    </w:rPr>
  </w:style>
  <w:style w:type="table" w:styleId="a0" w:customStyle="1">
    <w:basedOn w:val="TableNormal6"/>
    <w:tblPr>
      <w:tblStyleRowBandSize w:val="1"/>
      <w:tblStyleColBandSize w:val="1"/>
      <w:tblCellMar>
        <w:top w:w="100.0" w:type="dxa"/>
        <w:left w:w="100.0" w:type="dxa"/>
        <w:bottom w:w="100.0" w:type="dxa"/>
        <w:right w:w="100.0" w:type="dxa"/>
      </w:tblCellMar>
    </w:tblPr>
  </w:style>
  <w:style w:type="table" w:styleId="a1" w:customStyle="1">
    <w:basedOn w:val="TableNormal5"/>
    <w:tblPr>
      <w:tblStyleRowBandSize w:val="1"/>
      <w:tblStyleColBandSize w:val="1"/>
      <w:tblCellMar>
        <w:top w:w="100.0" w:type="dxa"/>
        <w:left w:w="100.0" w:type="dxa"/>
        <w:bottom w:w="100.0" w:type="dxa"/>
        <w:right w:w="100.0" w:type="dxa"/>
      </w:tblCellMar>
    </w:tblPr>
  </w:style>
  <w:style w:type="table" w:styleId="a2" w:customStyle="1">
    <w:basedOn w:val="TableNormal5"/>
    <w:tblPr>
      <w:tblStyleRowBandSize w:val="1"/>
      <w:tblStyleColBandSize w:val="1"/>
      <w:tblCellMar>
        <w:top w:w="100.0" w:type="dxa"/>
        <w:left w:w="100.0" w:type="dxa"/>
        <w:bottom w:w="100.0" w:type="dxa"/>
        <w:right w:w="100.0" w:type="dxa"/>
      </w:tblCellMar>
    </w:tblPr>
  </w:style>
  <w:style w:type="table" w:styleId="a3" w:customStyle="1">
    <w:basedOn w:val="TableNormal5"/>
    <w:tblPr>
      <w:tblStyleRowBandSize w:val="1"/>
      <w:tblStyleColBandSize w:val="1"/>
      <w:tblCellMar>
        <w:top w:w="100.0" w:type="dxa"/>
        <w:left w:w="100.0" w:type="dxa"/>
        <w:bottom w:w="100.0" w:type="dxa"/>
        <w:right w:w="100.0" w:type="dxa"/>
      </w:tblCellMar>
    </w:tblPr>
  </w:style>
  <w:style w:type="table" w:styleId="a4" w:customStyle="1">
    <w:basedOn w:val="TableNormal2"/>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ind w:left="0"/>
    </w:pPr>
    <w:rPr>
      <w:vertAlign w:val="baseline"/>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ind w:left="0"/>
    </w:pPr>
    <w:rPr>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4.png"/><Relationship Id="rId13" Type="http://schemas.openxmlformats.org/officeDocument/2006/relationships/image" Target="media/image10.jpg"/><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8.jpg"/><Relationship Id="rId14" Type="http://schemas.openxmlformats.org/officeDocument/2006/relationships/image" Target="media/image7.jpg"/><Relationship Id="rId17" Type="http://schemas.openxmlformats.org/officeDocument/2006/relationships/hyperlink" Target="https://www.corteconstitucional.gov.co/relatoria/2016/c-224-16.htm" TargetMode="External"/><Relationship Id="rId16" Type="http://schemas.openxmlformats.org/officeDocument/2006/relationships/hyperlink" Target="https://publicaciones.banrepcultural.org/index.php/bmo/article/view/7354/7623"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5.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Bk4xBsQ1Lt10hwkGYvSnauApSA==">CgMxLjA4AHIhMVZselhEMUtfQ3M2cmx5aDBWZFp0SXR5RExzZ1cwVjQx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2020-08-11T20:37:00Z</dcterms:created>
  <dc:creator>Martha Isabel Vanegas</dc:creator>
</cp:coreProperties>
</file>